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3781C" w14:textId="04066C6D" w:rsidR="005F768E" w:rsidRDefault="00B35325" w:rsidP="00B35325">
      <w:pPr>
        <w:spacing w:line="360" w:lineRule="auto"/>
        <w:ind w:left="360" w:hanging="360"/>
        <w:jc w:val="center"/>
        <w:rPr>
          <w:rFonts w:ascii="Times New Roman" w:hAnsi="Times New Roman" w:cs="Times New Roman"/>
          <w:b/>
          <w:bCs/>
          <w:sz w:val="28"/>
          <w:szCs w:val="28"/>
        </w:rPr>
      </w:pPr>
      <w:r w:rsidRPr="00395D56">
        <w:rPr>
          <w:rFonts w:ascii="Times New Roman" w:hAnsi="Times New Roman" w:cs="Times New Roman"/>
          <w:b/>
          <w:bCs/>
          <w:sz w:val="28"/>
          <w:szCs w:val="28"/>
        </w:rPr>
        <w:t>Spillovers between the Islamic gold</w:t>
      </w:r>
      <w:r w:rsidR="00B40CED">
        <w:rPr>
          <w:rFonts w:ascii="Times New Roman" w:hAnsi="Times New Roman" w:cs="Times New Roman"/>
          <w:b/>
          <w:bCs/>
          <w:sz w:val="28"/>
          <w:szCs w:val="28"/>
        </w:rPr>
        <w:t>-</w:t>
      </w:r>
      <w:r w:rsidRPr="00395D56">
        <w:rPr>
          <w:rFonts w:ascii="Times New Roman" w:hAnsi="Times New Roman" w:cs="Times New Roman"/>
          <w:b/>
          <w:bCs/>
          <w:sz w:val="28"/>
          <w:szCs w:val="28"/>
        </w:rPr>
        <w:t>back</w:t>
      </w:r>
      <w:r w:rsidR="00B40CED">
        <w:rPr>
          <w:rFonts w:ascii="Times New Roman" w:hAnsi="Times New Roman" w:cs="Times New Roman"/>
          <w:b/>
          <w:bCs/>
          <w:sz w:val="28"/>
          <w:szCs w:val="28"/>
        </w:rPr>
        <w:t>ed</w:t>
      </w:r>
      <w:r w:rsidRPr="00395D56">
        <w:rPr>
          <w:rFonts w:ascii="Times New Roman" w:hAnsi="Times New Roman" w:cs="Times New Roman"/>
          <w:b/>
          <w:bCs/>
          <w:sz w:val="28"/>
          <w:szCs w:val="28"/>
        </w:rPr>
        <w:t xml:space="preserve"> cryptocur</w:t>
      </w:r>
      <w:r>
        <w:rPr>
          <w:rFonts w:ascii="Times New Roman" w:hAnsi="Times New Roman" w:cs="Times New Roman"/>
          <w:b/>
          <w:bCs/>
          <w:sz w:val="28"/>
          <w:szCs w:val="28"/>
        </w:rPr>
        <w:t>renc</w:t>
      </w:r>
      <w:r w:rsidR="00B40CED">
        <w:rPr>
          <w:rFonts w:ascii="Times New Roman" w:hAnsi="Times New Roman" w:cs="Times New Roman"/>
          <w:b/>
          <w:bCs/>
          <w:sz w:val="28"/>
          <w:szCs w:val="28"/>
        </w:rPr>
        <w:t>ies</w:t>
      </w:r>
      <w:r>
        <w:rPr>
          <w:rFonts w:ascii="Times New Roman" w:hAnsi="Times New Roman" w:cs="Times New Roman"/>
          <w:b/>
          <w:bCs/>
          <w:sz w:val="28"/>
          <w:szCs w:val="28"/>
        </w:rPr>
        <w:t xml:space="preserve"> and equity markets </w:t>
      </w:r>
      <w:r w:rsidR="004227B0">
        <w:rPr>
          <w:rFonts w:ascii="Times New Roman" w:hAnsi="Times New Roman" w:cs="Times New Roman"/>
          <w:b/>
          <w:bCs/>
          <w:sz w:val="28"/>
          <w:szCs w:val="28"/>
        </w:rPr>
        <w:t>during</w:t>
      </w:r>
      <w:r>
        <w:rPr>
          <w:rFonts w:ascii="Times New Roman" w:hAnsi="Times New Roman" w:cs="Times New Roman"/>
          <w:b/>
          <w:bCs/>
          <w:sz w:val="28"/>
          <w:szCs w:val="28"/>
        </w:rPr>
        <w:t xml:space="preserve"> COVID-19: A sectorial analysis</w:t>
      </w:r>
    </w:p>
    <w:p w14:paraId="0CCA92F3" w14:textId="50FF546C" w:rsidR="00AA0B7D" w:rsidRDefault="00AA0B7D" w:rsidP="005F768E">
      <w:pPr>
        <w:pStyle w:val="ListParagraph"/>
        <w:spacing w:line="360" w:lineRule="auto"/>
        <w:ind w:left="360"/>
        <w:jc w:val="center"/>
        <w:rPr>
          <w:rFonts w:ascii="Times New Roman" w:hAnsi="Times New Roman" w:cs="Times New Roman"/>
          <w:b/>
          <w:bCs/>
          <w:sz w:val="28"/>
          <w:szCs w:val="28"/>
        </w:rPr>
      </w:pPr>
    </w:p>
    <w:p w14:paraId="686CD0A1" w14:textId="4477E357" w:rsidR="00395D56" w:rsidRPr="00BF776E" w:rsidRDefault="00395D56" w:rsidP="00BF776E">
      <w:pPr>
        <w:spacing w:line="360" w:lineRule="auto"/>
        <w:jc w:val="center"/>
        <w:rPr>
          <w:rFonts w:ascii="Times New Roman" w:hAnsi="Times New Roman" w:cs="Times New Roman"/>
          <w:b/>
          <w:bCs/>
          <w:sz w:val="28"/>
          <w:szCs w:val="28"/>
        </w:rPr>
      </w:pPr>
      <w:r w:rsidRPr="00BF776E">
        <w:rPr>
          <w:rFonts w:ascii="Times New Roman" w:hAnsi="Times New Roman" w:cs="Times New Roman"/>
          <w:b/>
          <w:bCs/>
          <w:sz w:val="28"/>
          <w:szCs w:val="28"/>
        </w:rPr>
        <w:t>Abst</w:t>
      </w:r>
      <w:r w:rsidR="005F768E" w:rsidRPr="00BF776E">
        <w:rPr>
          <w:rFonts w:ascii="Times New Roman" w:hAnsi="Times New Roman" w:cs="Times New Roman"/>
          <w:b/>
          <w:bCs/>
          <w:sz w:val="28"/>
          <w:szCs w:val="28"/>
        </w:rPr>
        <w:t>ract</w:t>
      </w:r>
    </w:p>
    <w:p w14:paraId="6C04EEB1" w14:textId="4B28C55E" w:rsidR="002F49A4" w:rsidRDefault="001D0ABD" w:rsidP="005123BA">
      <w:pPr>
        <w:pStyle w:val="ListParagraph"/>
        <w:spacing w:line="360" w:lineRule="auto"/>
        <w:ind w:left="360"/>
        <w:jc w:val="both"/>
        <w:rPr>
          <w:rFonts w:ascii="Times New Roman" w:hAnsi="Times New Roman" w:cs="Times New Roman"/>
          <w:sz w:val="24"/>
          <w:szCs w:val="24"/>
        </w:rPr>
      </w:pPr>
      <w:r w:rsidRPr="00A918C2">
        <w:rPr>
          <w:rFonts w:ascii="Times New Roman" w:hAnsi="Times New Roman" w:cs="Times New Roman"/>
          <w:sz w:val="24"/>
          <w:szCs w:val="24"/>
        </w:rPr>
        <w:t xml:space="preserve">This study </w:t>
      </w:r>
      <w:r w:rsidR="009D4886">
        <w:rPr>
          <w:rFonts w:ascii="Times New Roman" w:hAnsi="Times New Roman" w:cs="Times New Roman"/>
          <w:sz w:val="24"/>
          <w:szCs w:val="24"/>
        </w:rPr>
        <w:t>ex</w:t>
      </w:r>
      <w:r w:rsidR="00326C0D">
        <w:rPr>
          <w:rFonts w:ascii="Times New Roman" w:hAnsi="Times New Roman" w:cs="Times New Roman"/>
          <w:sz w:val="24"/>
          <w:szCs w:val="24"/>
        </w:rPr>
        <w:t>a</w:t>
      </w:r>
      <w:r w:rsidR="009D4886">
        <w:rPr>
          <w:rFonts w:ascii="Times New Roman" w:hAnsi="Times New Roman" w:cs="Times New Roman"/>
          <w:sz w:val="24"/>
          <w:szCs w:val="24"/>
        </w:rPr>
        <w:t>mines</w:t>
      </w:r>
      <w:r w:rsidRPr="00A918C2">
        <w:rPr>
          <w:rFonts w:ascii="Times New Roman" w:hAnsi="Times New Roman" w:cs="Times New Roman"/>
          <w:sz w:val="24"/>
          <w:szCs w:val="24"/>
        </w:rPr>
        <w:t xml:space="preserve"> the return and volatility transmissio</w:t>
      </w:r>
      <w:r w:rsidRPr="00C27C6F">
        <w:rPr>
          <w:rFonts w:ascii="Times New Roman" w:hAnsi="Times New Roman" w:cs="Times New Roman"/>
          <w:color w:val="2E74B5" w:themeColor="accent5" w:themeShade="BF"/>
          <w:sz w:val="24"/>
          <w:szCs w:val="24"/>
        </w:rPr>
        <w:t>n</w:t>
      </w:r>
      <w:r w:rsidR="006F4583" w:rsidRPr="00A918C2">
        <w:rPr>
          <w:rFonts w:ascii="Times New Roman" w:hAnsi="Times New Roman" w:cs="Times New Roman"/>
          <w:sz w:val="24"/>
          <w:szCs w:val="24"/>
        </w:rPr>
        <w:t xml:space="preserve"> between the Islamic gold</w:t>
      </w:r>
      <w:r w:rsidR="00411C9A">
        <w:rPr>
          <w:rFonts w:ascii="Times New Roman" w:hAnsi="Times New Roman" w:cs="Times New Roman"/>
          <w:sz w:val="24"/>
          <w:szCs w:val="24"/>
        </w:rPr>
        <w:t>-</w:t>
      </w:r>
      <w:r w:rsidR="006F4583" w:rsidRPr="00A918C2">
        <w:rPr>
          <w:rFonts w:ascii="Times New Roman" w:hAnsi="Times New Roman" w:cs="Times New Roman"/>
          <w:sz w:val="24"/>
          <w:szCs w:val="24"/>
        </w:rPr>
        <w:t>back</w:t>
      </w:r>
      <w:r w:rsidR="00411C9A">
        <w:rPr>
          <w:rFonts w:ascii="Times New Roman" w:hAnsi="Times New Roman" w:cs="Times New Roman"/>
          <w:sz w:val="24"/>
          <w:szCs w:val="24"/>
        </w:rPr>
        <w:t>ed</w:t>
      </w:r>
      <w:r w:rsidR="006F4583" w:rsidRPr="00A918C2">
        <w:rPr>
          <w:rFonts w:ascii="Times New Roman" w:hAnsi="Times New Roman" w:cs="Times New Roman"/>
          <w:sz w:val="24"/>
          <w:szCs w:val="24"/>
        </w:rPr>
        <w:t xml:space="preserve"> cryptocurrencies (Onegram and X8X) and </w:t>
      </w:r>
      <w:r w:rsidR="00E530D9">
        <w:rPr>
          <w:rFonts w:ascii="Times New Roman" w:hAnsi="Times New Roman" w:cs="Times New Roman"/>
          <w:sz w:val="24"/>
          <w:szCs w:val="24"/>
        </w:rPr>
        <w:t xml:space="preserve">global </w:t>
      </w:r>
      <w:r w:rsidR="007F217C" w:rsidRPr="00A918C2">
        <w:rPr>
          <w:rFonts w:ascii="Times New Roman" w:hAnsi="Times New Roman" w:cs="Times New Roman"/>
          <w:sz w:val="24"/>
          <w:szCs w:val="24"/>
        </w:rPr>
        <w:t xml:space="preserve">Islamic </w:t>
      </w:r>
      <w:r w:rsidR="00A918C2" w:rsidRPr="00A918C2">
        <w:rPr>
          <w:rFonts w:ascii="Times New Roman" w:hAnsi="Times New Roman" w:cs="Times New Roman"/>
          <w:sz w:val="24"/>
          <w:szCs w:val="24"/>
        </w:rPr>
        <w:t xml:space="preserve">equity sectors </w:t>
      </w:r>
      <w:r w:rsidR="00130022">
        <w:rPr>
          <w:rFonts w:ascii="Times New Roman" w:hAnsi="Times New Roman" w:cs="Times New Roman"/>
          <w:sz w:val="24"/>
          <w:szCs w:val="24"/>
        </w:rPr>
        <w:t xml:space="preserve">during </w:t>
      </w:r>
      <w:r w:rsidR="00866C9D" w:rsidRPr="00C27C6F">
        <w:rPr>
          <w:rFonts w:ascii="Times New Roman" w:hAnsi="Times New Roman" w:cs="Times New Roman"/>
          <w:color w:val="2E74B5" w:themeColor="accent5" w:themeShade="BF"/>
          <w:sz w:val="24"/>
          <w:szCs w:val="24"/>
        </w:rPr>
        <w:t>the</w:t>
      </w:r>
      <w:r w:rsidR="00866C9D">
        <w:rPr>
          <w:rFonts w:ascii="Times New Roman" w:hAnsi="Times New Roman" w:cs="Times New Roman"/>
          <w:sz w:val="24"/>
          <w:szCs w:val="24"/>
        </w:rPr>
        <w:t xml:space="preserve"> </w:t>
      </w:r>
      <w:r w:rsidR="00130022">
        <w:rPr>
          <w:rFonts w:ascii="Times New Roman" w:hAnsi="Times New Roman" w:cs="Times New Roman"/>
          <w:sz w:val="24"/>
          <w:szCs w:val="24"/>
        </w:rPr>
        <w:t>pre-COVID and COVID-19 periods</w:t>
      </w:r>
      <w:r w:rsidR="00411C9A">
        <w:rPr>
          <w:rFonts w:ascii="Times New Roman" w:hAnsi="Times New Roman" w:cs="Times New Roman"/>
          <w:sz w:val="24"/>
          <w:szCs w:val="24"/>
        </w:rPr>
        <w:t>.</w:t>
      </w:r>
      <w:r w:rsidR="00130022">
        <w:rPr>
          <w:rFonts w:ascii="Times New Roman" w:hAnsi="Times New Roman" w:cs="Times New Roman"/>
          <w:sz w:val="24"/>
          <w:szCs w:val="24"/>
        </w:rPr>
        <w:t xml:space="preserve"> </w:t>
      </w:r>
      <w:bookmarkStart w:id="0" w:name="_Hlk67302578"/>
      <w:r w:rsidR="009760A9">
        <w:rPr>
          <w:rFonts w:ascii="Times New Roman" w:hAnsi="Times New Roman" w:cs="Times New Roman"/>
          <w:sz w:val="24"/>
          <w:szCs w:val="24"/>
        </w:rPr>
        <w:t xml:space="preserve">We also estimate the </w:t>
      </w:r>
      <w:r w:rsidR="00FA3651">
        <w:rPr>
          <w:rFonts w:ascii="Times New Roman" w:hAnsi="Times New Roman" w:cs="Times New Roman"/>
          <w:sz w:val="24"/>
          <w:szCs w:val="24"/>
        </w:rPr>
        <w:t>optimal weights, hedge ratios, and hedging effectiveness for all pairs of markets</w:t>
      </w:r>
      <w:r w:rsidR="00411C9A">
        <w:rPr>
          <w:rFonts w:ascii="Times New Roman" w:hAnsi="Times New Roman" w:cs="Times New Roman"/>
          <w:sz w:val="24"/>
          <w:szCs w:val="24"/>
        </w:rPr>
        <w:t xml:space="preserve">. Our results suggest that </w:t>
      </w:r>
      <w:r w:rsidR="008E387A">
        <w:rPr>
          <w:rFonts w:ascii="Times New Roman" w:hAnsi="Times New Roman" w:cs="Times New Roman"/>
          <w:sz w:val="24"/>
          <w:szCs w:val="24"/>
        </w:rPr>
        <w:t xml:space="preserve">the </w:t>
      </w:r>
      <w:r w:rsidR="00411C9A">
        <w:rPr>
          <w:rFonts w:ascii="Times New Roman" w:hAnsi="Times New Roman" w:cs="Times New Roman"/>
          <w:sz w:val="24"/>
          <w:szCs w:val="24"/>
        </w:rPr>
        <w:t xml:space="preserve">COVID-19 crisis intensified the spillover effect between the selected Islamic assets. We show </w:t>
      </w:r>
      <w:r w:rsidR="006B6C86">
        <w:rPr>
          <w:rFonts w:ascii="Times New Roman" w:hAnsi="Times New Roman" w:cs="Times New Roman"/>
          <w:sz w:val="24"/>
          <w:szCs w:val="24"/>
        </w:rPr>
        <w:t xml:space="preserve">that investors </w:t>
      </w:r>
      <w:r w:rsidR="00866C9D" w:rsidRPr="00C27C6F">
        <w:rPr>
          <w:rFonts w:ascii="Times New Roman" w:hAnsi="Times New Roman" w:cs="Times New Roman"/>
          <w:color w:val="2E74B5" w:themeColor="accent5" w:themeShade="BF"/>
          <w:sz w:val="24"/>
          <w:szCs w:val="24"/>
        </w:rPr>
        <w:t>could</w:t>
      </w:r>
      <w:r w:rsidR="006B6C86">
        <w:rPr>
          <w:rFonts w:ascii="Times New Roman" w:hAnsi="Times New Roman" w:cs="Times New Roman"/>
          <w:sz w:val="24"/>
          <w:szCs w:val="24"/>
        </w:rPr>
        <w:t xml:space="preserve"> increase their </w:t>
      </w:r>
      <w:r w:rsidR="00411C9A">
        <w:rPr>
          <w:rFonts w:ascii="Times New Roman" w:hAnsi="Times New Roman" w:cs="Times New Roman"/>
          <w:sz w:val="24"/>
          <w:szCs w:val="24"/>
        </w:rPr>
        <w:t xml:space="preserve">allocations </w:t>
      </w:r>
      <w:r w:rsidR="006B6C86">
        <w:rPr>
          <w:rFonts w:ascii="Times New Roman" w:hAnsi="Times New Roman" w:cs="Times New Roman"/>
          <w:sz w:val="24"/>
          <w:szCs w:val="24"/>
        </w:rPr>
        <w:t>in Onegram</w:t>
      </w:r>
      <w:r w:rsidR="00A5782D">
        <w:rPr>
          <w:rFonts w:ascii="Times New Roman" w:hAnsi="Times New Roman" w:cs="Times New Roman"/>
          <w:sz w:val="24"/>
          <w:szCs w:val="24"/>
        </w:rPr>
        <w:t xml:space="preserve"> gold-backed cryptocurrency</w:t>
      </w:r>
      <w:r w:rsidR="006B6C86">
        <w:rPr>
          <w:rFonts w:ascii="Times New Roman" w:hAnsi="Times New Roman" w:cs="Times New Roman"/>
          <w:sz w:val="24"/>
          <w:szCs w:val="24"/>
        </w:rPr>
        <w:t xml:space="preserve"> to reduce the risk of </w:t>
      </w:r>
      <w:r w:rsidR="00363170">
        <w:rPr>
          <w:rFonts w:ascii="Times New Roman" w:hAnsi="Times New Roman" w:cs="Times New Roman"/>
          <w:sz w:val="24"/>
          <w:szCs w:val="24"/>
        </w:rPr>
        <w:t xml:space="preserve">the </w:t>
      </w:r>
      <w:r w:rsidR="006B6C86">
        <w:rPr>
          <w:rFonts w:ascii="Times New Roman" w:hAnsi="Times New Roman" w:cs="Times New Roman"/>
          <w:sz w:val="24"/>
          <w:szCs w:val="24"/>
        </w:rPr>
        <w:t>equity sector</w:t>
      </w:r>
      <w:r w:rsidR="00187816">
        <w:rPr>
          <w:rFonts w:ascii="Times New Roman" w:hAnsi="Times New Roman" w:cs="Times New Roman"/>
          <w:sz w:val="24"/>
          <w:szCs w:val="24"/>
        </w:rPr>
        <w:t xml:space="preserve"> </w:t>
      </w:r>
      <w:r w:rsidR="006B6C86">
        <w:rPr>
          <w:rFonts w:ascii="Times New Roman" w:hAnsi="Times New Roman" w:cs="Times New Roman"/>
          <w:sz w:val="24"/>
          <w:szCs w:val="24"/>
        </w:rPr>
        <w:t>portfolio during</w:t>
      </w:r>
      <w:r w:rsidR="008E387A">
        <w:rPr>
          <w:rFonts w:ascii="Times New Roman" w:hAnsi="Times New Roman" w:cs="Times New Roman"/>
          <w:sz w:val="24"/>
          <w:szCs w:val="24"/>
        </w:rPr>
        <w:t xml:space="preserve"> the</w:t>
      </w:r>
      <w:r w:rsidR="006B6C86">
        <w:rPr>
          <w:rFonts w:ascii="Times New Roman" w:hAnsi="Times New Roman" w:cs="Times New Roman"/>
          <w:sz w:val="24"/>
          <w:szCs w:val="24"/>
        </w:rPr>
        <w:t xml:space="preserve"> COVID-19</w:t>
      </w:r>
      <w:r w:rsidR="008E387A">
        <w:rPr>
          <w:rFonts w:ascii="Times New Roman" w:hAnsi="Times New Roman" w:cs="Times New Roman"/>
          <w:sz w:val="24"/>
          <w:szCs w:val="24"/>
        </w:rPr>
        <w:t xml:space="preserve"> pandemic.</w:t>
      </w:r>
      <w:r w:rsidR="00227263">
        <w:rPr>
          <w:rFonts w:ascii="Times New Roman" w:hAnsi="Times New Roman" w:cs="Times New Roman"/>
          <w:sz w:val="24"/>
          <w:szCs w:val="24"/>
        </w:rPr>
        <w:t xml:space="preserve"> </w:t>
      </w:r>
      <w:r w:rsidR="0065617B">
        <w:rPr>
          <w:rFonts w:ascii="Times New Roman" w:hAnsi="Times New Roman" w:cs="Times New Roman"/>
          <w:sz w:val="24"/>
          <w:szCs w:val="24"/>
        </w:rPr>
        <w:t>Moreover, the hedging cost</w:t>
      </w:r>
      <w:r w:rsidR="00866C9D" w:rsidRPr="00C27C6F">
        <w:rPr>
          <w:rFonts w:ascii="Times New Roman" w:hAnsi="Times New Roman" w:cs="Times New Roman"/>
          <w:color w:val="2E74B5" w:themeColor="accent5" w:themeShade="BF"/>
          <w:sz w:val="24"/>
          <w:szCs w:val="24"/>
        </w:rPr>
        <w:t>s</w:t>
      </w:r>
      <w:r w:rsidR="0065617B">
        <w:rPr>
          <w:rFonts w:ascii="Times New Roman" w:hAnsi="Times New Roman" w:cs="Times New Roman"/>
          <w:sz w:val="24"/>
          <w:szCs w:val="24"/>
        </w:rPr>
        <w:t xml:space="preserve"> for all pairs </w:t>
      </w:r>
      <w:r w:rsidR="00866C9D" w:rsidRPr="00C27C6F">
        <w:rPr>
          <w:rFonts w:ascii="Times New Roman" w:hAnsi="Times New Roman" w:cs="Times New Roman"/>
          <w:color w:val="2E74B5" w:themeColor="accent5" w:themeShade="BF"/>
          <w:sz w:val="24"/>
          <w:szCs w:val="24"/>
        </w:rPr>
        <w:t>have</w:t>
      </w:r>
      <w:r w:rsidR="00A5782D" w:rsidRPr="00C27C6F">
        <w:rPr>
          <w:rFonts w:ascii="Times New Roman" w:hAnsi="Times New Roman" w:cs="Times New Roman"/>
          <w:color w:val="2E74B5" w:themeColor="accent5" w:themeShade="BF"/>
          <w:sz w:val="24"/>
          <w:szCs w:val="24"/>
        </w:rPr>
        <w:t xml:space="preserve"> </w:t>
      </w:r>
      <w:r w:rsidR="00A5782D">
        <w:rPr>
          <w:rFonts w:ascii="Times New Roman" w:hAnsi="Times New Roman" w:cs="Times New Roman"/>
          <w:sz w:val="24"/>
          <w:szCs w:val="24"/>
        </w:rPr>
        <w:t>increased during</w:t>
      </w:r>
      <w:r w:rsidR="00866C9D">
        <w:rPr>
          <w:rFonts w:ascii="Times New Roman" w:hAnsi="Times New Roman" w:cs="Times New Roman"/>
          <w:sz w:val="24"/>
          <w:szCs w:val="24"/>
        </w:rPr>
        <w:t xml:space="preserve"> the</w:t>
      </w:r>
      <w:r w:rsidR="00F70D89">
        <w:rPr>
          <w:rFonts w:ascii="Times New Roman" w:hAnsi="Times New Roman" w:cs="Times New Roman"/>
          <w:sz w:val="24"/>
          <w:szCs w:val="24"/>
        </w:rPr>
        <w:t xml:space="preserve"> COVID-19</w:t>
      </w:r>
      <w:r w:rsidR="00866C9D">
        <w:rPr>
          <w:rFonts w:ascii="Times New Roman" w:hAnsi="Times New Roman" w:cs="Times New Roman"/>
          <w:sz w:val="24"/>
          <w:szCs w:val="24"/>
        </w:rPr>
        <w:t xml:space="preserve"> period in comparison to</w:t>
      </w:r>
      <w:r w:rsidR="00F70D89">
        <w:rPr>
          <w:rFonts w:ascii="Times New Roman" w:hAnsi="Times New Roman" w:cs="Times New Roman"/>
          <w:sz w:val="24"/>
          <w:szCs w:val="24"/>
        </w:rPr>
        <w:t xml:space="preserve"> </w:t>
      </w:r>
      <w:r w:rsidR="00382306">
        <w:rPr>
          <w:rFonts w:ascii="Times New Roman" w:hAnsi="Times New Roman" w:cs="Times New Roman"/>
          <w:sz w:val="24"/>
          <w:szCs w:val="24"/>
        </w:rPr>
        <w:t xml:space="preserve">the </w:t>
      </w:r>
      <w:r w:rsidR="00F70D89">
        <w:rPr>
          <w:rFonts w:ascii="Times New Roman" w:hAnsi="Times New Roman" w:cs="Times New Roman"/>
          <w:sz w:val="24"/>
          <w:szCs w:val="24"/>
        </w:rPr>
        <w:t>pre</w:t>
      </w:r>
      <w:r w:rsidR="00A5782D">
        <w:rPr>
          <w:rFonts w:ascii="Times New Roman" w:hAnsi="Times New Roman" w:cs="Times New Roman"/>
          <w:sz w:val="24"/>
          <w:szCs w:val="24"/>
        </w:rPr>
        <w:t>-pandemic level.</w:t>
      </w:r>
      <w:r w:rsidR="00423D61">
        <w:rPr>
          <w:rFonts w:ascii="Times New Roman" w:hAnsi="Times New Roman" w:cs="Times New Roman"/>
          <w:sz w:val="24"/>
          <w:szCs w:val="24"/>
        </w:rPr>
        <w:t xml:space="preserve"> </w:t>
      </w:r>
      <w:r w:rsidR="00A5782D">
        <w:rPr>
          <w:rFonts w:ascii="Times New Roman" w:hAnsi="Times New Roman" w:cs="Times New Roman"/>
          <w:sz w:val="24"/>
          <w:szCs w:val="24"/>
        </w:rPr>
        <w:t>Finally</w:t>
      </w:r>
      <w:r w:rsidR="00423D61">
        <w:rPr>
          <w:rFonts w:ascii="Times New Roman" w:hAnsi="Times New Roman" w:cs="Times New Roman"/>
          <w:sz w:val="24"/>
          <w:szCs w:val="24"/>
        </w:rPr>
        <w:t xml:space="preserve">, </w:t>
      </w:r>
      <w:r w:rsidR="002F49A4">
        <w:rPr>
          <w:rFonts w:ascii="Times New Roman" w:hAnsi="Times New Roman" w:cs="Times New Roman"/>
          <w:sz w:val="24"/>
          <w:szCs w:val="24"/>
        </w:rPr>
        <w:t>the</w:t>
      </w:r>
      <w:r w:rsidR="00A5782D">
        <w:rPr>
          <w:rFonts w:ascii="Times New Roman" w:hAnsi="Times New Roman" w:cs="Times New Roman"/>
          <w:sz w:val="24"/>
          <w:szCs w:val="24"/>
        </w:rPr>
        <w:t xml:space="preserve"> analysis of</w:t>
      </w:r>
      <w:r w:rsidR="002F49A4">
        <w:rPr>
          <w:rFonts w:ascii="Times New Roman" w:hAnsi="Times New Roman" w:cs="Times New Roman"/>
          <w:sz w:val="24"/>
          <w:szCs w:val="24"/>
        </w:rPr>
        <w:t xml:space="preserve"> hedging effectiveness suggest</w:t>
      </w:r>
      <w:r w:rsidR="008E387A">
        <w:rPr>
          <w:rFonts w:ascii="Times New Roman" w:hAnsi="Times New Roman" w:cs="Times New Roman"/>
          <w:sz w:val="24"/>
          <w:szCs w:val="24"/>
        </w:rPr>
        <w:t>s</w:t>
      </w:r>
      <w:r w:rsidR="002F49A4">
        <w:rPr>
          <w:rFonts w:ascii="Times New Roman" w:hAnsi="Times New Roman" w:cs="Times New Roman"/>
          <w:sz w:val="24"/>
          <w:szCs w:val="24"/>
        </w:rPr>
        <w:t xml:space="preserve"> that investors can reduce the risk of Islamic sectorial equity portfolios by adding the Islamic sharia-based cryptocurrencies during both sample periods. </w:t>
      </w:r>
    </w:p>
    <w:bookmarkEnd w:id="0"/>
    <w:p w14:paraId="5AC77373" w14:textId="30A4F50B" w:rsidR="0037616C" w:rsidRDefault="0037616C" w:rsidP="005F768E">
      <w:pPr>
        <w:pStyle w:val="ListParagraph"/>
        <w:spacing w:line="360" w:lineRule="auto"/>
        <w:ind w:left="360"/>
        <w:jc w:val="center"/>
        <w:rPr>
          <w:rFonts w:ascii="Times New Roman" w:hAnsi="Times New Roman" w:cs="Times New Roman"/>
          <w:b/>
          <w:bCs/>
          <w:sz w:val="28"/>
          <w:szCs w:val="28"/>
        </w:rPr>
      </w:pPr>
    </w:p>
    <w:p w14:paraId="435980E9" w14:textId="6EFCE28B" w:rsidR="0037616C" w:rsidRDefault="00735279" w:rsidP="00735279">
      <w:pPr>
        <w:pStyle w:val="ListParagraph"/>
        <w:spacing w:line="360" w:lineRule="auto"/>
        <w:ind w:left="360"/>
        <w:rPr>
          <w:rFonts w:ascii="Times New Roman" w:hAnsi="Times New Roman" w:cs="Times New Roman"/>
          <w:sz w:val="24"/>
          <w:szCs w:val="24"/>
        </w:rPr>
      </w:pPr>
      <w:r w:rsidRPr="00A56C42">
        <w:rPr>
          <w:rFonts w:ascii="Times New Roman" w:hAnsi="Times New Roman" w:cs="Times New Roman"/>
          <w:b/>
          <w:bCs/>
          <w:sz w:val="24"/>
          <w:szCs w:val="24"/>
        </w:rPr>
        <w:t>Keywords</w:t>
      </w:r>
      <w:r w:rsidR="00DA72F5" w:rsidRPr="00A56C42">
        <w:rPr>
          <w:rFonts w:ascii="Times New Roman" w:hAnsi="Times New Roman" w:cs="Times New Roman"/>
          <w:b/>
          <w:bCs/>
          <w:sz w:val="24"/>
          <w:szCs w:val="24"/>
        </w:rPr>
        <w:t>:</w:t>
      </w:r>
      <w:r w:rsidR="00DA72F5" w:rsidRPr="00DA72F5">
        <w:rPr>
          <w:rFonts w:ascii="Times New Roman" w:hAnsi="Times New Roman" w:cs="Times New Roman"/>
          <w:sz w:val="24"/>
          <w:szCs w:val="24"/>
        </w:rPr>
        <w:t xml:space="preserve"> </w:t>
      </w:r>
      <w:r w:rsidR="00215EF8">
        <w:rPr>
          <w:rFonts w:ascii="Times New Roman" w:hAnsi="Times New Roman" w:cs="Times New Roman"/>
          <w:sz w:val="24"/>
          <w:szCs w:val="24"/>
        </w:rPr>
        <w:t>spillovers,</w:t>
      </w:r>
      <w:r w:rsidR="001D1888">
        <w:rPr>
          <w:rFonts w:ascii="Times New Roman" w:hAnsi="Times New Roman" w:cs="Times New Roman"/>
          <w:sz w:val="24"/>
          <w:szCs w:val="24"/>
        </w:rPr>
        <w:t xml:space="preserve"> stablecoins,</w:t>
      </w:r>
      <w:r w:rsidR="00215EF8">
        <w:rPr>
          <w:rFonts w:ascii="Times New Roman" w:hAnsi="Times New Roman" w:cs="Times New Roman"/>
          <w:sz w:val="24"/>
          <w:szCs w:val="24"/>
        </w:rPr>
        <w:t xml:space="preserve"> </w:t>
      </w:r>
      <w:r w:rsidR="002032EA">
        <w:rPr>
          <w:rFonts w:ascii="Times New Roman" w:hAnsi="Times New Roman" w:cs="Times New Roman"/>
          <w:sz w:val="24"/>
          <w:szCs w:val="24"/>
        </w:rPr>
        <w:t xml:space="preserve">Islamic cryptocurrencies, </w:t>
      </w:r>
      <w:r w:rsidR="001C19C2" w:rsidRPr="00C27C6F">
        <w:rPr>
          <w:rFonts w:ascii="Times New Roman" w:hAnsi="Times New Roman" w:cs="Times New Roman"/>
          <w:color w:val="2E74B5" w:themeColor="accent5" w:themeShade="BF"/>
          <w:sz w:val="24"/>
          <w:szCs w:val="24"/>
        </w:rPr>
        <w:t>gold-backed cryptocurrencies</w:t>
      </w:r>
      <w:r w:rsidR="001C19C2">
        <w:rPr>
          <w:rFonts w:ascii="Times New Roman" w:hAnsi="Times New Roman" w:cs="Times New Roman"/>
          <w:sz w:val="24"/>
          <w:szCs w:val="24"/>
        </w:rPr>
        <w:t xml:space="preserve">, </w:t>
      </w:r>
      <w:r w:rsidR="002032EA">
        <w:rPr>
          <w:rFonts w:ascii="Times New Roman" w:hAnsi="Times New Roman" w:cs="Times New Roman"/>
          <w:sz w:val="24"/>
          <w:szCs w:val="24"/>
        </w:rPr>
        <w:t xml:space="preserve">Islamic equity sectors, </w:t>
      </w:r>
      <w:r w:rsidR="00374A72">
        <w:rPr>
          <w:rFonts w:ascii="Times New Roman" w:hAnsi="Times New Roman" w:cs="Times New Roman"/>
          <w:sz w:val="24"/>
          <w:szCs w:val="24"/>
        </w:rPr>
        <w:t>COVID-19, hedging effectiveness</w:t>
      </w:r>
    </w:p>
    <w:p w14:paraId="11692CC4" w14:textId="06E8A220" w:rsidR="0037616C" w:rsidRDefault="00374A72" w:rsidP="0045640E">
      <w:pPr>
        <w:pStyle w:val="ListParagraph"/>
        <w:spacing w:line="360" w:lineRule="auto"/>
        <w:ind w:left="360"/>
        <w:rPr>
          <w:rFonts w:ascii="Times New Roman" w:hAnsi="Times New Roman" w:cs="Times New Roman"/>
          <w:sz w:val="24"/>
          <w:szCs w:val="24"/>
        </w:rPr>
      </w:pPr>
      <w:r w:rsidRPr="00A56C42">
        <w:rPr>
          <w:rFonts w:ascii="Times New Roman" w:hAnsi="Times New Roman" w:cs="Times New Roman"/>
          <w:b/>
          <w:bCs/>
          <w:sz w:val="24"/>
          <w:szCs w:val="24"/>
        </w:rPr>
        <w:t>JEL code</w:t>
      </w:r>
      <w:r>
        <w:rPr>
          <w:rFonts w:ascii="Times New Roman" w:hAnsi="Times New Roman" w:cs="Times New Roman"/>
          <w:sz w:val="24"/>
          <w:szCs w:val="24"/>
        </w:rPr>
        <w:t xml:space="preserve">: </w:t>
      </w:r>
      <w:r w:rsidR="00EF1BFB">
        <w:rPr>
          <w:rFonts w:ascii="Times New Roman" w:hAnsi="Times New Roman" w:cs="Times New Roman"/>
          <w:sz w:val="24"/>
          <w:szCs w:val="24"/>
        </w:rPr>
        <w:t xml:space="preserve">C58, </w:t>
      </w:r>
      <w:r w:rsidR="008A2C29">
        <w:rPr>
          <w:rFonts w:ascii="Times New Roman" w:hAnsi="Times New Roman" w:cs="Times New Roman"/>
          <w:sz w:val="24"/>
          <w:szCs w:val="24"/>
        </w:rPr>
        <w:t xml:space="preserve">F39, </w:t>
      </w:r>
      <w:r w:rsidR="00120BEF">
        <w:rPr>
          <w:rFonts w:ascii="Times New Roman" w:hAnsi="Times New Roman" w:cs="Times New Roman"/>
          <w:sz w:val="24"/>
          <w:szCs w:val="24"/>
        </w:rPr>
        <w:t>G11</w:t>
      </w:r>
      <w:r w:rsidR="00F0111E">
        <w:rPr>
          <w:rFonts w:ascii="Times New Roman" w:hAnsi="Times New Roman" w:cs="Times New Roman"/>
          <w:sz w:val="24"/>
          <w:szCs w:val="24"/>
        </w:rPr>
        <w:t>, G15</w:t>
      </w:r>
      <w:r w:rsidR="008A2C29">
        <w:rPr>
          <w:rFonts w:ascii="Times New Roman" w:hAnsi="Times New Roman" w:cs="Times New Roman"/>
          <w:sz w:val="24"/>
          <w:szCs w:val="24"/>
        </w:rPr>
        <w:t>.</w:t>
      </w:r>
    </w:p>
    <w:p w14:paraId="4ACE8119" w14:textId="0A6D3D22" w:rsidR="00DC7BD6" w:rsidRDefault="00DC7BD6" w:rsidP="00781106">
      <w:pPr>
        <w:spacing w:line="360" w:lineRule="auto"/>
        <w:rPr>
          <w:rFonts w:ascii="Times New Roman" w:hAnsi="Times New Roman" w:cs="Times New Roman"/>
          <w:b/>
          <w:bCs/>
          <w:sz w:val="28"/>
          <w:szCs w:val="28"/>
        </w:rPr>
      </w:pPr>
    </w:p>
    <w:p w14:paraId="1BCF0277" w14:textId="6F9E6326" w:rsidR="002D7D2F" w:rsidRDefault="002D7D2F" w:rsidP="00781106">
      <w:pPr>
        <w:spacing w:line="360" w:lineRule="auto"/>
        <w:rPr>
          <w:rFonts w:ascii="Times New Roman" w:hAnsi="Times New Roman" w:cs="Times New Roman"/>
          <w:b/>
          <w:bCs/>
          <w:sz w:val="28"/>
          <w:szCs w:val="28"/>
        </w:rPr>
      </w:pPr>
    </w:p>
    <w:p w14:paraId="2A4E936E" w14:textId="237AA8B9" w:rsidR="002D7D2F" w:rsidRDefault="002D7D2F" w:rsidP="00781106">
      <w:pPr>
        <w:spacing w:line="360" w:lineRule="auto"/>
        <w:rPr>
          <w:rFonts w:ascii="Times New Roman" w:hAnsi="Times New Roman" w:cs="Times New Roman"/>
          <w:b/>
          <w:bCs/>
          <w:sz w:val="28"/>
          <w:szCs w:val="28"/>
        </w:rPr>
      </w:pPr>
    </w:p>
    <w:p w14:paraId="33A778CE" w14:textId="3AD24822" w:rsidR="002D7D2F" w:rsidRDefault="002D7D2F" w:rsidP="00781106">
      <w:pPr>
        <w:spacing w:line="360" w:lineRule="auto"/>
        <w:rPr>
          <w:rFonts w:ascii="Times New Roman" w:hAnsi="Times New Roman" w:cs="Times New Roman"/>
          <w:b/>
          <w:bCs/>
          <w:sz w:val="28"/>
          <w:szCs w:val="28"/>
        </w:rPr>
      </w:pPr>
    </w:p>
    <w:p w14:paraId="30261D44" w14:textId="413D762C" w:rsidR="002D7D2F" w:rsidRDefault="002D7D2F" w:rsidP="00781106">
      <w:pPr>
        <w:spacing w:line="360" w:lineRule="auto"/>
        <w:rPr>
          <w:rFonts w:ascii="Times New Roman" w:hAnsi="Times New Roman" w:cs="Times New Roman"/>
          <w:b/>
          <w:bCs/>
          <w:sz w:val="28"/>
          <w:szCs w:val="28"/>
        </w:rPr>
      </w:pPr>
    </w:p>
    <w:p w14:paraId="6DEB3FDC" w14:textId="77777777" w:rsidR="002D7D2F" w:rsidRPr="00781106" w:rsidRDefault="002D7D2F" w:rsidP="00781106">
      <w:pPr>
        <w:spacing w:line="360" w:lineRule="auto"/>
        <w:rPr>
          <w:rFonts w:ascii="Times New Roman" w:hAnsi="Times New Roman" w:cs="Times New Roman"/>
          <w:b/>
          <w:bCs/>
          <w:sz w:val="28"/>
          <w:szCs w:val="28"/>
        </w:rPr>
      </w:pPr>
    </w:p>
    <w:p w14:paraId="40787A8F" w14:textId="59B3F938" w:rsidR="00EF3A86" w:rsidRDefault="00F171DE" w:rsidP="00EF3A86">
      <w:pPr>
        <w:pStyle w:val="ListParagraph"/>
        <w:numPr>
          <w:ilvl w:val="0"/>
          <w:numId w:val="1"/>
        </w:numPr>
        <w:spacing w:line="360" w:lineRule="auto"/>
        <w:jc w:val="both"/>
        <w:rPr>
          <w:rFonts w:ascii="Times New Roman" w:hAnsi="Times New Roman" w:cs="Times New Roman"/>
          <w:b/>
          <w:bCs/>
          <w:sz w:val="28"/>
          <w:szCs w:val="28"/>
        </w:rPr>
      </w:pPr>
      <w:r w:rsidRPr="003C7F12">
        <w:rPr>
          <w:rFonts w:ascii="Times New Roman" w:hAnsi="Times New Roman" w:cs="Times New Roman"/>
          <w:b/>
          <w:bCs/>
          <w:sz w:val="28"/>
          <w:szCs w:val="28"/>
        </w:rPr>
        <w:lastRenderedPageBreak/>
        <w:t>Introductio</w:t>
      </w:r>
      <w:r w:rsidR="00EF3A86">
        <w:rPr>
          <w:rFonts w:ascii="Times New Roman" w:hAnsi="Times New Roman" w:cs="Times New Roman"/>
          <w:b/>
          <w:bCs/>
          <w:sz w:val="28"/>
          <w:szCs w:val="28"/>
        </w:rPr>
        <w:t>n</w:t>
      </w:r>
    </w:p>
    <w:p w14:paraId="5C93EFFC" w14:textId="6FF2A410" w:rsidR="009408EB" w:rsidRDefault="00281137" w:rsidP="005532E1">
      <w:pPr>
        <w:spacing w:line="360" w:lineRule="auto"/>
        <w:jc w:val="both"/>
        <w:rPr>
          <w:rFonts w:ascii="Times New Roman" w:hAnsi="Times New Roman" w:cs="Times New Roman"/>
          <w:sz w:val="24"/>
          <w:szCs w:val="24"/>
        </w:rPr>
      </w:pPr>
      <w:r w:rsidRPr="004709FD">
        <w:rPr>
          <w:rFonts w:ascii="Times New Roman" w:hAnsi="Times New Roman" w:cs="Times New Roman"/>
          <w:sz w:val="24"/>
          <w:szCs w:val="24"/>
        </w:rPr>
        <w:t>In presence of the</w:t>
      </w:r>
      <w:r w:rsidR="00927615">
        <w:rPr>
          <w:rFonts w:ascii="Times New Roman" w:hAnsi="Times New Roman" w:cs="Times New Roman"/>
          <w:sz w:val="24"/>
          <w:szCs w:val="24"/>
        </w:rPr>
        <w:t xml:space="preserve"> </w:t>
      </w:r>
      <w:r w:rsidR="00564B97">
        <w:rPr>
          <w:rFonts w:ascii="Times New Roman" w:hAnsi="Times New Roman" w:cs="Times New Roman"/>
          <w:sz w:val="24"/>
          <w:szCs w:val="24"/>
        </w:rPr>
        <w:t>high</w:t>
      </w:r>
      <w:r w:rsidR="00D5342F" w:rsidRPr="004709FD">
        <w:rPr>
          <w:rFonts w:ascii="Times New Roman" w:hAnsi="Times New Roman" w:cs="Times New Roman"/>
          <w:sz w:val="24"/>
          <w:szCs w:val="24"/>
        </w:rPr>
        <w:t xml:space="preserve"> uncertainty</w:t>
      </w:r>
      <w:r w:rsidR="00564B97">
        <w:rPr>
          <w:rFonts w:ascii="Times New Roman" w:hAnsi="Times New Roman" w:cs="Times New Roman"/>
          <w:sz w:val="24"/>
          <w:szCs w:val="24"/>
        </w:rPr>
        <w:t xml:space="preserve"> amplified by the COVID-19 pandemic</w:t>
      </w:r>
      <w:r w:rsidR="00D5342F" w:rsidRPr="004709FD">
        <w:rPr>
          <w:rFonts w:ascii="Times New Roman" w:hAnsi="Times New Roman" w:cs="Times New Roman"/>
          <w:sz w:val="24"/>
          <w:szCs w:val="24"/>
        </w:rPr>
        <w:t xml:space="preserve">, </w:t>
      </w:r>
      <w:r w:rsidR="00564B97">
        <w:rPr>
          <w:rFonts w:ascii="Times New Roman" w:hAnsi="Times New Roman" w:cs="Times New Roman"/>
          <w:sz w:val="24"/>
          <w:szCs w:val="24"/>
        </w:rPr>
        <w:t xml:space="preserve">investors are in search of new investment opportunities that can offer higher hedging effectiveness for their diversified portfolios. Islamic financial markets have been previously considered as a </w:t>
      </w:r>
      <w:proofErr w:type="gramStart"/>
      <w:r w:rsidR="00564B97">
        <w:rPr>
          <w:rFonts w:ascii="Times New Roman" w:hAnsi="Times New Roman" w:cs="Times New Roman"/>
          <w:sz w:val="24"/>
          <w:szCs w:val="24"/>
        </w:rPr>
        <w:t>safe haven assets</w:t>
      </w:r>
      <w:proofErr w:type="gramEnd"/>
      <w:r w:rsidR="00564B97">
        <w:rPr>
          <w:rFonts w:ascii="Times New Roman" w:hAnsi="Times New Roman" w:cs="Times New Roman"/>
          <w:sz w:val="24"/>
          <w:szCs w:val="24"/>
        </w:rPr>
        <w:t>, since they were decoupled from traditional financial markets during past crises</w:t>
      </w:r>
      <w:r w:rsidR="00416CC3">
        <w:rPr>
          <w:rFonts w:ascii="Times New Roman" w:hAnsi="Times New Roman" w:cs="Times New Roman"/>
          <w:sz w:val="24"/>
          <w:szCs w:val="24"/>
        </w:rPr>
        <w:t xml:space="preserve"> </w:t>
      </w:r>
      <w:r w:rsidR="00416CC3" w:rsidRPr="00416CC3">
        <w:rPr>
          <w:rFonts w:ascii="Times New Roman" w:hAnsi="Times New Roman" w:cs="Times New Roman"/>
          <w:color w:val="0070C0"/>
          <w:sz w:val="24"/>
          <w:szCs w:val="24"/>
        </w:rPr>
        <w:t>(Al-</w:t>
      </w:r>
      <w:proofErr w:type="spellStart"/>
      <w:r w:rsidR="00416CC3" w:rsidRPr="00416CC3">
        <w:rPr>
          <w:rFonts w:ascii="Times New Roman" w:hAnsi="Times New Roman" w:cs="Times New Roman"/>
          <w:color w:val="0070C0"/>
          <w:sz w:val="24"/>
          <w:szCs w:val="24"/>
        </w:rPr>
        <w:t>Yahyaee</w:t>
      </w:r>
      <w:proofErr w:type="spellEnd"/>
      <w:r w:rsidR="00416CC3" w:rsidRPr="00416CC3">
        <w:rPr>
          <w:rFonts w:ascii="Times New Roman" w:hAnsi="Times New Roman" w:cs="Times New Roman"/>
          <w:color w:val="0070C0"/>
          <w:sz w:val="24"/>
          <w:szCs w:val="24"/>
        </w:rPr>
        <w:t xml:space="preserve"> et al., 2020)</w:t>
      </w:r>
      <w:r w:rsidR="00564B97">
        <w:rPr>
          <w:rFonts w:ascii="Times New Roman" w:hAnsi="Times New Roman" w:cs="Times New Roman"/>
          <w:sz w:val="24"/>
          <w:szCs w:val="24"/>
        </w:rPr>
        <w:t xml:space="preserve">, </w:t>
      </w:r>
      <w:r w:rsidR="00C27C6F" w:rsidRPr="00C27C6F">
        <w:rPr>
          <w:rFonts w:ascii="Times New Roman" w:hAnsi="Times New Roman" w:cs="Times New Roman"/>
          <w:color w:val="2E74B5" w:themeColor="accent5" w:themeShade="BF"/>
          <w:sz w:val="24"/>
          <w:szCs w:val="24"/>
        </w:rPr>
        <w:t xml:space="preserve">however, </w:t>
      </w:r>
      <w:r w:rsidR="00564B97">
        <w:rPr>
          <w:rFonts w:ascii="Times New Roman" w:hAnsi="Times New Roman" w:cs="Times New Roman"/>
          <w:sz w:val="24"/>
          <w:szCs w:val="24"/>
        </w:rPr>
        <w:t>the COVID-19 pandemic and social isolation negatively affected both Islamic and conventional markets (</w:t>
      </w:r>
      <w:r w:rsidR="000F7FC1">
        <w:rPr>
          <w:rFonts w:ascii="Times New Roman" w:hAnsi="Times New Roman" w:cs="Times New Roman"/>
          <w:sz w:val="24"/>
          <w:szCs w:val="24"/>
        </w:rPr>
        <w:t xml:space="preserve">e.g., </w:t>
      </w:r>
      <w:proofErr w:type="spellStart"/>
      <w:r w:rsidR="009408EB">
        <w:rPr>
          <w:rFonts w:ascii="Times New Roman" w:hAnsi="Times New Roman" w:cs="Times New Roman"/>
          <w:sz w:val="24"/>
          <w:szCs w:val="24"/>
        </w:rPr>
        <w:t>Sherif</w:t>
      </w:r>
      <w:proofErr w:type="spellEnd"/>
      <w:r w:rsidR="009408EB">
        <w:rPr>
          <w:rFonts w:ascii="Times New Roman" w:hAnsi="Times New Roman" w:cs="Times New Roman"/>
          <w:sz w:val="24"/>
          <w:szCs w:val="24"/>
        </w:rPr>
        <w:t xml:space="preserve">, 2020; </w:t>
      </w:r>
      <w:r w:rsidR="009408EB" w:rsidRPr="009408EB">
        <w:rPr>
          <w:rFonts w:ascii="Times New Roman" w:hAnsi="Times New Roman" w:cs="Times New Roman"/>
          <w:sz w:val="24"/>
          <w:szCs w:val="24"/>
        </w:rPr>
        <w:t xml:space="preserve">Chowdhury </w:t>
      </w:r>
      <w:r w:rsidR="009408EB">
        <w:rPr>
          <w:rFonts w:ascii="Times New Roman" w:hAnsi="Times New Roman" w:cs="Times New Roman"/>
          <w:sz w:val="24"/>
          <w:szCs w:val="24"/>
        </w:rPr>
        <w:t xml:space="preserve">et al., 2021; </w:t>
      </w:r>
      <w:r w:rsidR="00FF7CAF" w:rsidRPr="00FF7CAF">
        <w:rPr>
          <w:rFonts w:ascii="Times New Roman" w:hAnsi="Times New Roman" w:cs="Times New Roman"/>
          <w:sz w:val="24"/>
          <w:szCs w:val="24"/>
        </w:rPr>
        <w:t xml:space="preserve">Yarovaya </w:t>
      </w:r>
      <w:r w:rsidR="00FF7CAF">
        <w:rPr>
          <w:rFonts w:ascii="Times New Roman" w:hAnsi="Times New Roman" w:cs="Times New Roman"/>
          <w:sz w:val="24"/>
          <w:szCs w:val="24"/>
        </w:rPr>
        <w:t>et al., 2021</w:t>
      </w:r>
      <w:r w:rsidR="00AE345F">
        <w:rPr>
          <w:rFonts w:ascii="Times New Roman" w:hAnsi="Times New Roman" w:cs="Times New Roman"/>
          <w:sz w:val="24"/>
          <w:szCs w:val="24"/>
        </w:rPr>
        <w:t>a</w:t>
      </w:r>
      <w:r w:rsidR="00FF7CAF">
        <w:rPr>
          <w:rFonts w:ascii="Times New Roman" w:hAnsi="Times New Roman" w:cs="Times New Roman"/>
          <w:sz w:val="24"/>
          <w:szCs w:val="24"/>
        </w:rPr>
        <w:t xml:space="preserve">; </w:t>
      </w:r>
      <w:proofErr w:type="spellStart"/>
      <w:r w:rsidR="009408EB">
        <w:rPr>
          <w:rFonts w:ascii="Times New Roman" w:hAnsi="Times New Roman" w:cs="Times New Roman"/>
          <w:sz w:val="24"/>
          <w:szCs w:val="24"/>
        </w:rPr>
        <w:t>Bugan</w:t>
      </w:r>
      <w:proofErr w:type="spellEnd"/>
      <w:r w:rsidR="009408EB">
        <w:rPr>
          <w:rFonts w:ascii="Times New Roman" w:hAnsi="Times New Roman" w:cs="Times New Roman"/>
          <w:sz w:val="24"/>
          <w:szCs w:val="24"/>
        </w:rPr>
        <w:t xml:space="preserve"> et al., 2021</w:t>
      </w:r>
      <w:r w:rsidR="000E2A34">
        <w:rPr>
          <w:rFonts w:ascii="Times New Roman" w:hAnsi="Times New Roman" w:cs="Times New Roman"/>
          <w:sz w:val="24"/>
          <w:szCs w:val="24"/>
        </w:rPr>
        <w:t xml:space="preserve">; </w:t>
      </w:r>
      <w:r w:rsidR="006D7760" w:rsidRPr="00943B04">
        <w:rPr>
          <w:rFonts w:ascii="Times New Roman" w:hAnsi="Times New Roman" w:cs="Times New Roman"/>
          <w:color w:val="0070C0"/>
          <w:sz w:val="24"/>
          <w:szCs w:val="24"/>
        </w:rPr>
        <w:t xml:space="preserve">Hung and Vo, 2021; </w:t>
      </w:r>
      <w:r w:rsidR="000E2A34">
        <w:rPr>
          <w:rFonts w:ascii="Times New Roman" w:hAnsi="Times New Roman" w:cs="Times New Roman"/>
          <w:sz w:val="24"/>
          <w:szCs w:val="24"/>
        </w:rPr>
        <w:t>Hasan et al., 2021</w:t>
      </w:r>
      <w:r w:rsidR="00564B97">
        <w:rPr>
          <w:rFonts w:ascii="Times New Roman" w:hAnsi="Times New Roman" w:cs="Times New Roman"/>
          <w:sz w:val="24"/>
          <w:szCs w:val="24"/>
        </w:rPr>
        <w:t xml:space="preserve">). Thus, </w:t>
      </w:r>
      <w:r w:rsidR="00A329F1">
        <w:rPr>
          <w:rFonts w:ascii="Times New Roman" w:hAnsi="Times New Roman" w:cs="Times New Roman"/>
          <w:sz w:val="24"/>
          <w:szCs w:val="24"/>
        </w:rPr>
        <w:t xml:space="preserve">Islamic portfolio </w:t>
      </w:r>
      <w:r w:rsidR="00D5342F" w:rsidRPr="004709FD">
        <w:rPr>
          <w:rFonts w:ascii="Times New Roman" w:hAnsi="Times New Roman" w:cs="Times New Roman"/>
          <w:sz w:val="24"/>
          <w:szCs w:val="24"/>
        </w:rPr>
        <w:t>investors</w:t>
      </w:r>
      <w:r w:rsidR="0046453B">
        <w:rPr>
          <w:rFonts w:ascii="Times New Roman" w:hAnsi="Times New Roman" w:cs="Times New Roman"/>
          <w:sz w:val="24"/>
          <w:szCs w:val="24"/>
        </w:rPr>
        <w:t xml:space="preserve"> and managers</w:t>
      </w:r>
      <w:r w:rsidR="00D5342F" w:rsidRPr="004709FD">
        <w:rPr>
          <w:rFonts w:ascii="Times New Roman" w:hAnsi="Times New Roman" w:cs="Times New Roman"/>
          <w:sz w:val="24"/>
          <w:szCs w:val="24"/>
        </w:rPr>
        <w:t xml:space="preserve"> need to</w:t>
      </w:r>
      <w:r w:rsidR="007D4D81" w:rsidRPr="004709FD">
        <w:rPr>
          <w:rFonts w:ascii="Times New Roman" w:hAnsi="Times New Roman" w:cs="Times New Roman"/>
          <w:sz w:val="24"/>
          <w:szCs w:val="24"/>
        </w:rPr>
        <w:t xml:space="preserve"> </w:t>
      </w:r>
      <w:r w:rsidR="00D5342F" w:rsidRPr="004709FD">
        <w:rPr>
          <w:rFonts w:ascii="Times New Roman" w:hAnsi="Times New Roman" w:cs="Times New Roman"/>
          <w:sz w:val="24"/>
          <w:szCs w:val="24"/>
        </w:rPr>
        <w:t xml:space="preserve">adjust their portfolio allocation by adding </w:t>
      </w:r>
      <w:r w:rsidR="001B79A4">
        <w:rPr>
          <w:rFonts w:ascii="Times New Roman" w:hAnsi="Times New Roman" w:cs="Times New Roman"/>
          <w:sz w:val="24"/>
          <w:szCs w:val="24"/>
        </w:rPr>
        <w:t xml:space="preserve">other </w:t>
      </w:r>
      <w:r w:rsidR="0046453B">
        <w:rPr>
          <w:rFonts w:ascii="Times New Roman" w:hAnsi="Times New Roman" w:cs="Times New Roman"/>
          <w:sz w:val="24"/>
          <w:szCs w:val="24"/>
        </w:rPr>
        <w:t>Sharia</w:t>
      </w:r>
      <w:r w:rsidR="00382306">
        <w:rPr>
          <w:rFonts w:ascii="Times New Roman" w:hAnsi="Times New Roman" w:cs="Times New Roman"/>
          <w:sz w:val="24"/>
          <w:szCs w:val="24"/>
        </w:rPr>
        <w:t>-</w:t>
      </w:r>
      <w:r w:rsidR="0046453B">
        <w:rPr>
          <w:rFonts w:ascii="Times New Roman" w:hAnsi="Times New Roman" w:cs="Times New Roman"/>
          <w:sz w:val="24"/>
          <w:szCs w:val="24"/>
        </w:rPr>
        <w:t xml:space="preserve">compliant </w:t>
      </w:r>
      <w:r w:rsidR="00145EB3" w:rsidRPr="004709FD">
        <w:rPr>
          <w:rFonts w:ascii="Times New Roman" w:hAnsi="Times New Roman" w:cs="Times New Roman"/>
          <w:sz w:val="24"/>
          <w:szCs w:val="24"/>
        </w:rPr>
        <w:t xml:space="preserve">safe-haven </w:t>
      </w:r>
      <w:r w:rsidR="00C27C6F" w:rsidRPr="00C27C6F">
        <w:rPr>
          <w:rFonts w:ascii="Times New Roman" w:hAnsi="Times New Roman" w:cs="Times New Roman"/>
          <w:color w:val="2E74B5" w:themeColor="accent5" w:themeShade="BF"/>
          <w:sz w:val="24"/>
          <w:szCs w:val="24"/>
        </w:rPr>
        <w:t>assets</w:t>
      </w:r>
      <w:r w:rsidR="00C27C6F">
        <w:rPr>
          <w:rFonts w:ascii="Times New Roman" w:hAnsi="Times New Roman" w:cs="Times New Roman"/>
          <w:sz w:val="24"/>
          <w:szCs w:val="24"/>
        </w:rPr>
        <w:t xml:space="preserve"> </w:t>
      </w:r>
      <w:r w:rsidR="00145EB3" w:rsidRPr="004709FD">
        <w:rPr>
          <w:rFonts w:ascii="Times New Roman" w:hAnsi="Times New Roman" w:cs="Times New Roman"/>
          <w:sz w:val="24"/>
          <w:szCs w:val="24"/>
        </w:rPr>
        <w:t xml:space="preserve">and </w:t>
      </w:r>
      <w:r w:rsidR="007D4D81" w:rsidRPr="004709FD">
        <w:rPr>
          <w:rFonts w:ascii="Times New Roman" w:hAnsi="Times New Roman" w:cs="Times New Roman"/>
          <w:sz w:val="24"/>
          <w:szCs w:val="24"/>
        </w:rPr>
        <w:t>portfolio diversifier</w:t>
      </w:r>
      <w:r w:rsidR="00C27C6F" w:rsidRPr="00C27C6F">
        <w:rPr>
          <w:rFonts w:ascii="Times New Roman" w:hAnsi="Times New Roman" w:cs="Times New Roman"/>
          <w:color w:val="2E74B5" w:themeColor="accent5" w:themeShade="BF"/>
          <w:sz w:val="24"/>
          <w:szCs w:val="24"/>
        </w:rPr>
        <w:t>s</w:t>
      </w:r>
      <w:r w:rsidR="00145EB3" w:rsidRPr="004709FD">
        <w:rPr>
          <w:rFonts w:ascii="Times New Roman" w:hAnsi="Times New Roman" w:cs="Times New Roman"/>
          <w:sz w:val="24"/>
          <w:szCs w:val="24"/>
        </w:rPr>
        <w:t>.</w:t>
      </w:r>
      <w:r w:rsidR="00107161">
        <w:rPr>
          <w:rFonts w:ascii="Times New Roman" w:hAnsi="Times New Roman" w:cs="Times New Roman"/>
          <w:sz w:val="24"/>
          <w:szCs w:val="24"/>
        </w:rPr>
        <w:t xml:space="preserve"> </w:t>
      </w:r>
      <w:r w:rsidR="00564B97">
        <w:rPr>
          <w:rFonts w:ascii="Times New Roman" w:hAnsi="Times New Roman" w:cs="Times New Roman"/>
          <w:sz w:val="24"/>
          <w:szCs w:val="24"/>
        </w:rPr>
        <w:t>The most recent innovations in finance, cryptocurrencies, beca</w:t>
      </w:r>
      <w:r w:rsidR="009B6386">
        <w:rPr>
          <w:rFonts w:ascii="Times New Roman" w:hAnsi="Times New Roman" w:cs="Times New Roman"/>
          <w:sz w:val="24"/>
          <w:szCs w:val="24"/>
        </w:rPr>
        <w:t>m</w:t>
      </w:r>
      <w:r w:rsidR="00564B97">
        <w:rPr>
          <w:rFonts w:ascii="Times New Roman" w:hAnsi="Times New Roman" w:cs="Times New Roman"/>
          <w:sz w:val="24"/>
          <w:szCs w:val="24"/>
        </w:rPr>
        <w:t>e a popular choice of portfolio managers during the COVID-19 crisis (</w:t>
      </w:r>
      <w:r w:rsidR="000F7FC1">
        <w:rPr>
          <w:rFonts w:ascii="Times New Roman" w:hAnsi="Times New Roman" w:cs="Times New Roman"/>
          <w:sz w:val="24"/>
          <w:szCs w:val="24"/>
        </w:rPr>
        <w:t xml:space="preserve">e.g., </w:t>
      </w:r>
      <w:r w:rsidR="00CE6014">
        <w:rPr>
          <w:rFonts w:ascii="Times New Roman" w:hAnsi="Times New Roman" w:cs="Times New Roman"/>
          <w:sz w:val="24"/>
          <w:szCs w:val="24"/>
        </w:rPr>
        <w:t>Corbet et al., 2020</w:t>
      </w:r>
      <w:r w:rsidR="004102EF">
        <w:rPr>
          <w:rFonts w:ascii="Times New Roman" w:hAnsi="Times New Roman" w:cs="Times New Roman"/>
          <w:sz w:val="24"/>
          <w:szCs w:val="24"/>
        </w:rPr>
        <w:t>a</w:t>
      </w:r>
      <w:r w:rsidR="00CE6014">
        <w:rPr>
          <w:rFonts w:ascii="Times New Roman" w:hAnsi="Times New Roman" w:cs="Times New Roman"/>
          <w:sz w:val="24"/>
          <w:szCs w:val="24"/>
        </w:rPr>
        <w:t>; Col</w:t>
      </w:r>
      <w:r w:rsidR="00552D92" w:rsidRPr="00552D92">
        <w:rPr>
          <w:rFonts w:ascii="Times New Roman" w:hAnsi="Times New Roman" w:cs="Times New Roman"/>
          <w:sz w:val="24"/>
          <w:szCs w:val="24"/>
          <w:shd w:val="clear" w:color="auto" w:fill="FFFFFF"/>
        </w:rPr>
        <w:t xml:space="preserve"> </w:t>
      </w:r>
      <w:r w:rsidR="00552D92" w:rsidRPr="00552D92">
        <w:rPr>
          <w:rFonts w:ascii="Times New Roman" w:hAnsi="Times New Roman" w:cs="Times New Roman"/>
          <w:color w:val="0070C0"/>
          <w:sz w:val="24"/>
          <w:szCs w:val="24"/>
        </w:rPr>
        <w:t xml:space="preserve">Conlon </w:t>
      </w:r>
      <w:r w:rsidR="00CE6014" w:rsidRPr="00552D92">
        <w:rPr>
          <w:rFonts w:ascii="Times New Roman" w:hAnsi="Times New Roman" w:cs="Times New Roman"/>
          <w:color w:val="0070C0"/>
          <w:sz w:val="24"/>
          <w:szCs w:val="24"/>
        </w:rPr>
        <w:t>et al., 2020</w:t>
      </w:r>
      <w:r w:rsidR="00CE6014">
        <w:rPr>
          <w:rFonts w:ascii="Times New Roman" w:hAnsi="Times New Roman" w:cs="Times New Roman"/>
          <w:sz w:val="24"/>
          <w:szCs w:val="24"/>
        </w:rPr>
        <w:t xml:space="preserve">; </w:t>
      </w:r>
      <w:r w:rsidR="00CE6014" w:rsidRPr="00CE6014">
        <w:rPr>
          <w:rFonts w:ascii="Times New Roman" w:hAnsi="Times New Roman" w:cs="Times New Roman"/>
          <w:sz w:val="24"/>
          <w:szCs w:val="24"/>
        </w:rPr>
        <w:t xml:space="preserve">Goodell </w:t>
      </w:r>
      <w:r w:rsidR="00CE6014">
        <w:rPr>
          <w:rFonts w:ascii="Times New Roman" w:hAnsi="Times New Roman" w:cs="Times New Roman"/>
          <w:sz w:val="24"/>
          <w:szCs w:val="24"/>
        </w:rPr>
        <w:t xml:space="preserve">and Goutte, 2021; Iqbal et al., 2021; </w:t>
      </w:r>
      <w:r w:rsidR="00CE6014" w:rsidRPr="00CE6014">
        <w:rPr>
          <w:rFonts w:ascii="Times New Roman" w:hAnsi="Times New Roman" w:cs="Times New Roman"/>
          <w:sz w:val="24"/>
          <w:szCs w:val="24"/>
        </w:rPr>
        <w:t>Mariana</w:t>
      </w:r>
      <w:r w:rsidR="00CE6014">
        <w:rPr>
          <w:rFonts w:ascii="Times New Roman" w:hAnsi="Times New Roman" w:cs="Times New Roman"/>
          <w:sz w:val="24"/>
          <w:szCs w:val="24"/>
        </w:rPr>
        <w:t xml:space="preserve"> et al., 2021; </w:t>
      </w:r>
      <w:r w:rsidR="00C93B11">
        <w:rPr>
          <w:rFonts w:ascii="Times New Roman" w:hAnsi="Times New Roman" w:cs="Times New Roman"/>
          <w:sz w:val="24"/>
          <w:szCs w:val="24"/>
        </w:rPr>
        <w:t>Huang et al., 2021</w:t>
      </w:r>
      <w:r w:rsidR="00564B97">
        <w:rPr>
          <w:rFonts w:ascii="Times New Roman" w:hAnsi="Times New Roman" w:cs="Times New Roman"/>
          <w:sz w:val="24"/>
          <w:szCs w:val="24"/>
        </w:rPr>
        <w:t>), however, whether these new assets are Sharia-compliant? In fact, the Islamic gold-backed cryptocurrencies have been recently introduced offering additional diversification potential for Islamic portfolio managers</w:t>
      </w:r>
      <w:r w:rsidR="00235A9C">
        <w:rPr>
          <w:rFonts w:ascii="Times New Roman" w:hAnsi="Times New Roman" w:cs="Times New Roman"/>
          <w:sz w:val="24"/>
          <w:szCs w:val="24"/>
        </w:rPr>
        <w:t xml:space="preserve"> </w:t>
      </w:r>
      <w:r w:rsidR="00235A9C" w:rsidRPr="00661A76">
        <w:rPr>
          <w:rFonts w:ascii="Times New Roman" w:hAnsi="Times New Roman" w:cs="Times New Roman"/>
          <w:color w:val="0070C0"/>
          <w:sz w:val="24"/>
          <w:szCs w:val="24"/>
        </w:rPr>
        <w:t>(</w:t>
      </w:r>
      <w:proofErr w:type="spellStart"/>
      <w:r w:rsidR="00235A9C" w:rsidRPr="00661A76">
        <w:rPr>
          <w:rFonts w:ascii="Times New Roman" w:hAnsi="Times New Roman" w:cs="Times New Roman"/>
          <w:color w:val="0070C0"/>
          <w:sz w:val="24"/>
          <w:szCs w:val="24"/>
        </w:rPr>
        <w:t>Aloui</w:t>
      </w:r>
      <w:proofErr w:type="spellEnd"/>
      <w:r w:rsidR="00235A9C" w:rsidRPr="00661A76">
        <w:rPr>
          <w:rFonts w:ascii="Times New Roman" w:hAnsi="Times New Roman" w:cs="Times New Roman"/>
          <w:color w:val="0070C0"/>
          <w:sz w:val="24"/>
          <w:szCs w:val="24"/>
        </w:rPr>
        <w:t xml:space="preserve"> et al., 2021)</w:t>
      </w:r>
      <w:r w:rsidR="00FE124F">
        <w:rPr>
          <w:rFonts w:ascii="Times New Roman" w:hAnsi="Times New Roman" w:cs="Times New Roman"/>
          <w:color w:val="0070C0"/>
          <w:sz w:val="24"/>
          <w:szCs w:val="24"/>
        </w:rPr>
        <w:t xml:space="preserve">, </w:t>
      </w:r>
      <w:proofErr w:type="gramStart"/>
      <w:r w:rsidR="00FE124F">
        <w:rPr>
          <w:rFonts w:ascii="Times New Roman" w:hAnsi="Times New Roman" w:cs="Times New Roman"/>
          <w:color w:val="0070C0"/>
          <w:sz w:val="24"/>
          <w:szCs w:val="24"/>
        </w:rPr>
        <w:t>i.e.</w:t>
      </w:r>
      <w:proofErr w:type="gramEnd"/>
      <w:r w:rsidR="00FE124F">
        <w:rPr>
          <w:rFonts w:ascii="Times New Roman" w:hAnsi="Times New Roman" w:cs="Times New Roman"/>
          <w:color w:val="0070C0"/>
          <w:sz w:val="24"/>
          <w:szCs w:val="24"/>
        </w:rPr>
        <w:t xml:space="preserve"> their value</w:t>
      </w:r>
      <w:r w:rsidR="00953400">
        <w:rPr>
          <w:rFonts w:ascii="Times New Roman" w:hAnsi="Times New Roman" w:cs="Times New Roman"/>
          <w:color w:val="0070C0"/>
          <w:sz w:val="24"/>
          <w:szCs w:val="24"/>
        </w:rPr>
        <w:t xml:space="preserve"> is p</w:t>
      </w:r>
      <w:r w:rsidR="00FE124F">
        <w:rPr>
          <w:rFonts w:ascii="Times New Roman" w:hAnsi="Times New Roman" w:cs="Times New Roman"/>
          <w:color w:val="0070C0"/>
          <w:sz w:val="24"/>
          <w:szCs w:val="24"/>
        </w:rPr>
        <w:t>egged to gold and</w:t>
      </w:r>
      <w:r w:rsidR="0089004D">
        <w:rPr>
          <w:rFonts w:ascii="Times New Roman" w:hAnsi="Times New Roman" w:cs="Times New Roman"/>
          <w:color w:val="0070C0"/>
          <w:sz w:val="24"/>
          <w:szCs w:val="24"/>
        </w:rPr>
        <w:t xml:space="preserve"> </w:t>
      </w:r>
      <w:r w:rsidR="00953400">
        <w:rPr>
          <w:rFonts w:ascii="Times New Roman" w:hAnsi="Times New Roman" w:cs="Times New Roman"/>
          <w:color w:val="0070C0"/>
          <w:sz w:val="24"/>
          <w:szCs w:val="24"/>
        </w:rPr>
        <w:t xml:space="preserve">these assets seem to be </w:t>
      </w:r>
      <w:r w:rsidR="0089004D">
        <w:rPr>
          <w:rFonts w:ascii="Times New Roman" w:hAnsi="Times New Roman" w:cs="Times New Roman"/>
          <w:color w:val="0070C0"/>
          <w:sz w:val="24"/>
          <w:szCs w:val="24"/>
        </w:rPr>
        <w:t>Sharia complian</w:t>
      </w:r>
      <w:r w:rsidR="00953400">
        <w:rPr>
          <w:rFonts w:ascii="Times New Roman" w:hAnsi="Times New Roman" w:cs="Times New Roman"/>
          <w:color w:val="0070C0"/>
          <w:sz w:val="24"/>
          <w:szCs w:val="24"/>
        </w:rPr>
        <w:t>t</w:t>
      </w:r>
      <w:r w:rsidR="0089004D">
        <w:rPr>
          <w:rFonts w:ascii="Times New Roman" w:hAnsi="Times New Roman" w:cs="Times New Roman"/>
          <w:color w:val="0070C0"/>
          <w:sz w:val="24"/>
          <w:szCs w:val="24"/>
        </w:rPr>
        <w:t xml:space="preserve">. The Sharia compliance </w:t>
      </w:r>
      <w:proofErr w:type="spellStart"/>
      <w:r w:rsidR="0089004D">
        <w:rPr>
          <w:rFonts w:ascii="Times New Roman" w:hAnsi="Times New Roman" w:cs="Times New Roman"/>
          <w:color w:val="0070C0"/>
          <w:sz w:val="24"/>
          <w:szCs w:val="24"/>
        </w:rPr>
        <w:t>restict</w:t>
      </w:r>
      <w:r w:rsidR="00E17C8B">
        <w:rPr>
          <w:rFonts w:ascii="Times New Roman" w:hAnsi="Times New Roman" w:cs="Times New Roman"/>
          <w:color w:val="0070C0"/>
          <w:sz w:val="24"/>
          <w:szCs w:val="24"/>
        </w:rPr>
        <w:t>s</w:t>
      </w:r>
      <w:proofErr w:type="spellEnd"/>
      <w:r w:rsidR="0089004D">
        <w:rPr>
          <w:rFonts w:ascii="Times New Roman" w:hAnsi="Times New Roman" w:cs="Times New Roman"/>
          <w:color w:val="0070C0"/>
          <w:sz w:val="24"/>
          <w:szCs w:val="24"/>
        </w:rPr>
        <w:t xml:space="preserve"> the Muslim investors f</w:t>
      </w:r>
      <w:r w:rsidR="00953400">
        <w:rPr>
          <w:rFonts w:ascii="Times New Roman" w:hAnsi="Times New Roman" w:cs="Times New Roman"/>
          <w:color w:val="0070C0"/>
          <w:sz w:val="24"/>
          <w:szCs w:val="24"/>
        </w:rPr>
        <w:t>rom</w:t>
      </w:r>
      <w:r w:rsidR="0089004D">
        <w:rPr>
          <w:rFonts w:ascii="Times New Roman" w:hAnsi="Times New Roman" w:cs="Times New Roman"/>
          <w:color w:val="0070C0"/>
          <w:sz w:val="24"/>
          <w:szCs w:val="24"/>
        </w:rPr>
        <w:t xml:space="preserve"> speculation</w:t>
      </w:r>
      <w:r w:rsidR="000326C0">
        <w:rPr>
          <w:rFonts w:ascii="Times New Roman" w:hAnsi="Times New Roman" w:cs="Times New Roman"/>
          <w:color w:val="0070C0"/>
          <w:sz w:val="24"/>
          <w:szCs w:val="24"/>
        </w:rPr>
        <w:t>;</w:t>
      </w:r>
      <w:r w:rsidR="0089004D">
        <w:rPr>
          <w:rFonts w:ascii="Times New Roman" w:hAnsi="Times New Roman" w:cs="Times New Roman"/>
          <w:color w:val="0070C0"/>
          <w:sz w:val="24"/>
          <w:szCs w:val="24"/>
        </w:rPr>
        <w:t xml:space="preserve"> </w:t>
      </w:r>
      <w:r w:rsidR="00953400">
        <w:rPr>
          <w:rFonts w:ascii="Times New Roman" w:hAnsi="Times New Roman" w:cs="Times New Roman"/>
          <w:color w:val="0070C0"/>
          <w:sz w:val="24"/>
          <w:szCs w:val="24"/>
        </w:rPr>
        <w:t>while the</w:t>
      </w:r>
      <w:r w:rsidR="0089004D">
        <w:rPr>
          <w:rFonts w:ascii="Times New Roman" w:hAnsi="Times New Roman" w:cs="Times New Roman"/>
          <w:color w:val="0070C0"/>
          <w:sz w:val="24"/>
          <w:szCs w:val="24"/>
        </w:rPr>
        <w:t xml:space="preserve"> </w:t>
      </w:r>
      <w:r w:rsidR="00953400">
        <w:rPr>
          <w:rFonts w:ascii="Times New Roman" w:hAnsi="Times New Roman" w:cs="Times New Roman"/>
          <w:color w:val="0070C0"/>
          <w:sz w:val="24"/>
          <w:szCs w:val="24"/>
        </w:rPr>
        <w:t>opportunity to exchange these assets to certain quantity of physical gold</w:t>
      </w:r>
      <w:r w:rsidR="0089004D">
        <w:rPr>
          <w:rFonts w:ascii="Times New Roman" w:hAnsi="Times New Roman" w:cs="Times New Roman"/>
          <w:color w:val="0070C0"/>
          <w:sz w:val="24"/>
          <w:szCs w:val="24"/>
        </w:rPr>
        <w:t xml:space="preserve"> add</w:t>
      </w:r>
      <w:r w:rsidR="000326C0">
        <w:rPr>
          <w:rFonts w:ascii="Times New Roman" w:hAnsi="Times New Roman" w:cs="Times New Roman"/>
          <w:color w:val="0070C0"/>
          <w:sz w:val="24"/>
          <w:szCs w:val="24"/>
        </w:rPr>
        <w:t>s</w:t>
      </w:r>
      <w:r w:rsidR="0089004D">
        <w:rPr>
          <w:rFonts w:ascii="Times New Roman" w:hAnsi="Times New Roman" w:cs="Times New Roman"/>
          <w:color w:val="0070C0"/>
          <w:sz w:val="24"/>
          <w:szCs w:val="24"/>
        </w:rPr>
        <w:t xml:space="preserve"> additional benefit of </w:t>
      </w:r>
      <w:r w:rsidR="00E17C8B">
        <w:rPr>
          <w:rFonts w:ascii="Times New Roman" w:hAnsi="Times New Roman" w:cs="Times New Roman"/>
          <w:color w:val="0070C0"/>
          <w:sz w:val="24"/>
          <w:szCs w:val="24"/>
        </w:rPr>
        <w:t xml:space="preserve">having </w:t>
      </w:r>
      <w:r w:rsidR="0089004D">
        <w:rPr>
          <w:rFonts w:ascii="Times New Roman" w:hAnsi="Times New Roman" w:cs="Times New Roman"/>
          <w:color w:val="0070C0"/>
          <w:sz w:val="24"/>
          <w:szCs w:val="24"/>
        </w:rPr>
        <w:t>intrinsic</w:t>
      </w:r>
      <w:r w:rsidR="00E17C8B">
        <w:rPr>
          <w:rFonts w:ascii="Times New Roman" w:hAnsi="Times New Roman" w:cs="Times New Roman"/>
          <w:color w:val="0070C0"/>
          <w:sz w:val="24"/>
          <w:szCs w:val="24"/>
        </w:rPr>
        <w:t xml:space="preserve"> value</w:t>
      </w:r>
      <w:r w:rsidR="003C0F0B">
        <w:rPr>
          <w:rFonts w:ascii="Times New Roman" w:hAnsi="Times New Roman" w:cs="Times New Roman"/>
          <w:color w:val="0070C0"/>
          <w:sz w:val="24"/>
          <w:szCs w:val="24"/>
        </w:rPr>
        <w:t xml:space="preserve"> (</w:t>
      </w:r>
      <w:proofErr w:type="spellStart"/>
      <w:r w:rsidR="003C0F0B" w:rsidRPr="00661A76">
        <w:rPr>
          <w:rFonts w:ascii="Times New Roman" w:hAnsi="Times New Roman" w:cs="Times New Roman"/>
          <w:color w:val="0070C0"/>
          <w:sz w:val="24"/>
          <w:szCs w:val="24"/>
        </w:rPr>
        <w:t>Aloui</w:t>
      </w:r>
      <w:proofErr w:type="spellEnd"/>
      <w:r w:rsidR="003C0F0B" w:rsidRPr="00661A76">
        <w:rPr>
          <w:rFonts w:ascii="Times New Roman" w:hAnsi="Times New Roman" w:cs="Times New Roman"/>
          <w:color w:val="0070C0"/>
          <w:sz w:val="24"/>
          <w:szCs w:val="24"/>
        </w:rPr>
        <w:t xml:space="preserve"> et al., 2021</w:t>
      </w:r>
      <w:r w:rsidR="003C0F0B">
        <w:rPr>
          <w:rFonts w:ascii="Times New Roman" w:hAnsi="Times New Roman" w:cs="Times New Roman"/>
          <w:color w:val="0070C0"/>
          <w:sz w:val="24"/>
          <w:szCs w:val="24"/>
        </w:rPr>
        <w:t>),</w:t>
      </w:r>
      <w:r w:rsidR="000326C0">
        <w:rPr>
          <w:rFonts w:ascii="Times New Roman" w:hAnsi="Times New Roman" w:cs="Times New Roman"/>
          <w:color w:val="0070C0"/>
          <w:sz w:val="24"/>
          <w:szCs w:val="24"/>
        </w:rPr>
        <w:t xml:space="preserve"> which ultimately address price volatility and speculation</w:t>
      </w:r>
      <w:r w:rsidR="00E17C8B">
        <w:rPr>
          <w:rFonts w:ascii="Times New Roman" w:hAnsi="Times New Roman" w:cs="Times New Roman"/>
          <w:color w:val="0070C0"/>
          <w:sz w:val="24"/>
          <w:szCs w:val="24"/>
        </w:rPr>
        <w:t>.</w:t>
      </w:r>
      <w:r w:rsidR="0089004D">
        <w:rPr>
          <w:rFonts w:ascii="Times New Roman" w:hAnsi="Times New Roman" w:cs="Times New Roman"/>
          <w:color w:val="0070C0"/>
          <w:sz w:val="24"/>
          <w:szCs w:val="24"/>
        </w:rPr>
        <w:t xml:space="preserve"> </w:t>
      </w:r>
      <w:r w:rsidR="00564B97">
        <w:rPr>
          <w:rFonts w:ascii="Times New Roman" w:hAnsi="Times New Roman" w:cs="Times New Roman"/>
          <w:sz w:val="24"/>
          <w:szCs w:val="24"/>
        </w:rPr>
        <w:t xml:space="preserve"> In this paper, we aim to assess w</w:t>
      </w:r>
      <w:r w:rsidR="009B6386">
        <w:rPr>
          <w:rFonts w:ascii="Times New Roman" w:hAnsi="Times New Roman" w:cs="Times New Roman"/>
          <w:sz w:val="24"/>
          <w:szCs w:val="24"/>
        </w:rPr>
        <w:t>h</w:t>
      </w:r>
      <w:r w:rsidR="00564B97">
        <w:rPr>
          <w:rFonts w:ascii="Times New Roman" w:hAnsi="Times New Roman" w:cs="Times New Roman"/>
          <w:sz w:val="24"/>
          <w:szCs w:val="24"/>
        </w:rPr>
        <w:t xml:space="preserve">ether Islamic gold-backed cryptocurrencies can be used as an effective hedge or diversifier during the COVID-19 pandemic. </w:t>
      </w:r>
    </w:p>
    <w:p w14:paraId="1F1DBD4F" w14:textId="68280385" w:rsidR="00EF011C" w:rsidRDefault="00F377CD" w:rsidP="005532E1">
      <w:pPr>
        <w:spacing w:line="360" w:lineRule="auto"/>
        <w:jc w:val="both"/>
        <w:rPr>
          <w:rFonts w:ascii="Times New Roman" w:hAnsi="Times New Roman" w:cs="Times New Roman"/>
          <w:sz w:val="24"/>
          <w:szCs w:val="24"/>
        </w:rPr>
      </w:pPr>
      <w:r w:rsidRPr="007152DE">
        <w:rPr>
          <w:rFonts w:ascii="Times New Roman" w:hAnsi="Times New Roman" w:cs="Times New Roman"/>
          <w:color w:val="0070C0"/>
          <w:sz w:val="24"/>
          <w:szCs w:val="24"/>
        </w:rPr>
        <w:t>Islamic finance industry is growing fast</w:t>
      </w:r>
      <w:r w:rsidR="00953400">
        <w:rPr>
          <w:rFonts w:ascii="Times New Roman" w:hAnsi="Times New Roman" w:cs="Times New Roman"/>
          <w:color w:val="0070C0"/>
          <w:sz w:val="24"/>
          <w:szCs w:val="24"/>
        </w:rPr>
        <w:t xml:space="preserve"> and</w:t>
      </w:r>
      <w:r w:rsidRPr="007152DE">
        <w:rPr>
          <w:rFonts w:ascii="Times New Roman" w:hAnsi="Times New Roman" w:cs="Times New Roman"/>
          <w:color w:val="0070C0"/>
          <w:sz w:val="24"/>
          <w:szCs w:val="24"/>
        </w:rPr>
        <w:t xml:space="preserve"> the total worth of Islamic financial service industry (Takaful, Islamic capital markets, and Islamic banking) reache</w:t>
      </w:r>
      <w:r w:rsidR="00953400">
        <w:rPr>
          <w:rFonts w:ascii="Times New Roman" w:hAnsi="Times New Roman" w:cs="Times New Roman"/>
          <w:color w:val="0070C0"/>
          <w:sz w:val="24"/>
          <w:szCs w:val="24"/>
        </w:rPr>
        <w:t>d</w:t>
      </w:r>
      <w:r w:rsidRPr="007152DE">
        <w:rPr>
          <w:rFonts w:ascii="Times New Roman" w:hAnsi="Times New Roman" w:cs="Times New Roman"/>
          <w:color w:val="0070C0"/>
          <w:sz w:val="24"/>
          <w:szCs w:val="24"/>
        </w:rPr>
        <w:t xml:space="preserve"> $2.7 trillion and </w:t>
      </w:r>
      <w:r w:rsidR="00953400">
        <w:rPr>
          <w:rFonts w:ascii="Times New Roman" w:hAnsi="Times New Roman" w:cs="Times New Roman"/>
          <w:color w:val="0070C0"/>
          <w:sz w:val="24"/>
          <w:szCs w:val="24"/>
        </w:rPr>
        <w:t>10.7 percent growth</w:t>
      </w:r>
      <w:r w:rsidRPr="007152DE">
        <w:rPr>
          <w:rFonts w:ascii="Times New Roman" w:hAnsi="Times New Roman" w:cs="Times New Roman"/>
          <w:color w:val="0070C0"/>
          <w:sz w:val="24"/>
          <w:szCs w:val="24"/>
        </w:rPr>
        <w:t xml:space="preserve"> rate </w:t>
      </w:r>
      <w:r>
        <w:rPr>
          <w:rFonts w:ascii="Times New Roman" w:hAnsi="Times New Roman" w:cs="Times New Roman"/>
          <w:color w:val="0070C0"/>
          <w:sz w:val="24"/>
          <w:szCs w:val="24"/>
        </w:rPr>
        <w:t>in 2020</w:t>
      </w:r>
      <w:r w:rsidRPr="007152DE">
        <w:rPr>
          <w:rFonts w:ascii="Times New Roman" w:hAnsi="Times New Roman" w:cs="Times New Roman"/>
          <w:color w:val="0070C0"/>
          <w:sz w:val="24"/>
          <w:szCs w:val="24"/>
        </w:rPr>
        <w:t xml:space="preserve">. Moreover, the growth rate and worth of Islamic capital markets </w:t>
      </w:r>
      <w:r w:rsidR="00953400">
        <w:rPr>
          <w:rFonts w:ascii="Times New Roman" w:hAnsi="Times New Roman" w:cs="Times New Roman"/>
          <w:color w:val="0070C0"/>
          <w:sz w:val="24"/>
          <w:szCs w:val="24"/>
        </w:rPr>
        <w:t>reached</w:t>
      </w:r>
      <w:r w:rsidRPr="007152DE">
        <w:rPr>
          <w:rFonts w:ascii="Times New Roman" w:hAnsi="Times New Roman" w:cs="Times New Roman"/>
          <w:color w:val="0070C0"/>
          <w:sz w:val="24"/>
          <w:szCs w:val="24"/>
        </w:rPr>
        <w:t xml:space="preserve"> 26.9 </w:t>
      </w:r>
      <w:proofErr w:type="spellStart"/>
      <w:r w:rsidRPr="007152DE">
        <w:rPr>
          <w:rFonts w:ascii="Times New Roman" w:hAnsi="Times New Roman" w:cs="Times New Roman"/>
          <w:color w:val="0070C0"/>
          <w:sz w:val="24"/>
          <w:szCs w:val="24"/>
        </w:rPr>
        <w:t>perecent</w:t>
      </w:r>
      <w:proofErr w:type="spellEnd"/>
      <w:r w:rsidR="00953400">
        <w:rPr>
          <w:rFonts w:ascii="Times New Roman" w:hAnsi="Times New Roman" w:cs="Times New Roman"/>
          <w:color w:val="0070C0"/>
          <w:sz w:val="24"/>
          <w:szCs w:val="24"/>
        </w:rPr>
        <w:t xml:space="preserve"> </w:t>
      </w:r>
      <w:r w:rsidRPr="007152DE">
        <w:rPr>
          <w:rFonts w:ascii="Times New Roman" w:hAnsi="Times New Roman" w:cs="Times New Roman"/>
          <w:color w:val="0070C0"/>
          <w:sz w:val="24"/>
          <w:szCs w:val="24"/>
        </w:rPr>
        <w:t>and $0.83 trillion in the year of 2020, respectively.</w:t>
      </w:r>
      <w:r w:rsidRPr="007152DE">
        <w:rPr>
          <w:rFonts w:ascii="Times New Roman" w:hAnsi="Times New Roman" w:cs="Times New Roman"/>
          <w:color w:val="0070C0"/>
          <w:sz w:val="24"/>
          <w:szCs w:val="24"/>
          <w:vertAlign w:val="superscript"/>
        </w:rPr>
        <w:footnoteReference w:id="2"/>
      </w:r>
      <w:r w:rsidRPr="007152DE">
        <w:rPr>
          <w:rFonts w:ascii="Times New Roman" w:hAnsi="Times New Roman" w:cs="Times New Roman"/>
          <w:color w:val="0070C0"/>
          <w:sz w:val="24"/>
          <w:szCs w:val="24"/>
        </w:rPr>
        <w:t xml:space="preserve"> </w:t>
      </w:r>
      <w:r w:rsidR="00F4406F">
        <w:rPr>
          <w:rFonts w:ascii="Times New Roman" w:hAnsi="Times New Roman" w:cs="Times New Roman"/>
          <w:sz w:val="24"/>
          <w:szCs w:val="24"/>
        </w:rPr>
        <w:t xml:space="preserve">From </w:t>
      </w:r>
      <w:r w:rsidR="00FA5958">
        <w:rPr>
          <w:rFonts w:ascii="Times New Roman" w:hAnsi="Times New Roman" w:cs="Times New Roman"/>
          <w:sz w:val="24"/>
          <w:szCs w:val="24"/>
        </w:rPr>
        <w:t xml:space="preserve">an </w:t>
      </w:r>
      <w:r w:rsidR="00F4406F">
        <w:rPr>
          <w:rFonts w:ascii="Times New Roman" w:hAnsi="Times New Roman" w:cs="Times New Roman"/>
          <w:sz w:val="24"/>
          <w:szCs w:val="24"/>
        </w:rPr>
        <w:t xml:space="preserve">Islamic perspective, </w:t>
      </w:r>
      <w:r w:rsidR="00542710">
        <w:rPr>
          <w:rFonts w:ascii="Times New Roman" w:hAnsi="Times New Roman" w:cs="Times New Roman"/>
          <w:sz w:val="24"/>
          <w:szCs w:val="24"/>
        </w:rPr>
        <w:t>i</w:t>
      </w:r>
      <w:r w:rsidR="00796622">
        <w:rPr>
          <w:rFonts w:ascii="Times New Roman" w:hAnsi="Times New Roman" w:cs="Times New Roman"/>
          <w:sz w:val="24"/>
          <w:szCs w:val="24"/>
        </w:rPr>
        <w:t xml:space="preserve">t is </w:t>
      </w:r>
      <w:r w:rsidR="00F4406F">
        <w:rPr>
          <w:rFonts w:ascii="Times New Roman" w:hAnsi="Times New Roman" w:cs="Times New Roman"/>
          <w:sz w:val="24"/>
          <w:szCs w:val="24"/>
        </w:rPr>
        <w:t>prohibited</w:t>
      </w:r>
      <w:r w:rsidR="00796622">
        <w:rPr>
          <w:rFonts w:ascii="Times New Roman" w:hAnsi="Times New Roman" w:cs="Times New Roman"/>
          <w:sz w:val="24"/>
          <w:szCs w:val="24"/>
        </w:rPr>
        <w:t xml:space="preserve"> for </w:t>
      </w:r>
      <w:r w:rsidR="00F4406F">
        <w:rPr>
          <w:rFonts w:ascii="Times New Roman" w:hAnsi="Times New Roman" w:cs="Times New Roman"/>
          <w:sz w:val="24"/>
          <w:szCs w:val="24"/>
        </w:rPr>
        <w:t>M</w:t>
      </w:r>
      <w:r w:rsidR="004F3EF2">
        <w:rPr>
          <w:rFonts w:ascii="Times New Roman" w:hAnsi="Times New Roman" w:cs="Times New Roman"/>
          <w:sz w:val="24"/>
          <w:szCs w:val="24"/>
        </w:rPr>
        <w:t>uslim</w:t>
      </w:r>
      <w:r w:rsidR="00F4406F">
        <w:rPr>
          <w:rFonts w:ascii="Times New Roman" w:hAnsi="Times New Roman" w:cs="Times New Roman"/>
          <w:sz w:val="24"/>
          <w:szCs w:val="24"/>
        </w:rPr>
        <w:t>s</w:t>
      </w:r>
      <w:r w:rsidR="004F3EF2">
        <w:rPr>
          <w:rFonts w:ascii="Times New Roman" w:hAnsi="Times New Roman" w:cs="Times New Roman"/>
          <w:sz w:val="24"/>
          <w:szCs w:val="24"/>
        </w:rPr>
        <w:t xml:space="preserve"> to invest in non-Sharia compliant </w:t>
      </w:r>
      <w:r w:rsidR="00F4406F">
        <w:rPr>
          <w:rFonts w:ascii="Times New Roman" w:hAnsi="Times New Roman" w:cs="Times New Roman"/>
          <w:sz w:val="24"/>
          <w:szCs w:val="24"/>
        </w:rPr>
        <w:t xml:space="preserve">assets. </w:t>
      </w:r>
      <w:proofErr w:type="gramStart"/>
      <w:r w:rsidR="00EF011C">
        <w:rPr>
          <w:rFonts w:ascii="Times New Roman" w:hAnsi="Times New Roman" w:cs="Times New Roman"/>
          <w:sz w:val="24"/>
          <w:szCs w:val="24"/>
        </w:rPr>
        <w:t>Therefore</w:t>
      </w:r>
      <w:proofErr w:type="gramEnd"/>
      <w:r w:rsidR="00EF011C">
        <w:rPr>
          <w:rFonts w:ascii="Times New Roman" w:hAnsi="Times New Roman" w:cs="Times New Roman"/>
          <w:sz w:val="24"/>
          <w:szCs w:val="24"/>
        </w:rPr>
        <w:t xml:space="preserve"> only </w:t>
      </w:r>
      <w:r w:rsidR="00053B5E" w:rsidRPr="003A709C">
        <w:rPr>
          <w:rFonts w:ascii="Times New Roman" w:hAnsi="Times New Roman" w:cs="Times New Roman"/>
          <w:sz w:val="24"/>
          <w:szCs w:val="24"/>
        </w:rPr>
        <w:t>Shariah</w:t>
      </w:r>
      <w:r w:rsidR="00FA5958">
        <w:rPr>
          <w:rFonts w:ascii="Times New Roman" w:hAnsi="Times New Roman" w:cs="Times New Roman"/>
          <w:sz w:val="24"/>
          <w:szCs w:val="24"/>
        </w:rPr>
        <w:t>-</w:t>
      </w:r>
      <w:r w:rsidR="00053B5E" w:rsidRPr="003A709C">
        <w:rPr>
          <w:rFonts w:ascii="Times New Roman" w:hAnsi="Times New Roman" w:cs="Times New Roman"/>
          <w:sz w:val="24"/>
          <w:szCs w:val="24"/>
        </w:rPr>
        <w:t xml:space="preserve">compliant </w:t>
      </w:r>
      <w:r w:rsidR="008A4D71" w:rsidRPr="003A709C">
        <w:rPr>
          <w:rFonts w:ascii="Times New Roman" w:hAnsi="Times New Roman" w:cs="Times New Roman"/>
          <w:sz w:val="24"/>
          <w:szCs w:val="24"/>
        </w:rPr>
        <w:t>assets</w:t>
      </w:r>
      <w:r>
        <w:rPr>
          <w:rFonts w:ascii="Times New Roman" w:hAnsi="Times New Roman" w:cs="Times New Roman"/>
          <w:sz w:val="24"/>
          <w:szCs w:val="24"/>
        </w:rPr>
        <w:t xml:space="preserve"> traditionally</w:t>
      </w:r>
      <w:r w:rsidR="008A4D71" w:rsidRPr="003A709C">
        <w:rPr>
          <w:rFonts w:ascii="Times New Roman" w:hAnsi="Times New Roman" w:cs="Times New Roman"/>
          <w:sz w:val="24"/>
          <w:szCs w:val="24"/>
        </w:rPr>
        <w:t xml:space="preserve"> </w:t>
      </w:r>
      <w:r w:rsidR="00E21A0E" w:rsidRPr="003A709C">
        <w:rPr>
          <w:rFonts w:ascii="Times New Roman" w:hAnsi="Times New Roman" w:cs="Times New Roman"/>
          <w:sz w:val="24"/>
          <w:szCs w:val="24"/>
        </w:rPr>
        <w:t>used to diversity the risk of Islamic equity portfolios</w:t>
      </w:r>
      <w:r w:rsidR="002B2D24" w:rsidRPr="003A709C">
        <w:rPr>
          <w:rFonts w:ascii="Times New Roman" w:hAnsi="Times New Roman" w:cs="Times New Roman"/>
          <w:sz w:val="24"/>
          <w:szCs w:val="24"/>
        </w:rPr>
        <w:t xml:space="preserve"> </w:t>
      </w:r>
      <w:r w:rsidR="00283D23" w:rsidRPr="003A709C">
        <w:rPr>
          <w:rFonts w:ascii="Times New Roman" w:hAnsi="Times New Roman" w:cs="Times New Roman"/>
          <w:sz w:val="24"/>
          <w:szCs w:val="24"/>
        </w:rPr>
        <w:t>(</w:t>
      </w:r>
      <w:r w:rsidR="00EF011C">
        <w:rPr>
          <w:rFonts w:ascii="Times New Roman" w:hAnsi="Times New Roman" w:cs="Times New Roman"/>
          <w:sz w:val="24"/>
          <w:szCs w:val="24"/>
        </w:rPr>
        <w:t xml:space="preserve">e.g., </w:t>
      </w:r>
      <w:proofErr w:type="spellStart"/>
      <w:r w:rsidR="00396C4E">
        <w:rPr>
          <w:rFonts w:ascii="Times New Roman" w:hAnsi="Times New Roman" w:cs="Times New Roman"/>
          <w:sz w:val="24"/>
          <w:szCs w:val="24"/>
        </w:rPr>
        <w:t>Alo</w:t>
      </w:r>
      <w:r w:rsidR="0060441B">
        <w:rPr>
          <w:rFonts w:ascii="Times New Roman" w:hAnsi="Times New Roman" w:cs="Times New Roman"/>
          <w:sz w:val="24"/>
          <w:szCs w:val="24"/>
        </w:rPr>
        <w:t>ui</w:t>
      </w:r>
      <w:proofErr w:type="spellEnd"/>
      <w:r w:rsidR="0060441B">
        <w:rPr>
          <w:rFonts w:ascii="Times New Roman" w:hAnsi="Times New Roman" w:cs="Times New Roman"/>
          <w:sz w:val="24"/>
          <w:szCs w:val="24"/>
        </w:rPr>
        <w:t xml:space="preserve"> et al., 2015; </w:t>
      </w:r>
      <w:proofErr w:type="spellStart"/>
      <w:r w:rsidR="00795849" w:rsidRPr="00795849">
        <w:rPr>
          <w:rFonts w:ascii="Times New Roman" w:hAnsi="Times New Roman" w:cs="Times New Roman"/>
          <w:sz w:val="24"/>
          <w:szCs w:val="24"/>
        </w:rPr>
        <w:t>Maghyereh</w:t>
      </w:r>
      <w:proofErr w:type="spellEnd"/>
      <w:r w:rsidR="00795849" w:rsidRPr="00795849">
        <w:rPr>
          <w:rFonts w:ascii="Times New Roman" w:hAnsi="Times New Roman" w:cs="Times New Roman"/>
          <w:sz w:val="24"/>
          <w:szCs w:val="24"/>
        </w:rPr>
        <w:t xml:space="preserve"> et al.</w:t>
      </w:r>
      <w:r w:rsidR="00795849">
        <w:rPr>
          <w:rFonts w:ascii="Times New Roman" w:hAnsi="Times New Roman" w:cs="Times New Roman"/>
          <w:sz w:val="24"/>
          <w:szCs w:val="24"/>
        </w:rPr>
        <w:t xml:space="preserve">, 2018; </w:t>
      </w:r>
      <w:proofErr w:type="spellStart"/>
      <w:r w:rsidR="00795849" w:rsidRPr="00795849">
        <w:rPr>
          <w:rFonts w:ascii="Times New Roman" w:hAnsi="Times New Roman" w:cs="Times New Roman"/>
          <w:sz w:val="24"/>
          <w:szCs w:val="24"/>
        </w:rPr>
        <w:t>Maghyereh</w:t>
      </w:r>
      <w:proofErr w:type="spellEnd"/>
      <w:r w:rsidR="00795849" w:rsidRPr="00795849">
        <w:rPr>
          <w:rFonts w:ascii="Times New Roman" w:hAnsi="Times New Roman" w:cs="Times New Roman"/>
          <w:sz w:val="24"/>
          <w:szCs w:val="24"/>
        </w:rPr>
        <w:t xml:space="preserve"> et al.</w:t>
      </w:r>
      <w:r w:rsidR="00363D43">
        <w:rPr>
          <w:rFonts w:ascii="Times New Roman" w:hAnsi="Times New Roman" w:cs="Times New Roman"/>
          <w:sz w:val="24"/>
          <w:szCs w:val="24"/>
        </w:rPr>
        <w:t xml:space="preserve">, 2019; </w:t>
      </w:r>
      <w:proofErr w:type="spellStart"/>
      <w:r w:rsidR="0060441B" w:rsidRPr="00CC2D5E">
        <w:rPr>
          <w:rFonts w:ascii="Times New Roman" w:hAnsi="Times New Roman" w:cs="Times New Roman"/>
          <w:sz w:val="24"/>
          <w:szCs w:val="24"/>
        </w:rPr>
        <w:t>Alahouel</w:t>
      </w:r>
      <w:proofErr w:type="spellEnd"/>
      <w:r w:rsidR="0060441B">
        <w:rPr>
          <w:rFonts w:ascii="Times New Roman" w:hAnsi="Times New Roman" w:cs="Times New Roman"/>
          <w:sz w:val="24"/>
          <w:szCs w:val="24"/>
        </w:rPr>
        <w:t xml:space="preserve"> and</w:t>
      </w:r>
      <w:r w:rsidR="0060441B" w:rsidRPr="00CC2D5E">
        <w:rPr>
          <w:rFonts w:ascii="Times New Roman" w:hAnsi="Times New Roman" w:cs="Times New Roman"/>
          <w:sz w:val="24"/>
          <w:szCs w:val="24"/>
        </w:rPr>
        <w:t xml:space="preserve"> </w:t>
      </w:r>
      <w:proofErr w:type="spellStart"/>
      <w:r w:rsidR="0060441B" w:rsidRPr="00CC2D5E">
        <w:rPr>
          <w:rFonts w:ascii="Times New Roman" w:hAnsi="Times New Roman" w:cs="Times New Roman"/>
          <w:sz w:val="24"/>
          <w:szCs w:val="24"/>
        </w:rPr>
        <w:t>Loukil</w:t>
      </w:r>
      <w:proofErr w:type="spellEnd"/>
      <w:r w:rsidR="0060441B">
        <w:rPr>
          <w:rFonts w:ascii="Times New Roman" w:hAnsi="Times New Roman" w:cs="Times New Roman"/>
          <w:sz w:val="24"/>
          <w:szCs w:val="24"/>
        </w:rPr>
        <w:t xml:space="preserve">, 2021; </w:t>
      </w:r>
      <w:proofErr w:type="spellStart"/>
      <w:r w:rsidR="00910DA8" w:rsidRPr="00572B2D">
        <w:rPr>
          <w:rFonts w:ascii="Times New Roman" w:hAnsi="Times New Roman" w:cs="Times New Roman"/>
          <w:sz w:val="24"/>
          <w:szCs w:val="24"/>
        </w:rPr>
        <w:t>Trabelsi</w:t>
      </w:r>
      <w:proofErr w:type="spellEnd"/>
      <w:r w:rsidR="00910DA8">
        <w:rPr>
          <w:rFonts w:ascii="Times New Roman" w:hAnsi="Times New Roman" w:cs="Times New Roman"/>
          <w:sz w:val="24"/>
          <w:szCs w:val="24"/>
        </w:rPr>
        <w:t>, 2019</w:t>
      </w:r>
      <w:r w:rsidR="00283D23" w:rsidRPr="003A709C">
        <w:rPr>
          <w:rFonts w:ascii="Times New Roman" w:hAnsi="Times New Roman" w:cs="Times New Roman"/>
          <w:sz w:val="24"/>
          <w:szCs w:val="24"/>
        </w:rPr>
        <w:t>).</w:t>
      </w:r>
      <w:r w:rsidR="00283D23" w:rsidRPr="004709FD">
        <w:rPr>
          <w:rFonts w:ascii="Times New Roman" w:hAnsi="Times New Roman" w:cs="Times New Roman"/>
          <w:sz w:val="24"/>
          <w:szCs w:val="24"/>
        </w:rPr>
        <w:t xml:space="preserve"> </w:t>
      </w:r>
      <w:proofErr w:type="spellStart"/>
      <w:r w:rsidR="008016F0" w:rsidRPr="006E63D4">
        <w:rPr>
          <w:rFonts w:ascii="Times New Roman" w:hAnsi="Times New Roman" w:cs="Times New Roman"/>
          <w:sz w:val="24"/>
          <w:szCs w:val="24"/>
        </w:rPr>
        <w:t>Aloui</w:t>
      </w:r>
      <w:proofErr w:type="spellEnd"/>
      <w:r w:rsidR="008016F0">
        <w:rPr>
          <w:rFonts w:ascii="Times New Roman" w:hAnsi="Times New Roman" w:cs="Times New Roman"/>
          <w:sz w:val="24"/>
          <w:szCs w:val="24"/>
        </w:rPr>
        <w:t xml:space="preserve"> et al. (2015) </w:t>
      </w:r>
      <w:proofErr w:type="spellStart"/>
      <w:r w:rsidR="00EF011C">
        <w:rPr>
          <w:rFonts w:ascii="Times New Roman" w:hAnsi="Times New Roman" w:cs="Times New Roman"/>
          <w:sz w:val="24"/>
          <w:szCs w:val="24"/>
        </w:rPr>
        <w:t>analyse</w:t>
      </w:r>
      <w:proofErr w:type="spellEnd"/>
      <w:r w:rsidR="008016F0">
        <w:rPr>
          <w:rFonts w:ascii="Times New Roman" w:hAnsi="Times New Roman" w:cs="Times New Roman"/>
          <w:sz w:val="24"/>
          <w:szCs w:val="24"/>
        </w:rPr>
        <w:t xml:space="preserve"> the relationship between Sukuk and Islamic equity markets in Gulf Cooperation Countries (GCC) during </w:t>
      </w:r>
      <w:r w:rsidR="00EF011C">
        <w:rPr>
          <w:rFonts w:ascii="Times New Roman" w:hAnsi="Times New Roman" w:cs="Times New Roman"/>
          <w:sz w:val="24"/>
          <w:szCs w:val="24"/>
        </w:rPr>
        <w:t xml:space="preserve">the </w:t>
      </w:r>
      <w:r w:rsidR="008016F0">
        <w:rPr>
          <w:rFonts w:ascii="Times New Roman" w:hAnsi="Times New Roman" w:cs="Times New Roman"/>
          <w:sz w:val="24"/>
          <w:szCs w:val="24"/>
        </w:rPr>
        <w:t xml:space="preserve">bull and bear states of economies. They find that the </w:t>
      </w:r>
      <w:r w:rsidR="008016F0">
        <w:rPr>
          <w:rFonts w:ascii="Times New Roman" w:hAnsi="Times New Roman" w:cs="Times New Roman"/>
          <w:sz w:val="24"/>
          <w:szCs w:val="24"/>
        </w:rPr>
        <w:lastRenderedPageBreak/>
        <w:t xml:space="preserve">relationship is negative (positive) between the Sukuk and Islamic equities during </w:t>
      </w:r>
      <w:r w:rsidR="00FA5958">
        <w:rPr>
          <w:rFonts w:ascii="Times New Roman" w:hAnsi="Times New Roman" w:cs="Times New Roman"/>
          <w:sz w:val="24"/>
          <w:szCs w:val="24"/>
        </w:rPr>
        <w:t xml:space="preserve">the </w:t>
      </w:r>
      <w:r w:rsidR="008016F0">
        <w:rPr>
          <w:rFonts w:ascii="Times New Roman" w:hAnsi="Times New Roman" w:cs="Times New Roman"/>
          <w:sz w:val="24"/>
          <w:szCs w:val="24"/>
        </w:rPr>
        <w:t>bear (bull)</w:t>
      </w:r>
      <w:r w:rsidR="00EF011C">
        <w:rPr>
          <w:rFonts w:ascii="Times New Roman" w:hAnsi="Times New Roman" w:cs="Times New Roman"/>
          <w:sz w:val="24"/>
          <w:szCs w:val="24"/>
        </w:rPr>
        <w:t>market, therefore</w:t>
      </w:r>
      <w:r w:rsidR="008016F0">
        <w:rPr>
          <w:rFonts w:ascii="Times New Roman" w:hAnsi="Times New Roman" w:cs="Times New Roman"/>
          <w:sz w:val="24"/>
          <w:szCs w:val="24"/>
        </w:rPr>
        <w:t xml:space="preserve"> Sukuk </w:t>
      </w:r>
      <w:r w:rsidR="00EF011C">
        <w:rPr>
          <w:rFonts w:ascii="Times New Roman" w:hAnsi="Times New Roman" w:cs="Times New Roman"/>
          <w:sz w:val="24"/>
          <w:szCs w:val="24"/>
        </w:rPr>
        <w:t>has been</w:t>
      </w:r>
      <w:r w:rsidR="008016F0">
        <w:rPr>
          <w:rFonts w:ascii="Times New Roman" w:hAnsi="Times New Roman" w:cs="Times New Roman"/>
          <w:sz w:val="24"/>
          <w:szCs w:val="24"/>
        </w:rPr>
        <w:t xml:space="preserve"> reported as a safe haven </w:t>
      </w:r>
      <w:r w:rsidR="00EF011C">
        <w:rPr>
          <w:rFonts w:ascii="Times New Roman" w:hAnsi="Times New Roman" w:cs="Times New Roman"/>
          <w:sz w:val="24"/>
          <w:szCs w:val="24"/>
        </w:rPr>
        <w:t xml:space="preserve">asset </w:t>
      </w:r>
      <w:proofErr w:type="gramStart"/>
      <w:r w:rsidR="00EF011C">
        <w:rPr>
          <w:rFonts w:ascii="Times New Roman" w:hAnsi="Times New Roman" w:cs="Times New Roman"/>
          <w:sz w:val="24"/>
          <w:szCs w:val="24"/>
        </w:rPr>
        <w:t xml:space="preserve">for </w:t>
      </w:r>
      <w:r w:rsidR="008016F0">
        <w:rPr>
          <w:rFonts w:ascii="Times New Roman" w:hAnsi="Times New Roman" w:cs="Times New Roman"/>
          <w:sz w:val="24"/>
          <w:szCs w:val="24"/>
        </w:rPr>
        <w:t xml:space="preserve"> Islamic</w:t>
      </w:r>
      <w:proofErr w:type="gramEnd"/>
      <w:r w:rsidR="008016F0">
        <w:rPr>
          <w:rFonts w:ascii="Times New Roman" w:hAnsi="Times New Roman" w:cs="Times New Roman"/>
          <w:sz w:val="24"/>
          <w:szCs w:val="24"/>
        </w:rPr>
        <w:t xml:space="preserve"> equit</w:t>
      </w:r>
      <w:r w:rsidR="00EF011C">
        <w:rPr>
          <w:rFonts w:ascii="Times New Roman" w:hAnsi="Times New Roman" w:cs="Times New Roman"/>
          <w:sz w:val="24"/>
          <w:szCs w:val="24"/>
        </w:rPr>
        <w:t>ies</w:t>
      </w:r>
      <w:r w:rsidR="008016F0">
        <w:rPr>
          <w:rFonts w:ascii="Times New Roman" w:hAnsi="Times New Roman" w:cs="Times New Roman"/>
          <w:sz w:val="24"/>
          <w:szCs w:val="24"/>
        </w:rPr>
        <w:t xml:space="preserve"> during</w:t>
      </w:r>
      <w:r w:rsidR="00EF011C">
        <w:rPr>
          <w:rFonts w:ascii="Times New Roman" w:hAnsi="Times New Roman" w:cs="Times New Roman"/>
          <w:sz w:val="24"/>
          <w:szCs w:val="24"/>
        </w:rPr>
        <w:t xml:space="preserve"> the</w:t>
      </w:r>
      <w:r w:rsidR="008016F0">
        <w:rPr>
          <w:rFonts w:ascii="Times New Roman" w:hAnsi="Times New Roman" w:cs="Times New Roman"/>
          <w:sz w:val="24"/>
          <w:szCs w:val="24"/>
        </w:rPr>
        <w:t xml:space="preserve"> turbulent periods. </w:t>
      </w:r>
      <w:r w:rsidR="00EF011C">
        <w:rPr>
          <w:rFonts w:ascii="Times New Roman" w:hAnsi="Times New Roman" w:cs="Times New Roman"/>
          <w:sz w:val="24"/>
          <w:szCs w:val="24"/>
        </w:rPr>
        <w:t xml:space="preserve">More recently, </w:t>
      </w:r>
      <w:proofErr w:type="spellStart"/>
      <w:r w:rsidR="00CC2D5E" w:rsidRPr="00CC2D5E">
        <w:rPr>
          <w:rFonts w:ascii="Times New Roman" w:hAnsi="Times New Roman" w:cs="Times New Roman"/>
          <w:sz w:val="24"/>
          <w:szCs w:val="24"/>
        </w:rPr>
        <w:t>Alahouel</w:t>
      </w:r>
      <w:proofErr w:type="spellEnd"/>
      <w:r w:rsidR="00CC2D5E">
        <w:rPr>
          <w:rFonts w:ascii="Times New Roman" w:hAnsi="Times New Roman" w:cs="Times New Roman"/>
          <w:sz w:val="24"/>
          <w:szCs w:val="24"/>
        </w:rPr>
        <w:t xml:space="preserve"> and</w:t>
      </w:r>
      <w:r w:rsidR="00CC2D5E" w:rsidRPr="00CC2D5E">
        <w:rPr>
          <w:rFonts w:ascii="Times New Roman" w:hAnsi="Times New Roman" w:cs="Times New Roman"/>
          <w:sz w:val="24"/>
          <w:szCs w:val="24"/>
        </w:rPr>
        <w:t xml:space="preserve"> </w:t>
      </w:r>
      <w:proofErr w:type="spellStart"/>
      <w:r w:rsidR="00CC2D5E" w:rsidRPr="00CC2D5E">
        <w:rPr>
          <w:rFonts w:ascii="Times New Roman" w:hAnsi="Times New Roman" w:cs="Times New Roman"/>
          <w:sz w:val="24"/>
          <w:szCs w:val="24"/>
        </w:rPr>
        <w:t>Loukil</w:t>
      </w:r>
      <w:proofErr w:type="spellEnd"/>
      <w:r w:rsidR="00CC2D5E">
        <w:rPr>
          <w:rFonts w:ascii="Times New Roman" w:hAnsi="Times New Roman" w:cs="Times New Roman"/>
          <w:sz w:val="24"/>
          <w:szCs w:val="24"/>
        </w:rPr>
        <w:t xml:space="preserve"> (2021) </w:t>
      </w:r>
      <w:proofErr w:type="gramStart"/>
      <w:r w:rsidR="00EF011C">
        <w:rPr>
          <w:rFonts w:ascii="Times New Roman" w:hAnsi="Times New Roman" w:cs="Times New Roman"/>
          <w:sz w:val="24"/>
          <w:szCs w:val="24"/>
        </w:rPr>
        <w:t xml:space="preserve">investigate </w:t>
      </w:r>
      <w:r w:rsidR="00F203B2">
        <w:rPr>
          <w:rFonts w:ascii="Times New Roman" w:hAnsi="Times New Roman" w:cs="Times New Roman"/>
          <w:sz w:val="24"/>
          <w:szCs w:val="24"/>
        </w:rPr>
        <w:t xml:space="preserve"> the</w:t>
      </w:r>
      <w:proofErr w:type="gramEnd"/>
      <w:r w:rsidR="00F203B2">
        <w:rPr>
          <w:rFonts w:ascii="Times New Roman" w:hAnsi="Times New Roman" w:cs="Times New Roman"/>
          <w:sz w:val="24"/>
          <w:szCs w:val="24"/>
        </w:rPr>
        <w:t xml:space="preserve"> relationship</w:t>
      </w:r>
      <w:r w:rsidR="00EF011C">
        <w:rPr>
          <w:rFonts w:ascii="Times New Roman" w:hAnsi="Times New Roman" w:cs="Times New Roman"/>
          <w:sz w:val="24"/>
          <w:szCs w:val="24"/>
        </w:rPr>
        <w:t>s</w:t>
      </w:r>
      <w:r w:rsidR="00F203B2">
        <w:rPr>
          <w:rFonts w:ascii="Times New Roman" w:hAnsi="Times New Roman" w:cs="Times New Roman"/>
          <w:sz w:val="24"/>
          <w:szCs w:val="24"/>
        </w:rPr>
        <w:t xml:space="preserve"> between the </w:t>
      </w:r>
      <w:r w:rsidR="00FA5958">
        <w:rPr>
          <w:rFonts w:ascii="Times New Roman" w:hAnsi="Times New Roman" w:cs="Times New Roman"/>
          <w:sz w:val="24"/>
          <w:szCs w:val="24"/>
        </w:rPr>
        <w:t>S</w:t>
      </w:r>
      <w:r w:rsidR="00F203B2">
        <w:rPr>
          <w:rFonts w:ascii="Times New Roman" w:hAnsi="Times New Roman" w:cs="Times New Roman"/>
          <w:sz w:val="24"/>
          <w:szCs w:val="24"/>
        </w:rPr>
        <w:t>ukuk and Islamic equity markets</w:t>
      </w:r>
      <w:r w:rsidR="00EF011C">
        <w:rPr>
          <w:rFonts w:ascii="Times New Roman" w:hAnsi="Times New Roman" w:cs="Times New Roman"/>
          <w:sz w:val="24"/>
          <w:szCs w:val="24"/>
        </w:rPr>
        <w:t>, however, in contrast to earlier studies,</w:t>
      </w:r>
      <w:r w:rsidR="00F203B2">
        <w:rPr>
          <w:rFonts w:ascii="Times New Roman" w:hAnsi="Times New Roman" w:cs="Times New Roman"/>
          <w:sz w:val="24"/>
          <w:szCs w:val="24"/>
        </w:rPr>
        <w:t xml:space="preserve"> </w:t>
      </w:r>
      <w:r w:rsidR="00EF011C">
        <w:rPr>
          <w:rFonts w:ascii="Times New Roman" w:hAnsi="Times New Roman" w:cs="Times New Roman"/>
          <w:sz w:val="24"/>
          <w:szCs w:val="24"/>
        </w:rPr>
        <w:t xml:space="preserve">the findings report </w:t>
      </w:r>
      <w:r w:rsidR="00F203B2">
        <w:rPr>
          <w:rFonts w:ascii="Times New Roman" w:hAnsi="Times New Roman" w:cs="Times New Roman"/>
          <w:sz w:val="24"/>
          <w:szCs w:val="24"/>
        </w:rPr>
        <w:t xml:space="preserve">the positive </w:t>
      </w:r>
      <w:r w:rsidR="001576DC">
        <w:rPr>
          <w:rFonts w:ascii="Times New Roman" w:hAnsi="Times New Roman" w:cs="Times New Roman"/>
          <w:sz w:val="24"/>
          <w:szCs w:val="24"/>
        </w:rPr>
        <w:t xml:space="preserve">association between </w:t>
      </w:r>
      <w:r w:rsidR="00FA5958">
        <w:rPr>
          <w:rFonts w:ascii="Times New Roman" w:hAnsi="Times New Roman" w:cs="Times New Roman"/>
          <w:sz w:val="24"/>
          <w:szCs w:val="24"/>
        </w:rPr>
        <w:t>S</w:t>
      </w:r>
      <w:r w:rsidR="001576DC">
        <w:rPr>
          <w:rFonts w:ascii="Times New Roman" w:hAnsi="Times New Roman" w:cs="Times New Roman"/>
          <w:sz w:val="24"/>
          <w:szCs w:val="24"/>
        </w:rPr>
        <w:t>ukuk and Islamic equity markets</w:t>
      </w:r>
      <w:r w:rsidR="00EF011C">
        <w:rPr>
          <w:rFonts w:ascii="Times New Roman" w:hAnsi="Times New Roman" w:cs="Times New Roman"/>
          <w:sz w:val="24"/>
          <w:szCs w:val="24"/>
        </w:rPr>
        <w:t xml:space="preserve"> indicating diminishing benefits of portfolio diversification</w:t>
      </w:r>
      <w:r w:rsidR="001576DC">
        <w:rPr>
          <w:rFonts w:ascii="Times New Roman" w:hAnsi="Times New Roman" w:cs="Times New Roman"/>
          <w:sz w:val="24"/>
          <w:szCs w:val="24"/>
        </w:rPr>
        <w:t>. However, th</w:t>
      </w:r>
      <w:r w:rsidR="006002DF">
        <w:rPr>
          <w:rFonts w:ascii="Times New Roman" w:hAnsi="Times New Roman" w:cs="Times New Roman"/>
          <w:sz w:val="24"/>
          <w:szCs w:val="24"/>
        </w:rPr>
        <w:t xml:space="preserve">e direction of </w:t>
      </w:r>
      <w:r w:rsidR="00F9403F">
        <w:rPr>
          <w:rFonts w:ascii="Times New Roman" w:hAnsi="Times New Roman" w:cs="Times New Roman"/>
          <w:sz w:val="24"/>
          <w:szCs w:val="24"/>
        </w:rPr>
        <w:t xml:space="preserve">the </w:t>
      </w:r>
      <w:r w:rsidR="006002DF">
        <w:rPr>
          <w:rFonts w:ascii="Times New Roman" w:hAnsi="Times New Roman" w:cs="Times New Roman"/>
          <w:sz w:val="24"/>
          <w:szCs w:val="24"/>
        </w:rPr>
        <w:t xml:space="preserve">relationship changes </w:t>
      </w:r>
      <w:r w:rsidR="002970A3">
        <w:rPr>
          <w:rFonts w:ascii="Times New Roman" w:hAnsi="Times New Roman" w:cs="Times New Roman"/>
          <w:sz w:val="24"/>
          <w:szCs w:val="24"/>
        </w:rPr>
        <w:t xml:space="preserve">for the </w:t>
      </w:r>
      <w:proofErr w:type="gramStart"/>
      <w:r w:rsidR="002970A3">
        <w:rPr>
          <w:rFonts w:ascii="Times New Roman" w:hAnsi="Times New Roman" w:cs="Times New Roman"/>
          <w:sz w:val="24"/>
          <w:szCs w:val="24"/>
        </w:rPr>
        <w:t>short</w:t>
      </w:r>
      <w:r w:rsidR="00EF011C">
        <w:rPr>
          <w:rFonts w:ascii="Times New Roman" w:hAnsi="Times New Roman" w:cs="Times New Roman"/>
          <w:sz w:val="24"/>
          <w:szCs w:val="24"/>
        </w:rPr>
        <w:t>-</w:t>
      </w:r>
      <w:r w:rsidR="002970A3">
        <w:rPr>
          <w:rFonts w:ascii="Times New Roman" w:hAnsi="Times New Roman" w:cs="Times New Roman"/>
          <w:sz w:val="24"/>
          <w:szCs w:val="24"/>
        </w:rPr>
        <w:t>run</w:t>
      </w:r>
      <w:proofErr w:type="gramEnd"/>
      <w:r w:rsidR="002970A3">
        <w:rPr>
          <w:rFonts w:ascii="Times New Roman" w:hAnsi="Times New Roman" w:cs="Times New Roman"/>
          <w:sz w:val="24"/>
          <w:szCs w:val="24"/>
        </w:rPr>
        <w:t xml:space="preserve"> </w:t>
      </w:r>
      <w:r w:rsidR="006002DF">
        <w:rPr>
          <w:rFonts w:ascii="Times New Roman" w:hAnsi="Times New Roman" w:cs="Times New Roman"/>
          <w:sz w:val="24"/>
          <w:szCs w:val="24"/>
        </w:rPr>
        <w:t xml:space="preserve">during the high </w:t>
      </w:r>
      <w:r w:rsidR="002970A3">
        <w:rPr>
          <w:rFonts w:ascii="Times New Roman" w:hAnsi="Times New Roman" w:cs="Times New Roman"/>
          <w:sz w:val="24"/>
          <w:szCs w:val="24"/>
        </w:rPr>
        <w:t xml:space="preserve">financial uncertainty regimes. </w:t>
      </w:r>
    </w:p>
    <w:p w14:paraId="78BF80CB" w14:textId="71E6197E" w:rsidR="005532E1" w:rsidRDefault="00EF011C" w:rsidP="005532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Gold is </w:t>
      </w:r>
      <w:proofErr w:type="spellStart"/>
      <w:r>
        <w:rPr>
          <w:rFonts w:ascii="Times New Roman" w:hAnsi="Times New Roman" w:cs="Times New Roman"/>
          <w:sz w:val="24"/>
          <w:szCs w:val="24"/>
        </w:rPr>
        <w:t>undoubtedely</w:t>
      </w:r>
      <w:proofErr w:type="spellEnd"/>
      <w:r>
        <w:rPr>
          <w:rFonts w:ascii="Times New Roman" w:hAnsi="Times New Roman" w:cs="Times New Roman"/>
          <w:sz w:val="24"/>
          <w:szCs w:val="24"/>
        </w:rPr>
        <w:t xml:space="preserve"> the </w:t>
      </w:r>
      <w:proofErr w:type="gramStart"/>
      <w:r>
        <w:rPr>
          <w:rFonts w:ascii="Times New Roman" w:hAnsi="Times New Roman" w:cs="Times New Roman"/>
          <w:sz w:val="24"/>
          <w:szCs w:val="24"/>
        </w:rPr>
        <w:t>most commonly used</w:t>
      </w:r>
      <w:proofErr w:type="gramEnd"/>
      <w:r>
        <w:rPr>
          <w:rFonts w:ascii="Times New Roman" w:hAnsi="Times New Roman" w:cs="Times New Roman"/>
          <w:sz w:val="24"/>
          <w:szCs w:val="24"/>
        </w:rPr>
        <w:t xml:space="preserve"> hedge and diversifier during the crisis periods</w:t>
      </w:r>
      <w:r w:rsidR="00DC6F8A">
        <w:rPr>
          <w:rFonts w:ascii="Times New Roman" w:hAnsi="Times New Roman" w:cs="Times New Roman"/>
          <w:sz w:val="24"/>
          <w:szCs w:val="24"/>
        </w:rPr>
        <w:t xml:space="preserve"> </w:t>
      </w:r>
      <w:r w:rsidR="00DC6F8A">
        <w:rPr>
          <w:rFonts w:ascii="Times New Roman" w:hAnsi="Times New Roman" w:cs="Times New Roman"/>
          <w:color w:val="0070C0"/>
          <w:sz w:val="24"/>
          <w:szCs w:val="24"/>
        </w:rPr>
        <w:t>(</w:t>
      </w:r>
      <w:r w:rsidR="00AB3204" w:rsidRPr="00AB3204">
        <w:rPr>
          <w:rFonts w:ascii="Times New Roman" w:hAnsi="Times New Roman" w:cs="Times New Roman"/>
          <w:color w:val="0070C0"/>
          <w:sz w:val="24"/>
          <w:szCs w:val="24"/>
        </w:rPr>
        <w:t>Baur</w:t>
      </w:r>
      <w:r w:rsidR="00AB3204">
        <w:rPr>
          <w:rFonts w:ascii="Times New Roman" w:hAnsi="Times New Roman" w:cs="Times New Roman"/>
          <w:color w:val="0070C0"/>
          <w:sz w:val="24"/>
          <w:szCs w:val="24"/>
        </w:rPr>
        <w:t xml:space="preserve"> and</w:t>
      </w:r>
      <w:r w:rsidR="00AB3204" w:rsidRPr="00AB3204">
        <w:rPr>
          <w:rFonts w:ascii="Times New Roman" w:hAnsi="Times New Roman" w:cs="Times New Roman"/>
          <w:color w:val="0070C0"/>
          <w:sz w:val="24"/>
          <w:szCs w:val="24"/>
        </w:rPr>
        <w:t xml:space="preserve"> McDermott,</w:t>
      </w:r>
      <w:r w:rsidR="00AB3204">
        <w:rPr>
          <w:rFonts w:ascii="Times New Roman" w:hAnsi="Times New Roman" w:cs="Times New Roman"/>
          <w:color w:val="0070C0"/>
          <w:sz w:val="24"/>
          <w:szCs w:val="24"/>
        </w:rPr>
        <w:t xml:space="preserve"> </w:t>
      </w:r>
      <w:r w:rsidR="00AB3204" w:rsidRPr="00AB3204">
        <w:rPr>
          <w:rFonts w:ascii="Times New Roman" w:hAnsi="Times New Roman" w:cs="Times New Roman"/>
          <w:color w:val="0070C0"/>
          <w:sz w:val="24"/>
          <w:szCs w:val="24"/>
        </w:rPr>
        <w:t>2010</w:t>
      </w:r>
      <w:r w:rsidR="00AB3204">
        <w:rPr>
          <w:rFonts w:ascii="Times New Roman" w:hAnsi="Times New Roman" w:cs="Times New Roman"/>
          <w:color w:val="0070C0"/>
          <w:sz w:val="24"/>
          <w:szCs w:val="24"/>
        </w:rPr>
        <w:t xml:space="preserve">; </w:t>
      </w:r>
      <w:r w:rsidR="00606E02">
        <w:rPr>
          <w:rFonts w:ascii="Times New Roman" w:hAnsi="Times New Roman" w:cs="Times New Roman"/>
          <w:color w:val="0070C0"/>
          <w:sz w:val="24"/>
          <w:szCs w:val="24"/>
        </w:rPr>
        <w:t xml:space="preserve">Bredin et al., 2015; </w:t>
      </w:r>
      <w:r w:rsidR="00AB3204">
        <w:rPr>
          <w:rFonts w:ascii="Times New Roman" w:hAnsi="Times New Roman" w:cs="Times New Roman"/>
          <w:color w:val="0070C0"/>
          <w:sz w:val="24"/>
          <w:szCs w:val="24"/>
        </w:rPr>
        <w:t>Yousaf, 2021</w:t>
      </w:r>
      <w:r w:rsidR="00DB05CD">
        <w:rPr>
          <w:rFonts w:ascii="Times New Roman" w:hAnsi="Times New Roman" w:cs="Times New Roman"/>
          <w:color w:val="0070C0"/>
          <w:sz w:val="24"/>
          <w:szCs w:val="24"/>
        </w:rPr>
        <w:t xml:space="preserve">: </w:t>
      </w:r>
      <w:proofErr w:type="spellStart"/>
      <w:r w:rsidR="00DB05CD" w:rsidRPr="00DB05CD">
        <w:rPr>
          <w:rFonts w:ascii="Times New Roman" w:hAnsi="Times New Roman" w:cs="Times New Roman"/>
          <w:color w:val="0070C0"/>
          <w:sz w:val="24"/>
          <w:szCs w:val="24"/>
        </w:rPr>
        <w:t>Kinateder</w:t>
      </w:r>
      <w:proofErr w:type="spellEnd"/>
      <w:r w:rsidR="00DB05CD">
        <w:rPr>
          <w:rFonts w:ascii="Times New Roman" w:hAnsi="Times New Roman" w:cs="Times New Roman"/>
          <w:color w:val="0070C0"/>
          <w:sz w:val="24"/>
          <w:szCs w:val="24"/>
        </w:rPr>
        <w:t xml:space="preserve"> et al., 2021</w:t>
      </w:r>
      <w:r w:rsidR="00DC6F8A">
        <w:rPr>
          <w:rFonts w:ascii="Times New Roman" w:hAnsi="Times New Roman" w:cs="Times New Roman"/>
          <w:color w:val="0070C0"/>
          <w:sz w:val="24"/>
          <w:szCs w:val="24"/>
        </w:rPr>
        <w:t>)</w:t>
      </w:r>
      <w:r>
        <w:rPr>
          <w:rFonts w:ascii="Times New Roman" w:hAnsi="Times New Roman" w:cs="Times New Roman"/>
          <w:sz w:val="24"/>
          <w:szCs w:val="24"/>
        </w:rPr>
        <w:t xml:space="preserve">. Flight-to-safety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increased allocations in gold have been evident for many past crises. </w:t>
      </w:r>
      <w:r w:rsidR="003B591B">
        <w:rPr>
          <w:rFonts w:ascii="Times New Roman" w:hAnsi="Times New Roman" w:cs="Times New Roman"/>
          <w:sz w:val="24"/>
          <w:szCs w:val="24"/>
        </w:rPr>
        <w:t xml:space="preserve"> </w:t>
      </w:r>
      <w:r>
        <w:rPr>
          <w:rFonts w:ascii="Times New Roman" w:hAnsi="Times New Roman" w:cs="Times New Roman"/>
          <w:sz w:val="24"/>
          <w:szCs w:val="24"/>
        </w:rPr>
        <w:t xml:space="preserve">In Islamic finance, </w:t>
      </w:r>
      <w:proofErr w:type="spellStart"/>
      <w:r w:rsidR="00F226CF" w:rsidRPr="00F226CF">
        <w:rPr>
          <w:rFonts w:ascii="Times New Roman" w:hAnsi="Times New Roman" w:cs="Times New Roman"/>
          <w:sz w:val="24"/>
          <w:szCs w:val="24"/>
        </w:rPr>
        <w:t>Maghyereh</w:t>
      </w:r>
      <w:proofErr w:type="spellEnd"/>
      <w:r w:rsidR="00F226CF" w:rsidRPr="00F226CF">
        <w:rPr>
          <w:rFonts w:ascii="Times New Roman" w:hAnsi="Times New Roman" w:cs="Times New Roman"/>
          <w:sz w:val="24"/>
          <w:szCs w:val="24"/>
        </w:rPr>
        <w:t xml:space="preserve"> </w:t>
      </w:r>
      <w:r w:rsidR="00F91D71">
        <w:rPr>
          <w:rFonts w:ascii="Times New Roman" w:hAnsi="Times New Roman" w:cs="Times New Roman"/>
          <w:sz w:val="24"/>
          <w:szCs w:val="24"/>
        </w:rPr>
        <w:t xml:space="preserve">et al. (2018) report that </w:t>
      </w:r>
      <w:r w:rsidR="00E136F6">
        <w:rPr>
          <w:rFonts w:ascii="Times New Roman" w:hAnsi="Times New Roman" w:cs="Times New Roman"/>
          <w:sz w:val="24"/>
          <w:szCs w:val="24"/>
        </w:rPr>
        <w:t xml:space="preserve">the addition of gold in Islamic equity </w:t>
      </w:r>
      <w:r w:rsidR="008915AA">
        <w:rPr>
          <w:rFonts w:ascii="Times New Roman" w:hAnsi="Times New Roman" w:cs="Times New Roman"/>
          <w:sz w:val="24"/>
          <w:szCs w:val="24"/>
        </w:rPr>
        <w:t>portfolio</w:t>
      </w:r>
      <w:r w:rsidR="00F9403F">
        <w:rPr>
          <w:rFonts w:ascii="Times New Roman" w:hAnsi="Times New Roman" w:cs="Times New Roman"/>
          <w:sz w:val="24"/>
          <w:szCs w:val="24"/>
        </w:rPr>
        <w:t>s</w:t>
      </w:r>
      <w:r w:rsidR="008915AA">
        <w:rPr>
          <w:rFonts w:ascii="Times New Roman" w:hAnsi="Times New Roman" w:cs="Times New Roman"/>
          <w:sz w:val="24"/>
          <w:szCs w:val="24"/>
        </w:rPr>
        <w:t xml:space="preserve"> </w:t>
      </w:r>
      <w:r w:rsidR="00AF0AEE">
        <w:rPr>
          <w:rFonts w:ascii="Times New Roman" w:hAnsi="Times New Roman" w:cs="Times New Roman"/>
          <w:sz w:val="24"/>
          <w:szCs w:val="24"/>
        </w:rPr>
        <w:t xml:space="preserve">is </w:t>
      </w:r>
      <w:r w:rsidR="000A3B5D">
        <w:rPr>
          <w:rFonts w:ascii="Times New Roman" w:hAnsi="Times New Roman" w:cs="Times New Roman"/>
          <w:sz w:val="24"/>
          <w:szCs w:val="24"/>
        </w:rPr>
        <w:t>useful</w:t>
      </w:r>
      <w:r w:rsidR="00EF27F8">
        <w:rPr>
          <w:rFonts w:ascii="Times New Roman" w:hAnsi="Times New Roman" w:cs="Times New Roman"/>
          <w:sz w:val="24"/>
          <w:szCs w:val="24"/>
        </w:rPr>
        <w:t xml:space="preserve"> for portfolio optimization and diversification</w:t>
      </w:r>
      <w:r>
        <w:rPr>
          <w:rFonts w:ascii="Times New Roman" w:hAnsi="Times New Roman" w:cs="Times New Roman"/>
          <w:sz w:val="24"/>
          <w:szCs w:val="24"/>
        </w:rPr>
        <w:t>, while</w:t>
      </w:r>
      <w:r w:rsidR="00CF7B59">
        <w:rPr>
          <w:rFonts w:ascii="Times New Roman" w:hAnsi="Times New Roman" w:cs="Times New Roman"/>
          <w:sz w:val="24"/>
          <w:szCs w:val="24"/>
        </w:rPr>
        <w:t xml:space="preserve"> </w:t>
      </w:r>
      <w:bookmarkStart w:id="1" w:name="_Hlk67050771"/>
      <w:proofErr w:type="spellStart"/>
      <w:r w:rsidR="001A7EEB" w:rsidRPr="001A7EEB">
        <w:rPr>
          <w:rFonts w:ascii="Times New Roman" w:hAnsi="Times New Roman" w:cs="Times New Roman"/>
          <w:sz w:val="24"/>
          <w:szCs w:val="24"/>
        </w:rPr>
        <w:t>Maghyereh</w:t>
      </w:r>
      <w:proofErr w:type="spellEnd"/>
      <w:r w:rsidR="001A7EEB">
        <w:rPr>
          <w:rFonts w:ascii="Times New Roman" w:hAnsi="Times New Roman" w:cs="Times New Roman"/>
          <w:sz w:val="24"/>
          <w:szCs w:val="24"/>
        </w:rPr>
        <w:t xml:space="preserve"> et al.</w:t>
      </w:r>
      <w:bookmarkEnd w:id="1"/>
      <w:r w:rsidR="001A7EEB">
        <w:rPr>
          <w:rFonts w:ascii="Times New Roman" w:hAnsi="Times New Roman" w:cs="Times New Roman"/>
          <w:sz w:val="24"/>
          <w:szCs w:val="24"/>
        </w:rPr>
        <w:t xml:space="preserve"> (</w:t>
      </w:r>
      <w:r w:rsidR="00842A0B">
        <w:rPr>
          <w:rFonts w:ascii="Times New Roman" w:hAnsi="Times New Roman" w:cs="Times New Roman"/>
          <w:sz w:val="24"/>
          <w:szCs w:val="24"/>
        </w:rPr>
        <w:t xml:space="preserve">2019) </w:t>
      </w:r>
      <w:r>
        <w:rPr>
          <w:rFonts w:ascii="Times New Roman" w:hAnsi="Times New Roman" w:cs="Times New Roman"/>
          <w:sz w:val="24"/>
          <w:szCs w:val="24"/>
        </w:rPr>
        <w:t xml:space="preserve">compared </w:t>
      </w:r>
      <w:r w:rsidR="00842A0B">
        <w:rPr>
          <w:rFonts w:ascii="Times New Roman" w:hAnsi="Times New Roman" w:cs="Times New Roman"/>
          <w:sz w:val="24"/>
          <w:szCs w:val="24"/>
        </w:rPr>
        <w:t xml:space="preserve">the linkages between </w:t>
      </w:r>
      <w:r w:rsidR="001D57E4">
        <w:rPr>
          <w:rFonts w:ascii="Times New Roman" w:hAnsi="Times New Roman" w:cs="Times New Roman"/>
          <w:sz w:val="24"/>
          <w:szCs w:val="24"/>
        </w:rPr>
        <w:t>gold and Islamic equity markets during different investment horizons</w:t>
      </w:r>
      <w:r w:rsidR="00C9794C">
        <w:rPr>
          <w:rFonts w:ascii="Times New Roman" w:hAnsi="Times New Roman" w:cs="Times New Roman"/>
          <w:sz w:val="24"/>
          <w:szCs w:val="24"/>
        </w:rPr>
        <w:t xml:space="preserve"> </w:t>
      </w:r>
      <w:r>
        <w:rPr>
          <w:rFonts w:ascii="Times New Roman" w:hAnsi="Times New Roman" w:cs="Times New Roman"/>
          <w:sz w:val="24"/>
          <w:szCs w:val="24"/>
        </w:rPr>
        <w:t xml:space="preserve">confirming the hedging properties of gold. </w:t>
      </w:r>
      <w:proofErr w:type="spellStart"/>
      <w:r w:rsidR="00572B2D" w:rsidRPr="00572B2D">
        <w:rPr>
          <w:rFonts w:ascii="Times New Roman" w:hAnsi="Times New Roman" w:cs="Times New Roman"/>
          <w:sz w:val="24"/>
          <w:szCs w:val="24"/>
        </w:rPr>
        <w:t>Trabelsi</w:t>
      </w:r>
      <w:proofErr w:type="spellEnd"/>
      <w:r w:rsidR="00572B2D" w:rsidRPr="00572B2D">
        <w:rPr>
          <w:rFonts w:ascii="Times New Roman" w:hAnsi="Times New Roman" w:cs="Times New Roman"/>
          <w:sz w:val="24"/>
          <w:szCs w:val="24"/>
        </w:rPr>
        <w:t xml:space="preserve"> (2019</w:t>
      </w:r>
      <w:r w:rsidR="00572B2D">
        <w:rPr>
          <w:rFonts w:ascii="Times New Roman" w:hAnsi="Times New Roman" w:cs="Times New Roman"/>
          <w:sz w:val="24"/>
          <w:szCs w:val="24"/>
        </w:rPr>
        <w:t>) examine</w:t>
      </w:r>
      <w:r w:rsidR="00F9403F">
        <w:rPr>
          <w:rFonts w:ascii="Times New Roman" w:hAnsi="Times New Roman" w:cs="Times New Roman"/>
          <w:sz w:val="24"/>
          <w:szCs w:val="24"/>
        </w:rPr>
        <w:t>s</w:t>
      </w:r>
      <w:r w:rsidR="00572B2D">
        <w:rPr>
          <w:rFonts w:ascii="Times New Roman" w:hAnsi="Times New Roman" w:cs="Times New Roman"/>
          <w:sz w:val="24"/>
          <w:szCs w:val="24"/>
        </w:rPr>
        <w:t xml:space="preserve"> the integration between </w:t>
      </w:r>
      <w:r w:rsidR="00391395">
        <w:rPr>
          <w:rFonts w:ascii="Times New Roman" w:hAnsi="Times New Roman" w:cs="Times New Roman"/>
          <w:sz w:val="24"/>
          <w:szCs w:val="24"/>
        </w:rPr>
        <w:t xml:space="preserve">regional Islamic equity markets, crude oil, </w:t>
      </w:r>
      <w:r w:rsidR="00F630CE">
        <w:rPr>
          <w:rFonts w:ascii="Times New Roman" w:hAnsi="Times New Roman" w:cs="Times New Roman"/>
          <w:sz w:val="24"/>
          <w:szCs w:val="24"/>
        </w:rPr>
        <w:t>bonds, and gold markets</w:t>
      </w:r>
      <w:r w:rsidR="00787720">
        <w:rPr>
          <w:rFonts w:ascii="Times New Roman" w:hAnsi="Times New Roman" w:cs="Times New Roman"/>
          <w:sz w:val="24"/>
          <w:szCs w:val="24"/>
        </w:rPr>
        <w:t xml:space="preserve"> </w:t>
      </w:r>
      <w:r w:rsidR="00B95AF0">
        <w:rPr>
          <w:rFonts w:ascii="Times New Roman" w:hAnsi="Times New Roman" w:cs="Times New Roman"/>
          <w:sz w:val="24"/>
          <w:szCs w:val="24"/>
        </w:rPr>
        <w:t xml:space="preserve">showing only </w:t>
      </w:r>
      <w:r w:rsidR="004C6178">
        <w:rPr>
          <w:rFonts w:ascii="Times New Roman" w:hAnsi="Times New Roman" w:cs="Times New Roman"/>
          <w:sz w:val="24"/>
          <w:szCs w:val="24"/>
        </w:rPr>
        <w:t>weak integrat</w:t>
      </w:r>
      <w:r w:rsidR="00B95AF0">
        <w:rPr>
          <w:rFonts w:ascii="Times New Roman" w:hAnsi="Times New Roman" w:cs="Times New Roman"/>
          <w:sz w:val="24"/>
          <w:szCs w:val="24"/>
        </w:rPr>
        <w:t>ion between different assets.</w:t>
      </w:r>
      <w:r w:rsidR="006A3E73">
        <w:rPr>
          <w:rFonts w:ascii="Times New Roman" w:hAnsi="Times New Roman" w:cs="Times New Roman"/>
          <w:sz w:val="24"/>
          <w:szCs w:val="24"/>
        </w:rPr>
        <w:t xml:space="preserve"> </w:t>
      </w:r>
      <w:r w:rsidR="00B95AF0">
        <w:rPr>
          <w:rFonts w:ascii="Times New Roman" w:hAnsi="Times New Roman" w:cs="Times New Roman"/>
          <w:sz w:val="24"/>
          <w:szCs w:val="24"/>
        </w:rPr>
        <w:t xml:space="preserve">These results </w:t>
      </w:r>
      <w:proofErr w:type="gramStart"/>
      <w:r w:rsidR="006A3E73">
        <w:rPr>
          <w:rFonts w:ascii="Times New Roman" w:hAnsi="Times New Roman" w:cs="Times New Roman"/>
          <w:sz w:val="24"/>
          <w:szCs w:val="24"/>
        </w:rPr>
        <w:t xml:space="preserve">suggest </w:t>
      </w:r>
      <w:r w:rsidR="00B95AF0">
        <w:rPr>
          <w:rFonts w:ascii="Times New Roman" w:hAnsi="Times New Roman" w:cs="Times New Roman"/>
          <w:sz w:val="24"/>
          <w:szCs w:val="24"/>
        </w:rPr>
        <w:t xml:space="preserve"> that</w:t>
      </w:r>
      <w:proofErr w:type="gramEnd"/>
      <w:r w:rsidR="00B95AF0">
        <w:rPr>
          <w:rFonts w:ascii="Times New Roman" w:hAnsi="Times New Roman" w:cs="Times New Roman"/>
          <w:sz w:val="24"/>
          <w:szCs w:val="24"/>
        </w:rPr>
        <w:t xml:space="preserve"> </w:t>
      </w:r>
      <w:r w:rsidR="006A3E73">
        <w:rPr>
          <w:rFonts w:ascii="Times New Roman" w:hAnsi="Times New Roman" w:cs="Times New Roman"/>
          <w:sz w:val="24"/>
          <w:szCs w:val="24"/>
        </w:rPr>
        <w:t xml:space="preserve">the </w:t>
      </w:r>
      <w:r w:rsidR="00F966CD">
        <w:rPr>
          <w:rFonts w:ascii="Times New Roman" w:hAnsi="Times New Roman" w:cs="Times New Roman"/>
          <w:sz w:val="24"/>
          <w:szCs w:val="24"/>
        </w:rPr>
        <w:t xml:space="preserve">diversification benefits </w:t>
      </w:r>
      <w:r w:rsidR="00B95AF0">
        <w:rPr>
          <w:rFonts w:ascii="Times New Roman" w:hAnsi="Times New Roman" w:cs="Times New Roman"/>
          <w:sz w:val="24"/>
          <w:szCs w:val="24"/>
        </w:rPr>
        <w:t>can be achieved by</w:t>
      </w:r>
      <w:r w:rsidR="00F966CD">
        <w:rPr>
          <w:rFonts w:ascii="Times New Roman" w:hAnsi="Times New Roman" w:cs="Times New Roman"/>
          <w:sz w:val="24"/>
          <w:szCs w:val="24"/>
        </w:rPr>
        <w:t xml:space="preserve"> adding crude oil and gold in the Islamic equity portfolios</w:t>
      </w:r>
      <w:r w:rsidR="00A406A3">
        <w:rPr>
          <w:rFonts w:ascii="Times New Roman" w:hAnsi="Times New Roman" w:cs="Times New Roman"/>
          <w:sz w:val="24"/>
          <w:szCs w:val="24"/>
        </w:rPr>
        <w:t>.</w:t>
      </w:r>
      <w:r w:rsidR="002B09E1">
        <w:rPr>
          <w:rFonts w:ascii="Times New Roman" w:hAnsi="Times New Roman" w:cs="Times New Roman"/>
          <w:sz w:val="24"/>
          <w:szCs w:val="24"/>
        </w:rPr>
        <w:t xml:space="preserve"> </w:t>
      </w:r>
      <w:r w:rsidR="00DE39D1" w:rsidRPr="00D16472">
        <w:rPr>
          <w:rFonts w:ascii="Times New Roman" w:hAnsi="Times New Roman" w:cs="Times New Roman"/>
          <w:color w:val="0070C0"/>
          <w:sz w:val="24"/>
          <w:szCs w:val="24"/>
        </w:rPr>
        <w:t xml:space="preserve">Hassan et al. (2021) </w:t>
      </w:r>
      <w:proofErr w:type="gramStart"/>
      <w:r w:rsidR="00DE39D1" w:rsidRPr="00D16472">
        <w:rPr>
          <w:rFonts w:ascii="Times New Roman" w:hAnsi="Times New Roman" w:cs="Times New Roman"/>
          <w:color w:val="0070C0"/>
          <w:sz w:val="24"/>
          <w:szCs w:val="24"/>
        </w:rPr>
        <w:t>explore</w:t>
      </w:r>
      <w:proofErr w:type="gramEnd"/>
      <w:r w:rsidR="00DE39D1" w:rsidRPr="00D16472">
        <w:rPr>
          <w:rFonts w:ascii="Times New Roman" w:hAnsi="Times New Roman" w:cs="Times New Roman"/>
          <w:color w:val="0070C0"/>
          <w:sz w:val="24"/>
          <w:szCs w:val="24"/>
        </w:rPr>
        <w:t xml:space="preserve"> the safe haven features of various assets (including gold) against Islamic financial markets during the global financial crisis and the COVID-19. They fin</w:t>
      </w:r>
      <w:r w:rsidR="00D16472" w:rsidRPr="00D16472">
        <w:rPr>
          <w:rFonts w:ascii="Times New Roman" w:hAnsi="Times New Roman" w:cs="Times New Roman"/>
          <w:color w:val="0070C0"/>
          <w:sz w:val="24"/>
          <w:szCs w:val="24"/>
        </w:rPr>
        <w:t xml:space="preserve">d that gold is found to be highly productive as </w:t>
      </w:r>
      <w:proofErr w:type="gramStart"/>
      <w:r w:rsidR="00D16472" w:rsidRPr="00D16472">
        <w:rPr>
          <w:rFonts w:ascii="Times New Roman" w:hAnsi="Times New Roman" w:cs="Times New Roman"/>
          <w:color w:val="0070C0"/>
          <w:sz w:val="24"/>
          <w:szCs w:val="24"/>
        </w:rPr>
        <w:t>safe haven</w:t>
      </w:r>
      <w:proofErr w:type="gramEnd"/>
      <w:r w:rsidR="00D16472" w:rsidRPr="00D16472">
        <w:rPr>
          <w:rFonts w:ascii="Times New Roman" w:hAnsi="Times New Roman" w:cs="Times New Roman"/>
          <w:color w:val="0070C0"/>
          <w:sz w:val="24"/>
          <w:szCs w:val="24"/>
        </w:rPr>
        <w:t xml:space="preserve"> against Islamic financial markets during the global financial crisis compared to the COVID-19 crisis. </w:t>
      </w:r>
      <w:r w:rsidR="005532E1" w:rsidRPr="004709FD">
        <w:rPr>
          <w:rFonts w:ascii="Times New Roman" w:hAnsi="Times New Roman" w:cs="Times New Roman"/>
          <w:sz w:val="24"/>
          <w:szCs w:val="24"/>
        </w:rPr>
        <w:t xml:space="preserve">Based on </w:t>
      </w:r>
      <w:r w:rsidR="00F9403F">
        <w:rPr>
          <w:rFonts w:ascii="Times New Roman" w:hAnsi="Times New Roman" w:cs="Times New Roman"/>
          <w:sz w:val="24"/>
          <w:szCs w:val="24"/>
        </w:rPr>
        <w:t xml:space="preserve">the </w:t>
      </w:r>
      <w:r w:rsidR="005532E1" w:rsidRPr="004709FD">
        <w:rPr>
          <w:rFonts w:ascii="Times New Roman" w:hAnsi="Times New Roman" w:cs="Times New Roman"/>
          <w:sz w:val="24"/>
          <w:szCs w:val="24"/>
        </w:rPr>
        <w:t>above</w:t>
      </w:r>
      <w:r w:rsidR="00F9403F">
        <w:rPr>
          <w:rFonts w:ascii="Times New Roman" w:hAnsi="Times New Roman" w:cs="Times New Roman"/>
          <w:sz w:val="24"/>
          <w:szCs w:val="24"/>
        </w:rPr>
        <w:t>-</w:t>
      </w:r>
      <w:r w:rsidR="005532E1" w:rsidRPr="004709FD">
        <w:rPr>
          <w:rFonts w:ascii="Times New Roman" w:hAnsi="Times New Roman" w:cs="Times New Roman"/>
          <w:sz w:val="24"/>
          <w:szCs w:val="24"/>
        </w:rPr>
        <w:t xml:space="preserve">mentioned literature, </w:t>
      </w:r>
      <w:r w:rsidR="00B95AF0">
        <w:rPr>
          <w:rFonts w:ascii="Times New Roman" w:hAnsi="Times New Roman" w:cs="Times New Roman"/>
          <w:sz w:val="24"/>
          <w:szCs w:val="24"/>
        </w:rPr>
        <w:t>we can see</w:t>
      </w:r>
      <w:r w:rsidR="005532E1" w:rsidRPr="004709FD">
        <w:rPr>
          <w:rFonts w:ascii="Times New Roman" w:hAnsi="Times New Roman" w:cs="Times New Roman"/>
          <w:sz w:val="24"/>
          <w:szCs w:val="24"/>
        </w:rPr>
        <w:t xml:space="preserve"> that </w:t>
      </w:r>
      <w:r w:rsidR="00BC2672">
        <w:rPr>
          <w:rFonts w:ascii="Times New Roman" w:hAnsi="Times New Roman" w:cs="Times New Roman"/>
          <w:sz w:val="24"/>
          <w:szCs w:val="24"/>
        </w:rPr>
        <w:t xml:space="preserve">only traditional </w:t>
      </w:r>
      <w:r w:rsidR="00284373">
        <w:rPr>
          <w:rFonts w:ascii="Times New Roman" w:hAnsi="Times New Roman" w:cs="Times New Roman"/>
          <w:sz w:val="24"/>
          <w:szCs w:val="24"/>
        </w:rPr>
        <w:t>Sharia</w:t>
      </w:r>
      <w:r w:rsidR="00F9403F">
        <w:rPr>
          <w:rFonts w:ascii="Times New Roman" w:hAnsi="Times New Roman" w:cs="Times New Roman"/>
          <w:sz w:val="24"/>
          <w:szCs w:val="24"/>
        </w:rPr>
        <w:t>-</w:t>
      </w:r>
      <w:r w:rsidR="00284373">
        <w:rPr>
          <w:rFonts w:ascii="Times New Roman" w:hAnsi="Times New Roman" w:cs="Times New Roman"/>
          <w:sz w:val="24"/>
          <w:szCs w:val="24"/>
        </w:rPr>
        <w:t>compliant assets</w:t>
      </w:r>
      <w:r w:rsidR="00D023A1">
        <w:rPr>
          <w:rFonts w:ascii="Times New Roman" w:hAnsi="Times New Roman" w:cs="Times New Roman"/>
          <w:sz w:val="24"/>
          <w:szCs w:val="24"/>
        </w:rPr>
        <w:t xml:space="preserve"> (i.e., gold and Sukuk, etc.)</w:t>
      </w:r>
      <w:r w:rsidR="00284373">
        <w:rPr>
          <w:rFonts w:ascii="Times New Roman" w:hAnsi="Times New Roman" w:cs="Times New Roman"/>
          <w:sz w:val="24"/>
          <w:szCs w:val="24"/>
        </w:rPr>
        <w:t xml:space="preserve"> were examined </w:t>
      </w:r>
      <w:r w:rsidR="00B95AF0">
        <w:rPr>
          <w:rFonts w:ascii="Times New Roman" w:hAnsi="Times New Roman" w:cs="Times New Roman"/>
          <w:sz w:val="24"/>
          <w:szCs w:val="24"/>
        </w:rPr>
        <w:t xml:space="preserve">in the context of </w:t>
      </w:r>
      <w:r w:rsidR="00284373">
        <w:rPr>
          <w:rFonts w:ascii="Times New Roman" w:hAnsi="Times New Roman" w:cs="Times New Roman"/>
          <w:sz w:val="24"/>
          <w:szCs w:val="24"/>
        </w:rPr>
        <w:t>Sharia</w:t>
      </w:r>
      <w:r w:rsidR="00F9403F">
        <w:rPr>
          <w:rFonts w:ascii="Times New Roman" w:hAnsi="Times New Roman" w:cs="Times New Roman"/>
          <w:sz w:val="24"/>
          <w:szCs w:val="24"/>
        </w:rPr>
        <w:t>-</w:t>
      </w:r>
      <w:r w:rsidR="00284373">
        <w:rPr>
          <w:rFonts w:ascii="Times New Roman" w:hAnsi="Times New Roman" w:cs="Times New Roman"/>
          <w:sz w:val="24"/>
          <w:szCs w:val="24"/>
        </w:rPr>
        <w:t>compliant equity portfolios</w:t>
      </w:r>
      <w:r w:rsidR="00B95AF0">
        <w:rPr>
          <w:rFonts w:ascii="Times New Roman" w:hAnsi="Times New Roman" w:cs="Times New Roman"/>
          <w:sz w:val="24"/>
          <w:szCs w:val="24"/>
        </w:rPr>
        <w:t>. However,</w:t>
      </w:r>
      <w:r w:rsidR="00E03BD7">
        <w:rPr>
          <w:rFonts w:ascii="Times New Roman" w:hAnsi="Times New Roman" w:cs="Times New Roman"/>
          <w:sz w:val="24"/>
          <w:szCs w:val="24"/>
        </w:rPr>
        <w:t xml:space="preserve"> </w:t>
      </w:r>
      <w:r w:rsidR="005532E1" w:rsidRPr="004709FD">
        <w:rPr>
          <w:rFonts w:ascii="Times New Roman" w:hAnsi="Times New Roman" w:cs="Times New Roman"/>
          <w:sz w:val="24"/>
          <w:szCs w:val="24"/>
        </w:rPr>
        <w:t>Islamic cryptocurrencies</w:t>
      </w:r>
      <w:r w:rsidR="003D63A5">
        <w:rPr>
          <w:rFonts w:ascii="Times New Roman" w:hAnsi="Times New Roman" w:cs="Times New Roman"/>
          <w:sz w:val="24"/>
          <w:szCs w:val="24"/>
        </w:rPr>
        <w:t xml:space="preserve">, </w:t>
      </w:r>
      <w:r w:rsidR="00B95AF0">
        <w:rPr>
          <w:rFonts w:ascii="Times New Roman" w:hAnsi="Times New Roman" w:cs="Times New Roman"/>
          <w:sz w:val="24"/>
          <w:szCs w:val="24"/>
        </w:rPr>
        <w:t xml:space="preserve">as a </w:t>
      </w:r>
      <w:r w:rsidR="003D63A5">
        <w:rPr>
          <w:rFonts w:ascii="Times New Roman" w:hAnsi="Times New Roman" w:cs="Times New Roman"/>
          <w:sz w:val="24"/>
          <w:szCs w:val="24"/>
        </w:rPr>
        <w:t>new Sharia</w:t>
      </w:r>
      <w:r w:rsidR="00F9403F">
        <w:rPr>
          <w:rFonts w:ascii="Times New Roman" w:hAnsi="Times New Roman" w:cs="Times New Roman"/>
          <w:sz w:val="24"/>
          <w:szCs w:val="24"/>
        </w:rPr>
        <w:t>-</w:t>
      </w:r>
      <w:r w:rsidR="003D63A5">
        <w:rPr>
          <w:rFonts w:ascii="Times New Roman" w:hAnsi="Times New Roman" w:cs="Times New Roman"/>
          <w:sz w:val="24"/>
          <w:szCs w:val="24"/>
        </w:rPr>
        <w:t xml:space="preserve">compliant </w:t>
      </w:r>
      <w:r w:rsidR="00650E5C">
        <w:rPr>
          <w:rFonts w:ascii="Times New Roman" w:hAnsi="Times New Roman" w:cs="Times New Roman"/>
          <w:sz w:val="24"/>
          <w:szCs w:val="24"/>
        </w:rPr>
        <w:t xml:space="preserve">assets, </w:t>
      </w:r>
      <w:r w:rsidR="005532E1">
        <w:rPr>
          <w:rFonts w:ascii="Times New Roman" w:hAnsi="Times New Roman" w:cs="Times New Roman"/>
          <w:sz w:val="24"/>
          <w:szCs w:val="24"/>
        </w:rPr>
        <w:t>have</w:t>
      </w:r>
      <w:r w:rsidR="005532E1" w:rsidRPr="004709FD">
        <w:rPr>
          <w:rFonts w:ascii="Times New Roman" w:hAnsi="Times New Roman" w:cs="Times New Roman"/>
          <w:sz w:val="24"/>
          <w:szCs w:val="24"/>
        </w:rPr>
        <w:t xml:space="preserve"> not yet </w:t>
      </w:r>
      <w:r w:rsidR="005532E1">
        <w:rPr>
          <w:rFonts w:ascii="Times New Roman" w:hAnsi="Times New Roman" w:cs="Times New Roman"/>
          <w:sz w:val="24"/>
          <w:szCs w:val="24"/>
        </w:rPr>
        <w:t xml:space="preserve">been </w:t>
      </w:r>
      <w:r w:rsidR="0037199B">
        <w:rPr>
          <w:rFonts w:ascii="Times New Roman" w:hAnsi="Times New Roman" w:cs="Times New Roman"/>
          <w:sz w:val="24"/>
          <w:szCs w:val="24"/>
        </w:rPr>
        <w:t>examined</w:t>
      </w:r>
      <w:r w:rsidR="00B95AF0">
        <w:rPr>
          <w:rFonts w:ascii="Times New Roman" w:hAnsi="Times New Roman" w:cs="Times New Roman"/>
          <w:sz w:val="24"/>
          <w:szCs w:val="24"/>
        </w:rPr>
        <w:t xml:space="preserve">, therefore this paper aims to </w:t>
      </w:r>
      <w:proofErr w:type="spellStart"/>
      <w:r w:rsidR="00B95AF0">
        <w:rPr>
          <w:rFonts w:ascii="Times New Roman" w:hAnsi="Times New Roman" w:cs="Times New Roman"/>
          <w:sz w:val="24"/>
          <w:szCs w:val="24"/>
        </w:rPr>
        <w:t>adderess</w:t>
      </w:r>
      <w:proofErr w:type="spellEnd"/>
      <w:r w:rsidR="00B95AF0">
        <w:rPr>
          <w:rFonts w:ascii="Times New Roman" w:hAnsi="Times New Roman" w:cs="Times New Roman"/>
          <w:sz w:val="24"/>
          <w:szCs w:val="24"/>
        </w:rPr>
        <w:t xml:space="preserve"> this literature gap.</w:t>
      </w:r>
    </w:p>
    <w:p w14:paraId="3A328D02" w14:textId="1D3D2360" w:rsidR="00B95AF0" w:rsidRPr="00487275" w:rsidRDefault="00372B29" w:rsidP="00015BBD">
      <w:pPr>
        <w:spacing w:line="360" w:lineRule="auto"/>
        <w:jc w:val="both"/>
        <w:rPr>
          <w:rFonts w:ascii="Times New Roman" w:hAnsi="Times New Roman" w:cs="Times New Roman"/>
          <w:color w:val="2E74B5" w:themeColor="accent5" w:themeShade="BF"/>
          <w:sz w:val="24"/>
          <w:szCs w:val="24"/>
        </w:rPr>
      </w:pPr>
      <w:r>
        <w:rPr>
          <w:rFonts w:ascii="Times New Roman" w:hAnsi="Times New Roman" w:cs="Times New Roman"/>
          <w:sz w:val="24"/>
          <w:szCs w:val="24"/>
        </w:rPr>
        <w:t xml:space="preserve">The cryptocurrency markets have attracted </w:t>
      </w:r>
      <w:r w:rsidR="00B95AF0">
        <w:rPr>
          <w:rFonts w:ascii="Times New Roman" w:hAnsi="Times New Roman" w:cs="Times New Roman"/>
          <w:sz w:val="24"/>
          <w:szCs w:val="24"/>
        </w:rPr>
        <w:t xml:space="preserve">a high </w:t>
      </w:r>
      <w:r>
        <w:rPr>
          <w:rFonts w:ascii="Times New Roman" w:hAnsi="Times New Roman" w:cs="Times New Roman"/>
          <w:sz w:val="24"/>
          <w:szCs w:val="24"/>
        </w:rPr>
        <w:t xml:space="preserve">attention </w:t>
      </w:r>
      <w:r w:rsidR="00C53E08">
        <w:rPr>
          <w:rFonts w:ascii="Times New Roman" w:hAnsi="Times New Roman" w:cs="Times New Roman"/>
          <w:sz w:val="24"/>
          <w:szCs w:val="24"/>
        </w:rPr>
        <w:t xml:space="preserve">of </w:t>
      </w:r>
      <w:r w:rsidR="00D02670">
        <w:rPr>
          <w:rFonts w:ascii="Times New Roman" w:hAnsi="Times New Roman" w:cs="Times New Roman"/>
          <w:sz w:val="24"/>
          <w:szCs w:val="24"/>
        </w:rPr>
        <w:t xml:space="preserve">retail </w:t>
      </w:r>
      <w:r w:rsidR="00B95AF0">
        <w:rPr>
          <w:rFonts w:ascii="Times New Roman" w:hAnsi="Times New Roman" w:cs="Times New Roman"/>
          <w:sz w:val="24"/>
          <w:szCs w:val="24"/>
        </w:rPr>
        <w:t xml:space="preserve">and </w:t>
      </w:r>
      <w:r w:rsidR="00D02670">
        <w:rPr>
          <w:rFonts w:ascii="Times New Roman" w:hAnsi="Times New Roman" w:cs="Times New Roman"/>
          <w:sz w:val="24"/>
          <w:szCs w:val="24"/>
        </w:rPr>
        <w:t xml:space="preserve">institutional investors, </w:t>
      </w:r>
      <w:r w:rsidR="009452F0">
        <w:rPr>
          <w:rFonts w:ascii="Times New Roman" w:hAnsi="Times New Roman" w:cs="Times New Roman"/>
          <w:sz w:val="24"/>
          <w:szCs w:val="24"/>
        </w:rPr>
        <w:t>big</w:t>
      </w:r>
      <w:r w:rsidR="00B95AF0">
        <w:rPr>
          <w:rFonts w:ascii="Times New Roman" w:hAnsi="Times New Roman" w:cs="Times New Roman"/>
          <w:sz w:val="24"/>
          <w:szCs w:val="24"/>
        </w:rPr>
        <w:t xml:space="preserve"> Tech</w:t>
      </w:r>
      <w:r w:rsidR="009452F0">
        <w:rPr>
          <w:rFonts w:ascii="Times New Roman" w:hAnsi="Times New Roman" w:cs="Times New Roman"/>
          <w:sz w:val="24"/>
          <w:szCs w:val="24"/>
        </w:rPr>
        <w:t xml:space="preserve"> companies,</w:t>
      </w:r>
      <w:r w:rsidR="00C53E08">
        <w:rPr>
          <w:rFonts w:ascii="Times New Roman" w:hAnsi="Times New Roman" w:cs="Times New Roman"/>
          <w:sz w:val="24"/>
          <w:szCs w:val="24"/>
        </w:rPr>
        <w:t xml:space="preserve"> media, </w:t>
      </w:r>
      <w:r w:rsidR="00E0497E">
        <w:rPr>
          <w:rFonts w:ascii="Times New Roman" w:hAnsi="Times New Roman" w:cs="Times New Roman"/>
          <w:sz w:val="24"/>
          <w:szCs w:val="24"/>
        </w:rPr>
        <w:t>regulators, policy markets</w:t>
      </w:r>
      <w:r w:rsidR="00215333">
        <w:rPr>
          <w:rFonts w:ascii="Times New Roman" w:hAnsi="Times New Roman" w:cs="Times New Roman"/>
          <w:sz w:val="24"/>
          <w:szCs w:val="24"/>
        </w:rPr>
        <w:t xml:space="preserve"> </w:t>
      </w:r>
      <w:r w:rsidR="008E27D0">
        <w:rPr>
          <w:rFonts w:ascii="Times New Roman" w:hAnsi="Times New Roman" w:cs="Times New Roman"/>
          <w:sz w:val="24"/>
          <w:szCs w:val="24"/>
        </w:rPr>
        <w:t xml:space="preserve">in </w:t>
      </w:r>
      <w:r w:rsidR="00F9403F">
        <w:rPr>
          <w:rFonts w:ascii="Times New Roman" w:hAnsi="Times New Roman" w:cs="Times New Roman"/>
          <w:sz w:val="24"/>
          <w:szCs w:val="24"/>
        </w:rPr>
        <w:t xml:space="preserve">the </w:t>
      </w:r>
      <w:r w:rsidR="008E27D0">
        <w:rPr>
          <w:rFonts w:ascii="Times New Roman" w:hAnsi="Times New Roman" w:cs="Times New Roman"/>
          <w:sz w:val="24"/>
          <w:szCs w:val="24"/>
        </w:rPr>
        <w:t>last few years</w:t>
      </w:r>
      <w:r w:rsidR="00B95AF0">
        <w:rPr>
          <w:rFonts w:ascii="Times New Roman" w:hAnsi="Times New Roman" w:cs="Times New Roman"/>
          <w:sz w:val="24"/>
          <w:szCs w:val="24"/>
        </w:rPr>
        <w:t>, and especially, during the COVID-19 pandemic</w:t>
      </w:r>
      <w:r w:rsidR="00215333">
        <w:rPr>
          <w:rFonts w:ascii="Times New Roman" w:hAnsi="Times New Roman" w:cs="Times New Roman"/>
          <w:sz w:val="24"/>
          <w:szCs w:val="24"/>
        </w:rPr>
        <w:t>.</w:t>
      </w:r>
      <w:r w:rsidR="00875EB5">
        <w:rPr>
          <w:rFonts w:ascii="Times New Roman" w:hAnsi="Times New Roman" w:cs="Times New Roman"/>
          <w:sz w:val="24"/>
          <w:szCs w:val="24"/>
        </w:rPr>
        <w:t xml:space="preserve"> </w:t>
      </w:r>
      <w:proofErr w:type="spellStart"/>
      <w:r w:rsidR="00875EB5" w:rsidRPr="00875EB5">
        <w:rPr>
          <w:rFonts w:ascii="Times New Roman" w:hAnsi="Times New Roman" w:cs="Times New Roman"/>
          <w:color w:val="2E74B5" w:themeColor="accent5" w:themeShade="BF"/>
          <w:sz w:val="24"/>
          <w:szCs w:val="24"/>
        </w:rPr>
        <w:t>Siwantoro</w:t>
      </w:r>
      <w:proofErr w:type="spellEnd"/>
      <w:r w:rsidR="00875EB5" w:rsidRPr="00875EB5">
        <w:rPr>
          <w:rFonts w:ascii="Times New Roman" w:hAnsi="Times New Roman" w:cs="Times New Roman"/>
          <w:color w:val="2E74B5" w:themeColor="accent5" w:themeShade="BF"/>
          <w:sz w:val="24"/>
          <w:szCs w:val="24"/>
        </w:rPr>
        <w:t xml:space="preserve"> et al. (2020) explored the suitability of cryptocurrency as money from the Islamic perspective</w:t>
      </w:r>
      <w:r w:rsidR="00875EB5">
        <w:rPr>
          <w:rFonts w:ascii="Times New Roman" w:hAnsi="Times New Roman" w:cs="Times New Roman"/>
          <w:color w:val="2E74B5" w:themeColor="accent5" w:themeShade="BF"/>
          <w:sz w:val="24"/>
          <w:szCs w:val="24"/>
        </w:rPr>
        <w:t xml:space="preserve"> and expressed </w:t>
      </w:r>
      <w:proofErr w:type="spellStart"/>
      <w:r w:rsidR="00875EB5">
        <w:rPr>
          <w:rFonts w:ascii="Times New Roman" w:hAnsi="Times New Roman" w:cs="Times New Roman"/>
          <w:color w:val="2E74B5" w:themeColor="accent5" w:themeShade="BF"/>
          <w:sz w:val="24"/>
          <w:szCs w:val="24"/>
        </w:rPr>
        <w:t>scepticism</w:t>
      </w:r>
      <w:proofErr w:type="spellEnd"/>
      <w:r w:rsidR="00875EB5">
        <w:rPr>
          <w:rFonts w:ascii="Times New Roman" w:hAnsi="Times New Roman" w:cs="Times New Roman"/>
          <w:color w:val="2E74B5" w:themeColor="accent5" w:themeShade="BF"/>
          <w:sz w:val="24"/>
          <w:szCs w:val="24"/>
        </w:rPr>
        <w:t xml:space="preserve"> regarding cryptocurrency adoption in Muslim countries. </w:t>
      </w:r>
      <w:r w:rsidR="00487275">
        <w:rPr>
          <w:rFonts w:ascii="Times New Roman" w:hAnsi="Times New Roman" w:cs="Times New Roman"/>
          <w:color w:val="2E74B5" w:themeColor="accent5" w:themeShade="BF"/>
          <w:sz w:val="24"/>
          <w:szCs w:val="24"/>
        </w:rPr>
        <w:t xml:space="preserve">While other authors discussed some potential </w:t>
      </w:r>
      <w:r w:rsidR="00953400">
        <w:rPr>
          <w:rFonts w:ascii="Times New Roman" w:hAnsi="Times New Roman" w:cs="Times New Roman"/>
          <w:color w:val="2E74B5" w:themeColor="accent5" w:themeShade="BF"/>
          <w:sz w:val="24"/>
          <w:szCs w:val="24"/>
        </w:rPr>
        <w:t>for</w:t>
      </w:r>
      <w:r w:rsidR="00487275">
        <w:rPr>
          <w:rFonts w:ascii="Times New Roman" w:hAnsi="Times New Roman" w:cs="Times New Roman"/>
          <w:color w:val="2E74B5" w:themeColor="accent5" w:themeShade="BF"/>
          <w:sz w:val="24"/>
          <w:szCs w:val="24"/>
        </w:rPr>
        <w:t xml:space="preserve"> cryptocurrency </w:t>
      </w:r>
      <w:r w:rsidR="00953400">
        <w:rPr>
          <w:rFonts w:ascii="Times New Roman" w:hAnsi="Times New Roman" w:cs="Times New Roman"/>
          <w:color w:val="2E74B5" w:themeColor="accent5" w:themeShade="BF"/>
          <w:sz w:val="24"/>
          <w:szCs w:val="24"/>
        </w:rPr>
        <w:t xml:space="preserve">to </w:t>
      </w:r>
      <w:r w:rsidR="00487275">
        <w:rPr>
          <w:rFonts w:ascii="Times New Roman" w:hAnsi="Times New Roman" w:cs="Times New Roman"/>
          <w:color w:val="2E74B5" w:themeColor="accent5" w:themeShade="BF"/>
          <w:sz w:val="24"/>
          <w:szCs w:val="24"/>
        </w:rPr>
        <w:t>become more suitable for Islamic Finance world (</w:t>
      </w:r>
      <w:proofErr w:type="gramStart"/>
      <w:r w:rsidR="00487275">
        <w:rPr>
          <w:rFonts w:ascii="Times New Roman" w:hAnsi="Times New Roman" w:cs="Times New Roman"/>
          <w:color w:val="2E74B5" w:themeColor="accent5" w:themeShade="BF"/>
          <w:sz w:val="24"/>
          <w:szCs w:val="24"/>
        </w:rPr>
        <w:t>e.g.</w:t>
      </w:r>
      <w:proofErr w:type="gramEnd"/>
      <w:r w:rsidR="00487275">
        <w:rPr>
          <w:rFonts w:ascii="Times New Roman" w:hAnsi="Times New Roman" w:cs="Times New Roman"/>
          <w:color w:val="2E74B5" w:themeColor="accent5" w:themeShade="BF"/>
          <w:sz w:val="24"/>
          <w:szCs w:val="24"/>
        </w:rPr>
        <w:t xml:space="preserve"> </w:t>
      </w:r>
      <w:proofErr w:type="spellStart"/>
      <w:r w:rsidR="00487275" w:rsidRPr="00487275">
        <w:rPr>
          <w:rFonts w:ascii="Times New Roman" w:hAnsi="Times New Roman" w:cs="Times New Roman"/>
          <w:color w:val="2E74B5" w:themeColor="accent5" w:themeShade="BF"/>
          <w:sz w:val="24"/>
          <w:szCs w:val="24"/>
          <w:shd w:val="clear" w:color="auto" w:fill="FFFFFF"/>
        </w:rPr>
        <w:t>eddine</w:t>
      </w:r>
      <w:proofErr w:type="spellEnd"/>
      <w:r w:rsidR="00487275" w:rsidRPr="00487275">
        <w:rPr>
          <w:rFonts w:ascii="Times New Roman" w:hAnsi="Times New Roman" w:cs="Times New Roman"/>
          <w:color w:val="2E74B5" w:themeColor="accent5" w:themeShade="BF"/>
          <w:sz w:val="24"/>
          <w:szCs w:val="24"/>
          <w:shd w:val="clear" w:color="auto" w:fill="FFFFFF"/>
        </w:rPr>
        <w:t xml:space="preserve"> </w:t>
      </w:r>
      <w:proofErr w:type="spellStart"/>
      <w:r w:rsidR="00487275" w:rsidRPr="00487275">
        <w:rPr>
          <w:rFonts w:ascii="Times New Roman" w:hAnsi="Times New Roman" w:cs="Times New Roman"/>
          <w:color w:val="2E74B5" w:themeColor="accent5" w:themeShade="BF"/>
          <w:sz w:val="24"/>
          <w:szCs w:val="24"/>
          <w:shd w:val="clear" w:color="auto" w:fill="FFFFFF"/>
        </w:rPr>
        <w:t>Bedoui</w:t>
      </w:r>
      <w:proofErr w:type="spellEnd"/>
      <w:r w:rsidR="00487275" w:rsidRPr="00487275">
        <w:rPr>
          <w:rFonts w:ascii="Times New Roman" w:hAnsi="Times New Roman" w:cs="Times New Roman"/>
          <w:color w:val="2E74B5" w:themeColor="accent5" w:themeShade="BF"/>
          <w:sz w:val="24"/>
          <w:szCs w:val="24"/>
          <w:shd w:val="clear" w:color="auto" w:fill="FFFFFF"/>
        </w:rPr>
        <w:t xml:space="preserve"> and </w:t>
      </w:r>
      <w:proofErr w:type="spellStart"/>
      <w:r w:rsidR="00487275" w:rsidRPr="00487275">
        <w:rPr>
          <w:rFonts w:ascii="Times New Roman" w:hAnsi="Times New Roman" w:cs="Times New Roman"/>
          <w:color w:val="2E74B5" w:themeColor="accent5" w:themeShade="BF"/>
          <w:sz w:val="24"/>
          <w:szCs w:val="24"/>
          <w:shd w:val="clear" w:color="auto" w:fill="FFFFFF"/>
        </w:rPr>
        <w:t>Robbana</w:t>
      </w:r>
      <w:proofErr w:type="spellEnd"/>
      <w:r w:rsidR="00487275" w:rsidRPr="00487275">
        <w:rPr>
          <w:rFonts w:ascii="Times New Roman" w:hAnsi="Times New Roman" w:cs="Times New Roman"/>
          <w:color w:val="2E74B5" w:themeColor="accent5" w:themeShade="BF"/>
          <w:sz w:val="24"/>
          <w:szCs w:val="24"/>
          <w:shd w:val="clear" w:color="auto" w:fill="FFFFFF"/>
        </w:rPr>
        <w:t xml:space="preserve">, 2019; Abubakar et al., </w:t>
      </w:r>
      <w:r w:rsidR="00487275" w:rsidRPr="00487275">
        <w:rPr>
          <w:rFonts w:ascii="Times New Roman" w:hAnsi="Times New Roman" w:cs="Times New Roman"/>
          <w:color w:val="2E74B5" w:themeColor="accent5" w:themeShade="BF"/>
          <w:sz w:val="24"/>
          <w:szCs w:val="24"/>
          <w:shd w:val="clear" w:color="auto" w:fill="FFFFFF"/>
        </w:rPr>
        <w:lastRenderedPageBreak/>
        <w:t>2019</w:t>
      </w:r>
      <w:r w:rsidR="00487275">
        <w:rPr>
          <w:rFonts w:ascii="Times New Roman" w:hAnsi="Times New Roman" w:cs="Times New Roman"/>
          <w:color w:val="2E74B5" w:themeColor="accent5" w:themeShade="BF"/>
          <w:sz w:val="24"/>
          <w:szCs w:val="24"/>
          <w:shd w:val="clear" w:color="auto" w:fill="FFFFFF"/>
        </w:rPr>
        <w:t>;</w:t>
      </w:r>
      <w:r w:rsidR="00487275" w:rsidRPr="00487275">
        <w:t xml:space="preserve"> </w:t>
      </w:r>
      <w:proofErr w:type="spellStart"/>
      <w:r w:rsidR="00487275" w:rsidRPr="00487275">
        <w:rPr>
          <w:rFonts w:ascii="Times New Roman" w:hAnsi="Times New Roman" w:cs="Times New Roman"/>
          <w:color w:val="2E74B5" w:themeColor="accent5" w:themeShade="BF"/>
          <w:sz w:val="24"/>
          <w:szCs w:val="24"/>
          <w:shd w:val="clear" w:color="auto" w:fill="FFFFFF"/>
        </w:rPr>
        <w:t>Kakkattil</w:t>
      </w:r>
      <w:proofErr w:type="spellEnd"/>
      <w:r w:rsidR="00487275" w:rsidRPr="00487275">
        <w:rPr>
          <w:rFonts w:ascii="Times New Roman" w:hAnsi="Times New Roman" w:cs="Times New Roman"/>
          <w:color w:val="2E74B5" w:themeColor="accent5" w:themeShade="BF"/>
          <w:sz w:val="24"/>
          <w:szCs w:val="24"/>
          <w:shd w:val="clear" w:color="auto" w:fill="FFFFFF"/>
        </w:rPr>
        <w:t>,</w:t>
      </w:r>
      <w:r w:rsidR="00487275">
        <w:rPr>
          <w:rFonts w:ascii="Times New Roman" w:hAnsi="Times New Roman" w:cs="Times New Roman"/>
          <w:color w:val="2E74B5" w:themeColor="accent5" w:themeShade="BF"/>
          <w:sz w:val="24"/>
          <w:szCs w:val="24"/>
          <w:shd w:val="clear" w:color="auto" w:fill="FFFFFF"/>
        </w:rPr>
        <w:t xml:space="preserve"> 2019; </w:t>
      </w:r>
      <w:proofErr w:type="spellStart"/>
      <w:r w:rsidR="00487275">
        <w:rPr>
          <w:rFonts w:ascii="Times New Roman" w:hAnsi="Times New Roman" w:cs="Times New Roman"/>
          <w:color w:val="2E74B5" w:themeColor="accent5" w:themeShade="BF"/>
          <w:sz w:val="24"/>
          <w:szCs w:val="24"/>
          <w:shd w:val="clear" w:color="auto" w:fill="FFFFFF"/>
        </w:rPr>
        <w:t>Avedh</w:t>
      </w:r>
      <w:proofErr w:type="spellEnd"/>
      <w:r w:rsidR="00487275">
        <w:rPr>
          <w:rFonts w:ascii="Times New Roman" w:hAnsi="Times New Roman" w:cs="Times New Roman"/>
          <w:color w:val="2E74B5" w:themeColor="accent5" w:themeShade="BF"/>
          <w:sz w:val="24"/>
          <w:szCs w:val="24"/>
          <w:shd w:val="clear" w:color="auto" w:fill="FFFFFF"/>
        </w:rPr>
        <w:t xml:space="preserve"> et al.</w:t>
      </w:r>
      <w:r w:rsidR="00795348">
        <w:rPr>
          <w:rFonts w:ascii="Times New Roman" w:hAnsi="Times New Roman" w:cs="Times New Roman"/>
          <w:color w:val="2E74B5" w:themeColor="accent5" w:themeShade="BF"/>
          <w:sz w:val="24"/>
          <w:szCs w:val="24"/>
          <w:shd w:val="clear" w:color="auto" w:fill="FFFFFF"/>
        </w:rPr>
        <w:t>,</w:t>
      </w:r>
      <w:r w:rsidR="00487275">
        <w:rPr>
          <w:rFonts w:ascii="Times New Roman" w:hAnsi="Times New Roman" w:cs="Times New Roman"/>
          <w:color w:val="2E74B5" w:themeColor="accent5" w:themeShade="BF"/>
          <w:sz w:val="24"/>
          <w:szCs w:val="24"/>
          <w:shd w:val="clear" w:color="auto" w:fill="FFFFFF"/>
        </w:rPr>
        <w:t xml:space="preserve"> 2020</w:t>
      </w:r>
      <w:r w:rsidR="00487275" w:rsidRPr="00487275">
        <w:rPr>
          <w:rFonts w:ascii="Times New Roman" w:hAnsi="Times New Roman" w:cs="Times New Roman"/>
          <w:color w:val="2E74B5" w:themeColor="accent5" w:themeShade="BF"/>
          <w:sz w:val="24"/>
          <w:szCs w:val="24"/>
          <w:shd w:val="clear" w:color="auto" w:fill="FFFFFF"/>
        </w:rPr>
        <w:t>)</w:t>
      </w:r>
      <w:r w:rsidR="00487275" w:rsidRPr="00487275">
        <w:rPr>
          <w:rStyle w:val="FootnoteReference"/>
          <w:rFonts w:ascii="Times New Roman" w:hAnsi="Times New Roman" w:cs="Times New Roman"/>
          <w:color w:val="2E74B5" w:themeColor="accent5" w:themeShade="BF"/>
          <w:sz w:val="24"/>
          <w:szCs w:val="24"/>
          <w:shd w:val="clear" w:color="auto" w:fill="FFFFFF"/>
        </w:rPr>
        <w:footnoteReference w:id="3"/>
      </w:r>
      <w:r w:rsidR="00487275" w:rsidRPr="00487275">
        <w:rPr>
          <w:rFonts w:ascii="Times New Roman" w:hAnsi="Times New Roman" w:cs="Times New Roman"/>
          <w:color w:val="2E74B5" w:themeColor="accent5" w:themeShade="BF"/>
          <w:sz w:val="24"/>
          <w:szCs w:val="24"/>
          <w:shd w:val="clear" w:color="auto" w:fill="FFFFFF"/>
        </w:rPr>
        <w:t xml:space="preserve">. </w:t>
      </w:r>
      <w:r w:rsidR="004E3D97">
        <w:rPr>
          <w:rFonts w:ascii="Times New Roman" w:hAnsi="Times New Roman" w:cs="Times New Roman"/>
          <w:sz w:val="24"/>
          <w:szCs w:val="24"/>
        </w:rPr>
        <w:t>Apart from the Sharia</w:t>
      </w:r>
      <w:r w:rsidR="00F9403F">
        <w:rPr>
          <w:rFonts w:ascii="Times New Roman" w:hAnsi="Times New Roman" w:cs="Times New Roman"/>
          <w:sz w:val="24"/>
          <w:szCs w:val="24"/>
        </w:rPr>
        <w:t>-</w:t>
      </w:r>
      <w:r w:rsidR="004E3D97">
        <w:rPr>
          <w:rFonts w:ascii="Times New Roman" w:hAnsi="Times New Roman" w:cs="Times New Roman"/>
          <w:sz w:val="24"/>
          <w:szCs w:val="24"/>
        </w:rPr>
        <w:t xml:space="preserve">compliant </w:t>
      </w:r>
      <w:r w:rsidR="00E76F4D">
        <w:rPr>
          <w:rFonts w:ascii="Times New Roman" w:hAnsi="Times New Roman" w:cs="Times New Roman"/>
          <w:sz w:val="24"/>
          <w:szCs w:val="24"/>
        </w:rPr>
        <w:t xml:space="preserve">cryptocurrencies </w:t>
      </w:r>
      <w:r w:rsidR="004E3D97">
        <w:rPr>
          <w:rFonts w:ascii="Times New Roman" w:hAnsi="Times New Roman" w:cs="Times New Roman"/>
          <w:sz w:val="24"/>
          <w:szCs w:val="24"/>
        </w:rPr>
        <w:t xml:space="preserve">assets, </w:t>
      </w:r>
      <w:r w:rsidR="00B95AF0">
        <w:rPr>
          <w:rFonts w:ascii="Times New Roman" w:hAnsi="Times New Roman" w:cs="Times New Roman"/>
          <w:sz w:val="24"/>
          <w:szCs w:val="24"/>
        </w:rPr>
        <w:t xml:space="preserve">a </w:t>
      </w:r>
      <w:r w:rsidR="004E3D97">
        <w:rPr>
          <w:rFonts w:ascii="Times New Roman" w:hAnsi="Times New Roman" w:cs="Times New Roman"/>
          <w:sz w:val="24"/>
          <w:szCs w:val="24"/>
        </w:rPr>
        <w:t>few</w:t>
      </w:r>
      <w:r w:rsidR="00B95AF0">
        <w:rPr>
          <w:rFonts w:ascii="Times New Roman" w:hAnsi="Times New Roman" w:cs="Times New Roman"/>
          <w:sz w:val="24"/>
          <w:szCs w:val="24"/>
        </w:rPr>
        <w:t xml:space="preserve"> recent</w:t>
      </w:r>
      <w:r w:rsidR="004E3D97">
        <w:rPr>
          <w:rFonts w:ascii="Times New Roman" w:hAnsi="Times New Roman" w:cs="Times New Roman"/>
          <w:sz w:val="24"/>
          <w:szCs w:val="24"/>
        </w:rPr>
        <w:t xml:space="preserve"> studies have also examined the role of </w:t>
      </w:r>
      <w:r w:rsidR="00E76F4D">
        <w:rPr>
          <w:rFonts w:ascii="Times New Roman" w:hAnsi="Times New Roman" w:cs="Times New Roman"/>
          <w:sz w:val="24"/>
          <w:szCs w:val="24"/>
        </w:rPr>
        <w:t>non-Sharia</w:t>
      </w:r>
      <w:r w:rsidR="006F11E2">
        <w:rPr>
          <w:rFonts w:ascii="Times New Roman" w:hAnsi="Times New Roman" w:cs="Times New Roman"/>
          <w:sz w:val="24"/>
          <w:szCs w:val="24"/>
        </w:rPr>
        <w:t>-</w:t>
      </w:r>
      <w:r w:rsidR="00E76F4D">
        <w:rPr>
          <w:rFonts w:ascii="Times New Roman" w:hAnsi="Times New Roman" w:cs="Times New Roman"/>
          <w:sz w:val="24"/>
          <w:szCs w:val="24"/>
        </w:rPr>
        <w:t>compl</w:t>
      </w:r>
      <w:r w:rsidR="00F9403F">
        <w:rPr>
          <w:rFonts w:ascii="Times New Roman" w:hAnsi="Times New Roman" w:cs="Times New Roman"/>
          <w:sz w:val="24"/>
          <w:szCs w:val="24"/>
        </w:rPr>
        <w:t>ia</w:t>
      </w:r>
      <w:r w:rsidR="00E76F4D">
        <w:rPr>
          <w:rFonts w:ascii="Times New Roman" w:hAnsi="Times New Roman" w:cs="Times New Roman"/>
          <w:sz w:val="24"/>
          <w:szCs w:val="24"/>
        </w:rPr>
        <w:t xml:space="preserve">nt </w:t>
      </w:r>
      <w:r w:rsidR="00ED4913">
        <w:rPr>
          <w:rFonts w:ascii="Times New Roman" w:hAnsi="Times New Roman" w:cs="Times New Roman"/>
          <w:sz w:val="24"/>
          <w:szCs w:val="24"/>
        </w:rPr>
        <w:t>cryptocurrencies</w:t>
      </w:r>
      <w:r w:rsidR="0023551C">
        <w:rPr>
          <w:rFonts w:ascii="Times New Roman" w:hAnsi="Times New Roman" w:cs="Times New Roman"/>
          <w:sz w:val="24"/>
          <w:szCs w:val="24"/>
        </w:rPr>
        <w:t xml:space="preserve"> (i.e., Bitcoin)</w:t>
      </w:r>
      <w:r w:rsidR="00ED4913">
        <w:rPr>
          <w:rFonts w:ascii="Times New Roman" w:hAnsi="Times New Roman" w:cs="Times New Roman"/>
          <w:sz w:val="24"/>
          <w:szCs w:val="24"/>
        </w:rPr>
        <w:t xml:space="preserve"> in Islamic </w:t>
      </w:r>
      <w:r w:rsidR="009633D2">
        <w:rPr>
          <w:rFonts w:ascii="Times New Roman" w:hAnsi="Times New Roman" w:cs="Times New Roman"/>
          <w:sz w:val="24"/>
          <w:szCs w:val="24"/>
        </w:rPr>
        <w:t>Sharia</w:t>
      </w:r>
      <w:r w:rsidR="006F11E2">
        <w:rPr>
          <w:rFonts w:ascii="Times New Roman" w:hAnsi="Times New Roman" w:cs="Times New Roman"/>
          <w:sz w:val="24"/>
          <w:szCs w:val="24"/>
        </w:rPr>
        <w:t>-</w:t>
      </w:r>
      <w:r w:rsidR="009633D2">
        <w:rPr>
          <w:rFonts w:ascii="Times New Roman" w:hAnsi="Times New Roman" w:cs="Times New Roman"/>
          <w:sz w:val="24"/>
          <w:szCs w:val="24"/>
        </w:rPr>
        <w:t>compliant portfolios</w:t>
      </w:r>
      <w:r w:rsidR="00247901">
        <w:rPr>
          <w:rFonts w:ascii="Times New Roman" w:hAnsi="Times New Roman" w:cs="Times New Roman"/>
          <w:sz w:val="24"/>
          <w:szCs w:val="24"/>
        </w:rPr>
        <w:t xml:space="preserve">. </w:t>
      </w:r>
      <w:proofErr w:type="spellStart"/>
      <w:r w:rsidR="00FC3BD6" w:rsidRPr="00FC3BD6">
        <w:rPr>
          <w:rFonts w:ascii="Times New Roman" w:hAnsi="Times New Roman" w:cs="Times New Roman"/>
          <w:sz w:val="24"/>
          <w:szCs w:val="24"/>
        </w:rPr>
        <w:t>Mensi</w:t>
      </w:r>
      <w:proofErr w:type="spellEnd"/>
      <w:r w:rsidR="00FC3BD6">
        <w:rPr>
          <w:rFonts w:ascii="Times New Roman" w:hAnsi="Times New Roman" w:cs="Times New Roman"/>
          <w:sz w:val="24"/>
          <w:szCs w:val="24"/>
        </w:rPr>
        <w:t xml:space="preserve"> et al. (2020) </w:t>
      </w:r>
      <w:r w:rsidR="004726DB">
        <w:rPr>
          <w:rFonts w:ascii="Times New Roman" w:hAnsi="Times New Roman" w:cs="Times New Roman"/>
          <w:sz w:val="24"/>
          <w:szCs w:val="24"/>
        </w:rPr>
        <w:t xml:space="preserve">investigate </w:t>
      </w:r>
      <w:r w:rsidR="001232D6">
        <w:rPr>
          <w:rFonts w:ascii="Times New Roman" w:hAnsi="Times New Roman" w:cs="Times New Roman"/>
          <w:sz w:val="24"/>
          <w:szCs w:val="24"/>
        </w:rPr>
        <w:t xml:space="preserve">the </w:t>
      </w:r>
      <w:r w:rsidR="00B46351">
        <w:rPr>
          <w:rFonts w:ascii="Times New Roman" w:hAnsi="Times New Roman" w:cs="Times New Roman"/>
          <w:sz w:val="24"/>
          <w:szCs w:val="24"/>
        </w:rPr>
        <w:t>causal relationships</w:t>
      </w:r>
      <w:r w:rsidR="00C5135B">
        <w:rPr>
          <w:rFonts w:ascii="Times New Roman" w:hAnsi="Times New Roman" w:cs="Times New Roman"/>
          <w:sz w:val="24"/>
          <w:szCs w:val="24"/>
        </w:rPr>
        <w:t xml:space="preserve"> between Bitcoin</w:t>
      </w:r>
      <w:r w:rsidR="004726DB">
        <w:rPr>
          <w:rFonts w:ascii="Times New Roman" w:hAnsi="Times New Roman" w:cs="Times New Roman"/>
          <w:sz w:val="24"/>
          <w:szCs w:val="24"/>
        </w:rPr>
        <w:t xml:space="preserve"> (conventional cryptocurrency)</w:t>
      </w:r>
      <w:r w:rsidR="00C5135B">
        <w:rPr>
          <w:rFonts w:ascii="Times New Roman" w:hAnsi="Times New Roman" w:cs="Times New Roman"/>
          <w:sz w:val="24"/>
          <w:szCs w:val="24"/>
        </w:rPr>
        <w:t xml:space="preserve"> and the regional Islamic equity indices and find that </w:t>
      </w:r>
      <w:r w:rsidR="006352FE">
        <w:rPr>
          <w:rFonts w:ascii="Times New Roman" w:hAnsi="Times New Roman" w:cs="Times New Roman"/>
          <w:sz w:val="24"/>
          <w:szCs w:val="24"/>
        </w:rPr>
        <w:t xml:space="preserve">Bitcoin </w:t>
      </w:r>
      <w:r w:rsidR="00B46351">
        <w:rPr>
          <w:rFonts w:ascii="Times New Roman" w:hAnsi="Times New Roman" w:cs="Times New Roman"/>
          <w:sz w:val="24"/>
          <w:szCs w:val="24"/>
        </w:rPr>
        <w:t>affect</w:t>
      </w:r>
      <w:r w:rsidR="006F11E2">
        <w:rPr>
          <w:rFonts w:ascii="Times New Roman" w:hAnsi="Times New Roman" w:cs="Times New Roman"/>
          <w:sz w:val="24"/>
          <w:szCs w:val="24"/>
        </w:rPr>
        <w:t>s</w:t>
      </w:r>
      <w:r w:rsidR="00B46351">
        <w:rPr>
          <w:rFonts w:ascii="Times New Roman" w:hAnsi="Times New Roman" w:cs="Times New Roman"/>
          <w:sz w:val="24"/>
          <w:szCs w:val="24"/>
        </w:rPr>
        <w:t xml:space="preserve"> </w:t>
      </w:r>
      <w:r w:rsidR="008A3BE5">
        <w:rPr>
          <w:rFonts w:ascii="Times New Roman" w:hAnsi="Times New Roman" w:cs="Times New Roman"/>
          <w:sz w:val="24"/>
          <w:szCs w:val="24"/>
        </w:rPr>
        <w:t xml:space="preserve">the regional Islamic equity markets including </w:t>
      </w:r>
      <w:r w:rsidR="006F11E2">
        <w:rPr>
          <w:rFonts w:ascii="Times New Roman" w:hAnsi="Times New Roman" w:cs="Times New Roman"/>
          <w:sz w:val="24"/>
          <w:szCs w:val="24"/>
        </w:rPr>
        <w:t xml:space="preserve">the </w:t>
      </w:r>
      <w:r w:rsidR="006C4307">
        <w:rPr>
          <w:rFonts w:ascii="Times New Roman" w:hAnsi="Times New Roman" w:cs="Times New Roman"/>
          <w:sz w:val="24"/>
          <w:szCs w:val="24"/>
        </w:rPr>
        <w:t xml:space="preserve">Asia Pacific and Japan. </w:t>
      </w:r>
      <w:r w:rsidR="005D1F73">
        <w:rPr>
          <w:rFonts w:ascii="Times New Roman" w:hAnsi="Times New Roman" w:cs="Times New Roman"/>
          <w:sz w:val="24"/>
          <w:szCs w:val="24"/>
        </w:rPr>
        <w:t xml:space="preserve">Rehman et al. (2020) </w:t>
      </w:r>
      <w:r w:rsidR="009007DC">
        <w:rPr>
          <w:rFonts w:ascii="Times New Roman" w:hAnsi="Times New Roman" w:cs="Times New Roman"/>
          <w:sz w:val="24"/>
          <w:szCs w:val="24"/>
        </w:rPr>
        <w:t xml:space="preserve">examine the </w:t>
      </w:r>
      <w:r w:rsidR="00684CAA">
        <w:rPr>
          <w:rFonts w:ascii="Times New Roman" w:hAnsi="Times New Roman" w:cs="Times New Roman"/>
          <w:sz w:val="24"/>
          <w:szCs w:val="24"/>
        </w:rPr>
        <w:t xml:space="preserve">Islamic equity-Bitcoin nexus and </w:t>
      </w:r>
      <w:r w:rsidR="000B232D">
        <w:rPr>
          <w:rFonts w:ascii="Times New Roman" w:hAnsi="Times New Roman" w:cs="Times New Roman"/>
          <w:sz w:val="24"/>
          <w:szCs w:val="24"/>
        </w:rPr>
        <w:t xml:space="preserve">report the </w:t>
      </w:r>
      <w:r w:rsidR="005D1F73">
        <w:rPr>
          <w:rFonts w:ascii="Times New Roman" w:hAnsi="Times New Roman" w:cs="Times New Roman"/>
          <w:sz w:val="24"/>
          <w:szCs w:val="24"/>
        </w:rPr>
        <w:t xml:space="preserve">volatility spillover between </w:t>
      </w:r>
      <w:r w:rsidR="006165EE">
        <w:rPr>
          <w:rFonts w:ascii="Times New Roman" w:hAnsi="Times New Roman" w:cs="Times New Roman"/>
          <w:sz w:val="24"/>
          <w:szCs w:val="24"/>
        </w:rPr>
        <w:t>the Bitcoin and Islamic equity market</w:t>
      </w:r>
      <w:r w:rsidR="00CE0699">
        <w:rPr>
          <w:rFonts w:ascii="Times New Roman" w:hAnsi="Times New Roman" w:cs="Times New Roman"/>
          <w:sz w:val="24"/>
          <w:szCs w:val="24"/>
        </w:rPr>
        <w:t xml:space="preserve">. </w:t>
      </w:r>
      <w:r w:rsidR="00B95AF0">
        <w:rPr>
          <w:rFonts w:ascii="Times New Roman" w:hAnsi="Times New Roman" w:cs="Times New Roman"/>
          <w:sz w:val="24"/>
          <w:szCs w:val="24"/>
        </w:rPr>
        <w:t xml:space="preserve">Thus, we contribute to this literature by providing a </w:t>
      </w:r>
      <w:proofErr w:type="gramStart"/>
      <w:r w:rsidR="00B95AF0">
        <w:rPr>
          <w:rFonts w:ascii="Times New Roman" w:hAnsi="Times New Roman" w:cs="Times New Roman"/>
          <w:sz w:val="24"/>
          <w:szCs w:val="24"/>
        </w:rPr>
        <w:t>novel results</w:t>
      </w:r>
      <w:proofErr w:type="gramEnd"/>
      <w:r w:rsidR="00B95AF0">
        <w:rPr>
          <w:rFonts w:ascii="Times New Roman" w:hAnsi="Times New Roman" w:cs="Times New Roman"/>
          <w:sz w:val="24"/>
          <w:szCs w:val="24"/>
        </w:rPr>
        <w:t xml:space="preserve"> important for </w:t>
      </w:r>
      <w:r w:rsidR="00696D59">
        <w:rPr>
          <w:rFonts w:ascii="Times New Roman" w:hAnsi="Times New Roman" w:cs="Times New Roman"/>
          <w:sz w:val="24"/>
          <w:szCs w:val="24"/>
        </w:rPr>
        <w:t xml:space="preserve">Islamic </w:t>
      </w:r>
      <w:r w:rsidR="000D4398">
        <w:rPr>
          <w:rFonts w:ascii="Times New Roman" w:hAnsi="Times New Roman" w:cs="Times New Roman"/>
          <w:sz w:val="24"/>
          <w:szCs w:val="24"/>
        </w:rPr>
        <w:t>investors</w:t>
      </w:r>
      <w:r w:rsidR="00B95AF0">
        <w:rPr>
          <w:rFonts w:ascii="Times New Roman" w:hAnsi="Times New Roman" w:cs="Times New Roman"/>
          <w:sz w:val="24"/>
          <w:szCs w:val="24"/>
        </w:rPr>
        <w:t xml:space="preserve"> and aim to answer the question: </w:t>
      </w:r>
      <w:bookmarkStart w:id="2" w:name="_Hlk71133302"/>
      <w:r w:rsidR="00C16A37" w:rsidRPr="00B1490B">
        <w:rPr>
          <w:rFonts w:ascii="Times New Roman" w:hAnsi="Times New Roman" w:cs="Times New Roman"/>
          <w:i/>
          <w:iCs/>
          <w:color w:val="0070C0"/>
          <w:sz w:val="24"/>
          <w:szCs w:val="24"/>
        </w:rPr>
        <w:t>Are Islamic digital assets able to diversify the risk of Islamic equity portfolios during the times of increased uncertainty?</w:t>
      </w:r>
    </w:p>
    <w:bookmarkEnd w:id="2"/>
    <w:p w14:paraId="27D92110" w14:textId="75BE1C9D" w:rsidR="005C1C6D" w:rsidRDefault="00B95AF0" w:rsidP="00015BBD">
      <w:pPr>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sidR="005C1C6D" w:rsidRPr="004709FD">
        <w:rPr>
          <w:rFonts w:ascii="Times New Roman" w:hAnsi="Times New Roman" w:cs="Times New Roman"/>
          <w:sz w:val="24"/>
          <w:szCs w:val="24"/>
        </w:rPr>
        <w:t xml:space="preserve"> study aims to examine the return and volatility spillover between the Islamic sharia complaint gold</w:t>
      </w:r>
      <w:r w:rsidR="006F11E2">
        <w:rPr>
          <w:rFonts w:ascii="Times New Roman" w:hAnsi="Times New Roman" w:cs="Times New Roman"/>
          <w:sz w:val="24"/>
          <w:szCs w:val="24"/>
        </w:rPr>
        <w:t>-</w:t>
      </w:r>
      <w:r w:rsidR="005C1C6D" w:rsidRPr="004709FD">
        <w:rPr>
          <w:rFonts w:ascii="Times New Roman" w:hAnsi="Times New Roman" w:cs="Times New Roman"/>
          <w:sz w:val="24"/>
          <w:szCs w:val="24"/>
        </w:rPr>
        <w:t xml:space="preserve">backed cryptocurrencies </w:t>
      </w:r>
      <w:r w:rsidR="00053B5E" w:rsidRPr="004709FD">
        <w:rPr>
          <w:rFonts w:ascii="Times New Roman" w:hAnsi="Times New Roman" w:cs="Times New Roman"/>
          <w:sz w:val="24"/>
          <w:szCs w:val="24"/>
        </w:rPr>
        <w:t xml:space="preserve">and Islamic </w:t>
      </w:r>
      <w:r w:rsidR="005C655D" w:rsidRPr="004709FD">
        <w:rPr>
          <w:rFonts w:ascii="Times New Roman" w:hAnsi="Times New Roman" w:cs="Times New Roman"/>
          <w:sz w:val="24"/>
          <w:szCs w:val="24"/>
        </w:rPr>
        <w:t>global equity sectorial markets</w:t>
      </w:r>
      <w:r w:rsidR="00CC6DF6">
        <w:rPr>
          <w:rFonts w:ascii="Times New Roman" w:hAnsi="Times New Roman" w:cs="Times New Roman"/>
          <w:sz w:val="24"/>
          <w:szCs w:val="24"/>
        </w:rPr>
        <w:t xml:space="preserve"> </w:t>
      </w:r>
      <w:r>
        <w:rPr>
          <w:rFonts w:ascii="Times New Roman" w:hAnsi="Times New Roman" w:cs="Times New Roman"/>
          <w:sz w:val="24"/>
          <w:szCs w:val="24"/>
        </w:rPr>
        <w:t>before and during COVID-19 pandemic.</w:t>
      </w:r>
      <w:r w:rsidR="005C655D" w:rsidRPr="004709FD">
        <w:rPr>
          <w:rFonts w:ascii="Times New Roman" w:hAnsi="Times New Roman" w:cs="Times New Roman"/>
          <w:sz w:val="24"/>
          <w:szCs w:val="24"/>
        </w:rPr>
        <w:t xml:space="preserve"> </w:t>
      </w:r>
      <w:r w:rsidR="0043637B" w:rsidRPr="004709FD">
        <w:rPr>
          <w:rFonts w:ascii="Times New Roman" w:hAnsi="Times New Roman" w:cs="Times New Roman"/>
          <w:sz w:val="24"/>
          <w:szCs w:val="24"/>
        </w:rPr>
        <w:t xml:space="preserve">Following </w:t>
      </w:r>
      <w:proofErr w:type="spellStart"/>
      <w:r w:rsidR="009064A6" w:rsidRPr="004709FD">
        <w:rPr>
          <w:rFonts w:ascii="Times New Roman" w:hAnsi="Times New Roman" w:cs="Times New Roman"/>
          <w:sz w:val="24"/>
          <w:szCs w:val="24"/>
        </w:rPr>
        <w:t>Aloui</w:t>
      </w:r>
      <w:proofErr w:type="spellEnd"/>
      <w:r w:rsidR="009064A6" w:rsidRPr="004709FD">
        <w:rPr>
          <w:rFonts w:ascii="Times New Roman" w:hAnsi="Times New Roman" w:cs="Times New Roman"/>
          <w:sz w:val="24"/>
          <w:szCs w:val="24"/>
        </w:rPr>
        <w:t xml:space="preserve"> et al., (2021)</w:t>
      </w:r>
      <w:r w:rsidR="0043637B" w:rsidRPr="004709FD">
        <w:rPr>
          <w:rFonts w:ascii="Times New Roman" w:hAnsi="Times New Roman" w:cs="Times New Roman"/>
          <w:sz w:val="24"/>
          <w:szCs w:val="24"/>
        </w:rPr>
        <w:t xml:space="preserve">, </w:t>
      </w:r>
      <w:r w:rsidR="00ED0E95" w:rsidRPr="004709FD">
        <w:rPr>
          <w:rFonts w:ascii="Times New Roman" w:hAnsi="Times New Roman" w:cs="Times New Roman"/>
          <w:sz w:val="24"/>
          <w:szCs w:val="24"/>
        </w:rPr>
        <w:t>w</w:t>
      </w:r>
      <w:r w:rsidR="00296E4A" w:rsidRPr="004709FD">
        <w:rPr>
          <w:rFonts w:ascii="Times New Roman" w:hAnsi="Times New Roman" w:cs="Times New Roman"/>
          <w:sz w:val="24"/>
          <w:szCs w:val="24"/>
        </w:rPr>
        <w:t xml:space="preserve">e </w:t>
      </w:r>
      <w:r w:rsidR="0043637B" w:rsidRPr="004709FD">
        <w:rPr>
          <w:rFonts w:ascii="Times New Roman" w:hAnsi="Times New Roman" w:cs="Times New Roman"/>
          <w:sz w:val="24"/>
          <w:szCs w:val="24"/>
        </w:rPr>
        <w:t>use</w:t>
      </w:r>
      <w:r w:rsidR="00296E4A" w:rsidRPr="004709FD">
        <w:rPr>
          <w:rFonts w:ascii="Times New Roman" w:hAnsi="Times New Roman" w:cs="Times New Roman"/>
          <w:sz w:val="24"/>
          <w:szCs w:val="24"/>
        </w:rPr>
        <w:t xml:space="preserve"> the two Sharia</w:t>
      </w:r>
      <w:r w:rsidR="006F11E2">
        <w:rPr>
          <w:rFonts w:ascii="Times New Roman" w:hAnsi="Times New Roman" w:cs="Times New Roman"/>
          <w:sz w:val="24"/>
          <w:szCs w:val="24"/>
        </w:rPr>
        <w:t>-</w:t>
      </w:r>
      <w:r w:rsidR="00E850E2" w:rsidRPr="004709FD">
        <w:rPr>
          <w:rFonts w:ascii="Times New Roman" w:hAnsi="Times New Roman" w:cs="Times New Roman"/>
          <w:sz w:val="24"/>
          <w:szCs w:val="24"/>
        </w:rPr>
        <w:t>compl</w:t>
      </w:r>
      <w:r w:rsidR="006F11E2">
        <w:rPr>
          <w:rFonts w:ascii="Times New Roman" w:hAnsi="Times New Roman" w:cs="Times New Roman"/>
          <w:sz w:val="24"/>
          <w:szCs w:val="24"/>
        </w:rPr>
        <w:t>ia</w:t>
      </w:r>
      <w:r w:rsidR="00E850E2" w:rsidRPr="004709FD">
        <w:rPr>
          <w:rFonts w:ascii="Times New Roman" w:hAnsi="Times New Roman" w:cs="Times New Roman"/>
          <w:sz w:val="24"/>
          <w:szCs w:val="24"/>
        </w:rPr>
        <w:t>nt cryptocurrencies</w:t>
      </w:r>
      <w:r w:rsidR="00296E4A" w:rsidRPr="004709FD">
        <w:rPr>
          <w:rFonts w:ascii="Times New Roman" w:hAnsi="Times New Roman" w:cs="Times New Roman"/>
          <w:sz w:val="24"/>
          <w:szCs w:val="24"/>
        </w:rPr>
        <w:t xml:space="preserve"> for analysis, namely Onegram and X8X</w:t>
      </w:r>
      <w:r w:rsidR="00E850E2" w:rsidRPr="004709FD">
        <w:rPr>
          <w:rFonts w:ascii="Times New Roman" w:hAnsi="Times New Roman" w:cs="Times New Roman"/>
          <w:sz w:val="24"/>
          <w:szCs w:val="24"/>
        </w:rPr>
        <w:t xml:space="preserve">. </w:t>
      </w:r>
      <w:r w:rsidR="00ED0E95" w:rsidRPr="004709FD">
        <w:rPr>
          <w:rFonts w:ascii="Times New Roman" w:hAnsi="Times New Roman" w:cs="Times New Roman"/>
          <w:sz w:val="24"/>
          <w:szCs w:val="24"/>
        </w:rPr>
        <w:t xml:space="preserve">The </w:t>
      </w:r>
      <w:r w:rsidR="00600B87" w:rsidRPr="004709FD">
        <w:rPr>
          <w:rFonts w:ascii="Times New Roman" w:hAnsi="Times New Roman" w:cs="Times New Roman"/>
          <w:sz w:val="24"/>
          <w:szCs w:val="24"/>
        </w:rPr>
        <w:t xml:space="preserve">Islamic global equity sectors </w:t>
      </w:r>
      <w:r w:rsidR="00C64191" w:rsidRPr="004709FD">
        <w:rPr>
          <w:rFonts w:ascii="Times New Roman" w:hAnsi="Times New Roman" w:cs="Times New Roman"/>
          <w:sz w:val="24"/>
          <w:szCs w:val="24"/>
        </w:rPr>
        <w:t xml:space="preserve">include communication services, consumer discretionary, consumer staples, energy, financials, health </w:t>
      </w:r>
      <w:r w:rsidR="006F11E2">
        <w:rPr>
          <w:rFonts w:ascii="Times New Roman" w:hAnsi="Times New Roman" w:cs="Times New Roman"/>
          <w:sz w:val="24"/>
          <w:szCs w:val="24"/>
        </w:rPr>
        <w:t>c</w:t>
      </w:r>
      <w:r w:rsidR="00C64191" w:rsidRPr="004709FD">
        <w:rPr>
          <w:rFonts w:ascii="Times New Roman" w:hAnsi="Times New Roman" w:cs="Times New Roman"/>
          <w:sz w:val="24"/>
          <w:szCs w:val="24"/>
        </w:rPr>
        <w:t>are, industrials, information technology, materials, real estate, and utilities</w:t>
      </w:r>
      <w:r w:rsidR="004709FD" w:rsidRPr="004709FD">
        <w:rPr>
          <w:rFonts w:ascii="Times New Roman" w:hAnsi="Times New Roman" w:cs="Times New Roman"/>
          <w:sz w:val="24"/>
          <w:szCs w:val="24"/>
        </w:rPr>
        <w:t xml:space="preserve">. </w:t>
      </w:r>
      <w:r w:rsidR="005C655D" w:rsidRPr="004709FD">
        <w:rPr>
          <w:rFonts w:ascii="Times New Roman" w:hAnsi="Times New Roman" w:cs="Times New Roman"/>
          <w:sz w:val="24"/>
          <w:szCs w:val="24"/>
        </w:rPr>
        <w:t xml:space="preserve">Moreover, </w:t>
      </w:r>
      <w:proofErr w:type="gramStart"/>
      <w:r w:rsidR="005C37C8" w:rsidRPr="005C37C8">
        <w:rPr>
          <w:rFonts w:ascii="Times New Roman" w:hAnsi="Times New Roman" w:cs="Times New Roman"/>
          <w:color w:val="0070C0"/>
          <w:sz w:val="24"/>
          <w:szCs w:val="24"/>
        </w:rPr>
        <w:t>in order to</w:t>
      </w:r>
      <w:proofErr w:type="gramEnd"/>
      <w:r w:rsidR="005C37C8" w:rsidRPr="005C37C8">
        <w:rPr>
          <w:rFonts w:ascii="Times New Roman" w:hAnsi="Times New Roman" w:cs="Times New Roman"/>
          <w:color w:val="0070C0"/>
          <w:sz w:val="24"/>
          <w:szCs w:val="24"/>
        </w:rPr>
        <w:t xml:space="preserve"> provide insightful information </w:t>
      </w:r>
      <w:r w:rsidR="00B049B0">
        <w:rPr>
          <w:rFonts w:ascii="Times New Roman" w:hAnsi="Times New Roman" w:cs="Times New Roman"/>
          <w:color w:val="0070C0"/>
          <w:sz w:val="24"/>
          <w:szCs w:val="24"/>
        </w:rPr>
        <w:t xml:space="preserve">to investors and portfolio managers </w:t>
      </w:r>
      <w:r w:rsidR="005C37C8" w:rsidRPr="005C37C8">
        <w:rPr>
          <w:rFonts w:ascii="Times New Roman" w:hAnsi="Times New Roman" w:cs="Times New Roman"/>
          <w:color w:val="0070C0"/>
          <w:sz w:val="24"/>
          <w:szCs w:val="24"/>
        </w:rPr>
        <w:t xml:space="preserve">regarding optimal portfolio allocation and optimal portfolio risk hedging, </w:t>
      </w:r>
      <w:r w:rsidR="005C655D" w:rsidRPr="004709FD">
        <w:rPr>
          <w:rFonts w:ascii="Times New Roman" w:hAnsi="Times New Roman" w:cs="Times New Roman"/>
          <w:sz w:val="24"/>
          <w:szCs w:val="24"/>
        </w:rPr>
        <w:t xml:space="preserve">we also estimate the optimal weights, hedge ratios, and hedging effectiveness </w:t>
      </w:r>
      <w:r w:rsidR="00EA3EDF">
        <w:rPr>
          <w:rFonts w:ascii="Times New Roman" w:hAnsi="Times New Roman" w:cs="Times New Roman"/>
          <w:sz w:val="24"/>
          <w:szCs w:val="24"/>
        </w:rPr>
        <w:t xml:space="preserve">for the Islamic equity-cryptocurrency pairs </w:t>
      </w:r>
      <w:r w:rsidR="00C37E8E">
        <w:rPr>
          <w:rFonts w:ascii="Times New Roman" w:hAnsi="Times New Roman" w:cs="Times New Roman"/>
          <w:sz w:val="24"/>
          <w:szCs w:val="24"/>
        </w:rPr>
        <w:t>during both sample periods</w:t>
      </w:r>
      <w:r w:rsidR="005C37C8">
        <w:rPr>
          <w:rFonts w:ascii="Times New Roman" w:hAnsi="Times New Roman" w:cs="Times New Roman"/>
          <w:sz w:val="24"/>
          <w:szCs w:val="24"/>
        </w:rPr>
        <w:t>.</w:t>
      </w:r>
    </w:p>
    <w:p w14:paraId="2D810060" w14:textId="4B0D00B2" w:rsidR="00673489" w:rsidRDefault="00FF322D" w:rsidP="00015BBD">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C368E0">
        <w:rPr>
          <w:rFonts w:ascii="Times New Roman" w:hAnsi="Times New Roman" w:cs="Times New Roman"/>
          <w:sz w:val="24"/>
          <w:szCs w:val="24"/>
        </w:rPr>
        <w:t xml:space="preserve">e contributions of this study are </w:t>
      </w:r>
      <w:proofErr w:type="spellStart"/>
      <w:r w:rsidR="00B9119B">
        <w:rPr>
          <w:rFonts w:ascii="Times New Roman" w:hAnsi="Times New Roman" w:cs="Times New Roman"/>
          <w:sz w:val="24"/>
          <w:szCs w:val="24"/>
        </w:rPr>
        <w:t>twofolds</w:t>
      </w:r>
      <w:proofErr w:type="spellEnd"/>
      <w:r w:rsidR="00C368E0">
        <w:rPr>
          <w:rFonts w:ascii="Times New Roman" w:hAnsi="Times New Roman" w:cs="Times New Roman"/>
          <w:sz w:val="24"/>
          <w:szCs w:val="24"/>
        </w:rPr>
        <w:t xml:space="preserve">. First, this study </w:t>
      </w:r>
      <w:r w:rsidR="00D5577B">
        <w:rPr>
          <w:rFonts w:ascii="Times New Roman" w:hAnsi="Times New Roman" w:cs="Times New Roman"/>
          <w:sz w:val="24"/>
          <w:szCs w:val="24"/>
        </w:rPr>
        <w:t xml:space="preserve">extends the literature of </w:t>
      </w:r>
      <w:r w:rsidR="00B9119B">
        <w:rPr>
          <w:rFonts w:ascii="Times New Roman" w:hAnsi="Times New Roman" w:cs="Times New Roman"/>
          <w:sz w:val="24"/>
          <w:szCs w:val="24"/>
        </w:rPr>
        <w:t xml:space="preserve">portfolio optimization and diversification </w:t>
      </w:r>
      <w:r w:rsidR="00D5577B">
        <w:rPr>
          <w:rFonts w:ascii="Times New Roman" w:hAnsi="Times New Roman" w:cs="Times New Roman"/>
          <w:sz w:val="24"/>
          <w:szCs w:val="24"/>
        </w:rPr>
        <w:t xml:space="preserve">by examining the role of </w:t>
      </w:r>
      <w:r w:rsidR="00364334">
        <w:rPr>
          <w:rFonts w:ascii="Times New Roman" w:hAnsi="Times New Roman" w:cs="Times New Roman"/>
          <w:sz w:val="24"/>
          <w:szCs w:val="24"/>
        </w:rPr>
        <w:t>Islamic gold</w:t>
      </w:r>
      <w:r w:rsidR="006F11E2">
        <w:rPr>
          <w:rFonts w:ascii="Times New Roman" w:hAnsi="Times New Roman" w:cs="Times New Roman"/>
          <w:sz w:val="24"/>
          <w:szCs w:val="24"/>
        </w:rPr>
        <w:t>-</w:t>
      </w:r>
      <w:r w:rsidR="00364334">
        <w:rPr>
          <w:rFonts w:ascii="Times New Roman" w:hAnsi="Times New Roman" w:cs="Times New Roman"/>
          <w:sz w:val="24"/>
          <w:szCs w:val="24"/>
        </w:rPr>
        <w:t>backed cryptocurrencies</w:t>
      </w:r>
      <w:r w:rsidR="00C06E48">
        <w:rPr>
          <w:rFonts w:ascii="Times New Roman" w:hAnsi="Times New Roman" w:cs="Times New Roman"/>
          <w:sz w:val="24"/>
          <w:szCs w:val="24"/>
        </w:rPr>
        <w:t xml:space="preserve"> as </w:t>
      </w:r>
      <w:r w:rsidR="006F11E2">
        <w:rPr>
          <w:rFonts w:ascii="Times New Roman" w:hAnsi="Times New Roman" w:cs="Times New Roman"/>
          <w:sz w:val="24"/>
          <w:szCs w:val="24"/>
        </w:rPr>
        <w:t xml:space="preserve">an </w:t>
      </w:r>
      <w:r w:rsidR="00C06E48">
        <w:rPr>
          <w:rFonts w:ascii="Times New Roman" w:hAnsi="Times New Roman" w:cs="Times New Roman"/>
          <w:sz w:val="24"/>
          <w:szCs w:val="24"/>
        </w:rPr>
        <w:t xml:space="preserve">alternate </w:t>
      </w:r>
      <w:r w:rsidR="0060538C">
        <w:rPr>
          <w:rFonts w:ascii="Times New Roman" w:hAnsi="Times New Roman" w:cs="Times New Roman"/>
          <w:sz w:val="24"/>
          <w:szCs w:val="24"/>
        </w:rPr>
        <w:t xml:space="preserve">new </w:t>
      </w:r>
      <w:r w:rsidR="00C06E48">
        <w:rPr>
          <w:rFonts w:ascii="Times New Roman" w:hAnsi="Times New Roman" w:cs="Times New Roman"/>
          <w:sz w:val="24"/>
          <w:szCs w:val="24"/>
        </w:rPr>
        <w:t xml:space="preserve">asset </w:t>
      </w:r>
      <w:r w:rsidR="00B9119B">
        <w:rPr>
          <w:rFonts w:ascii="Times New Roman" w:hAnsi="Times New Roman" w:cs="Times New Roman"/>
          <w:sz w:val="24"/>
          <w:szCs w:val="24"/>
        </w:rPr>
        <w:t>that can be used by Islamic investors</w:t>
      </w:r>
      <w:r w:rsidR="00C06E48">
        <w:rPr>
          <w:rFonts w:ascii="Times New Roman" w:hAnsi="Times New Roman" w:cs="Times New Roman"/>
          <w:sz w:val="24"/>
          <w:szCs w:val="24"/>
        </w:rPr>
        <w:t>.</w:t>
      </w:r>
      <w:r w:rsidR="00B9119B">
        <w:rPr>
          <w:rFonts w:ascii="Times New Roman" w:hAnsi="Times New Roman" w:cs="Times New Roman"/>
          <w:sz w:val="24"/>
          <w:szCs w:val="24"/>
        </w:rPr>
        <w:t xml:space="preserve"> While cryptocurrencies are </w:t>
      </w:r>
      <w:proofErr w:type="gramStart"/>
      <w:r w:rsidR="00B9119B">
        <w:rPr>
          <w:rFonts w:ascii="Times New Roman" w:hAnsi="Times New Roman" w:cs="Times New Roman"/>
          <w:sz w:val="24"/>
          <w:szCs w:val="24"/>
        </w:rPr>
        <w:t>highly-speculative</w:t>
      </w:r>
      <w:proofErr w:type="gramEnd"/>
      <w:r w:rsidR="00B9119B">
        <w:rPr>
          <w:rFonts w:ascii="Times New Roman" w:hAnsi="Times New Roman" w:cs="Times New Roman"/>
          <w:sz w:val="24"/>
          <w:szCs w:val="24"/>
        </w:rPr>
        <w:t xml:space="preserve"> and risky assets, that are often associated with “</w:t>
      </w:r>
      <w:r w:rsidR="00B9119B" w:rsidRPr="00781106">
        <w:rPr>
          <w:rFonts w:ascii="Times New Roman" w:hAnsi="Times New Roman" w:cs="Times New Roman"/>
          <w:i/>
          <w:iCs/>
          <w:sz w:val="24"/>
          <w:szCs w:val="24"/>
        </w:rPr>
        <w:t>gambling</w:t>
      </w:r>
      <w:r w:rsidR="00B9119B">
        <w:rPr>
          <w:rFonts w:ascii="Times New Roman" w:hAnsi="Times New Roman" w:cs="Times New Roman"/>
          <w:sz w:val="24"/>
          <w:szCs w:val="24"/>
        </w:rPr>
        <w:t xml:space="preserve">”, it is important to </w:t>
      </w:r>
      <w:proofErr w:type="spellStart"/>
      <w:r w:rsidR="00B9119B">
        <w:rPr>
          <w:rFonts w:ascii="Times New Roman" w:hAnsi="Times New Roman" w:cs="Times New Roman"/>
          <w:sz w:val="24"/>
          <w:szCs w:val="24"/>
        </w:rPr>
        <w:t>analyse</w:t>
      </w:r>
      <w:proofErr w:type="spellEnd"/>
      <w:r w:rsidR="00B9119B">
        <w:rPr>
          <w:rFonts w:ascii="Times New Roman" w:hAnsi="Times New Roman" w:cs="Times New Roman"/>
          <w:sz w:val="24"/>
          <w:szCs w:val="24"/>
        </w:rPr>
        <w:t xml:space="preserve"> </w:t>
      </w:r>
      <w:bookmarkStart w:id="3" w:name="_Hlk71133408"/>
      <w:r w:rsidR="00B9119B">
        <w:rPr>
          <w:rFonts w:ascii="Times New Roman" w:hAnsi="Times New Roman" w:cs="Times New Roman"/>
          <w:sz w:val="24"/>
          <w:szCs w:val="24"/>
        </w:rPr>
        <w:t xml:space="preserve">what makes these new assets </w:t>
      </w:r>
      <w:proofErr w:type="spellStart"/>
      <w:r w:rsidR="00B9119B">
        <w:rPr>
          <w:rFonts w:ascii="Times New Roman" w:hAnsi="Times New Roman" w:cs="Times New Roman"/>
          <w:sz w:val="24"/>
          <w:szCs w:val="24"/>
        </w:rPr>
        <w:t>trully</w:t>
      </w:r>
      <w:proofErr w:type="spellEnd"/>
      <w:r w:rsidR="00B9119B">
        <w:rPr>
          <w:rFonts w:ascii="Times New Roman" w:hAnsi="Times New Roman" w:cs="Times New Roman"/>
          <w:sz w:val="24"/>
          <w:szCs w:val="24"/>
        </w:rPr>
        <w:t xml:space="preserve"> Sharia-compliant</w:t>
      </w:r>
      <w:bookmarkEnd w:id="3"/>
      <w:r w:rsidR="00B9119B">
        <w:rPr>
          <w:rFonts w:ascii="Times New Roman" w:hAnsi="Times New Roman" w:cs="Times New Roman"/>
          <w:sz w:val="24"/>
          <w:szCs w:val="24"/>
        </w:rPr>
        <w:t>.</w:t>
      </w:r>
      <w:r w:rsidR="00C06E48">
        <w:rPr>
          <w:rFonts w:ascii="Times New Roman" w:hAnsi="Times New Roman" w:cs="Times New Roman"/>
          <w:sz w:val="24"/>
          <w:szCs w:val="24"/>
        </w:rPr>
        <w:t xml:space="preserve"> </w:t>
      </w:r>
      <w:r w:rsidR="00B9119B" w:rsidRPr="00887C17">
        <w:rPr>
          <w:rFonts w:ascii="Times New Roman" w:hAnsi="Times New Roman" w:cs="Times New Roman"/>
          <w:color w:val="0070C0"/>
          <w:sz w:val="24"/>
          <w:szCs w:val="24"/>
        </w:rPr>
        <w:t>To our best knowledge, to date o</w:t>
      </w:r>
      <w:r w:rsidR="00F2328E" w:rsidRPr="00887C17">
        <w:rPr>
          <w:rFonts w:ascii="Times New Roman" w:hAnsi="Times New Roman" w:cs="Times New Roman"/>
          <w:color w:val="0070C0"/>
          <w:sz w:val="24"/>
          <w:szCs w:val="24"/>
        </w:rPr>
        <w:t>nly</w:t>
      </w:r>
      <w:r w:rsidR="00491287" w:rsidRPr="00887C17">
        <w:rPr>
          <w:color w:val="0070C0"/>
        </w:rPr>
        <w:t xml:space="preserve"> </w:t>
      </w:r>
      <w:bookmarkStart w:id="4" w:name="_Hlk80949652"/>
      <w:proofErr w:type="spellStart"/>
      <w:r w:rsidR="00491287" w:rsidRPr="00887C17">
        <w:rPr>
          <w:rFonts w:ascii="Times New Roman" w:hAnsi="Times New Roman" w:cs="Times New Roman"/>
          <w:color w:val="0070C0"/>
          <w:sz w:val="24"/>
          <w:szCs w:val="24"/>
        </w:rPr>
        <w:t>Aloui</w:t>
      </w:r>
      <w:proofErr w:type="spellEnd"/>
      <w:r w:rsidR="00491287" w:rsidRPr="00887C17">
        <w:rPr>
          <w:rFonts w:ascii="Times New Roman" w:hAnsi="Times New Roman" w:cs="Times New Roman"/>
          <w:color w:val="0070C0"/>
          <w:sz w:val="24"/>
          <w:szCs w:val="24"/>
        </w:rPr>
        <w:t xml:space="preserve"> et al., (2021)</w:t>
      </w:r>
      <w:bookmarkEnd w:id="4"/>
      <w:r w:rsidR="00491287" w:rsidRPr="00887C17">
        <w:rPr>
          <w:rFonts w:ascii="Times New Roman" w:hAnsi="Times New Roman" w:cs="Times New Roman"/>
          <w:color w:val="0070C0"/>
          <w:sz w:val="24"/>
          <w:szCs w:val="24"/>
        </w:rPr>
        <w:t xml:space="preserve"> </w:t>
      </w:r>
      <w:r w:rsidR="007B1D42" w:rsidRPr="00887C17">
        <w:rPr>
          <w:rFonts w:ascii="Times New Roman" w:hAnsi="Times New Roman" w:cs="Times New Roman"/>
          <w:color w:val="0070C0"/>
          <w:sz w:val="24"/>
          <w:szCs w:val="24"/>
        </w:rPr>
        <w:t xml:space="preserve">examine the linkages </w:t>
      </w:r>
      <w:r w:rsidR="0098771E" w:rsidRPr="00887C17">
        <w:rPr>
          <w:rFonts w:ascii="Times New Roman" w:hAnsi="Times New Roman" w:cs="Times New Roman"/>
          <w:color w:val="0070C0"/>
          <w:sz w:val="24"/>
          <w:szCs w:val="24"/>
        </w:rPr>
        <w:t>of the</w:t>
      </w:r>
      <w:r w:rsidR="00491287" w:rsidRPr="00887C17">
        <w:rPr>
          <w:rFonts w:ascii="Times New Roman" w:hAnsi="Times New Roman" w:cs="Times New Roman"/>
          <w:color w:val="0070C0"/>
          <w:sz w:val="24"/>
          <w:szCs w:val="24"/>
        </w:rPr>
        <w:t xml:space="preserve"> Islamic </w:t>
      </w:r>
      <w:r w:rsidR="006C4D16" w:rsidRPr="00887C17">
        <w:rPr>
          <w:rFonts w:ascii="Times New Roman" w:hAnsi="Times New Roman" w:cs="Times New Roman"/>
          <w:color w:val="0070C0"/>
          <w:sz w:val="24"/>
          <w:szCs w:val="24"/>
        </w:rPr>
        <w:t xml:space="preserve">and conventional </w:t>
      </w:r>
      <w:r w:rsidR="00491287" w:rsidRPr="00887C17">
        <w:rPr>
          <w:rFonts w:ascii="Times New Roman" w:hAnsi="Times New Roman" w:cs="Times New Roman"/>
          <w:color w:val="0070C0"/>
          <w:sz w:val="24"/>
          <w:szCs w:val="24"/>
        </w:rPr>
        <w:t>gold</w:t>
      </w:r>
      <w:r w:rsidR="002476D5" w:rsidRPr="00887C17">
        <w:rPr>
          <w:rFonts w:ascii="Times New Roman" w:hAnsi="Times New Roman" w:cs="Times New Roman"/>
          <w:color w:val="0070C0"/>
          <w:sz w:val="24"/>
          <w:szCs w:val="24"/>
        </w:rPr>
        <w:t>-</w:t>
      </w:r>
      <w:r w:rsidR="006C4D16" w:rsidRPr="00887C17">
        <w:rPr>
          <w:rFonts w:ascii="Times New Roman" w:hAnsi="Times New Roman" w:cs="Times New Roman"/>
          <w:color w:val="0070C0"/>
          <w:sz w:val="24"/>
          <w:szCs w:val="24"/>
        </w:rPr>
        <w:t xml:space="preserve">backed </w:t>
      </w:r>
      <w:r w:rsidR="00C918C7" w:rsidRPr="00887C17">
        <w:rPr>
          <w:rFonts w:ascii="Times New Roman" w:hAnsi="Times New Roman" w:cs="Times New Roman"/>
          <w:color w:val="0070C0"/>
          <w:sz w:val="24"/>
          <w:szCs w:val="24"/>
        </w:rPr>
        <w:t>cryptocurrencies</w:t>
      </w:r>
      <w:r w:rsidR="007166D7" w:rsidRPr="00887C17">
        <w:rPr>
          <w:rFonts w:ascii="Times New Roman" w:hAnsi="Times New Roman" w:cs="Times New Roman"/>
          <w:color w:val="0070C0"/>
          <w:sz w:val="24"/>
          <w:szCs w:val="24"/>
        </w:rPr>
        <w:t xml:space="preserve"> with the gold</w:t>
      </w:r>
      <w:r w:rsidR="00C918C7" w:rsidRPr="00887C17">
        <w:rPr>
          <w:rFonts w:ascii="Times New Roman" w:hAnsi="Times New Roman" w:cs="Times New Roman"/>
          <w:color w:val="0070C0"/>
          <w:sz w:val="24"/>
          <w:szCs w:val="24"/>
        </w:rPr>
        <w:t>.</w:t>
      </w:r>
      <w:r w:rsidR="006C4D16" w:rsidRPr="00887C17">
        <w:rPr>
          <w:rFonts w:ascii="Times New Roman" w:hAnsi="Times New Roman" w:cs="Times New Roman"/>
          <w:color w:val="0070C0"/>
          <w:sz w:val="24"/>
          <w:szCs w:val="24"/>
        </w:rPr>
        <w:t xml:space="preserve"> </w:t>
      </w:r>
      <w:r w:rsidR="009C791B" w:rsidRPr="00887C17">
        <w:rPr>
          <w:rFonts w:ascii="Times New Roman" w:hAnsi="Times New Roman" w:cs="Times New Roman"/>
          <w:color w:val="0070C0"/>
          <w:sz w:val="24"/>
          <w:szCs w:val="24"/>
        </w:rPr>
        <w:t>They</w:t>
      </w:r>
      <w:r w:rsidR="007166D7" w:rsidRPr="00887C17">
        <w:rPr>
          <w:rFonts w:ascii="Times New Roman" w:hAnsi="Times New Roman" w:cs="Times New Roman"/>
          <w:color w:val="0070C0"/>
          <w:sz w:val="24"/>
          <w:szCs w:val="24"/>
        </w:rPr>
        <w:t xml:space="preserve"> find that </w:t>
      </w:r>
      <w:r w:rsidR="008F467B" w:rsidRPr="00887C17">
        <w:rPr>
          <w:rFonts w:ascii="Times New Roman" w:hAnsi="Times New Roman" w:cs="Times New Roman"/>
          <w:color w:val="0070C0"/>
          <w:sz w:val="24"/>
          <w:szCs w:val="24"/>
        </w:rPr>
        <w:t>Sharia compl</w:t>
      </w:r>
      <w:r w:rsidR="00887C17" w:rsidRPr="00887C17">
        <w:rPr>
          <w:rFonts w:ascii="Times New Roman" w:hAnsi="Times New Roman" w:cs="Times New Roman"/>
          <w:color w:val="0070C0"/>
          <w:sz w:val="24"/>
          <w:szCs w:val="24"/>
        </w:rPr>
        <w:t>iant</w:t>
      </w:r>
      <w:r w:rsidR="008F467B" w:rsidRPr="00887C17">
        <w:rPr>
          <w:rFonts w:ascii="Times New Roman" w:hAnsi="Times New Roman" w:cs="Times New Roman"/>
          <w:color w:val="0070C0"/>
          <w:sz w:val="24"/>
          <w:szCs w:val="24"/>
        </w:rPr>
        <w:t xml:space="preserve"> (conventional) gold</w:t>
      </w:r>
      <w:r w:rsidR="002476D5" w:rsidRPr="00887C17">
        <w:rPr>
          <w:rFonts w:ascii="Times New Roman" w:hAnsi="Times New Roman" w:cs="Times New Roman"/>
          <w:color w:val="0070C0"/>
          <w:sz w:val="24"/>
          <w:szCs w:val="24"/>
        </w:rPr>
        <w:t>-</w:t>
      </w:r>
      <w:r w:rsidR="008F467B" w:rsidRPr="00887C17">
        <w:rPr>
          <w:rFonts w:ascii="Times New Roman" w:hAnsi="Times New Roman" w:cs="Times New Roman"/>
          <w:color w:val="0070C0"/>
          <w:sz w:val="24"/>
          <w:szCs w:val="24"/>
        </w:rPr>
        <w:t xml:space="preserve">backed cryptocurrencies are positively (negatively) </w:t>
      </w:r>
      <w:r w:rsidR="001F6992" w:rsidRPr="00887C17">
        <w:rPr>
          <w:rFonts w:ascii="Times New Roman" w:hAnsi="Times New Roman" w:cs="Times New Roman"/>
          <w:color w:val="0070C0"/>
          <w:sz w:val="24"/>
          <w:szCs w:val="24"/>
        </w:rPr>
        <w:t>correlated with the gold.</w:t>
      </w:r>
      <w:r w:rsidR="00B9119B" w:rsidRPr="00887C17">
        <w:rPr>
          <w:rFonts w:ascii="Times New Roman" w:hAnsi="Times New Roman" w:cs="Times New Roman"/>
          <w:color w:val="0070C0"/>
          <w:sz w:val="24"/>
          <w:szCs w:val="24"/>
        </w:rPr>
        <w:t xml:space="preserve"> </w:t>
      </w:r>
      <w:r w:rsidR="00B9119B">
        <w:rPr>
          <w:rFonts w:ascii="Times New Roman" w:hAnsi="Times New Roman" w:cs="Times New Roman"/>
          <w:sz w:val="24"/>
          <w:szCs w:val="24"/>
        </w:rPr>
        <w:t xml:space="preserve">In the </w:t>
      </w:r>
      <w:r w:rsidR="00300252">
        <w:rPr>
          <w:rFonts w:ascii="Times New Roman" w:hAnsi="Times New Roman" w:cs="Times New Roman"/>
          <w:sz w:val="24"/>
          <w:szCs w:val="24"/>
        </w:rPr>
        <w:t>Islamic finance literature</w:t>
      </w:r>
      <w:r w:rsidR="00EF4AA3">
        <w:rPr>
          <w:rFonts w:ascii="Times New Roman" w:hAnsi="Times New Roman" w:cs="Times New Roman"/>
          <w:sz w:val="24"/>
          <w:szCs w:val="24"/>
        </w:rPr>
        <w:t xml:space="preserve">, </w:t>
      </w:r>
      <w:r w:rsidR="00B9119B">
        <w:rPr>
          <w:rFonts w:ascii="Times New Roman" w:hAnsi="Times New Roman" w:cs="Times New Roman"/>
          <w:sz w:val="24"/>
          <w:szCs w:val="24"/>
        </w:rPr>
        <w:t xml:space="preserve">only a few </w:t>
      </w:r>
      <w:r w:rsidR="002661FB">
        <w:rPr>
          <w:rFonts w:ascii="Times New Roman" w:hAnsi="Times New Roman" w:cs="Times New Roman"/>
          <w:sz w:val="24"/>
          <w:szCs w:val="24"/>
        </w:rPr>
        <w:t>Sharia</w:t>
      </w:r>
      <w:r w:rsidR="002476D5">
        <w:rPr>
          <w:rFonts w:ascii="Times New Roman" w:hAnsi="Times New Roman" w:cs="Times New Roman"/>
          <w:sz w:val="24"/>
          <w:szCs w:val="24"/>
        </w:rPr>
        <w:t>-</w:t>
      </w:r>
      <w:r w:rsidR="002661FB">
        <w:rPr>
          <w:rFonts w:ascii="Times New Roman" w:hAnsi="Times New Roman" w:cs="Times New Roman"/>
          <w:sz w:val="24"/>
          <w:szCs w:val="24"/>
        </w:rPr>
        <w:lastRenderedPageBreak/>
        <w:t xml:space="preserve">compliant </w:t>
      </w:r>
      <w:r w:rsidR="00EF4AA3">
        <w:rPr>
          <w:rFonts w:ascii="Times New Roman" w:hAnsi="Times New Roman" w:cs="Times New Roman"/>
          <w:sz w:val="24"/>
          <w:szCs w:val="24"/>
        </w:rPr>
        <w:t xml:space="preserve">assets were examined </w:t>
      </w:r>
      <w:r w:rsidR="00B9119B">
        <w:rPr>
          <w:rFonts w:ascii="Times New Roman" w:hAnsi="Times New Roman" w:cs="Times New Roman"/>
          <w:sz w:val="24"/>
          <w:szCs w:val="24"/>
        </w:rPr>
        <w:t xml:space="preserve">in the context of </w:t>
      </w:r>
      <w:r w:rsidR="00473121">
        <w:rPr>
          <w:rFonts w:ascii="Times New Roman" w:hAnsi="Times New Roman" w:cs="Times New Roman"/>
          <w:sz w:val="24"/>
          <w:szCs w:val="24"/>
        </w:rPr>
        <w:t>Islamic equity</w:t>
      </w:r>
      <w:r w:rsidR="007D7143">
        <w:rPr>
          <w:rFonts w:ascii="Times New Roman" w:hAnsi="Times New Roman" w:cs="Times New Roman"/>
          <w:sz w:val="24"/>
          <w:szCs w:val="24"/>
        </w:rPr>
        <w:t xml:space="preserve"> </w:t>
      </w:r>
      <w:r w:rsidR="00B9119B">
        <w:rPr>
          <w:rFonts w:ascii="Times New Roman" w:hAnsi="Times New Roman" w:cs="Times New Roman"/>
          <w:sz w:val="24"/>
          <w:szCs w:val="24"/>
        </w:rPr>
        <w:t>portfolios</w:t>
      </w:r>
      <w:r w:rsidR="00473121">
        <w:rPr>
          <w:rFonts w:ascii="Times New Roman" w:hAnsi="Times New Roman" w:cs="Times New Roman"/>
          <w:sz w:val="24"/>
          <w:szCs w:val="24"/>
        </w:rPr>
        <w:t xml:space="preserve">, like </w:t>
      </w:r>
      <w:r w:rsidR="002476D5">
        <w:rPr>
          <w:rFonts w:ascii="Times New Roman" w:hAnsi="Times New Roman" w:cs="Times New Roman"/>
          <w:sz w:val="24"/>
          <w:szCs w:val="24"/>
        </w:rPr>
        <w:t>S</w:t>
      </w:r>
      <w:r w:rsidR="00473121">
        <w:rPr>
          <w:rFonts w:ascii="Times New Roman" w:hAnsi="Times New Roman" w:cs="Times New Roman"/>
          <w:sz w:val="24"/>
          <w:szCs w:val="24"/>
        </w:rPr>
        <w:t>ukuk</w:t>
      </w:r>
      <w:r w:rsidR="00B9119B">
        <w:rPr>
          <w:rFonts w:ascii="Times New Roman" w:hAnsi="Times New Roman" w:cs="Times New Roman"/>
          <w:sz w:val="24"/>
          <w:szCs w:val="24"/>
        </w:rPr>
        <w:t>,</w:t>
      </w:r>
      <w:r w:rsidR="004102EF">
        <w:rPr>
          <w:rFonts w:ascii="Times New Roman" w:hAnsi="Times New Roman" w:cs="Times New Roman"/>
          <w:sz w:val="24"/>
          <w:szCs w:val="24"/>
        </w:rPr>
        <w:t xml:space="preserve"> </w:t>
      </w:r>
      <w:r w:rsidR="00473121">
        <w:rPr>
          <w:rFonts w:ascii="Times New Roman" w:hAnsi="Times New Roman" w:cs="Times New Roman"/>
          <w:sz w:val="24"/>
          <w:szCs w:val="24"/>
        </w:rPr>
        <w:t>gold</w:t>
      </w:r>
      <w:r w:rsidR="0090381A">
        <w:rPr>
          <w:rFonts w:ascii="Times New Roman" w:hAnsi="Times New Roman" w:cs="Times New Roman"/>
          <w:sz w:val="24"/>
          <w:szCs w:val="24"/>
        </w:rPr>
        <w:t>,</w:t>
      </w:r>
      <w:r w:rsidR="00B9119B">
        <w:rPr>
          <w:rFonts w:ascii="Times New Roman" w:hAnsi="Times New Roman" w:cs="Times New Roman"/>
          <w:sz w:val="24"/>
          <w:szCs w:val="24"/>
        </w:rPr>
        <w:t xml:space="preserve"> and oil, however,</w:t>
      </w:r>
      <w:r w:rsidR="0090381A">
        <w:rPr>
          <w:rFonts w:ascii="Times New Roman" w:hAnsi="Times New Roman" w:cs="Times New Roman"/>
          <w:sz w:val="24"/>
          <w:szCs w:val="24"/>
        </w:rPr>
        <w:t xml:space="preserve"> this study explores the features of Islamic gold</w:t>
      </w:r>
      <w:r w:rsidR="002476D5">
        <w:rPr>
          <w:rFonts w:ascii="Times New Roman" w:hAnsi="Times New Roman" w:cs="Times New Roman"/>
          <w:sz w:val="24"/>
          <w:szCs w:val="24"/>
        </w:rPr>
        <w:t>-</w:t>
      </w:r>
      <w:r w:rsidR="0090381A">
        <w:rPr>
          <w:rFonts w:ascii="Times New Roman" w:hAnsi="Times New Roman" w:cs="Times New Roman"/>
          <w:sz w:val="24"/>
          <w:szCs w:val="24"/>
        </w:rPr>
        <w:t>backed cryptocurrencie</w:t>
      </w:r>
      <w:r w:rsidR="009D3551">
        <w:rPr>
          <w:rFonts w:ascii="Times New Roman" w:hAnsi="Times New Roman" w:cs="Times New Roman"/>
          <w:sz w:val="24"/>
          <w:szCs w:val="24"/>
        </w:rPr>
        <w:t>s</w:t>
      </w:r>
      <w:r w:rsidR="00FA59D2">
        <w:rPr>
          <w:rFonts w:ascii="Times New Roman" w:hAnsi="Times New Roman" w:cs="Times New Roman"/>
          <w:sz w:val="24"/>
          <w:szCs w:val="24"/>
        </w:rPr>
        <w:t xml:space="preserve"> against Islamic equity markets</w:t>
      </w:r>
      <w:r w:rsidR="009D3551">
        <w:rPr>
          <w:rFonts w:ascii="Times New Roman" w:hAnsi="Times New Roman" w:cs="Times New Roman"/>
          <w:sz w:val="24"/>
          <w:szCs w:val="24"/>
        </w:rPr>
        <w:t>. For Islamic portfolio managers, this study provide</w:t>
      </w:r>
      <w:r w:rsidR="00B4765E">
        <w:rPr>
          <w:rFonts w:ascii="Times New Roman" w:hAnsi="Times New Roman" w:cs="Times New Roman"/>
          <w:sz w:val="24"/>
          <w:szCs w:val="24"/>
        </w:rPr>
        <w:t>s</w:t>
      </w:r>
      <w:r w:rsidR="00281FCF">
        <w:rPr>
          <w:rFonts w:ascii="Times New Roman" w:hAnsi="Times New Roman" w:cs="Times New Roman"/>
          <w:sz w:val="24"/>
          <w:szCs w:val="24"/>
        </w:rPr>
        <w:t xml:space="preserve"> useful insights</w:t>
      </w:r>
      <w:r w:rsidR="00686DDA">
        <w:rPr>
          <w:rFonts w:ascii="Times New Roman" w:hAnsi="Times New Roman" w:cs="Times New Roman"/>
          <w:sz w:val="24"/>
          <w:szCs w:val="24"/>
        </w:rPr>
        <w:t xml:space="preserve"> regarding the features of </w:t>
      </w:r>
      <w:r w:rsidR="00075E58">
        <w:rPr>
          <w:rFonts w:ascii="Times New Roman" w:hAnsi="Times New Roman" w:cs="Times New Roman"/>
          <w:sz w:val="24"/>
          <w:szCs w:val="24"/>
        </w:rPr>
        <w:t xml:space="preserve">Sharia complaint </w:t>
      </w:r>
      <w:r w:rsidR="00686DDA">
        <w:rPr>
          <w:rFonts w:ascii="Times New Roman" w:hAnsi="Times New Roman" w:cs="Times New Roman"/>
          <w:sz w:val="24"/>
          <w:szCs w:val="24"/>
        </w:rPr>
        <w:t>cryptocurrencies</w:t>
      </w:r>
      <w:r w:rsidR="00075E58">
        <w:rPr>
          <w:rFonts w:ascii="Times New Roman" w:hAnsi="Times New Roman" w:cs="Times New Roman"/>
          <w:sz w:val="24"/>
          <w:szCs w:val="24"/>
        </w:rPr>
        <w:t xml:space="preserve"> for </w:t>
      </w:r>
      <w:r w:rsidR="00686DDA">
        <w:rPr>
          <w:rFonts w:ascii="Times New Roman" w:hAnsi="Times New Roman" w:cs="Times New Roman"/>
          <w:sz w:val="24"/>
          <w:szCs w:val="24"/>
        </w:rPr>
        <w:t>Islamic</w:t>
      </w:r>
      <w:r w:rsidR="003B3D32">
        <w:rPr>
          <w:rFonts w:ascii="Times New Roman" w:hAnsi="Times New Roman" w:cs="Times New Roman"/>
          <w:sz w:val="24"/>
          <w:szCs w:val="24"/>
        </w:rPr>
        <w:t xml:space="preserve"> equity </w:t>
      </w:r>
      <w:r w:rsidR="00075E58">
        <w:rPr>
          <w:rFonts w:ascii="Times New Roman" w:hAnsi="Times New Roman" w:cs="Times New Roman"/>
          <w:sz w:val="24"/>
          <w:szCs w:val="24"/>
        </w:rPr>
        <w:t>portfolio diversification</w:t>
      </w:r>
      <w:r w:rsidR="00686DDA">
        <w:rPr>
          <w:rFonts w:ascii="Times New Roman" w:hAnsi="Times New Roman" w:cs="Times New Roman"/>
          <w:sz w:val="24"/>
          <w:szCs w:val="24"/>
        </w:rPr>
        <w:t xml:space="preserve">. </w:t>
      </w:r>
    </w:p>
    <w:p w14:paraId="605D1460" w14:textId="54D9610A" w:rsidR="008D01CB" w:rsidRPr="000C48E8" w:rsidRDefault="00B9119B" w:rsidP="008D01CB">
      <w:pPr>
        <w:spacing w:line="360" w:lineRule="auto"/>
        <w:jc w:val="both"/>
        <w:rPr>
          <w:rFonts w:ascii="Times New Roman" w:hAnsi="Times New Roman" w:cs="Times New Roman"/>
          <w:color w:val="0070C0"/>
          <w:sz w:val="24"/>
          <w:szCs w:val="24"/>
        </w:rPr>
      </w:pPr>
      <w:r w:rsidRPr="000C48E8">
        <w:rPr>
          <w:rFonts w:ascii="Times New Roman" w:hAnsi="Times New Roman" w:cs="Times New Roman"/>
          <w:color w:val="0070C0"/>
          <w:sz w:val="24"/>
          <w:szCs w:val="24"/>
        </w:rPr>
        <w:t>Second</w:t>
      </w:r>
      <w:r w:rsidR="009C767D" w:rsidRPr="000C48E8">
        <w:rPr>
          <w:rFonts w:ascii="Times New Roman" w:hAnsi="Times New Roman" w:cs="Times New Roman"/>
          <w:color w:val="0070C0"/>
          <w:sz w:val="24"/>
          <w:szCs w:val="24"/>
        </w:rPr>
        <w:t xml:space="preserve">, this study </w:t>
      </w:r>
      <w:r w:rsidR="005E65BB" w:rsidRPr="000C48E8">
        <w:rPr>
          <w:rFonts w:ascii="Times New Roman" w:hAnsi="Times New Roman" w:cs="Times New Roman"/>
          <w:color w:val="0070C0"/>
          <w:sz w:val="24"/>
          <w:szCs w:val="24"/>
        </w:rPr>
        <w:t>extend</w:t>
      </w:r>
      <w:r w:rsidR="008F5633" w:rsidRPr="000C48E8">
        <w:rPr>
          <w:rFonts w:ascii="Times New Roman" w:hAnsi="Times New Roman" w:cs="Times New Roman"/>
          <w:color w:val="0070C0"/>
          <w:sz w:val="24"/>
          <w:szCs w:val="24"/>
        </w:rPr>
        <w:t>s</w:t>
      </w:r>
      <w:r w:rsidR="005E65BB" w:rsidRPr="000C48E8">
        <w:rPr>
          <w:rFonts w:ascii="Times New Roman" w:hAnsi="Times New Roman" w:cs="Times New Roman"/>
          <w:color w:val="0070C0"/>
          <w:sz w:val="24"/>
          <w:szCs w:val="24"/>
        </w:rPr>
        <w:t xml:space="preserve"> the literature on </w:t>
      </w:r>
      <w:r w:rsidRPr="000C48E8">
        <w:rPr>
          <w:rFonts w:ascii="Times New Roman" w:hAnsi="Times New Roman" w:cs="Times New Roman"/>
          <w:color w:val="0070C0"/>
          <w:sz w:val="24"/>
          <w:szCs w:val="24"/>
        </w:rPr>
        <w:t xml:space="preserve">the spillover effect during the COVID-19 pandemic </w:t>
      </w:r>
      <w:r w:rsidR="005C4039" w:rsidRPr="000C48E8">
        <w:rPr>
          <w:rFonts w:ascii="Times New Roman" w:hAnsi="Times New Roman" w:cs="Times New Roman"/>
          <w:color w:val="0070C0"/>
          <w:sz w:val="24"/>
          <w:szCs w:val="24"/>
        </w:rPr>
        <w:t xml:space="preserve">by examining the spillovers </w:t>
      </w:r>
      <w:r w:rsidR="00BA6869">
        <w:rPr>
          <w:rFonts w:ascii="Times New Roman" w:hAnsi="Times New Roman" w:cs="Times New Roman"/>
          <w:color w:val="0070C0"/>
          <w:sz w:val="24"/>
          <w:szCs w:val="24"/>
        </w:rPr>
        <w:t>between</w:t>
      </w:r>
      <w:r w:rsidR="005C4039" w:rsidRPr="000C48E8">
        <w:rPr>
          <w:rFonts w:ascii="Times New Roman" w:hAnsi="Times New Roman" w:cs="Times New Roman"/>
          <w:color w:val="0070C0"/>
          <w:sz w:val="24"/>
          <w:szCs w:val="24"/>
        </w:rPr>
        <w:t xml:space="preserve"> the Islamic equity-cryptocurrency pair</w:t>
      </w:r>
      <w:r w:rsidRPr="000C48E8">
        <w:rPr>
          <w:rFonts w:ascii="Times New Roman" w:hAnsi="Times New Roman" w:cs="Times New Roman"/>
          <w:color w:val="0070C0"/>
          <w:sz w:val="24"/>
          <w:szCs w:val="24"/>
        </w:rPr>
        <w:t>s</w:t>
      </w:r>
      <w:r w:rsidR="005C4039" w:rsidRPr="000C48E8">
        <w:rPr>
          <w:rFonts w:ascii="Times New Roman" w:hAnsi="Times New Roman" w:cs="Times New Roman"/>
          <w:color w:val="0070C0"/>
          <w:sz w:val="24"/>
          <w:szCs w:val="24"/>
        </w:rPr>
        <w:t xml:space="preserve"> </w:t>
      </w:r>
      <w:r w:rsidR="009C236D" w:rsidRPr="000C48E8">
        <w:rPr>
          <w:rFonts w:ascii="Times New Roman" w:hAnsi="Times New Roman" w:cs="Times New Roman"/>
          <w:color w:val="0070C0"/>
          <w:sz w:val="24"/>
          <w:szCs w:val="24"/>
        </w:rPr>
        <w:t xml:space="preserve">before and </w:t>
      </w:r>
      <w:r w:rsidR="005C4039" w:rsidRPr="000C48E8">
        <w:rPr>
          <w:rFonts w:ascii="Times New Roman" w:hAnsi="Times New Roman" w:cs="Times New Roman"/>
          <w:color w:val="0070C0"/>
          <w:sz w:val="24"/>
          <w:szCs w:val="24"/>
        </w:rPr>
        <w:t>during</w:t>
      </w:r>
      <w:r w:rsidR="009C236D" w:rsidRPr="000C48E8">
        <w:rPr>
          <w:rFonts w:ascii="Times New Roman" w:hAnsi="Times New Roman" w:cs="Times New Roman"/>
          <w:color w:val="0070C0"/>
          <w:sz w:val="24"/>
          <w:szCs w:val="24"/>
        </w:rPr>
        <w:t xml:space="preserve"> </w:t>
      </w:r>
      <w:r w:rsidR="005C4039" w:rsidRPr="000C48E8">
        <w:rPr>
          <w:rFonts w:ascii="Times New Roman" w:hAnsi="Times New Roman" w:cs="Times New Roman"/>
          <w:color w:val="0070C0"/>
          <w:sz w:val="24"/>
          <w:szCs w:val="24"/>
        </w:rPr>
        <w:t>COVID-19</w:t>
      </w:r>
      <w:r w:rsidRPr="000C48E8">
        <w:rPr>
          <w:rFonts w:ascii="Times New Roman" w:hAnsi="Times New Roman" w:cs="Times New Roman"/>
          <w:color w:val="0070C0"/>
          <w:sz w:val="24"/>
          <w:szCs w:val="24"/>
        </w:rPr>
        <w:t xml:space="preserve"> offering insights not only for Islamic portfolio managers, but to any investor that wishes to hedge the pandemic risks.</w:t>
      </w:r>
      <w:r w:rsidR="009C236D" w:rsidRPr="000C48E8">
        <w:rPr>
          <w:rFonts w:ascii="Times New Roman" w:hAnsi="Times New Roman" w:cs="Times New Roman"/>
          <w:color w:val="0070C0"/>
          <w:sz w:val="24"/>
          <w:szCs w:val="24"/>
        </w:rPr>
        <w:t xml:space="preserve"> </w:t>
      </w:r>
      <w:r w:rsidR="0096423F" w:rsidRPr="000C48E8">
        <w:rPr>
          <w:rFonts w:ascii="Times New Roman" w:hAnsi="Times New Roman" w:cs="Times New Roman"/>
          <w:color w:val="0070C0"/>
          <w:sz w:val="24"/>
          <w:szCs w:val="24"/>
        </w:rPr>
        <w:t xml:space="preserve">Several studies report </w:t>
      </w:r>
      <w:r w:rsidR="00B524FD" w:rsidRPr="000C48E8">
        <w:rPr>
          <w:rFonts w:ascii="Times New Roman" w:hAnsi="Times New Roman" w:cs="Times New Roman"/>
          <w:color w:val="0070C0"/>
          <w:sz w:val="24"/>
          <w:szCs w:val="24"/>
        </w:rPr>
        <w:t>that the return and/or volatility spillover</w:t>
      </w:r>
      <w:r w:rsidR="00B477C7" w:rsidRPr="000C48E8">
        <w:rPr>
          <w:rFonts w:ascii="Times New Roman" w:hAnsi="Times New Roman" w:cs="Times New Roman"/>
          <w:color w:val="0070C0"/>
          <w:sz w:val="24"/>
          <w:szCs w:val="24"/>
        </w:rPr>
        <w:t xml:space="preserve"> </w:t>
      </w:r>
      <w:r w:rsidR="002476D5" w:rsidRPr="000C48E8">
        <w:rPr>
          <w:rFonts w:ascii="Times New Roman" w:hAnsi="Times New Roman" w:cs="Times New Roman"/>
          <w:color w:val="0070C0"/>
          <w:sz w:val="24"/>
          <w:szCs w:val="24"/>
        </w:rPr>
        <w:t>is</w:t>
      </w:r>
      <w:r w:rsidR="00DF7D96" w:rsidRPr="000C48E8">
        <w:rPr>
          <w:rFonts w:ascii="Times New Roman" w:hAnsi="Times New Roman" w:cs="Times New Roman"/>
          <w:color w:val="0070C0"/>
          <w:sz w:val="24"/>
          <w:szCs w:val="24"/>
        </w:rPr>
        <w:t xml:space="preserve"> different during the </w:t>
      </w:r>
      <w:r w:rsidR="00BB63C7" w:rsidRPr="000C48E8">
        <w:rPr>
          <w:rFonts w:ascii="Times New Roman" w:hAnsi="Times New Roman" w:cs="Times New Roman"/>
          <w:color w:val="0070C0"/>
          <w:sz w:val="24"/>
          <w:szCs w:val="24"/>
        </w:rPr>
        <w:t>pre-COVID-19 and the COVID-19 periods</w:t>
      </w:r>
      <w:r w:rsidR="00526737" w:rsidRPr="000C48E8">
        <w:rPr>
          <w:rFonts w:ascii="Times New Roman" w:hAnsi="Times New Roman" w:cs="Times New Roman"/>
          <w:color w:val="0070C0"/>
          <w:sz w:val="24"/>
          <w:szCs w:val="24"/>
        </w:rPr>
        <w:t xml:space="preserve"> </w:t>
      </w:r>
      <w:r w:rsidR="00DF7D96" w:rsidRPr="000C48E8">
        <w:rPr>
          <w:rFonts w:ascii="Times New Roman" w:hAnsi="Times New Roman" w:cs="Times New Roman"/>
          <w:color w:val="0070C0"/>
          <w:sz w:val="24"/>
          <w:szCs w:val="24"/>
        </w:rPr>
        <w:t xml:space="preserve">for </w:t>
      </w:r>
      <w:r w:rsidR="0099490A" w:rsidRPr="000C48E8">
        <w:rPr>
          <w:rFonts w:ascii="Times New Roman" w:hAnsi="Times New Roman" w:cs="Times New Roman"/>
          <w:color w:val="0070C0"/>
          <w:sz w:val="24"/>
          <w:szCs w:val="24"/>
        </w:rPr>
        <w:t xml:space="preserve">the </w:t>
      </w:r>
      <w:r w:rsidR="00DF7D96" w:rsidRPr="000C48E8">
        <w:rPr>
          <w:rFonts w:ascii="Times New Roman" w:hAnsi="Times New Roman" w:cs="Times New Roman"/>
          <w:color w:val="0070C0"/>
          <w:sz w:val="24"/>
          <w:szCs w:val="24"/>
        </w:rPr>
        <w:t xml:space="preserve">pairs of </w:t>
      </w:r>
      <w:r w:rsidR="0022433B" w:rsidRPr="000C48E8">
        <w:rPr>
          <w:rFonts w:ascii="Times New Roman" w:hAnsi="Times New Roman" w:cs="Times New Roman"/>
          <w:color w:val="0070C0"/>
          <w:sz w:val="24"/>
          <w:szCs w:val="24"/>
        </w:rPr>
        <w:t xml:space="preserve">Islamic </w:t>
      </w:r>
      <w:r w:rsidR="00034237" w:rsidRPr="000C48E8">
        <w:rPr>
          <w:rFonts w:ascii="Times New Roman" w:hAnsi="Times New Roman" w:cs="Times New Roman"/>
          <w:color w:val="0070C0"/>
          <w:sz w:val="24"/>
          <w:szCs w:val="24"/>
        </w:rPr>
        <w:t xml:space="preserve">equity </w:t>
      </w:r>
      <w:r w:rsidR="0022433B" w:rsidRPr="000C48E8">
        <w:rPr>
          <w:rFonts w:ascii="Times New Roman" w:hAnsi="Times New Roman" w:cs="Times New Roman"/>
          <w:color w:val="0070C0"/>
          <w:sz w:val="24"/>
          <w:szCs w:val="24"/>
        </w:rPr>
        <w:t xml:space="preserve">and </w:t>
      </w:r>
      <w:r w:rsidR="00034237" w:rsidRPr="000C48E8">
        <w:rPr>
          <w:rFonts w:ascii="Times New Roman" w:hAnsi="Times New Roman" w:cs="Times New Roman"/>
          <w:color w:val="0070C0"/>
          <w:sz w:val="24"/>
          <w:szCs w:val="24"/>
        </w:rPr>
        <w:t>other</w:t>
      </w:r>
      <w:r w:rsidR="0022433B" w:rsidRPr="000C48E8">
        <w:rPr>
          <w:rFonts w:ascii="Times New Roman" w:hAnsi="Times New Roman" w:cs="Times New Roman"/>
          <w:color w:val="0070C0"/>
          <w:sz w:val="24"/>
          <w:szCs w:val="24"/>
        </w:rPr>
        <w:t xml:space="preserve"> </w:t>
      </w:r>
      <w:r w:rsidR="00DF7D96" w:rsidRPr="000C48E8">
        <w:rPr>
          <w:rFonts w:ascii="Times New Roman" w:hAnsi="Times New Roman" w:cs="Times New Roman"/>
          <w:color w:val="0070C0"/>
          <w:sz w:val="24"/>
          <w:szCs w:val="24"/>
        </w:rPr>
        <w:t>markets (</w:t>
      </w:r>
      <w:r w:rsidR="00BB4108" w:rsidRPr="000C48E8">
        <w:rPr>
          <w:rFonts w:ascii="Times New Roman" w:hAnsi="Times New Roman" w:cs="Times New Roman"/>
          <w:color w:val="0070C0"/>
          <w:sz w:val="24"/>
          <w:szCs w:val="24"/>
        </w:rPr>
        <w:t>Yaro</w:t>
      </w:r>
      <w:r w:rsidR="00344C5B" w:rsidRPr="000C48E8">
        <w:rPr>
          <w:rFonts w:ascii="Times New Roman" w:hAnsi="Times New Roman" w:cs="Times New Roman"/>
          <w:color w:val="0070C0"/>
          <w:sz w:val="24"/>
          <w:szCs w:val="24"/>
        </w:rPr>
        <w:t>vaya et al., 2021</w:t>
      </w:r>
      <w:r w:rsidR="00E27507" w:rsidRPr="000C48E8">
        <w:rPr>
          <w:rFonts w:ascii="Times New Roman" w:hAnsi="Times New Roman" w:cs="Times New Roman"/>
          <w:color w:val="0070C0"/>
          <w:sz w:val="24"/>
          <w:szCs w:val="24"/>
        </w:rPr>
        <w:t>a</w:t>
      </w:r>
      <w:r w:rsidR="00460567" w:rsidRPr="000C48E8">
        <w:rPr>
          <w:rFonts w:ascii="Times New Roman" w:hAnsi="Times New Roman" w:cs="Times New Roman"/>
          <w:color w:val="0070C0"/>
          <w:sz w:val="24"/>
          <w:szCs w:val="24"/>
        </w:rPr>
        <w:t xml:space="preserve">; </w:t>
      </w:r>
      <w:proofErr w:type="spellStart"/>
      <w:r w:rsidR="00502D04" w:rsidRPr="000C48E8">
        <w:rPr>
          <w:rFonts w:ascii="Times New Roman" w:hAnsi="Times New Roman" w:cs="Times New Roman"/>
          <w:color w:val="0070C0"/>
          <w:sz w:val="24"/>
          <w:szCs w:val="24"/>
        </w:rPr>
        <w:t>Bahloul</w:t>
      </w:r>
      <w:proofErr w:type="spellEnd"/>
      <w:r w:rsidR="00502D04" w:rsidRPr="000C48E8">
        <w:rPr>
          <w:rFonts w:ascii="Times New Roman" w:hAnsi="Times New Roman" w:cs="Times New Roman"/>
          <w:color w:val="0070C0"/>
          <w:sz w:val="24"/>
          <w:szCs w:val="24"/>
        </w:rPr>
        <w:t xml:space="preserve"> and </w:t>
      </w:r>
      <w:proofErr w:type="spellStart"/>
      <w:r w:rsidR="00502D04" w:rsidRPr="000C48E8">
        <w:rPr>
          <w:rFonts w:ascii="Times New Roman" w:hAnsi="Times New Roman" w:cs="Times New Roman"/>
          <w:color w:val="0070C0"/>
          <w:sz w:val="24"/>
          <w:szCs w:val="24"/>
        </w:rPr>
        <w:t>Khemakhem</w:t>
      </w:r>
      <w:proofErr w:type="spellEnd"/>
      <w:r w:rsidR="00502D04" w:rsidRPr="000C48E8">
        <w:rPr>
          <w:rFonts w:ascii="Times New Roman" w:hAnsi="Times New Roman" w:cs="Times New Roman"/>
          <w:color w:val="0070C0"/>
          <w:sz w:val="24"/>
          <w:szCs w:val="24"/>
        </w:rPr>
        <w:t xml:space="preserve">, 2021; </w:t>
      </w:r>
      <w:r w:rsidR="00DC52DF" w:rsidRPr="000C48E8">
        <w:rPr>
          <w:rFonts w:ascii="Times New Roman" w:hAnsi="Times New Roman" w:cs="Times New Roman"/>
          <w:color w:val="0070C0"/>
          <w:sz w:val="24"/>
          <w:szCs w:val="24"/>
        </w:rPr>
        <w:t xml:space="preserve">Adekoya et al., 2021; </w:t>
      </w:r>
      <w:r w:rsidR="00460567" w:rsidRPr="000C48E8">
        <w:rPr>
          <w:rFonts w:ascii="Times New Roman" w:hAnsi="Times New Roman" w:cs="Times New Roman"/>
          <w:color w:val="0070C0"/>
          <w:sz w:val="24"/>
          <w:szCs w:val="24"/>
        </w:rPr>
        <w:t>Hasan et al., 2021</w:t>
      </w:r>
      <w:r w:rsidR="00254962" w:rsidRPr="000C48E8">
        <w:rPr>
          <w:rFonts w:ascii="Times New Roman" w:hAnsi="Times New Roman" w:cs="Times New Roman"/>
          <w:color w:val="0070C0"/>
          <w:sz w:val="24"/>
          <w:szCs w:val="24"/>
        </w:rPr>
        <w:t>)</w:t>
      </w:r>
      <w:r w:rsidR="00327744" w:rsidRPr="000C48E8">
        <w:rPr>
          <w:rFonts w:ascii="Times New Roman" w:hAnsi="Times New Roman" w:cs="Times New Roman"/>
          <w:color w:val="0070C0"/>
          <w:sz w:val="24"/>
          <w:szCs w:val="24"/>
        </w:rPr>
        <w:t xml:space="preserve">. </w:t>
      </w:r>
      <w:r w:rsidRPr="000C48E8">
        <w:rPr>
          <w:rFonts w:ascii="Times New Roman" w:hAnsi="Times New Roman" w:cs="Times New Roman"/>
          <w:color w:val="0070C0"/>
          <w:sz w:val="24"/>
          <w:szCs w:val="24"/>
        </w:rPr>
        <w:t>More specifically, by considering gold-backed cryptocurrencies our paper add</w:t>
      </w:r>
      <w:r w:rsidR="00784D02" w:rsidRPr="000C48E8">
        <w:rPr>
          <w:rFonts w:ascii="Times New Roman" w:hAnsi="Times New Roman" w:cs="Times New Roman"/>
          <w:color w:val="0070C0"/>
          <w:sz w:val="24"/>
          <w:szCs w:val="24"/>
        </w:rPr>
        <w:t>s</w:t>
      </w:r>
      <w:r w:rsidRPr="000C48E8">
        <w:rPr>
          <w:rFonts w:ascii="Times New Roman" w:hAnsi="Times New Roman" w:cs="Times New Roman"/>
          <w:color w:val="0070C0"/>
          <w:sz w:val="24"/>
          <w:szCs w:val="24"/>
        </w:rPr>
        <w:t xml:space="preserve"> to the literature on Stablecoins (Wang et al., 2020; </w:t>
      </w:r>
      <w:proofErr w:type="spellStart"/>
      <w:r w:rsidRPr="000C48E8">
        <w:rPr>
          <w:rFonts w:ascii="Times New Roman" w:hAnsi="Times New Roman" w:cs="Times New Roman"/>
          <w:color w:val="0070C0"/>
          <w:sz w:val="24"/>
          <w:szCs w:val="24"/>
        </w:rPr>
        <w:t>Arner</w:t>
      </w:r>
      <w:proofErr w:type="spellEnd"/>
      <w:r w:rsidRPr="000C48E8">
        <w:rPr>
          <w:rFonts w:ascii="Times New Roman" w:hAnsi="Times New Roman" w:cs="Times New Roman"/>
          <w:color w:val="0070C0"/>
          <w:sz w:val="24"/>
          <w:szCs w:val="24"/>
        </w:rPr>
        <w:t xml:space="preserve"> et al., 2020)</w:t>
      </w:r>
      <w:r w:rsidR="00784D02" w:rsidRPr="000C48E8">
        <w:rPr>
          <w:color w:val="0070C0"/>
        </w:rPr>
        <w:t xml:space="preserve"> </w:t>
      </w:r>
      <w:r w:rsidR="00784D02" w:rsidRPr="000C48E8">
        <w:rPr>
          <w:rFonts w:ascii="Times New Roman" w:hAnsi="Times New Roman" w:cs="Times New Roman"/>
          <w:color w:val="0070C0"/>
          <w:sz w:val="24"/>
          <w:szCs w:val="24"/>
        </w:rPr>
        <w:t xml:space="preserve">and providing a novel empirical evidence on their </w:t>
      </w:r>
      <w:proofErr w:type="spellStart"/>
      <w:r w:rsidR="00784D02" w:rsidRPr="000C48E8">
        <w:rPr>
          <w:rFonts w:ascii="Times New Roman" w:hAnsi="Times New Roman" w:cs="Times New Roman"/>
          <w:color w:val="0070C0"/>
          <w:sz w:val="24"/>
          <w:szCs w:val="24"/>
        </w:rPr>
        <w:t>behaviour</w:t>
      </w:r>
      <w:proofErr w:type="spellEnd"/>
      <w:r w:rsidR="00784D02" w:rsidRPr="000C48E8">
        <w:rPr>
          <w:rFonts w:ascii="Times New Roman" w:hAnsi="Times New Roman" w:cs="Times New Roman"/>
          <w:color w:val="0070C0"/>
          <w:sz w:val="24"/>
          <w:szCs w:val="24"/>
        </w:rPr>
        <w:t xml:space="preserve"> during the pandemic</w:t>
      </w:r>
      <w:r w:rsidRPr="000C48E8">
        <w:rPr>
          <w:rFonts w:ascii="Times New Roman" w:hAnsi="Times New Roman" w:cs="Times New Roman"/>
          <w:color w:val="0070C0"/>
          <w:sz w:val="24"/>
          <w:szCs w:val="24"/>
        </w:rPr>
        <w:t>.</w:t>
      </w:r>
    </w:p>
    <w:p w14:paraId="7586126D" w14:textId="441D1381" w:rsidR="00673489" w:rsidRDefault="000D1DB8" w:rsidP="00015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this study reveal that </w:t>
      </w:r>
      <w:r w:rsidR="001B5617" w:rsidRPr="001B5617">
        <w:rPr>
          <w:rFonts w:ascii="Times New Roman" w:hAnsi="Times New Roman" w:cs="Times New Roman"/>
          <w:sz w:val="24"/>
          <w:szCs w:val="24"/>
        </w:rPr>
        <w:t>the return and volatility spillovers vary during the pre-COVID</w:t>
      </w:r>
      <w:r w:rsidR="00E17786">
        <w:rPr>
          <w:rFonts w:ascii="Times New Roman" w:hAnsi="Times New Roman" w:cs="Times New Roman"/>
          <w:sz w:val="24"/>
          <w:szCs w:val="24"/>
        </w:rPr>
        <w:t xml:space="preserve"> </w:t>
      </w:r>
      <w:r w:rsidR="001B5617" w:rsidRPr="001B5617">
        <w:rPr>
          <w:rFonts w:ascii="Times New Roman" w:hAnsi="Times New Roman" w:cs="Times New Roman"/>
          <w:sz w:val="24"/>
          <w:szCs w:val="24"/>
        </w:rPr>
        <w:t xml:space="preserve">and the COVID-19 periods. We also estimate the optimal weights, hedge ratios, and hedging effectiveness for all pairs of markets during both sample periods. The optimal weights analysis suggests that investors should increase (decrease) their investment in Onegram (X8X) to reduce the risk of </w:t>
      </w:r>
      <w:r w:rsidR="00C8599E">
        <w:rPr>
          <w:rFonts w:ascii="Times New Roman" w:hAnsi="Times New Roman" w:cs="Times New Roman"/>
          <w:sz w:val="24"/>
          <w:szCs w:val="24"/>
        </w:rPr>
        <w:t xml:space="preserve">the </w:t>
      </w:r>
      <w:r w:rsidR="001B5617" w:rsidRPr="001B5617">
        <w:rPr>
          <w:rFonts w:ascii="Times New Roman" w:hAnsi="Times New Roman" w:cs="Times New Roman"/>
          <w:sz w:val="24"/>
          <w:szCs w:val="24"/>
        </w:rPr>
        <w:t xml:space="preserve">equity sector-Onegram (equity sector- X8X) portfolio during the COVID-19. Moreover, the hedging cost for all pairs is highest </w:t>
      </w:r>
      <w:r w:rsidR="00784D02">
        <w:rPr>
          <w:rFonts w:ascii="Times New Roman" w:hAnsi="Times New Roman" w:cs="Times New Roman"/>
          <w:sz w:val="24"/>
          <w:szCs w:val="24"/>
        </w:rPr>
        <w:t>during</w:t>
      </w:r>
      <w:r w:rsidR="00784D02" w:rsidRPr="001B5617">
        <w:rPr>
          <w:rFonts w:ascii="Times New Roman" w:hAnsi="Times New Roman" w:cs="Times New Roman"/>
          <w:sz w:val="24"/>
          <w:szCs w:val="24"/>
        </w:rPr>
        <w:t xml:space="preserve"> </w:t>
      </w:r>
      <w:r w:rsidR="001B5617" w:rsidRPr="001B5617">
        <w:rPr>
          <w:rFonts w:ascii="Times New Roman" w:hAnsi="Times New Roman" w:cs="Times New Roman"/>
          <w:sz w:val="24"/>
          <w:szCs w:val="24"/>
        </w:rPr>
        <w:t xml:space="preserve">the COVID-19 compared to </w:t>
      </w:r>
      <w:r w:rsidR="00C8599E">
        <w:rPr>
          <w:rFonts w:ascii="Times New Roman" w:hAnsi="Times New Roman" w:cs="Times New Roman"/>
          <w:sz w:val="24"/>
          <w:szCs w:val="24"/>
        </w:rPr>
        <w:t xml:space="preserve">the </w:t>
      </w:r>
      <w:r w:rsidR="001B5617" w:rsidRPr="001B5617">
        <w:rPr>
          <w:rFonts w:ascii="Times New Roman" w:hAnsi="Times New Roman" w:cs="Times New Roman"/>
          <w:sz w:val="24"/>
          <w:szCs w:val="24"/>
        </w:rPr>
        <w:t>pre-COVID-19 period. Lastly, the hedging effectiveness results suggest that investors can reduce the risk of Islamic sectorial equity portfolios by adding the Islamic sharia-based cryptocurrencies in their portfolios during both sample periods.</w:t>
      </w:r>
    </w:p>
    <w:p w14:paraId="63EFDB7D" w14:textId="50BEDEF0" w:rsidR="000D1DB8" w:rsidRDefault="000D1DB8" w:rsidP="00015BBD">
      <w:pPr>
        <w:spacing w:line="360" w:lineRule="auto"/>
        <w:jc w:val="both"/>
        <w:rPr>
          <w:rFonts w:ascii="Times New Roman" w:hAnsi="Times New Roman" w:cs="Times New Roman"/>
          <w:sz w:val="24"/>
          <w:szCs w:val="24"/>
        </w:rPr>
      </w:pPr>
      <w:r>
        <w:rPr>
          <w:rFonts w:ascii="Times New Roman" w:hAnsi="Times New Roman" w:cs="Times New Roman"/>
          <w:sz w:val="24"/>
          <w:szCs w:val="24"/>
        </w:rPr>
        <w:t>The structure of this study is as follows</w:t>
      </w:r>
      <w:r w:rsidR="00784D02">
        <w:rPr>
          <w:rFonts w:ascii="Times New Roman" w:hAnsi="Times New Roman" w:cs="Times New Roman"/>
          <w:sz w:val="24"/>
          <w:szCs w:val="24"/>
        </w:rPr>
        <w:t>.</w:t>
      </w:r>
      <w:r w:rsidR="00382116">
        <w:rPr>
          <w:rFonts w:ascii="Times New Roman" w:hAnsi="Times New Roman" w:cs="Times New Roman"/>
          <w:sz w:val="24"/>
          <w:szCs w:val="24"/>
        </w:rPr>
        <w:t xml:space="preserve"> </w:t>
      </w:r>
      <w:r w:rsidR="00784D02">
        <w:rPr>
          <w:rFonts w:ascii="Times New Roman" w:hAnsi="Times New Roman" w:cs="Times New Roman"/>
          <w:sz w:val="24"/>
          <w:szCs w:val="24"/>
        </w:rPr>
        <w:t>S</w:t>
      </w:r>
      <w:r w:rsidR="00382116">
        <w:rPr>
          <w:rFonts w:ascii="Times New Roman" w:hAnsi="Times New Roman" w:cs="Times New Roman"/>
          <w:sz w:val="24"/>
          <w:szCs w:val="24"/>
        </w:rPr>
        <w:t xml:space="preserve">ection 2 presents the methodology, </w:t>
      </w:r>
      <w:r w:rsidR="00784D02">
        <w:rPr>
          <w:rFonts w:ascii="Times New Roman" w:hAnsi="Times New Roman" w:cs="Times New Roman"/>
          <w:sz w:val="24"/>
          <w:szCs w:val="24"/>
        </w:rPr>
        <w:t>S</w:t>
      </w:r>
      <w:r w:rsidR="00382116">
        <w:rPr>
          <w:rFonts w:ascii="Times New Roman" w:hAnsi="Times New Roman" w:cs="Times New Roman"/>
          <w:sz w:val="24"/>
          <w:szCs w:val="24"/>
        </w:rPr>
        <w:t xml:space="preserve">ection 3 provides the </w:t>
      </w:r>
      <w:r w:rsidR="00B6436E">
        <w:rPr>
          <w:rFonts w:ascii="Times New Roman" w:hAnsi="Times New Roman" w:cs="Times New Roman"/>
          <w:sz w:val="24"/>
          <w:szCs w:val="24"/>
        </w:rPr>
        <w:t xml:space="preserve">data and preliminary analysis, </w:t>
      </w:r>
      <w:r w:rsidR="00784D02">
        <w:rPr>
          <w:rFonts w:ascii="Times New Roman" w:hAnsi="Times New Roman" w:cs="Times New Roman"/>
          <w:sz w:val="24"/>
          <w:szCs w:val="24"/>
        </w:rPr>
        <w:t>S</w:t>
      </w:r>
      <w:r w:rsidR="00B6436E">
        <w:rPr>
          <w:rFonts w:ascii="Times New Roman" w:hAnsi="Times New Roman" w:cs="Times New Roman"/>
          <w:sz w:val="24"/>
          <w:szCs w:val="24"/>
        </w:rPr>
        <w:t xml:space="preserve">ection 4 </w:t>
      </w:r>
      <w:r w:rsidR="003B0B6A">
        <w:rPr>
          <w:rFonts w:ascii="Times New Roman" w:hAnsi="Times New Roman" w:cs="Times New Roman"/>
          <w:sz w:val="24"/>
          <w:szCs w:val="24"/>
        </w:rPr>
        <w:t xml:space="preserve">reports the results, and </w:t>
      </w:r>
      <w:r w:rsidR="00784D02">
        <w:rPr>
          <w:rFonts w:ascii="Times New Roman" w:hAnsi="Times New Roman" w:cs="Times New Roman"/>
          <w:sz w:val="24"/>
          <w:szCs w:val="24"/>
        </w:rPr>
        <w:t>S</w:t>
      </w:r>
      <w:r w:rsidR="003B0B6A">
        <w:rPr>
          <w:rFonts w:ascii="Times New Roman" w:hAnsi="Times New Roman" w:cs="Times New Roman"/>
          <w:sz w:val="24"/>
          <w:szCs w:val="24"/>
        </w:rPr>
        <w:t>ection 5 concludes.</w:t>
      </w:r>
    </w:p>
    <w:p w14:paraId="725070E0" w14:textId="6CE6DC0E" w:rsidR="009E52FE" w:rsidRPr="00DA1988" w:rsidRDefault="00E34337" w:rsidP="009E52FE">
      <w:pPr>
        <w:pStyle w:val="ListParagraph"/>
        <w:numPr>
          <w:ilvl w:val="0"/>
          <w:numId w:val="1"/>
        </w:numPr>
        <w:spacing w:line="360" w:lineRule="auto"/>
        <w:jc w:val="both"/>
        <w:rPr>
          <w:rFonts w:ascii="Times New Roman" w:hAnsi="Times New Roman" w:cs="Times New Roman"/>
          <w:b/>
          <w:bCs/>
          <w:sz w:val="28"/>
          <w:szCs w:val="28"/>
        </w:rPr>
      </w:pPr>
      <w:r w:rsidRPr="00DA1988">
        <w:rPr>
          <w:rFonts w:ascii="Times New Roman" w:hAnsi="Times New Roman" w:cs="Times New Roman"/>
          <w:b/>
          <w:bCs/>
          <w:sz w:val="28"/>
          <w:szCs w:val="28"/>
        </w:rPr>
        <w:t>Methodology</w:t>
      </w:r>
    </w:p>
    <w:p w14:paraId="676E320C" w14:textId="1B68221F" w:rsidR="00527A69" w:rsidRPr="00920755" w:rsidRDefault="00784D02" w:rsidP="002E637A">
      <w:pPr>
        <w:pStyle w:val="MDPI31text"/>
        <w:spacing w:line="360" w:lineRule="auto"/>
        <w:ind w:firstLine="0"/>
        <w:rPr>
          <w:rFonts w:ascii="Times New Roman" w:hAnsi="Times New Roman"/>
          <w:color w:val="0070C0"/>
          <w:sz w:val="24"/>
          <w:szCs w:val="24"/>
        </w:rPr>
      </w:pPr>
      <w:r>
        <w:rPr>
          <w:rFonts w:ascii="Times New Roman" w:hAnsi="Times New Roman"/>
          <w:color w:val="000000" w:themeColor="text1"/>
          <w:sz w:val="24"/>
          <w:szCs w:val="24"/>
        </w:rPr>
        <w:t>W</w:t>
      </w:r>
      <w:r w:rsidR="005933BE">
        <w:rPr>
          <w:rFonts w:ascii="Times New Roman" w:hAnsi="Times New Roman"/>
          <w:color w:val="000000" w:themeColor="text1"/>
          <w:sz w:val="24"/>
          <w:szCs w:val="24"/>
        </w:rPr>
        <w:t>e</w:t>
      </w:r>
      <w:r w:rsidR="006E5AF7">
        <w:rPr>
          <w:rFonts w:ascii="Times New Roman" w:hAnsi="Times New Roman"/>
          <w:color w:val="000000" w:themeColor="text1"/>
          <w:sz w:val="24"/>
          <w:szCs w:val="24"/>
        </w:rPr>
        <w:t xml:space="preserve"> </w:t>
      </w:r>
      <w:r w:rsidR="005569E7">
        <w:rPr>
          <w:rFonts w:ascii="Times New Roman" w:hAnsi="Times New Roman"/>
          <w:color w:val="000000" w:themeColor="text1"/>
          <w:sz w:val="24"/>
          <w:szCs w:val="24"/>
        </w:rPr>
        <w:t>apply</w:t>
      </w:r>
      <w:r w:rsidR="006E5AF7">
        <w:rPr>
          <w:rFonts w:ascii="Times New Roman" w:hAnsi="Times New Roman"/>
          <w:color w:val="000000" w:themeColor="text1"/>
          <w:sz w:val="24"/>
          <w:szCs w:val="24"/>
        </w:rPr>
        <w:t xml:space="preserve"> the </w:t>
      </w:r>
      <w:r w:rsidR="00223FB9">
        <w:rPr>
          <w:rFonts w:ascii="Times New Roman" w:hAnsi="Times New Roman"/>
          <w:color w:val="000000" w:themeColor="text1"/>
          <w:sz w:val="24"/>
          <w:szCs w:val="24"/>
        </w:rPr>
        <w:t>VAR-</w:t>
      </w:r>
      <w:r w:rsidR="006E5AF7">
        <w:rPr>
          <w:rFonts w:ascii="Times New Roman" w:hAnsi="Times New Roman"/>
          <w:color w:val="000000" w:themeColor="text1"/>
          <w:sz w:val="24"/>
          <w:szCs w:val="24"/>
        </w:rPr>
        <w:t>BEKK-AGARCH model</w:t>
      </w:r>
      <w:r>
        <w:rPr>
          <w:rFonts w:ascii="Times New Roman" w:hAnsi="Times New Roman"/>
          <w:color w:val="000000" w:themeColor="text1"/>
          <w:sz w:val="24"/>
          <w:szCs w:val="24"/>
        </w:rPr>
        <w:t xml:space="preserve"> to estimate the return and volatility spillovers between the</w:t>
      </w:r>
      <w:r w:rsidR="00781106">
        <w:rPr>
          <w:rFonts w:ascii="Times New Roman" w:hAnsi="Times New Roman"/>
          <w:color w:val="000000" w:themeColor="text1"/>
          <w:sz w:val="24"/>
          <w:szCs w:val="24"/>
        </w:rPr>
        <w:t xml:space="preserve"> 11</w:t>
      </w:r>
      <w:r>
        <w:rPr>
          <w:rFonts w:ascii="Times New Roman" w:hAnsi="Times New Roman"/>
          <w:color w:val="000000" w:themeColor="text1"/>
          <w:sz w:val="24"/>
          <w:szCs w:val="24"/>
        </w:rPr>
        <w:t xml:space="preserve"> Islamic equity sectors and </w:t>
      </w:r>
      <w:r w:rsidR="00781106">
        <w:rPr>
          <w:rFonts w:ascii="Times New Roman" w:hAnsi="Times New Roman"/>
          <w:color w:val="000000" w:themeColor="text1"/>
          <w:sz w:val="24"/>
          <w:szCs w:val="24"/>
        </w:rPr>
        <w:t xml:space="preserve">2 most-tradable </w:t>
      </w:r>
      <w:r>
        <w:rPr>
          <w:rFonts w:ascii="Times New Roman" w:hAnsi="Times New Roman"/>
          <w:color w:val="000000" w:themeColor="text1"/>
          <w:sz w:val="24"/>
          <w:szCs w:val="24"/>
        </w:rPr>
        <w:t>Islamic gold-backed cryptocurrencies</w:t>
      </w:r>
      <w:r w:rsidR="00223FB9">
        <w:rPr>
          <w:rFonts w:ascii="Times New Roman" w:hAnsi="Times New Roman"/>
          <w:color w:val="000000" w:themeColor="text1"/>
          <w:sz w:val="24"/>
          <w:szCs w:val="24"/>
        </w:rPr>
        <w:t xml:space="preserve">. </w:t>
      </w:r>
      <w:r w:rsidR="00910C14">
        <w:rPr>
          <w:rFonts w:ascii="Times New Roman" w:hAnsi="Times New Roman"/>
          <w:color w:val="000000" w:themeColor="text1"/>
          <w:sz w:val="24"/>
          <w:szCs w:val="24"/>
        </w:rPr>
        <w:t>Several studies have</w:t>
      </w:r>
      <w:r w:rsidR="00223FB9">
        <w:rPr>
          <w:rFonts w:ascii="Times New Roman" w:hAnsi="Times New Roman"/>
          <w:color w:val="000000" w:themeColor="text1"/>
          <w:sz w:val="24"/>
          <w:szCs w:val="24"/>
        </w:rPr>
        <w:t xml:space="preserve"> applied the VAR-BEKK-AGARCH model </w:t>
      </w:r>
      <w:r w:rsidR="00290402">
        <w:rPr>
          <w:rFonts w:ascii="Times New Roman" w:hAnsi="Times New Roman"/>
          <w:color w:val="000000" w:themeColor="text1"/>
          <w:sz w:val="24"/>
          <w:szCs w:val="24"/>
        </w:rPr>
        <w:t xml:space="preserve">for </w:t>
      </w:r>
      <w:r w:rsidR="00D00D41">
        <w:rPr>
          <w:rFonts w:ascii="Times New Roman" w:hAnsi="Times New Roman"/>
          <w:color w:val="000000" w:themeColor="text1"/>
          <w:sz w:val="24"/>
          <w:szCs w:val="24"/>
        </w:rPr>
        <w:t xml:space="preserve">the estimations of </w:t>
      </w:r>
      <w:r w:rsidR="00290402">
        <w:rPr>
          <w:rFonts w:ascii="Times New Roman" w:hAnsi="Times New Roman"/>
          <w:color w:val="000000" w:themeColor="text1"/>
          <w:sz w:val="24"/>
          <w:szCs w:val="24"/>
        </w:rPr>
        <w:t xml:space="preserve">return and </w:t>
      </w:r>
      <w:r w:rsidR="00290402">
        <w:rPr>
          <w:rFonts w:ascii="Times New Roman" w:hAnsi="Times New Roman"/>
          <w:color w:val="000000" w:themeColor="text1"/>
          <w:sz w:val="24"/>
          <w:szCs w:val="24"/>
        </w:rPr>
        <w:lastRenderedPageBreak/>
        <w:t>volatility spillover (</w:t>
      </w:r>
      <w:r>
        <w:rPr>
          <w:rFonts w:ascii="Times New Roman" w:hAnsi="Times New Roman"/>
          <w:color w:val="000000" w:themeColor="text1"/>
          <w:sz w:val="24"/>
          <w:szCs w:val="24"/>
        </w:rPr>
        <w:t xml:space="preserve">e.g., </w:t>
      </w:r>
      <w:proofErr w:type="spellStart"/>
      <w:r w:rsidR="0038533F">
        <w:rPr>
          <w:rFonts w:ascii="Times New Roman" w:hAnsi="Times New Roman"/>
          <w:color w:val="000000" w:themeColor="text1"/>
          <w:sz w:val="24"/>
          <w:szCs w:val="24"/>
        </w:rPr>
        <w:t>Sadorsky</w:t>
      </w:r>
      <w:proofErr w:type="spellEnd"/>
      <w:r w:rsidR="0038533F">
        <w:rPr>
          <w:rFonts w:ascii="Times New Roman" w:hAnsi="Times New Roman"/>
          <w:color w:val="000000" w:themeColor="text1"/>
          <w:sz w:val="24"/>
          <w:szCs w:val="24"/>
        </w:rPr>
        <w:t xml:space="preserve">, 2012; </w:t>
      </w:r>
      <w:proofErr w:type="spellStart"/>
      <w:r w:rsidR="00A86E9F" w:rsidRPr="00A86E9F">
        <w:rPr>
          <w:rFonts w:ascii="Times New Roman" w:hAnsi="Times New Roman"/>
          <w:color w:val="000000" w:themeColor="text1"/>
          <w:sz w:val="24"/>
          <w:szCs w:val="24"/>
        </w:rPr>
        <w:t>Salisu</w:t>
      </w:r>
      <w:proofErr w:type="spellEnd"/>
      <w:r w:rsidR="00A86E9F">
        <w:rPr>
          <w:rFonts w:ascii="Times New Roman" w:hAnsi="Times New Roman"/>
          <w:color w:val="000000" w:themeColor="text1"/>
          <w:sz w:val="24"/>
          <w:szCs w:val="24"/>
        </w:rPr>
        <w:t xml:space="preserve"> and</w:t>
      </w:r>
      <w:r w:rsidR="00A86E9F" w:rsidRPr="00A86E9F">
        <w:rPr>
          <w:rFonts w:ascii="Times New Roman" w:hAnsi="Times New Roman"/>
          <w:color w:val="000000" w:themeColor="text1"/>
          <w:sz w:val="24"/>
          <w:szCs w:val="24"/>
        </w:rPr>
        <w:t xml:space="preserve"> </w:t>
      </w:r>
      <w:proofErr w:type="spellStart"/>
      <w:r w:rsidR="00A86E9F" w:rsidRPr="00A86E9F">
        <w:rPr>
          <w:rFonts w:ascii="Times New Roman" w:hAnsi="Times New Roman"/>
          <w:color w:val="000000" w:themeColor="text1"/>
          <w:sz w:val="24"/>
          <w:szCs w:val="24"/>
        </w:rPr>
        <w:t>Oloko</w:t>
      </w:r>
      <w:proofErr w:type="spellEnd"/>
      <w:r w:rsidR="00A86E9F">
        <w:rPr>
          <w:rFonts w:ascii="Times New Roman" w:hAnsi="Times New Roman"/>
          <w:color w:val="000000" w:themeColor="text1"/>
          <w:sz w:val="24"/>
          <w:szCs w:val="24"/>
        </w:rPr>
        <w:t xml:space="preserve">, </w:t>
      </w:r>
      <w:r w:rsidR="00165EB3">
        <w:rPr>
          <w:rFonts w:ascii="Times New Roman" w:hAnsi="Times New Roman"/>
          <w:color w:val="000000" w:themeColor="text1"/>
          <w:sz w:val="24"/>
          <w:szCs w:val="24"/>
        </w:rPr>
        <w:t>2015;</w:t>
      </w:r>
      <w:r w:rsidR="007E0BFC" w:rsidRPr="007E0BFC">
        <w:t xml:space="preserve"> </w:t>
      </w:r>
      <w:proofErr w:type="spellStart"/>
      <w:r w:rsidR="007E0BFC" w:rsidRPr="007E0BFC">
        <w:rPr>
          <w:rFonts w:ascii="Times New Roman" w:hAnsi="Times New Roman"/>
          <w:color w:val="000000" w:themeColor="text1"/>
          <w:sz w:val="24"/>
          <w:szCs w:val="24"/>
        </w:rPr>
        <w:t>Symitsi</w:t>
      </w:r>
      <w:proofErr w:type="spellEnd"/>
      <w:r w:rsidR="008514A0">
        <w:rPr>
          <w:rFonts w:ascii="Times New Roman" w:hAnsi="Times New Roman"/>
          <w:color w:val="000000" w:themeColor="text1"/>
          <w:sz w:val="24"/>
          <w:szCs w:val="24"/>
        </w:rPr>
        <w:t xml:space="preserve"> and</w:t>
      </w:r>
      <w:r w:rsidR="007E0BFC" w:rsidRPr="007E0BFC">
        <w:rPr>
          <w:rFonts w:ascii="Times New Roman" w:hAnsi="Times New Roman"/>
          <w:color w:val="000000" w:themeColor="text1"/>
          <w:sz w:val="24"/>
          <w:szCs w:val="24"/>
        </w:rPr>
        <w:t xml:space="preserve"> Chalvatzis, 2018</w:t>
      </w:r>
      <w:r w:rsidR="008514A0">
        <w:rPr>
          <w:rFonts w:ascii="Times New Roman" w:hAnsi="Times New Roman"/>
          <w:color w:val="000000" w:themeColor="text1"/>
          <w:sz w:val="24"/>
          <w:szCs w:val="24"/>
        </w:rPr>
        <w:t xml:space="preserve">; </w:t>
      </w:r>
      <w:r w:rsidR="00B9372B">
        <w:rPr>
          <w:rFonts w:ascii="Times New Roman" w:hAnsi="Times New Roman"/>
          <w:color w:val="000000" w:themeColor="text1"/>
          <w:sz w:val="24"/>
          <w:szCs w:val="24"/>
        </w:rPr>
        <w:t>Yousaf and Ali, 202</w:t>
      </w:r>
      <w:r w:rsidR="00120C32">
        <w:rPr>
          <w:rFonts w:ascii="Times New Roman" w:hAnsi="Times New Roman"/>
          <w:color w:val="000000" w:themeColor="text1"/>
          <w:sz w:val="24"/>
          <w:szCs w:val="24"/>
        </w:rPr>
        <w:t>0</w:t>
      </w:r>
      <w:r w:rsidR="00B9372B">
        <w:rPr>
          <w:rFonts w:ascii="Times New Roman" w:hAnsi="Times New Roman"/>
          <w:color w:val="000000" w:themeColor="text1"/>
          <w:sz w:val="24"/>
          <w:szCs w:val="24"/>
        </w:rPr>
        <w:t xml:space="preserve">; </w:t>
      </w:r>
      <w:r w:rsidR="009702AE" w:rsidRPr="009702AE">
        <w:rPr>
          <w:rFonts w:ascii="Times New Roman" w:hAnsi="Times New Roman"/>
          <w:color w:val="000000" w:themeColor="text1"/>
          <w:sz w:val="24"/>
          <w:szCs w:val="24"/>
        </w:rPr>
        <w:t>Yarovaya</w:t>
      </w:r>
      <w:r w:rsidR="009702AE">
        <w:rPr>
          <w:rFonts w:ascii="Times New Roman" w:hAnsi="Times New Roman"/>
          <w:color w:val="000000" w:themeColor="text1"/>
          <w:sz w:val="24"/>
          <w:szCs w:val="24"/>
        </w:rPr>
        <w:t xml:space="preserve"> et al., 2021</w:t>
      </w:r>
      <w:r w:rsidR="004B568F">
        <w:rPr>
          <w:rFonts w:ascii="Times New Roman" w:hAnsi="Times New Roman"/>
          <w:color w:val="000000" w:themeColor="text1"/>
          <w:sz w:val="24"/>
          <w:szCs w:val="24"/>
        </w:rPr>
        <w:t>a</w:t>
      </w:r>
      <w:r w:rsidR="00C26072">
        <w:rPr>
          <w:rFonts w:ascii="Times New Roman" w:hAnsi="Times New Roman"/>
          <w:color w:val="000000" w:themeColor="text1"/>
          <w:sz w:val="24"/>
          <w:szCs w:val="24"/>
        </w:rPr>
        <w:t xml:space="preserve">; </w:t>
      </w:r>
      <w:r w:rsidR="00C26072">
        <w:rPr>
          <w:rFonts w:ascii="Times New Roman" w:hAnsi="Times New Roman"/>
          <w:sz w:val="24"/>
          <w:szCs w:val="24"/>
        </w:rPr>
        <w:t>Yousaf and Ali, 2021</w:t>
      </w:r>
      <w:r w:rsidR="007E0BFC" w:rsidRPr="007E0BFC">
        <w:rPr>
          <w:rFonts w:ascii="Times New Roman" w:hAnsi="Times New Roman"/>
          <w:color w:val="000000" w:themeColor="text1"/>
          <w:sz w:val="24"/>
          <w:szCs w:val="24"/>
        </w:rPr>
        <w:t xml:space="preserve">). </w:t>
      </w:r>
      <w:r w:rsidR="00683C23" w:rsidRPr="00920755">
        <w:rPr>
          <w:rFonts w:ascii="Times New Roman" w:hAnsi="Times New Roman"/>
          <w:color w:val="0070C0"/>
          <w:sz w:val="24"/>
          <w:szCs w:val="24"/>
        </w:rPr>
        <w:t>VAR-BEKK-GARCH model is better compared to other competitive models like VAR-DCC-GARCH and VAR-GARCH because of few reasons. Firstly, VAR-GARCH model</w:t>
      </w:r>
      <w:r w:rsidR="00920755" w:rsidRPr="00920755">
        <w:rPr>
          <w:rFonts w:ascii="Times New Roman" w:hAnsi="Times New Roman"/>
          <w:color w:val="0070C0"/>
          <w:sz w:val="24"/>
          <w:szCs w:val="24"/>
        </w:rPr>
        <w:t xml:space="preserve"> is based on constant conditional correlations and </w:t>
      </w:r>
      <w:r w:rsidR="00683C23" w:rsidRPr="00920755">
        <w:rPr>
          <w:rFonts w:ascii="Times New Roman" w:hAnsi="Times New Roman"/>
          <w:color w:val="0070C0"/>
          <w:sz w:val="24"/>
          <w:szCs w:val="24"/>
        </w:rPr>
        <w:t xml:space="preserve">does not provide the time-varying correlation. Secondly, VAR-DCC-GARCH and VAR-GARCH models encounter the </w:t>
      </w:r>
      <w:r w:rsidR="00B418CF" w:rsidRPr="00920755">
        <w:rPr>
          <w:rFonts w:ascii="Times New Roman" w:hAnsi="Times New Roman"/>
          <w:color w:val="0070C0"/>
          <w:sz w:val="24"/>
          <w:szCs w:val="24"/>
        </w:rPr>
        <w:t xml:space="preserve">convergence </w:t>
      </w:r>
      <w:r w:rsidR="00683C23" w:rsidRPr="00920755">
        <w:rPr>
          <w:rFonts w:ascii="Times New Roman" w:hAnsi="Times New Roman"/>
          <w:color w:val="0070C0"/>
          <w:sz w:val="24"/>
          <w:szCs w:val="24"/>
        </w:rPr>
        <w:t>issue</w:t>
      </w:r>
      <w:r w:rsidR="00B418CF" w:rsidRPr="00920755">
        <w:rPr>
          <w:rFonts w:ascii="Times New Roman" w:hAnsi="Times New Roman"/>
          <w:color w:val="0070C0"/>
          <w:sz w:val="24"/>
          <w:szCs w:val="24"/>
        </w:rPr>
        <w:t>s</w:t>
      </w:r>
      <w:r w:rsidR="00683C23" w:rsidRPr="00920755">
        <w:rPr>
          <w:rFonts w:ascii="Times New Roman" w:hAnsi="Times New Roman"/>
          <w:color w:val="0070C0"/>
          <w:sz w:val="24"/>
          <w:szCs w:val="24"/>
        </w:rPr>
        <w:t>, especially in small data samples (</w:t>
      </w:r>
      <w:r w:rsidR="00AC1197" w:rsidRPr="00920755">
        <w:rPr>
          <w:rFonts w:ascii="Times New Roman" w:hAnsi="Times New Roman"/>
          <w:color w:val="0070C0"/>
          <w:sz w:val="24"/>
          <w:szCs w:val="24"/>
        </w:rPr>
        <w:t>Zhang and</w:t>
      </w:r>
      <w:r w:rsidR="00AC1197" w:rsidRPr="00920755">
        <w:rPr>
          <w:rFonts w:ascii="Arial" w:eastAsiaTheme="minorHAnsi" w:hAnsi="Arial" w:cs="Arial"/>
          <w:snapToGrid/>
          <w:color w:val="0070C0"/>
          <w:szCs w:val="20"/>
          <w:shd w:val="clear" w:color="auto" w:fill="FFFFFF"/>
          <w:lang w:eastAsia="en-US" w:bidi="ar-SA"/>
        </w:rPr>
        <w:t xml:space="preserve"> </w:t>
      </w:r>
      <w:r w:rsidR="00AC1197" w:rsidRPr="00920755">
        <w:rPr>
          <w:rFonts w:ascii="Times New Roman" w:hAnsi="Times New Roman"/>
          <w:color w:val="0070C0"/>
          <w:sz w:val="24"/>
          <w:szCs w:val="24"/>
        </w:rPr>
        <w:t>Choudhry, 2017; Yousaf and Ali, 2020</w:t>
      </w:r>
      <w:r w:rsidR="00683C23" w:rsidRPr="00920755">
        <w:rPr>
          <w:rFonts w:ascii="Times New Roman" w:hAnsi="Times New Roman"/>
          <w:color w:val="0070C0"/>
          <w:sz w:val="24"/>
          <w:szCs w:val="24"/>
        </w:rPr>
        <w:t xml:space="preserve">). However, VAR-BEKK-GARCH model provides the time-varying </w:t>
      </w:r>
      <w:proofErr w:type="gramStart"/>
      <w:r w:rsidR="00683C23" w:rsidRPr="00920755">
        <w:rPr>
          <w:rFonts w:ascii="Times New Roman" w:hAnsi="Times New Roman"/>
          <w:color w:val="0070C0"/>
          <w:sz w:val="24"/>
          <w:szCs w:val="24"/>
        </w:rPr>
        <w:t>correlations</w:t>
      </w:r>
      <w:proofErr w:type="gramEnd"/>
      <w:r w:rsidR="00683C23" w:rsidRPr="00920755">
        <w:rPr>
          <w:rFonts w:ascii="Times New Roman" w:hAnsi="Times New Roman"/>
          <w:color w:val="0070C0"/>
          <w:sz w:val="24"/>
          <w:szCs w:val="24"/>
        </w:rPr>
        <w:t xml:space="preserve"> and this model can be estimated with</w:t>
      </w:r>
      <w:r w:rsidR="00527A69" w:rsidRPr="00920755">
        <w:rPr>
          <w:rFonts w:ascii="Times New Roman" w:hAnsi="Times New Roman"/>
          <w:color w:val="0070C0"/>
          <w:sz w:val="24"/>
          <w:szCs w:val="24"/>
        </w:rPr>
        <w:t xml:space="preserve"> comparatively lesser</w:t>
      </w:r>
      <w:r w:rsidR="00683C23" w:rsidRPr="00920755">
        <w:rPr>
          <w:rFonts w:ascii="Times New Roman" w:hAnsi="Times New Roman"/>
          <w:color w:val="0070C0"/>
          <w:sz w:val="24"/>
          <w:szCs w:val="24"/>
        </w:rPr>
        <w:t xml:space="preserve"> convergence issues</w:t>
      </w:r>
      <w:r w:rsidR="00527A69" w:rsidRPr="00920755">
        <w:rPr>
          <w:rFonts w:ascii="Times New Roman" w:hAnsi="Times New Roman"/>
          <w:color w:val="0070C0"/>
          <w:sz w:val="24"/>
          <w:szCs w:val="24"/>
        </w:rPr>
        <w:t xml:space="preserve"> (</w:t>
      </w:r>
      <w:proofErr w:type="spellStart"/>
      <w:r w:rsidR="00527A69" w:rsidRPr="00920755">
        <w:rPr>
          <w:rFonts w:ascii="Times New Roman" w:hAnsi="Times New Roman"/>
          <w:color w:val="0070C0"/>
          <w:sz w:val="24"/>
          <w:szCs w:val="24"/>
        </w:rPr>
        <w:t>Chng</w:t>
      </w:r>
      <w:proofErr w:type="spellEnd"/>
      <w:r w:rsidR="00527A69" w:rsidRPr="00920755">
        <w:rPr>
          <w:rFonts w:ascii="Times New Roman" w:hAnsi="Times New Roman"/>
          <w:color w:val="0070C0"/>
          <w:sz w:val="24"/>
          <w:szCs w:val="24"/>
        </w:rPr>
        <w:t>, 2009; Yousaf, 2021)</w:t>
      </w:r>
      <w:r w:rsidR="00683C23" w:rsidRPr="00920755">
        <w:rPr>
          <w:rFonts w:ascii="Times New Roman" w:hAnsi="Times New Roman"/>
          <w:color w:val="0070C0"/>
          <w:sz w:val="24"/>
          <w:szCs w:val="24"/>
        </w:rPr>
        <w:t xml:space="preserve">. </w:t>
      </w:r>
      <w:r w:rsidR="00527A69" w:rsidRPr="00920755">
        <w:rPr>
          <w:rFonts w:ascii="Times New Roman" w:hAnsi="Times New Roman"/>
          <w:color w:val="0070C0"/>
          <w:sz w:val="24"/>
          <w:szCs w:val="24"/>
        </w:rPr>
        <w:t xml:space="preserve">Apart from the comparative advantages, the main feature of BEKK-GARCH </w:t>
      </w:r>
      <w:proofErr w:type="spellStart"/>
      <w:r w:rsidR="00527A69" w:rsidRPr="00920755">
        <w:rPr>
          <w:rFonts w:ascii="Times New Roman" w:hAnsi="Times New Roman"/>
          <w:color w:val="0070C0"/>
          <w:sz w:val="24"/>
          <w:szCs w:val="24"/>
        </w:rPr>
        <w:t>modle</w:t>
      </w:r>
      <w:proofErr w:type="spellEnd"/>
      <w:r w:rsidR="00527A69" w:rsidRPr="00920755">
        <w:rPr>
          <w:rFonts w:ascii="Times New Roman" w:hAnsi="Times New Roman"/>
          <w:color w:val="0070C0"/>
          <w:sz w:val="24"/>
          <w:szCs w:val="24"/>
        </w:rPr>
        <w:t xml:space="preserve"> is the positive definiteness of the variance-covariance matrix. Moreover, the time-varying variance and covariance of BEKK-GARCH model is useful in estimating the optimal weights and hedge ratios.</w:t>
      </w:r>
    </w:p>
    <w:p w14:paraId="7D00C919" w14:textId="77777777" w:rsidR="00527A69" w:rsidRDefault="00527A69" w:rsidP="002E637A">
      <w:pPr>
        <w:pStyle w:val="MDPI31text"/>
        <w:spacing w:line="360" w:lineRule="auto"/>
        <w:ind w:firstLine="0"/>
        <w:rPr>
          <w:rFonts w:ascii="Times New Roman" w:hAnsi="Times New Roman"/>
          <w:color w:val="000000" w:themeColor="text1"/>
          <w:sz w:val="24"/>
          <w:szCs w:val="24"/>
        </w:rPr>
      </w:pPr>
    </w:p>
    <w:p w14:paraId="2D40ECB0" w14:textId="0982E110" w:rsidR="002E637A" w:rsidRDefault="0026330A" w:rsidP="002E637A">
      <w:pPr>
        <w:pStyle w:val="MDPI31text"/>
        <w:spacing w:line="360" w:lineRule="auto"/>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Firstly, </w:t>
      </w:r>
      <w:r w:rsidR="000252B1" w:rsidRPr="0016644C">
        <w:rPr>
          <w:rFonts w:ascii="Times New Roman" w:hAnsi="Times New Roman"/>
          <w:color w:val="000000" w:themeColor="text1"/>
          <w:sz w:val="24"/>
          <w:szCs w:val="24"/>
        </w:rPr>
        <w:t xml:space="preserve">we </w:t>
      </w:r>
      <w:r>
        <w:rPr>
          <w:rFonts w:ascii="Times New Roman" w:hAnsi="Times New Roman"/>
          <w:color w:val="000000" w:themeColor="text1"/>
          <w:sz w:val="24"/>
          <w:szCs w:val="24"/>
        </w:rPr>
        <w:t>focus</w:t>
      </w:r>
      <w:r w:rsidR="000252B1" w:rsidRPr="0016644C">
        <w:rPr>
          <w:rFonts w:ascii="Times New Roman" w:hAnsi="Times New Roman"/>
          <w:color w:val="000000" w:themeColor="text1"/>
          <w:sz w:val="24"/>
          <w:szCs w:val="24"/>
        </w:rPr>
        <w:t xml:space="preserve"> on the return spillover</w:t>
      </w:r>
      <w:r w:rsidR="00EE239F">
        <w:rPr>
          <w:rFonts w:ascii="Times New Roman" w:hAnsi="Times New Roman"/>
          <w:color w:val="000000" w:themeColor="text1"/>
          <w:sz w:val="24"/>
          <w:szCs w:val="24"/>
        </w:rPr>
        <w:t xml:space="preserve">s, </w:t>
      </w:r>
      <w:r w:rsidR="00B66B24">
        <w:rPr>
          <w:rFonts w:ascii="Times New Roman" w:hAnsi="Times New Roman"/>
          <w:color w:val="000000" w:themeColor="text1"/>
          <w:sz w:val="24"/>
          <w:szCs w:val="24"/>
        </w:rPr>
        <w:t xml:space="preserve">that can be estimated </w:t>
      </w:r>
      <w:r w:rsidR="00F70A54">
        <w:rPr>
          <w:rFonts w:ascii="Times New Roman" w:hAnsi="Times New Roman"/>
          <w:color w:val="000000" w:themeColor="text1"/>
          <w:sz w:val="24"/>
          <w:szCs w:val="24"/>
        </w:rPr>
        <w:t xml:space="preserve">through </w:t>
      </w:r>
      <w:r w:rsidR="00E22973">
        <w:rPr>
          <w:rFonts w:ascii="Times New Roman" w:hAnsi="Times New Roman"/>
          <w:color w:val="000000" w:themeColor="text1"/>
          <w:sz w:val="24"/>
          <w:szCs w:val="24"/>
        </w:rPr>
        <w:t xml:space="preserve">the </w:t>
      </w:r>
      <w:r w:rsidR="000252B1" w:rsidRPr="0016644C">
        <w:rPr>
          <w:rFonts w:ascii="Times New Roman" w:hAnsi="Times New Roman"/>
          <w:color w:val="000000" w:themeColor="text1"/>
          <w:sz w:val="24"/>
          <w:szCs w:val="24"/>
          <w:lang w:val="en-GB"/>
        </w:rPr>
        <w:t xml:space="preserve">vector autoregressive </w:t>
      </w:r>
      <w:r w:rsidR="005D2662">
        <w:rPr>
          <w:rFonts w:ascii="Times New Roman" w:hAnsi="Times New Roman"/>
          <w:color w:val="000000" w:themeColor="text1"/>
          <w:sz w:val="24"/>
          <w:szCs w:val="24"/>
          <w:lang w:val="en-GB"/>
        </w:rPr>
        <w:t>mo</w:t>
      </w:r>
      <w:r w:rsidR="00761334">
        <w:rPr>
          <w:rFonts w:ascii="Times New Roman" w:hAnsi="Times New Roman"/>
          <w:color w:val="000000" w:themeColor="text1"/>
          <w:sz w:val="24"/>
          <w:szCs w:val="24"/>
          <w:lang w:val="en-GB"/>
        </w:rPr>
        <w:t>ving average</w:t>
      </w:r>
      <w:r w:rsidR="00E14E1E">
        <w:rPr>
          <w:rFonts w:ascii="Times New Roman" w:hAnsi="Times New Roman"/>
          <w:color w:val="000000" w:themeColor="text1"/>
          <w:sz w:val="24"/>
          <w:szCs w:val="24"/>
          <w:lang w:val="en-GB"/>
        </w:rPr>
        <w:t xml:space="preserve"> specifications. </w:t>
      </w:r>
      <w:r w:rsidR="00454A5E">
        <w:rPr>
          <w:rFonts w:ascii="Times New Roman" w:hAnsi="Times New Roman"/>
          <w:color w:val="000000" w:themeColor="text1"/>
          <w:sz w:val="24"/>
          <w:szCs w:val="24"/>
          <w:lang w:val="en-GB"/>
        </w:rPr>
        <w:t xml:space="preserve">The conditional mean equation is specified </w:t>
      </w:r>
      <w:r w:rsidR="00F3406F">
        <w:rPr>
          <w:rFonts w:ascii="Times New Roman" w:hAnsi="Times New Roman"/>
          <w:color w:val="000000" w:themeColor="text1"/>
          <w:sz w:val="24"/>
          <w:szCs w:val="24"/>
          <w:lang w:val="en-GB"/>
        </w:rPr>
        <w:t>as</w:t>
      </w:r>
      <w:r w:rsidR="00EF36A3">
        <w:rPr>
          <w:rFonts w:ascii="Times New Roman" w:hAnsi="Times New Roman"/>
          <w:color w:val="000000" w:themeColor="text1"/>
          <w:sz w:val="24"/>
          <w:szCs w:val="24"/>
          <w:lang w:val="en-GB"/>
        </w:rPr>
        <w:t xml:space="preserve">: </w:t>
      </w:r>
    </w:p>
    <w:p w14:paraId="50995E8D" w14:textId="2EC4DCC0" w:rsidR="000252B1" w:rsidRPr="0016644C" w:rsidRDefault="000252B1" w:rsidP="000252B1">
      <w:pPr>
        <w:pStyle w:val="MDPI31text"/>
        <w:spacing w:line="360" w:lineRule="auto"/>
        <w:ind w:firstLine="0"/>
        <w:rPr>
          <w:rFonts w:ascii="Times New Roman" w:hAnsi="Times New Roman"/>
          <w:color w:val="000000" w:themeColor="text1"/>
          <w:sz w:val="24"/>
          <w:szCs w:val="24"/>
        </w:rPr>
      </w:pPr>
    </w:p>
    <w:tbl>
      <w:tblPr>
        <w:tblW w:w="9495" w:type="dxa"/>
        <w:jc w:val="center"/>
        <w:tblLayout w:type="fixed"/>
        <w:tblLook w:val="0000" w:firstRow="0" w:lastRow="0" w:firstColumn="0" w:lastColumn="0" w:noHBand="0" w:noVBand="0"/>
      </w:tblPr>
      <w:tblGrid>
        <w:gridCol w:w="8805"/>
        <w:gridCol w:w="690"/>
      </w:tblGrid>
      <w:tr w:rsidR="00C91FFA" w:rsidRPr="00C91FFA" w14:paraId="45413C5B" w14:textId="77777777" w:rsidTr="00B358F7">
        <w:trPr>
          <w:trHeight w:val="338"/>
          <w:jc w:val="center"/>
        </w:trPr>
        <w:tc>
          <w:tcPr>
            <w:tcW w:w="8805" w:type="dxa"/>
            <w:shd w:val="clear" w:color="auto" w:fill="auto"/>
            <w:vAlign w:val="center"/>
          </w:tcPr>
          <w:p w14:paraId="26CD18E5" w14:textId="37F6F7C1" w:rsidR="000252B1" w:rsidRPr="0016644C" w:rsidRDefault="00FE124F" w:rsidP="00D73E6A">
            <w:pPr>
              <w:pStyle w:val="MDPI31text"/>
              <w:spacing w:before="120" w:after="120" w:line="360" w:lineRule="auto"/>
              <w:ind w:left="706" w:firstLine="0"/>
              <w:jc w:val="center"/>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t</m:t>
                  </m:r>
                </m:sub>
              </m:sSub>
              <m:r>
                <w:rPr>
                  <w:rFonts w:ascii="Cambria Math" w:hAnsi="Cambria Math"/>
                  <w:color w:val="000000" w:themeColor="text1"/>
                  <w:sz w:val="24"/>
                  <w:szCs w:val="24"/>
                </w:rPr>
                <m:t xml:space="preserve">= μ+ ∅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t-1</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t</m:t>
                  </m:r>
                </m:sub>
              </m:sSub>
              <m:r>
                <w:rPr>
                  <w:rFonts w:ascii="Cambria Math" w:hAnsi="Cambria Math"/>
                  <w:color w:val="000000" w:themeColor="text1"/>
                  <w:sz w:val="24"/>
                  <w:szCs w:val="24"/>
                </w:rPr>
                <m:t xml:space="preserve">  </m:t>
              </m:r>
              <m:r>
                <m:rPr>
                  <m:sty m:val="p"/>
                </m:rPr>
                <w:rPr>
                  <w:rFonts w:ascii="Cambria Math" w:hAnsi="Cambria Math"/>
                  <w:color w:val="000000" w:themeColor="text1"/>
                  <w:sz w:val="24"/>
                  <w:szCs w:val="24"/>
                </w:rPr>
                <m:t xml:space="preserve">with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t</m:t>
                  </m:r>
                </m:sub>
              </m:sSub>
              <m:r>
                <w:rPr>
                  <w:rFonts w:ascii="Cambria Math" w:hAnsi="Cambria Math"/>
                  <w:color w:val="000000" w:themeColor="text1"/>
                  <w:sz w:val="24"/>
                  <w:szCs w:val="24"/>
                </w:rPr>
                <m:t xml:space="preserve">= </m:t>
              </m:r>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H</m:t>
                  </m:r>
                </m:e>
                <m:sub>
                  <m:r>
                    <w:rPr>
                      <w:rFonts w:ascii="Cambria Math" w:hAnsi="Cambria Math"/>
                      <w:color w:val="000000" w:themeColor="text1"/>
                      <w:sz w:val="24"/>
                      <w:szCs w:val="24"/>
                    </w:rPr>
                    <m:t>t</m:t>
                  </m:r>
                </m:sub>
                <m:sup>
                  <m:r>
                    <w:rPr>
                      <w:rFonts w:ascii="Cambria Math" w:hAnsi="Cambria Math"/>
                      <w:color w:val="000000" w:themeColor="text1"/>
                      <w:sz w:val="24"/>
                      <w:szCs w:val="24"/>
                    </w:rPr>
                    <m:t>1/2</m:t>
                  </m:r>
                </m:sup>
              </m:sSubSup>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η</m:t>
                  </m:r>
                </m:e>
                <m:sub>
                  <m:r>
                    <w:rPr>
                      <w:rFonts w:ascii="Cambria Math" w:hAnsi="Cambria Math"/>
                      <w:color w:val="000000" w:themeColor="text1"/>
                      <w:sz w:val="24"/>
                      <w:szCs w:val="24"/>
                    </w:rPr>
                    <m:t>t</m:t>
                  </m:r>
                </m:sub>
              </m:sSub>
              <m:r>
                <m:rPr>
                  <m:sty m:val="p"/>
                </m:rPr>
                <w:rPr>
                  <w:rFonts w:ascii="Cambria Math" w:hAnsi="Cambria Math"/>
                  <w:color w:val="000000" w:themeColor="text1"/>
                  <w:sz w:val="24"/>
                  <w:szCs w:val="24"/>
                </w:rPr>
                <m:t>.</m:t>
              </m:r>
            </m:oMath>
            <w:r w:rsidR="00B358F7">
              <w:rPr>
                <w:rFonts w:ascii="Times New Roman" w:hAnsi="Times New Roman"/>
                <w:color w:val="000000" w:themeColor="text1"/>
                <w:sz w:val="24"/>
                <w:szCs w:val="24"/>
              </w:rPr>
              <w:t xml:space="preserve">                                </w:t>
            </w:r>
          </w:p>
        </w:tc>
        <w:tc>
          <w:tcPr>
            <w:tcW w:w="690" w:type="dxa"/>
            <w:shd w:val="clear" w:color="auto" w:fill="auto"/>
            <w:vAlign w:val="center"/>
          </w:tcPr>
          <w:p w14:paraId="2540E295" w14:textId="181CD9AF" w:rsidR="000252B1" w:rsidRPr="00C91FFA" w:rsidRDefault="000252B1" w:rsidP="00D73E6A">
            <w:pPr>
              <w:pStyle w:val="MDPI31text"/>
              <w:spacing w:before="120" w:after="120" w:line="360" w:lineRule="auto"/>
              <w:ind w:firstLine="0"/>
              <w:jc w:val="right"/>
              <w:rPr>
                <w:rFonts w:ascii="Times New Roman" w:hAnsi="Times New Roman"/>
                <w:color w:val="0070C0"/>
                <w:sz w:val="24"/>
                <w:szCs w:val="24"/>
              </w:rPr>
            </w:pPr>
            <w:r w:rsidRPr="00C91FFA">
              <w:rPr>
                <w:rFonts w:ascii="Times New Roman" w:hAnsi="Times New Roman"/>
                <w:color w:val="0070C0"/>
                <w:sz w:val="24"/>
                <w:szCs w:val="24"/>
              </w:rPr>
              <w:t>(</w:t>
            </w:r>
            <w:r w:rsidRPr="00C91FFA">
              <w:rPr>
                <w:rFonts w:ascii="Times New Roman" w:hAnsi="Times New Roman"/>
                <w:color w:val="0070C0"/>
                <w:sz w:val="24"/>
                <w:szCs w:val="24"/>
              </w:rPr>
              <w:fldChar w:fldCharType="begin"/>
            </w:r>
            <w:r w:rsidRPr="00C91FFA">
              <w:rPr>
                <w:rFonts w:ascii="Times New Roman" w:hAnsi="Times New Roman"/>
                <w:color w:val="0070C0"/>
                <w:sz w:val="24"/>
                <w:szCs w:val="24"/>
              </w:rPr>
              <w:instrText xml:space="preserve"> seq EquationSeq \* \Arabic </w:instrText>
            </w:r>
            <w:r w:rsidRPr="00C91FFA">
              <w:rPr>
                <w:rFonts w:ascii="Times New Roman" w:hAnsi="Times New Roman"/>
                <w:color w:val="0070C0"/>
                <w:sz w:val="24"/>
                <w:szCs w:val="24"/>
              </w:rPr>
              <w:fldChar w:fldCharType="separate"/>
            </w:r>
            <w:r w:rsidR="001D69E1" w:rsidRPr="00C91FFA">
              <w:rPr>
                <w:rFonts w:ascii="Times New Roman" w:hAnsi="Times New Roman"/>
                <w:noProof/>
                <w:color w:val="0070C0"/>
                <w:sz w:val="24"/>
                <w:szCs w:val="24"/>
              </w:rPr>
              <w:t>1</w:t>
            </w:r>
            <w:r w:rsidRPr="00C91FFA">
              <w:rPr>
                <w:rFonts w:ascii="Times New Roman" w:hAnsi="Times New Roman"/>
                <w:color w:val="0070C0"/>
                <w:sz w:val="24"/>
                <w:szCs w:val="24"/>
              </w:rPr>
              <w:fldChar w:fldCharType="end"/>
            </w:r>
            <w:r w:rsidRPr="00C91FFA">
              <w:rPr>
                <w:rFonts w:ascii="Times New Roman" w:hAnsi="Times New Roman"/>
                <w:color w:val="0070C0"/>
                <w:sz w:val="24"/>
                <w:szCs w:val="24"/>
              </w:rPr>
              <w:t>)</w:t>
            </w:r>
          </w:p>
        </w:tc>
      </w:tr>
    </w:tbl>
    <w:p w14:paraId="72B53ACF" w14:textId="033B1E54" w:rsidR="000252B1" w:rsidRPr="0016644C" w:rsidRDefault="00FE124F" w:rsidP="000252B1">
      <w:pPr>
        <w:pStyle w:val="MDPI31text"/>
        <w:spacing w:line="360" w:lineRule="auto"/>
        <w:ind w:firstLine="0"/>
        <w:rPr>
          <w:rFonts w:ascii="Times New Roman" w:hAnsi="Times New Roman"/>
          <w:color w:val="000000" w:themeColor="text1"/>
          <w:sz w:val="24"/>
          <w:szCs w:val="24"/>
        </w:rPr>
      </w:pP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t</m:t>
            </m:r>
          </m:sub>
        </m:sSub>
        <m:r>
          <w:rPr>
            <w:rFonts w:ascii="Cambria Math" w:hAnsi="Cambria Math"/>
            <w:color w:val="000000" w:themeColor="text1"/>
            <w:sz w:val="24"/>
            <w:szCs w:val="24"/>
          </w:rPr>
          <m:t>=(</m:t>
        </m:r>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R</m:t>
            </m:r>
          </m:e>
          <m:sub>
            <m:r>
              <w:rPr>
                <w:rFonts w:ascii="Cambria Math" w:hAnsi="Cambria Math"/>
                <w:color w:val="000000" w:themeColor="text1"/>
                <w:sz w:val="24"/>
                <w:szCs w:val="24"/>
              </w:rPr>
              <m:t>t</m:t>
            </m:r>
          </m:sub>
          <m:sup>
            <m:r>
              <w:rPr>
                <w:rFonts w:ascii="Cambria Math" w:hAnsi="Cambria Math"/>
                <w:color w:val="000000" w:themeColor="text1"/>
                <w:sz w:val="24"/>
                <w:szCs w:val="24"/>
              </w:rPr>
              <m:t>x</m:t>
            </m:r>
          </m:sup>
        </m:sSubSup>
      </m:oMath>
      <w:r w:rsidR="000252B1" w:rsidRPr="0016644C">
        <w:rPr>
          <w:rFonts w:ascii="Times New Roman" w:hAnsi="Times New Roman"/>
          <w:i/>
          <w:color w:val="000000" w:themeColor="text1"/>
          <w:sz w:val="24"/>
          <w:szCs w:val="24"/>
        </w:rPr>
        <w:t>,</w:t>
      </w:r>
      <m:oMath>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R</m:t>
            </m:r>
          </m:e>
          <m:sub>
            <m:r>
              <w:rPr>
                <w:rFonts w:ascii="Cambria Math" w:hAnsi="Cambria Math"/>
                <w:color w:val="000000" w:themeColor="text1"/>
                <w:sz w:val="24"/>
                <w:szCs w:val="24"/>
              </w:rPr>
              <m:t>t</m:t>
            </m:r>
          </m:sub>
          <m:sup>
            <m:r>
              <w:rPr>
                <w:rFonts w:ascii="Cambria Math" w:hAnsi="Cambria Math"/>
                <w:color w:val="000000" w:themeColor="text1"/>
                <w:sz w:val="24"/>
                <w:szCs w:val="24"/>
              </w:rPr>
              <m:t>y</m:t>
            </m:r>
          </m:sup>
        </m:sSubSup>
        <m:r>
          <w:rPr>
            <w:rFonts w:ascii="Cambria Math" w:hAnsi="Cambria Math"/>
            <w:color w:val="000000" w:themeColor="text1"/>
            <w:sz w:val="24"/>
            <w:szCs w:val="24"/>
          </w:rPr>
          <m:t>)'</m:t>
        </m:r>
      </m:oMath>
      <w:r w:rsidR="000252B1" w:rsidRPr="0016644C">
        <w:rPr>
          <w:rFonts w:ascii="Times New Roman" w:hAnsi="Times New Roman"/>
          <w:i/>
          <w:color w:val="000000" w:themeColor="text1"/>
          <w:sz w:val="24"/>
          <w:szCs w:val="24"/>
        </w:rPr>
        <w:t xml:space="preserve"> </w:t>
      </w:r>
      <w:proofErr w:type="spellStart"/>
      <w:r w:rsidR="00A94B49">
        <w:rPr>
          <w:rFonts w:ascii="Times New Roman" w:hAnsi="Times New Roman"/>
          <w:color w:val="000000" w:themeColor="text1"/>
          <w:sz w:val="24"/>
          <w:szCs w:val="24"/>
        </w:rPr>
        <w:t>repre</w:t>
      </w:r>
      <w:r w:rsidR="001D6D17">
        <w:rPr>
          <w:rFonts w:ascii="Times New Roman" w:hAnsi="Times New Roman"/>
          <w:color w:val="000000" w:themeColor="text1"/>
          <w:sz w:val="24"/>
          <w:szCs w:val="24"/>
        </w:rPr>
        <w:t>nts</w:t>
      </w:r>
      <w:proofErr w:type="spellEnd"/>
      <w:r w:rsidR="001D6D17">
        <w:rPr>
          <w:rFonts w:ascii="Times New Roman" w:hAnsi="Times New Roman"/>
          <w:color w:val="000000" w:themeColor="text1"/>
          <w:sz w:val="24"/>
          <w:szCs w:val="24"/>
        </w:rPr>
        <w:t xml:space="preserve"> </w:t>
      </w:r>
      <w:r w:rsidR="000252B1" w:rsidRPr="0016644C">
        <w:rPr>
          <w:rFonts w:ascii="Times New Roman" w:hAnsi="Times New Roman"/>
          <w:color w:val="000000" w:themeColor="text1"/>
          <w:sz w:val="24"/>
          <w:szCs w:val="24"/>
        </w:rPr>
        <w:t xml:space="preserve">the vector of the </w:t>
      </w:r>
      <w:r w:rsidR="003A14D2">
        <w:rPr>
          <w:rFonts w:ascii="Times New Roman" w:hAnsi="Times New Roman"/>
          <w:color w:val="000000" w:themeColor="text1"/>
          <w:sz w:val="24"/>
          <w:szCs w:val="24"/>
        </w:rPr>
        <w:t xml:space="preserve">Islamic </w:t>
      </w:r>
      <w:r w:rsidR="004D0256">
        <w:rPr>
          <w:rFonts w:ascii="Times New Roman" w:hAnsi="Times New Roman"/>
          <w:color w:val="000000" w:themeColor="text1"/>
          <w:sz w:val="24"/>
          <w:szCs w:val="24"/>
        </w:rPr>
        <w:t>stock</w:t>
      </w:r>
      <w:r w:rsidR="000252B1" w:rsidRPr="0016644C">
        <w:rPr>
          <w:rFonts w:ascii="Times New Roman" w:hAnsi="Times New Roman"/>
          <w:color w:val="000000" w:themeColor="text1"/>
          <w:sz w:val="24"/>
          <w:szCs w:val="24"/>
        </w:rPr>
        <w:t xml:space="preserve"> </w:t>
      </w:r>
      <w:r w:rsidR="00906875">
        <w:rPr>
          <w:rFonts w:ascii="Times New Roman" w:hAnsi="Times New Roman"/>
          <w:color w:val="000000" w:themeColor="text1"/>
          <w:sz w:val="24"/>
          <w:szCs w:val="24"/>
        </w:rPr>
        <w:t>sector</w:t>
      </w:r>
      <w:r w:rsidR="000252B1" w:rsidRPr="0016644C">
        <w:rPr>
          <w:rFonts w:ascii="Times New Roman" w:hAnsi="Times New Roman"/>
          <w:color w:val="000000" w:themeColor="text1"/>
          <w:sz w:val="24"/>
          <w:szCs w:val="24"/>
        </w:rPr>
        <w:t xml:space="preserve"> (x) and </w:t>
      </w:r>
      <w:r w:rsidR="003A14D2">
        <w:rPr>
          <w:rFonts w:ascii="Times New Roman" w:hAnsi="Times New Roman"/>
          <w:color w:val="000000" w:themeColor="text1"/>
          <w:sz w:val="24"/>
          <w:szCs w:val="24"/>
        </w:rPr>
        <w:t xml:space="preserve">Islamic </w:t>
      </w:r>
      <w:r w:rsidR="000252B1" w:rsidRPr="0016644C">
        <w:rPr>
          <w:rFonts w:ascii="Times New Roman" w:hAnsi="Times New Roman"/>
          <w:color w:val="000000" w:themeColor="text1"/>
          <w:sz w:val="24"/>
          <w:szCs w:val="24"/>
        </w:rPr>
        <w:t>cryptocurrency (y)</w:t>
      </w:r>
      <w:r w:rsidR="00C61547">
        <w:rPr>
          <w:rFonts w:ascii="Times New Roman" w:hAnsi="Times New Roman"/>
          <w:color w:val="000000" w:themeColor="text1"/>
          <w:sz w:val="24"/>
          <w:szCs w:val="24"/>
        </w:rPr>
        <w:t xml:space="preserve"> returns</w:t>
      </w:r>
      <w:r w:rsidR="000252B1" w:rsidRPr="0016644C">
        <w:rPr>
          <w:rFonts w:ascii="Times New Roman" w:hAnsi="Times New Roman"/>
          <w:color w:val="000000" w:themeColor="text1"/>
          <w:sz w:val="24"/>
          <w:szCs w:val="24"/>
        </w:rPr>
        <w:t xml:space="preserve">, respectively. </w:t>
      </w:r>
      <m:oMath>
        <m:r>
          <w:rPr>
            <w:rFonts w:ascii="Cambria Math" w:hAnsi="Cambria Math"/>
            <w:color w:val="000000" w:themeColor="text1"/>
            <w:sz w:val="24"/>
            <w:szCs w:val="24"/>
          </w:rPr>
          <m:t>∅</m:t>
        </m:r>
      </m:oMath>
      <w:r w:rsidR="000252B1" w:rsidRPr="0016644C">
        <w:rPr>
          <w:rFonts w:ascii="Times New Roman" w:hAnsi="Times New Roman"/>
          <w:i/>
          <w:color w:val="000000" w:themeColor="text1"/>
          <w:sz w:val="24"/>
          <w:szCs w:val="24"/>
        </w:rPr>
        <w:t xml:space="preserve"> </w:t>
      </w:r>
      <w:r w:rsidR="00F17D2B">
        <w:rPr>
          <w:rFonts w:ascii="Times New Roman" w:hAnsi="Times New Roman"/>
          <w:iCs/>
          <w:color w:val="000000" w:themeColor="text1"/>
          <w:sz w:val="24"/>
          <w:szCs w:val="24"/>
        </w:rPr>
        <w:t xml:space="preserve">denotes the </w:t>
      </w:r>
      <w:r w:rsidR="000252B1" w:rsidRPr="0016644C">
        <w:rPr>
          <w:rFonts w:ascii="Times New Roman" w:hAnsi="Times New Roman"/>
          <w:color w:val="000000" w:themeColor="text1"/>
          <w:sz w:val="24"/>
          <w:szCs w:val="24"/>
        </w:rPr>
        <w:t xml:space="preserve">2 × 2 matrix of parameters, </w:t>
      </w:r>
      <w:r w:rsidR="003D1491">
        <w:rPr>
          <w:rFonts w:ascii="Times New Roman" w:hAnsi="Times New Roman"/>
          <w:color w:val="000000" w:themeColor="text1"/>
          <w:sz w:val="24"/>
          <w:szCs w:val="24"/>
        </w:rPr>
        <w:t xml:space="preserve">that estimate </w:t>
      </w:r>
      <w:r w:rsidR="00E63847">
        <w:rPr>
          <w:rFonts w:ascii="Times New Roman" w:hAnsi="Times New Roman"/>
          <w:color w:val="000000" w:themeColor="text1"/>
          <w:sz w:val="24"/>
          <w:szCs w:val="24"/>
        </w:rPr>
        <w:t xml:space="preserve">the two types of </w:t>
      </w:r>
      <w:r w:rsidR="007F4072">
        <w:rPr>
          <w:rFonts w:ascii="Times New Roman" w:hAnsi="Times New Roman"/>
          <w:color w:val="000000" w:themeColor="text1"/>
          <w:sz w:val="24"/>
          <w:szCs w:val="24"/>
        </w:rPr>
        <w:t xml:space="preserve">return </w:t>
      </w:r>
      <w:r w:rsidR="00E63847">
        <w:rPr>
          <w:rFonts w:ascii="Times New Roman" w:hAnsi="Times New Roman"/>
          <w:color w:val="000000" w:themeColor="text1"/>
          <w:sz w:val="24"/>
          <w:szCs w:val="24"/>
        </w:rPr>
        <w:t xml:space="preserve">spillover, </w:t>
      </w:r>
      <w:r w:rsidR="00255F50">
        <w:rPr>
          <w:rFonts w:ascii="Times New Roman" w:hAnsi="Times New Roman"/>
          <w:color w:val="000000" w:themeColor="text1"/>
          <w:sz w:val="24"/>
          <w:szCs w:val="24"/>
        </w:rPr>
        <w:t>(a) past own spillovers</w:t>
      </w:r>
      <w:r w:rsidR="009E67FA">
        <w:rPr>
          <w:rFonts w:ascii="Times New Roman" w:hAnsi="Times New Roman"/>
          <w:color w:val="000000" w:themeColor="text1"/>
          <w:sz w:val="24"/>
          <w:szCs w:val="24"/>
        </w:rPr>
        <w:t xml:space="preserve">, (b) spillovers across x and y </w:t>
      </w:r>
      <w:r w:rsidR="007F4072">
        <w:rPr>
          <w:rFonts w:ascii="Times New Roman" w:hAnsi="Times New Roman"/>
          <w:color w:val="000000" w:themeColor="text1"/>
          <w:sz w:val="24"/>
          <w:szCs w:val="24"/>
        </w:rPr>
        <w:t>series.</w:t>
      </w:r>
      <w:r w:rsidR="000252B1" w:rsidRPr="0016644C">
        <w:rPr>
          <w:rFonts w:ascii="Times New Roman" w:hAnsi="Times New Roman"/>
          <w:color w:val="000000" w:themeColor="text1"/>
          <w:sz w:val="24"/>
          <w:szCs w:val="24"/>
        </w:rPr>
        <w:t xml:space="preserve">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t</m:t>
            </m:r>
          </m:sub>
        </m:sSub>
        <m:r>
          <w:rPr>
            <w:rFonts w:ascii="Cambria Math" w:hAnsi="Cambria Math"/>
            <w:color w:val="000000" w:themeColor="text1"/>
            <w:sz w:val="24"/>
            <w:szCs w:val="24"/>
          </w:rPr>
          <m:t>=(</m:t>
        </m:r>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e</m:t>
            </m:r>
          </m:e>
          <m:sub>
            <m:r>
              <w:rPr>
                <w:rFonts w:ascii="Cambria Math" w:hAnsi="Cambria Math"/>
                <w:color w:val="000000" w:themeColor="text1"/>
                <w:sz w:val="24"/>
                <w:szCs w:val="24"/>
              </w:rPr>
              <m:t>t</m:t>
            </m:r>
          </m:sub>
          <m:sup>
            <m:r>
              <w:rPr>
                <w:rFonts w:ascii="Cambria Math" w:hAnsi="Cambria Math"/>
                <w:color w:val="000000" w:themeColor="text1"/>
                <w:sz w:val="24"/>
                <w:szCs w:val="24"/>
              </w:rPr>
              <m:t>x</m:t>
            </m:r>
          </m:sup>
        </m:sSubSup>
        <m:r>
          <w:rPr>
            <w:rFonts w:ascii="Cambria Math" w:hAnsi="Cambria Math"/>
            <w:color w:val="000000" w:themeColor="text1"/>
            <w:sz w:val="24"/>
            <w:szCs w:val="24"/>
          </w:rPr>
          <m:t>,</m:t>
        </m:r>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e</m:t>
            </m:r>
          </m:e>
          <m:sub>
            <m:r>
              <w:rPr>
                <w:rFonts w:ascii="Cambria Math" w:hAnsi="Cambria Math"/>
                <w:color w:val="000000" w:themeColor="text1"/>
                <w:sz w:val="24"/>
                <w:szCs w:val="24"/>
              </w:rPr>
              <m:t>t</m:t>
            </m:r>
          </m:sub>
          <m:sup>
            <m:r>
              <w:rPr>
                <w:rFonts w:ascii="Cambria Math" w:hAnsi="Cambria Math"/>
                <w:color w:val="000000" w:themeColor="text1"/>
                <w:sz w:val="24"/>
                <w:szCs w:val="24"/>
              </w:rPr>
              <m:t>y</m:t>
            </m:r>
          </m:sup>
        </m:sSubSup>
        <m:r>
          <w:rPr>
            <w:rFonts w:ascii="Cambria Math" w:hAnsi="Cambria Math"/>
            <w:color w:val="000000" w:themeColor="text1"/>
            <w:sz w:val="24"/>
            <w:szCs w:val="24"/>
          </w:rPr>
          <m:t>)'</m:t>
        </m:r>
      </m:oMath>
      <w:r w:rsidR="000252B1" w:rsidRPr="0016644C">
        <w:rPr>
          <w:rFonts w:ascii="Times New Roman" w:hAnsi="Times New Roman"/>
          <w:i/>
          <w:color w:val="000000" w:themeColor="text1"/>
          <w:sz w:val="24"/>
          <w:szCs w:val="24"/>
        </w:rPr>
        <w:t xml:space="preserve"> </w:t>
      </w:r>
      <w:r w:rsidR="00D65C90">
        <w:rPr>
          <w:rFonts w:ascii="Times New Roman" w:hAnsi="Times New Roman"/>
          <w:color w:val="000000" w:themeColor="text1"/>
          <w:sz w:val="24"/>
          <w:szCs w:val="24"/>
        </w:rPr>
        <w:t xml:space="preserve">refers </w:t>
      </w:r>
      <w:proofErr w:type="gramStart"/>
      <w:r w:rsidR="00D65C90">
        <w:rPr>
          <w:rFonts w:ascii="Times New Roman" w:hAnsi="Times New Roman"/>
          <w:color w:val="000000" w:themeColor="text1"/>
          <w:sz w:val="24"/>
          <w:szCs w:val="24"/>
        </w:rPr>
        <w:t xml:space="preserve">to </w:t>
      </w:r>
      <w:r w:rsidR="000252B1" w:rsidRPr="0016644C">
        <w:rPr>
          <w:rFonts w:ascii="Times New Roman" w:hAnsi="Times New Roman"/>
          <w:color w:val="000000" w:themeColor="text1"/>
          <w:sz w:val="24"/>
          <w:szCs w:val="24"/>
        </w:rPr>
        <w:t xml:space="preserve"> the</w:t>
      </w:r>
      <w:proofErr w:type="gramEnd"/>
      <w:r w:rsidR="000252B1" w:rsidRPr="0016644C">
        <w:rPr>
          <w:rFonts w:ascii="Times New Roman" w:hAnsi="Times New Roman"/>
          <w:color w:val="000000" w:themeColor="text1"/>
          <w:sz w:val="24"/>
          <w:szCs w:val="24"/>
        </w:rPr>
        <w:t xml:space="preserve"> </w:t>
      </w:r>
      <w:r w:rsidR="001750F9">
        <w:rPr>
          <w:rFonts w:ascii="Times New Roman" w:hAnsi="Times New Roman"/>
          <w:color w:val="000000" w:themeColor="text1"/>
          <w:sz w:val="24"/>
          <w:szCs w:val="24"/>
        </w:rPr>
        <w:t xml:space="preserve">residual </w:t>
      </w:r>
      <w:r w:rsidR="00B17851">
        <w:rPr>
          <w:rFonts w:ascii="Times New Roman" w:hAnsi="Times New Roman"/>
          <w:color w:val="000000" w:themeColor="text1"/>
          <w:sz w:val="24"/>
          <w:szCs w:val="24"/>
        </w:rPr>
        <w:t>terms</w:t>
      </w:r>
      <w:r w:rsidR="008A0C2C">
        <w:rPr>
          <w:rFonts w:ascii="Times New Roman" w:hAnsi="Times New Roman"/>
          <w:color w:val="000000" w:themeColor="text1"/>
          <w:sz w:val="24"/>
          <w:szCs w:val="24"/>
        </w:rPr>
        <w:t xml:space="preserve"> </w:t>
      </w:r>
      <w:r w:rsidR="004E13CC">
        <w:rPr>
          <w:rFonts w:ascii="Times New Roman" w:hAnsi="Times New Roman"/>
          <w:color w:val="000000" w:themeColor="text1"/>
          <w:sz w:val="24"/>
          <w:szCs w:val="24"/>
        </w:rPr>
        <w:t>and</w:t>
      </w:r>
      <w:r w:rsidR="000252B1" w:rsidRPr="0016644C">
        <w:rPr>
          <w:rFonts w:ascii="Times New Roman" w:hAnsi="Times New Roman"/>
          <w:color w:val="000000" w:themeColor="text1"/>
          <w:sz w:val="24"/>
          <w:szCs w:val="24"/>
        </w:rPr>
        <w:t xml:space="preserve">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η</m:t>
            </m:r>
          </m:e>
          <m:sub>
            <m:r>
              <w:rPr>
                <w:rFonts w:ascii="Cambria Math" w:hAnsi="Cambria Math"/>
                <w:color w:val="000000" w:themeColor="text1"/>
                <w:sz w:val="24"/>
                <w:szCs w:val="24"/>
              </w:rPr>
              <m:t>t</m:t>
            </m:r>
          </m:sub>
        </m:sSub>
        <m:r>
          <w:rPr>
            <w:rFonts w:ascii="Cambria Math" w:hAnsi="Cambria Math"/>
            <w:color w:val="000000" w:themeColor="text1"/>
            <w:sz w:val="24"/>
            <w:szCs w:val="24"/>
          </w:rPr>
          <m:t>=(</m:t>
        </m:r>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η</m:t>
            </m:r>
          </m:e>
          <m:sub>
            <m:r>
              <w:rPr>
                <w:rFonts w:ascii="Cambria Math" w:hAnsi="Cambria Math"/>
                <w:color w:val="000000" w:themeColor="text1"/>
                <w:sz w:val="24"/>
                <w:szCs w:val="24"/>
              </w:rPr>
              <m:t>t</m:t>
            </m:r>
          </m:sub>
          <m:sup>
            <m:r>
              <w:rPr>
                <w:rFonts w:ascii="Cambria Math" w:hAnsi="Cambria Math"/>
                <w:color w:val="000000" w:themeColor="text1"/>
                <w:sz w:val="24"/>
                <w:szCs w:val="24"/>
              </w:rPr>
              <m:t>x</m:t>
            </m:r>
          </m:sup>
        </m:sSubSup>
        <m:r>
          <w:rPr>
            <w:rFonts w:ascii="Cambria Math" w:hAnsi="Cambria Math"/>
            <w:color w:val="000000" w:themeColor="text1"/>
            <w:sz w:val="24"/>
            <w:szCs w:val="24"/>
          </w:rPr>
          <m:t xml:space="preserve">, </m:t>
        </m:r>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η</m:t>
            </m:r>
          </m:e>
          <m:sub>
            <m:r>
              <w:rPr>
                <w:rFonts w:ascii="Cambria Math" w:hAnsi="Cambria Math"/>
                <w:color w:val="000000" w:themeColor="text1"/>
                <w:sz w:val="24"/>
                <w:szCs w:val="24"/>
              </w:rPr>
              <m:t>t</m:t>
            </m:r>
          </m:sub>
          <m:sup>
            <m:r>
              <w:rPr>
                <w:rFonts w:ascii="Cambria Math" w:hAnsi="Cambria Math"/>
                <w:color w:val="000000" w:themeColor="text1"/>
                <w:sz w:val="24"/>
                <w:szCs w:val="24"/>
              </w:rPr>
              <m:t>y</m:t>
            </m:r>
          </m:sup>
        </m:sSubSup>
        <m:r>
          <w:rPr>
            <w:rFonts w:ascii="Cambria Math" w:hAnsi="Cambria Math"/>
            <w:color w:val="000000" w:themeColor="text1"/>
            <w:sz w:val="24"/>
            <w:szCs w:val="24"/>
          </w:rPr>
          <m:t>)'</m:t>
        </m:r>
      </m:oMath>
      <w:r w:rsidR="000252B1" w:rsidRPr="0016644C">
        <w:rPr>
          <w:rFonts w:ascii="Times New Roman" w:hAnsi="Times New Roman"/>
          <w:i/>
          <w:color w:val="000000" w:themeColor="text1"/>
          <w:sz w:val="24"/>
          <w:szCs w:val="24"/>
        </w:rPr>
        <w:t xml:space="preserve"> </w:t>
      </w:r>
      <w:r w:rsidR="009075D0" w:rsidRPr="0016644C">
        <w:rPr>
          <w:rFonts w:ascii="Times New Roman" w:hAnsi="Times New Roman"/>
          <w:iCs/>
          <w:color w:val="000000" w:themeColor="text1"/>
          <w:sz w:val="24"/>
          <w:szCs w:val="24"/>
        </w:rPr>
        <w:t>indicates</w:t>
      </w:r>
      <w:r w:rsidR="000252B1" w:rsidRPr="0016644C">
        <w:rPr>
          <w:rFonts w:ascii="Times New Roman" w:hAnsi="Times New Roman"/>
          <w:color w:val="000000" w:themeColor="text1"/>
          <w:sz w:val="24"/>
          <w:szCs w:val="24"/>
        </w:rPr>
        <w:t xml:space="preserve"> a sequence of identically and independently distributed random errors. </w:t>
      </w:r>
      <w:bookmarkStart w:id="5" w:name="_Hlk48409721"/>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t</m:t>
            </m:r>
          </m:sub>
        </m:sSub>
        <m:r>
          <w:rPr>
            <w:rFonts w:ascii="Cambria Math" w:hAnsi="Cambria Math"/>
            <w:color w:val="000000" w:themeColor="text1"/>
            <w:sz w:val="24"/>
            <w:szCs w:val="24"/>
          </w:rPr>
          <m:t xml:space="preserve"> = </m:t>
        </m:r>
        <m:d>
          <m:dPr>
            <m:ctrlPr>
              <w:rPr>
                <w:rFonts w:ascii="Cambria Math" w:hAnsi="Cambria Math"/>
                <w:i/>
                <w:iCs/>
                <w:color w:val="000000" w:themeColor="text1"/>
                <w:sz w:val="24"/>
                <w:szCs w:val="24"/>
              </w:rPr>
            </m:ctrlPr>
          </m:dPr>
          <m:e>
            <m:m>
              <m:mPr>
                <m:mcs>
                  <m:mc>
                    <m:mcPr>
                      <m:count m:val="2"/>
                      <m:mcJc m:val="center"/>
                    </m:mcPr>
                  </m:mc>
                </m:mcs>
                <m:ctrlPr>
                  <w:rPr>
                    <w:rFonts w:ascii="Cambria Math" w:hAnsi="Cambria Math"/>
                    <w:i/>
                    <w:iCs/>
                    <w:color w:val="000000" w:themeColor="text1"/>
                    <w:sz w:val="24"/>
                    <w:szCs w:val="24"/>
                  </w:rPr>
                </m:ctrlPr>
              </m:mPr>
              <m:mr>
                <m:e>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H</m:t>
                      </m:r>
                    </m:e>
                    <m:sub>
                      <m:r>
                        <w:rPr>
                          <w:rFonts w:ascii="Cambria Math" w:hAnsi="Cambria Math"/>
                          <w:color w:val="000000" w:themeColor="text1"/>
                          <w:sz w:val="24"/>
                          <w:szCs w:val="24"/>
                        </w:rPr>
                        <m:t>t</m:t>
                      </m:r>
                    </m:sub>
                    <m:sup>
                      <m:r>
                        <w:rPr>
                          <w:rFonts w:ascii="Cambria Math" w:hAnsi="Cambria Math"/>
                          <w:color w:val="000000" w:themeColor="text1"/>
                          <w:sz w:val="24"/>
                          <w:szCs w:val="24"/>
                        </w:rPr>
                        <m:t>x</m:t>
                      </m:r>
                    </m:sup>
                  </m:sSubSup>
                </m:e>
                <m:e>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H</m:t>
                      </m:r>
                    </m:e>
                    <m:sub>
                      <m:r>
                        <w:rPr>
                          <w:rFonts w:ascii="Cambria Math" w:hAnsi="Cambria Math"/>
                          <w:color w:val="000000" w:themeColor="text1"/>
                          <w:sz w:val="24"/>
                          <w:szCs w:val="24"/>
                        </w:rPr>
                        <m:t>t</m:t>
                      </m:r>
                    </m:sub>
                    <m:sup>
                      <m:r>
                        <w:rPr>
                          <w:rFonts w:ascii="Cambria Math" w:hAnsi="Cambria Math"/>
                          <w:color w:val="000000" w:themeColor="text1"/>
                          <w:sz w:val="24"/>
                          <w:szCs w:val="24"/>
                        </w:rPr>
                        <m:t>xy</m:t>
                      </m:r>
                    </m:sup>
                  </m:sSubSup>
                </m:e>
              </m:mr>
              <m:mr>
                <m:e>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H</m:t>
                      </m:r>
                    </m:e>
                    <m:sub>
                      <m:r>
                        <w:rPr>
                          <w:rFonts w:ascii="Cambria Math" w:hAnsi="Cambria Math"/>
                          <w:color w:val="000000" w:themeColor="text1"/>
                          <w:sz w:val="24"/>
                          <w:szCs w:val="24"/>
                        </w:rPr>
                        <m:t>t</m:t>
                      </m:r>
                    </m:sub>
                    <m:sup>
                      <m:r>
                        <w:rPr>
                          <w:rFonts w:ascii="Cambria Math" w:hAnsi="Cambria Math"/>
                          <w:color w:val="000000" w:themeColor="text1"/>
                          <w:sz w:val="24"/>
                          <w:szCs w:val="24"/>
                        </w:rPr>
                        <m:t>xy</m:t>
                      </m:r>
                    </m:sup>
                  </m:sSubSup>
                </m:e>
                <m:e>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H</m:t>
                      </m:r>
                    </m:e>
                    <m:sub>
                      <m:r>
                        <w:rPr>
                          <w:rFonts w:ascii="Cambria Math" w:hAnsi="Cambria Math"/>
                          <w:color w:val="000000" w:themeColor="text1"/>
                          <w:sz w:val="24"/>
                          <w:szCs w:val="24"/>
                        </w:rPr>
                        <m:t>t</m:t>
                      </m:r>
                    </m:sub>
                    <m:sup>
                      <m:r>
                        <w:rPr>
                          <w:rFonts w:ascii="Cambria Math" w:hAnsi="Cambria Math"/>
                          <w:color w:val="000000" w:themeColor="text1"/>
                          <w:sz w:val="24"/>
                          <w:szCs w:val="24"/>
                        </w:rPr>
                        <m:t>y</m:t>
                      </m:r>
                    </m:sup>
                  </m:sSubSup>
                </m:e>
              </m:mr>
            </m:m>
          </m:e>
        </m:d>
      </m:oMath>
      <w:bookmarkEnd w:id="5"/>
      <w:r w:rsidR="000E1EA4">
        <w:rPr>
          <w:rFonts w:ascii="Times New Roman" w:hAnsi="Times New Roman"/>
          <w:color w:val="000000" w:themeColor="text1"/>
          <w:sz w:val="24"/>
          <w:szCs w:val="24"/>
        </w:rPr>
        <w:t xml:space="preserve">. </w:t>
      </w:r>
      <m:oMath>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H</m:t>
            </m:r>
          </m:e>
          <m:sub>
            <m:r>
              <w:rPr>
                <w:rFonts w:ascii="Cambria Math" w:hAnsi="Cambria Math"/>
                <w:color w:val="000000" w:themeColor="text1"/>
                <w:sz w:val="24"/>
                <w:szCs w:val="24"/>
              </w:rPr>
              <m:t>t</m:t>
            </m:r>
          </m:sub>
          <m:sup>
            <m:r>
              <w:rPr>
                <w:rFonts w:ascii="Cambria Math" w:hAnsi="Cambria Math"/>
                <w:color w:val="000000" w:themeColor="text1"/>
                <w:sz w:val="24"/>
                <w:szCs w:val="24"/>
              </w:rPr>
              <m:t>x</m:t>
            </m:r>
          </m:sup>
        </m:sSubSup>
      </m:oMath>
      <w:r w:rsidR="00A024E7">
        <w:rPr>
          <w:rFonts w:ascii="Times New Roman" w:hAnsi="Times New Roman"/>
          <w:color w:val="000000" w:themeColor="text1"/>
          <w:sz w:val="24"/>
          <w:szCs w:val="24"/>
        </w:rPr>
        <w:t xml:space="preserve"> </w:t>
      </w:r>
      <w:r w:rsidR="00783559">
        <w:rPr>
          <w:rFonts w:ascii="Times New Roman" w:hAnsi="Times New Roman"/>
          <w:color w:val="000000" w:themeColor="text1"/>
          <w:sz w:val="24"/>
          <w:szCs w:val="24"/>
        </w:rPr>
        <w:t xml:space="preserve">and </w:t>
      </w:r>
      <m:oMath>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H</m:t>
            </m:r>
          </m:e>
          <m:sub>
            <m:r>
              <w:rPr>
                <w:rFonts w:ascii="Cambria Math" w:hAnsi="Cambria Math"/>
                <w:color w:val="000000" w:themeColor="text1"/>
                <w:sz w:val="24"/>
                <w:szCs w:val="24"/>
              </w:rPr>
              <m:t>t</m:t>
            </m:r>
          </m:sub>
          <m:sup>
            <m:r>
              <w:rPr>
                <w:rFonts w:ascii="Cambria Math" w:hAnsi="Cambria Math"/>
                <w:color w:val="000000" w:themeColor="text1"/>
                <w:sz w:val="24"/>
                <w:szCs w:val="24"/>
              </w:rPr>
              <m:t>y</m:t>
            </m:r>
          </m:sup>
        </m:sSubSup>
      </m:oMath>
      <w:r w:rsidR="000E1EA4">
        <w:rPr>
          <w:rFonts w:ascii="Times New Roman" w:hAnsi="Times New Roman"/>
          <w:iCs/>
          <w:color w:val="000000" w:themeColor="text1"/>
          <w:sz w:val="24"/>
          <w:szCs w:val="24"/>
        </w:rPr>
        <w:t xml:space="preserve"> are the conditional volatilities of x and y series, respectively</w:t>
      </w:r>
      <w:r w:rsidR="009D248E">
        <w:rPr>
          <w:rFonts w:ascii="Times New Roman" w:hAnsi="Times New Roman"/>
          <w:iCs/>
          <w:color w:val="000000" w:themeColor="text1"/>
          <w:sz w:val="24"/>
          <w:szCs w:val="24"/>
        </w:rPr>
        <w:t xml:space="preserve">. </w:t>
      </w:r>
      <m:oMath>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H</m:t>
            </m:r>
          </m:e>
          <m:sub>
            <m:r>
              <w:rPr>
                <w:rFonts w:ascii="Cambria Math" w:hAnsi="Cambria Math"/>
                <w:color w:val="000000" w:themeColor="text1"/>
                <w:sz w:val="24"/>
                <w:szCs w:val="24"/>
              </w:rPr>
              <m:t>t</m:t>
            </m:r>
          </m:sub>
          <m:sup>
            <m:r>
              <w:rPr>
                <w:rFonts w:ascii="Cambria Math" w:hAnsi="Cambria Math"/>
                <w:color w:val="000000" w:themeColor="text1"/>
                <w:sz w:val="24"/>
                <w:szCs w:val="24"/>
              </w:rPr>
              <m:t>xy</m:t>
            </m:r>
          </m:sup>
        </m:sSubSup>
      </m:oMath>
      <w:r w:rsidR="009D248E">
        <w:rPr>
          <w:rFonts w:ascii="Times New Roman" w:hAnsi="Times New Roman"/>
          <w:iCs/>
          <w:color w:val="000000" w:themeColor="text1"/>
          <w:sz w:val="24"/>
          <w:szCs w:val="24"/>
        </w:rPr>
        <w:t xml:space="preserve"> represents the covariance between </w:t>
      </w:r>
      <w:r w:rsidR="005E71E0">
        <w:rPr>
          <w:rFonts w:ascii="Times New Roman" w:hAnsi="Times New Roman"/>
          <w:iCs/>
          <w:color w:val="000000" w:themeColor="text1"/>
          <w:sz w:val="24"/>
          <w:szCs w:val="24"/>
        </w:rPr>
        <w:t xml:space="preserve">both series. </w:t>
      </w:r>
      <w:r w:rsidR="000252B1" w:rsidRPr="0016644C">
        <w:rPr>
          <w:rFonts w:ascii="Times New Roman" w:hAnsi="Times New Roman"/>
          <w:color w:val="000000" w:themeColor="text1"/>
          <w:sz w:val="24"/>
          <w:szCs w:val="24"/>
        </w:rPr>
        <w:t xml:space="preserve">Besides, </w:t>
      </w:r>
      <m:oMath>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H</m:t>
            </m:r>
          </m:e>
          <m:sub>
            <m:r>
              <w:rPr>
                <w:rFonts w:ascii="Cambria Math" w:hAnsi="Cambria Math"/>
                <w:color w:val="000000" w:themeColor="text1"/>
                <w:sz w:val="24"/>
                <w:szCs w:val="24"/>
              </w:rPr>
              <m:t>t</m:t>
            </m:r>
          </m:sub>
          <m:sup>
            <m:r>
              <w:rPr>
                <w:rFonts w:ascii="Cambria Math" w:hAnsi="Cambria Math"/>
                <w:color w:val="000000" w:themeColor="text1"/>
                <w:sz w:val="24"/>
                <w:szCs w:val="24"/>
              </w:rPr>
              <m:t>1/2</m:t>
            </m:r>
          </m:sup>
        </m:sSubSup>
      </m:oMath>
      <w:r w:rsidR="000252B1" w:rsidRPr="0016644C">
        <w:rPr>
          <w:rFonts w:ascii="Times New Roman" w:hAnsi="Times New Roman"/>
          <w:color w:val="000000" w:themeColor="text1"/>
          <w:sz w:val="24"/>
          <w:szCs w:val="24"/>
        </w:rPr>
        <w:t xml:space="preserve"> </w:t>
      </w:r>
      <w:r w:rsidR="00790907">
        <w:rPr>
          <w:rFonts w:ascii="Times New Roman" w:hAnsi="Times New Roman"/>
          <w:color w:val="000000" w:themeColor="text1"/>
          <w:sz w:val="24"/>
          <w:szCs w:val="24"/>
        </w:rPr>
        <w:t>denotes</w:t>
      </w:r>
      <w:r w:rsidR="000252B1" w:rsidRPr="0016644C">
        <w:rPr>
          <w:rFonts w:ascii="Times New Roman" w:hAnsi="Times New Roman"/>
          <w:color w:val="000000" w:themeColor="text1"/>
          <w:sz w:val="24"/>
          <w:szCs w:val="24"/>
        </w:rPr>
        <w:t xml:space="preserve"> the 2 × 2 symmetric positive definite </w:t>
      </w:r>
      <w:proofErr w:type="gramStart"/>
      <w:r w:rsidR="000252B1" w:rsidRPr="0016644C">
        <w:rPr>
          <w:rFonts w:ascii="Times New Roman" w:hAnsi="Times New Roman"/>
          <w:color w:val="000000" w:themeColor="text1"/>
          <w:sz w:val="24"/>
          <w:szCs w:val="24"/>
        </w:rPr>
        <w:t>matrix</w:t>
      </w:r>
      <w:proofErr w:type="gramEnd"/>
      <w:r w:rsidR="000252B1" w:rsidRPr="0016644C">
        <w:rPr>
          <w:rFonts w:ascii="Times New Roman" w:hAnsi="Times New Roman"/>
          <w:color w:val="000000" w:themeColor="text1"/>
          <w:sz w:val="24"/>
          <w:szCs w:val="24"/>
        </w:rPr>
        <w:t xml:space="preserve">. </w:t>
      </w:r>
    </w:p>
    <w:p w14:paraId="2D9E098B" w14:textId="3034F4FE" w:rsidR="000252B1" w:rsidRPr="0016644C" w:rsidRDefault="008177CB" w:rsidP="000252B1">
      <w:pPr>
        <w:pStyle w:val="MDPI31text"/>
        <w:spacing w:line="360" w:lineRule="auto"/>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Secondly, we estimate the </w:t>
      </w:r>
      <w:r w:rsidR="00E74C48">
        <w:rPr>
          <w:rFonts w:ascii="Times New Roman" w:hAnsi="Times New Roman"/>
          <w:color w:val="000000" w:themeColor="text1"/>
          <w:sz w:val="24"/>
          <w:szCs w:val="24"/>
        </w:rPr>
        <w:t xml:space="preserve">volatility spillovers </w:t>
      </w:r>
      <w:r w:rsidR="00875EA6">
        <w:rPr>
          <w:rFonts w:ascii="Times New Roman" w:hAnsi="Times New Roman"/>
          <w:color w:val="000000" w:themeColor="text1"/>
          <w:sz w:val="24"/>
          <w:szCs w:val="24"/>
        </w:rPr>
        <w:t>us</w:t>
      </w:r>
      <w:r w:rsidR="00E74C48">
        <w:rPr>
          <w:rFonts w:ascii="Times New Roman" w:hAnsi="Times New Roman"/>
          <w:color w:val="000000" w:themeColor="text1"/>
          <w:sz w:val="24"/>
          <w:szCs w:val="24"/>
        </w:rPr>
        <w:t>ing</w:t>
      </w:r>
      <w:r w:rsidR="00875EA6">
        <w:rPr>
          <w:rFonts w:ascii="Times New Roman" w:hAnsi="Times New Roman"/>
          <w:color w:val="000000" w:themeColor="text1"/>
          <w:sz w:val="24"/>
          <w:szCs w:val="24"/>
        </w:rPr>
        <w:t xml:space="preserve"> </w:t>
      </w:r>
      <w:r w:rsidR="000252B1" w:rsidRPr="0016644C">
        <w:rPr>
          <w:rFonts w:ascii="Times New Roman" w:hAnsi="Times New Roman"/>
          <w:color w:val="000000" w:themeColor="text1"/>
          <w:sz w:val="24"/>
          <w:szCs w:val="24"/>
        </w:rPr>
        <w:t>the full BEKK–AGARCH (1,1)</w:t>
      </w:r>
      <w:r w:rsidR="00CA0E31">
        <w:rPr>
          <w:rFonts w:ascii="Times New Roman" w:hAnsi="Times New Roman"/>
          <w:color w:val="000000" w:themeColor="text1"/>
          <w:sz w:val="24"/>
          <w:szCs w:val="24"/>
        </w:rPr>
        <w:t xml:space="preserve"> specifications</w:t>
      </w:r>
      <w:r w:rsidR="000252B1" w:rsidRPr="0016644C">
        <w:rPr>
          <w:rFonts w:ascii="Times New Roman" w:hAnsi="Times New Roman"/>
          <w:color w:val="000000" w:themeColor="text1"/>
          <w:sz w:val="24"/>
          <w:szCs w:val="24"/>
        </w:rPr>
        <w:t xml:space="preserve"> </w:t>
      </w:r>
      <w:r w:rsidR="00875EA6">
        <w:rPr>
          <w:rFonts w:ascii="Times New Roman" w:hAnsi="Times New Roman"/>
          <w:color w:val="000000" w:themeColor="text1"/>
          <w:sz w:val="24"/>
          <w:szCs w:val="24"/>
        </w:rPr>
        <w:t xml:space="preserve">proposed by </w:t>
      </w:r>
      <w:r w:rsidR="00875EA6" w:rsidRPr="00875EA6">
        <w:rPr>
          <w:rFonts w:ascii="Times New Roman" w:hAnsi="Times New Roman"/>
          <w:color w:val="000000" w:themeColor="text1"/>
          <w:sz w:val="24"/>
          <w:szCs w:val="24"/>
        </w:rPr>
        <w:t>Kroner</w:t>
      </w:r>
      <w:r w:rsidR="00875EA6">
        <w:rPr>
          <w:rFonts w:ascii="Times New Roman" w:hAnsi="Times New Roman"/>
          <w:color w:val="000000" w:themeColor="text1"/>
          <w:sz w:val="24"/>
          <w:szCs w:val="24"/>
        </w:rPr>
        <w:t xml:space="preserve"> and </w:t>
      </w:r>
      <w:r w:rsidR="00875EA6" w:rsidRPr="00875EA6">
        <w:rPr>
          <w:rFonts w:ascii="Times New Roman" w:hAnsi="Times New Roman"/>
          <w:color w:val="000000" w:themeColor="text1"/>
          <w:sz w:val="24"/>
          <w:szCs w:val="24"/>
        </w:rPr>
        <w:t>Ng</w:t>
      </w:r>
      <w:r w:rsidR="00F24E13">
        <w:rPr>
          <w:rFonts w:ascii="Times New Roman" w:hAnsi="Times New Roman"/>
          <w:color w:val="000000" w:themeColor="text1"/>
          <w:sz w:val="24"/>
          <w:szCs w:val="24"/>
        </w:rPr>
        <w:t xml:space="preserve"> (</w:t>
      </w:r>
      <w:r w:rsidR="00875EA6" w:rsidRPr="00875EA6">
        <w:rPr>
          <w:rFonts w:ascii="Times New Roman" w:hAnsi="Times New Roman"/>
          <w:color w:val="000000" w:themeColor="text1"/>
          <w:sz w:val="24"/>
          <w:szCs w:val="24"/>
        </w:rPr>
        <w:t>1998</w:t>
      </w:r>
      <w:r w:rsidR="00F24E13">
        <w:rPr>
          <w:rFonts w:ascii="Times New Roman" w:hAnsi="Times New Roman"/>
          <w:color w:val="000000" w:themeColor="text1"/>
          <w:sz w:val="24"/>
          <w:szCs w:val="24"/>
        </w:rPr>
        <w:t>)</w:t>
      </w:r>
      <w:r w:rsidR="000252B1" w:rsidRPr="0016644C">
        <w:rPr>
          <w:rFonts w:ascii="Times New Roman" w:hAnsi="Times New Roman"/>
          <w:color w:val="000000" w:themeColor="text1"/>
          <w:sz w:val="24"/>
          <w:szCs w:val="24"/>
        </w:rPr>
        <w:t xml:space="preserve">, </w:t>
      </w:r>
      <w:r w:rsidR="00BE3FEE">
        <w:rPr>
          <w:rFonts w:ascii="Times New Roman" w:hAnsi="Times New Roman"/>
          <w:color w:val="000000" w:themeColor="text1"/>
          <w:sz w:val="24"/>
          <w:szCs w:val="24"/>
        </w:rPr>
        <w:t>which</w:t>
      </w:r>
      <w:r w:rsidR="000252B1" w:rsidRPr="0016644C">
        <w:rPr>
          <w:rFonts w:ascii="Times New Roman" w:hAnsi="Times New Roman"/>
          <w:color w:val="000000" w:themeColor="text1"/>
          <w:sz w:val="24"/>
          <w:szCs w:val="24"/>
        </w:rPr>
        <w:t xml:space="preserve"> necessitates positive definiteness restrictions for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t</m:t>
            </m:r>
          </m:sub>
        </m:sSub>
      </m:oMath>
      <w:r w:rsidR="00D7228A">
        <w:rPr>
          <w:rFonts w:ascii="Times New Roman" w:hAnsi="Times New Roman"/>
          <w:color w:val="000000" w:themeColor="text1"/>
          <w:sz w:val="24"/>
          <w:szCs w:val="24"/>
        </w:rPr>
        <w:t xml:space="preserve">. The variance equations </w:t>
      </w:r>
      <w:proofErr w:type="gramStart"/>
      <w:r w:rsidR="000252B1" w:rsidRPr="0016644C">
        <w:rPr>
          <w:rFonts w:ascii="Times New Roman" w:hAnsi="Times New Roman"/>
          <w:color w:val="000000" w:themeColor="text1"/>
          <w:sz w:val="24"/>
          <w:szCs w:val="24"/>
        </w:rPr>
        <w:t>is</w:t>
      </w:r>
      <w:proofErr w:type="gramEnd"/>
      <w:r w:rsidR="000252B1" w:rsidRPr="0016644C">
        <w:rPr>
          <w:rFonts w:ascii="Times New Roman" w:hAnsi="Times New Roman"/>
          <w:color w:val="000000" w:themeColor="text1"/>
          <w:sz w:val="24"/>
          <w:szCs w:val="24"/>
        </w:rPr>
        <w:t xml:space="preserve"> </w:t>
      </w:r>
      <w:r w:rsidR="00362251">
        <w:rPr>
          <w:rFonts w:ascii="Times New Roman" w:hAnsi="Times New Roman"/>
          <w:color w:val="000000" w:themeColor="text1"/>
          <w:sz w:val="24"/>
          <w:szCs w:val="24"/>
        </w:rPr>
        <w:t>defined as</w:t>
      </w:r>
      <w:r w:rsidR="000252B1" w:rsidRPr="0016644C">
        <w:rPr>
          <w:rFonts w:ascii="Times New Roman" w:hAnsi="Times New Roman"/>
          <w:color w:val="000000" w:themeColor="text1"/>
          <w:sz w:val="24"/>
          <w:szCs w:val="24"/>
        </w:rPr>
        <w:t xml:space="preserve">: </w:t>
      </w:r>
    </w:p>
    <w:tbl>
      <w:tblPr>
        <w:tblW w:w="9619" w:type="dxa"/>
        <w:jc w:val="center"/>
        <w:tblLayout w:type="fixed"/>
        <w:tblLook w:val="0000" w:firstRow="0" w:lastRow="0" w:firstColumn="0" w:lastColumn="0" w:noHBand="0" w:noVBand="0"/>
      </w:tblPr>
      <w:tblGrid>
        <w:gridCol w:w="8921"/>
        <w:gridCol w:w="698"/>
      </w:tblGrid>
      <w:tr w:rsidR="00C91FFA" w:rsidRPr="00C91FFA" w14:paraId="54D806E1" w14:textId="77777777" w:rsidTr="00B358F7">
        <w:trPr>
          <w:trHeight w:val="640"/>
          <w:jc w:val="center"/>
        </w:trPr>
        <w:tc>
          <w:tcPr>
            <w:tcW w:w="8921" w:type="dxa"/>
            <w:shd w:val="clear" w:color="auto" w:fill="auto"/>
            <w:vAlign w:val="center"/>
          </w:tcPr>
          <w:p w14:paraId="22E0D42B" w14:textId="77777777" w:rsidR="000252B1" w:rsidRPr="0016644C" w:rsidRDefault="00FE124F" w:rsidP="00D73E6A">
            <w:pPr>
              <w:pStyle w:val="MDPI31text"/>
              <w:spacing w:before="120" w:after="120" w:line="360" w:lineRule="auto"/>
              <w:ind w:left="706" w:firstLine="0"/>
              <w:jc w:val="center"/>
              <w:rPr>
                <w:rFonts w:ascii="Times New Roman" w:hAnsi="Times New Roman"/>
                <w:color w:val="000000" w:themeColor="text1"/>
                <w:sz w:val="24"/>
                <w:szCs w:val="24"/>
              </w:rPr>
            </w:pPr>
            <m:oMathPara>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t</m:t>
                    </m:r>
                  </m:sub>
                </m:sSub>
                <m:r>
                  <w:rPr>
                    <w:rFonts w:ascii="Cambria Math" w:hAnsi="Cambria Math"/>
                    <w:color w:val="000000" w:themeColor="text1"/>
                    <w:sz w:val="24"/>
                    <w:szCs w:val="24"/>
                  </w:rPr>
                  <m:t xml:space="preserve">= </m:t>
                </m:r>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C</m:t>
                    </m:r>
                  </m:e>
                  <m:sup>
                    <m:r>
                      <w:rPr>
                        <w:rFonts w:ascii="Cambria Math" w:hAnsi="Cambria Math"/>
                        <w:color w:val="000000" w:themeColor="text1"/>
                        <w:sz w:val="24"/>
                        <w:szCs w:val="24"/>
                      </w:rPr>
                      <m:t>ˊ</m:t>
                    </m:r>
                  </m:sup>
                </m:sSup>
                <m:r>
                  <w:rPr>
                    <w:rFonts w:ascii="Cambria Math" w:hAnsi="Cambria Math"/>
                    <w:color w:val="000000" w:themeColor="text1"/>
                    <w:sz w:val="24"/>
                    <w:szCs w:val="24"/>
                  </w:rPr>
                  <m:t>C +</m:t>
                </m:r>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A</m:t>
                    </m:r>
                  </m:e>
                  <m:sup>
                    <m:r>
                      <w:rPr>
                        <w:rFonts w:ascii="Cambria Math" w:hAnsi="Cambria Math"/>
                        <w:color w:val="000000" w:themeColor="text1"/>
                        <w:sz w:val="24"/>
                        <w:szCs w:val="24"/>
                      </w:rPr>
                      <m:t>ˊ</m:t>
                    </m:r>
                  </m:sup>
                </m:sSup>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t-1</m:t>
                    </m:r>
                  </m:sub>
                </m:sSub>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e</m:t>
                    </m:r>
                  </m:e>
                  <m:sub>
                    <m:r>
                      <w:rPr>
                        <w:rFonts w:ascii="Cambria Math" w:hAnsi="Cambria Math"/>
                        <w:color w:val="000000" w:themeColor="text1"/>
                        <w:sz w:val="24"/>
                        <w:szCs w:val="24"/>
                      </w:rPr>
                      <m:t>t-1</m:t>
                    </m:r>
                  </m:sub>
                  <m:sup>
                    <m:r>
                      <w:rPr>
                        <w:rFonts w:ascii="Cambria Math" w:hAnsi="Cambria Math"/>
                        <w:color w:val="000000" w:themeColor="text1"/>
                        <w:sz w:val="24"/>
                        <w:szCs w:val="24"/>
                      </w:rPr>
                      <m:t>ˊ</m:t>
                    </m:r>
                  </m:sup>
                </m:sSubSup>
                <m:r>
                  <w:rPr>
                    <w:rFonts w:ascii="Cambria Math" w:hAnsi="Cambria Math"/>
                    <w:color w:val="000000" w:themeColor="text1"/>
                    <w:sz w:val="24"/>
                    <w:szCs w:val="24"/>
                  </w:rPr>
                  <m:t>A +</m:t>
                </m:r>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B</m:t>
                    </m:r>
                  </m:e>
                  <m:sup>
                    <m:r>
                      <w:rPr>
                        <w:rFonts w:ascii="Cambria Math" w:hAnsi="Cambria Math"/>
                        <w:color w:val="000000" w:themeColor="text1"/>
                        <w:sz w:val="24"/>
                        <w:szCs w:val="24"/>
                      </w:rPr>
                      <m:t>ˊ</m:t>
                    </m:r>
                  </m:sup>
                </m:sSup>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t-1</m:t>
                    </m:r>
                  </m:sub>
                </m:sSub>
                <m:r>
                  <w:rPr>
                    <w:rFonts w:ascii="Cambria Math" w:hAnsi="Cambria Math"/>
                    <w:color w:val="000000" w:themeColor="text1"/>
                    <w:sz w:val="24"/>
                    <w:szCs w:val="24"/>
                  </w:rPr>
                  <m:t>B+</m:t>
                </m:r>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D</m:t>
                    </m:r>
                  </m:e>
                  <m:sup>
                    <m:r>
                      <w:rPr>
                        <w:rFonts w:ascii="Cambria Math" w:hAnsi="Cambria Math"/>
                        <w:color w:val="000000" w:themeColor="text1"/>
                        <w:sz w:val="24"/>
                        <w:szCs w:val="24"/>
                      </w:rPr>
                      <m:t>ˊ</m:t>
                    </m:r>
                  </m:sup>
                </m:sSup>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t-1</m:t>
                    </m:r>
                  </m:sub>
                </m:sSub>
                <m:sSubSup>
                  <m:sSubSupPr>
                    <m:ctrlPr>
                      <w:rPr>
                        <w:rFonts w:ascii="Cambria Math" w:hAnsi="Cambria Math"/>
                        <w:i/>
                        <w:iCs/>
                        <w:color w:val="000000" w:themeColor="text1"/>
                        <w:sz w:val="24"/>
                        <w:szCs w:val="24"/>
                      </w:rPr>
                    </m:ctrlPr>
                  </m:sSubSupPr>
                  <m:e>
                    <m:r>
                      <w:rPr>
                        <w:rFonts w:ascii="Cambria Math" w:hAnsi="Cambria Math"/>
                        <w:color w:val="000000" w:themeColor="text1"/>
                        <w:sz w:val="24"/>
                        <w:szCs w:val="24"/>
                      </w:rPr>
                      <m:t>e</m:t>
                    </m:r>
                  </m:e>
                  <m:sub>
                    <m:r>
                      <w:rPr>
                        <w:rFonts w:ascii="Cambria Math" w:hAnsi="Cambria Math"/>
                        <w:color w:val="000000" w:themeColor="text1"/>
                        <w:sz w:val="24"/>
                        <w:szCs w:val="24"/>
                      </w:rPr>
                      <m:t>t-1</m:t>
                    </m:r>
                  </m:sub>
                  <m:sup>
                    <m:r>
                      <w:rPr>
                        <w:rFonts w:ascii="Cambria Math" w:hAnsi="Cambria Math"/>
                        <w:color w:val="000000" w:themeColor="text1"/>
                        <w:sz w:val="24"/>
                        <w:szCs w:val="24"/>
                      </w:rPr>
                      <m:t>ˊ</m:t>
                    </m:r>
                  </m:sup>
                </m:sSubSup>
                <m:r>
                  <w:rPr>
                    <w:rFonts w:ascii="Cambria Math" w:hAnsi="Cambria Math"/>
                    <w:color w:val="000000" w:themeColor="text1"/>
                    <w:sz w:val="24"/>
                    <w:szCs w:val="24"/>
                  </w:rPr>
                  <m:t xml:space="preserve">D </m:t>
                </m:r>
              </m:oMath>
            </m:oMathPara>
          </w:p>
        </w:tc>
        <w:tc>
          <w:tcPr>
            <w:tcW w:w="698" w:type="dxa"/>
            <w:shd w:val="clear" w:color="auto" w:fill="auto"/>
            <w:vAlign w:val="center"/>
          </w:tcPr>
          <w:p w14:paraId="263831B7" w14:textId="015D925B" w:rsidR="000252B1" w:rsidRPr="00C91FFA" w:rsidRDefault="000252B1" w:rsidP="00D73E6A">
            <w:pPr>
              <w:pStyle w:val="MDPI31text"/>
              <w:spacing w:before="120" w:after="120" w:line="360" w:lineRule="auto"/>
              <w:ind w:firstLine="0"/>
              <w:jc w:val="right"/>
              <w:rPr>
                <w:rFonts w:ascii="Times New Roman" w:hAnsi="Times New Roman"/>
                <w:color w:val="0070C0"/>
                <w:sz w:val="24"/>
                <w:szCs w:val="24"/>
              </w:rPr>
            </w:pPr>
            <w:r w:rsidRPr="00C91FFA">
              <w:rPr>
                <w:rFonts w:ascii="Times New Roman" w:hAnsi="Times New Roman"/>
                <w:color w:val="0070C0"/>
                <w:sz w:val="24"/>
                <w:szCs w:val="24"/>
              </w:rPr>
              <w:t>(</w:t>
            </w:r>
            <w:r w:rsidRPr="00C91FFA">
              <w:rPr>
                <w:rFonts w:ascii="Times New Roman" w:hAnsi="Times New Roman"/>
                <w:color w:val="0070C0"/>
                <w:sz w:val="24"/>
                <w:szCs w:val="24"/>
              </w:rPr>
              <w:fldChar w:fldCharType="begin"/>
            </w:r>
            <w:r w:rsidRPr="00C91FFA">
              <w:rPr>
                <w:rFonts w:ascii="Times New Roman" w:hAnsi="Times New Roman"/>
                <w:color w:val="0070C0"/>
                <w:sz w:val="24"/>
                <w:szCs w:val="24"/>
              </w:rPr>
              <w:instrText xml:space="preserve"> seq EquationSeq \* \Arabic </w:instrText>
            </w:r>
            <w:r w:rsidRPr="00C91FFA">
              <w:rPr>
                <w:rFonts w:ascii="Times New Roman" w:hAnsi="Times New Roman"/>
                <w:color w:val="0070C0"/>
                <w:sz w:val="24"/>
                <w:szCs w:val="24"/>
              </w:rPr>
              <w:fldChar w:fldCharType="separate"/>
            </w:r>
            <w:r w:rsidR="001D69E1" w:rsidRPr="00C91FFA">
              <w:rPr>
                <w:rFonts w:ascii="Times New Roman" w:hAnsi="Times New Roman"/>
                <w:noProof/>
                <w:color w:val="0070C0"/>
                <w:sz w:val="24"/>
                <w:szCs w:val="24"/>
              </w:rPr>
              <w:t>2</w:t>
            </w:r>
            <w:r w:rsidRPr="00C91FFA">
              <w:rPr>
                <w:rFonts w:ascii="Times New Roman" w:hAnsi="Times New Roman"/>
                <w:color w:val="0070C0"/>
                <w:sz w:val="24"/>
                <w:szCs w:val="24"/>
              </w:rPr>
              <w:fldChar w:fldCharType="end"/>
            </w:r>
            <w:r w:rsidRPr="00C91FFA">
              <w:rPr>
                <w:rFonts w:ascii="Times New Roman" w:hAnsi="Times New Roman"/>
                <w:color w:val="0070C0"/>
                <w:sz w:val="24"/>
                <w:szCs w:val="24"/>
              </w:rPr>
              <w:t>)</w:t>
            </w:r>
          </w:p>
        </w:tc>
      </w:tr>
    </w:tbl>
    <w:p w14:paraId="7E8CD7ED" w14:textId="187ED957" w:rsidR="000252B1" w:rsidRPr="0016644C" w:rsidRDefault="001A3379" w:rsidP="000252B1">
      <w:pPr>
        <w:pStyle w:val="MDPI31text"/>
        <w:spacing w:line="360" w:lineRule="auto"/>
        <w:ind w:firstLine="0"/>
        <w:rPr>
          <w:rFonts w:ascii="Times New Roman" w:eastAsiaTheme="minorEastAsia" w:hAnsi="Times New Roman"/>
          <w:color w:val="000000" w:themeColor="text1"/>
          <w:sz w:val="24"/>
          <w:szCs w:val="24"/>
          <w:lang w:val="en-GB"/>
        </w:rPr>
      </w:pPr>
      <w:r>
        <w:rPr>
          <w:rFonts w:ascii="Times New Roman" w:eastAsiaTheme="minorEastAsia" w:hAnsi="Times New Roman"/>
          <w:color w:val="000000" w:themeColor="text1"/>
          <w:sz w:val="24"/>
          <w:szCs w:val="24"/>
          <w:lang w:val="en-GB"/>
        </w:rPr>
        <w:lastRenderedPageBreak/>
        <w:t xml:space="preserve">More </w:t>
      </w:r>
      <w:proofErr w:type="gramStart"/>
      <w:r>
        <w:rPr>
          <w:rFonts w:ascii="Times New Roman" w:eastAsiaTheme="minorEastAsia" w:hAnsi="Times New Roman"/>
          <w:color w:val="000000" w:themeColor="text1"/>
          <w:sz w:val="24"/>
          <w:szCs w:val="24"/>
          <w:lang w:val="en-GB"/>
        </w:rPr>
        <w:t xml:space="preserve">specifically, </w:t>
      </w:r>
      <w:r w:rsidR="000252B1" w:rsidRPr="0016644C">
        <w:rPr>
          <w:rFonts w:ascii="Times New Roman" w:eastAsiaTheme="minorEastAsia" w:hAnsi="Times New Roman"/>
          <w:color w:val="000000" w:themeColor="text1"/>
          <w:sz w:val="24"/>
          <w:szCs w:val="24"/>
          <w:lang w:val="en-GB"/>
        </w:rPr>
        <w:t xml:space="preserve"> A</w:t>
      </w:r>
      <w:proofErr w:type="gramEnd"/>
      <w:r w:rsidR="000252B1" w:rsidRPr="0016644C">
        <w:rPr>
          <w:rFonts w:ascii="Times New Roman" w:eastAsiaTheme="minorEastAsia" w:hAnsi="Times New Roman"/>
          <w:color w:val="000000" w:themeColor="text1"/>
          <w:sz w:val="24"/>
          <w:szCs w:val="24"/>
          <w:lang w:val="en-GB"/>
        </w:rPr>
        <w:t xml:space="preserve">, B, </w:t>
      </w:r>
      <w:r w:rsidR="009901E7">
        <w:rPr>
          <w:rFonts w:ascii="Times New Roman" w:eastAsiaTheme="minorEastAsia" w:hAnsi="Times New Roman"/>
          <w:color w:val="000000" w:themeColor="text1"/>
          <w:sz w:val="24"/>
          <w:szCs w:val="24"/>
          <w:lang w:val="en-GB"/>
        </w:rPr>
        <w:t xml:space="preserve">C, </w:t>
      </w:r>
      <w:r w:rsidR="000252B1" w:rsidRPr="0016644C">
        <w:rPr>
          <w:rFonts w:ascii="Times New Roman" w:eastAsiaTheme="minorEastAsia" w:hAnsi="Times New Roman"/>
          <w:color w:val="000000" w:themeColor="text1"/>
          <w:sz w:val="24"/>
          <w:szCs w:val="24"/>
          <w:lang w:val="en-GB"/>
        </w:rPr>
        <w:t xml:space="preserve">and D </w:t>
      </w:r>
      <w:r w:rsidR="009901E7">
        <w:rPr>
          <w:rFonts w:ascii="Times New Roman" w:eastAsiaTheme="minorEastAsia" w:hAnsi="Times New Roman"/>
          <w:color w:val="000000" w:themeColor="text1"/>
          <w:sz w:val="24"/>
          <w:szCs w:val="24"/>
          <w:lang w:val="en-GB"/>
        </w:rPr>
        <w:t>matrices are presented as</w:t>
      </w:r>
      <w:r w:rsidR="000252B1" w:rsidRPr="0016644C">
        <w:rPr>
          <w:rFonts w:ascii="Times New Roman" w:eastAsiaTheme="minorEastAsia" w:hAnsi="Times New Roman"/>
          <w:color w:val="000000" w:themeColor="text1"/>
          <w:sz w:val="24"/>
          <w:szCs w:val="24"/>
          <w:lang w:val="en-GB"/>
        </w:rPr>
        <w:t xml:space="preserve"> follows:</w:t>
      </w:r>
    </w:p>
    <w:p w14:paraId="7C449867" w14:textId="77777777" w:rsidR="000252B1" w:rsidRPr="0016644C" w:rsidRDefault="000252B1" w:rsidP="000252B1">
      <w:pPr>
        <w:pStyle w:val="MDPI31text"/>
        <w:spacing w:line="360" w:lineRule="auto"/>
        <w:ind w:firstLine="0"/>
        <w:jc w:val="right"/>
        <w:rPr>
          <w:rFonts w:ascii="Times New Roman" w:eastAsiaTheme="minorEastAsia" w:hAnsi="Times New Roman"/>
          <w:color w:val="000000" w:themeColor="text1"/>
          <w:sz w:val="24"/>
          <w:szCs w:val="24"/>
        </w:rPr>
      </w:pPr>
    </w:p>
    <w:p w14:paraId="6E97AA9D" w14:textId="0364473C" w:rsidR="000252B1" w:rsidRPr="0016644C" w:rsidRDefault="000252B1" w:rsidP="000252B1">
      <w:pPr>
        <w:pStyle w:val="MDPI31text"/>
        <w:spacing w:line="360" w:lineRule="auto"/>
        <w:ind w:firstLine="0"/>
        <w:rPr>
          <w:rFonts w:ascii="Times New Roman" w:hAnsi="Times New Roman"/>
          <w:iCs/>
          <w:color w:val="000000" w:themeColor="text1"/>
          <w:sz w:val="24"/>
          <w:szCs w:val="24"/>
          <w:lang w:val="en-GB"/>
        </w:rPr>
      </w:pPr>
      <w:r w:rsidRPr="0016644C">
        <w:rPr>
          <w:rFonts w:ascii="Times New Roman" w:eastAsiaTheme="minorEastAsia" w:hAnsi="Times New Roman"/>
          <w:color w:val="000000" w:themeColor="text1"/>
          <w:sz w:val="24"/>
          <w:szCs w:val="24"/>
        </w:rPr>
        <w:t xml:space="preserve">     </w:t>
      </w:r>
      <m:oMath>
        <m:r>
          <w:rPr>
            <w:rFonts w:ascii="Cambria Math" w:hAnsi="Cambria Math"/>
            <w:color w:val="000000" w:themeColor="text1"/>
            <w:sz w:val="24"/>
            <w:szCs w:val="24"/>
          </w:rPr>
          <m:t xml:space="preserve">C = </m:t>
        </m:r>
        <m:d>
          <m:dPr>
            <m:ctrlPr>
              <w:rPr>
                <w:rFonts w:ascii="Cambria Math" w:hAnsi="Cambria Math"/>
                <w:i/>
                <w:iCs/>
                <w:color w:val="000000" w:themeColor="text1"/>
                <w:sz w:val="24"/>
                <w:szCs w:val="24"/>
              </w:rPr>
            </m:ctrlPr>
          </m:dPr>
          <m:e>
            <m:m>
              <m:mPr>
                <m:mcs>
                  <m:mc>
                    <m:mcPr>
                      <m:count m:val="2"/>
                      <m:mcJc m:val="center"/>
                    </m:mcPr>
                  </m:mc>
                </m:mcs>
                <m:ctrlPr>
                  <w:rPr>
                    <w:rFonts w:ascii="Cambria Math" w:hAnsi="Cambria Math"/>
                    <w:i/>
                    <w:iCs/>
                    <w:color w:val="000000" w:themeColor="text1"/>
                    <w:sz w:val="24"/>
                    <w:szCs w:val="24"/>
                  </w:rPr>
                </m:ctrlPr>
              </m:mPr>
              <m:m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11</m:t>
                      </m:r>
                    </m:sub>
                  </m:sSub>
                </m:e>
                <m:e>
                  <m:r>
                    <w:rPr>
                      <w:rFonts w:ascii="Cambria Math" w:hAnsi="Cambria Math"/>
                      <w:color w:val="000000" w:themeColor="text1"/>
                      <w:sz w:val="24"/>
                      <w:szCs w:val="24"/>
                    </w:rPr>
                    <m:t>0</m:t>
                  </m:r>
                </m:e>
              </m:mr>
              <m:m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21</m:t>
                      </m:r>
                    </m:sub>
                  </m:sSub>
                </m:e>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22</m:t>
                      </m:r>
                    </m:sub>
                  </m:sSub>
                </m:e>
              </m:mr>
            </m:m>
          </m:e>
        </m:d>
      </m:oMath>
      <w:r w:rsidRPr="0016644C">
        <w:rPr>
          <w:rFonts w:ascii="Times New Roman" w:hAnsi="Times New Roman"/>
          <w:iCs/>
          <w:color w:val="000000" w:themeColor="text1"/>
          <w:sz w:val="24"/>
          <w:szCs w:val="24"/>
        </w:rPr>
        <w:t xml:space="preserve">, </w:t>
      </w:r>
      <m:oMath>
        <m:r>
          <m:rPr>
            <m:sty m:val="p"/>
          </m:rPr>
          <w:rPr>
            <w:rFonts w:ascii="Cambria Math" w:hAnsi="Cambria Math"/>
            <w:color w:val="000000" w:themeColor="text1"/>
            <w:sz w:val="24"/>
            <w:szCs w:val="24"/>
          </w:rPr>
          <m:t>A</m:t>
        </m:r>
        <m:r>
          <w:rPr>
            <w:rFonts w:ascii="Cambria Math" w:hAnsi="Cambria Math"/>
            <w:color w:val="000000" w:themeColor="text1"/>
            <w:sz w:val="24"/>
            <w:szCs w:val="24"/>
          </w:rPr>
          <m:t xml:space="preserve"> = </m:t>
        </m:r>
        <m:d>
          <m:dPr>
            <m:ctrlPr>
              <w:rPr>
                <w:rFonts w:ascii="Cambria Math" w:hAnsi="Cambria Math"/>
                <w:i/>
                <w:iCs/>
                <w:color w:val="000000" w:themeColor="text1"/>
                <w:sz w:val="24"/>
                <w:szCs w:val="24"/>
              </w:rPr>
            </m:ctrlPr>
          </m:dPr>
          <m:e>
            <m:m>
              <m:mPr>
                <m:mcs>
                  <m:mc>
                    <m:mcPr>
                      <m:count m:val="2"/>
                      <m:mcJc m:val="center"/>
                    </m:mcPr>
                  </m:mc>
                </m:mcs>
                <m:ctrlPr>
                  <w:rPr>
                    <w:rFonts w:ascii="Cambria Math" w:hAnsi="Cambria Math"/>
                    <w:i/>
                    <w:iCs/>
                    <w:color w:val="000000" w:themeColor="text1"/>
                    <w:sz w:val="24"/>
                    <w:szCs w:val="24"/>
                  </w:rPr>
                </m:ctrlPr>
              </m:mPr>
              <m:mr>
                <m:e>
                  <w:bookmarkStart w:id="6" w:name="_Hlk48411489"/>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11</m:t>
                      </m:r>
                    </m:sub>
                  </m:sSub>
                  <w:bookmarkEnd w:id="6"/>
                </m:e>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12</m:t>
                      </m:r>
                    </m:sub>
                  </m:sSub>
                </m:e>
              </m:mr>
              <m:m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21</m:t>
                      </m:r>
                    </m:sub>
                  </m:sSub>
                </m:e>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22</m:t>
                      </m:r>
                    </m:sub>
                  </m:sSub>
                </m:e>
              </m:mr>
            </m:m>
          </m:e>
        </m:d>
      </m:oMath>
      <w:r w:rsidRPr="0016644C">
        <w:rPr>
          <w:rFonts w:ascii="Times New Roman" w:hAnsi="Times New Roman"/>
          <w:iCs/>
          <w:color w:val="000000" w:themeColor="text1"/>
          <w:sz w:val="24"/>
          <w:szCs w:val="24"/>
        </w:rPr>
        <w:t xml:space="preserve">, </w:t>
      </w:r>
      <m:oMath>
        <m:r>
          <w:rPr>
            <w:rFonts w:ascii="Cambria Math" w:hAnsi="Cambria Math"/>
            <w:color w:val="000000" w:themeColor="text1"/>
            <w:sz w:val="24"/>
            <w:szCs w:val="24"/>
          </w:rPr>
          <m:t xml:space="preserve">B = </m:t>
        </m:r>
        <m:d>
          <m:dPr>
            <m:ctrlPr>
              <w:rPr>
                <w:rFonts w:ascii="Cambria Math" w:hAnsi="Cambria Math"/>
                <w:i/>
                <w:iCs/>
                <w:color w:val="000000" w:themeColor="text1"/>
                <w:sz w:val="24"/>
                <w:szCs w:val="24"/>
              </w:rPr>
            </m:ctrlPr>
          </m:dPr>
          <m:e>
            <m:m>
              <m:mPr>
                <m:mcs>
                  <m:mc>
                    <m:mcPr>
                      <m:count m:val="2"/>
                      <m:mcJc m:val="center"/>
                    </m:mcPr>
                  </m:mc>
                </m:mcs>
                <m:ctrlPr>
                  <w:rPr>
                    <w:rFonts w:ascii="Cambria Math" w:hAnsi="Cambria Math"/>
                    <w:i/>
                    <w:iCs/>
                    <w:color w:val="000000" w:themeColor="text1"/>
                    <w:sz w:val="24"/>
                    <w:szCs w:val="24"/>
                  </w:rPr>
                </m:ctrlPr>
              </m:mPr>
              <m:mr>
                <m:e>
                  <w:bookmarkStart w:id="7" w:name="_Hlk48412174"/>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11</m:t>
                      </m:r>
                    </m:sub>
                  </m:sSub>
                  <w:bookmarkEnd w:id="7"/>
                </m:e>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12</m:t>
                      </m:r>
                    </m:sub>
                  </m:sSub>
                </m:e>
              </m:mr>
              <m:m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21</m:t>
                      </m:r>
                    </m:sub>
                  </m:sSub>
                </m:e>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22</m:t>
                      </m:r>
                    </m:sub>
                  </m:sSub>
                </m:e>
              </m:mr>
            </m:m>
          </m:e>
        </m:d>
      </m:oMath>
      <w:r w:rsidRPr="0016644C">
        <w:rPr>
          <w:rFonts w:ascii="Times New Roman" w:hAnsi="Times New Roman"/>
          <w:iCs/>
          <w:color w:val="000000" w:themeColor="text1"/>
          <w:sz w:val="24"/>
          <w:szCs w:val="24"/>
        </w:rPr>
        <w:t xml:space="preserve">, </w:t>
      </w:r>
      <m:oMath>
        <m:r>
          <w:rPr>
            <w:rFonts w:ascii="Cambria Math" w:hAnsi="Cambria Math"/>
            <w:color w:val="000000" w:themeColor="text1"/>
            <w:sz w:val="24"/>
            <w:szCs w:val="24"/>
          </w:rPr>
          <m:t xml:space="preserve">D = </m:t>
        </m:r>
        <m:d>
          <m:dPr>
            <m:ctrlPr>
              <w:rPr>
                <w:rFonts w:ascii="Cambria Math" w:hAnsi="Cambria Math"/>
                <w:i/>
                <w:iCs/>
                <w:color w:val="000000" w:themeColor="text1"/>
                <w:sz w:val="24"/>
                <w:szCs w:val="24"/>
              </w:rPr>
            </m:ctrlPr>
          </m:dPr>
          <m:e>
            <m:m>
              <m:mPr>
                <m:mcs>
                  <m:mc>
                    <m:mcPr>
                      <m:count m:val="2"/>
                      <m:mcJc m:val="center"/>
                    </m:mcPr>
                  </m:mc>
                </m:mcs>
                <m:ctrlPr>
                  <w:rPr>
                    <w:rFonts w:ascii="Cambria Math" w:hAnsi="Cambria Math"/>
                    <w:i/>
                    <w:iCs/>
                    <w:color w:val="000000" w:themeColor="text1"/>
                    <w:sz w:val="24"/>
                    <w:szCs w:val="24"/>
                  </w:rPr>
                </m:ctrlPr>
              </m:mPr>
              <m:mr>
                <m:e>
                  <w:bookmarkStart w:id="8" w:name="_Hlk48412673"/>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11</m:t>
                      </m:r>
                    </m:sub>
                  </m:sSub>
                  <w:bookmarkEnd w:id="8"/>
                </m:e>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12</m:t>
                      </m:r>
                    </m:sub>
                  </m:sSub>
                </m:e>
              </m:mr>
              <m:m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21</m:t>
                      </m:r>
                    </m:sub>
                  </m:sSub>
                </m:e>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22</m:t>
                      </m:r>
                    </m:sub>
                  </m:sSub>
                </m:e>
              </m:mr>
            </m:m>
          </m:e>
        </m:d>
      </m:oMath>
      <w:r w:rsidRPr="0016644C">
        <w:rPr>
          <w:rFonts w:ascii="Times New Roman" w:hAnsi="Times New Roman"/>
          <w:iCs/>
          <w:color w:val="000000" w:themeColor="text1"/>
          <w:sz w:val="24"/>
          <w:szCs w:val="24"/>
        </w:rPr>
        <w:t xml:space="preserve">  </w:t>
      </w:r>
      <w:r w:rsidR="00B358F7">
        <w:rPr>
          <w:rFonts w:ascii="Times New Roman" w:hAnsi="Times New Roman"/>
          <w:iCs/>
          <w:color w:val="000000" w:themeColor="text1"/>
          <w:sz w:val="24"/>
          <w:szCs w:val="24"/>
        </w:rPr>
        <w:t xml:space="preserve">          </w:t>
      </w:r>
      <w:proofErr w:type="gramStart"/>
      <w:r w:rsidR="00B358F7">
        <w:rPr>
          <w:rFonts w:ascii="Times New Roman" w:hAnsi="Times New Roman"/>
          <w:iCs/>
          <w:color w:val="000000" w:themeColor="text1"/>
          <w:sz w:val="24"/>
          <w:szCs w:val="24"/>
        </w:rPr>
        <w:t xml:space="preserve">   </w:t>
      </w:r>
      <w:r w:rsidR="00B358F7" w:rsidRPr="00C91FFA">
        <w:rPr>
          <w:rFonts w:ascii="Times New Roman" w:hAnsi="Times New Roman"/>
          <w:iCs/>
          <w:color w:val="0070C0"/>
          <w:sz w:val="24"/>
          <w:szCs w:val="24"/>
        </w:rPr>
        <w:t>(</w:t>
      </w:r>
      <w:proofErr w:type="gramEnd"/>
      <w:r w:rsidR="00B358F7" w:rsidRPr="00C91FFA">
        <w:rPr>
          <w:rFonts w:ascii="Times New Roman" w:hAnsi="Times New Roman"/>
          <w:iCs/>
          <w:color w:val="0070C0"/>
          <w:sz w:val="24"/>
          <w:szCs w:val="24"/>
        </w:rPr>
        <w:t>3)</w:t>
      </w:r>
      <w:r w:rsidRPr="00C91FFA">
        <w:rPr>
          <w:rFonts w:ascii="Times New Roman" w:hAnsi="Times New Roman"/>
          <w:iCs/>
          <w:color w:val="0070C0"/>
          <w:sz w:val="24"/>
          <w:szCs w:val="24"/>
        </w:rPr>
        <w:br/>
      </w:r>
    </w:p>
    <w:p w14:paraId="23D2E8D6" w14:textId="4666DEB1" w:rsidR="005F7898" w:rsidRPr="00B6737F" w:rsidRDefault="000252B1" w:rsidP="000252B1">
      <w:pPr>
        <w:pStyle w:val="MDPI31text"/>
        <w:spacing w:line="360" w:lineRule="auto"/>
        <w:ind w:firstLine="0"/>
        <w:rPr>
          <w:rFonts w:ascii="Times New Roman" w:hAnsi="Times New Roman"/>
          <w:iCs/>
          <w:color w:val="000000" w:themeColor="text1"/>
          <w:sz w:val="24"/>
          <w:szCs w:val="24"/>
        </w:rPr>
      </w:pPr>
      <w:r w:rsidRPr="0016644C">
        <w:rPr>
          <w:rFonts w:ascii="Times New Roman" w:hAnsi="Times New Roman"/>
          <w:iCs/>
          <w:color w:val="000000" w:themeColor="text1"/>
          <w:sz w:val="24"/>
          <w:szCs w:val="24"/>
          <w:lang w:val="en-GB"/>
        </w:rPr>
        <w:t xml:space="preserve">Variable order is the </w:t>
      </w:r>
      <w:r w:rsidR="003A14D2">
        <w:rPr>
          <w:rFonts w:ascii="Times New Roman" w:hAnsi="Times New Roman"/>
          <w:iCs/>
          <w:color w:val="000000" w:themeColor="text1"/>
          <w:sz w:val="24"/>
          <w:szCs w:val="24"/>
          <w:lang w:val="en-GB"/>
        </w:rPr>
        <w:t xml:space="preserve">Islamic </w:t>
      </w:r>
      <w:r>
        <w:rPr>
          <w:rFonts w:ascii="Times New Roman" w:hAnsi="Times New Roman"/>
          <w:iCs/>
          <w:color w:val="000000" w:themeColor="text1"/>
          <w:sz w:val="24"/>
          <w:szCs w:val="24"/>
          <w:lang w:val="en-GB"/>
        </w:rPr>
        <w:t>equity</w:t>
      </w:r>
      <w:r w:rsidR="004F7BC7">
        <w:rPr>
          <w:rFonts w:ascii="Times New Roman" w:hAnsi="Times New Roman"/>
          <w:iCs/>
          <w:color w:val="000000" w:themeColor="text1"/>
          <w:sz w:val="24"/>
          <w:szCs w:val="24"/>
          <w:lang w:val="en-GB"/>
        </w:rPr>
        <w:t xml:space="preserve"> sector</w:t>
      </w:r>
      <w:r w:rsidRPr="0016644C">
        <w:rPr>
          <w:rFonts w:ascii="Times New Roman" w:hAnsi="Times New Roman"/>
          <w:iCs/>
          <w:color w:val="000000" w:themeColor="text1"/>
          <w:sz w:val="24"/>
          <w:szCs w:val="24"/>
          <w:lang w:val="en-GB"/>
        </w:rPr>
        <w:t xml:space="preserve"> (1) and </w:t>
      </w:r>
      <w:r w:rsidR="004771F7">
        <w:rPr>
          <w:rFonts w:ascii="Times New Roman" w:hAnsi="Times New Roman"/>
          <w:iCs/>
          <w:color w:val="000000" w:themeColor="text1"/>
          <w:sz w:val="24"/>
          <w:szCs w:val="24"/>
          <w:lang w:val="en-GB"/>
        </w:rPr>
        <w:t xml:space="preserve">Islamic </w:t>
      </w:r>
      <w:r w:rsidRPr="0016644C">
        <w:rPr>
          <w:rFonts w:ascii="Times New Roman" w:hAnsi="Times New Roman"/>
          <w:iCs/>
          <w:color w:val="000000" w:themeColor="text1"/>
          <w:sz w:val="24"/>
          <w:szCs w:val="24"/>
          <w:lang w:val="en-GB"/>
        </w:rPr>
        <w:t xml:space="preserve">cryptocurrency (2) in our analysis. </w:t>
      </w:r>
      <w:r w:rsidR="00AD03FF">
        <w:rPr>
          <w:rFonts w:ascii="Times New Roman" w:hAnsi="Times New Roman"/>
          <w:iCs/>
          <w:color w:val="000000" w:themeColor="text1"/>
          <w:sz w:val="24"/>
          <w:szCs w:val="24"/>
          <w:lang w:val="en-GB"/>
        </w:rPr>
        <w:t>C</w:t>
      </w:r>
      <w:r w:rsidR="00BC6C2F">
        <w:rPr>
          <w:rFonts w:ascii="Times New Roman" w:hAnsi="Times New Roman"/>
          <w:iCs/>
          <w:color w:val="000000" w:themeColor="text1"/>
          <w:sz w:val="24"/>
          <w:szCs w:val="24"/>
          <w:lang w:val="en-GB"/>
        </w:rPr>
        <w:t xml:space="preserve">, A, B, and D </w:t>
      </w:r>
      <w:r w:rsidR="00332FDC">
        <w:rPr>
          <w:rFonts w:ascii="Times New Roman" w:hAnsi="Times New Roman"/>
          <w:iCs/>
          <w:color w:val="000000" w:themeColor="text1"/>
          <w:sz w:val="24"/>
          <w:szCs w:val="24"/>
          <w:lang w:val="en-GB"/>
        </w:rPr>
        <w:t xml:space="preserve">indicate the constant, ARCH, GARCH, </w:t>
      </w:r>
      <w:r w:rsidR="00257947">
        <w:rPr>
          <w:rFonts w:ascii="Times New Roman" w:hAnsi="Times New Roman"/>
          <w:iCs/>
          <w:color w:val="000000" w:themeColor="text1"/>
          <w:sz w:val="24"/>
          <w:szCs w:val="24"/>
          <w:lang w:val="en-GB"/>
        </w:rPr>
        <w:t>and asymmetric effect coefficients</w:t>
      </w:r>
      <w:r w:rsidR="00264020">
        <w:rPr>
          <w:rFonts w:ascii="Times New Roman" w:hAnsi="Times New Roman"/>
          <w:iCs/>
          <w:color w:val="000000" w:themeColor="text1"/>
          <w:sz w:val="24"/>
          <w:szCs w:val="24"/>
          <w:lang w:val="en-GB"/>
        </w:rPr>
        <w:t>, respectively</w:t>
      </w:r>
      <w:r w:rsidR="00257947">
        <w:rPr>
          <w:rFonts w:ascii="Times New Roman" w:hAnsi="Times New Roman"/>
          <w:iCs/>
          <w:color w:val="000000" w:themeColor="text1"/>
          <w:sz w:val="24"/>
          <w:szCs w:val="24"/>
          <w:lang w:val="en-GB"/>
        </w:rPr>
        <w:t xml:space="preserve">. More </w:t>
      </w:r>
      <w:r w:rsidR="003E5E3F" w:rsidRPr="0016644C">
        <w:rPr>
          <w:rFonts w:ascii="Times New Roman" w:hAnsi="Times New Roman"/>
          <w:iCs/>
          <w:color w:val="000000" w:themeColor="text1"/>
          <w:sz w:val="24"/>
          <w:szCs w:val="24"/>
          <w:lang w:val="en-GB"/>
        </w:rPr>
        <w:t>precisely</w:t>
      </w:r>
      <w:r w:rsidRPr="0016644C">
        <w:rPr>
          <w:rFonts w:ascii="Times New Roman" w:hAnsi="Times New Roman"/>
          <w:iCs/>
          <w:color w:val="000000" w:themeColor="text1"/>
          <w:sz w:val="24"/>
          <w:szCs w:val="24"/>
          <w:lang w:val="en-GB"/>
        </w:rPr>
        <w:t xml:space="preserve">,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11</m:t>
            </m:r>
          </m:sub>
        </m:sSub>
      </m:oMath>
      <w:r w:rsidRPr="0016644C">
        <w:rPr>
          <w:rFonts w:ascii="Times New Roman" w:hAnsi="Times New Roman"/>
          <w:iCs/>
          <w:color w:val="000000" w:themeColor="text1"/>
          <w:sz w:val="24"/>
          <w:szCs w:val="24"/>
        </w:rPr>
        <w:t xml:space="preserve"> </w:t>
      </w:r>
      <w:r w:rsidR="00B37C33">
        <w:rPr>
          <w:rFonts w:ascii="Times New Roman" w:hAnsi="Times New Roman"/>
          <w:iCs/>
          <w:color w:val="000000" w:themeColor="text1"/>
          <w:sz w:val="24"/>
          <w:szCs w:val="24"/>
        </w:rPr>
        <w:t xml:space="preserve">and </w:t>
      </w:r>
      <m:oMath>
        <m:sSub>
          <m:sSubPr>
            <m:ctrlPr>
              <w:rPr>
                <w:rFonts w:ascii="Cambria Math" w:hAnsi="Cambria Math"/>
                <w:i/>
                <w:iCs/>
                <w:color w:val="000000" w:themeColor="text1"/>
                <w:sz w:val="24"/>
                <w:szCs w:val="24"/>
                <w:lang w:val="en-GB"/>
              </w:rPr>
            </m:ctrlPr>
          </m:sSubPr>
          <m:e>
            <m:r>
              <w:rPr>
                <w:rFonts w:ascii="Cambria Math" w:hAnsi="Cambria Math"/>
                <w:color w:val="000000" w:themeColor="text1"/>
                <w:sz w:val="24"/>
                <w:szCs w:val="24"/>
                <w:lang w:val="en-GB"/>
              </w:rPr>
              <m:t>b</m:t>
            </m:r>
          </m:e>
          <m:sub>
            <m:r>
              <w:rPr>
                <w:rFonts w:ascii="Cambria Math" w:hAnsi="Cambria Math"/>
                <w:color w:val="000000" w:themeColor="text1"/>
                <w:sz w:val="24"/>
                <w:szCs w:val="24"/>
                <w:lang w:val="en-GB"/>
              </w:rPr>
              <m:t>11</m:t>
            </m:r>
          </m:sub>
        </m:sSub>
      </m:oMath>
      <w:r w:rsidR="00B37C33">
        <w:rPr>
          <w:rFonts w:ascii="Times New Roman" w:hAnsi="Times New Roman"/>
          <w:iCs/>
          <w:color w:val="000000" w:themeColor="text1"/>
          <w:sz w:val="24"/>
          <w:szCs w:val="24"/>
          <w:lang w:val="en-GB"/>
        </w:rPr>
        <w:t xml:space="preserve"> </w:t>
      </w:r>
      <w:r w:rsidR="00647215">
        <w:rPr>
          <w:rFonts w:ascii="Times New Roman" w:hAnsi="Times New Roman"/>
          <w:iCs/>
          <w:color w:val="000000" w:themeColor="text1"/>
          <w:sz w:val="24"/>
          <w:szCs w:val="24"/>
          <w:lang w:val="en-GB"/>
        </w:rPr>
        <w:t>capture the effect of past own shock</w:t>
      </w:r>
      <w:r w:rsidR="00DE300D">
        <w:rPr>
          <w:rFonts w:ascii="Times New Roman" w:hAnsi="Times New Roman"/>
          <w:iCs/>
          <w:color w:val="000000" w:themeColor="text1"/>
          <w:sz w:val="24"/>
          <w:szCs w:val="24"/>
          <w:lang w:val="en-GB"/>
        </w:rPr>
        <w:t xml:space="preserve">s and volatility, respectively. </w:t>
      </w:r>
      <m:oMath>
        <m:sSub>
          <m:sSubPr>
            <m:ctrlPr>
              <w:rPr>
                <w:rFonts w:ascii="Cambria Math" w:hAnsi="Cambria Math"/>
                <w:i/>
                <w:iCs/>
                <w:color w:val="000000" w:themeColor="text1"/>
                <w:sz w:val="24"/>
                <w:szCs w:val="24"/>
                <w:lang w:val="en-GB"/>
              </w:rPr>
            </m:ctrlPr>
          </m:sSubPr>
          <m:e>
            <m:r>
              <w:rPr>
                <w:rFonts w:ascii="Cambria Math" w:hAnsi="Cambria Math"/>
                <w:color w:val="000000" w:themeColor="text1"/>
                <w:sz w:val="24"/>
                <w:szCs w:val="24"/>
                <w:lang w:val="en-GB"/>
              </w:rPr>
              <m:t>a</m:t>
            </m:r>
          </m:e>
          <m:sub>
            <m:r>
              <w:rPr>
                <w:rFonts w:ascii="Cambria Math" w:hAnsi="Cambria Math"/>
                <w:color w:val="000000" w:themeColor="text1"/>
                <w:sz w:val="24"/>
                <w:szCs w:val="24"/>
                <w:lang w:val="en-GB"/>
              </w:rPr>
              <m:t>12</m:t>
            </m:r>
          </m:sub>
        </m:sSub>
      </m:oMath>
      <w:r w:rsidR="00B2789C">
        <w:rPr>
          <w:rFonts w:ascii="Times New Roman" w:hAnsi="Times New Roman"/>
          <w:iCs/>
          <w:color w:val="000000" w:themeColor="text1"/>
          <w:sz w:val="24"/>
          <w:szCs w:val="24"/>
          <w:lang w:val="en-GB"/>
        </w:rPr>
        <w:t xml:space="preserve">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12</m:t>
            </m:r>
          </m:sub>
        </m:sSub>
      </m:oMath>
      <w:r w:rsidR="00B2789C">
        <w:rPr>
          <w:rFonts w:ascii="Times New Roman" w:hAnsi="Times New Roman"/>
          <w:iCs/>
          <w:color w:val="000000" w:themeColor="text1"/>
          <w:sz w:val="24"/>
          <w:szCs w:val="24"/>
        </w:rPr>
        <w:t xml:space="preserve">) </w:t>
      </w:r>
      <w:r w:rsidR="00B068D6">
        <w:rPr>
          <w:rFonts w:ascii="Times New Roman" w:hAnsi="Times New Roman"/>
          <w:iCs/>
          <w:color w:val="000000" w:themeColor="text1"/>
          <w:sz w:val="24"/>
          <w:szCs w:val="24"/>
        </w:rPr>
        <w:t>indicates the shocks (volatility) spillover</w:t>
      </w:r>
      <w:r w:rsidR="00D41AD2">
        <w:rPr>
          <w:rFonts w:ascii="Times New Roman" w:hAnsi="Times New Roman"/>
          <w:iCs/>
          <w:color w:val="000000" w:themeColor="text1"/>
          <w:sz w:val="24"/>
          <w:szCs w:val="24"/>
        </w:rPr>
        <w:t xml:space="preserve"> from</w:t>
      </w:r>
      <w:r w:rsidR="00B068D6">
        <w:rPr>
          <w:rFonts w:ascii="Times New Roman" w:hAnsi="Times New Roman"/>
          <w:iCs/>
          <w:color w:val="000000" w:themeColor="text1"/>
          <w:sz w:val="24"/>
          <w:szCs w:val="24"/>
        </w:rPr>
        <w:t xml:space="preserve"> </w:t>
      </w:r>
      <w:r w:rsidR="00D41AD2">
        <w:rPr>
          <w:rFonts w:ascii="Times New Roman" w:hAnsi="Times New Roman"/>
          <w:iCs/>
          <w:color w:val="000000" w:themeColor="text1"/>
          <w:sz w:val="24"/>
          <w:szCs w:val="24"/>
        </w:rPr>
        <w:t>equity to cryptocurrency market</w:t>
      </w:r>
      <w:r w:rsidR="00B6737F">
        <w:rPr>
          <w:rFonts w:ascii="Times New Roman" w:hAnsi="Times New Roman"/>
          <w:iCs/>
          <w:color w:val="000000" w:themeColor="text1"/>
          <w:sz w:val="24"/>
          <w:szCs w:val="24"/>
        </w:rPr>
        <w:t xml:space="preserve">. </w:t>
      </w:r>
      <w:r w:rsidRPr="0016644C">
        <w:rPr>
          <w:rFonts w:ascii="Times New Roman" w:hAnsi="Times New Roman"/>
          <w:iCs/>
          <w:color w:val="000000" w:themeColor="text1"/>
          <w:sz w:val="24"/>
          <w:szCs w:val="24"/>
        </w:rPr>
        <w:t xml:space="preserve">Lastly,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11</m:t>
            </m:r>
          </m:sub>
        </m:sSub>
      </m:oMath>
      <w:r w:rsidRPr="0016644C">
        <w:rPr>
          <w:rFonts w:ascii="Times New Roman" w:hAnsi="Times New Roman"/>
          <w:iCs/>
          <w:color w:val="000000" w:themeColor="text1"/>
          <w:sz w:val="24"/>
          <w:szCs w:val="24"/>
        </w:rPr>
        <w:t xml:space="preserve"> </w:t>
      </w:r>
      <w:r w:rsidR="00E94FD4">
        <w:rPr>
          <w:rFonts w:ascii="Times New Roman" w:hAnsi="Times New Roman"/>
          <w:iCs/>
          <w:color w:val="000000" w:themeColor="text1"/>
          <w:sz w:val="24"/>
          <w:szCs w:val="24"/>
        </w:rPr>
        <w:t>show</w:t>
      </w:r>
      <w:r w:rsidRPr="0016644C">
        <w:rPr>
          <w:rFonts w:ascii="Times New Roman" w:hAnsi="Times New Roman"/>
          <w:iCs/>
          <w:color w:val="000000" w:themeColor="text1"/>
          <w:sz w:val="24"/>
          <w:szCs w:val="24"/>
        </w:rPr>
        <w:t xml:space="preserve"> the asymmetric shock spillover within </w:t>
      </w:r>
      <w:r w:rsidR="00BE3FEE">
        <w:rPr>
          <w:rFonts w:ascii="Times New Roman" w:hAnsi="Times New Roman"/>
          <w:iCs/>
          <w:color w:val="000000" w:themeColor="text1"/>
          <w:sz w:val="24"/>
          <w:szCs w:val="24"/>
        </w:rPr>
        <w:t xml:space="preserve">the </w:t>
      </w:r>
      <w:r>
        <w:rPr>
          <w:rFonts w:ascii="Times New Roman" w:hAnsi="Times New Roman"/>
          <w:iCs/>
          <w:color w:val="000000" w:themeColor="text1"/>
          <w:sz w:val="24"/>
          <w:szCs w:val="24"/>
        </w:rPr>
        <w:t>equity market</w:t>
      </w:r>
      <w:r w:rsidRPr="0016644C">
        <w:rPr>
          <w:rFonts w:ascii="Times New Roman" w:hAnsi="Times New Roman"/>
          <w:iCs/>
          <w:color w:val="000000" w:themeColor="text1"/>
          <w:sz w:val="24"/>
          <w:szCs w:val="24"/>
        </w:rPr>
        <w:t xml:space="preserve">, whereas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12</m:t>
            </m:r>
          </m:sub>
        </m:sSub>
      </m:oMath>
      <w:r w:rsidRPr="0016644C">
        <w:rPr>
          <w:rFonts w:ascii="Times New Roman" w:hAnsi="Times New Roman"/>
          <w:iCs/>
          <w:color w:val="000000" w:themeColor="text1"/>
          <w:sz w:val="24"/>
          <w:szCs w:val="24"/>
        </w:rPr>
        <w:t xml:space="preserve"> </w:t>
      </w:r>
      <w:r w:rsidR="004F1B1C">
        <w:rPr>
          <w:rFonts w:ascii="Times New Roman" w:hAnsi="Times New Roman"/>
          <w:iCs/>
          <w:color w:val="000000" w:themeColor="text1"/>
          <w:sz w:val="24"/>
          <w:szCs w:val="24"/>
        </w:rPr>
        <w:t>measures</w:t>
      </w:r>
      <w:r w:rsidRPr="0016644C">
        <w:rPr>
          <w:rFonts w:ascii="Times New Roman" w:hAnsi="Times New Roman"/>
          <w:iCs/>
          <w:color w:val="000000" w:themeColor="text1"/>
          <w:sz w:val="24"/>
          <w:szCs w:val="24"/>
        </w:rPr>
        <w:t xml:space="preserve"> the asymmetric shock </w:t>
      </w:r>
      <w:r w:rsidR="004F1B1C">
        <w:rPr>
          <w:rFonts w:ascii="Times New Roman" w:hAnsi="Times New Roman"/>
          <w:iCs/>
          <w:color w:val="000000" w:themeColor="text1"/>
          <w:sz w:val="24"/>
          <w:szCs w:val="24"/>
        </w:rPr>
        <w:t>transmission</w:t>
      </w:r>
      <w:r w:rsidRPr="0016644C">
        <w:rPr>
          <w:rFonts w:ascii="Times New Roman" w:hAnsi="Times New Roman"/>
          <w:iCs/>
          <w:color w:val="000000" w:themeColor="text1"/>
          <w:sz w:val="24"/>
          <w:szCs w:val="24"/>
        </w:rPr>
        <w:t xml:space="preserve"> from the </w:t>
      </w:r>
      <w:r>
        <w:rPr>
          <w:rFonts w:ascii="Times New Roman" w:hAnsi="Times New Roman"/>
          <w:iCs/>
          <w:color w:val="000000" w:themeColor="text1"/>
          <w:sz w:val="24"/>
          <w:szCs w:val="24"/>
        </w:rPr>
        <w:t xml:space="preserve">equity </w:t>
      </w:r>
      <w:r w:rsidR="004F1B1C">
        <w:rPr>
          <w:rFonts w:ascii="Times New Roman" w:hAnsi="Times New Roman"/>
          <w:iCs/>
          <w:color w:val="000000" w:themeColor="text1"/>
          <w:sz w:val="24"/>
          <w:szCs w:val="24"/>
        </w:rPr>
        <w:t>sector</w:t>
      </w:r>
      <w:r w:rsidRPr="0016644C">
        <w:rPr>
          <w:rFonts w:ascii="Times New Roman" w:hAnsi="Times New Roman"/>
          <w:iCs/>
          <w:color w:val="000000" w:themeColor="text1"/>
          <w:sz w:val="24"/>
          <w:szCs w:val="24"/>
        </w:rPr>
        <w:t xml:space="preserve"> to the cryptocurrency market. </w:t>
      </w:r>
      <w:r w:rsidR="00B54381">
        <w:rPr>
          <w:rFonts w:ascii="Times New Roman" w:hAnsi="Times New Roman"/>
          <w:iCs/>
          <w:color w:val="000000" w:themeColor="text1"/>
          <w:sz w:val="24"/>
          <w:szCs w:val="24"/>
        </w:rPr>
        <w:t>Using BFGS based a</w:t>
      </w:r>
      <w:r w:rsidR="00B54381" w:rsidRPr="0016644C">
        <w:rPr>
          <w:rFonts w:ascii="Times New Roman" w:hAnsi="Times New Roman"/>
          <w:color w:val="000000" w:themeColor="text1"/>
          <w:sz w:val="24"/>
          <w:szCs w:val="24"/>
        </w:rPr>
        <w:t>lgorithm</w:t>
      </w:r>
      <w:r w:rsidR="007B1110">
        <w:rPr>
          <w:rFonts w:ascii="Times New Roman" w:hAnsi="Times New Roman"/>
          <w:color w:val="000000" w:themeColor="text1"/>
          <w:sz w:val="24"/>
          <w:szCs w:val="24"/>
        </w:rPr>
        <w:t xml:space="preserve">, </w:t>
      </w:r>
      <w:r w:rsidR="009E75AE">
        <w:rPr>
          <w:rFonts w:ascii="Times New Roman" w:hAnsi="Times New Roman"/>
          <w:color w:val="000000" w:themeColor="text1"/>
          <w:sz w:val="24"/>
          <w:szCs w:val="24"/>
        </w:rPr>
        <w:t xml:space="preserve">the maximum likelihood method </w:t>
      </w:r>
      <w:r w:rsidR="006149A4">
        <w:rPr>
          <w:rFonts w:ascii="Times New Roman" w:hAnsi="Times New Roman"/>
          <w:color w:val="000000" w:themeColor="text1"/>
          <w:sz w:val="24"/>
          <w:szCs w:val="24"/>
        </w:rPr>
        <w:t xml:space="preserve">is used to measure </w:t>
      </w:r>
      <w:r w:rsidR="007B1110">
        <w:rPr>
          <w:rFonts w:ascii="Times New Roman" w:hAnsi="Times New Roman"/>
          <w:color w:val="000000" w:themeColor="text1"/>
          <w:sz w:val="24"/>
          <w:szCs w:val="24"/>
        </w:rPr>
        <w:t>t</w:t>
      </w:r>
      <w:r w:rsidRPr="0016644C">
        <w:rPr>
          <w:rFonts w:ascii="Times New Roman" w:hAnsi="Times New Roman"/>
          <w:color w:val="000000" w:themeColor="text1"/>
          <w:sz w:val="24"/>
          <w:szCs w:val="24"/>
        </w:rPr>
        <w:t xml:space="preserve">he parameters of the VAR-BEKK-AGARCH </w:t>
      </w:r>
      <w:r w:rsidR="006149A4">
        <w:rPr>
          <w:rFonts w:ascii="Times New Roman" w:hAnsi="Times New Roman"/>
          <w:color w:val="000000" w:themeColor="text1"/>
          <w:sz w:val="24"/>
          <w:szCs w:val="24"/>
        </w:rPr>
        <w:t>model</w:t>
      </w:r>
      <w:r w:rsidRPr="0016644C">
        <w:rPr>
          <w:rFonts w:ascii="Times New Roman" w:hAnsi="Times New Roman"/>
          <w:color w:val="000000" w:themeColor="text1"/>
          <w:sz w:val="24"/>
          <w:szCs w:val="24"/>
        </w:rPr>
        <w:t>.</w:t>
      </w:r>
    </w:p>
    <w:p w14:paraId="117EE097" w14:textId="77777777" w:rsidR="005F7898" w:rsidRDefault="005F7898" w:rsidP="000252B1">
      <w:pPr>
        <w:pStyle w:val="MDPI31text"/>
        <w:spacing w:line="360" w:lineRule="auto"/>
        <w:ind w:firstLine="0"/>
        <w:rPr>
          <w:rFonts w:ascii="Times New Roman" w:hAnsi="Times New Roman"/>
          <w:color w:val="000000" w:themeColor="text1"/>
          <w:sz w:val="24"/>
          <w:szCs w:val="24"/>
        </w:rPr>
      </w:pPr>
    </w:p>
    <w:p w14:paraId="074BF74A" w14:textId="6AD1F000" w:rsidR="000252B1" w:rsidRPr="0016644C" w:rsidRDefault="005F7898" w:rsidP="004D39EC">
      <w:pPr>
        <w:pStyle w:val="MDPI31text"/>
        <w:spacing w:line="360" w:lineRule="auto"/>
        <w:ind w:firstLine="0"/>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Apart from return and volatility spillovers, </w:t>
      </w:r>
      <w:r w:rsidR="003239E5">
        <w:rPr>
          <w:rFonts w:ascii="Times New Roman" w:hAnsi="Times New Roman"/>
          <w:color w:val="000000" w:themeColor="text1"/>
          <w:sz w:val="24"/>
          <w:szCs w:val="24"/>
        </w:rPr>
        <w:t xml:space="preserve">this study </w:t>
      </w:r>
      <w:r w:rsidR="00781739">
        <w:rPr>
          <w:rFonts w:ascii="Times New Roman" w:hAnsi="Times New Roman"/>
          <w:color w:val="000000" w:themeColor="text1"/>
          <w:sz w:val="24"/>
          <w:szCs w:val="24"/>
        </w:rPr>
        <w:t xml:space="preserve">also </w:t>
      </w:r>
      <w:proofErr w:type="gramStart"/>
      <w:r w:rsidR="00781739">
        <w:rPr>
          <w:rFonts w:ascii="Times New Roman" w:hAnsi="Times New Roman"/>
          <w:color w:val="000000" w:themeColor="text1"/>
          <w:sz w:val="24"/>
          <w:szCs w:val="24"/>
        </w:rPr>
        <w:t>compute</w:t>
      </w:r>
      <w:proofErr w:type="gramEnd"/>
      <w:r w:rsidR="00781739">
        <w:rPr>
          <w:rFonts w:ascii="Times New Roman" w:hAnsi="Times New Roman"/>
          <w:color w:val="000000" w:themeColor="text1"/>
          <w:sz w:val="24"/>
          <w:szCs w:val="24"/>
        </w:rPr>
        <w:t xml:space="preserve"> the optimal </w:t>
      </w:r>
      <w:r w:rsidR="003239E5">
        <w:rPr>
          <w:rFonts w:ascii="Times New Roman" w:hAnsi="Times New Roman"/>
          <w:color w:val="000000" w:themeColor="text1"/>
          <w:sz w:val="24"/>
          <w:szCs w:val="24"/>
        </w:rPr>
        <w:t xml:space="preserve">portfolio </w:t>
      </w:r>
      <w:r w:rsidR="00781739">
        <w:rPr>
          <w:rFonts w:ascii="Times New Roman" w:hAnsi="Times New Roman"/>
          <w:color w:val="000000" w:themeColor="text1"/>
          <w:sz w:val="24"/>
          <w:szCs w:val="24"/>
        </w:rPr>
        <w:t xml:space="preserve">weights, hedge ratios, and hedging </w:t>
      </w:r>
      <w:r w:rsidR="00744B45">
        <w:rPr>
          <w:rFonts w:ascii="Times New Roman" w:hAnsi="Times New Roman"/>
          <w:color w:val="000000" w:themeColor="text1"/>
          <w:sz w:val="24"/>
          <w:szCs w:val="24"/>
        </w:rPr>
        <w:t xml:space="preserve">effectiveness using the conditional volatilities </w:t>
      </w:r>
      <w:r w:rsidR="004D39EC">
        <w:rPr>
          <w:rFonts w:ascii="Times New Roman" w:hAnsi="Times New Roman"/>
          <w:color w:val="000000" w:themeColor="text1"/>
          <w:sz w:val="24"/>
          <w:szCs w:val="24"/>
        </w:rPr>
        <w:t xml:space="preserve">and covariance from the estimates </w:t>
      </w:r>
      <w:r w:rsidR="00923AB8">
        <w:rPr>
          <w:rFonts w:ascii="Times New Roman" w:hAnsi="Times New Roman"/>
          <w:color w:val="000000" w:themeColor="text1"/>
          <w:sz w:val="24"/>
          <w:szCs w:val="24"/>
        </w:rPr>
        <w:t xml:space="preserve">of </w:t>
      </w:r>
      <w:r w:rsidR="00BE3FEE">
        <w:rPr>
          <w:rFonts w:ascii="Times New Roman" w:hAnsi="Times New Roman"/>
          <w:color w:val="000000" w:themeColor="text1"/>
          <w:sz w:val="24"/>
          <w:szCs w:val="24"/>
        </w:rPr>
        <w:t xml:space="preserve">the </w:t>
      </w:r>
      <w:r w:rsidR="00923AB8" w:rsidRPr="0016644C">
        <w:rPr>
          <w:rFonts w:ascii="Times New Roman" w:hAnsi="Times New Roman"/>
          <w:color w:val="000000" w:themeColor="text1"/>
          <w:sz w:val="24"/>
          <w:szCs w:val="24"/>
        </w:rPr>
        <w:t>VAR</w:t>
      </w:r>
      <w:r w:rsidR="000252B1" w:rsidRPr="0016644C">
        <w:rPr>
          <w:rFonts w:ascii="Times New Roman" w:eastAsiaTheme="minorEastAsia" w:hAnsi="Times New Roman"/>
          <w:color w:val="000000" w:themeColor="text1"/>
          <w:sz w:val="24"/>
          <w:szCs w:val="24"/>
        </w:rPr>
        <w:t xml:space="preserve">-BEKK-AGARCH model. </w:t>
      </w:r>
      <w:r w:rsidR="005E51CE">
        <w:rPr>
          <w:rFonts w:ascii="Times New Roman" w:eastAsiaTheme="minorEastAsia" w:hAnsi="Times New Roman"/>
          <w:color w:val="000000" w:themeColor="text1"/>
          <w:sz w:val="24"/>
          <w:szCs w:val="24"/>
        </w:rPr>
        <w:t>Following</w:t>
      </w:r>
      <w:r w:rsidR="00EF5B81">
        <w:rPr>
          <w:rFonts w:ascii="Times New Roman" w:eastAsiaTheme="minorEastAsia" w:hAnsi="Times New Roman"/>
          <w:color w:val="000000" w:themeColor="text1"/>
          <w:sz w:val="24"/>
          <w:szCs w:val="24"/>
        </w:rPr>
        <w:t xml:space="preserve"> </w:t>
      </w:r>
      <w:r w:rsidR="00EF5B81" w:rsidRPr="0016644C">
        <w:rPr>
          <w:rFonts w:ascii="Times New Roman" w:eastAsiaTheme="minorEastAsia" w:hAnsi="Times New Roman"/>
          <w:color w:val="000000" w:themeColor="text1"/>
          <w:sz w:val="24"/>
          <w:szCs w:val="24"/>
        </w:rPr>
        <w:t>Kroner and Ng (1998)</w:t>
      </w:r>
      <w:r w:rsidR="00EF5B81">
        <w:rPr>
          <w:rFonts w:ascii="Times New Roman" w:eastAsiaTheme="minorEastAsia" w:hAnsi="Times New Roman"/>
          <w:color w:val="000000" w:themeColor="text1"/>
          <w:sz w:val="24"/>
          <w:szCs w:val="24"/>
        </w:rPr>
        <w:t xml:space="preserve">, the optimal </w:t>
      </w:r>
      <w:r w:rsidR="00D47046">
        <w:rPr>
          <w:rFonts w:ascii="Times New Roman" w:eastAsiaTheme="minorEastAsia" w:hAnsi="Times New Roman"/>
          <w:color w:val="000000" w:themeColor="text1"/>
          <w:sz w:val="24"/>
          <w:szCs w:val="24"/>
        </w:rPr>
        <w:t>po</w:t>
      </w:r>
      <w:r w:rsidR="00DA183E">
        <w:rPr>
          <w:rFonts w:ascii="Times New Roman" w:eastAsiaTheme="minorEastAsia" w:hAnsi="Times New Roman"/>
          <w:color w:val="000000" w:themeColor="text1"/>
          <w:sz w:val="24"/>
          <w:szCs w:val="24"/>
        </w:rPr>
        <w:t xml:space="preserve">rtfolio </w:t>
      </w:r>
      <w:r w:rsidR="00EF5B81">
        <w:rPr>
          <w:rFonts w:ascii="Times New Roman" w:eastAsiaTheme="minorEastAsia" w:hAnsi="Times New Roman"/>
          <w:color w:val="000000" w:themeColor="text1"/>
          <w:sz w:val="24"/>
          <w:szCs w:val="24"/>
        </w:rPr>
        <w:t>weights</w:t>
      </w:r>
      <w:r w:rsidR="00923AB8">
        <w:rPr>
          <w:rFonts w:ascii="Times New Roman" w:eastAsiaTheme="minorEastAsia" w:hAnsi="Times New Roman"/>
          <w:color w:val="000000" w:themeColor="text1"/>
          <w:sz w:val="24"/>
          <w:szCs w:val="24"/>
        </w:rPr>
        <w:t xml:space="preserve"> between </w:t>
      </w:r>
      <w:r w:rsidR="00BE3FEE">
        <w:rPr>
          <w:rFonts w:ascii="Times New Roman" w:eastAsiaTheme="minorEastAsia" w:hAnsi="Times New Roman"/>
          <w:color w:val="000000" w:themeColor="text1"/>
          <w:sz w:val="24"/>
          <w:szCs w:val="24"/>
        </w:rPr>
        <w:t xml:space="preserve">the </w:t>
      </w:r>
      <w:r w:rsidR="00923AB8">
        <w:rPr>
          <w:rFonts w:ascii="Times New Roman" w:eastAsiaTheme="minorEastAsia" w:hAnsi="Times New Roman"/>
          <w:color w:val="000000" w:themeColor="text1"/>
          <w:sz w:val="24"/>
          <w:szCs w:val="24"/>
        </w:rPr>
        <w:t>equity sector and cryptocurrency</w:t>
      </w:r>
      <w:r w:rsidR="00EF5B81">
        <w:rPr>
          <w:rFonts w:ascii="Times New Roman" w:eastAsiaTheme="minorEastAsia" w:hAnsi="Times New Roman"/>
          <w:color w:val="000000" w:themeColor="text1"/>
          <w:sz w:val="24"/>
          <w:szCs w:val="24"/>
        </w:rPr>
        <w:t xml:space="preserve"> are calculated as: </w:t>
      </w:r>
      <w:r w:rsidR="005E51CE">
        <w:rPr>
          <w:rFonts w:ascii="Times New Roman" w:eastAsiaTheme="minorEastAsia" w:hAnsi="Times New Roman"/>
          <w:color w:val="000000" w:themeColor="text1"/>
          <w:sz w:val="24"/>
          <w:szCs w:val="24"/>
        </w:rPr>
        <w:t xml:space="preserve"> </w:t>
      </w:r>
    </w:p>
    <w:p w14:paraId="085A8B95" w14:textId="3C77809E" w:rsidR="000252B1" w:rsidRPr="00C91FFA" w:rsidRDefault="00FE124F" w:rsidP="00B358F7">
      <w:pPr>
        <w:spacing w:line="276" w:lineRule="auto"/>
        <w:jc w:val="both"/>
        <w:rPr>
          <w:rFonts w:ascii="Times New Roman" w:eastAsiaTheme="minorEastAsia" w:hAnsi="Times New Roman" w:cs="Times New Roman"/>
          <w:color w:val="0070C0"/>
          <w:sz w:val="24"/>
          <w:szCs w:val="24"/>
        </w:rPr>
      </w:pPr>
      <m:oMathPara>
        <m:oMathParaPr>
          <m:jc m:val="right"/>
        </m:oMathPara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xy,t</m:t>
              </m:r>
            </m:sub>
          </m:sSub>
          <m:r>
            <w:rPr>
              <w:rFonts w:ascii="Cambria Math" w:eastAsiaTheme="minorEastAsia" w:hAnsi="Cambria Math" w:cs="Times New Roman"/>
              <w:color w:val="000000" w:themeColor="text1"/>
              <w:sz w:val="24"/>
              <w:szCs w:val="24"/>
            </w:rPr>
            <m:t xml:space="preserve">=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y,t</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 xml:space="preserve">xy,t </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x,y</m:t>
                  </m:r>
                </m:sub>
              </m:sSub>
              <m:r>
                <w:rPr>
                  <w:rFonts w:ascii="Cambria Math" w:eastAsiaTheme="minorEastAsia" w:hAnsi="Cambria Math" w:cs="Times New Roman"/>
                  <w:color w:val="000000" w:themeColor="text1"/>
                  <w:sz w:val="24"/>
                  <w:szCs w:val="24"/>
                </w:rPr>
                <m:t>-2</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xy,t</m:t>
                  </m:r>
                </m:sub>
              </m:sSub>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h</m:t>
                  </m:r>
                </m:e>
                <m:sub>
                  <m:r>
                    <w:rPr>
                      <w:rFonts w:ascii="Cambria Math" w:eastAsiaTheme="minorEastAsia" w:hAnsi="Cambria Math" w:cs="Times New Roman"/>
                      <w:color w:val="000000" w:themeColor="text1"/>
                      <w:sz w:val="24"/>
                      <w:szCs w:val="24"/>
                    </w:rPr>
                    <m:t>y,t</m:t>
                  </m:r>
                </m:sub>
              </m:sSub>
            </m:den>
          </m:f>
          <m:r>
            <w:rPr>
              <w:rFonts w:ascii="Cambria Math" w:eastAsiaTheme="minorEastAsia" w:hAnsi="Cambria Math" w:cs="Times New Roman"/>
              <w:color w:val="000000" w:themeColor="text1"/>
              <w:sz w:val="24"/>
              <w:szCs w:val="24"/>
            </w:rPr>
            <m:t xml:space="preserve">                                                        </m:t>
          </m:r>
          <m:r>
            <w:rPr>
              <w:rFonts w:ascii="Cambria Math" w:eastAsiaTheme="minorEastAsia" w:hAnsi="Cambria Math" w:cs="Times New Roman"/>
              <w:color w:val="0070C0"/>
              <w:sz w:val="24"/>
              <w:szCs w:val="24"/>
            </w:rPr>
            <m:t>(4)</m:t>
          </m:r>
        </m:oMath>
      </m:oMathPara>
    </w:p>
    <w:p w14:paraId="14A9815D" w14:textId="77777777" w:rsidR="000252B1" w:rsidRPr="0016644C" w:rsidRDefault="000252B1" w:rsidP="000252B1">
      <w:pPr>
        <w:spacing w:line="276" w:lineRule="auto"/>
        <w:jc w:val="both"/>
        <w:rPr>
          <w:rFonts w:ascii="Times New Roman" w:eastAsiaTheme="minorEastAsia" w:hAnsi="Times New Roman" w:cs="Times New Roman"/>
          <w:color w:val="000000" w:themeColor="text1"/>
          <w:sz w:val="24"/>
          <w:szCs w:val="24"/>
        </w:rPr>
      </w:pPr>
      <w:r w:rsidRPr="0016644C">
        <w:rPr>
          <w:rFonts w:ascii="Times New Roman" w:eastAsiaTheme="minorEastAsia" w:hAnsi="Times New Roman" w:cs="Times New Roman"/>
          <w:color w:val="000000" w:themeColor="text1"/>
          <w:sz w:val="24"/>
          <w:szCs w:val="24"/>
        </w:rPr>
        <w:t xml:space="preserv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xy,t</m:t>
            </m:r>
          </m:sub>
        </m:sSub>
        <m:r>
          <w:rPr>
            <w:rFonts w:ascii="Cambria Math" w:eastAsiaTheme="minorEastAsia" w:hAnsi="Cambria Math" w:cs="Times New Roman"/>
            <w:color w:val="000000" w:themeColor="text1"/>
            <w:sz w:val="24"/>
            <w:szCs w:val="24"/>
          </w:rPr>
          <m:t>=</m:t>
        </m:r>
      </m:oMath>
      <w:r w:rsidRPr="0016644C">
        <w:rPr>
          <w:rFonts w:ascii="Times New Roman" w:eastAsiaTheme="minorEastAsia" w:hAnsi="Times New Roman" w:cs="Times New Roman"/>
          <w:color w:val="000000" w:themeColor="text1"/>
          <w:sz w:val="24"/>
          <w:szCs w:val="24"/>
        </w:rPr>
        <w:t xml:space="preserve">  </w:t>
      </w:r>
      <m:oMath>
        <m:d>
          <m:dPr>
            <m:begChr m:val="{"/>
            <m:endChr m:val=""/>
            <m:ctrlPr>
              <w:rPr>
                <w:rFonts w:ascii="Cambria Math" w:eastAsiaTheme="minorEastAsia" w:hAnsi="Cambria Math" w:cs="Times New Roman"/>
                <w:i/>
                <w:color w:val="000000" w:themeColor="text1"/>
                <w:sz w:val="24"/>
                <w:szCs w:val="24"/>
              </w:rPr>
            </m:ctrlPr>
          </m:dPr>
          <m:e>
            <m:eqArr>
              <m:eqArrPr>
                <m:ctrlPr>
                  <w:rPr>
                    <w:rFonts w:ascii="Cambria Math" w:eastAsiaTheme="minorEastAsia" w:hAnsi="Cambria Math" w:cs="Times New Roman"/>
                    <w:i/>
                    <w:color w:val="000000" w:themeColor="text1"/>
                    <w:sz w:val="24"/>
                    <w:szCs w:val="24"/>
                  </w:rPr>
                </m:ctrlPr>
              </m:eqArrPr>
              <m:e>
                <m:r>
                  <w:rPr>
                    <w:rFonts w:ascii="Cambria Math" w:eastAsiaTheme="minorEastAsia" w:hAnsi="Cambria Math" w:cs="Times New Roman"/>
                    <w:color w:val="000000" w:themeColor="text1"/>
                    <w:sz w:val="24"/>
                    <w:szCs w:val="24"/>
                  </w:rPr>
                  <m:t xml:space="preserve">0,       If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xy,t</m:t>
                    </m:r>
                  </m:sub>
                </m:sSub>
                <m:r>
                  <w:rPr>
                    <w:rFonts w:ascii="Cambria Math" w:eastAsiaTheme="minorEastAsia" w:hAnsi="Cambria Math" w:cs="Times New Roman"/>
                    <w:color w:val="000000" w:themeColor="text1"/>
                    <w:sz w:val="24"/>
                    <w:szCs w:val="24"/>
                  </w:rPr>
                  <m:t>&lt;0</m:t>
                </m:r>
              </m:e>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xy,t</m:t>
                    </m:r>
                  </m:sub>
                </m:sSub>
                <m:r>
                  <w:rPr>
                    <w:rFonts w:ascii="Cambria Math" w:eastAsiaTheme="minorEastAsia" w:hAnsi="Cambria Math" w:cs="Times New Roman"/>
                    <w:color w:val="000000" w:themeColor="text1"/>
                    <w:sz w:val="24"/>
                    <w:szCs w:val="24"/>
                  </w:rPr>
                  <m:t xml:space="preserve"> ,        If   0≤</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xy,t</m:t>
                    </m:r>
                  </m:sub>
                </m:sSub>
                <m:r>
                  <w:rPr>
                    <w:rFonts w:ascii="Cambria Math" w:eastAsiaTheme="minorEastAsia" w:hAnsi="Cambria Math" w:cs="Times New Roman"/>
                    <w:color w:val="000000" w:themeColor="text1"/>
                    <w:sz w:val="24"/>
                    <w:szCs w:val="24"/>
                  </w:rPr>
                  <m:t>≤1</m:t>
                </m:r>
              </m:e>
              <m:e>
                <m:r>
                  <w:rPr>
                    <w:rFonts w:ascii="Cambria Math" w:eastAsiaTheme="minorEastAsia" w:hAnsi="Cambria Math" w:cs="Times New Roman"/>
                    <w:color w:val="000000" w:themeColor="text1"/>
                    <w:sz w:val="24"/>
                    <w:szCs w:val="24"/>
                  </w:rPr>
                  <m:t xml:space="preserve">1,        If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xy,t</m:t>
                    </m:r>
                  </m:sub>
                </m:sSub>
                <m:r>
                  <w:rPr>
                    <w:rFonts w:ascii="Cambria Math" w:eastAsiaTheme="minorEastAsia" w:hAnsi="Cambria Math" w:cs="Times New Roman"/>
                    <w:color w:val="000000" w:themeColor="text1"/>
                    <w:sz w:val="24"/>
                    <w:szCs w:val="24"/>
                  </w:rPr>
                  <m:t>&gt;1</m:t>
                </m:r>
              </m:e>
            </m:eqArr>
          </m:e>
        </m:d>
      </m:oMath>
    </w:p>
    <w:p w14:paraId="45D48309" w14:textId="77777777" w:rsidR="000252B1" w:rsidRPr="0016644C" w:rsidRDefault="000252B1" w:rsidP="000252B1">
      <w:pPr>
        <w:spacing w:line="276" w:lineRule="auto"/>
        <w:jc w:val="both"/>
        <w:rPr>
          <w:rFonts w:ascii="Times New Roman" w:eastAsiaTheme="minorEastAsia" w:hAnsi="Times New Roman" w:cs="Times New Roman"/>
          <w:color w:val="000000" w:themeColor="text1"/>
          <w:sz w:val="24"/>
          <w:szCs w:val="24"/>
        </w:rPr>
      </w:pPr>
    </w:p>
    <w:p w14:paraId="7D89066E" w14:textId="1F5A7A1E" w:rsidR="000252B1" w:rsidRPr="0016644C" w:rsidRDefault="00EC0F7C" w:rsidP="000252B1">
      <w:pPr>
        <w:spacing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xy,t</m:t>
            </m:r>
          </m:sub>
        </m:sSub>
      </m:oMath>
      <w:r w:rsidR="000252B1" w:rsidRPr="0016644C">
        <w:rPr>
          <w:rFonts w:ascii="Times New Roman" w:eastAsiaTheme="minorEastAsia" w:hAnsi="Times New Roman" w:cs="Times New Roman"/>
          <w:color w:val="000000" w:themeColor="text1"/>
          <w:sz w:val="24"/>
          <w:szCs w:val="24"/>
        </w:rPr>
        <w:t xml:space="preserve"> </w:t>
      </w:r>
      <w:r w:rsidR="00CD26E0">
        <w:rPr>
          <w:rFonts w:ascii="Times New Roman" w:eastAsiaTheme="minorEastAsia" w:hAnsi="Times New Roman" w:cs="Times New Roman"/>
          <w:color w:val="000000" w:themeColor="text1"/>
          <w:sz w:val="24"/>
          <w:szCs w:val="24"/>
        </w:rPr>
        <w:t xml:space="preserve">indicates </w:t>
      </w:r>
      <w:r w:rsidR="000252B1" w:rsidRPr="0016644C">
        <w:rPr>
          <w:rFonts w:ascii="Times New Roman" w:eastAsiaTheme="minorEastAsia" w:hAnsi="Times New Roman" w:cs="Times New Roman"/>
          <w:color w:val="000000" w:themeColor="text1"/>
          <w:sz w:val="24"/>
          <w:szCs w:val="24"/>
        </w:rPr>
        <w:t xml:space="preserve">the weight of </w:t>
      </w:r>
      <w:r w:rsidR="00CD26E0">
        <w:rPr>
          <w:rFonts w:ascii="Times New Roman" w:eastAsiaTheme="minorEastAsia" w:hAnsi="Times New Roman" w:cs="Times New Roman"/>
          <w:color w:val="000000" w:themeColor="text1"/>
          <w:sz w:val="24"/>
          <w:szCs w:val="24"/>
        </w:rPr>
        <w:t xml:space="preserve">Islamic </w:t>
      </w:r>
      <w:proofErr w:type="gramStart"/>
      <w:r w:rsidR="000252B1" w:rsidRPr="0016644C">
        <w:rPr>
          <w:rFonts w:ascii="Times New Roman" w:eastAsiaTheme="minorEastAsia" w:hAnsi="Times New Roman" w:cs="Times New Roman"/>
          <w:color w:val="000000" w:themeColor="text1"/>
          <w:sz w:val="24"/>
          <w:szCs w:val="24"/>
        </w:rPr>
        <w:t>stock(</w:t>
      </w:r>
      <w:proofErr w:type="gramEnd"/>
      <m:oMath>
        <m:r>
          <w:rPr>
            <w:rFonts w:ascii="Cambria Math" w:hAnsi="Cambria Math" w:cs="Times New Roman"/>
            <w:color w:val="000000" w:themeColor="text1"/>
            <w:sz w:val="24"/>
            <w:szCs w:val="24"/>
          </w:rPr>
          <m:t>x</m:t>
        </m:r>
      </m:oMath>
      <w:r w:rsidR="000252B1" w:rsidRPr="0016644C">
        <w:rPr>
          <w:rFonts w:ascii="Times New Roman" w:eastAsiaTheme="minorEastAsia" w:hAnsi="Times New Roman" w:cs="Times New Roman"/>
          <w:color w:val="000000" w:themeColor="text1"/>
          <w:sz w:val="24"/>
          <w:szCs w:val="24"/>
        </w:rPr>
        <w:t xml:space="preserve">) in a one-dollar portfolio of </w:t>
      </w:r>
      <w:bookmarkStart w:id="9" w:name="_Hlk48413960"/>
      <w:r w:rsidR="00CD26E0">
        <w:rPr>
          <w:rFonts w:ascii="Times New Roman" w:eastAsiaTheme="minorEastAsia" w:hAnsi="Times New Roman" w:cs="Times New Roman"/>
          <w:color w:val="000000" w:themeColor="text1"/>
          <w:sz w:val="24"/>
          <w:szCs w:val="24"/>
        </w:rPr>
        <w:t xml:space="preserve">Islamic </w:t>
      </w:r>
      <w:r w:rsidR="000252B1" w:rsidRPr="0016644C">
        <w:rPr>
          <w:rFonts w:ascii="Times New Roman" w:eastAsiaTheme="minorEastAsia" w:hAnsi="Times New Roman" w:cs="Times New Roman"/>
          <w:color w:val="000000" w:themeColor="text1"/>
          <w:sz w:val="24"/>
          <w:szCs w:val="24"/>
        </w:rPr>
        <w:t xml:space="preserve">stock(x) and </w:t>
      </w:r>
      <w:r w:rsidR="00CD26E0">
        <w:rPr>
          <w:rFonts w:ascii="Times New Roman" w:eastAsiaTheme="minorEastAsia" w:hAnsi="Times New Roman" w:cs="Times New Roman"/>
          <w:color w:val="000000" w:themeColor="text1"/>
          <w:sz w:val="24"/>
          <w:szCs w:val="24"/>
        </w:rPr>
        <w:t xml:space="preserve">Islamic </w:t>
      </w:r>
      <w:r w:rsidR="000252B1" w:rsidRPr="0016644C">
        <w:rPr>
          <w:rFonts w:ascii="Times New Roman" w:eastAsiaTheme="minorEastAsia" w:hAnsi="Times New Roman" w:cs="Times New Roman"/>
          <w:color w:val="000000" w:themeColor="text1"/>
          <w:sz w:val="24"/>
          <w:szCs w:val="24"/>
        </w:rPr>
        <w:t>cryptocurrency(</w:t>
      </w:r>
      <m:oMath>
        <m:r>
          <w:rPr>
            <w:rFonts w:ascii="Cambria Math" w:hAnsi="Cambria Math" w:cs="Times New Roman"/>
            <w:color w:val="000000" w:themeColor="text1"/>
            <w:sz w:val="24"/>
            <w:szCs w:val="24"/>
          </w:rPr>
          <m:t>y</m:t>
        </m:r>
      </m:oMath>
      <w:r w:rsidR="000252B1" w:rsidRPr="0016644C">
        <w:rPr>
          <w:rFonts w:ascii="Times New Roman" w:eastAsiaTheme="minorEastAsia" w:hAnsi="Times New Roman" w:cs="Times New Roman"/>
          <w:color w:val="000000" w:themeColor="text1"/>
          <w:sz w:val="24"/>
          <w:szCs w:val="24"/>
        </w:rPr>
        <w:t xml:space="preserve">) </w:t>
      </w:r>
      <w:bookmarkEnd w:id="9"/>
      <w:r w:rsidR="000252B1" w:rsidRPr="0016644C">
        <w:rPr>
          <w:rFonts w:ascii="Times New Roman" w:eastAsiaTheme="minorEastAsia" w:hAnsi="Times New Roman" w:cs="Times New Roman"/>
          <w:color w:val="000000" w:themeColor="text1"/>
          <w:sz w:val="24"/>
          <w:szCs w:val="24"/>
        </w:rPr>
        <w:t>at time t</w:t>
      </w:r>
      <w:r>
        <w:rPr>
          <w:rFonts w:ascii="Times New Roman" w:eastAsiaTheme="minorEastAsia" w:hAnsi="Times New Roman" w:cs="Times New Roman"/>
          <w:color w:val="000000" w:themeColor="text1"/>
          <w:sz w:val="24"/>
          <w:szCs w:val="24"/>
        </w:rPr>
        <w:t>”</w:t>
      </w:r>
      <w:r w:rsidR="003D2DA3">
        <w:rPr>
          <w:rFonts w:ascii="Times New Roman" w:eastAsiaTheme="minorEastAsia" w:hAnsi="Times New Roman" w:cs="Times New Roman"/>
          <w:color w:val="000000" w:themeColor="text1"/>
          <w:sz w:val="24"/>
          <w:szCs w:val="24"/>
        </w:rPr>
        <w:t xml:space="preserve">. </w:t>
      </w:r>
      <w:r w:rsidR="00885D45">
        <w:rPr>
          <w:rFonts w:ascii="Times New Roman" w:eastAsiaTheme="minorEastAsia" w:hAnsi="Times New Roman" w:cs="Times New Roman"/>
          <w:color w:val="000000" w:themeColor="text1"/>
          <w:sz w:val="24"/>
          <w:szCs w:val="24"/>
        </w:rPr>
        <w:t xml:space="preserve">Following </w:t>
      </w:r>
      <w:r w:rsidR="00885D45" w:rsidRPr="0016644C">
        <w:rPr>
          <w:rFonts w:ascii="Times New Roman" w:eastAsiaTheme="minorEastAsia" w:hAnsi="Times New Roman" w:cs="Times New Roman"/>
          <w:color w:val="000000" w:themeColor="text1"/>
          <w:sz w:val="24"/>
          <w:szCs w:val="24"/>
        </w:rPr>
        <w:t>Kroner and Sultan (1993)</w:t>
      </w:r>
      <w:r w:rsidR="00885D45">
        <w:rPr>
          <w:rFonts w:ascii="Times New Roman" w:eastAsiaTheme="minorEastAsia" w:hAnsi="Times New Roman" w:cs="Times New Roman"/>
          <w:color w:val="000000" w:themeColor="text1"/>
          <w:sz w:val="24"/>
          <w:szCs w:val="24"/>
        </w:rPr>
        <w:t xml:space="preserve">, </w:t>
      </w:r>
      <w:r w:rsidR="00BC2031">
        <w:rPr>
          <w:rFonts w:ascii="Times New Roman" w:eastAsiaTheme="minorEastAsia" w:hAnsi="Times New Roman" w:cs="Times New Roman"/>
          <w:color w:val="000000" w:themeColor="text1"/>
          <w:sz w:val="24"/>
          <w:szCs w:val="24"/>
        </w:rPr>
        <w:t>the hedge ratio</w:t>
      </w:r>
      <w:r w:rsidR="00EF2430">
        <w:rPr>
          <w:rFonts w:ascii="Times New Roman" w:eastAsiaTheme="minorEastAsia" w:hAnsi="Times New Roman" w:cs="Times New Roman"/>
          <w:color w:val="000000" w:themeColor="text1"/>
          <w:sz w:val="24"/>
          <w:szCs w:val="24"/>
        </w:rPr>
        <w:t xml:space="preserve"> can be measures though following formula</w:t>
      </w:r>
      <w:r w:rsidR="00ED5CA2">
        <w:rPr>
          <w:rFonts w:ascii="Times New Roman" w:eastAsiaTheme="minorEastAsia" w:hAnsi="Times New Roman" w:cs="Times New Roman"/>
          <w:color w:val="000000" w:themeColor="text1"/>
          <w:sz w:val="24"/>
          <w:szCs w:val="24"/>
        </w:rPr>
        <w:t>:</w:t>
      </w:r>
    </w:p>
    <w:p w14:paraId="0CC8AC6A" w14:textId="613531CC" w:rsidR="000252B1" w:rsidRPr="00C91FFA" w:rsidRDefault="000252B1" w:rsidP="000252B1">
      <w:pPr>
        <w:spacing w:line="360" w:lineRule="auto"/>
        <w:jc w:val="both"/>
        <w:rPr>
          <w:rFonts w:ascii="Times New Roman" w:eastAsiaTheme="minorEastAsia" w:hAnsi="Times New Roman" w:cs="Times New Roman"/>
          <w:color w:val="0070C0"/>
          <w:sz w:val="24"/>
          <w:szCs w:val="24"/>
        </w:rPr>
      </w:pPr>
      <w:r w:rsidRPr="0016644C">
        <w:rPr>
          <w:rFonts w:ascii="Times New Roman" w:eastAsiaTheme="minorEastAsia" w:hAnsi="Times New Roman" w:cs="Times New Roman"/>
          <w:color w:val="000000" w:themeColor="text1"/>
          <w:sz w:val="28"/>
          <w:szCs w:val="28"/>
        </w:rPr>
        <w:t xml:space="preserve">                                                     </w:t>
      </w: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β</m:t>
            </m:r>
          </m:e>
          <m:sub>
            <m:r>
              <w:rPr>
                <w:rFonts w:ascii="Cambria Math" w:eastAsiaTheme="minorEastAsia" w:hAnsi="Cambria Math" w:cs="Times New Roman"/>
                <w:color w:val="000000" w:themeColor="text1"/>
                <w:sz w:val="28"/>
                <w:szCs w:val="28"/>
              </w:rPr>
              <m:t>xy,t</m:t>
            </m:r>
          </m:sub>
        </m:sSub>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rPr>
            </m:ctrlPr>
          </m:fPr>
          <m:num>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h</m:t>
                </m:r>
              </m:e>
              <m:sub>
                <m:r>
                  <w:rPr>
                    <w:rFonts w:ascii="Cambria Math" w:eastAsiaTheme="minorEastAsia" w:hAnsi="Cambria Math" w:cs="Times New Roman"/>
                    <w:color w:val="000000" w:themeColor="text1"/>
                    <w:sz w:val="28"/>
                    <w:szCs w:val="28"/>
                  </w:rPr>
                  <m:t>xy,t</m:t>
                </m:r>
              </m:sub>
            </m:sSub>
          </m:num>
          <m:den>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h</m:t>
                </m:r>
              </m:e>
              <m:sub>
                <m:r>
                  <w:rPr>
                    <w:rFonts w:ascii="Cambria Math" w:eastAsiaTheme="minorEastAsia" w:hAnsi="Cambria Math" w:cs="Times New Roman"/>
                    <w:color w:val="000000" w:themeColor="text1"/>
                    <w:sz w:val="28"/>
                    <w:szCs w:val="28"/>
                  </w:rPr>
                  <m:t>y,t</m:t>
                </m:r>
              </m:sub>
            </m:sSub>
          </m:den>
        </m:f>
        <m:r>
          <w:rPr>
            <w:rFonts w:ascii="Cambria Math" w:eastAsiaTheme="minorEastAsia" w:hAnsi="Cambria Math" w:cs="Times New Roman"/>
            <w:color w:val="000000" w:themeColor="text1"/>
            <w:sz w:val="24"/>
            <w:szCs w:val="24"/>
          </w:rPr>
          <m:t xml:space="preserve"> </m:t>
        </m:r>
      </m:oMath>
      <w:r w:rsidR="00762450" w:rsidRPr="00DE389C">
        <w:rPr>
          <w:rFonts w:ascii="Times New Roman" w:eastAsiaTheme="minorEastAsia" w:hAnsi="Times New Roman" w:cs="Times New Roman"/>
          <w:color w:val="0070C0"/>
          <w:sz w:val="32"/>
          <w:szCs w:val="32"/>
        </w:rPr>
        <w:t>,</w:t>
      </w:r>
      <w:r w:rsidRPr="0016644C">
        <w:rPr>
          <w:rFonts w:ascii="Times New Roman" w:eastAsiaTheme="minorEastAsia" w:hAnsi="Times New Roman" w:cs="Times New Roman"/>
          <w:color w:val="000000" w:themeColor="text1"/>
          <w:sz w:val="32"/>
          <w:szCs w:val="32"/>
        </w:rPr>
        <w:tab/>
        <w:t xml:space="preserve">             </w:t>
      </w:r>
      <w:r w:rsidR="00ED5CA2">
        <w:rPr>
          <w:rFonts w:ascii="Times New Roman" w:eastAsiaTheme="minorEastAsia" w:hAnsi="Times New Roman" w:cs="Times New Roman"/>
          <w:color w:val="000000" w:themeColor="text1"/>
          <w:sz w:val="32"/>
          <w:szCs w:val="32"/>
        </w:rPr>
        <w:t xml:space="preserve">                </w:t>
      </w:r>
      <w:r w:rsidR="00B358F7">
        <w:rPr>
          <w:rFonts w:ascii="Times New Roman" w:eastAsiaTheme="minorEastAsia" w:hAnsi="Times New Roman" w:cs="Times New Roman"/>
          <w:color w:val="000000" w:themeColor="text1"/>
          <w:sz w:val="32"/>
          <w:szCs w:val="32"/>
        </w:rPr>
        <w:t xml:space="preserve">         </w:t>
      </w:r>
      <w:proofErr w:type="gramStart"/>
      <w:r w:rsidR="00B358F7">
        <w:rPr>
          <w:rFonts w:ascii="Times New Roman" w:eastAsiaTheme="minorEastAsia" w:hAnsi="Times New Roman" w:cs="Times New Roman"/>
          <w:color w:val="000000" w:themeColor="text1"/>
          <w:sz w:val="32"/>
          <w:szCs w:val="32"/>
        </w:rPr>
        <w:t xml:space="preserve"> </w:t>
      </w:r>
      <w:r w:rsidR="00ED5CA2">
        <w:rPr>
          <w:rFonts w:ascii="Times New Roman" w:eastAsiaTheme="minorEastAsia" w:hAnsi="Times New Roman" w:cs="Times New Roman"/>
          <w:color w:val="000000" w:themeColor="text1"/>
          <w:sz w:val="32"/>
          <w:szCs w:val="32"/>
        </w:rPr>
        <w:t xml:space="preserve">  </w:t>
      </w:r>
      <w:r w:rsidRPr="00C91FFA">
        <w:rPr>
          <w:rFonts w:ascii="Times New Roman" w:eastAsiaTheme="minorEastAsia" w:hAnsi="Times New Roman" w:cs="Times New Roman"/>
          <w:color w:val="0070C0"/>
          <w:sz w:val="24"/>
          <w:szCs w:val="24"/>
        </w:rPr>
        <w:t>(</w:t>
      </w:r>
      <w:proofErr w:type="gramEnd"/>
      <w:r w:rsidRPr="00C91FFA">
        <w:rPr>
          <w:rFonts w:ascii="Times New Roman" w:eastAsiaTheme="minorEastAsia" w:hAnsi="Times New Roman" w:cs="Times New Roman"/>
          <w:color w:val="0070C0"/>
          <w:sz w:val="24"/>
          <w:szCs w:val="24"/>
        </w:rPr>
        <w:t>5)</w:t>
      </w:r>
    </w:p>
    <w:p w14:paraId="2D11750F" w14:textId="42C8E13D" w:rsidR="008E5AAF" w:rsidRDefault="000252B1" w:rsidP="000252B1">
      <w:pPr>
        <w:spacing w:before="240" w:line="360" w:lineRule="auto"/>
        <w:jc w:val="both"/>
        <w:rPr>
          <w:rFonts w:ascii="Times New Roman" w:eastAsiaTheme="minorEastAsia" w:hAnsi="Times New Roman" w:cs="Times New Roman"/>
          <w:color w:val="000000" w:themeColor="text1"/>
          <w:sz w:val="24"/>
          <w:szCs w:val="24"/>
        </w:rPr>
      </w:pPr>
      <w:r w:rsidRPr="00DE389C">
        <w:rPr>
          <w:rFonts w:ascii="Times New Roman" w:eastAsiaTheme="minorEastAsia" w:hAnsi="Times New Roman" w:cs="Times New Roman"/>
          <w:color w:val="0070C0"/>
          <w:sz w:val="24"/>
          <w:szCs w:val="24"/>
        </w:rPr>
        <w:t>where</w:t>
      </w:r>
      <w:r w:rsidRPr="0016644C">
        <w:rPr>
          <w:rFonts w:ascii="Times New Roman" w:eastAsiaTheme="minorEastAsia" w:hAnsi="Times New Roman" w:cs="Times New Roman"/>
          <w:color w:val="000000" w:themeColor="text1"/>
          <w:sz w:val="24"/>
          <w:szCs w:val="24"/>
        </w:rPr>
        <w:t xml:space="preserv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xy,t</m:t>
            </m:r>
          </m:sub>
        </m:sSub>
      </m:oMath>
      <w:r w:rsidRPr="0016644C">
        <w:rPr>
          <w:rFonts w:ascii="Times New Roman" w:eastAsiaTheme="minorEastAsia" w:hAnsi="Times New Roman" w:cs="Times New Roman"/>
          <w:color w:val="000000" w:themeColor="text1"/>
          <w:sz w:val="24"/>
          <w:szCs w:val="24"/>
        </w:rPr>
        <w:t xml:space="preserve"> </w:t>
      </w:r>
      <w:r w:rsidR="001C26C5">
        <w:rPr>
          <w:rFonts w:ascii="Times New Roman" w:eastAsiaTheme="minorEastAsia" w:hAnsi="Times New Roman" w:cs="Times New Roman"/>
          <w:color w:val="000000" w:themeColor="text1"/>
          <w:sz w:val="24"/>
          <w:szCs w:val="24"/>
        </w:rPr>
        <w:t>denotes</w:t>
      </w:r>
      <w:r w:rsidRPr="0016644C">
        <w:rPr>
          <w:rFonts w:ascii="Times New Roman" w:eastAsiaTheme="minorEastAsia" w:hAnsi="Times New Roman" w:cs="Times New Roman"/>
          <w:color w:val="000000" w:themeColor="text1"/>
          <w:sz w:val="24"/>
          <w:szCs w:val="24"/>
        </w:rPr>
        <w:t xml:space="preserve"> the </w:t>
      </w:r>
      <w:r w:rsidR="0015072B">
        <w:rPr>
          <w:rFonts w:ascii="Times New Roman" w:eastAsiaTheme="minorEastAsia" w:hAnsi="Times New Roman" w:cs="Times New Roman"/>
          <w:color w:val="000000" w:themeColor="text1"/>
          <w:sz w:val="24"/>
          <w:szCs w:val="24"/>
        </w:rPr>
        <w:t xml:space="preserve">optimal </w:t>
      </w:r>
      <w:r w:rsidRPr="0016644C">
        <w:rPr>
          <w:rFonts w:ascii="Times New Roman" w:eastAsiaTheme="minorEastAsia" w:hAnsi="Times New Roman" w:cs="Times New Roman"/>
          <w:color w:val="000000" w:themeColor="text1"/>
          <w:sz w:val="24"/>
          <w:szCs w:val="24"/>
        </w:rPr>
        <w:t>hedge ratio</w:t>
      </w:r>
      <w:r w:rsidR="00541959">
        <w:rPr>
          <w:rFonts w:ascii="Times New Roman" w:eastAsiaTheme="minorEastAsia" w:hAnsi="Times New Roman" w:cs="Times New Roman"/>
          <w:color w:val="000000" w:themeColor="text1"/>
          <w:sz w:val="24"/>
          <w:szCs w:val="24"/>
        </w:rPr>
        <w:t xml:space="preserve">, showing that the </w:t>
      </w:r>
      <w:r w:rsidR="00541959" w:rsidRPr="00541959">
        <w:rPr>
          <w:rFonts w:ascii="Times New Roman" w:eastAsiaTheme="minorEastAsia" w:hAnsi="Times New Roman" w:cs="Times New Roman"/>
          <w:color w:val="000000" w:themeColor="text1"/>
          <w:sz w:val="24"/>
          <w:szCs w:val="24"/>
        </w:rPr>
        <w:t>cryptocurrency</w:t>
      </w:r>
      <w:r w:rsidR="00583C45">
        <w:rPr>
          <w:rFonts w:ascii="Times New Roman" w:eastAsiaTheme="minorEastAsia" w:hAnsi="Times New Roman" w:cs="Times New Roman"/>
          <w:color w:val="000000" w:themeColor="text1"/>
          <w:sz w:val="24"/>
          <w:szCs w:val="24"/>
        </w:rPr>
        <w:t>’s</w:t>
      </w:r>
      <w:r w:rsidR="00541959" w:rsidRPr="00541959">
        <w:rPr>
          <w:rFonts w:ascii="Times New Roman" w:eastAsiaTheme="minorEastAsia" w:hAnsi="Times New Roman" w:cs="Times New Roman"/>
          <w:color w:val="000000" w:themeColor="text1"/>
          <w:sz w:val="24"/>
          <w:szCs w:val="24"/>
        </w:rPr>
        <w:t xml:space="preserve"> (y)</w:t>
      </w:r>
      <w:r w:rsidR="00541959">
        <w:rPr>
          <w:rFonts w:ascii="Times New Roman" w:eastAsiaTheme="minorEastAsia" w:hAnsi="Times New Roman" w:cs="Times New Roman"/>
          <w:color w:val="000000" w:themeColor="text1"/>
          <w:sz w:val="24"/>
          <w:szCs w:val="24"/>
        </w:rPr>
        <w:t xml:space="preserve"> </w:t>
      </w:r>
      <w:r w:rsidR="000F7971">
        <w:rPr>
          <w:rFonts w:ascii="Times New Roman" w:eastAsiaTheme="minorEastAsia" w:hAnsi="Times New Roman" w:cs="Times New Roman"/>
          <w:color w:val="000000" w:themeColor="text1"/>
          <w:sz w:val="24"/>
          <w:szCs w:val="24"/>
        </w:rPr>
        <w:t xml:space="preserve">short position </w:t>
      </w:r>
      <w:r w:rsidR="00A21023">
        <w:rPr>
          <w:rFonts w:ascii="Times New Roman" w:eastAsiaTheme="minorEastAsia" w:hAnsi="Times New Roman" w:cs="Times New Roman"/>
          <w:color w:val="000000" w:themeColor="text1"/>
          <w:sz w:val="24"/>
          <w:szCs w:val="24"/>
        </w:rPr>
        <w:t xml:space="preserve">is used to hedge the </w:t>
      </w:r>
      <w:r w:rsidR="00A21023" w:rsidRPr="0016644C">
        <w:rPr>
          <w:rFonts w:ascii="Times New Roman" w:eastAsiaTheme="minorEastAsia" w:hAnsi="Times New Roman" w:cs="Times New Roman"/>
          <w:color w:val="000000" w:themeColor="text1"/>
          <w:sz w:val="24"/>
          <w:szCs w:val="24"/>
        </w:rPr>
        <w:t>stock</w:t>
      </w:r>
      <w:r w:rsidR="00A21023">
        <w:rPr>
          <w:rFonts w:ascii="Times New Roman" w:eastAsiaTheme="minorEastAsia" w:hAnsi="Times New Roman" w:cs="Times New Roman"/>
          <w:color w:val="000000" w:themeColor="text1"/>
          <w:sz w:val="24"/>
          <w:szCs w:val="24"/>
        </w:rPr>
        <w:t xml:space="preserve"> sector’s</w:t>
      </w:r>
      <w:r w:rsidR="00A21023" w:rsidRPr="0016644C">
        <w:rPr>
          <w:rFonts w:ascii="Times New Roman" w:eastAsiaTheme="minorEastAsia" w:hAnsi="Times New Roman" w:cs="Times New Roman"/>
          <w:color w:val="000000" w:themeColor="text1"/>
          <w:sz w:val="24"/>
          <w:szCs w:val="24"/>
        </w:rPr>
        <w:t xml:space="preserve"> (x)</w:t>
      </w:r>
      <w:r w:rsidR="00583C45">
        <w:rPr>
          <w:rFonts w:ascii="Times New Roman" w:eastAsiaTheme="minorEastAsia" w:hAnsi="Times New Roman" w:cs="Times New Roman"/>
          <w:color w:val="000000" w:themeColor="text1"/>
          <w:sz w:val="24"/>
          <w:szCs w:val="24"/>
        </w:rPr>
        <w:t xml:space="preserve"> long position</w:t>
      </w:r>
    </w:p>
    <w:p w14:paraId="64DF2E64" w14:textId="1FFF3055" w:rsidR="000252B1" w:rsidRPr="007F1F1F" w:rsidRDefault="004543BB" w:rsidP="000252B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Finally, </w:t>
      </w:r>
      <w:r w:rsidR="00B3391B">
        <w:rPr>
          <w:rFonts w:ascii="Times New Roman" w:hAnsi="Times New Roman" w:cs="Times New Roman"/>
          <w:sz w:val="24"/>
          <w:szCs w:val="24"/>
        </w:rPr>
        <w:t>we estimate the hedging effectiveness</w:t>
      </w:r>
      <w:r w:rsidR="00204E13">
        <w:rPr>
          <w:rFonts w:ascii="Times New Roman" w:hAnsi="Times New Roman" w:cs="Times New Roman"/>
          <w:sz w:val="24"/>
          <w:szCs w:val="24"/>
        </w:rPr>
        <w:t xml:space="preserve"> (HE)</w:t>
      </w:r>
      <w:r w:rsidR="00B3391B">
        <w:rPr>
          <w:rFonts w:ascii="Times New Roman" w:hAnsi="Times New Roman" w:cs="Times New Roman"/>
          <w:sz w:val="24"/>
          <w:szCs w:val="24"/>
        </w:rPr>
        <w:t xml:space="preserve"> score </w:t>
      </w:r>
      <w:r w:rsidR="00A865E6">
        <w:rPr>
          <w:rFonts w:ascii="Times New Roman" w:hAnsi="Times New Roman" w:cs="Times New Roman"/>
          <w:sz w:val="24"/>
          <w:szCs w:val="24"/>
        </w:rPr>
        <w:t xml:space="preserve">to compare the effectiveness of </w:t>
      </w:r>
      <w:r w:rsidR="003A590C">
        <w:rPr>
          <w:rFonts w:ascii="Times New Roman" w:hAnsi="Times New Roman" w:cs="Times New Roman"/>
          <w:sz w:val="24"/>
          <w:szCs w:val="24"/>
        </w:rPr>
        <w:t>different portfolios</w:t>
      </w:r>
      <w:r w:rsidR="000B12BF">
        <w:rPr>
          <w:rFonts w:ascii="Times New Roman" w:hAnsi="Times New Roman" w:cs="Times New Roman"/>
          <w:sz w:val="24"/>
          <w:szCs w:val="24"/>
        </w:rPr>
        <w:t>.</w:t>
      </w:r>
      <w:r w:rsidR="00204E13">
        <w:rPr>
          <w:rFonts w:ascii="Times New Roman" w:hAnsi="Times New Roman" w:cs="Times New Roman"/>
          <w:sz w:val="24"/>
          <w:szCs w:val="24"/>
        </w:rPr>
        <w:t xml:space="preserve"> The higher score </w:t>
      </w:r>
      <w:proofErr w:type="gramStart"/>
      <w:r w:rsidR="00204E13">
        <w:rPr>
          <w:rFonts w:ascii="Times New Roman" w:hAnsi="Times New Roman" w:cs="Times New Roman"/>
          <w:sz w:val="24"/>
          <w:szCs w:val="24"/>
        </w:rPr>
        <w:t xml:space="preserve">of </w:t>
      </w:r>
      <w:r w:rsidR="00F37BDB">
        <w:rPr>
          <w:rFonts w:ascii="Times New Roman" w:hAnsi="Times New Roman" w:cs="Times New Roman"/>
          <w:sz w:val="24"/>
          <w:szCs w:val="24"/>
        </w:rPr>
        <w:t xml:space="preserve"> </w:t>
      </w:r>
      <w:r w:rsidR="00204E13">
        <w:rPr>
          <w:rFonts w:ascii="Times New Roman" w:hAnsi="Times New Roman" w:cs="Times New Roman"/>
          <w:sz w:val="24"/>
          <w:szCs w:val="24"/>
        </w:rPr>
        <w:t>HE</w:t>
      </w:r>
      <w:proofErr w:type="gramEnd"/>
      <w:r w:rsidR="00204E13">
        <w:rPr>
          <w:rFonts w:ascii="Times New Roman" w:hAnsi="Times New Roman" w:cs="Times New Roman"/>
          <w:sz w:val="24"/>
          <w:szCs w:val="24"/>
        </w:rPr>
        <w:t xml:space="preserve"> indicates the </w:t>
      </w:r>
      <w:r w:rsidR="00674C5A">
        <w:rPr>
          <w:rFonts w:ascii="Times New Roman" w:hAnsi="Times New Roman" w:cs="Times New Roman"/>
          <w:sz w:val="24"/>
          <w:szCs w:val="24"/>
        </w:rPr>
        <w:t>higher risk reduction</w:t>
      </w:r>
      <w:r w:rsidR="00637B10">
        <w:rPr>
          <w:rFonts w:ascii="Times New Roman" w:hAnsi="Times New Roman" w:cs="Times New Roman"/>
          <w:sz w:val="24"/>
          <w:szCs w:val="24"/>
        </w:rPr>
        <w:t xml:space="preserve">. </w:t>
      </w:r>
      <w:r w:rsidR="004C488A">
        <w:rPr>
          <w:rFonts w:ascii="Times New Roman" w:hAnsi="Times New Roman" w:cs="Times New Roman"/>
          <w:sz w:val="24"/>
          <w:szCs w:val="24"/>
        </w:rPr>
        <w:t>According to the</w:t>
      </w:r>
      <w:r w:rsidR="000252B1" w:rsidRPr="007F1F1F">
        <w:rPr>
          <w:rFonts w:ascii="Times New Roman" w:hAnsi="Times New Roman" w:cs="Times New Roman"/>
          <w:sz w:val="24"/>
          <w:szCs w:val="24"/>
        </w:rPr>
        <w:t xml:space="preserve"> Ku et al. (2007),</w:t>
      </w:r>
      <w:r w:rsidR="00C20F9B">
        <w:rPr>
          <w:rFonts w:ascii="Times New Roman" w:hAnsi="Times New Roman" w:cs="Times New Roman"/>
          <w:sz w:val="24"/>
          <w:szCs w:val="24"/>
        </w:rPr>
        <w:t xml:space="preserve"> hedging effectiveness score can be calculated as: </w:t>
      </w:r>
    </w:p>
    <w:p w14:paraId="6103AE42" w14:textId="097582E1" w:rsidR="000252B1" w:rsidRPr="007F1F1F" w:rsidRDefault="000252B1" w:rsidP="000252B1">
      <w:pPr>
        <w:spacing w:before="240" w:line="360" w:lineRule="auto"/>
        <w:jc w:val="both"/>
        <w:rPr>
          <w:rFonts w:ascii="Times New Roman" w:hAnsi="Times New Roman" w:cs="Times New Roman"/>
          <w:sz w:val="24"/>
          <w:szCs w:val="24"/>
        </w:rPr>
      </w:pPr>
      <w:r w:rsidRPr="007F1F1F">
        <w:rPr>
          <w:rFonts w:ascii="Times New Roman" w:hAnsi="Times New Roman" w:cs="Times New Roman"/>
          <w:sz w:val="24"/>
          <w:szCs w:val="24"/>
        </w:rPr>
        <w:t xml:space="preserve">                     </w:t>
      </w:r>
      <w:r w:rsidR="00B358F7">
        <w:rPr>
          <w:rFonts w:ascii="Times New Roman" w:hAnsi="Times New Roman" w:cs="Times New Roman"/>
          <w:sz w:val="24"/>
          <w:szCs w:val="24"/>
        </w:rPr>
        <w:t xml:space="preserve">      </w:t>
      </w:r>
      <w:r w:rsidRPr="007F1F1F">
        <w:rPr>
          <w:rFonts w:ascii="Times New Roman" w:hAnsi="Times New Roman" w:cs="Times New Roman"/>
          <w:sz w:val="24"/>
          <w:szCs w:val="24"/>
        </w:rPr>
        <w:t xml:space="preserve">                  </w:t>
      </w:r>
      <m:oMath>
        <m:r>
          <w:rPr>
            <w:rFonts w:ascii="Cambria Math" w:hAnsi="Cambria Math" w:cs="Times New Roman"/>
            <w:sz w:val="24"/>
            <w:szCs w:val="24"/>
          </w:rPr>
          <m:t xml:space="preserve">HE=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variance</m:t>
                </m:r>
              </m:e>
              <m:sub>
                <m:r>
                  <w:rPr>
                    <w:rFonts w:ascii="Cambria Math" w:hAnsi="Cambria Math" w:cs="Times New Roman"/>
                    <w:sz w:val="24"/>
                    <w:szCs w:val="24"/>
                  </w:rPr>
                  <m:t>Unhedged</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variance</m:t>
                </m:r>
              </m:e>
              <m:sub>
                <m:r>
                  <w:rPr>
                    <w:rFonts w:ascii="Cambria Math" w:hAnsi="Cambria Math" w:cs="Times New Roman"/>
                    <w:sz w:val="24"/>
                    <w:szCs w:val="24"/>
                  </w:rPr>
                  <m:t>hedged</m:t>
                </m:r>
              </m:sub>
            </m:sSub>
          </m:num>
          <m:den>
            <m:sSub>
              <m:sSubPr>
                <m:ctrlPr>
                  <w:rPr>
                    <w:rFonts w:ascii="Cambria Math" w:hAnsi="Cambria Math" w:cs="Times New Roman"/>
                    <w:i/>
                    <w:sz w:val="24"/>
                    <w:szCs w:val="24"/>
                  </w:rPr>
                </m:ctrlPr>
              </m:sSubPr>
              <m:e>
                <m:r>
                  <w:rPr>
                    <w:rFonts w:ascii="Cambria Math" w:hAnsi="Cambria Math" w:cs="Times New Roman"/>
                    <w:sz w:val="24"/>
                    <w:szCs w:val="24"/>
                  </w:rPr>
                  <m:t>variance</m:t>
                </m:r>
              </m:e>
              <m:sub>
                <m:r>
                  <w:rPr>
                    <w:rFonts w:ascii="Cambria Math" w:hAnsi="Cambria Math" w:cs="Times New Roman"/>
                    <w:sz w:val="24"/>
                    <w:szCs w:val="24"/>
                  </w:rPr>
                  <m:t>Unhedged</m:t>
                </m:r>
              </m:sub>
            </m:sSub>
          </m:den>
        </m:f>
      </m:oMath>
      <w:proofErr w:type="gramStart"/>
      <w:r w:rsidRPr="00DE389C">
        <w:rPr>
          <w:rFonts w:ascii="Times New Roman" w:hAnsi="Times New Roman" w:cs="Times New Roman"/>
          <w:color w:val="0070C0"/>
          <w:sz w:val="24"/>
          <w:szCs w:val="24"/>
        </w:rPr>
        <w:t>,</w:t>
      </w:r>
      <w:r w:rsidRPr="007F1F1F">
        <w:rPr>
          <w:rFonts w:ascii="Times New Roman" w:hAnsi="Times New Roman" w:cs="Times New Roman"/>
          <w:sz w:val="24"/>
          <w:szCs w:val="24"/>
        </w:rPr>
        <w:t xml:space="preserve">   </w:t>
      </w:r>
      <w:proofErr w:type="gramEnd"/>
      <w:r w:rsidRPr="007F1F1F">
        <w:rPr>
          <w:rFonts w:ascii="Times New Roman" w:hAnsi="Times New Roman" w:cs="Times New Roman"/>
          <w:sz w:val="24"/>
          <w:szCs w:val="24"/>
        </w:rPr>
        <w:t xml:space="preserve">                                        </w:t>
      </w:r>
      <w:r w:rsidR="00B358F7">
        <w:rPr>
          <w:rFonts w:ascii="Times New Roman" w:hAnsi="Times New Roman" w:cs="Times New Roman"/>
          <w:sz w:val="24"/>
          <w:szCs w:val="24"/>
        </w:rPr>
        <w:t xml:space="preserve">     </w:t>
      </w:r>
      <w:r w:rsidRPr="007F1F1F">
        <w:rPr>
          <w:rFonts w:ascii="Times New Roman" w:hAnsi="Times New Roman" w:cs="Times New Roman"/>
          <w:sz w:val="24"/>
          <w:szCs w:val="24"/>
        </w:rPr>
        <w:t xml:space="preserve">  </w:t>
      </w:r>
      <w:r w:rsidRPr="00C91FFA">
        <w:rPr>
          <w:rFonts w:ascii="Times New Roman" w:hAnsi="Times New Roman" w:cs="Times New Roman"/>
          <w:color w:val="0070C0"/>
          <w:sz w:val="24"/>
          <w:szCs w:val="24"/>
        </w:rPr>
        <w:t>(6)</w:t>
      </w:r>
    </w:p>
    <w:p w14:paraId="584D2551" w14:textId="4F8B96FF" w:rsidR="00F171DE" w:rsidRDefault="000252B1" w:rsidP="007E5D42">
      <w:pPr>
        <w:spacing w:before="240" w:line="360" w:lineRule="auto"/>
        <w:jc w:val="both"/>
      </w:pPr>
      <w:r w:rsidRPr="00DE389C">
        <w:rPr>
          <w:rFonts w:ascii="Times New Roman" w:hAnsi="Times New Roman" w:cs="Times New Roman"/>
          <w:color w:val="0070C0"/>
          <w:sz w:val="24"/>
          <w:szCs w:val="24"/>
        </w:rPr>
        <w:t>where</w:t>
      </w:r>
      <w:r w:rsidRPr="007F1F1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variance</m:t>
            </m:r>
          </m:e>
          <m:sub>
            <m:r>
              <w:rPr>
                <w:rFonts w:ascii="Cambria Math" w:hAnsi="Cambria Math" w:cs="Times New Roman"/>
                <w:sz w:val="24"/>
                <w:szCs w:val="24"/>
              </w:rPr>
              <m:t>Unhedged</m:t>
            </m:r>
          </m:sub>
        </m:sSub>
      </m:oMath>
      <w:r w:rsidRPr="007F1F1F">
        <w:rPr>
          <w:rFonts w:ascii="Times New Roman" w:hAnsi="Times New Roman" w:cs="Times New Roman"/>
          <w:sz w:val="24"/>
          <w:szCs w:val="24"/>
        </w:rPr>
        <w:t xml:space="preserve"> </w:t>
      </w:r>
      <w:r w:rsidR="00C20F9B">
        <w:rPr>
          <w:rFonts w:ascii="Times New Roman" w:hAnsi="Times New Roman" w:cs="Times New Roman"/>
          <w:sz w:val="24"/>
          <w:szCs w:val="24"/>
        </w:rPr>
        <w:t>denotes</w:t>
      </w:r>
      <w:r w:rsidRPr="007F1F1F">
        <w:rPr>
          <w:rFonts w:ascii="Times New Roman" w:hAnsi="Times New Roman" w:cs="Times New Roman"/>
          <w:sz w:val="24"/>
          <w:szCs w:val="24"/>
        </w:rPr>
        <w:t xml:space="preserve"> the unhedged portfolio (only x asset) return</w:t>
      </w:r>
      <w:r w:rsidR="00637237">
        <w:rPr>
          <w:rFonts w:ascii="Times New Roman" w:hAnsi="Times New Roman" w:cs="Times New Roman"/>
          <w:sz w:val="24"/>
          <w:szCs w:val="24"/>
        </w:rPr>
        <w:t>’</w:t>
      </w:r>
      <w:r w:rsidRPr="007F1F1F">
        <w:rPr>
          <w:rFonts w:ascii="Times New Roman" w:hAnsi="Times New Roman" w:cs="Times New Roman"/>
          <w:sz w:val="24"/>
          <w:szCs w:val="24"/>
        </w:rPr>
        <w:t>s</w:t>
      </w:r>
      <w:r w:rsidR="00AF5319">
        <w:rPr>
          <w:rFonts w:ascii="Times New Roman" w:hAnsi="Times New Roman" w:cs="Times New Roman"/>
          <w:sz w:val="24"/>
          <w:szCs w:val="24"/>
        </w:rPr>
        <w:t xml:space="preserve"> variance</w:t>
      </w:r>
      <w:r w:rsidRPr="007F1F1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variance</m:t>
            </m:r>
          </m:e>
          <m:sub>
            <m:r>
              <w:rPr>
                <w:rFonts w:ascii="Cambria Math" w:hAnsi="Cambria Math" w:cs="Times New Roman"/>
                <w:sz w:val="24"/>
                <w:szCs w:val="24"/>
              </w:rPr>
              <m:t>hedged</m:t>
            </m:r>
          </m:sub>
        </m:sSub>
      </m:oMath>
      <w:r w:rsidRPr="007F1F1F">
        <w:rPr>
          <w:rFonts w:ascii="Times New Roman" w:hAnsi="Times New Roman" w:cs="Times New Roman"/>
          <w:sz w:val="24"/>
          <w:szCs w:val="24"/>
        </w:rPr>
        <w:t xml:space="preserve"> </w:t>
      </w:r>
      <w:r w:rsidR="009617D1">
        <w:rPr>
          <w:rFonts w:ascii="Times New Roman" w:hAnsi="Times New Roman" w:cs="Times New Roman"/>
          <w:sz w:val="24"/>
          <w:szCs w:val="24"/>
        </w:rPr>
        <w:t>represents</w:t>
      </w:r>
      <w:r w:rsidRPr="007F1F1F">
        <w:rPr>
          <w:rFonts w:ascii="Times New Roman" w:hAnsi="Times New Roman" w:cs="Times New Roman"/>
          <w:sz w:val="24"/>
          <w:szCs w:val="24"/>
        </w:rPr>
        <w:t xml:space="preserve"> the varia</w:t>
      </w:r>
      <w:r w:rsidR="006B31AE">
        <w:rPr>
          <w:rFonts w:ascii="Times New Roman" w:hAnsi="Times New Roman" w:cs="Times New Roman"/>
          <w:sz w:val="24"/>
          <w:szCs w:val="24"/>
        </w:rPr>
        <w:t>nce</w:t>
      </w:r>
      <w:r w:rsidR="00B90B1C">
        <w:rPr>
          <w:rFonts w:ascii="Times New Roman" w:hAnsi="Times New Roman" w:cs="Times New Roman"/>
          <w:sz w:val="24"/>
          <w:szCs w:val="24"/>
        </w:rPr>
        <w:t xml:space="preserve"> of</w:t>
      </w:r>
      <w:r w:rsidRPr="007F1F1F">
        <w:rPr>
          <w:rFonts w:ascii="Times New Roman" w:hAnsi="Times New Roman" w:cs="Times New Roman"/>
          <w:sz w:val="24"/>
          <w:szCs w:val="24"/>
        </w:rPr>
        <w:t xml:space="preserve"> the </w:t>
      </w:r>
      <w:r w:rsidR="009302CF">
        <w:rPr>
          <w:rFonts w:ascii="Times New Roman" w:hAnsi="Times New Roman" w:cs="Times New Roman"/>
          <w:sz w:val="24"/>
          <w:szCs w:val="24"/>
        </w:rPr>
        <w:t xml:space="preserve">x and y </w:t>
      </w:r>
      <w:proofErr w:type="gramStart"/>
      <w:r w:rsidR="009302CF">
        <w:rPr>
          <w:rFonts w:ascii="Times New Roman" w:hAnsi="Times New Roman" w:cs="Times New Roman"/>
          <w:sz w:val="24"/>
          <w:szCs w:val="24"/>
        </w:rPr>
        <w:t>assets based</w:t>
      </w:r>
      <w:proofErr w:type="gramEnd"/>
      <w:r w:rsidR="009302CF">
        <w:rPr>
          <w:rFonts w:ascii="Times New Roman" w:hAnsi="Times New Roman" w:cs="Times New Roman"/>
          <w:sz w:val="24"/>
          <w:szCs w:val="24"/>
        </w:rPr>
        <w:t xml:space="preserve"> portfolio’s returns</w:t>
      </w:r>
      <w:r w:rsidR="00F1497F">
        <w:rPr>
          <w:rFonts w:ascii="Times New Roman" w:hAnsi="Times New Roman" w:cs="Times New Roman"/>
          <w:sz w:val="24"/>
          <w:szCs w:val="24"/>
        </w:rPr>
        <w:t>.</w:t>
      </w:r>
      <m:oMath>
        <m:r>
          <m:rPr>
            <m:sty m:val="p"/>
          </m:rPr>
          <w:rPr>
            <w:rStyle w:val="FootnoteReference"/>
            <w:rFonts w:ascii="Cambria Math" w:hAnsi="Cambria Math" w:cs="Times New Roman"/>
            <w:sz w:val="24"/>
            <w:szCs w:val="24"/>
          </w:rPr>
          <w:footnoteReference w:id="4"/>
        </m:r>
      </m:oMath>
      <w:r w:rsidRPr="007F1F1F">
        <w:rPr>
          <w:rFonts w:ascii="Times New Roman" w:hAnsi="Times New Roman" w:cs="Times New Roman"/>
          <w:sz w:val="24"/>
          <w:szCs w:val="24"/>
        </w:rPr>
        <w:t>.</w:t>
      </w:r>
    </w:p>
    <w:p w14:paraId="10A3E9F3" w14:textId="77777777" w:rsidR="00F171DE" w:rsidRDefault="00F171DE" w:rsidP="00F171DE">
      <w:pPr>
        <w:pStyle w:val="ListParagraph"/>
        <w:spacing w:line="360" w:lineRule="auto"/>
        <w:ind w:left="360"/>
        <w:jc w:val="both"/>
      </w:pPr>
    </w:p>
    <w:p w14:paraId="1AB4AF1F" w14:textId="117DB756" w:rsidR="00651A28" w:rsidRPr="00DA1988" w:rsidRDefault="0031334E" w:rsidP="00A7384B">
      <w:pPr>
        <w:pStyle w:val="ListParagraph"/>
        <w:numPr>
          <w:ilvl w:val="0"/>
          <w:numId w:val="1"/>
        </w:numPr>
        <w:spacing w:line="360" w:lineRule="auto"/>
        <w:jc w:val="both"/>
        <w:rPr>
          <w:rFonts w:ascii="Times New Roman" w:hAnsi="Times New Roman" w:cs="Times New Roman"/>
          <w:b/>
          <w:bCs/>
          <w:sz w:val="28"/>
          <w:szCs w:val="28"/>
        </w:rPr>
      </w:pPr>
      <w:r w:rsidRPr="00DA1988">
        <w:rPr>
          <w:rFonts w:ascii="Times New Roman" w:hAnsi="Times New Roman" w:cs="Times New Roman"/>
          <w:b/>
          <w:bCs/>
          <w:sz w:val="28"/>
          <w:szCs w:val="28"/>
        </w:rPr>
        <w:t xml:space="preserve">Data and </w:t>
      </w:r>
      <w:r w:rsidR="00651A28" w:rsidRPr="00DA1988">
        <w:rPr>
          <w:rFonts w:ascii="Times New Roman" w:hAnsi="Times New Roman" w:cs="Times New Roman"/>
          <w:b/>
          <w:bCs/>
          <w:sz w:val="28"/>
          <w:szCs w:val="28"/>
        </w:rPr>
        <w:t>Preliminary analysis</w:t>
      </w:r>
    </w:p>
    <w:p w14:paraId="677B3C45" w14:textId="60649C1D" w:rsidR="008502D0" w:rsidRDefault="0031334E" w:rsidP="0031334E">
      <w:pPr>
        <w:spacing w:line="360" w:lineRule="auto"/>
        <w:jc w:val="both"/>
        <w:rPr>
          <w:rFonts w:ascii="Times New Roman" w:hAnsi="Times New Roman" w:cs="Times New Roman"/>
          <w:color w:val="0070C0"/>
          <w:sz w:val="24"/>
          <w:szCs w:val="24"/>
        </w:rPr>
      </w:pPr>
      <w:r w:rsidRPr="009E52FE">
        <w:rPr>
          <w:rFonts w:ascii="Times New Roman" w:hAnsi="Times New Roman" w:cs="Times New Roman"/>
          <w:sz w:val="24"/>
          <w:szCs w:val="24"/>
        </w:rPr>
        <w:t>We use the daily data of two gold-backed sharia</w:t>
      </w:r>
      <w:r w:rsidR="00F0106D">
        <w:rPr>
          <w:rFonts w:ascii="Times New Roman" w:hAnsi="Times New Roman" w:cs="Times New Roman"/>
          <w:sz w:val="24"/>
          <w:szCs w:val="24"/>
        </w:rPr>
        <w:t>-</w:t>
      </w:r>
      <w:r w:rsidRPr="009E52FE">
        <w:rPr>
          <w:rFonts w:ascii="Times New Roman" w:hAnsi="Times New Roman" w:cs="Times New Roman"/>
          <w:sz w:val="24"/>
          <w:szCs w:val="24"/>
        </w:rPr>
        <w:t>compliant cryptocurrencies, namely Onegram coin and X8X token. The data of Onegram coin and X8X coin are taken from the WorldCoinIndex.com and coinmarketcap.com, respectively.</w:t>
      </w:r>
      <w:r w:rsidR="00E76E0B">
        <w:rPr>
          <w:rFonts w:ascii="Times New Roman" w:hAnsi="Times New Roman" w:cs="Times New Roman"/>
          <w:sz w:val="24"/>
          <w:szCs w:val="24"/>
        </w:rPr>
        <w:t xml:space="preserve"> </w:t>
      </w:r>
      <w:r w:rsidR="00C7107D">
        <w:rPr>
          <w:rFonts w:ascii="Times New Roman" w:hAnsi="Times New Roman" w:cs="Times New Roman"/>
          <w:color w:val="0070C0"/>
          <w:sz w:val="24"/>
          <w:szCs w:val="24"/>
        </w:rPr>
        <w:t>Both O</w:t>
      </w:r>
      <w:r w:rsidR="00E64263" w:rsidRPr="00E64263">
        <w:rPr>
          <w:rFonts w:ascii="Times New Roman" w:hAnsi="Times New Roman" w:cs="Times New Roman"/>
          <w:color w:val="0070C0"/>
          <w:sz w:val="24"/>
          <w:szCs w:val="24"/>
        </w:rPr>
        <w:t xml:space="preserve">negram and X8X </w:t>
      </w:r>
      <w:r w:rsidR="00C7107D">
        <w:rPr>
          <w:rFonts w:ascii="Times New Roman" w:hAnsi="Times New Roman" w:cs="Times New Roman"/>
          <w:color w:val="0070C0"/>
          <w:sz w:val="24"/>
          <w:szCs w:val="24"/>
        </w:rPr>
        <w:t xml:space="preserve">cryptocurrencies have Sharia compliant certifications. </w:t>
      </w:r>
      <w:r w:rsidR="0014261F">
        <w:rPr>
          <w:rFonts w:ascii="Times New Roman" w:hAnsi="Times New Roman" w:cs="Times New Roman"/>
          <w:color w:val="0070C0"/>
          <w:sz w:val="24"/>
          <w:szCs w:val="24"/>
        </w:rPr>
        <w:t xml:space="preserve">Each token of Onegram cryptocurrency is consisted of one gram gold and redeemable. </w:t>
      </w:r>
      <w:r w:rsidR="00424609">
        <w:rPr>
          <w:rFonts w:ascii="Times New Roman" w:hAnsi="Times New Roman" w:cs="Times New Roman"/>
          <w:color w:val="0070C0"/>
          <w:sz w:val="24"/>
          <w:szCs w:val="24"/>
        </w:rPr>
        <w:t xml:space="preserve">Moreover, Onegram has low transaction fee, take few seconds in executing transaction, based on </w:t>
      </w:r>
      <w:r w:rsidR="00424609" w:rsidRPr="00424609">
        <w:rPr>
          <w:rFonts w:ascii="Times New Roman" w:hAnsi="Times New Roman" w:cs="Times New Roman"/>
          <w:color w:val="0070C0"/>
          <w:sz w:val="24"/>
          <w:szCs w:val="24"/>
        </w:rPr>
        <w:t>the proof of stake (</w:t>
      </w:r>
      <w:proofErr w:type="spellStart"/>
      <w:r w:rsidR="00424609" w:rsidRPr="00424609">
        <w:rPr>
          <w:rFonts w:ascii="Times New Roman" w:hAnsi="Times New Roman" w:cs="Times New Roman"/>
          <w:color w:val="0070C0"/>
          <w:sz w:val="24"/>
          <w:szCs w:val="24"/>
        </w:rPr>
        <w:t>PoS</w:t>
      </w:r>
      <w:proofErr w:type="spellEnd"/>
      <w:r w:rsidR="00424609" w:rsidRPr="00424609">
        <w:rPr>
          <w:rFonts w:ascii="Times New Roman" w:hAnsi="Times New Roman" w:cs="Times New Roman"/>
          <w:color w:val="0070C0"/>
          <w:sz w:val="24"/>
          <w:szCs w:val="24"/>
        </w:rPr>
        <w:t xml:space="preserve">) blockchain technology </w:t>
      </w:r>
      <w:r w:rsidR="00424609">
        <w:rPr>
          <w:rFonts w:ascii="Times New Roman" w:hAnsi="Times New Roman" w:cs="Times New Roman"/>
          <w:color w:val="0070C0"/>
          <w:sz w:val="24"/>
          <w:szCs w:val="24"/>
        </w:rPr>
        <w:t xml:space="preserve">which </w:t>
      </w:r>
      <w:r w:rsidR="00E76E0B">
        <w:rPr>
          <w:rFonts w:ascii="Times New Roman" w:hAnsi="Times New Roman" w:cs="Times New Roman"/>
          <w:color w:val="0070C0"/>
          <w:sz w:val="24"/>
          <w:szCs w:val="24"/>
        </w:rPr>
        <w:t xml:space="preserve">consume </w:t>
      </w:r>
      <w:r w:rsidR="00424609">
        <w:rPr>
          <w:rFonts w:ascii="Times New Roman" w:hAnsi="Times New Roman" w:cs="Times New Roman"/>
          <w:color w:val="0070C0"/>
          <w:sz w:val="24"/>
          <w:szCs w:val="24"/>
        </w:rPr>
        <w:t>ten times less</w:t>
      </w:r>
      <w:r w:rsidR="00424609" w:rsidRPr="00424609">
        <w:rPr>
          <w:rFonts w:ascii="Times New Roman" w:hAnsi="Times New Roman" w:cs="Times New Roman"/>
          <w:color w:val="0070C0"/>
          <w:sz w:val="24"/>
          <w:szCs w:val="24"/>
        </w:rPr>
        <w:t xml:space="preserve"> energy than </w:t>
      </w:r>
      <w:r w:rsidR="00424609">
        <w:rPr>
          <w:rFonts w:ascii="Times New Roman" w:hAnsi="Times New Roman" w:cs="Times New Roman"/>
          <w:color w:val="0070C0"/>
          <w:sz w:val="24"/>
          <w:szCs w:val="24"/>
        </w:rPr>
        <w:t xml:space="preserve">its competitive </w:t>
      </w:r>
      <w:r w:rsidR="00424609" w:rsidRPr="00424609">
        <w:rPr>
          <w:rFonts w:ascii="Times New Roman" w:hAnsi="Times New Roman" w:cs="Times New Roman"/>
          <w:color w:val="0070C0"/>
          <w:sz w:val="24"/>
          <w:szCs w:val="24"/>
        </w:rPr>
        <w:t>proof of work (</w:t>
      </w:r>
      <w:proofErr w:type="spellStart"/>
      <w:r w:rsidR="00424609" w:rsidRPr="00424609">
        <w:rPr>
          <w:rFonts w:ascii="Times New Roman" w:hAnsi="Times New Roman" w:cs="Times New Roman"/>
          <w:color w:val="0070C0"/>
          <w:sz w:val="24"/>
          <w:szCs w:val="24"/>
        </w:rPr>
        <w:t>PoW</w:t>
      </w:r>
      <w:proofErr w:type="spellEnd"/>
      <w:r w:rsidR="00424609" w:rsidRPr="00424609">
        <w:rPr>
          <w:rFonts w:ascii="Times New Roman" w:hAnsi="Times New Roman" w:cs="Times New Roman"/>
          <w:color w:val="0070C0"/>
          <w:sz w:val="24"/>
          <w:szCs w:val="24"/>
        </w:rPr>
        <w:t>) protocols.</w:t>
      </w:r>
      <w:r w:rsidR="00972FAF">
        <w:rPr>
          <w:rStyle w:val="FootnoteReference"/>
          <w:rFonts w:ascii="Times New Roman" w:hAnsi="Times New Roman" w:cs="Times New Roman"/>
          <w:color w:val="0070C0"/>
          <w:sz w:val="24"/>
          <w:szCs w:val="24"/>
        </w:rPr>
        <w:footnoteReference w:id="5"/>
      </w:r>
      <w:r w:rsidR="00972FAF">
        <w:rPr>
          <w:rFonts w:ascii="Times New Roman" w:hAnsi="Times New Roman" w:cs="Times New Roman"/>
          <w:color w:val="0070C0"/>
          <w:sz w:val="24"/>
          <w:szCs w:val="24"/>
        </w:rPr>
        <w:t xml:space="preserve"> </w:t>
      </w:r>
      <w:r w:rsidR="00E76E0B">
        <w:rPr>
          <w:rFonts w:ascii="Times New Roman" w:hAnsi="Times New Roman" w:cs="Times New Roman"/>
          <w:color w:val="0070C0"/>
          <w:sz w:val="24"/>
          <w:szCs w:val="24"/>
        </w:rPr>
        <w:t>Onegram company sold the token of worth $400 million in its first year of launch (</w:t>
      </w:r>
      <w:r w:rsidR="00E76E0B" w:rsidRPr="00AB4B54">
        <w:rPr>
          <w:rFonts w:ascii="Times New Roman" w:hAnsi="Times New Roman" w:cs="Times New Roman"/>
          <w:color w:val="0070C0"/>
          <w:sz w:val="24"/>
          <w:szCs w:val="24"/>
        </w:rPr>
        <w:t>Vizcaino</w:t>
      </w:r>
      <w:r w:rsidR="00E76E0B">
        <w:rPr>
          <w:rFonts w:ascii="Times New Roman" w:hAnsi="Times New Roman" w:cs="Times New Roman"/>
          <w:color w:val="0070C0"/>
          <w:sz w:val="24"/>
          <w:szCs w:val="24"/>
        </w:rPr>
        <w:t xml:space="preserve">, 2018a). </w:t>
      </w:r>
      <w:r w:rsidR="00C7107D">
        <w:rPr>
          <w:rFonts w:ascii="Times New Roman" w:hAnsi="Times New Roman" w:cs="Times New Roman"/>
          <w:color w:val="0070C0"/>
          <w:sz w:val="24"/>
          <w:szCs w:val="24"/>
        </w:rPr>
        <w:t>However, X8X is mainly backed by gold, as well as the eight fiat currencies (</w:t>
      </w:r>
      <w:r w:rsidR="00C7107D" w:rsidRPr="00C7107D">
        <w:rPr>
          <w:rFonts w:ascii="Times New Roman" w:hAnsi="Times New Roman" w:cs="Times New Roman"/>
          <w:color w:val="0070C0"/>
          <w:sz w:val="24"/>
          <w:szCs w:val="24"/>
        </w:rPr>
        <w:t>Vizcaino</w:t>
      </w:r>
      <w:r w:rsidR="00C7107D">
        <w:rPr>
          <w:rFonts w:ascii="Times New Roman" w:hAnsi="Times New Roman" w:cs="Times New Roman"/>
          <w:color w:val="0070C0"/>
          <w:sz w:val="24"/>
          <w:szCs w:val="24"/>
        </w:rPr>
        <w:t xml:space="preserve">, 2018b). The market </w:t>
      </w:r>
      <w:proofErr w:type="spellStart"/>
      <w:r w:rsidR="00C7107D">
        <w:rPr>
          <w:rFonts w:ascii="Times New Roman" w:hAnsi="Times New Roman" w:cs="Times New Roman"/>
          <w:color w:val="0070C0"/>
          <w:sz w:val="24"/>
          <w:szCs w:val="24"/>
        </w:rPr>
        <w:t>captalization</w:t>
      </w:r>
      <w:proofErr w:type="spellEnd"/>
      <w:r w:rsidR="00C7107D">
        <w:rPr>
          <w:rFonts w:ascii="Times New Roman" w:hAnsi="Times New Roman" w:cs="Times New Roman"/>
          <w:color w:val="0070C0"/>
          <w:sz w:val="24"/>
          <w:szCs w:val="24"/>
        </w:rPr>
        <w:t xml:space="preserve"> of X8X is the $2.78 million on </w:t>
      </w:r>
      <w:bookmarkStart w:id="10" w:name="_Hlk84697801"/>
      <w:r w:rsidR="00C7107D">
        <w:rPr>
          <w:rFonts w:ascii="Times New Roman" w:hAnsi="Times New Roman" w:cs="Times New Roman"/>
          <w:color w:val="0070C0"/>
          <w:sz w:val="24"/>
          <w:szCs w:val="24"/>
        </w:rPr>
        <w:t>August 27, 2021</w:t>
      </w:r>
      <w:bookmarkEnd w:id="10"/>
      <w:r w:rsidR="00C7107D">
        <w:rPr>
          <w:rFonts w:ascii="Times New Roman" w:hAnsi="Times New Roman" w:cs="Times New Roman"/>
          <w:color w:val="0070C0"/>
          <w:sz w:val="24"/>
          <w:szCs w:val="24"/>
        </w:rPr>
        <w:t>.</w:t>
      </w:r>
      <w:r w:rsidR="00C7107D">
        <w:rPr>
          <w:rStyle w:val="FootnoteReference"/>
          <w:rFonts w:ascii="Times New Roman" w:hAnsi="Times New Roman" w:cs="Times New Roman"/>
          <w:color w:val="0070C0"/>
          <w:sz w:val="24"/>
          <w:szCs w:val="24"/>
        </w:rPr>
        <w:footnoteReference w:id="6"/>
      </w:r>
      <w:r w:rsidR="00E76E0B">
        <w:rPr>
          <w:rFonts w:ascii="Times New Roman" w:hAnsi="Times New Roman" w:cs="Times New Roman"/>
          <w:color w:val="0070C0"/>
          <w:sz w:val="24"/>
          <w:szCs w:val="24"/>
        </w:rPr>
        <w:t xml:space="preserve"> We choose these two Islamic cryptocurrencies because these are highly </w:t>
      </w:r>
      <w:proofErr w:type="spellStart"/>
      <w:r w:rsidR="00E76E0B">
        <w:rPr>
          <w:rFonts w:ascii="Times New Roman" w:hAnsi="Times New Roman" w:cs="Times New Roman"/>
          <w:color w:val="0070C0"/>
          <w:sz w:val="24"/>
          <w:szCs w:val="24"/>
        </w:rPr>
        <w:t>captalized</w:t>
      </w:r>
      <w:proofErr w:type="spellEnd"/>
      <w:r w:rsidR="00E76E0B">
        <w:rPr>
          <w:rFonts w:ascii="Times New Roman" w:hAnsi="Times New Roman" w:cs="Times New Roman"/>
          <w:color w:val="0070C0"/>
          <w:sz w:val="24"/>
          <w:szCs w:val="24"/>
        </w:rPr>
        <w:t xml:space="preserve"> and well known in Islamic world. </w:t>
      </w:r>
      <w:proofErr w:type="spellStart"/>
      <w:r w:rsidR="00E76E0B">
        <w:rPr>
          <w:rFonts w:ascii="Times New Roman" w:hAnsi="Times New Roman" w:cs="Times New Roman"/>
          <w:color w:val="0070C0"/>
          <w:sz w:val="24"/>
          <w:szCs w:val="24"/>
        </w:rPr>
        <w:t>Aloui</w:t>
      </w:r>
      <w:proofErr w:type="spellEnd"/>
      <w:r w:rsidR="00E76E0B">
        <w:rPr>
          <w:rFonts w:ascii="Times New Roman" w:hAnsi="Times New Roman" w:cs="Times New Roman"/>
          <w:color w:val="0070C0"/>
          <w:sz w:val="24"/>
          <w:szCs w:val="24"/>
        </w:rPr>
        <w:t xml:space="preserve"> et al. (2021) and </w:t>
      </w:r>
      <w:proofErr w:type="spellStart"/>
      <w:r w:rsidR="00E76E0B" w:rsidRPr="00E76E0B">
        <w:rPr>
          <w:rFonts w:ascii="Times New Roman" w:hAnsi="Times New Roman" w:cs="Times New Roman"/>
          <w:color w:val="0070C0"/>
          <w:sz w:val="24"/>
          <w:szCs w:val="24"/>
        </w:rPr>
        <w:t>Lahmiri</w:t>
      </w:r>
      <w:proofErr w:type="spellEnd"/>
      <w:r w:rsidR="00E76E0B">
        <w:rPr>
          <w:rFonts w:ascii="Times New Roman" w:hAnsi="Times New Roman" w:cs="Times New Roman"/>
          <w:color w:val="0070C0"/>
          <w:sz w:val="24"/>
          <w:szCs w:val="24"/>
        </w:rPr>
        <w:t xml:space="preserve"> and</w:t>
      </w:r>
      <w:r w:rsidR="00E76E0B" w:rsidRPr="00E76E0B">
        <w:rPr>
          <w:rFonts w:ascii="Times New Roman" w:hAnsi="Times New Roman" w:cs="Times New Roman"/>
          <w:color w:val="0070C0"/>
          <w:sz w:val="24"/>
          <w:szCs w:val="24"/>
        </w:rPr>
        <w:t xml:space="preserve"> </w:t>
      </w:r>
      <w:proofErr w:type="spellStart"/>
      <w:r w:rsidR="00E76E0B" w:rsidRPr="00E76E0B">
        <w:rPr>
          <w:rFonts w:ascii="Times New Roman" w:hAnsi="Times New Roman" w:cs="Times New Roman"/>
          <w:color w:val="0070C0"/>
          <w:sz w:val="24"/>
          <w:szCs w:val="24"/>
        </w:rPr>
        <w:t>Bekiros</w:t>
      </w:r>
      <w:proofErr w:type="spellEnd"/>
      <w:r w:rsidR="00E76E0B" w:rsidRPr="00E76E0B">
        <w:rPr>
          <w:rFonts w:ascii="Times New Roman" w:hAnsi="Times New Roman" w:cs="Times New Roman"/>
          <w:color w:val="0070C0"/>
          <w:sz w:val="24"/>
          <w:szCs w:val="24"/>
        </w:rPr>
        <w:t xml:space="preserve"> (2019</w:t>
      </w:r>
      <w:r w:rsidR="00E76E0B">
        <w:rPr>
          <w:rFonts w:ascii="Times New Roman" w:hAnsi="Times New Roman" w:cs="Times New Roman"/>
          <w:color w:val="0070C0"/>
          <w:sz w:val="24"/>
          <w:szCs w:val="24"/>
        </w:rPr>
        <w:t>) also used the Onegram and X8X as representative of Islamic cryptocurrencies</w:t>
      </w:r>
      <w:r w:rsidR="00B042EA">
        <w:rPr>
          <w:rFonts w:ascii="Times New Roman" w:hAnsi="Times New Roman" w:cs="Times New Roman"/>
          <w:color w:val="0070C0"/>
          <w:sz w:val="24"/>
          <w:szCs w:val="24"/>
        </w:rPr>
        <w:t>.</w:t>
      </w:r>
      <w:r w:rsidR="00A73189">
        <w:rPr>
          <w:rFonts w:ascii="Times New Roman" w:hAnsi="Times New Roman" w:cs="Times New Roman"/>
          <w:color w:val="0070C0"/>
          <w:sz w:val="24"/>
          <w:szCs w:val="24"/>
        </w:rPr>
        <w:t xml:space="preserve"> Finally, the total cryptocurrency market </w:t>
      </w:r>
      <w:proofErr w:type="spellStart"/>
      <w:r w:rsidR="00A73189">
        <w:rPr>
          <w:rFonts w:ascii="Times New Roman" w:hAnsi="Times New Roman" w:cs="Times New Roman"/>
          <w:color w:val="0070C0"/>
          <w:sz w:val="24"/>
          <w:szCs w:val="24"/>
        </w:rPr>
        <w:t>captalization</w:t>
      </w:r>
      <w:proofErr w:type="spellEnd"/>
      <w:r w:rsidR="00A73189">
        <w:rPr>
          <w:rFonts w:ascii="Times New Roman" w:hAnsi="Times New Roman" w:cs="Times New Roman"/>
          <w:color w:val="0070C0"/>
          <w:sz w:val="24"/>
          <w:szCs w:val="24"/>
        </w:rPr>
        <w:t xml:space="preserve"> is the $2.035 trillion on </w:t>
      </w:r>
      <w:r w:rsidR="00A73189" w:rsidRPr="00A73189">
        <w:rPr>
          <w:rFonts w:ascii="Times New Roman" w:hAnsi="Times New Roman" w:cs="Times New Roman"/>
          <w:color w:val="0070C0"/>
          <w:sz w:val="24"/>
          <w:szCs w:val="24"/>
        </w:rPr>
        <w:t>August 27, 2021</w:t>
      </w:r>
      <w:r w:rsidR="001D6276">
        <w:rPr>
          <w:rFonts w:ascii="Times New Roman" w:hAnsi="Times New Roman" w:cs="Times New Roman"/>
          <w:color w:val="0070C0"/>
          <w:sz w:val="24"/>
          <w:szCs w:val="24"/>
        </w:rPr>
        <w:t>, it shows that Islamic cryptocurrency is comparatively small but has huge growth potential</w:t>
      </w:r>
      <w:r w:rsidR="00A73189">
        <w:rPr>
          <w:rFonts w:ascii="Times New Roman" w:hAnsi="Times New Roman" w:cs="Times New Roman"/>
          <w:color w:val="0070C0"/>
          <w:sz w:val="24"/>
          <w:szCs w:val="24"/>
        </w:rPr>
        <w:t>.</w:t>
      </w:r>
    </w:p>
    <w:p w14:paraId="0AD23B57" w14:textId="68F3AE86" w:rsidR="00784D02" w:rsidRPr="00C9040C" w:rsidRDefault="0031334E" w:rsidP="0031334E">
      <w:pPr>
        <w:spacing w:line="360" w:lineRule="auto"/>
        <w:jc w:val="both"/>
        <w:rPr>
          <w:rFonts w:ascii="Times New Roman" w:hAnsi="Times New Roman" w:cs="Times New Roman"/>
          <w:color w:val="0070C0"/>
          <w:sz w:val="24"/>
          <w:szCs w:val="24"/>
        </w:rPr>
      </w:pPr>
      <w:r w:rsidRPr="009E52FE">
        <w:rPr>
          <w:rFonts w:ascii="Times New Roman" w:hAnsi="Times New Roman" w:cs="Times New Roman"/>
          <w:sz w:val="24"/>
          <w:szCs w:val="24"/>
        </w:rPr>
        <w:t>Moreover, the daily data of eleven S&amp;P global Sharia</w:t>
      </w:r>
      <w:r w:rsidR="00F0106D">
        <w:rPr>
          <w:rFonts w:ascii="Times New Roman" w:hAnsi="Times New Roman" w:cs="Times New Roman"/>
          <w:sz w:val="24"/>
          <w:szCs w:val="24"/>
        </w:rPr>
        <w:t>-</w:t>
      </w:r>
      <w:r w:rsidRPr="009E52FE">
        <w:rPr>
          <w:rFonts w:ascii="Times New Roman" w:hAnsi="Times New Roman" w:cs="Times New Roman"/>
          <w:sz w:val="24"/>
          <w:szCs w:val="24"/>
        </w:rPr>
        <w:t>compliant sectoral equity indices are used, including communication services</w:t>
      </w:r>
      <w:r w:rsidR="0006559B">
        <w:rPr>
          <w:rFonts w:ascii="Times New Roman" w:hAnsi="Times New Roman" w:cs="Times New Roman"/>
          <w:sz w:val="24"/>
          <w:szCs w:val="24"/>
        </w:rPr>
        <w:t xml:space="preserve"> </w:t>
      </w:r>
      <w:r w:rsidR="0006559B" w:rsidRPr="004068B1">
        <w:rPr>
          <w:rFonts w:ascii="Times New Roman" w:hAnsi="Times New Roman" w:cs="Times New Roman"/>
          <w:color w:val="0070C0"/>
          <w:sz w:val="24"/>
          <w:szCs w:val="24"/>
        </w:rPr>
        <w:t xml:space="preserve">(S&amp;P Global 1200 Shariah Communication Services) </w:t>
      </w:r>
      <w:r w:rsidRPr="009E52FE">
        <w:rPr>
          <w:rFonts w:ascii="Times New Roman" w:hAnsi="Times New Roman" w:cs="Times New Roman"/>
          <w:sz w:val="24"/>
          <w:szCs w:val="24"/>
        </w:rPr>
        <w:t xml:space="preserve">, </w:t>
      </w:r>
      <w:r w:rsidRPr="009E52FE">
        <w:rPr>
          <w:rFonts w:ascii="Times New Roman" w:hAnsi="Times New Roman" w:cs="Times New Roman"/>
          <w:sz w:val="24"/>
          <w:szCs w:val="24"/>
        </w:rPr>
        <w:lastRenderedPageBreak/>
        <w:t>consumer discretionary</w:t>
      </w:r>
      <w:r w:rsidR="0006559B">
        <w:rPr>
          <w:rFonts w:ascii="Times New Roman" w:hAnsi="Times New Roman" w:cs="Times New Roman"/>
          <w:sz w:val="24"/>
          <w:szCs w:val="24"/>
        </w:rPr>
        <w:t xml:space="preserve"> </w:t>
      </w:r>
      <w:r w:rsidR="0006559B" w:rsidRPr="004068B1">
        <w:rPr>
          <w:rFonts w:ascii="Times New Roman" w:hAnsi="Times New Roman" w:cs="Times New Roman"/>
          <w:color w:val="0070C0"/>
          <w:sz w:val="24"/>
          <w:szCs w:val="24"/>
        </w:rPr>
        <w:t>(S&amp;P Global 1200 Shariah Consumer Discretionary)</w:t>
      </w:r>
      <w:r w:rsidRPr="009E52FE">
        <w:rPr>
          <w:rFonts w:ascii="Times New Roman" w:hAnsi="Times New Roman" w:cs="Times New Roman"/>
          <w:sz w:val="24"/>
          <w:szCs w:val="24"/>
        </w:rPr>
        <w:t>, consumer staples</w:t>
      </w:r>
      <w:r w:rsidR="0006559B">
        <w:rPr>
          <w:rFonts w:ascii="Times New Roman" w:hAnsi="Times New Roman" w:cs="Times New Roman"/>
          <w:sz w:val="24"/>
          <w:szCs w:val="24"/>
        </w:rPr>
        <w:t xml:space="preserve"> </w:t>
      </w:r>
      <w:r w:rsidR="0006559B" w:rsidRPr="004068B1">
        <w:rPr>
          <w:rFonts w:ascii="Times New Roman" w:hAnsi="Times New Roman" w:cs="Times New Roman"/>
          <w:color w:val="0070C0"/>
          <w:sz w:val="24"/>
          <w:szCs w:val="24"/>
        </w:rPr>
        <w:t>(S&amp;P Global 1200 Shariah Consumer Staples)</w:t>
      </w:r>
      <w:r w:rsidRPr="009E52FE">
        <w:rPr>
          <w:rFonts w:ascii="Times New Roman" w:hAnsi="Times New Roman" w:cs="Times New Roman"/>
          <w:sz w:val="24"/>
          <w:szCs w:val="24"/>
        </w:rPr>
        <w:t>, Energy</w:t>
      </w:r>
      <w:r w:rsidR="0006559B">
        <w:rPr>
          <w:rFonts w:ascii="Times New Roman" w:hAnsi="Times New Roman" w:cs="Times New Roman"/>
          <w:sz w:val="24"/>
          <w:szCs w:val="24"/>
        </w:rPr>
        <w:t xml:space="preserve"> </w:t>
      </w:r>
      <w:r w:rsidR="0006559B" w:rsidRPr="004068B1">
        <w:rPr>
          <w:rFonts w:ascii="Times New Roman" w:hAnsi="Times New Roman" w:cs="Times New Roman"/>
          <w:color w:val="0070C0"/>
          <w:sz w:val="24"/>
          <w:szCs w:val="24"/>
        </w:rPr>
        <w:t>(S&amp;P Global 1200 Shariah Energy)</w:t>
      </w:r>
      <w:r w:rsidRPr="009E52FE">
        <w:rPr>
          <w:rFonts w:ascii="Times New Roman" w:hAnsi="Times New Roman" w:cs="Times New Roman"/>
          <w:sz w:val="24"/>
          <w:szCs w:val="24"/>
        </w:rPr>
        <w:t>, Financials</w:t>
      </w:r>
      <w:r w:rsidR="0006559B">
        <w:rPr>
          <w:rFonts w:ascii="Times New Roman" w:hAnsi="Times New Roman" w:cs="Times New Roman"/>
          <w:sz w:val="24"/>
          <w:szCs w:val="24"/>
        </w:rPr>
        <w:t xml:space="preserve"> </w:t>
      </w:r>
      <w:r w:rsidR="0006559B" w:rsidRPr="004068B1">
        <w:rPr>
          <w:rFonts w:ascii="Times New Roman" w:hAnsi="Times New Roman" w:cs="Times New Roman"/>
          <w:color w:val="0070C0"/>
          <w:sz w:val="24"/>
          <w:szCs w:val="24"/>
        </w:rPr>
        <w:t>(S&amp;P Global 1200 Shariah Financials)</w:t>
      </w:r>
      <w:r w:rsidRPr="009E52FE">
        <w:rPr>
          <w:rFonts w:ascii="Times New Roman" w:hAnsi="Times New Roman" w:cs="Times New Roman"/>
          <w:sz w:val="24"/>
          <w:szCs w:val="24"/>
        </w:rPr>
        <w:t>, Health care</w:t>
      </w:r>
      <w:r w:rsidR="0006559B">
        <w:rPr>
          <w:rFonts w:ascii="Times New Roman" w:hAnsi="Times New Roman" w:cs="Times New Roman"/>
          <w:sz w:val="24"/>
          <w:szCs w:val="24"/>
        </w:rPr>
        <w:t xml:space="preserve"> </w:t>
      </w:r>
      <w:r w:rsidR="0006559B" w:rsidRPr="004068B1">
        <w:rPr>
          <w:rFonts w:ascii="Times New Roman" w:hAnsi="Times New Roman" w:cs="Times New Roman"/>
          <w:color w:val="0070C0"/>
          <w:sz w:val="24"/>
          <w:szCs w:val="24"/>
        </w:rPr>
        <w:t>(S&amp;P Global 1200 Shariah Health Care)</w:t>
      </w:r>
      <w:r w:rsidRPr="009E52FE">
        <w:rPr>
          <w:rFonts w:ascii="Times New Roman" w:hAnsi="Times New Roman" w:cs="Times New Roman"/>
          <w:sz w:val="24"/>
          <w:szCs w:val="24"/>
        </w:rPr>
        <w:t>, Industrials</w:t>
      </w:r>
      <w:r w:rsidR="0006559B">
        <w:rPr>
          <w:rFonts w:ascii="Times New Roman" w:hAnsi="Times New Roman" w:cs="Times New Roman"/>
          <w:sz w:val="24"/>
          <w:szCs w:val="24"/>
        </w:rPr>
        <w:t xml:space="preserve"> </w:t>
      </w:r>
      <w:r w:rsidR="0006559B" w:rsidRPr="004068B1">
        <w:rPr>
          <w:rFonts w:ascii="Times New Roman" w:hAnsi="Times New Roman" w:cs="Times New Roman"/>
          <w:color w:val="0070C0"/>
          <w:sz w:val="24"/>
          <w:szCs w:val="24"/>
        </w:rPr>
        <w:t>(S&amp;P Global 1200 Shariah Industrials)</w:t>
      </w:r>
      <w:r w:rsidRPr="009E52FE">
        <w:rPr>
          <w:rFonts w:ascii="Times New Roman" w:hAnsi="Times New Roman" w:cs="Times New Roman"/>
          <w:sz w:val="24"/>
          <w:szCs w:val="24"/>
        </w:rPr>
        <w:t>, Information technology</w:t>
      </w:r>
      <w:r w:rsidR="0006559B">
        <w:rPr>
          <w:rFonts w:ascii="Times New Roman" w:hAnsi="Times New Roman" w:cs="Times New Roman"/>
          <w:sz w:val="24"/>
          <w:szCs w:val="24"/>
        </w:rPr>
        <w:t xml:space="preserve"> </w:t>
      </w:r>
      <w:r w:rsidR="0006559B" w:rsidRPr="004068B1">
        <w:rPr>
          <w:rFonts w:ascii="Times New Roman" w:hAnsi="Times New Roman" w:cs="Times New Roman"/>
          <w:color w:val="0070C0"/>
          <w:sz w:val="24"/>
          <w:szCs w:val="24"/>
        </w:rPr>
        <w:t>(S&amp;P Global 1200 Shariah Information Technology)</w:t>
      </w:r>
      <w:r w:rsidRPr="009E52FE">
        <w:rPr>
          <w:rFonts w:ascii="Times New Roman" w:hAnsi="Times New Roman" w:cs="Times New Roman"/>
          <w:sz w:val="24"/>
          <w:szCs w:val="24"/>
        </w:rPr>
        <w:t>, Materials</w:t>
      </w:r>
      <w:r w:rsidR="004068B1">
        <w:rPr>
          <w:rFonts w:ascii="Times New Roman" w:hAnsi="Times New Roman" w:cs="Times New Roman"/>
          <w:sz w:val="24"/>
          <w:szCs w:val="24"/>
        </w:rPr>
        <w:t xml:space="preserve"> </w:t>
      </w:r>
      <w:r w:rsidR="004068B1" w:rsidRPr="004068B1">
        <w:rPr>
          <w:rFonts w:ascii="Times New Roman" w:hAnsi="Times New Roman" w:cs="Times New Roman"/>
          <w:color w:val="0070C0"/>
          <w:sz w:val="24"/>
          <w:szCs w:val="24"/>
        </w:rPr>
        <w:t>(S&amp;P Global 1200 Shariah Materials)</w:t>
      </w:r>
      <w:r w:rsidRPr="009E52FE">
        <w:rPr>
          <w:rFonts w:ascii="Times New Roman" w:hAnsi="Times New Roman" w:cs="Times New Roman"/>
          <w:sz w:val="24"/>
          <w:szCs w:val="24"/>
        </w:rPr>
        <w:t>, Real estate</w:t>
      </w:r>
      <w:r w:rsidR="004068B1">
        <w:rPr>
          <w:rFonts w:ascii="Times New Roman" w:hAnsi="Times New Roman" w:cs="Times New Roman"/>
          <w:sz w:val="24"/>
          <w:szCs w:val="24"/>
        </w:rPr>
        <w:t xml:space="preserve"> </w:t>
      </w:r>
      <w:r w:rsidR="004068B1" w:rsidRPr="004068B1">
        <w:rPr>
          <w:rFonts w:ascii="Times New Roman" w:hAnsi="Times New Roman" w:cs="Times New Roman"/>
          <w:color w:val="0070C0"/>
          <w:sz w:val="24"/>
          <w:szCs w:val="24"/>
        </w:rPr>
        <w:t>(S&amp;P Global 1200 Shariah Real Estate)</w:t>
      </w:r>
      <w:r w:rsidRPr="009E52FE">
        <w:rPr>
          <w:rFonts w:ascii="Times New Roman" w:hAnsi="Times New Roman" w:cs="Times New Roman"/>
          <w:sz w:val="24"/>
          <w:szCs w:val="24"/>
        </w:rPr>
        <w:t>, and utilities</w:t>
      </w:r>
      <w:r w:rsidR="004068B1">
        <w:rPr>
          <w:rFonts w:ascii="Times New Roman" w:hAnsi="Times New Roman" w:cs="Times New Roman"/>
          <w:sz w:val="24"/>
          <w:szCs w:val="24"/>
        </w:rPr>
        <w:t xml:space="preserve"> </w:t>
      </w:r>
      <w:r w:rsidR="004068B1" w:rsidRPr="004068B1">
        <w:rPr>
          <w:rFonts w:ascii="Times New Roman" w:hAnsi="Times New Roman" w:cs="Times New Roman"/>
          <w:color w:val="0070C0"/>
          <w:sz w:val="24"/>
          <w:szCs w:val="24"/>
        </w:rPr>
        <w:t>(S&amp;P Global 1200 Shariah Utilities)</w:t>
      </w:r>
      <w:r w:rsidRPr="009E52FE">
        <w:rPr>
          <w:rFonts w:ascii="Times New Roman" w:hAnsi="Times New Roman" w:cs="Times New Roman"/>
          <w:sz w:val="24"/>
          <w:szCs w:val="24"/>
        </w:rPr>
        <w:t>. The data of Sharia</w:t>
      </w:r>
      <w:r w:rsidR="00F0106D">
        <w:rPr>
          <w:rFonts w:ascii="Times New Roman" w:hAnsi="Times New Roman" w:cs="Times New Roman"/>
          <w:sz w:val="24"/>
          <w:szCs w:val="24"/>
        </w:rPr>
        <w:t>-</w:t>
      </w:r>
      <w:r w:rsidRPr="009E52FE">
        <w:rPr>
          <w:rFonts w:ascii="Times New Roman" w:hAnsi="Times New Roman" w:cs="Times New Roman"/>
          <w:sz w:val="24"/>
          <w:szCs w:val="24"/>
        </w:rPr>
        <w:t xml:space="preserve">compliant sectoral equity indices are collected from </w:t>
      </w:r>
      <w:r w:rsidRPr="00C9040C">
        <w:rPr>
          <w:rFonts w:ascii="Times New Roman" w:hAnsi="Times New Roman" w:cs="Times New Roman"/>
          <w:color w:val="0070C0"/>
          <w:sz w:val="24"/>
          <w:szCs w:val="24"/>
        </w:rPr>
        <w:t>S&amp;P Global.</w:t>
      </w:r>
      <w:r w:rsidR="00852A21" w:rsidRPr="00C9040C">
        <w:rPr>
          <w:rStyle w:val="FootnoteReference"/>
          <w:rFonts w:ascii="Times New Roman" w:hAnsi="Times New Roman" w:cs="Times New Roman"/>
          <w:color w:val="0070C0"/>
          <w:sz w:val="24"/>
          <w:szCs w:val="24"/>
        </w:rPr>
        <w:footnoteReference w:id="7"/>
      </w:r>
    </w:p>
    <w:p w14:paraId="7DDDA165" w14:textId="7DF9C3B1" w:rsidR="00784D02" w:rsidRDefault="00784D02" w:rsidP="0031334E">
      <w:pPr>
        <w:spacing w:line="360" w:lineRule="auto"/>
        <w:jc w:val="both"/>
        <w:rPr>
          <w:rFonts w:ascii="Times New Roman" w:hAnsi="Times New Roman" w:cs="Times New Roman"/>
          <w:sz w:val="24"/>
          <w:szCs w:val="24"/>
        </w:rPr>
      </w:pPr>
      <w:r w:rsidRPr="00784D02">
        <w:rPr>
          <w:rFonts w:ascii="Times New Roman" w:hAnsi="Times New Roman" w:cs="Times New Roman"/>
          <w:sz w:val="24"/>
          <w:szCs w:val="24"/>
        </w:rPr>
        <w:t>According to World Health Organization (WHO)</w:t>
      </w:r>
      <w:r>
        <w:rPr>
          <w:rFonts w:ascii="Times New Roman" w:hAnsi="Times New Roman" w:cs="Times New Roman"/>
          <w:sz w:val="24"/>
          <w:szCs w:val="24"/>
        </w:rPr>
        <w:t xml:space="preserve"> the “unknown virus” was first reported on 31</w:t>
      </w:r>
      <w:r w:rsidRPr="00681744">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2019</w:t>
      </w:r>
      <w:r w:rsidR="00875192">
        <w:rPr>
          <w:rFonts w:ascii="Times New Roman" w:hAnsi="Times New Roman" w:cs="Times New Roman"/>
          <w:sz w:val="24"/>
          <w:szCs w:val="24"/>
        </w:rPr>
        <w:t>,</w:t>
      </w:r>
      <w:r w:rsidR="00875192" w:rsidRPr="00875192">
        <w:rPr>
          <w:rStyle w:val="FootnoteReference"/>
          <w:rFonts w:ascii="Times New Roman" w:hAnsi="Times New Roman" w:cs="Times New Roman"/>
          <w:color w:val="0070C0"/>
          <w:sz w:val="24"/>
          <w:szCs w:val="24"/>
        </w:rPr>
        <w:footnoteReference w:id="8"/>
      </w:r>
      <w:r>
        <w:rPr>
          <w:rFonts w:ascii="Times New Roman" w:hAnsi="Times New Roman" w:cs="Times New Roman"/>
          <w:sz w:val="24"/>
          <w:szCs w:val="24"/>
        </w:rPr>
        <w:t xml:space="preserve"> and since then</w:t>
      </w:r>
      <w:r w:rsidRPr="00784D02">
        <w:rPr>
          <w:rFonts w:ascii="Times New Roman" w:hAnsi="Times New Roman" w:cs="Times New Roman"/>
          <w:sz w:val="24"/>
          <w:szCs w:val="24"/>
        </w:rPr>
        <w:t xml:space="preserve"> the total number of confirmed COVID-19 cases and deaths are 120.91 million and 2.67 million, respectively, </w:t>
      </w:r>
      <w:r>
        <w:rPr>
          <w:rFonts w:ascii="Times New Roman" w:hAnsi="Times New Roman" w:cs="Times New Roman"/>
          <w:sz w:val="24"/>
          <w:szCs w:val="24"/>
        </w:rPr>
        <w:t>as per</w:t>
      </w:r>
      <w:r w:rsidRPr="00784D02">
        <w:rPr>
          <w:rFonts w:ascii="Times New Roman" w:hAnsi="Times New Roman" w:cs="Times New Roman"/>
          <w:sz w:val="24"/>
          <w:szCs w:val="24"/>
        </w:rPr>
        <w:t xml:space="preserve"> 18th March 2021</w:t>
      </w:r>
      <w:r w:rsidR="003B797A">
        <w:rPr>
          <w:rStyle w:val="FootnoteReference"/>
          <w:rFonts w:ascii="Times New Roman" w:hAnsi="Times New Roman" w:cs="Times New Roman"/>
          <w:sz w:val="24"/>
          <w:szCs w:val="24"/>
        </w:rPr>
        <w:footnoteReference w:id="9"/>
      </w:r>
      <w:r w:rsidRPr="00784D02">
        <w:rPr>
          <w:rFonts w:ascii="Times New Roman" w:hAnsi="Times New Roman" w:cs="Times New Roman"/>
          <w:sz w:val="24"/>
          <w:szCs w:val="24"/>
        </w:rPr>
        <w:t xml:space="preserve">. Most of the financial markets have observed a huge decline during the different phases of the COVID-19 (Baker et al., 2020; </w:t>
      </w:r>
      <w:proofErr w:type="spellStart"/>
      <w:r w:rsidRPr="00784D02">
        <w:rPr>
          <w:rFonts w:ascii="Times New Roman" w:hAnsi="Times New Roman" w:cs="Times New Roman"/>
          <w:sz w:val="24"/>
          <w:szCs w:val="24"/>
        </w:rPr>
        <w:t>Ramelli</w:t>
      </w:r>
      <w:proofErr w:type="spellEnd"/>
      <w:r w:rsidRPr="00784D02">
        <w:rPr>
          <w:rFonts w:ascii="Times New Roman" w:hAnsi="Times New Roman" w:cs="Times New Roman"/>
          <w:sz w:val="24"/>
          <w:szCs w:val="24"/>
        </w:rPr>
        <w:t xml:space="preserve"> and Wagner, 2020; Zhang et al., 2020; Goodell, 2020; Corbet et al., 2020</w:t>
      </w:r>
      <w:r w:rsidR="00AF00C8">
        <w:rPr>
          <w:rFonts w:ascii="Times New Roman" w:hAnsi="Times New Roman" w:cs="Times New Roman"/>
          <w:sz w:val="24"/>
          <w:szCs w:val="24"/>
        </w:rPr>
        <w:t>c</w:t>
      </w:r>
      <w:r w:rsidRPr="00784D02">
        <w:rPr>
          <w:rFonts w:ascii="Times New Roman" w:hAnsi="Times New Roman" w:cs="Times New Roman"/>
          <w:sz w:val="24"/>
          <w:szCs w:val="24"/>
        </w:rPr>
        <w:t>; Ding et al., 2021; Yarovaya et al., 2021b), including Islamic financial markets (</w:t>
      </w:r>
      <w:proofErr w:type="spellStart"/>
      <w:r w:rsidRPr="00784D02">
        <w:rPr>
          <w:rFonts w:ascii="Times New Roman" w:hAnsi="Times New Roman" w:cs="Times New Roman"/>
          <w:sz w:val="24"/>
          <w:szCs w:val="24"/>
        </w:rPr>
        <w:t>Damak</w:t>
      </w:r>
      <w:proofErr w:type="spellEnd"/>
      <w:r w:rsidRPr="00784D02">
        <w:rPr>
          <w:rFonts w:ascii="Times New Roman" w:hAnsi="Times New Roman" w:cs="Times New Roman"/>
          <w:sz w:val="24"/>
          <w:szCs w:val="24"/>
        </w:rPr>
        <w:t xml:space="preserve">, 2020). The returns of the Islamic equity sectors are also declined during the COVID-19 period compared to the pre-COVID-19 period (see. Table 1).  </w:t>
      </w:r>
    </w:p>
    <w:p w14:paraId="0DCFC965" w14:textId="586A40E8" w:rsidR="00784D02" w:rsidRDefault="00784D02" w:rsidP="00681744">
      <w:pPr>
        <w:spacing w:line="360" w:lineRule="auto"/>
        <w:jc w:val="center"/>
        <w:rPr>
          <w:rFonts w:ascii="Times New Roman" w:hAnsi="Times New Roman" w:cs="Times New Roman"/>
          <w:sz w:val="24"/>
          <w:szCs w:val="24"/>
        </w:rPr>
      </w:pPr>
      <w:r>
        <w:rPr>
          <w:rFonts w:ascii="Times New Roman" w:hAnsi="Times New Roman" w:cs="Times New Roman"/>
          <w:sz w:val="24"/>
          <w:szCs w:val="24"/>
        </w:rPr>
        <w:t>[Table 1 here]</w:t>
      </w:r>
    </w:p>
    <w:p w14:paraId="104795D6" w14:textId="1B5B1CCA" w:rsidR="0031334E" w:rsidRPr="00C24D4C" w:rsidRDefault="006803C8" w:rsidP="0031334E">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In this paper, w</w:t>
      </w:r>
      <w:r w:rsidR="0031334E" w:rsidRPr="009E52FE">
        <w:rPr>
          <w:rFonts w:ascii="Times New Roman" w:hAnsi="Times New Roman" w:cs="Times New Roman"/>
          <w:sz w:val="24"/>
          <w:szCs w:val="24"/>
        </w:rPr>
        <w:t xml:space="preserve">e use two sample periods for analysis, </w:t>
      </w:r>
      <w:r>
        <w:rPr>
          <w:rFonts w:ascii="Times New Roman" w:hAnsi="Times New Roman" w:cs="Times New Roman"/>
          <w:sz w:val="24"/>
          <w:szCs w:val="24"/>
        </w:rPr>
        <w:t>p</w:t>
      </w:r>
      <w:r w:rsidR="0031334E" w:rsidRPr="009E52FE">
        <w:rPr>
          <w:rFonts w:ascii="Times New Roman" w:hAnsi="Times New Roman" w:cs="Times New Roman"/>
          <w:sz w:val="24"/>
          <w:szCs w:val="24"/>
        </w:rPr>
        <w:t>re-COVID</w:t>
      </w:r>
      <w:r>
        <w:rPr>
          <w:rFonts w:ascii="Times New Roman" w:hAnsi="Times New Roman" w:cs="Times New Roman"/>
          <w:sz w:val="24"/>
          <w:szCs w:val="24"/>
        </w:rPr>
        <w:t>,</w:t>
      </w:r>
      <w:r w:rsidR="00681744">
        <w:rPr>
          <w:rFonts w:ascii="Times New Roman" w:hAnsi="Times New Roman" w:cs="Times New Roman"/>
          <w:sz w:val="24"/>
          <w:szCs w:val="24"/>
        </w:rPr>
        <w:t xml:space="preserve">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w:t>
      </w:r>
      <w:r w:rsidR="0031334E" w:rsidRPr="009E52FE">
        <w:rPr>
          <w:rFonts w:ascii="Times New Roman" w:hAnsi="Times New Roman" w:cs="Times New Roman"/>
          <w:sz w:val="24"/>
          <w:szCs w:val="24"/>
        </w:rPr>
        <w:t xml:space="preserve">from 15 February 2019 </w:t>
      </w:r>
      <w:r w:rsidR="00CC43C5">
        <w:rPr>
          <w:rFonts w:ascii="Times New Roman" w:hAnsi="Times New Roman" w:cs="Times New Roman"/>
          <w:sz w:val="24"/>
          <w:szCs w:val="24"/>
        </w:rPr>
        <w:t xml:space="preserve">to </w:t>
      </w:r>
      <w:r w:rsidR="0031334E" w:rsidRPr="009E52FE">
        <w:rPr>
          <w:rFonts w:ascii="Times New Roman" w:hAnsi="Times New Roman" w:cs="Times New Roman"/>
          <w:sz w:val="24"/>
          <w:szCs w:val="24"/>
        </w:rPr>
        <w:t>21 January 2020,</w:t>
      </w:r>
      <w:r w:rsidR="00D02F4A">
        <w:rPr>
          <w:rFonts w:ascii="Times New Roman" w:hAnsi="Times New Roman" w:cs="Times New Roman"/>
          <w:sz w:val="24"/>
          <w:szCs w:val="24"/>
        </w:rPr>
        <w:t xml:space="preserve"> and </w:t>
      </w:r>
      <w:r w:rsidR="0031334E" w:rsidRPr="009E52FE">
        <w:rPr>
          <w:rFonts w:ascii="Times New Roman" w:hAnsi="Times New Roman" w:cs="Times New Roman"/>
          <w:sz w:val="24"/>
          <w:szCs w:val="24"/>
        </w:rPr>
        <w:t>the COVID-19 period</w:t>
      </w:r>
      <w:r>
        <w:rPr>
          <w:rFonts w:ascii="Times New Roman" w:hAnsi="Times New Roman" w:cs="Times New Roman"/>
          <w:sz w:val="24"/>
          <w:szCs w:val="24"/>
        </w:rPr>
        <w:t>,</w:t>
      </w:r>
      <w:r w:rsidR="00681744">
        <w:rPr>
          <w:rFonts w:ascii="Times New Roman" w:hAnsi="Times New Roman" w:cs="Times New Roman"/>
          <w:sz w:val="24"/>
          <w:szCs w:val="24"/>
        </w:rPr>
        <w:t xml:space="preserve"> </w:t>
      </w:r>
      <w:r w:rsidR="00D02F4A">
        <w:rPr>
          <w:rFonts w:ascii="Times New Roman" w:hAnsi="Times New Roman" w:cs="Times New Roman"/>
          <w:sz w:val="24"/>
          <w:szCs w:val="24"/>
        </w:rPr>
        <w:t>2</w:t>
      </w:r>
      <w:r w:rsidR="00577FE2">
        <w:rPr>
          <w:rFonts w:ascii="Times New Roman" w:hAnsi="Times New Roman" w:cs="Times New Roman"/>
          <w:sz w:val="24"/>
          <w:szCs w:val="24"/>
        </w:rPr>
        <w:t>2</w:t>
      </w:r>
      <w:r w:rsidR="0031334E" w:rsidRPr="009E52FE">
        <w:rPr>
          <w:rFonts w:ascii="Times New Roman" w:hAnsi="Times New Roman" w:cs="Times New Roman"/>
          <w:sz w:val="24"/>
          <w:szCs w:val="24"/>
        </w:rPr>
        <w:t xml:space="preserve"> January 2020 to 26 February 2021</w:t>
      </w:r>
      <w:r w:rsidR="004515EE">
        <w:rPr>
          <w:rStyle w:val="FootnoteReference"/>
          <w:rFonts w:ascii="Times New Roman" w:hAnsi="Times New Roman" w:cs="Times New Roman"/>
          <w:sz w:val="24"/>
          <w:szCs w:val="24"/>
        </w:rPr>
        <w:footnoteReference w:id="10"/>
      </w:r>
      <w:r w:rsidR="0031334E" w:rsidRPr="009E52FE">
        <w:rPr>
          <w:rFonts w:ascii="Times New Roman" w:hAnsi="Times New Roman" w:cs="Times New Roman"/>
          <w:sz w:val="24"/>
          <w:szCs w:val="24"/>
        </w:rPr>
        <w:t>.</w:t>
      </w:r>
      <w:r w:rsidR="00CA2DCB">
        <w:rPr>
          <w:rFonts w:ascii="Times New Roman" w:hAnsi="Times New Roman" w:cs="Times New Roman"/>
          <w:sz w:val="24"/>
          <w:szCs w:val="24"/>
        </w:rPr>
        <w:t xml:space="preserve"> Following</w:t>
      </w:r>
      <w:r w:rsidR="006D46E1" w:rsidRPr="006D46E1">
        <w:rPr>
          <w:rFonts w:ascii="Arial" w:hAnsi="Arial" w:cs="Arial"/>
          <w:color w:val="222222"/>
          <w:sz w:val="20"/>
          <w:szCs w:val="20"/>
          <w:shd w:val="clear" w:color="auto" w:fill="FFFFFF"/>
        </w:rPr>
        <w:t xml:space="preserve"> </w:t>
      </w:r>
      <w:r w:rsidR="006D46E1" w:rsidRPr="006D46E1">
        <w:rPr>
          <w:rFonts w:ascii="Times New Roman" w:hAnsi="Times New Roman" w:cs="Times New Roman"/>
          <w:sz w:val="24"/>
          <w:szCs w:val="24"/>
        </w:rPr>
        <w:t>Engelhardt</w:t>
      </w:r>
      <w:r w:rsidR="006D46E1">
        <w:rPr>
          <w:rFonts w:ascii="Times New Roman" w:hAnsi="Times New Roman" w:cs="Times New Roman"/>
          <w:sz w:val="24"/>
          <w:szCs w:val="24"/>
        </w:rPr>
        <w:t xml:space="preserve"> et al. (</w:t>
      </w:r>
      <w:r w:rsidR="00A1400D">
        <w:rPr>
          <w:rFonts w:ascii="Times New Roman" w:hAnsi="Times New Roman" w:cs="Times New Roman"/>
          <w:sz w:val="24"/>
          <w:szCs w:val="24"/>
        </w:rPr>
        <w:t>2021)</w:t>
      </w:r>
      <w:r w:rsidR="00CD161B">
        <w:rPr>
          <w:rFonts w:ascii="Times New Roman" w:hAnsi="Times New Roman" w:cs="Times New Roman"/>
          <w:sz w:val="24"/>
          <w:szCs w:val="24"/>
        </w:rPr>
        <w:t xml:space="preserve"> and Ashraf</w:t>
      </w:r>
      <w:r w:rsidR="00BD107B">
        <w:rPr>
          <w:rFonts w:ascii="Times New Roman" w:hAnsi="Times New Roman" w:cs="Times New Roman"/>
          <w:sz w:val="24"/>
          <w:szCs w:val="24"/>
        </w:rPr>
        <w:t xml:space="preserve"> (2020)</w:t>
      </w:r>
      <w:r w:rsidR="00CA2DCB">
        <w:rPr>
          <w:rFonts w:ascii="Times New Roman" w:hAnsi="Times New Roman" w:cs="Times New Roman"/>
          <w:sz w:val="24"/>
          <w:szCs w:val="24"/>
        </w:rPr>
        <w:t>, we start the sample period of the COVID-19 from the</w:t>
      </w:r>
      <w:r w:rsidR="00E86E6E">
        <w:rPr>
          <w:rFonts w:ascii="Times New Roman" w:hAnsi="Times New Roman" w:cs="Times New Roman"/>
          <w:sz w:val="24"/>
          <w:szCs w:val="24"/>
        </w:rPr>
        <w:t xml:space="preserve"> first day of Wuhan lockdown. </w:t>
      </w:r>
      <w:proofErr w:type="spellStart"/>
      <w:r w:rsidR="005F7347" w:rsidRPr="005F7347">
        <w:rPr>
          <w:rFonts w:ascii="Times New Roman" w:hAnsi="Times New Roman" w:cs="Times New Roman"/>
          <w:sz w:val="24"/>
          <w:szCs w:val="24"/>
        </w:rPr>
        <w:t>Ramelli</w:t>
      </w:r>
      <w:proofErr w:type="spellEnd"/>
      <w:r w:rsidR="00FD6961">
        <w:rPr>
          <w:rFonts w:ascii="Times New Roman" w:hAnsi="Times New Roman" w:cs="Times New Roman"/>
          <w:sz w:val="24"/>
          <w:szCs w:val="24"/>
        </w:rPr>
        <w:t xml:space="preserve"> and</w:t>
      </w:r>
      <w:r w:rsidR="005F7347" w:rsidRPr="005F7347">
        <w:rPr>
          <w:rFonts w:ascii="Times New Roman" w:hAnsi="Times New Roman" w:cs="Times New Roman"/>
          <w:sz w:val="24"/>
          <w:szCs w:val="24"/>
        </w:rPr>
        <w:t xml:space="preserve"> Wagner </w:t>
      </w:r>
      <w:r w:rsidR="005F7347">
        <w:rPr>
          <w:rFonts w:ascii="Times New Roman" w:hAnsi="Times New Roman" w:cs="Times New Roman"/>
          <w:sz w:val="24"/>
          <w:szCs w:val="24"/>
        </w:rPr>
        <w:t>(</w:t>
      </w:r>
      <w:r w:rsidR="00FD6961">
        <w:rPr>
          <w:rFonts w:ascii="Times New Roman" w:hAnsi="Times New Roman" w:cs="Times New Roman"/>
          <w:sz w:val="24"/>
          <w:szCs w:val="24"/>
        </w:rPr>
        <w:t>2020)</w:t>
      </w:r>
      <w:r w:rsidR="00825442">
        <w:rPr>
          <w:rFonts w:ascii="Times New Roman" w:hAnsi="Times New Roman" w:cs="Times New Roman"/>
          <w:sz w:val="24"/>
          <w:szCs w:val="24"/>
        </w:rPr>
        <w:t>,</w:t>
      </w:r>
      <w:r w:rsidR="00FD6961">
        <w:rPr>
          <w:rFonts w:ascii="Times New Roman" w:hAnsi="Times New Roman" w:cs="Times New Roman"/>
          <w:sz w:val="24"/>
          <w:szCs w:val="24"/>
        </w:rPr>
        <w:t xml:space="preserve"> and </w:t>
      </w:r>
      <w:r w:rsidR="00E011F3" w:rsidRPr="00E011F3">
        <w:rPr>
          <w:rFonts w:ascii="Times New Roman" w:hAnsi="Times New Roman" w:cs="Times New Roman"/>
          <w:sz w:val="24"/>
          <w:szCs w:val="24"/>
        </w:rPr>
        <w:t>Goodell</w:t>
      </w:r>
      <w:r w:rsidR="00825442">
        <w:rPr>
          <w:rFonts w:ascii="Times New Roman" w:hAnsi="Times New Roman" w:cs="Times New Roman"/>
          <w:sz w:val="24"/>
          <w:szCs w:val="24"/>
        </w:rPr>
        <w:t xml:space="preserve"> and</w:t>
      </w:r>
      <w:r w:rsidR="00E011F3" w:rsidRPr="00E011F3">
        <w:rPr>
          <w:rFonts w:ascii="Times New Roman" w:hAnsi="Times New Roman" w:cs="Times New Roman"/>
          <w:sz w:val="24"/>
          <w:szCs w:val="24"/>
        </w:rPr>
        <w:t xml:space="preserve"> Huynh </w:t>
      </w:r>
      <w:r w:rsidR="00825442">
        <w:rPr>
          <w:rFonts w:ascii="Times New Roman" w:hAnsi="Times New Roman" w:cs="Times New Roman"/>
          <w:sz w:val="24"/>
          <w:szCs w:val="24"/>
        </w:rPr>
        <w:t>(2020) report that</w:t>
      </w:r>
      <w:r w:rsidR="00BD107B">
        <w:rPr>
          <w:rFonts w:ascii="Times New Roman" w:hAnsi="Times New Roman" w:cs="Times New Roman"/>
          <w:sz w:val="24"/>
          <w:szCs w:val="24"/>
        </w:rPr>
        <w:t xml:space="preserve"> the Coronavirus g</w:t>
      </w:r>
      <w:r w:rsidR="008E5A5E">
        <w:rPr>
          <w:rFonts w:ascii="Times New Roman" w:hAnsi="Times New Roman" w:cs="Times New Roman"/>
          <w:sz w:val="24"/>
          <w:szCs w:val="24"/>
        </w:rPr>
        <w:t>o</w:t>
      </w:r>
      <w:r w:rsidR="00BD107B">
        <w:rPr>
          <w:rFonts w:ascii="Times New Roman" w:hAnsi="Times New Roman" w:cs="Times New Roman"/>
          <w:sz w:val="24"/>
          <w:szCs w:val="24"/>
        </w:rPr>
        <w:t xml:space="preserve">t the attention of </w:t>
      </w:r>
      <w:r w:rsidR="00870FCA">
        <w:rPr>
          <w:rFonts w:ascii="Times New Roman" w:hAnsi="Times New Roman" w:cs="Times New Roman"/>
          <w:sz w:val="24"/>
          <w:szCs w:val="24"/>
        </w:rPr>
        <w:t xml:space="preserve">corporate managers and </w:t>
      </w:r>
      <w:r w:rsidR="00F0106D">
        <w:rPr>
          <w:rFonts w:ascii="Times New Roman" w:hAnsi="Times New Roman" w:cs="Times New Roman"/>
          <w:sz w:val="24"/>
          <w:szCs w:val="24"/>
        </w:rPr>
        <w:t xml:space="preserve">the </w:t>
      </w:r>
      <w:r w:rsidR="008E5A5E">
        <w:rPr>
          <w:rFonts w:ascii="Times New Roman" w:hAnsi="Times New Roman" w:cs="Times New Roman"/>
          <w:sz w:val="24"/>
          <w:szCs w:val="24"/>
        </w:rPr>
        <w:t>public</w:t>
      </w:r>
      <w:r w:rsidR="00870FCA">
        <w:rPr>
          <w:rFonts w:ascii="Times New Roman" w:hAnsi="Times New Roman" w:cs="Times New Roman"/>
          <w:sz w:val="24"/>
          <w:szCs w:val="24"/>
        </w:rPr>
        <w:t xml:space="preserve"> after </w:t>
      </w:r>
      <w:r w:rsidR="00FA601D">
        <w:rPr>
          <w:rFonts w:ascii="Times New Roman" w:hAnsi="Times New Roman" w:cs="Times New Roman"/>
          <w:sz w:val="24"/>
          <w:szCs w:val="24"/>
        </w:rPr>
        <w:t>2</w:t>
      </w:r>
      <w:r w:rsidR="008E5A5E">
        <w:rPr>
          <w:rFonts w:ascii="Times New Roman" w:hAnsi="Times New Roman" w:cs="Times New Roman"/>
          <w:sz w:val="24"/>
          <w:szCs w:val="24"/>
        </w:rPr>
        <w:t>1</w:t>
      </w:r>
      <w:r w:rsidR="00FA601D">
        <w:rPr>
          <w:rFonts w:ascii="Times New Roman" w:hAnsi="Times New Roman" w:cs="Times New Roman"/>
          <w:sz w:val="24"/>
          <w:szCs w:val="24"/>
        </w:rPr>
        <w:t xml:space="preserve"> January </w:t>
      </w:r>
      <w:r w:rsidR="002B6071">
        <w:rPr>
          <w:rFonts w:ascii="Times New Roman" w:hAnsi="Times New Roman" w:cs="Times New Roman"/>
          <w:sz w:val="24"/>
          <w:szCs w:val="24"/>
        </w:rPr>
        <w:t>2020</w:t>
      </w:r>
      <w:r>
        <w:rPr>
          <w:rFonts w:ascii="Times New Roman" w:hAnsi="Times New Roman" w:cs="Times New Roman"/>
          <w:sz w:val="24"/>
          <w:szCs w:val="24"/>
        </w:rPr>
        <w:t>, therefore we used this date instead of 31</w:t>
      </w:r>
      <w:r w:rsidRPr="00681744">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2019 as in some other studies</w:t>
      </w:r>
      <w:r w:rsidR="00681744">
        <w:rPr>
          <w:rFonts w:ascii="Times New Roman" w:hAnsi="Times New Roman" w:cs="Times New Roman"/>
          <w:sz w:val="24"/>
          <w:szCs w:val="24"/>
        </w:rPr>
        <w:t>.</w:t>
      </w:r>
      <w:r w:rsidR="00F85B18">
        <w:rPr>
          <w:rFonts w:ascii="Times New Roman" w:hAnsi="Times New Roman" w:cs="Times New Roman"/>
          <w:sz w:val="24"/>
          <w:szCs w:val="24"/>
        </w:rPr>
        <w:t xml:space="preserve"> </w:t>
      </w:r>
      <w:r w:rsidR="00F85B18" w:rsidRPr="00C24D4C">
        <w:rPr>
          <w:rFonts w:ascii="Times New Roman" w:hAnsi="Times New Roman" w:cs="Times New Roman"/>
          <w:color w:val="0070C0"/>
          <w:sz w:val="24"/>
          <w:szCs w:val="24"/>
        </w:rPr>
        <w:t xml:space="preserve">The </w:t>
      </w:r>
      <w:r w:rsidR="00C24D4C" w:rsidRPr="00C24D4C">
        <w:rPr>
          <w:rFonts w:ascii="Times New Roman" w:hAnsi="Times New Roman" w:cs="Times New Roman"/>
          <w:color w:val="0070C0"/>
          <w:sz w:val="24"/>
          <w:szCs w:val="24"/>
        </w:rPr>
        <w:t xml:space="preserve">daily </w:t>
      </w:r>
      <w:r w:rsidR="00F85B18" w:rsidRPr="00C24D4C">
        <w:rPr>
          <w:rFonts w:ascii="Times New Roman" w:hAnsi="Times New Roman" w:cs="Times New Roman"/>
          <w:color w:val="0070C0"/>
          <w:sz w:val="24"/>
          <w:szCs w:val="24"/>
        </w:rPr>
        <w:t>returns</w:t>
      </w:r>
      <w:r w:rsidR="00C24D4C" w:rsidRPr="00C24D4C">
        <w:rPr>
          <w:rFonts w:ascii="Times New Roman" w:hAnsi="Times New Roman" w:cs="Times New Roman"/>
          <w:color w:val="0070C0"/>
          <w:sz w:val="24"/>
          <w:szCs w:val="24"/>
        </w:rPr>
        <w:t xml:space="preserve"> </w:t>
      </w:r>
      <m:oMath>
        <m:r>
          <w:rPr>
            <w:rFonts w:ascii="Cambria Math" w:hAnsi="Cambria Math" w:cs="Times New Roman"/>
            <w:color w:val="0070C0"/>
            <w:sz w:val="24"/>
            <w:szCs w:val="24"/>
          </w:rPr>
          <m:t>(</m:t>
        </m:r>
        <m:sSub>
          <m:sSubPr>
            <m:ctrlPr>
              <w:rPr>
                <w:rFonts w:ascii="Cambria Math" w:hAnsi="Cambria Math" w:cs="Times New Roman"/>
                <w:i/>
                <w:color w:val="0070C0"/>
                <w:sz w:val="24"/>
                <w:szCs w:val="24"/>
              </w:rPr>
            </m:ctrlPr>
          </m:sSubPr>
          <m:e>
            <m:r>
              <w:rPr>
                <w:rFonts w:ascii="Cambria Math" w:hAnsi="Cambria Math" w:cs="Times New Roman"/>
                <w:color w:val="0070C0"/>
                <w:sz w:val="24"/>
                <w:szCs w:val="24"/>
              </w:rPr>
              <m:t>R</m:t>
            </m:r>
          </m:e>
          <m:sub>
            <m:r>
              <w:rPr>
                <w:rFonts w:ascii="Cambria Math" w:hAnsi="Cambria Math" w:cs="Times New Roman"/>
                <w:color w:val="0070C0"/>
                <w:sz w:val="24"/>
                <w:szCs w:val="24"/>
              </w:rPr>
              <m:t>t</m:t>
            </m:r>
          </m:sub>
        </m:sSub>
        <m:r>
          <w:rPr>
            <w:rFonts w:ascii="Cambria Math" w:hAnsi="Cambria Math" w:cs="Times New Roman"/>
            <w:color w:val="0070C0"/>
            <w:sz w:val="24"/>
            <w:szCs w:val="24"/>
          </w:rPr>
          <m:t>)</m:t>
        </m:r>
      </m:oMath>
      <w:r w:rsidR="00F85B18" w:rsidRPr="00C24D4C">
        <w:rPr>
          <w:rFonts w:ascii="Times New Roman" w:hAnsi="Times New Roman" w:cs="Times New Roman"/>
          <w:color w:val="0070C0"/>
          <w:sz w:val="24"/>
          <w:szCs w:val="24"/>
        </w:rPr>
        <w:t xml:space="preserve"> are calculated as: </w:t>
      </w:r>
      <w:bookmarkStart w:id="11" w:name="_Hlk80977065"/>
      <m:oMath>
        <m:sSub>
          <m:sSubPr>
            <m:ctrlPr>
              <w:rPr>
                <w:rFonts w:ascii="Cambria Math" w:hAnsi="Cambria Math" w:cs="Times New Roman"/>
                <w:i/>
                <w:color w:val="0070C0"/>
                <w:sz w:val="24"/>
                <w:szCs w:val="24"/>
              </w:rPr>
            </m:ctrlPr>
          </m:sSubPr>
          <m:e>
            <m:r>
              <w:rPr>
                <w:rFonts w:ascii="Cambria Math" w:hAnsi="Cambria Math" w:cs="Times New Roman"/>
                <w:color w:val="0070C0"/>
                <w:sz w:val="24"/>
                <w:szCs w:val="24"/>
              </w:rPr>
              <m:t>R</m:t>
            </m:r>
          </m:e>
          <m:sub>
            <m:r>
              <w:rPr>
                <w:rFonts w:ascii="Cambria Math" w:hAnsi="Cambria Math" w:cs="Times New Roman"/>
                <w:color w:val="0070C0"/>
                <w:sz w:val="24"/>
                <w:szCs w:val="24"/>
              </w:rPr>
              <m:t>t</m:t>
            </m:r>
          </m:sub>
        </m:sSub>
        <w:bookmarkEnd w:id="11"/>
        <m:r>
          <w:rPr>
            <w:rFonts w:ascii="Cambria Math" w:hAnsi="Cambria Math" w:cs="Times New Roman"/>
            <w:color w:val="0070C0"/>
            <w:sz w:val="24"/>
            <w:szCs w:val="24"/>
          </w:rPr>
          <m:t>=</m:t>
        </m:r>
        <m:func>
          <m:funcPr>
            <m:ctrlPr>
              <w:rPr>
                <w:rFonts w:ascii="Cambria Math" w:hAnsi="Cambria Math" w:cs="Times New Roman"/>
                <w:i/>
                <w:color w:val="0070C0"/>
                <w:sz w:val="24"/>
                <w:szCs w:val="24"/>
              </w:rPr>
            </m:ctrlPr>
          </m:funcPr>
          <m:fName>
            <m:r>
              <m:rPr>
                <m:sty m:val="p"/>
              </m:rPr>
              <w:rPr>
                <w:rFonts w:ascii="Cambria Math" w:hAnsi="Cambria Math" w:cs="Times New Roman"/>
                <w:color w:val="0070C0"/>
                <w:sz w:val="24"/>
                <w:szCs w:val="24"/>
              </w:rPr>
              <m:t xml:space="preserve">ln </m:t>
            </m:r>
            <m:d>
              <m:dPr>
                <m:ctrlPr>
                  <w:rPr>
                    <w:rFonts w:ascii="Cambria Math" w:hAnsi="Cambria Math" w:cs="Times New Roman"/>
                    <w:color w:val="0070C0"/>
                    <w:sz w:val="24"/>
                    <w:szCs w:val="24"/>
                  </w:rPr>
                </m:ctrlPr>
              </m:dPr>
              <m:e>
                <m:sSub>
                  <m:sSubPr>
                    <m:ctrlPr>
                      <w:rPr>
                        <w:rFonts w:ascii="Cambria Math" w:hAnsi="Cambria Math" w:cs="Times New Roman"/>
                        <w:i/>
                        <w:color w:val="0070C0"/>
                        <w:sz w:val="24"/>
                        <w:szCs w:val="24"/>
                      </w:rPr>
                    </m:ctrlPr>
                  </m:sSubPr>
                  <m:e>
                    <m:r>
                      <w:rPr>
                        <w:rFonts w:ascii="Cambria Math" w:hAnsi="Cambria Math" w:cs="Times New Roman"/>
                        <w:color w:val="0070C0"/>
                        <w:sz w:val="24"/>
                        <w:szCs w:val="24"/>
                      </w:rPr>
                      <m:t>P</m:t>
                    </m:r>
                  </m:e>
                  <m:sub>
                    <m:r>
                      <w:rPr>
                        <w:rFonts w:ascii="Cambria Math" w:hAnsi="Cambria Math" w:cs="Times New Roman"/>
                        <w:color w:val="0070C0"/>
                        <w:sz w:val="24"/>
                        <w:szCs w:val="24"/>
                      </w:rPr>
                      <m:t>t</m:t>
                    </m:r>
                  </m:sub>
                </m:sSub>
                <m:ctrlPr>
                  <w:rPr>
                    <w:rFonts w:ascii="Cambria Math" w:hAnsi="Cambria Math" w:cs="Times New Roman"/>
                    <w:i/>
                    <w:color w:val="0070C0"/>
                    <w:sz w:val="24"/>
                    <w:szCs w:val="24"/>
                  </w:rPr>
                </m:ctrlPr>
              </m:e>
            </m:d>
            <m:r>
              <w:rPr>
                <w:rFonts w:ascii="Cambria Math" w:hAnsi="Cambria Math" w:cs="Times New Roman"/>
                <w:color w:val="0070C0"/>
                <w:sz w:val="24"/>
                <w:szCs w:val="24"/>
              </w:rPr>
              <m:t>-</m:t>
            </m:r>
            <m:r>
              <m:rPr>
                <m:sty m:val="p"/>
              </m:rPr>
              <w:rPr>
                <w:rFonts w:ascii="Cambria Math" w:hAnsi="Cambria Math" w:cs="Times New Roman"/>
                <w:color w:val="0070C0"/>
                <w:sz w:val="24"/>
                <w:szCs w:val="24"/>
              </w:rPr>
              <m:t xml:space="preserve">ln </m:t>
            </m:r>
            <m:d>
              <m:dPr>
                <m:ctrlPr>
                  <w:rPr>
                    <w:rFonts w:ascii="Cambria Math" w:hAnsi="Cambria Math" w:cs="Times New Roman"/>
                    <w:color w:val="0070C0"/>
                    <w:sz w:val="24"/>
                    <w:szCs w:val="24"/>
                  </w:rPr>
                </m:ctrlPr>
              </m:dPr>
              <m:e>
                <m:sSub>
                  <m:sSubPr>
                    <m:ctrlPr>
                      <w:rPr>
                        <w:rFonts w:ascii="Cambria Math" w:hAnsi="Cambria Math" w:cs="Times New Roman"/>
                        <w:i/>
                        <w:color w:val="0070C0"/>
                        <w:sz w:val="24"/>
                        <w:szCs w:val="24"/>
                      </w:rPr>
                    </m:ctrlPr>
                  </m:sSubPr>
                  <m:e>
                    <m:r>
                      <w:rPr>
                        <w:rFonts w:ascii="Cambria Math" w:hAnsi="Cambria Math" w:cs="Times New Roman"/>
                        <w:color w:val="0070C0"/>
                        <w:sz w:val="24"/>
                        <w:szCs w:val="24"/>
                      </w:rPr>
                      <m:t>P</m:t>
                    </m:r>
                  </m:e>
                  <m:sub>
                    <m:r>
                      <w:rPr>
                        <w:rFonts w:ascii="Cambria Math" w:hAnsi="Cambria Math" w:cs="Times New Roman"/>
                        <w:color w:val="0070C0"/>
                        <w:sz w:val="24"/>
                        <w:szCs w:val="24"/>
                      </w:rPr>
                      <m:t>t-1</m:t>
                    </m:r>
                  </m:sub>
                </m:sSub>
                <m:ctrlPr>
                  <w:rPr>
                    <w:rFonts w:ascii="Cambria Math" w:hAnsi="Cambria Math" w:cs="Times New Roman"/>
                    <w:i/>
                    <w:color w:val="0070C0"/>
                    <w:sz w:val="24"/>
                    <w:szCs w:val="24"/>
                  </w:rPr>
                </m:ctrlPr>
              </m:e>
            </m:d>
          </m:fName>
          <m:e>
            <m:r>
              <w:rPr>
                <w:rFonts w:ascii="Cambria Math" w:hAnsi="Cambria Math" w:cs="Times New Roman"/>
                <w:color w:val="0070C0"/>
                <w:sz w:val="24"/>
                <w:szCs w:val="24"/>
              </w:rPr>
              <m:t xml:space="preserve"> </m:t>
            </m:r>
          </m:e>
        </m:func>
      </m:oMath>
      <w:r w:rsidR="00C24D4C" w:rsidRPr="00C24D4C">
        <w:rPr>
          <w:rFonts w:ascii="Times New Roman" w:eastAsiaTheme="minorEastAsia" w:hAnsi="Times New Roman" w:cs="Times New Roman"/>
          <w:color w:val="0070C0"/>
          <w:sz w:val="24"/>
          <w:szCs w:val="24"/>
        </w:rPr>
        <w:t xml:space="preserve">, where  </w:t>
      </w:r>
      <m:oMath>
        <m:r>
          <m:rPr>
            <m:sty m:val="p"/>
          </m:rPr>
          <w:rPr>
            <w:rFonts w:ascii="Cambria Math" w:hAnsi="Cambria Math" w:cs="Times New Roman"/>
            <w:color w:val="0070C0"/>
            <w:sz w:val="24"/>
            <w:szCs w:val="24"/>
          </w:rPr>
          <m:t xml:space="preserve">ln </m:t>
        </m:r>
        <m:d>
          <m:dPr>
            <m:ctrlPr>
              <w:rPr>
                <w:rFonts w:ascii="Cambria Math" w:hAnsi="Cambria Math" w:cs="Times New Roman"/>
                <w:color w:val="0070C0"/>
                <w:sz w:val="24"/>
                <w:szCs w:val="24"/>
              </w:rPr>
            </m:ctrlPr>
          </m:dPr>
          <m:e>
            <m:sSub>
              <m:sSubPr>
                <m:ctrlPr>
                  <w:rPr>
                    <w:rFonts w:ascii="Cambria Math" w:hAnsi="Cambria Math" w:cs="Times New Roman"/>
                    <w:i/>
                    <w:color w:val="0070C0"/>
                    <w:sz w:val="24"/>
                    <w:szCs w:val="24"/>
                  </w:rPr>
                </m:ctrlPr>
              </m:sSubPr>
              <m:e>
                <m:r>
                  <w:rPr>
                    <w:rFonts w:ascii="Cambria Math" w:hAnsi="Cambria Math" w:cs="Times New Roman"/>
                    <w:color w:val="0070C0"/>
                    <w:sz w:val="24"/>
                    <w:szCs w:val="24"/>
                  </w:rPr>
                  <m:t>P</m:t>
                </m:r>
              </m:e>
              <m:sub>
                <m:r>
                  <w:rPr>
                    <w:rFonts w:ascii="Cambria Math" w:hAnsi="Cambria Math" w:cs="Times New Roman"/>
                    <w:color w:val="0070C0"/>
                    <w:sz w:val="24"/>
                    <w:szCs w:val="24"/>
                  </w:rPr>
                  <m:t>t</m:t>
                </m:r>
              </m:sub>
            </m:sSub>
            <m:ctrlPr>
              <w:rPr>
                <w:rFonts w:ascii="Cambria Math" w:hAnsi="Cambria Math" w:cs="Times New Roman"/>
                <w:i/>
                <w:color w:val="0070C0"/>
                <w:sz w:val="24"/>
                <w:szCs w:val="24"/>
              </w:rPr>
            </m:ctrlPr>
          </m:e>
        </m:d>
      </m:oMath>
      <w:r w:rsidR="00C24D4C" w:rsidRPr="00C24D4C">
        <w:rPr>
          <w:rFonts w:ascii="Times New Roman" w:eastAsiaTheme="minorEastAsia" w:hAnsi="Times New Roman" w:cs="Times New Roman"/>
          <w:color w:val="0070C0"/>
          <w:sz w:val="24"/>
          <w:szCs w:val="24"/>
        </w:rPr>
        <w:t xml:space="preserve"> and </w:t>
      </w:r>
      <m:oMath>
        <m:r>
          <m:rPr>
            <m:sty m:val="p"/>
          </m:rPr>
          <w:rPr>
            <w:rFonts w:ascii="Cambria Math" w:hAnsi="Cambria Math" w:cs="Times New Roman"/>
            <w:color w:val="0070C0"/>
            <w:sz w:val="24"/>
            <w:szCs w:val="24"/>
          </w:rPr>
          <m:t xml:space="preserve">ln </m:t>
        </m:r>
        <m:d>
          <m:dPr>
            <m:ctrlPr>
              <w:rPr>
                <w:rFonts w:ascii="Cambria Math" w:hAnsi="Cambria Math" w:cs="Times New Roman"/>
                <w:color w:val="0070C0"/>
                <w:sz w:val="24"/>
                <w:szCs w:val="24"/>
              </w:rPr>
            </m:ctrlPr>
          </m:dPr>
          <m:e>
            <m:sSub>
              <m:sSubPr>
                <m:ctrlPr>
                  <w:rPr>
                    <w:rFonts w:ascii="Cambria Math" w:hAnsi="Cambria Math" w:cs="Times New Roman"/>
                    <w:i/>
                    <w:color w:val="0070C0"/>
                    <w:sz w:val="24"/>
                    <w:szCs w:val="24"/>
                  </w:rPr>
                </m:ctrlPr>
              </m:sSubPr>
              <m:e>
                <m:r>
                  <w:rPr>
                    <w:rFonts w:ascii="Cambria Math" w:hAnsi="Cambria Math" w:cs="Times New Roman"/>
                    <w:color w:val="0070C0"/>
                    <w:sz w:val="24"/>
                    <w:szCs w:val="24"/>
                  </w:rPr>
                  <m:t>P</m:t>
                </m:r>
              </m:e>
              <m:sub>
                <m:r>
                  <w:rPr>
                    <w:rFonts w:ascii="Cambria Math" w:hAnsi="Cambria Math" w:cs="Times New Roman"/>
                    <w:color w:val="0070C0"/>
                    <w:sz w:val="24"/>
                    <w:szCs w:val="24"/>
                  </w:rPr>
                  <m:t>t-1</m:t>
                </m:r>
              </m:sub>
            </m:sSub>
            <m:ctrlPr>
              <w:rPr>
                <w:rFonts w:ascii="Cambria Math" w:hAnsi="Cambria Math" w:cs="Times New Roman"/>
                <w:i/>
                <w:color w:val="0070C0"/>
                <w:sz w:val="24"/>
                <w:szCs w:val="24"/>
              </w:rPr>
            </m:ctrlPr>
          </m:e>
        </m:d>
      </m:oMath>
      <w:r w:rsidR="00C24D4C" w:rsidRPr="00C24D4C">
        <w:rPr>
          <w:rFonts w:ascii="Times New Roman" w:eastAsiaTheme="minorEastAsia" w:hAnsi="Times New Roman" w:cs="Times New Roman"/>
          <w:color w:val="0070C0"/>
          <w:sz w:val="24"/>
          <w:szCs w:val="24"/>
        </w:rPr>
        <w:t xml:space="preserve"> denote the natural logarithm of closing price at day </w:t>
      </w:r>
      <w:r w:rsidR="00C24D4C" w:rsidRPr="00C24D4C">
        <w:rPr>
          <w:rFonts w:ascii="Times New Roman" w:eastAsiaTheme="minorEastAsia" w:hAnsi="Times New Roman" w:cs="Times New Roman"/>
          <w:i/>
          <w:iCs/>
          <w:color w:val="0070C0"/>
          <w:sz w:val="24"/>
          <w:szCs w:val="24"/>
        </w:rPr>
        <w:t>t</w:t>
      </w:r>
      <w:r w:rsidR="00C24D4C" w:rsidRPr="00C24D4C">
        <w:rPr>
          <w:rFonts w:ascii="Times New Roman" w:eastAsiaTheme="minorEastAsia" w:hAnsi="Times New Roman" w:cs="Times New Roman"/>
          <w:color w:val="0070C0"/>
          <w:sz w:val="24"/>
          <w:szCs w:val="24"/>
        </w:rPr>
        <w:t xml:space="preserve"> and day </w:t>
      </w:r>
      <w:r w:rsidR="00C24D4C" w:rsidRPr="00C24D4C">
        <w:rPr>
          <w:rFonts w:ascii="Times New Roman" w:eastAsiaTheme="minorEastAsia" w:hAnsi="Times New Roman" w:cs="Times New Roman"/>
          <w:i/>
          <w:iCs/>
          <w:color w:val="0070C0"/>
          <w:sz w:val="24"/>
          <w:szCs w:val="24"/>
        </w:rPr>
        <w:t>t-</w:t>
      </w:r>
      <w:r w:rsidR="00C24D4C" w:rsidRPr="00C24D4C">
        <w:rPr>
          <w:rFonts w:ascii="Times New Roman" w:eastAsiaTheme="minorEastAsia" w:hAnsi="Times New Roman" w:cs="Times New Roman"/>
          <w:color w:val="0070C0"/>
          <w:sz w:val="24"/>
          <w:szCs w:val="24"/>
        </w:rPr>
        <w:t xml:space="preserve">1, respectively. </w:t>
      </w:r>
    </w:p>
    <w:p w14:paraId="23862D94" w14:textId="21F42B72" w:rsidR="00A337ED" w:rsidRDefault="00C1340B" w:rsidP="00A337ED">
      <w:pPr>
        <w:spacing w:line="360" w:lineRule="auto"/>
        <w:jc w:val="both"/>
        <w:rPr>
          <w:rFonts w:ascii="Times New Roman" w:hAnsi="Times New Roman" w:cs="Times New Roman"/>
          <w:sz w:val="24"/>
          <w:szCs w:val="24"/>
        </w:rPr>
      </w:pPr>
      <w:r>
        <w:rPr>
          <w:rFonts w:ascii="Times New Roman" w:hAnsi="Times New Roman" w:cs="Times New Roman"/>
          <w:sz w:val="24"/>
          <w:szCs w:val="24"/>
        </w:rPr>
        <w:t>Table 1 provides the summary statistics of</w:t>
      </w:r>
      <w:r w:rsidR="006803C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8273F3">
        <w:rPr>
          <w:rFonts w:ascii="Times New Roman" w:hAnsi="Times New Roman" w:cs="Times New Roman"/>
          <w:sz w:val="24"/>
          <w:szCs w:val="24"/>
        </w:rPr>
        <w:t xml:space="preserve">Islamic </w:t>
      </w:r>
      <w:r>
        <w:rPr>
          <w:rFonts w:ascii="Times New Roman" w:hAnsi="Times New Roman" w:cs="Times New Roman"/>
          <w:sz w:val="24"/>
          <w:szCs w:val="24"/>
        </w:rPr>
        <w:t>Shariah</w:t>
      </w:r>
      <w:r w:rsidR="00F0106D">
        <w:rPr>
          <w:rFonts w:ascii="Times New Roman" w:hAnsi="Times New Roman" w:cs="Times New Roman"/>
          <w:sz w:val="24"/>
          <w:szCs w:val="24"/>
        </w:rPr>
        <w:t>-</w:t>
      </w:r>
      <w:r w:rsidR="00BE01D8">
        <w:rPr>
          <w:rFonts w:ascii="Times New Roman" w:hAnsi="Times New Roman" w:cs="Times New Roman"/>
          <w:sz w:val="24"/>
          <w:szCs w:val="24"/>
        </w:rPr>
        <w:t>compliant</w:t>
      </w:r>
      <w:r w:rsidR="00393411">
        <w:rPr>
          <w:rFonts w:ascii="Times New Roman" w:hAnsi="Times New Roman" w:cs="Times New Roman"/>
          <w:sz w:val="24"/>
          <w:szCs w:val="24"/>
        </w:rPr>
        <w:t xml:space="preserve"> cryptocurrencies and </w:t>
      </w:r>
      <w:r w:rsidR="006803C8">
        <w:rPr>
          <w:rFonts w:ascii="Times New Roman" w:hAnsi="Times New Roman" w:cs="Times New Roman"/>
          <w:sz w:val="24"/>
          <w:szCs w:val="24"/>
        </w:rPr>
        <w:t xml:space="preserve">the </w:t>
      </w:r>
      <w:r w:rsidR="004F6C1D">
        <w:rPr>
          <w:rFonts w:ascii="Times New Roman" w:hAnsi="Times New Roman" w:cs="Times New Roman"/>
          <w:sz w:val="24"/>
          <w:szCs w:val="24"/>
        </w:rPr>
        <w:t xml:space="preserve">global </w:t>
      </w:r>
      <w:r w:rsidR="00393411">
        <w:rPr>
          <w:rFonts w:ascii="Times New Roman" w:hAnsi="Times New Roman" w:cs="Times New Roman"/>
          <w:sz w:val="24"/>
          <w:szCs w:val="24"/>
        </w:rPr>
        <w:t xml:space="preserve">sectorial equity </w:t>
      </w:r>
      <w:r w:rsidR="00767CBB">
        <w:rPr>
          <w:rFonts w:ascii="Times New Roman" w:hAnsi="Times New Roman" w:cs="Times New Roman"/>
          <w:sz w:val="24"/>
          <w:szCs w:val="24"/>
        </w:rPr>
        <w:t xml:space="preserve">returns </w:t>
      </w:r>
      <w:r w:rsidR="00C462C1">
        <w:rPr>
          <w:rFonts w:ascii="Times New Roman" w:hAnsi="Times New Roman" w:cs="Times New Roman"/>
          <w:sz w:val="24"/>
          <w:szCs w:val="24"/>
        </w:rPr>
        <w:t>during</w:t>
      </w:r>
      <w:r w:rsidR="006803C8">
        <w:rPr>
          <w:rFonts w:ascii="Times New Roman" w:hAnsi="Times New Roman" w:cs="Times New Roman"/>
          <w:sz w:val="24"/>
          <w:szCs w:val="24"/>
        </w:rPr>
        <w:t xml:space="preserve"> the</w:t>
      </w:r>
      <w:r w:rsidR="00C462C1">
        <w:rPr>
          <w:rFonts w:ascii="Times New Roman" w:hAnsi="Times New Roman" w:cs="Times New Roman"/>
          <w:sz w:val="24"/>
          <w:szCs w:val="24"/>
        </w:rPr>
        <w:t xml:space="preserve"> pre-COVID</w:t>
      </w:r>
      <w:r w:rsidR="006803C8">
        <w:rPr>
          <w:rFonts w:ascii="Times New Roman" w:hAnsi="Times New Roman" w:cs="Times New Roman"/>
          <w:sz w:val="24"/>
          <w:szCs w:val="24"/>
        </w:rPr>
        <w:t xml:space="preserve"> </w:t>
      </w:r>
      <w:r w:rsidR="00C462C1">
        <w:rPr>
          <w:rFonts w:ascii="Times New Roman" w:hAnsi="Times New Roman" w:cs="Times New Roman"/>
          <w:sz w:val="24"/>
          <w:szCs w:val="24"/>
        </w:rPr>
        <w:t xml:space="preserve">and </w:t>
      </w:r>
      <w:r w:rsidR="006803C8">
        <w:rPr>
          <w:rFonts w:ascii="Times New Roman" w:hAnsi="Times New Roman" w:cs="Times New Roman"/>
          <w:sz w:val="24"/>
          <w:szCs w:val="24"/>
        </w:rPr>
        <w:t xml:space="preserve">during </w:t>
      </w:r>
      <w:r w:rsidR="00C462C1">
        <w:rPr>
          <w:rFonts w:ascii="Times New Roman" w:hAnsi="Times New Roman" w:cs="Times New Roman"/>
          <w:sz w:val="24"/>
          <w:szCs w:val="24"/>
        </w:rPr>
        <w:t>the COVID-19 periods.</w:t>
      </w:r>
      <w:r w:rsidR="00CF4A3C">
        <w:rPr>
          <w:rFonts w:ascii="Times New Roman" w:hAnsi="Times New Roman" w:cs="Times New Roman"/>
          <w:sz w:val="24"/>
          <w:szCs w:val="24"/>
        </w:rPr>
        <w:t xml:space="preserve"> </w:t>
      </w:r>
      <w:r w:rsidR="00A176D2">
        <w:rPr>
          <w:rFonts w:ascii="Times New Roman" w:hAnsi="Times New Roman" w:cs="Times New Roman"/>
          <w:sz w:val="24"/>
          <w:szCs w:val="24"/>
        </w:rPr>
        <w:t>T</w:t>
      </w:r>
      <w:r w:rsidR="006B08E4">
        <w:rPr>
          <w:rFonts w:ascii="Times New Roman" w:hAnsi="Times New Roman" w:cs="Times New Roman"/>
          <w:sz w:val="24"/>
          <w:szCs w:val="24"/>
        </w:rPr>
        <w:t xml:space="preserve">he </w:t>
      </w:r>
      <w:r w:rsidR="006B08E4">
        <w:rPr>
          <w:rFonts w:ascii="Times New Roman" w:hAnsi="Times New Roman" w:cs="Times New Roman"/>
          <w:sz w:val="24"/>
          <w:szCs w:val="24"/>
        </w:rPr>
        <w:lastRenderedPageBreak/>
        <w:t>summary statistics reveal</w:t>
      </w:r>
      <w:r w:rsidR="006803C8">
        <w:rPr>
          <w:rFonts w:ascii="Times New Roman" w:hAnsi="Times New Roman" w:cs="Times New Roman"/>
          <w:sz w:val="24"/>
          <w:szCs w:val="24"/>
        </w:rPr>
        <w:t>s</w:t>
      </w:r>
      <w:r w:rsidR="006B08E4">
        <w:rPr>
          <w:rFonts w:ascii="Times New Roman" w:hAnsi="Times New Roman" w:cs="Times New Roman"/>
          <w:sz w:val="24"/>
          <w:szCs w:val="24"/>
        </w:rPr>
        <w:t xml:space="preserve"> that </w:t>
      </w:r>
      <w:r w:rsidR="00AC5540">
        <w:rPr>
          <w:rFonts w:ascii="Times New Roman" w:hAnsi="Times New Roman" w:cs="Times New Roman"/>
          <w:sz w:val="24"/>
          <w:szCs w:val="24"/>
        </w:rPr>
        <w:t xml:space="preserve">the average daily returns are highest in the </w:t>
      </w:r>
      <w:r w:rsidR="003706F7">
        <w:rPr>
          <w:rFonts w:ascii="Times New Roman" w:hAnsi="Times New Roman" w:cs="Times New Roman"/>
          <w:sz w:val="24"/>
          <w:szCs w:val="24"/>
        </w:rPr>
        <w:t>f</w:t>
      </w:r>
      <w:r w:rsidR="007858D4">
        <w:rPr>
          <w:rFonts w:ascii="Times New Roman" w:hAnsi="Times New Roman" w:cs="Times New Roman"/>
          <w:sz w:val="24"/>
          <w:szCs w:val="24"/>
        </w:rPr>
        <w:t>inancial</w:t>
      </w:r>
      <w:r w:rsidR="00C9330A">
        <w:rPr>
          <w:rFonts w:ascii="Times New Roman" w:hAnsi="Times New Roman" w:cs="Times New Roman"/>
          <w:sz w:val="24"/>
          <w:szCs w:val="24"/>
        </w:rPr>
        <w:t>s</w:t>
      </w:r>
      <w:r w:rsidR="005633E4">
        <w:rPr>
          <w:rFonts w:ascii="Times New Roman" w:hAnsi="Times New Roman" w:cs="Times New Roman"/>
          <w:sz w:val="24"/>
          <w:szCs w:val="24"/>
        </w:rPr>
        <w:t xml:space="preserve"> e</w:t>
      </w:r>
      <w:r w:rsidR="00AC5540">
        <w:rPr>
          <w:rFonts w:ascii="Times New Roman" w:hAnsi="Times New Roman" w:cs="Times New Roman"/>
          <w:sz w:val="24"/>
          <w:szCs w:val="24"/>
        </w:rPr>
        <w:t xml:space="preserve">quity </w:t>
      </w:r>
      <w:r w:rsidR="003706F7">
        <w:rPr>
          <w:rFonts w:ascii="Times New Roman" w:hAnsi="Times New Roman" w:cs="Times New Roman"/>
          <w:sz w:val="24"/>
          <w:szCs w:val="24"/>
        </w:rPr>
        <w:t>sector</w:t>
      </w:r>
      <w:r w:rsidR="00AC5540">
        <w:rPr>
          <w:rFonts w:ascii="Times New Roman" w:hAnsi="Times New Roman" w:cs="Times New Roman"/>
          <w:sz w:val="24"/>
          <w:szCs w:val="24"/>
        </w:rPr>
        <w:t>, w</w:t>
      </w:r>
      <w:r w:rsidR="005152BB">
        <w:rPr>
          <w:rFonts w:ascii="Times New Roman" w:hAnsi="Times New Roman" w:cs="Times New Roman"/>
          <w:sz w:val="24"/>
          <w:szCs w:val="24"/>
        </w:rPr>
        <w:t xml:space="preserve">hereas lowest in the </w:t>
      </w:r>
      <w:r w:rsidR="00C93383">
        <w:rPr>
          <w:rFonts w:ascii="Times New Roman" w:hAnsi="Times New Roman" w:cs="Times New Roman"/>
          <w:sz w:val="24"/>
          <w:szCs w:val="24"/>
        </w:rPr>
        <w:t xml:space="preserve">energy </w:t>
      </w:r>
      <w:r w:rsidR="00851034">
        <w:rPr>
          <w:rFonts w:ascii="Times New Roman" w:hAnsi="Times New Roman" w:cs="Times New Roman"/>
          <w:sz w:val="24"/>
          <w:szCs w:val="24"/>
        </w:rPr>
        <w:t>sector</w:t>
      </w:r>
      <w:r w:rsidR="002A699C">
        <w:rPr>
          <w:rFonts w:ascii="Times New Roman" w:hAnsi="Times New Roman" w:cs="Times New Roman"/>
          <w:sz w:val="24"/>
          <w:szCs w:val="24"/>
        </w:rPr>
        <w:t xml:space="preserve"> </w:t>
      </w:r>
      <w:r w:rsidR="0099057B">
        <w:rPr>
          <w:rFonts w:ascii="Times New Roman" w:hAnsi="Times New Roman" w:cs="Times New Roman"/>
          <w:sz w:val="24"/>
          <w:szCs w:val="24"/>
        </w:rPr>
        <w:t xml:space="preserve">during </w:t>
      </w:r>
      <w:r w:rsidR="002A699C">
        <w:rPr>
          <w:rFonts w:ascii="Times New Roman" w:hAnsi="Times New Roman" w:cs="Times New Roman"/>
          <w:sz w:val="24"/>
          <w:szCs w:val="24"/>
        </w:rPr>
        <w:t xml:space="preserve">the </w:t>
      </w:r>
      <w:r w:rsidR="0099057B">
        <w:rPr>
          <w:rFonts w:ascii="Times New Roman" w:hAnsi="Times New Roman" w:cs="Times New Roman"/>
          <w:sz w:val="24"/>
          <w:szCs w:val="24"/>
        </w:rPr>
        <w:t>pre-COVID period</w:t>
      </w:r>
      <w:r w:rsidR="002B6D9E">
        <w:rPr>
          <w:rFonts w:ascii="Times New Roman" w:hAnsi="Times New Roman" w:cs="Times New Roman"/>
          <w:sz w:val="24"/>
          <w:szCs w:val="24"/>
        </w:rPr>
        <w:t xml:space="preserve">. </w:t>
      </w:r>
      <w:r w:rsidR="009066D8">
        <w:rPr>
          <w:rFonts w:ascii="Times New Roman" w:hAnsi="Times New Roman" w:cs="Times New Roman"/>
          <w:sz w:val="24"/>
          <w:szCs w:val="24"/>
        </w:rPr>
        <w:t xml:space="preserve">The unconditional volatility is </w:t>
      </w:r>
      <w:r w:rsidR="006803C8">
        <w:rPr>
          <w:rFonts w:ascii="Times New Roman" w:hAnsi="Times New Roman" w:cs="Times New Roman"/>
          <w:sz w:val="24"/>
          <w:szCs w:val="24"/>
        </w:rPr>
        <w:t xml:space="preserve">the </w:t>
      </w:r>
      <w:r w:rsidR="00931489">
        <w:rPr>
          <w:rFonts w:ascii="Times New Roman" w:hAnsi="Times New Roman" w:cs="Times New Roman"/>
          <w:sz w:val="24"/>
          <w:szCs w:val="24"/>
        </w:rPr>
        <w:t>highest i</w:t>
      </w:r>
      <w:r w:rsidR="009066D8">
        <w:rPr>
          <w:rFonts w:ascii="Times New Roman" w:hAnsi="Times New Roman" w:cs="Times New Roman"/>
          <w:sz w:val="24"/>
          <w:szCs w:val="24"/>
        </w:rPr>
        <w:t>n Sharia</w:t>
      </w:r>
      <w:r w:rsidR="00F0106D">
        <w:rPr>
          <w:rFonts w:ascii="Times New Roman" w:hAnsi="Times New Roman" w:cs="Times New Roman"/>
          <w:sz w:val="24"/>
          <w:szCs w:val="24"/>
        </w:rPr>
        <w:t>-</w:t>
      </w:r>
      <w:r w:rsidR="00931489">
        <w:rPr>
          <w:rFonts w:ascii="Times New Roman" w:hAnsi="Times New Roman" w:cs="Times New Roman"/>
          <w:sz w:val="24"/>
          <w:szCs w:val="24"/>
        </w:rPr>
        <w:t>compliant cryptocurrencies, whereas</w:t>
      </w:r>
      <w:r w:rsidR="006803C8">
        <w:rPr>
          <w:rFonts w:ascii="Times New Roman" w:hAnsi="Times New Roman" w:cs="Times New Roman"/>
          <w:sz w:val="24"/>
          <w:szCs w:val="24"/>
        </w:rPr>
        <w:t xml:space="preserve"> the</w:t>
      </w:r>
      <w:r w:rsidR="00931489">
        <w:rPr>
          <w:rFonts w:ascii="Times New Roman" w:hAnsi="Times New Roman" w:cs="Times New Roman"/>
          <w:sz w:val="24"/>
          <w:szCs w:val="24"/>
        </w:rPr>
        <w:t xml:space="preserve"> lowest in the </w:t>
      </w:r>
      <w:r w:rsidR="005A1DD3">
        <w:rPr>
          <w:rFonts w:ascii="Times New Roman" w:hAnsi="Times New Roman" w:cs="Times New Roman"/>
          <w:sz w:val="24"/>
          <w:szCs w:val="24"/>
        </w:rPr>
        <w:t xml:space="preserve">consumer staples sector during </w:t>
      </w:r>
      <w:r w:rsidR="00F0106D">
        <w:rPr>
          <w:rFonts w:ascii="Times New Roman" w:hAnsi="Times New Roman" w:cs="Times New Roman"/>
          <w:sz w:val="24"/>
          <w:szCs w:val="24"/>
        </w:rPr>
        <w:t xml:space="preserve">the </w:t>
      </w:r>
      <w:r w:rsidR="005A1DD3">
        <w:rPr>
          <w:rFonts w:ascii="Times New Roman" w:hAnsi="Times New Roman" w:cs="Times New Roman"/>
          <w:sz w:val="24"/>
          <w:szCs w:val="24"/>
        </w:rPr>
        <w:t xml:space="preserve">pre-COVID period. </w:t>
      </w:r>
      <w:r w:rsidR="00044B53">
        <w:rPr>
          <w:rFonts w:ascii="Times New Roman" w:hAnsi="Times New Roman" w:cs="Times New Roman"/>
          <w:sz w:val="24"/>
          <w:szCs w:val="24"/>
        </w:rPr>
        <w:t>During the COVID-19</w:t>
      </w:r>
      <w:r w:rsidR="00161BF6">
        <w:rPr>
          <w:rFonts w:ascii="Times New Roman" w:hAnsi="Times New Roman" w:cs="Times New Roman"/>
          <w:sz w:val="24"/>
          <w:szCs w:val="24"/>
        </w:rPr>
        <w:t xml:space="preserve">, </w:t>
      </w:r>
      <w:r w:rsidR="006E012A">
        <w:rPr>
          <w:rFonts w:ascii="Times New Roman" w:hAnsi="Times New Roman" w:cs="Times New Roman"/>
          <w:sz w:val="24"/>
          <w:szCs w:val="24"/>
        </w:rPr>
        <w:t>X8X cryptocurrency</w:t>
      </w:r>
      <w:r w:rsidR="006256A0">
        <w:rPr>
          <w:rFonts w:ascii="Times New Roman" w:hAnsi="Times New Roman" w:cs="Times New Roman"/>
          <w:sz w:val="24"/>
          <w:szCs w:val="24"/>
        </w:rPr>
        <w:t xml:space="preserve"> and </w:t>
      </w:r>
      <w:r w:rsidR="00F0106D">
        <w:rPr>
          <w:rFonts w:ascii="Times New Roman" w:hAnsi="Times New Roman" w:cs="Times New Roman"/>
          <w:sz w:val="24"/>
          <w:szCs w:val="24"/>
        </w:rPr>
        <w:t xml:space="preserve">the </w:t>
      </w:r>
      <w:r w:rsidR="006256A0">
        <w:rPr>
          <w:rFonts w:ascii="Times New Roman" w:hAnsi="Times New Roman" w:cs="Times New Roman"/>
          <w:sz w:val="24"/>
          <w:szCs w:val="24"/>
        </w:rPr>
        <w:t>energy sector</w:t>
      </w:r>
      <w:r w:rsidR="006E012A">
        <w:rPr>
          <w:rFonts w:ascii="Times New Roman" w:hAnsi="Times New Roman" w:cs="Times New Roman"/>
          <w:sz w:val="24"/>
          <w:szCs w:val="24"/>
        </w:rPr>
        <w:t xml:space="preserve"> provide the highest </w:t>
      </w:r>
      <w:r w:rsidR="00AA5CC2">
        <w:rPr>
          <w:rFonts w:ascii="Times New Roman" w:hAnsi="Times New Roman" w:cs="Times New Roman"/>
          <w:sz w:val="24"/>
          <w:szCs w:val="24"/>
        </w:rPr>
        <w:t xml:space="preserve">and lowest </w:t>
      </w:r>
      <w:r w:rsidR="00CF4A3C">
        <w:rPr>
          <w:rFonts w:ascii="Times New Roman" w:hAnsi="Times New Roman" w:cs="Times New Roman"/>
          <w:sz w:val="24"/>
          <w:szCs w:val="24"/>
        </w:rPr>
        <w:t>returns</w:t>
      </w:r>
      <w:r w:rsidR="00AA5CC2">
        <w:rPr>
          <w:rFonts w:ascii="Times New Roman" w:hAnsi="Times New Roman" w:cs="Times New Roman"/>
          <w:sz w:val="24"/>
          <w:szCs w:val="24"/>
        </w:rPr>
        <w:t>, respectively.</w:t>
      </w:r>
      <w:r w:rsidR="004E0AE6">
        <w:rPr>
          <w:rFonts w:ascii="Times New Roman" w:hAnsi="Times New Roman" w:cs="Times New Roman"/>
          <w:sz w:val="24"/>
          <w:szCs w:val="24"/>
        </w:rPr>
        <w:t xml:space="preserve"> </w:t>
      </w:r>
      <w:r w:rsidR="00ED2420">
        <w:rPr>
          <w:rFonts w:ascii="Times New Roman" w:hAnsi="Times New Roman" w:cs="Times New Roman"/>
          <w:sz w:val="24"/>
          <w:szCs w:val="24"/>
        </w:rPr>
        <w:t>Moreover, t</w:t>
      </w:r>
      <w:r w:rsidR="00C92F53">
        <w:rPr>
          <w:rFonts w:ascii="Times New Roman" w:hAnsi="Times New Roman" w:cs="Times New Roman"/>
          <w:sz w:val="24"/>
          <w:szCs w:val="24"/>
        </w:rPr>
        <w:t>he</w:t>
      </w:r>
      <w:r w:rsidR="006803C8">
        <w:rPr>
          <w:rFonts w:ascii="Times New Roman" w:hAnsi="Times New Roman" w:cs="Times New Roman"/>
          <w:sz w:val="24"/>
          <w:szCs w:val="24"/>
        </w:rPr>
        <w:t xml:space="preserve"> g</w:t>
      </w:r>
      <w:r w:rsidR="004A7A1A">
        <w:rPr>
          <w:rFonts w:ascii="Times New Roman" w:hAnsi="Times New Roman" w:cs="Times New Roman"/>
          <w:sz w:val="24"/>
          <w:szCs w:val="24"/>
        </w:rPr>
        <w:t>ol</w:t>
      </w:r>
      <w:r w:rsidR="006803C8">
        <w:rPr>
          <w:rFonts w:ascii="Times New Roman" w:hAnsi="Times New Roman" w:cs="Times New Roman"/>
          <w:sz w:val="24"/>
          <w:szCs w:val="24"/>
        </w:rPr>
        <w:t>d-backed</w:t>
      </w:r>
      <w:r w:rsidR="00C92F53">
        <w:rPr>
          <w:rFonts w:ascii="Times New Roman" w:hAnsi="Times New Roman" w:cs="Times New Roman"/>
          <w:sz w:val="24"/>
          <w:szCs w:val="24"/>
        </w:rPr>
        <w:t xml:space="preserve"> </w:t>
      </w:r>
      <w:r w:rsidR="00ED2420">
        <w:rPr>
          <w:rFonts w:ascii="Times New Roman" w:hAnsi="Times New Roman" w:cs="Times New Roman"/>
          <w:sz w:val="24"/>
          <w:szCs w:val="24"/>
        </w:rPr>
        <w:t xml:space="preserve">cryptocurrencies </w:t>
      </w:r>
      <w:r w:rsidR="004D087A">
        <w:rPr>
          <w:rFonts w:ascii="Times New Roman" w:hAnsi="Times New Roman" w:cs="Times New Roman"/>
          <w:sz w:val="24"/>
          <w:szCs w:val="24"/>
        </w:rPr>
        <w:t xml:space="preserve">are highly </w:t>
      </w:r>
      <w:proofErr w:type="gramStart"/>
      <w:r w:rsidR="004D087A">
        <w:rPr>
          <w:rFonts w:ascii="Times New Roman" w:hAnsi="Times New Roman" w:cs="Times New Roman"/>
          <w:sz w:val="24"/>
          <w:szCs w:val="24"/>
        </w:rPr>
        <w:t>volatile</w:t>
      </w:r>
      <w:proofErr w:type="gramEnd"/>
      <w:r w:rsidR="004D087A">
        <w:rPr>
          <w:rFonts w:ascii="Times New Roman" w:hAnsi="Times New Roman" w:cs="Times New Roman"/>
          <w:sz w:val="24"/>
          <w:szCs w:val="24"/>
        </w:rPr>
        <w:t xml:space="preserve"> and </w:t>
      </w:r>
      <w:r w:rsidR="005112FB">
        <w:rPr>
          <w:rFonts w:ascii="Times New Roman" w:hAnsi="Times New Roman" w:cs="Times New Roman"/>
          <w:sz w:val="24"/>
          <w:szCs w:val="24"/>
        </w:rPr>
        <w:t xml:space="preserve">the </w:t>
      </w:r>
      <w:r w:rsidR="004D087A">
        <w:rPr>
          <w:rFonts w:ascii="Times New Roman" w:hAnsi="Times New Roman" w:cs="Times New Roman"/>
          <w:sz w:val="24"/>
          <w:szCs w:val="24"/>
        </w:rPr>
        <w:t xml:space="preserve">Utilities sector is </w:t>
      </w:r>
      <w:r w:rsidR="00041600">
        <w:rPr>
          <w:rFonts w:ascii="Times New Roman" w:hAnsi="Times New Roman" w:cs="Times New Roman"/>
          <w:sz w:val="24"/>
          <w:szCs w:val="24"/>
        </w:rPr>
        <w:t xml:space="preserve">least volatile during the COVID-19. </w:t>
      </w:r>
    </w:p>
    <w:p w14:paraId="021E8C29" w14:textId="1A7F97E6" w:rsidR="008502D0" w:rsidRDefault="00C346D2" w:rsidP="00A337ED">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Within cryptocurrencies, </w:t>
      </w:r>
      <w:r w:rsidR="00F85AF4">
        <w:rPr>
          <w:rFonts w:ascii="Times New Roman" w:hAnsi="Times New Roman" w:cs="Times New Roman"/>
          <w:sz w:val="24"/>
          <w:szCs w:val="24"/>
        </w:rPr>
        <w:t xml:space="preserve">in terms of returns and </w:t>
      </w:r>
      <w:r w:rsidR="00932224">
        <w:rPr>
          <w:rFonts w:ascii="Times New Roman" w:hAnsi="Times New Roman" w:cs="Times New Roman"/>
          <w:sz w:val="24"/>
          <w:szCs w:val="24"/>
        </w:rPr>
        <w:t xml:space="preserve">unconditional </w:t>
      </w:r>
      <w:r w:rsidR="00F85AF4">
        <w:rPr>
          <w:rFonts w:ascii="Times New Roman" w:hAnsi="Times New Roman" w:cs="Times New Roman"/>
          <w:sz w:val="24"/>
          <w:szCs w:val="24"/>
        </w:rPr>
        <w:t>volatilities, the Sharia</w:t>
      </w:r>
      <w:r w:rsidR="005112FB">
        <w:rPr>
          <w:rFonts w:ascii="Times New Roman" w:hAnsi="Times New Roman" w:cs="Times New Roman"/>
          <w:sz w:val="24"/>
          <w:szCs w:val="24"/>
        </w:rPr>
        <w:t>-</w:t>
      </w:r>
      <w:r w:rsidR="00F85AF4">
        <w:rPr>
          <w:rFonts w:ascii="Times New Roman" w:hAnsi="Times New Roman" w:cs="Times New Roman"/>
          <w:sz w:val="24"/>
          <w:szCs w:val="24"/>
        </w:rPr>
        <w:t xml:space="preserve">compliant </w:t>
      </w:r>
      <w:r w:rsidR="004E4140">
        <w:rPr>
          <w:rFonts w:ascii="Times New Roman" w:hAnsi="Times New Roman" w:cs="Times New Roman"/>
          <w:sz w:val="24"/>
          <w:szCs w:val="24"/>
        </w:rPr>
        <w:t xml:space="preserve">cryptocurrencies perform better </w:t>
      </w:r>
      <w:r w:rsidR="00F85AF4">
        <w:rPr>
          <w:rFonts w:ascii="Times New Roman" w:hAnsi="Times New Roman" w:cs="Times New Roman"/>
          <w:sz w:val="24"/>
          <w:szCs w:val="24"/>
        </w:rPr>
        <w:t xml:space="preserve">during the COVID-19 </w:t>
      </w:r>
      <w:r w:rsidR="00AE1407">
        <w:rPr>
          <w:rFonts w:ascii="Times New Roman" w:hAnsi="Times New Roman" w:cs="Times New Roman"/>
          <w:sz w:val="24"/>
          <w:szCs w:val="24"/>
        </w:rPr>
        <w:t>compared to the pre-COVID period.</w:t>
      </w:r>
      <w:r w:rsidR="004B7D09">
        <w:rPr>
          <w:rFonts w:ascii="Times New Roman" w:hAnsi="Times New Roman" w:cs="Times New Roman"/>
          <w:sz w:val="24"/>
          <w:szCs w:val="24"/>
        </w:rPr>
        <w:t xml:space="preserve"> </w:t>
      </w:r>
      <w:r w:rsidR="00287637">
        <w:rPr>
          <w:rFonts w:ascii="Times New Roman" w:hAnsi="Times New Roman" w:cs="Times New Roman"/>
          <w:sz w:val="24"/>
          <w:szCs w:val="24"/>
        </w:rPr>
        <w:t>In contrast, w</w:t>
      </w:r>
      <w:r w:rsidR="004B7D09">
        <w:rPr>
          <w:rFonts w:ascii="Times New Roman" w:hAnsi="Times New Roman" w:cs="Times New Roman"/>
          <w:sz w:val="24"/>
          <w:szCs w:val="24"/>
        </w:rPr>
        <w:t>ithin equity sectors,</w:t>
      </w:r>
      <w:r w:rsidR="00AE1407">
        <w:rPr>
          <w:rFonts w:ascii="Times New Roman" w:hAnsi="Times New Roman" w:cs="Times New Roman"/>
          <w:sz w:val="24"/>
          <w:szCs w:val="24"/>
        </w:rPr>
        <w:t xml:space="preserve"> </w:t>
      </w:r>
      <w:r w:rsidR="009D0809">
        <w:rPr>
          <w:rFonts w:ascii="Times New Roman" w:hAnsi="Times New Roman" w:cs="Times New Roman"/>
          <w:sz w:val="24"/>
          <w:szCs w:val="24"/>
        </w:rPr>
        <w:t>the returns (un-conditional volatilit</w:t>
      </w:r>
      <w:r w:rsidR="004B7D09">
        <w:rPr>
          <w:rFonts w:ascii="Times New Roman" w:hAnsi="Times New Roman" w:cs="Times New Roman"/>
          <w:sz w:val="24"/>
          <w:szCs w:val="24"/>
        </w:rPr>
        <w:t>ies</w:t>
      </w:r>
      <w:r w:rsidR="009D0809">
        <w:rPr>
          <w:rFonts w:ascii="Times New Roman" w:hAnsi="Times New Roman" w:cs="Times New Roman"/>
          <w:sz w:val="24"/>
          <w:szCs w:val="24"/>
        </w:rPr>
        <w:t xml:space="preserve">) </w:t>
      </w:r>
      <w:r w:rsidR="00AB056D">
        <w:rPr>
          <w:rFonts w:ascii="Times New Roman" w:hAnsi="Times New Roman" w:cs="Times New Roman"/>
          <w:sz w:val="24"/>
          <w:szCs w:val="24"/>
        </w:rPr>
        <w:t>are low (high)</w:t>
      </w:r>
      <w:r w:rsidR="0041124A">
        <w:rPr>
          <w:rFonts w:ascii="Times New Roman" w:hAnsi="Times New Roman" w:cs="Times New Roman"/>
          <w:sz w:val="24"/>
          <w:szCs w:val="24"/>
        </w:rPr>
        <w:t xml:space="preserve"> in </w:t>
      </w:r>
      <w:r w:rsidR="004674C5">
        <w:rPr>
          <w:rFonts w:ascii="Times New Roman" w:hAnsi="Times New Roman" w:cs="Times New Roman"/>
          <w:sz w:val="24"/>
          <w:szCs w:val="24"/>
        </w:rPr>
        <w:t>most</w:t>
      </w:r>
      <w:r w:rsidR="00D169A5">
        <w:rPr>
          <w:rFonts w:ascii="Times New Roman" w:hAnsi="Times New Roman" w:cs="Times New Roman"/>
          <w:sz w:val="24"/>
          <w:szCs w:val="24"/>
        </w:rPr>
        <w:t xml:space="preserve"> </w:t>
      </w:r>
      <w:r w:rsidR="0041124A">
        <w:rPr>
          <w:rFonts w:ascii="Times New Roman" w:hAnsi="Times New Roman" w:cs="Times New Roman"/>
          <w:sz w:val="24"/>
          <w:szCs w:val="24"/>
        </w:rPr>
        <w:t xml:space="preserve">equity sectors during the COVID-19 </w:t>
      </w:r>
      <w:r w:rsidR="00D05B9C">
        <w:rPr>
          <w:rFonts w:ascii="Times New Roman" w:hAnsi="Times New Roman" w:cs="Times New Roman"/>
          <w:sz w:val="24"/>
          <w:szCs w:val="24"/>
        </w:rPr>
        <w:t xml:space="preserve">compared to the pre-COVID period. </w:t>
      </w:r>
      <w:r w:rsidR="0021130D">
        <w:rPr>
          <w:rFonts w:ascii="Times New Roman" w:hAnsi="Times New Roman" w:cs="Times New Roman"/>
          <w:sz w:val="24"/>
          <w:szCs w:val="24"/>
        </w:rPr>
        <w:t xml:space="preserve">In addition to descriptive statistics, the time varying prices and returns are given in Figure 1 and 2, respectively, </w:t>
      </w:r>
      <w:r w:rsidR="004E6DBD">
        <w:rPr>
          <w:rFonts w:ascii="Times New Roman" w:hAnsi="Times New Roman" w:cs="Times New Roman"/>
          <w:sz w:val="24"/>
          <w:szCs w:val="24"/>
        </w:rPr>
        <w:t xml:space="preserve">that shows the different patterns in almost all cryptocurrencies and equity sectors during the COVID-19 than the pre-COVID-19 period. </w:t>
      </w:r>
      <w:r w:rsidR="006912D5" w:rsidRPr="00036A72">
        <w:rPr>
          <w:rFonts w:ascii="Times New Roman" w:hAnsi="Times New Roman" w:cs="Times New Roman"/>
          <w:color w:val="0070C0"/>
          <w:sz w:val="24"/>
          <w:szCs w:val="24"/>
        </w:rPr>
        <w:t xml:space="preserve">Moreover, </w:t>
      </w:r>
      <w:r w:rsidR="00BB137C" w:rsidRPr="00036A72">
        <w:rPr>
          <w:rFonts w:ascii="Times New Roman" w:hAnsi="Times New Roman" w:cs="Times New Roman"/>
          <w:color w:val="0070C0"/>
          <w:sz w:val="24"/>
          <w:szCs w:val="24"/>
        </w:rPr>
        <w:t>the skewness is negative</w:t>
      </w:r>
      <w:r w:rsidR="00036A72" w:rsidRPr="00036A72">
        <w:rPr>
          <w:rFonts w:ascii="Times New Roman" w:hAnsi="Times New Roman" w:cs="Times New Roman"/>
          <w:color w:val="0070C0"/>
          <w:sz w:val="24"/>
          <w:szCs w:val="24"/>
        </w:rPr>
        <w:t xml:space="preserve"> in Islamic cryptocurrencies and stock sectors in both sample periods</w:t>
      </w:r>
      <w:r w:rsidR="00BB137C" w:rsidRPr="00036A72">
        <w:rPr>
          <w:rFonts w:ascii="Times New Roman" w:hAnsi="Times New Roman" w:cs="Times New Roman"/>
          <w:color w:val="0070C0"/>
          <w:sz w:val="24"/>
          <w:szCs w:val="24"/>
        </w:rPr>
        <w:t>,</w:t>
      </w:r>
      <w:r w:rsidR="00036A72" w:rsidRPr="00036A72">
        <w:rPr>
          <w:rFonts w:ascii="Times New Roman" w:hAnsi="Times New Roman" w:cs="Times New Roman"/>
          <w:color w:val="0070C0"/>
          <w:sz w:val="24"/>
          <w:szCs w:val="24"/>
        </w:rPr>
        <w:t xml:space="preserve"> showing the few large losses and frequent small gains in these markets.</w:t>
      </w:r>
      <w:r w:rsidR="00BB137C" w:rsidRPr="00036A72">
        <w:rPr>
          <w:rFonts w:ascii="Times New Roman" w:hAnsi="Times New Roman" w:cs="Times New Roman"/>
          <w:color w:val="0070C0"/>
          <w:sz w:val="24"/>
          <w:szCs w:val="24"/>
        </w:rPr>
        <w:t xml:space="preserve"> </w:t>
      </w:r>
      <w:r w:rsidR="00036A72">
        <w:rPr>
          <w:rFonts w:ascii="Times New Roman" w:hAnsi="Times New Roman" w:cs="Times New Roman"/>
          <w:color w:val="0070C0"/>
          <w:sz w:val="24"/>
          <w:szCs w:val="24"/>
        </w:rPr>
        <w:t>K</w:t>
      </w:r>
      <w:r w:rsidR="00BB137C" w:rsidRPr="00036A72">
        <w:rPr>
          <w:rFonts w:ascii="Times New Roman" w:hAnsi="Times New Roman" w:cs="Times New Roman"/>
          <w:color w:val="0070C0"/>
          <w:sz w:val="24"/>
          <w:szCs w:val="24"/>
        </w:rPr>
        <w:t xml:space="preserve">urtosis is greater than 3, </w:t>
      </w:r>
      <w:r w:rsidR="00036A72" w:rsidRPr="00036A72">
        <w:rPr>
          <w:rFonts w:ascii="Times New Roman" w:hAnsi="Times New Roman" w:cs="Times New Roman"/>
          <w:color w:val="0070C0"/>
          <w:sz w:val="24"/>
          <w:szCs w:val="24"/>
        </w:rPr>
        <w:t xml:space="preserve">indicating the higher investment risk in these markets. </w:t>
      </w:r>
      <w:r w:rsidR="00F93DA5" w:rsidRPr="00F93DA5">
        <w:rPr>
          <w:rFonts w:ascii="Times New Roman" w:hAnsi="Times New Roman" w:cs="Times New Roman"/>
          <w:color w:val="0070C0"/>
          <w:sz w:val="24"/>
          <w:szCs w:val="24"/>
        </w:rPr>
        <w:t>Al-</w:t>
      </w:r>
      <w:proofErr w:type="spellStart"/>
      <w:r w:rsidR="00F93DA5" w:rsidRPr="00F93DA5">
        <w:rPr>
          <w:rFonts w:ascii="Times New Roman" w:hAnsi="Times New Roman" w:cs="Times New Roman"/>
          <w:color w:val="0070C0"/>
          <w:sz w:val="24"/>
          <w:szCs w:val="24"/>
        </w:rPr>
        <w:t>Yahyaee</w:t>
      </w:r>
      <w:proofErr w:type="spellEnd"/>
      <w:r w:rsidR="00F93DA5">
        <w:rPr>
          <w:rFonts w:ascii="Times New Roman" w:hAnsi="Times New Roman" w:cs="Times New Roman"/>
          <w:color w:val="0070C0"/>
          <w:sz w:val="24"/>
          <w:szCs w:val="24"/>
        </w:rPr>
        <w:t xml:space="preserve"> et al. (2020) also report the negative skewness </w:t>
      </w:r>
      <w:proofErr w:type="gramStart"/>
      <w:r w:rsidR="00F93DA5">
        <w:rPr>
          <w:rFonts w:ascii="Times New Roman" w:hAnsi="Times New Roman" w:cs="Times New Roman"/>
          <w:color w:val="0070C0"/>
          <w:sz w:val="24"/>
          <w:szCs w:val="24"/>
        </w:rPr>
        <w:t>and  greater</w:t>
      </w:r>
      <w:proofErr w:type="gramEnd"/>
      <w:r w:rsidR="00F93DA5">
        <w:rPr>
          <w:rFonts w:ascii="Times New Roman" w:hAnsi="Times New Roman" w:cs="Times New Roman"/>
          <w:color w:val="0070C0"/>
          <w:sz w:val="24"/>
          <w:szCs w:val="24"/>
        </w:rPr>
        <w:t xml:space="preserve"> than 4 kurtosis in Islamic equity sectors. </w:t>
      </w:r>
      <w:proofErr w:type="spellStart"/>
      <w:r w:rsidR="0095651F" w:rsidRPr="00036A72">
        <w:rPr>
          <w:rFonts w:ascii="Times New Roman" w:hAnsi="Times New Roman" w:cs="Times New Roman"/>
          <w:color w:val="0070C0"/>
          <w:sz w:val="24"/>
          <w:szCs w:val="24"/>
        </w:rPr>
        <w:t>Jarque-Bera</w:t>
      </w:r>
      <w:proofErr w:type="spellEnd"/>
      <w:r w:rsidR="0095651F" w:rsidRPr="00036A72">
        <w:rPr>
          <w:rFonts w:ascii="Times New Roman" w:hAnsi="Times New Roman" w:cs="Times New Roman"/>
          <w:color w:val="0070C0"/>
          <w:sz w:val="24"/>
          <w:szCs w:val="24"/>
        </w:rPr>
        <w:t xml:space="preserve"> statistics </w:t>
      </w:r>
      <w:r w:rsidR="00C52E1F" w:rsidRPr="00036A72">
        <w:rPr>
          <w:rFonts w:ascii="Times New Roman" w:hAnsi="Times New Roman" w:cs="Times New Roman"/>
          <w:color w:val="0070C0"/>
          <w:sz w:val="24"/>
          <w:szCs w:val="24"/>
        </w:rPr>
        <w:t xml:space="preserve">are significant in </w:t>
      </w:r>
      <w:proofErr w:type="gramStart"/>
      <w:r w:rsidR="005112FB" w:rsidRPr="00036A72">
        <w:rPr>
          <w:rFonts w:ascii="Times New Roman" w:hAnsi="Times New Roman" w:cs="Times New Roman"/>
          <w:color w:val="0070C0"/>
          <w:sz w:val="24"/>
          <w:szCs w:val="24"/>
        </w:rPr>
        <w:t xml:space="preserve">the </w:t>
      </w:r>
      <w:r w:rsidR="00C52E1F" w:rsidRPr="00036A72">
        <w:rPr>
          <w:rFonts w:ascii="Times New Roman" w:hAnsi="Times New Roman" w:cs="Times New Roman"/>
          <w:color w:val="0070C0"/>
          <w:sz w:val="24"/>
          <w:szCs w:val="24"/>
        </w:rPr>
        <w:t>majority of</w:t>
      </w:r>
      <w:proofErr w:type="gramEnd"/>
      <w:r w:rsidR="00C52E1F" w:rsidRPr="00036A72">
        <w:rPr>
          <w:rFonts w:ascii="Times New Roman" w:hAnsi="Times New Roman" w:cs="Times New Roman"/>
          <w:color w:val="0070C0"/>
          <w:sz w:val="24"/>
          <w:szCs w:val="24"/>
        </w:rPr>
        <w:t xml:space="preserve"> the markets during both sample periods</w:t>
      </w:r>
      <w:r w:rsidR="00036A72" w:rsidRPr="00036A72">
        <w:rPr>
          <w:rFonts w:ascii="Times New Roman" w:hAnsi="Times New Roman" w:cs="Times New Roman"/>
          <w:color w:val="0070C0"/>
          <w:sz w:val="24"/>
          <w:szCs w:val="24"/>
        </w:rPr>
        <w:t>, showing the normally distributed returns of Islamic cryptocurrencies and stock sectors</w:t>
      </w:r>
      <w:r w:rsidR="00C52E1F" w:rsidRPr="00036A72">
        <w:rPr>
          <w:rFonts w:ascii="Times New Roman" w:hAnsi="Times New Roman" w:cs="Times New Roman"/>
          <w:color w:val="0070C0"/>
          <w:sz w:val="24"/>
          <w:szCs w:val="24"/>
        </w:rPr>
        <w:t xml:space="preserve">. </w:t>
      </w:r>
    </w:p>
    <w:p w14:paraId="0E54EC3F" w14:textId="143889FB" w:rsidR="00DA2076" w:rsidRPr="00507A95" w:rsidRDefault="0046351B" w:rsidP="00A337ED">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The statistics of </w:t>
      </w:r>
      <w:r w:rsidR="00EE592A" w:rsidRPr="00EE592A">
        <w:rPr>
          <w:rFonts w:ascii="Times New Roman" w:hAnsi="Times New Roman" w:cs="Times New Roman"/>
          <w:sz w:val="24"/>
          <w:szCs w:val="24"/>
        </w:rPr>
        <w:t>Augmented Dickey–Fuller test</w:t>
      </w:r>
      <w:r w:rsidR="00EE592A">
        <w:rPr>
          <w:rFonts w:ascii="Times New Roman" w:hAnsi="Times New Roman" w:cs="Times New Roman"/>
          <w:sz w:val="24"/>
          <w:szCs w:val="24"/>
        </w:rPr>
        <w:t xml:space="preserve"> </w:t>
      </w:r>
      <w:r w:rsidR="00F43736">
        <w:rPr>
          <w:rFonts w:ascii="Times New Roman" w:hAnsi="Times New Roman" w:cs="Times New Roman"/>
          <w:sz w:val="24"/>
          <w:szCs w:val="24"/>
        </w:rPr>
        <w:t xml:space="preserve">and </w:t>
      </w:r>
      <w:r w:rsidR="00F43736" w:rsidRPr="00F43736">
        <w:rPr>
          <w:rFonts w:ascii="Times New Roman" w:hAnsi="Times New Roman" w:cs="Times New Roman"/>
          <w:color w:val="0070C0"/>
          <w:sz w:val="24"/>
          <w:szCs w:val="24"/>
        </w:rPr>
        <w:t xml:space="preserve">Phillips–Perron test </w:t>
      </w:r>
      <w:r w:rsidR="00EE592A">
        <w:rPr>
          <w:rFonts w:ascii="Times New Roman" w:hAnsi="Times New Roman" w:cs="Times New Roman"/>
          <w:sz w:val="24"/>
          <w:szCs w:val="24"/>
        </w:rPr>
        <w:t xml:space="preserve">are significant in all markets </w:t>
      </w:r>
      <w:r w:rsidR="008F7D3A">
        <w:rPr>
          <w:rFonts w:ascii="Times New Roman" w:hAnsi="Times New Roman" w:cs="Times New Roman"/>
          <w:sz w:val="24"/>
          <w:szCs w:val="24"/>
        </w:rPr>
        <w:t xml:space="preserve">during both sample periods, showing that </w:t>
      </w:r>
      <w:r w:rsidR="00E77269">
        <w:rPr>
          <w:rFonts w:ascii="Times New Roman" w:hAnsi="Times New Roman" w:cs="Times New Roman"/>
          <w:sz w:val="24"/>
          <w:szCs w:val="24"/>
        </w:rPr>
        <w:t>all series are stationary.</w:t>
      </w:r>
      <w:r w:rsidR="00857364">
        <w:rPr>
          <w:rFonts w:ascii="Times New Roman" w:hAnsi="Times New Roman" w:cs="Times New Roman"/>
          <w:sz w:val="24"/>
          <w:szCs w:val="24"/>
        </w:rPr>
        <w:t xml:space="preserve"> Lastly, the unconditional correlations are </w:t>
      </w:r>
      <w:r w:rsidR="00AC0063">
        <w:rPr>
          <w:rFonts w:ascii="Times New Roman" w:hAnsi="Times New Roman" w:cs="Times New Roman"/>
          <w:sz w:val="24"/>
          <w:szCs w:val="24"/>
        </w:rPr>
        <w:t xml:space="preserve">negative </w:t>
      </w:r>
      <w:r w:rsidR="003724C8">
        <w:rPr>
          <w:rFonts w:ascii="Times New Roman" w:hAnsi="Times New Roman" w:cs="Times New Roman"/>
          <w:sz w:val="24"/>
          <w:szCs w:val="24"/>
        </w:rPr>
        <w:t xml:space="preserve">for </w:t>
      </w:r>
      <w:r w:rsidR="002F7F3F">
        <w:rPr>
          <w:rFonts w:ascii="Times New Roman" w:hAnsi="Times New Roman" w:cs="Times New Roman"/>
          <w:sz w:val="24"/>
          <w:szCs w:val="24"/>
        </w:rPr>
        <w:t xml:space="preserve">the </w:t>
      </w:r>
      <w:r w:rsidR="00AC0063">
        <w:rPr>
          <w:rFonts w:ascii="Times New Roman" w:hAnsi="Times New Roman" w:cs="Times New Roman"/>
          <w:sz w:val="24"/>
          <w:szCs w:val="24"/>
        </w:rPr>
        <w:t xml:space="preserve">few pairs of </w:t>
      </w:r>
      <w:r w:rsidR="00F545CF">
        <w:rPr>
          <w:rFonts w:ascii="Times New Roman" w:hAnsi="Times New Roman" w:cs="Times New Roman"/>
          <w:sz w:val="24"/>
          <w:szCs w:val="24"/>
        </w:rPr>
        <w:t xml:space="preserve">Islamic </w:t>
      </w:r>
      <w:r w:rsidR="00AC0063">
        <w:rPr>
          <w:rFonts w:ascii="Times New Roman" w:hAnsi="Times New Roman" w:cs="Times New Roman"/>
          <w:sz w:val="24"/>
          <w:szCs w:val="24"/>
        </w:rPr>
        <w:t>cryptocurrency-equity sectors</w:t>
      </w:r>
      <w:r w:rsidR="002F7F3F">
        <w:rPr>
          <w:rFonts w:ascii="Times New Roman" w:hAnsi="Times New Roman" w:cs="Times New Roman"/>
          <w:sz w:val="24"/>
          <w:szCs w:val="24"/>
        </w:rPr>
        <w:t xml:space="preserve"> during the pre-COVID-19 period</w:t>
      </w:r>
      <w:r w:rsidR="00A119FD">
        <w:rPr>
          <w:rFonts w:ascii="Times New Roman" w:hAnsi="Times New Roman" w:cs="Times New Roman"/>
          <w:sz w:val="24"/>
          <w:szCs w:val="24"/>
        </w:rPr>
        <w:t>. However, these</w:t>
      </w:r>
      <w:r w:rsidR="002F7F3F">
        <w:rPr>
          <w:rFonts w:ascii="Times New Roman" w:hAnsi="Times New Roman" w:cs="Times New Roman"/>
          <w:sz w:val="24"/>
          <w:szCs w:val="24"/>
        </w:rPr>
        <w:t xml:space="preserve"> </w:t>
      </w:r>
      <w:r w:rsidR="00304AAC">
        <w:rPr>
          <w:rFonts w:ascii="Times New Roman" w:hAnsi="Times New Roman" w:cs="Times New Roman"/>
          <w:sz w:val="24"/>
          <w:szCs w:val="24"/>
        </w:rPr>
        <w:t xml:space="preserve">unconditional </w:t>
      </w:r>
      <w:r w:rsidR="002F7F3F">
        <w:rPr>
          <w:rFonts w:ascii="Times New Roman" w:hAnsi="Times New Roman" w:cs="Times New Roman"/>
          <w:sz w:val="24"/>
          <w:szCs w:val="24"/>
        </w:rPr>
        <w:t xml:space="preserve">correlations become </w:t>
      </w:r>
      <w:r w:rsidR="00A119FD">
        <w:rPr>
          <w:rFonts w:ascii="Times New Roman" w:hAnsi="Times New Roman" w:cs="Times New Roman"/>
          <w:sz w:val="24"/>
          <w:szCs w:val="24"/>
        </w:rPr>
        <w:t xml:space="preserve">higher and </w:t>
      </w:r>
      <w:r w:rsidR="002F7F3F">
        <w:rPr>
          <w:rFonts w:ascii="Times New Roman" w:hAnsi="Times New Roman" w:cs="Times New Roman"/>
          <w:sz w:val="24"/>
          <w:szCs w:val="24"/>
        </w:rPr>
        <w:t>positive</w:t>
      </w:r>
      <w:r w:rsidR="00164650">
        <w:rPr>
          <w:rFonts w:ascii="Times New Roman" w:hAnsi="Times New Roman" w:cs="Times New Roman"/>
          <w:sz w:val="24"/>
          <w:szCs w:val="24"/>
        </w:rPr>
        <w:t xml:space="preserve"> during the COVID-19. </w:t>
      </w:r>
      <w:r w:rsidR="00965F52" w:rsidRPr="00507A95">
        <w:rPr>
          <w:rFonts w:ascii="Times New Roman" w:hAnsi="Times New Roman" w:cs="Times New Roman"/>
          <w:color w:val="0070C0"/>
          <w:sz w:val="24"/>
          <w:szCs w:val="24"/>
        </w:rPr>
        <w:t>Our results match with the findings of</w:t>
      </w:r>
      <w:r w:rsidR="00B205C3" w:rsidRPr="00507A95">
        <w:rPr>
          <w:rFonts w:ascii="Times New Roman" w:hAnsi="Times New Roman" w:cs="Times New Roman"/>
          <w:color w:val="0070C0"/>
          <w:sz w:val="24"/>
          <w:szCs w:val="24"/>
        </w:rPr>
        <w:t xml:space="preserve"> </w:t>
      </w:r>
      <w:r w:rsidR="006C20D4" w:rsidRPr="00507A95">
        <w:rPr>
          <w:rFonts w:ascii="Times New Roman" w:hAnsi="Times New Roman" w:cs="Times New Roman"/>
          <w:color w:val="0070C0"/>
          <w:sz w:val="24"/>
          <w:szCs w:val="24"/>
        </w:rPr>
        <w:t>Corbet et al. (2020</w:t>
      </w:r>
      <w:r w:rsidR="004102EF" w:rsidRPr="00507A95">
        <w:rPr>
          <w:rFonts w:ascii="Times New Roman" w:hAnsi="Times New Roman" w:cs="Times New Roman"/>
          <w:color w:val="0070C0"/>
          <w:sz w:val="24"/>
          <w:szCs w:val="24"/>
        </w:rPr>
        <w:t>b</w:t>
      </w:r>
      <w:r w:rsidR="006C20D4" w:rsidRPr="00507A95">
        <w:rPr>
          <w:rFonts w:ascii="Times New Roman" w:hAnsi="Times New Roman" w:cs="Times New Roman"/>
          <w:color w:val="0070C0"/>
          <w:sz w:val="24"/>
          <w:szCs w:val="24"/>
        </w:rPr>
        <w:t>)</w:t>
      </w:r>
      <w:r w:rsidR="000B74FC" w:rsidRPr="00507A95">
        <w:rPr>
          <w:rFonts w:ascii="Times New Roman" w:hAnsi="Times New Roman" w:cs="Times New Roman"/>
          <w:color w:val="0070C0"/>
          <w:sz w:val="24"/>
          <w:szCs w:val="24"/>
        </w:rPr>
        <w:t xml:space="preserve">, and </w:t>
      </w:r>
      <w:r w:rsidR="00B205C3" w:rsidRPr="00507A95">
        <w:rPr>
          <w:rFonts w:ascii="Times New Roman" w:hAnsi="Times New Roman" w:cs="Times New Roman"/>
          <w:color w:val="0070C0"/>
          <w:sz w:val="24"/>
          <w:szCs w:val="24"/>
        </w:rPr>
        <w:t>Yousaf and Ali (2021)</w:t>
      </w:r>
      <w:r w:rsidR="00794DC4" w:rsidRPr="00507A95">
        <w:rPr>
          <w:rFonts w:ascii="Times New Roman" w:hAnsi="Times New Roman" w:cs="Times New Roman"/>
          <w:color w:val="0070C0"/>
          <w:sz w:val="24"/>
          <w:szCs w:val="24"/>
        </w:rPr>
        <w:t xml:space="preserve">, which find strong </w:t>
      </w:r>
      <w:r w:rsidR="000B74FC" w:rsidRPr="00507A95">
        <w:rPr>
          <w:rFonts w:ascii="Times New Roman" w:hAnsi="Times New Roman" w:cs="Times New Roman"/>
          <w:color w:val="0070C0"/>
          <w:sz w:val="24"/>
          <w:szCs w:val="24"/>
        </w:rPr>
        <w:t>un</w:t>
      </w:r>
      <w:r w:rsidR="00A00167" w:rsidRPr="00507A95">
        <w:rPr>
          <w:rFonts w:ascii="Times New Roman" w:hAnsi="Times New Roman" w:cs="Times New Roman"/>
          <w:color w:val="0070C0"/>
          <w:sz w:val="24"/>
          <w:szCs w:val="24"/>
        </w:rPr>
        <w:t xml:space="preserve">-conditional </w:t>
      </w:r>
      <w:r w:rsidR="00794DC4" w:rsidRPr="00507A95">
        <w:rPr>
          <w:rFonts w:ascii="Times New Roman" w:hAnsi="Times New Roman" w:cs="Times New Roman"/>
          <w:color w:val="0070C0"/>
          <w:sz w:val="24"/>
          <w:szCs w:val="24"/>
        </w:rPr>
        <w:t xml:space="preserve">correlations between </w:t>
      </w:r>
      <w:r w:rsidR="00CC0AC9" w:rsidRPr="00507A95">
        <w:rPr>
          <w:rFonts w:ascii="Times New Roman" w:hAnsi="Times New Roman" w:cs="Times New Roman"/>
          <w:color w:val="0070C0"/>
          <w:sz w:val="24"/>
          <w:szCs w:val="24"/>
        </w:rPr>
        <w:t xml:space="preserve">cryptocurrency and stock </w:t>
      </w:r>
      <w:r w:rsidR="00794DC4" w:rsidRPr="00507A95">
        <w:rPr>
          <w:rFonts w:ascii="Times New Roman" w:hAnsi="Times New Roman" w:cs="Times New Roman"/>
          <w:color w:val="0070C0"/>
          <w:sz w:val="24"/>
          <w:szCs w:val="24"/>
        </w:rPr>
        <w:t xml:space="preserve">markets during the COVID-19 </w:t>
      </w:r>
      <w:r w:rsidR="0093060A" w:rsidRPr="00507A95">
        <w:rPr>
          <w:rFonts w:ascii="Times New Roman" w:hAnsi="Times New Roman" w:cs="Times New Roman"/>
          <w:color w:val="0070C0"/>
          <w:sz w:val="24"/>
          <w:szCs w:val="24"/>
        </w:rPr>
        <w:t>compared to the pre-COVID-19 period</w:t>
      </w:r>
      <w:r w:rsidR="004A7A1A" w:rsidRPr="00507A95">
        <w:rPr>
          <w:rFonts w:ascii="Times New Roman" w:hAnsi="Times New Roman" w:cs="Times New Roman"/>
          <w:color w:val="0070C0"/>
          <w:sz w:val="24"/>
          <w:szCs w:val="24"/>
        </w:rPr>
        <w:t xml:space="preserve">, and we show that this is also evident for the selected gold-backed </w:t>
      </w:r>
      <w:proofErr w:type="spellStart"/>
      <w:r w:rsidR="004A7A1A" w:rsidRPr="00507A95">
        <w:rPr>
          <w:rFonts w:ascii="Times New Roman" w:hAnsi="Times New Roman" w:cs="Times New Roman"/>
          <w:color w:val="0070C0"/>
          <w:sz w:val="24"/>
          <w:szCs w:val="24"/>
        </w:rPr>
        <w:t>cryptocurrecncies</w:t>
      </w:r>
      <w:proofErr w:type="spellEnd"/>
      <w:r w:rsidR="0093060A" w:rsidRPr="00507A95">
        <w:rPr>
          <w:rFonts w:ascii="Times New Roman" w:hAnsi="Times New Roman" w:cs="Times New Roman"/>
          <w:color w:val="0070C0"/>
          <w:sz w:val="24"/>
          <w:szCs w:val="24"/>
        </w:rPr>
        <w:t>.</w:t>
      </w:r>
    </w:p>
    <w:p w14:paraId="38D23434" w14:textId="230DF4EA" w:rsidR="004E6DBD" w:rsidRDefault="004E6DBD" w:rsidP="004E6DBD">
      <w:pPr>
        <w:spacing w:line="360" w:lineRule="auto"/>
        <w:jc w:val="center"/>
        <w:rPr>
          <w:rFonts w:ascii="Times New Roman" w:hAnsi="Times New Roman" w:cs="Times New Roman"/>
          <w:sz w:val="24"/>
          <w:szCs w:val="24"/>
        </w:rPr>
      </w:pPr>
      <w:r>
        <w:rPr>
          <w:rFonts w:ascii="Times New Roman" w:hAnsi="Times New Roman" w:cs="Times New Roman"/>
          <w:sz w:val="24"/>
          <w:szCs w:val="24"/>
        </w:rPr>
        <w:t>[Figures 1 and 2 here]</w:t>
      </w:r>
    </w:p>
    <w:p w14:paraId="2C3893B8" w14:textId="77777777" w:rsidR="00C00F52" w:rsidRPr="00580352" w:rsidRDefault="004B1D18" w:rsidP="004B1D18">
      <w:pPr>
        <w:pStyle w:val="ListParagraph"/>
        <w:numPr>
          <w:ilvl w:val="0"/>
          <w:numId w:val="1"/>
        </w:numPr>
        <w:spacing w:line="360" w:lineRule="auto"/>
        <w:jc w:val="both"/>
        <w:rPr>
          <w:rFonts w:ascii="Times New Roman" w:hAnsi="Times New Roman" w:cs="Times New Roman"/>
          <w:b/>
          <w:bCs/>
          <w:sz w:val="28"/>
          <w:szCs w:val="28"/>
        </w:rPr>
      </w:pPr>
      <w:r w:rsidRPr="00580352">
        <w:rPr>
          <w:rFonts w:ascii="Times New Roman" w:hAnsi="Times New Roman" w:cs="Times New Roman"/>
          <w:b/>
          <w:bCs/>
          <w:sz w:val="28"/>
          <w:szCs w:val="28"/>
        </w:rPr>
        <w:t>Re</w:t>
      </w:r>
      <w:r w:rsidR="00C00F52" w:rsidRPr="00580352">
        <w:rPr>
          <w:rFonts w:ascii="Times New Roman" w:hAnsi="Times New Roman" w:cs="Times New Roman"/>
          <w:b/>
          <w:bCs/>
          <w:sz w:val="28"/>
          <w:szCs w:val="28"/>
        </w:rPr>
        <w:t xml:space="preserve">sults </w:t>
      </w:r>
    </w:p>
    <w:p w14:paraId="5E0A5A43" w14:textId="01DDD36F" w:rsidR="00855656" w:rsidRPr="00580352" w:rsidRDefault="0021130D" w:rsidP="00855656">
      <w:pPr>
        <w:pStyle w:val="ListParagraph"/>
        <w:numPr>
          <w:ilvl w:val="1"/>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855656" w:rsidRPr="00580352">
        <w:rPr>
          <w:rFonts w:ascii="Times New Roman" w:hAnsi="Times New Roman" w:cs="Times New Roman"/>
          <w:b/>
          <w:bCs/>
          <w:sz w:val="24"/>
          <w:szCs w:val="24"/>
        </w:rPr>
        <w:t>Return and volatility spillovers</w:t>
      </w:r>
    </w:p>
    <w:p w14:paraId="5FB61EDC" w14:textId="1CE78216" w:rsidR="00F762E5" w:rsidRDefault="004A7A1A" w:rsidP="00580352">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We begin our empirical investigation by reporting </w:t>
      </w:r>
      <w:r w:rsidR="006C3E6E">
        <w:rPr>
          <w:rFonts w:ascii="Times New Roman" w:hAnsi="Times New Roman" w:cs="Times New Roman"/>
          <w:sz w:val="24"/>
          <w:szCs w:val="24"/>
        </w:rPr>
        <w:t xml:space="preserve">the results of spillovers between </w:t>
      </w:r>
      <w:r w:rsidR="00237904">
        <w:rPr>
          <w:rFonts w:ascii="Times New Roman" w:hAnsi="Times New Roman" w:cs="Times New Roman"/>
          <w:sz w:val="24"/>
          <w:szCs w:val="24"/>
        </w:rPr>
        <w:t xml:space="preserve">Islamic equity sectors and Onegram </w:t>
      </w:r>
      <w:r w:rsidR="00220C03">
        <w:rPr>
          <w:rFonts w:ascii="Times New Roman" w:hAnsi="Times New Roman" w:cs="Times New Roman"/>
          <w:sz w:val="24"/>
          <w:szCs w:val="24"/>
        </w:rPr>
        <w:t>cryptocurrency during pre-COVID-19</w:t>
      </w:r>
      <w:r w:rsidR="00563E35">
        <w:rPr>
          <w:rFonts w:ascii="Times New Roman" w:hAnsi="Times New Roman" w:cs="Times New Roman"/>
          <w:sz w:val="24"/>
          <w:szCs w:val="24"/>
        </w:rPr>
        <w:t xml:space="preserve"> and the COVID-19</w:t>
      </w:r>
      <w:r w:rsidR="00220C03">
        <w:rPr>
          <w:rFonts w:ascii="Times New Roman" w:hAnsi="Times New Roman" w:cs="Times New Roman"/>
          <w:sz w:val="24"/>
          <w:szCs w:val="24"/>
        </w:rPr>
        <w:t xml:space="preserve"> period</w:t>
      </w:r>
      <w:r w:rsidR="00563E35">
        <w:rPr>
          <w:rFonts w:ascii="Times New Roman" w:hAnsi="Times New Roman" w:cs="Times New Roman"/>
          <w:sz w:val="24"/>
          <w:szCs w:val="24"/>
        </w:rPr>
        <w:t>s</w:t>
      </w:r>
      <w:r>
        <w:rPr>
          <w:rFonts w:ascii="Times New Roman" w:hAnsi="Times New Roman" w:cs="Times New Roman"/>
          <w:sz w:val="24"/>
          <w:szCs w:val="24"/>
        </w:rPr>
        <w:t>, as it shown in Tables 2 and 3</w:t>
      </w:r>
      <w:r w:rsidR="00220C03">
        <w:rPr>
          <w:rFonts w:ascii="Times New Roman" w:hAnsi="Times New Roman" w:cs="Times New Roman"/>
          <w:sz w:val="24"/>
          <w:szCs w:val="24"/>
        </w:rPr>
        <w:t xml:space="preserve">. </w:t>
      </w:r>
      <w:r w:rsidR="00D27F1E">
        <w:rPr>
          <w:rFonts w:ascii="Times New Roman" w:hAnsi="Times New Roman" w:cs="Times New Roman"/>
          <w:sz w:val="24"/>
          <w:szCs w:val="24"/>
        </w:rPr>
        <w:t>Th</w:t>
      </w:r>
      <w:r w:rsidR="00FA4B1F">
        <w:rPr>
          <w:rFonts w:ascii="Times New Roman" w:hAnsi="Times New Roman" w:cs="Times New Roman"/>
          <w:sz w:val="24"/>
          <w:szCs w:val="24"/>
        </w:rPr>
        <w:t>e findings</w:t>
      </w:r>
      <w:r w:rsidR="00760D0F">
        <w:rPr>
          <w:rFonts w:ascii="Times New Roman" w:hAnsi="Times New Roman" w:cs="Times New Roman"/>
          <w:sz w:val="24"/>
          <w:szCs w:val="24"/>
        </w:rPr>
        <w:t xml:space="preserve"> </w:t>
      </w:r>
      <w:r w:rsidR="00F62D33">
        <w:rPr>
          <w:rFonts w:ascii="Times New Roman" w:hAnsi="Times New Roman" w:cs="Times New Roman"/>
          <w:sz w:val="24"/>
          <w:szCs w:val="24"/>
        </w:rPr>
        <w:t xml:space="preserve">presented in </w:t>
      </w:r>
      <w:r w:rsidR="00760D0F">
        <w:rPr>
          <w:rFonts w:ascii="Times New Roman" w:hAnsi="Times New Roman" w:cs="Times New Roman"/>
          <w:sz w:val="24"/>
          <w:szCs w:val="24"/>
        </w:rPr>
        <w:t>Panel A</w:t>
      </w:r>
      <w:r w:rsidR="00FA4B1F">
        <w:rPr>
          <w:rFonts w:ascii="Times New Roman" w:hAnsi="Times New Roman" w:cs="Times New Roman"/>
          <w:sz w:val="24"/>
          <w:szCs w:val="24"/>
        </w:rPr>
        <w:t xml:space="preserve"> show that the </w:t>
      </w:r>
      <w:r w:rsidR="00075FE2">
        <w:rPr>
          <w:rFonts w:ascii="Times New Roman" w:hAnsi="Times New Roman" w:cs="Times New Roman"/>
          <w:sz w:val="24"/>
          <w:szCs w:val="24"/>
        </w:rPr>
        <w:t xml:space="preserve">lag returns of </w:t>
      </w:r>
      <w:r w:rsidR="00C602DE">
        <w:rPr>
          <w:rFonts w:ascii="Times New Roman" w:hAnsi="Times New Roman" w:cs="Times New Roman"/>
          <w:sz w:val="24"/>
          <w:szCs w:val="24"/>
        </w:rPr>
        <w:t xml:space="preserve">Islamic </w:t>
      </w:r>
      <w:r w:rsidR="00AE2329">
        <w:rPr>
          <w:rFonts w:ascii="Times New Roman" w:hAnsi="Times New Roman" w:cs="Times New Roman"/>
          <w:sz w:val="24"/>
          <w:szCs w:val="24"/>
        </w:rPr>
        <w:t xml:space="preserve">equity markets do not affect </w:t>
      </w:r>
      <w:r w:rsidR="00AB7818">
        <w:rPr>
          <w:rFonts w:ascii="Times New Roman" w:hAnsi="Times New Roman" w:cs="Times New Roman"/>
          <w:sz w:val="24"/>
          <w:szCs w:val="24"/>
        </w:rPr>
        <w:t xml:space="preserve">their current return in </w:t>
      </w:r>
      <w:r w:rsidR="005F22EB">
        <w:rPr>
          <w:rFonts w:ascii="Times New Roman" w:hAnsi="Times New Roman" w:cs="Times New Roman"/>
          <w:sz w:val="24"/>
          <w:szCs w:val="24"/>
        </w:rPr>
        <w:t xml:space="preserve">the </w:t>
      </w:r>
      <w:r w:rsidR="00AB7818">
        <w:rPr>
          <w:rFonts w:ascii="Times New Roman" w:hAnsi="Times New Roman" w:cs="Times New Roman"/>
          <w:sz w:val="24"/>
          <w:szCs w:val="24"/>
        </w:rPr>
        <w:t>majority of the cases</w:t>
      </w:r>
      <w:r w:rsidR="00BD05C2">
        <w:rPr>
          <w:rFonts w:ascii="Times New Roman" w:hAnsi="Times New Roman" w:cs="Times New Roman"/>
          <w:sz w:val="24"/>
          <w:szCs w:val="24"/>
        </w:rPr>
        <w:t xml:space="preserve"> during </w:t>
      </w:r>
      <w:r w:rsidR="00563E35">
        <w:rPr>
          <w:rFonts w:ascii="Times New Roman" w:hAnsi="Times New Roman" w:cs="Times New Roman"/>
          <w:sz w:val="24"/>
          <w:szCs w:val="24"/>
        </w:rPr>
        <w:t>both sample periods</w:t>
      </w:r>
      <w:r w:rsidR="00DE5087">
        <w:rPr>
          <w:rFonts w:ascii="Times New Roman" w:hAnsi="Times New Roman" w:cs="Times New Roman"/>
          <w:sz w:val="24"/>
          <w:szCs w:val="24"/>
        </w:rPr>
        <w:t>, indicating th</w:t>
      </w:r>
      <w:r w:rsidR="00AB46F4">
        <w:rPr>
          <w:rFonts w:ascii="Times New Roman" w:hAnsi="Times New Roman" w:cs="Times New Roman"/>
          <w:sz w:val="24"/>
          <w:szCs w:val="24"/>
        </w:rPr>
        <w:t xml:space="preserve">at it is not possible to forecast future returns </w:t>
      </w:r>
      <w:r w:rsidR="00D96257">
        <w:rPr>
          <w:rFonts w:ascii="Times New Roman" w:hAnsi="Times New Roman" w:cs="Times New Roman"/>
          <w:sz w:val="24"/>
          <w:szCs w:val="24"/>
        </w:rPr>
        <w:t>of Islamic equity markets through their past returns.</w:t>
      </w:r>
      <w:r w:rsidR="00AF7F0C">
        <w:rPr>
          <w:rFonts w:ascii="Times New Roman" w:hAnsi="Times New Roman" w:cs="Times New Roman"/>
          <w:sz w:val="24"/>
          <w:szCs w:val="24"/>
        </w:rPr>
        <w:t xml:space="preserve"> </w:t>
      </w:r>
      <w:r w:rsidR="00AF7F0C" w:rsidRPr="006000CB">
        <w:rPr>
          <w:rFonts w:ascii="Times New Roman" w:hAnsi="Times New Roman" w:cs="Times New Roman"/>
          <w:sz w:val="24"/>
          <w:szCs w:val="24"/>
        </w:rPr>
        <w:t>However, the past returns</w:t>
      </w:r>
      <w:r w:rsidR="00E92168" w:rsidRPr="006000CB">
        <w:rPr>
          <w:rFonts w:ascii="Times New Roman" w:hAnsi="Times New Roman" w:cs="Times New Roman"/>
          <w:sz w:val="24"/>
          <w:szCs w:val="24"/>
        </w:rPr>
        <w:t xml:space="preserve"> of Onegram</w:t>
      </w:r>
      <w:r w:rsidR="00AF7F0C" w:rsidRPr="006000CB">
        <w:rPr>
          <w:rFonts w:ascii="Times New Roman" w:hAnsi="Times New Roman" w:cs="Times New Roman"/>
          <w:sz w:val="24"/>
          <w:szCs w:val="24"/>
        </w:rPr>
        <w:t xml:space="preserve"> </w:t>
      </w:r>
      <w:r w:rsidR="00E92168" w:rsidRPr="006000CB">
        <w:rPr>
          <w:rFonts w:ascii="Times New Roman" w:hAnsi="Times New Roman" w:cs="Times New Roman"/>
          <w:sz w:val="24"/>
          <w:szCs w:val="24"/>
        </w:rPr>
        <w:t>influence their current returns</w:t>
      </w:r>
      <w:r w:rsidR="00751B53" w:rsidRPr="006000CB">
        <w:rPr>
          <w:rFonts w:ascii="Times New Roman" w:hAnsi="Times New Roman" w:cs="Times New Roman"/>
          <w:sz w:val="24"/>
          <w:szCs w:val="24"/>
        </w:rPr>
        <w:t xml:space="preserve"> during both sample periods</w:t>
      </w:r>
      <w:r w:rsidR="00130101" w:rsidRPr="006000CB">
        <w:rPr>
          <w:rFonts w:ascii="Times New Roman" w:hAnsi="Times New Roman" w:cs="Times New Roman"/>
          <w:sz w:val="24"/>
          <w:szCs w:val="24"/>
        </w:rPr>
        <w:t xml:space="preserve">, </w:t>
      </w:r>
      <w:r w:rsidR="00130101" w:rsidRPr="006000CB">
        <w:rPr>
          <w:rFonts w:ascii="Times New Roman" w:hAnsi="Times New Roman" w:cs="Times New Roman"/>
          <w:color w:val="0070C0"/>
          <w:sz w:val="24"/>
          <w:szCs w:val="24"/>
        </w:rPr>
        <w:t>suggesting the short</w:t>
      </w:r>
      <w:r w:rsidR="005F22EB" w:rsidRPr="006000CB">
        <w:rPr>
          <w:rFonts w:ascii="Times New Roman" w:hAnsi="Times New Roman" w:cs="Times New Roman"/>
          <w:color w:val="0070C0"/>
          <w:sz w:val="24"/>
          <w:szCs w:val="24"/>
        </w:rPr>
        <w:t>-</w:t>
      </w:r>
      <w:r w:rsidR="00130101" w:rsidRPr="006000CB">
        <w:rPr>
          <w:rFonts w:ascii="Times New Roman" w:hAnsi="Times New Roman" w:cs="Times New Roman"/>
          <w:color w:val="0070C0"/>
          <w:sz w:val="24"/>
          <w:szCs w:val="24"/>
        </w:rPr>
        <w:t xml:space="preserve">run predictive power </w:t>
      </w:r>
      <w:r w:rsidR="00F70F15" w:rsidRPr="006000CB">
        <w:rPr>
          <w:rFonts w:ascii="Times New Roman" w:hAnsi="Times New Roman" w:cs="Times New Roman"/>
          <w:color w:val="0070C0"/>
          <w:sz w:val="24"/>
          <w:szCs w:val="24"/>
        </w:rPr>
        <w:t xml:space="preserve">of Onegram through their past returns. </w:t>
      </w:r>
      <w:r w:rsidR="00425BAF">
        <w:rPr>
          <w:rFonts w:ascii="Times New Roman" w:hAnsi="Times New Roman" w:cs="Times New Roman"/>
          <w:color w:val="0070C0"/>
          <w:sz w:val="24"/>
          <w:szCs w:val="24"/>
        </w:rPr>
        <w:t xml:space="preserve">Our results match with the findings of </w:t>
      </w:r>
      <w:proofErr w:type="spellStart"/>
      <w:r w:rsidR="00302F6F" w:rsidRPr="00302F6F">
        <w:rPr>
          <w:rFonts w:ascii="Times New Roman" w:hAnsi="Times New Roman" w:cs="Times New Roman"/>
          <w:color w:val="0070C0"/>
          <w:sz w:val="24"/>
          <w:szCs w:val="24"/>
        </w:rPr>
        <w:t>Lahmiri</w:t>
      </w:r>
      <w:proofErr w:type="spellEnd"/>
      <w:r w:rsidR="00302F6F">
        <w:rPr>
          <w:rFonts w:ascii="Times New Roman" w:hAnsi="Times New Roman" w:cs="Times New Roman"/>
          <w:color w:val="0070C0"/>
          <w:sz w:val="24"/>
          <w:szCs w:val="24"/>
        </w:rPr>
        <w:t xml:space="preserve"> and</w:t>
      </w:r>
      <w:r w:rsidR="00302F6F" w:rsidRPr="00302F6F">
        <w:rPr>
          <w:rFonts w:ascii="Times New Roman" w:hAnsi="Times New Roman" w:cs="Times New Roman"/>
          <w:color w:val="0070C0"/>
          <w:sz w:val="24"/>
          <w:szCs w:val="24"/>
        </w:rPr>
        <w:t xml:space="preserve"> </w:t>
      </w:r>
      <w:proofErr w:type="spellStart"/>
      <w:r w:rsidR="00302F6F" w:rsidRPr="00302F6F">
        <w:rPr>
          <w:rFonts w:ascii="Times New Roman" w:hAnsi="Times New Roman" w:cs="Times New Roman"/>
          <w:color w:val="0070C0"/>
          <w:sz w:val="24"/>
          <w:szCs w:val="24"/>
        </w:rPr>
        <w:t>Bekiros</w:t>
      </w:r>
      <w:proofErr w:type="spellEnd"/>
      <w:r w:rsidR="00302F6F" w:rsidRPr="00302F6F">
        <w:rPr>
          <w:rFonts w:ascii="Times New Roman" w:hAnsi="Times New Roman" w:cs="Times New Roman"/>
          <w:color w:val="0070C0"/>
          <w:sz w:val="24"/>
          <w:szCs w:val="24"/>
        </w:rPr>
        <w:t xml:space="preserve"> (2019</w:t>
      </w:r>
      <w:r w:rsidR="00302F6F">
        <w:rPr>
          <w:rFonts w:ascii="Times New Roman" w:hAnsi="Times New Roman" w:cs="Times New Roman"/>
          <w:color w:val="0070C0"/>
          <w:sz w:val="24"/>
          <w:szCs w:val="24"/>
        </w:rPr>
        <w:t>)</w:t>
      </w:r>
      <w:r w:rsidR="00425BAF">
        <w:rPr>
          <w:rFonts w:ascii="Times New Roman" w:hAnsi="Times New Roman" w:cs="Times New Roman"/>
          <w:color w:val="0070C0"/>
          <w:sz w:val="24"/>
          <w:szCs w:val="24"/>
        </w:rPr>
        <w:t xml:space="preserve">, which </w:t>
      </w:r>
      <w:r w:rsidR="00302F6F">
        <w:rPr>
          <w:rFonts w:ascii="Times New Roman" w:hAnsi="Times New Roman" w:cs="Times New Roman"/>
          <w:color w:val="0070C0"/>
          <w:sz w:val="24"/>
          <w:szCs w:val="24"/>
        </w:rPr>
        <w:t xml:space="preserve">provide the evidence of </w:t>
      </w:r>
      <w:proofErr w:type="spellStart"/>
      <w:r w:rsidR="00302F6F">
        <w:rPr>
          <w:rFonts w:ascii="Times New Roman" w:hAnsi="Times New Roman" w:cs="Times New Roman"/>
          <w:color w:val="0070C0"/>
          <w:sz w:val="24"/>
          <w:szCs w:val="24"/>
        </w:rPr>
        <w:t>multifratality</w:t>
      </w:r>
      <w:proofErr w:type="spellEnd"/>
      <w:r w:rsidR="00302F6F">
        <w:rPr>
          <w:rFonts w:ascii="Times New Roman" w:hAnsi="Times New Roman" w:cs="Times New Roman"/>
          <w:color w:val="0070C0"/>
          <w:sz w:val="24"/>
          <w:szCs w:val="24"/>
        </w:rPr>
        <w:t xml:space="preserve"> in </w:t>
      </w:r>
      <w:proofErr w:type="spellStart"/>
      <w:r w:rsidR="00302F6F">
        <w:rPr>
          <w:rFonts w:ascii="Times New Roman" w:hAnsi="Times New Roman" w:cs="Times New Roman"/>
          <w:color w:val="0070C0"/>
          <w:sz w:val="24"/>
          <w:szCs w:val="24"/>
        </w:rPr>
        <w:t>Onegram</w:t>
      </w:r>
      <w:proofErr w:type="spellEnd"/>
      <w:r w:rsidR="00302F6F">
        <w:rPr>
          <w:rFonts w:ascii="Times New Roman" w:hAnsi="Times New Roman" w:cs="Times New Roman"/>
          <w:color w:val="0070C0"/>
          <w:sz w:val="24"/>
          <w:szCs w:val="24"/>
        </w:rPr>
        <w:t xml:space="preserve"> in non-crisis period, indicating the </w:t>
      </w:r>
      <w:proofErr w:type="gramStart"/>
      <w:r w:rsidR="00302F6F">
        <w:rPr>
          <w:rFonts w:ascii="Times New Roman" w:hAnsi="Times New Roman" w:cs="Times New Roman"/>
          <w:color w:val="0070C0"/>
          <w:sz w:val="24"/>
          <w:szCs w:val="24"/>
        </w:rPr>
        <w:t>short term</w:t>
      </w:r>
      <w:proofErr w:type="gramEnd"/>
      <w:r w:rsidR="00302F6F">
        <w:rPr>
          <w:rFonts w:ascii="Times New Roman" w:hAnsi="Times New Roman" w:cs="Times New Roman"/>
          <w:color w:val="0070C0"/>
          <w:sz w:val="24"/>
          <w:szCs w:val="24"/>
        </w:rPr>
        <w:t xml:space="preserve"> predictability of current return of Onegram through </w:t>
      </w:r>
      <w:r w:rsidR="00F53334">
        <w:rPr>
          <w:rFonts w:ascii="Times New Roman" w:hAnsi="Times New Roman" w:cs="Times New Roman"/>
          <w:color w:val="0070C0"/>
          <w:sz w:val="24"/>
          <w:szCs w:val="24"/>
        </w:rPr>
        <w:t>their</w:t>
      </w:r>
      <w:r w:rsidR="00302F6F">
        <w:rPr>
          <w:rFonts w:ascii="Times New Roman" w:hAnsi="Times New Roman" w:cs="Times New Roman"/>
          <w:color w:val="0070C0"/>
          <w:sz w:val="24"/>
          <w:szCs w:val="24"/>
        </w:rPr>
        <w:t xml:space="preserve"> past returns. </w:t>
      </w:r>
    </w:p>
    <w:p w14:paraId="0AA27DB7" w14:textId="01A15C2D" w:rsidR="004A7A1A" w:rsidRDefault="004A7A1A" w:rsidP="00681744">
      <w:pPr>
        <w:spacing w:line="360" w:lineRule="auto"/>
        <w:jc w:val="center"/>
        <w:rPr>
          <w:rFonts w:ascii="Times New Roman" w:hAnsi="Times New Roman" w:cs="Times New Roman"/>
          <w:sz w:val="24"/>
          <w:szCs w:val="24"/>
        </w:rPr>
      </w:pPr>
      <w:r>
        <w:rPr>
          <w:rFonts w:ascii="Times New Roman" w:hAnsi="Times New Roman" w:cs="Times New Roman"/>
          <w:sz w:val="24"/>
          <w:szCs w:val="24"/>
        </w:rPr>
        <w:t>[Tables 2 and 3 here]</w:t>
      </w:r>
    </w:p>
    <w:p w14:paraId="35E6ADC5" w14:textId="75EB0B16" w:rsidR="002567D0" w:rsidRDefault="00751B53" w:rsidP="00580352">
      <w:pPr>
        <w:spacing w:line="360" w:lineRule="auto"/>
        <w:jc w:val="both"/>
        <w:rPr>
          <w:rFonts w:ascii="Times New Roman" w:hAnsi="Times New Roman" w:cs="Times New Roman"/>
          <w:sz w:val="24"/>
          <w:szCs w:val="24"/>
        </w:rPr>
      </w:pPr>
      <w:r>
        <w:rPr>
          <w:rFonts w:ascii="Times New Roman" w:hAnsi="Times New Roman" w:cs="Times New Roman"/>
          <w:sz w:val="24"/>
          <w:szCs w:val="24"/>
        </w:rPr>
        <w:t>The cross-market return spillover</w:t>
      </w:r>
      <w:r w:rsidR="00F27D60">
        <w:rPr>
          <w:rFonts w:ascii="Times New Roman" w:hAnsi="Times New Roman" w:cs="Times New Roman"/>
          <w:sz w:val="24"/>
          <w:szCs w:val="24"/>
        </w:rPr>
        <w:t xml:space="preserve">s </w:t>
      </w:r>
      <w:r w:rsidR="0033604C">
        <w:rPr>
          <w:rFonts w:ascii="Times New Roman" w:hAnsi="Times New Roman" w:cs="Times New Roman"/>
          <w:sz w:val="24"/>
          <w:szCs w:val="24"/>
        </w:rPr>
        <w:t>results reveal that t</w:t>
      </w:r>
      <w:r w:rsidR="00F242A7">
        <w:rPr>
          <w:rFonts w:ascii="Times New Roman" w:hAnsi="Times New Roman" w:cs="Times New Roman"/>
          <w:sz w:val="24"/>
          <w:szCs w:val="24"/>
        </w:rPr>
        <w:t xml:space="preserve">he return spillover </w:t>
      </w:r>
      <w:r w:rsidR="003D075B">
        <w:rPr>
          <w:rFonts w:ascii="Times New Roman" w:hAnsi="Times New Roman" w:cs="Times New Roman"/>
          <w:sz w:val="24"/>
          <w:szCs w:val="24"/>
        </w:rPr>
        <w:t xml:space="preserve">is </w:t>
      </w:r>
      <w:r w:rsidR="007E586A">
        <w:rPr>
          <w:rFonts w:ascii="Times New Roman" w:hAnsi="Times New Roman" w:cs="Times New Roman"/>
          <w:sz w:val="24"/>
          <w:szCs w:val="24"/>
        </w:rPr>
        <w:t xml:space="preserve">unidirectional </w:t>
      </w:r>
      <w:r w:rsidR="00BD2335">
        <w:rPr>
          <w:rFonts w:ascii="Times New Roman" w:hAnsi="Times New Roman" w:cs="Times New Roman"/>
          <w:sz w:val="24"/>
          <w:szCs w:val="24"/>
        </w:rPr>
        <w:t>and</w:t>
      </w:r>
      <w:r w:rsidR="002145A2">
        <w:rPr>
          <w:rFonts w:ascii="Times New Roman" w:hAnsi="Times New Roman" w:cs="Times New Roman"/>
          <w:sz w:val="24"/>
          <w:szCs w:val="24"/>
        </w:rPr>
        <w:t xml:space="preserve"> negative from consumer services, </w:t>
      </w:r>
      <w:r w:rsidR="0089525B">
        <w:rPr>
          <w:rFonts w:ascii="Times New Roman" w:hAnsi="Times New Roman" w:cs="Times New Roman"/>
          <w:sz w:val="24"/>
          <w:szCs w:val="24"/>
        </w:rPr>
        <w:t xml:space="preserve">consumer discretionary, </w:t>
      </w:r>
      <w:r w:rsidR="00B2720D">
        <w:rPr>
          <w:rFonts w:ascii="Times New Roman" w:hAnsi="Times New Roman" w:cs="Times New Roman"/>
          <w:sz w:val="24"/>
          <w:szCs w:val="24"/>
        </w:rPr>
        <w:t xml:space="preserve">information technology, and real estate </w:t>
      </w:r>
      <w:r w:rsidR="0001046B">
        <w:rPr>
          <w:rFonts w:ascii="Times New Roman" w:hAnsi="Times New Roman" w:cs="Times New Roman"/>
          <w:sz w:val="24"/>
          <w:szCs w:val="24"/>
        </w:rPr>
        <w:t>sectors</w:t>
      </w:r>
      <w:r w:rsidR="00B2720D">
        <w:rPr>
          <w:rFonts w:ascii="Times New Roman" w:hAnsi="Times New Roman" w:cs="Times New Roman"/>
          <w:sz w:val="24"/>
          <w:szCs w:val="24"/>
        </w:rPr>
        <w:t xml:space="preserve"> to the </w:t>
      </w:r>
      <w:r w:rsidR="004C3FEE">
        <w:rPr>
          <w:rFonts w:ascii="Times New Roman" w:hAnsi="Times New Roman" w:cs="Times New Roman"/>
          <w:sz w:val="24"/>
          <w:szCs w:val="24"/>
        </w:rPr>
        <w:t>Onegram</w:t>
      </w:r>
      <w:r w:rsidR="00BD2335">
        <w:rPr>
          <w:rFonts w:ascii="Times New Roman" w:hAnsi="Times New Roman" w:cs="Times New Roman"/>
          <w:sz w:val="24"/>
          <w:szCs w:val="24"/>
        </w:rPr>
        <w:t>, and from Onegram to financials se</w:t>
      </w:r>
      <w:r w:rsidR="0001046B">
        <w:rPr>
          <w:rFonts w:ascii="Times New Roman" w:hAnsi="Times New Roman" w:cs="Times New Roman"/>
          <w:sz w:val="24"/>
          <w:szCs w:val="24"/>
        </w:rPr>
        <w:t>ctor</w:t>
      </w:r>
      <w:r w:rsidR="0033604C">
        <w:rPr>
          <w:rFonts w:ascii="Times New Roman" w:hAnsi="Times New Roman" w:cs="Times New Roman"/>
          <w:sz w:val="24"/>
          <w:szCs w:val="24"/>
        </w:rPr>
        <w:t xml:space="preserve"> during </w:t>
      </w:r>
      <w:r w:rsidR="001E7B9F">
        <w:rPr>
          <w:rFonts w:ascii="Times New Roman" w:hAnsi="Times New Roman" w:cs="Times New Roman"/>
          <w:sz w:val="24"/>
          <w:szCs w:val="24"/>
        </w:rPr>
        <w:t xml:space="preserve">the </w:t>
      </w:r>
      <w:r w:rsidR="0033604C">
        <w:rPr>
          <w:rFonts w:ascii="Times New Roman" w:hAnsi="Times New Roman" w:cs="Times New Roman"/>
          <w:sz w:val="24"/>
          <w:szCs w:val="24"/>
        </w:rPr>
        <w:t>pre-COVID-19 period</w:t>
      </w:r>
      <w:r w:rsidR="004C3FEE">
        <w:rPr>
          <w:rFonts w:ascii="Times New Roman" w:hAnsi="Times New Roman" w:cs="Times New Roman"/>
          <w:sz w:val="24"/>
          <w:szCs w:val="24"/>
        </w:rPr>
        <w:t xml:space="preserve">. </w:t>
      </w:r>
      <w:r w:rsidR="00631BFA">
        <w:rPr>
          <w:rFonts w:ascii="Times New Roman" w:hAnsi="Times New Roman" w:cs="Times New Roman"/>
          <w:sz w:val="24"/>
          <w:szCs w:val="24"/>
        </w:rPr>
        <w:t xml:space="preserve">The </w:t>
      </w:r>
      <w:r w:rsidR="00353CA6">
        <w:rPr>
          <w:rFonts w:ascii="Times New Roman" w:hAnsi="Times New Roman" w:cs="Times New Roman"/>
          <w:sz w:val="24"/>
          <w:szCs w:val="24"/>
        </w:rPr>
        <w:t xml:space="preserve">return transmission </w:t>
      </w:r>
      <w:r w:rsidR="00EA0A42">
        <w:rPr>
          <w:rFonts w:ascii="Times New Roman" w:hAnsi="Times New Roman" w:cs="Times New Roman"/>
          <w:sz w:val="24"/>
          <w:szCs w:val="24"/>
        </w:rPr>
        <w:t xml:space="preserve">is unidirectional and negative from </w:t>
      </w:r>
      <w:r w:rsidR="00491EAB">
        <w:rPr>
          <w:rFonts w:ascii="Times New Roman" w:hAnsi="Times New Roman" w:cs="Times New Roman"/>
          <w:sz w:val="24"/>
          <w:szCs w:val="24"/>
        </w:rPr>
        <w:t xml:space="preserve">financials, industrials, information technology, </w:t>
      </w:r>
      <w:r w:rsidR="00460BD7">
        <w:rPr>
          <w:rFonts w:ascii="Times New Roman" w:hAnsi="Times New Roman" w:cs="Times New Roman"/>
          <w:sz w:val="24"/>
          <w:szCs w:val="24"/>
        </w:rPr>
        <w:t>materials,</w:t>
      </w:r>
      <w:r w:rsidR="00A0790E">
        <w:rPr>
          <w:rFonts w:ascii="Times New Roman" w:hAnsi="Times New Roman" w:cs="Times New Roman"/>
          <w:sz w:val="24"/>
          <w:szCs w:val="24"/>
        </w:rPr>
        <w:t xml:space="preserve"> and real estate sectors to the Onegram during the COVID-19. </w:t>
      </w:r>
      <w:r w:rsidR="008A4E6C">
        <w:rPr>
          <w:rFonts w:ascii="Times New Roman" w:hAnsi="Times New Roman" w:cs="Times New Roman"/>
          <w:sz w:val="24"/>
          <w:szCs w:val="24"/>
        </w:rPr>
        <w:t>The negative transmission show</w:t>
      </w:r>
      <w:r w:rsidR="001E7B9F">
        <w:rPr>
          <w:rFonts w:ascii="Times New Roman" w:hAnsi="Times New Roman" w:cs="Times New Roman"/>
          <w:sz w:val="24"/>
          <w:szCs w:val="24"/>
        </w:rPr>
        <w:t>s</w:t>
      </w:r>
      <w:r w:rsidR="008A4E6C">
        <w:rPr>
          <w:rFonts w:ascii="Times New Roman" w:hAnsi="Times New Roman" w:cs="Times New Roman"/>
          <w:sz w:val="24"/>
          <w:szCs w:val="24"/>
        </w:rPr>
        <w:t xml:space="preserve"> that the decline in retur</w:t>
      </w:r>
      <w:r w:rsidR="006C6BA6">
        <w:rPr>
          <w:rFonts w:ascii="Times New Roman" w:hAnsi="Times New Roman" w:cs="Times New Roman"/>
          <w:sz w:val="24"/>
          <w:szCs w:val="24"/>
        </w:rPr>
        <w:t xml:space="preserve">ns of Islamic equity sectors leads to the increase in </w:t>
      </w:r>
      <w:r w:rsidR="00C814F0">
        <w:rPr>
          <w:rFonts w:ascii="Times New Roman" w:hAnsi="Times New Roman" w:cs="Times New Roman"/>
          <w:sz w:val="24"/>
          <w:szCs w:val="24"/>
        </w:rPr>
        <w:t>search</w:t>
      </w:r>
      <w:r w:rsidR="007A135B">
        <w:rPr>
          <w:rFonts w:ascii="Times New Roman" w:hAnsi="Times New Roman" w:cs="Times New Roman"/>
          <w:sz w:val="24"/>
          <w:szCs w:val="24"/>
        </w:rPr>
        <w:t xml:space="preserve">, </w:t>
      </w:r>
      <w:r w:rsidR="00F67A24">
        <w:rPr>
          <w:rFonts w:ascii="Times New Roman" w:hAnsi="Times New Roman" w:cs="Times New Roman"/>
          <w:sz w:val="24"/>
          <w:szCs w:val="24"/>
        </w:rPr>
        <w:t>demand</w:t>
      </w:r>
      <w:r w:rsidR="007A135B">
        <w:rPr>
          <w:rFonts w:ascii="Times New Roman" w:hAnsi="Times New Roman" w:cs="Times New Roman"/>
          <w:sz w:val="24"/>
          <w:szCs w:val="24"/>
        </w:rPr>
        <w:t>, and ultimately prices</w:t>
      </w:r>
      <w:r w:rsidR="00C814F0">
        <w:rPr>
          <w:rFonts w:ascii="Times New Roman" w:hAnsi="Times New Roman" w:cs="Times New Roman"/>
          <w:sz w:val="24"/>
          <w:szCs w:val="24"/>
        </w:rPr>
        <w:t xml:space="preserve"> for alternate assets like </w:t>
      </w:r>
      <w:r w:rsidR="001A06E8">
        <w:rPr>
          <w:rFonts w:ascii="Times New Roman" w:hAnsi="Times New Roman" w:cs="Times New Roman"/>
          <w:sz w:val="24"/>
          <w:szCs w:val="24"/>
        </w:rPr>
        <w:t>Onegram</w:t>
      </w:r>
      <w:r w:rsidR="00915FD7">
        <w:rPr>
          <w:rFonts w:ascii="Times New Roman" w:hAnsi="Times New Roman" w:cs="Times New Roman"/>
          <w:sz w:val="24"/>
          <w:szCs w:val="24"/>
        </w:rPr>
        <w:t xml:space="preserve"> during the COVID-1</w:t>
      </w:r>
      <w:r w:rsidR="00CA154B">
        <w:rPr>
          <w:rFonts w:ascii="Times New Roman" w:hAnsi="Times New Roman" w:cs="Times New Roman"/>
          <w:sz w:val="24"/>
          <w:szCs w:val="24"/>
        </w:rPr>
        <w:t>9</w:t>
      </w:r>
      <w:r w:rsidR="00423C43">
        <w:rPr>
          <w:rFonts w:ascii="Times New Roman" w:hAnsi="Times New Roman" w:cs="Times New Roman"/>
          <w:sz w:val="24"/>
          <w:szCs w:val="24"/>
        </w:rPr>
        <w:t xml:space="preserve">. </w:t>
      </w:r>
      <w:r w:rsidR="00897C03">
        <w:rPr>
          <w:rFonts w:ascii="Times New Roman" w:hAnsi="Times New Roman" w:cs="Times New Roman"/>
          <w:sz w:val="24"/>
          <w:szCs w:val="24"/>
        </w:rPr>
        <w:t>Moreover, it also implies that the returns of Islamic equity sectors</w:t>
      </w:r>
      <w:r w:rsidR="001A06E8">
        <w:rPr>
          <w:rFonts w:ascii="Times New Roman" w:hAnsi="Times New Roman" w:cs="Times New Roman"/>
          <w:sz w:val="24"/>
          <w:szCs w:val="24"/>
        </w:rPr>
        <w:t xml:space="preserve"> </w:t>
      </w:r>
      <w:r w:rsidR="00897C03">
        <w:rPr>
          <w:rFonts w:ascii="Times New Roman" w:hAnsi="Times New Roman" w:cs="Times New Roman"/>
          <w:sz w:val="24"/>
          <w:szCs w:val="24"/>
        </w:rPr>
        <w:t>are useful in forecast</w:t>
      </w:r>
      <w:r w:rsidR="002D3669">
        <w:rPr>
          <w:rFonts w:ascii="Times New Roman" w:hAnsi="Times New Roman" w:cs="Times New Roman"/>
          <w:sz w:val="24"/>
          <w:szCs w:val="24"/>
        </w:rPr>
        <w:t>ing the returns of Onegram during the COVID-19.</w:t>
      </w:r>
    </w:p>
    <w:p w14:paraId="1B19531A" w14:textId="7E9A4A81" w:rsidR="00241C95" w:rsidRDefault="00F27D60" w:rsidP="005803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Panel B shows that </w:t>
      </w:r>
      <w:r w:rsidR="00EB63AB" w:rsidRPr="009A6F19">
        <w:rPr>
          <w:rFonts w:ascii="Times New Roman" w:hAnsi="Times New Roman" w:cs="Times New Roman"/>
          <w:sz w:val="24"/>
          <w:szCs w:val="24"/>
        </w:rPr>
        <w:t xml:space="preserve">past shocks </w:t>
      </w:r>
      <w:r w:rsidR="00FC715B" w:rsidRPr="009A6F19">
        <w:rPr>
          <w:rFonts w:ascii="Times New Roman" w:hAnsi="Times New Roman" w:cs="Times New Roman"/>
          <w:sz w:val="24"/>
          <w:szCs w:val="24"/>
        </w:rPr>
        <w:t xml:space="preserve">affect the current volatility of the Islamic equity </w:t>
      </w:r>
      <w:r w:rsidR="00302F6F">
        <w:rPr>
          <w:rFonts w:ascii="Times New Roman" w:hAnsi="Times New Roman" w:cs="Times New Roman"/>
          <w:sz w:val="24"/>
          <w:szCs w:val="24"/>
        </w:rPr>
        <w:t xml:space="preserve">sectors </w:t>
      </w:r>
      <w:r w:rsidR="003704EE" w:rsidRPr="009A6F19">
        <w:rPr>
          <w:rFonts w:ascii="Times New Roman" w:hAnsi="Times New Roman" w:cs="Times New Roman"/>
          <w:sz w:val="24"/>
          <w:szCs w:val="24"/>
        </w:rPr>
        <w:t xml:space="preserve">and </w:t>
      </w:r>
      <w:r w:rsidR="00302F6F">
        <w:rPr>
          <w:rFonts w:ascii="Times New Roman" w:hAnsi="Times New Roman" w:cs="Times New Roman"/>
          <w:sz w:val="24"/>
          <w:szCs w:val="24"/>
        </w:rPr>
        <w:t>Onegram</w:t>
      </w:r>
      <w:r w:rsidR="003704EE" w:rsidRPr="009A6F19">
        <w:rPr>
          <w:rFonts w:ascii="Times New Roman" w:hAnsi="Times New Roman" w:cs="Times New Roman"/>
          <w:sz w:val="24"/>
          <w:szCs w:val="24"/>
        </w:rPr>
        <w:t xml:space="preserve"> marke</w:t>
      </w:r>
      <w:r w:rsidR="00952945">
        <w:rPr>
          <w:rFonts w:ascii="Times New Roman" w:hAnsi="Times New Roman" w:cs="Times New Roman"/>
          <w:sz w:val="24"/>
          <w:szCs w:val="24"/>
        </w:rPr>
        <w:t>t</w:t>
      </w:r>
      <w:r w:rsidR="009075E7" w:rsidRPr="009A6F19">
        <w:rPr>
          <w:rFonts w:ascii="Times New Roman" w:hAnsi="Times New Roman" w:cs="Times New Roman"/>
          <w:sz w:val="24"/>
          <w:szCs w:val="24"/>
        </w:rPr>
        <w:t xml:space="preserve"> during both sample periods</w:t>
      </w:r>
      <w:r w:rsidR="003704EE" w:rsidRPr="009A6F19">
        <w:rPr>
          <w:rFonts w:ascii="Times New Roman" w:hAnsi="Times New Roman" w:cs="Times New Roman"/>
          <w:sz w:val="24"/>
          <w:szCs w:val="24"/>
        </w:rPr>
        <w:t>.</w:t>
      </w:r>
      <w:r w:rsidR="00241C95">
        <w:rPr>
          <w:rFonts w:ascii="Times New Roman" w:hAnsi="Times New Roman" w:cs="Times New Roman"/>
          <w:sz w:val="24"/>
          <w:szCs w:val="24"/>
        </w:rPr>
        <w:t xml:space="preserve"> </w:t>
      </w:r>
      <w:r w:rsidR="00E04502">
        <w:rPr>
          <w:rFonts w:ascii="Times New Roman" w:hAnsi="Times New Roman" w:cs="Times New Roman"/>
          <w:color w:val="0070C0"/>
          <w:sz w:val="24"/>
          <w:szCs w:val="24"/>
        </w:rPr>
        <w:t>Ng et al. (2017), and S</w:t>
      </w:r>
      <w:r w:rsidR="00241C95" w:rsidRPr="00241C95">
        <w:rPr>
          <w:rFonts w:ascii="Times New Roman" w:hAnsi="Times New Roman" w:cs="Times New Roman"/>
          <w:color w:val="0070C0"/>
          <w:sz w:val="24"/>
          <w:szCs w:val="24"/>
        </w:rPr>
        <w:t xml:space="preserve">hahzad et al. (2018) also find that the past shocks of Islamic stock </w:t>
      </w:r>
      <w:r w:rsidR="003E54E2">
        <w:rPr>
          <w:rFonts w:ascii="Times New Roman" w:hAnsi="Times New Roman" w:cs="Times New Roman"/>
          <w:color w:val="0070C0"/>
          <w:sz w:val="24"/>
          <w:szCs w:val="24"/>
        </w:rPr>
        <w:t xml:space="preserve">sectors and </w:t>
      </w:r>
      <w:r w:rsidR="00241C95" w:rsidRPr="00241C95">
        <w:rPr>
          <w:rFonts w:ascii="Times New Roman" w:hAnsi="Times New Roman" w:cs="Times New Roman"/>
          <w:color w:val="0070C0"/>
          <w:sz w:val="24"/>
          <w:szCs w:val="24"/>
        </w:rPr>
        <w:t>markets influence their current volatility.</w:t>
      </w:r>
      <w:r w:rsidR="003704EE" w:rsidRPr="00241C95">
        <w:rPr>
          <w:rFonts w:ascii="Times New Roman" w:hAnsi="Times New Roman" w:cs="Times New Roman"/>
          <w:color w:val="0070C0"/>
          <w:sz w:val="24"/>
          <w:szCs w:val="24"/>
        </w:rPr>
        <w:t xml:space="preserve"> </w:t>
      </w:r>
      <w:r w:rsidR="003704EE">
        <w:rPr>
          <w:rFonts w:ascii="Times New Roman" w:hAnsi="Times New Roman" w:cs="Times New Roman"/>
          <w:sz w:val="24"/>
          <w:szCs w:val="24"/>
        </w:rPr>
        <w:t xml:space="preserve">Moreover, </w:t>
      </w:r>
      <w:r w:rsidR="00153DB5">
        <w:rPr>
          <w:rFonts w:ascii="Times New Roman" w:hAnsi="Times New Roman" w:cs="Times New Roman"/>
          <w:sz w:val="24"/>
          <w:szCs w:val="24"/>
        </w:rPr>
        <w:t xml:space="preserve">lag volatility also influences the current volatility </w:t>
      </w:r>
      <w:r w:rsidR="00D91D26">
        <w:rPr>
          <w:rFonts w:ascii="Times New Roman" w:hAnsi="Times New Roman" w:cs="Times New Roman"/>
          <w:sz w:val="24"/>
          <w:szCs w:val="24"/>
        </w:rPr>
        <w:t xml:space="preserve">in Islamic </w:t>
      </w:r>
      <w:r w:rsidR="00D91D26" w:rsidRPr="0007487E">
        <w:rPr>
          <w:rFonts w:ascii="Times New Roman" w:hAnsi="Times New Roman" w:cs="Times New Roman"/>
          <w:sz w:val="24"/>
          <w:szCs w:val="24"/>
        </w:rPr>
        <w:t>sectorial</w:t>
      </w:r>
      <w:r w:rsidR="00D91D26">
        <w:rPr>
          <w:rFonts w:ascii="Times New Roman" w:hAnsi="Times New Roman" w:cs="Times New Roman"/>
          <w:sz w:val="24"/>
          <w:szCs w:val="24"/>
        </w:rPr>
        <w:t xml:space="preserve"> equity and </w:t>
      </w:r>
      <w:r w:rsidR="00952945">
        <w:rPr>
          <w:rFonts w:ascii="Times New Roman" w:hAnsi="Times New Roman" w:cs="Times New Roman"/>
          <w:sz w:val="24"/>
          <w:szCs w:val="24"/>
        </w:rPr>
        <w:t xml:space="preserve">Onegram </w:t>
      </w:r>
      <w:r w:rsidR="00D91D26">
        <w:rPr>
          <w:rFonts w:ascii="Times New Roman" w:hAnsi="Times New Roman" w:cs="Times New Roman"/>
          <w:sz w:val="24"/>
          <w:szCs w:val="24"/>
        </w:rPr>
        <w:t>cryptocurrency market</w:t>
      </w:r>
      <w:r w:rsidR="009075E7">
        <w:rPr>
          <w:rFonts w:ascii="Times New Roman" w:hAnsi="Times New Roman" w:cs="Times New Roman"/>
          <w:sz w:val="24"/>
          <w:szCs w:val="24"/>
        </w:rPr>
        <w:t xml:space="preserve"> during both sample periods</w:t>
      </w:r>
      <w:r w:rsidR="00952945">
        <w:rPr>
          <w:rFonts w:ascii="Times New Roman" w:hAnsi="Times New Roman" w:cs="Times New Roman"/>
          <w:sz w:val="24"/>
          <w:szCs w:val="24"/>
        </w:rPr>
        <w:t xml:space="preserve">, implying the </w:t>
      </w:r>
      <w:proofErr w:type="spellStart"/>
      <w:r w:rsidR="00952945">
        <w:rPr>
          <w:rFonts w:ascii="Times New Roman" w:hAnsi="Times New Roman" w:cs="Times New Roman"/>
          <w:sz w:val="24"/>
          <w:szCs w:val="24"/>
        </w:rPr>
        <w:t>forecastibility</w:t>
      </w:r>
      <w:proofErr w:type="spellEnd"/>
      <w:r w:rsidR="00952945">
        <w:rPr>
          <w:rFonts w:ascii="Times New Roman" w:hAnsi="Times New Roman" w:cs="Times New Roman"/>
          <w:sz w:val="24"/>
          <w:szCs w:val="24"/>
        </w:rPr>
        <w:t xml:space="preserve"> of Islamic equity sectors and Onegram through their past returns</w:t>
      </w:r>
      <w:r w:rsidR="00D91D26">
        <w:rPr>
          <w:rFonts w:ascii="Times New Roman" w:hAnsi="Times New Roman" w:cs="Times New Roman"/>
          <w:sz w:val="24"/>
          <w:szCs w:val="24"/>
        </w:rPr>
        <w:t>.</w:t>
      </w:r>
      <w:r w:rsidR="00F57227">
        <w:rPr>
          <w:rFonts w:ascii="Times New Roman" w:hAnsi="Times New Roman" w:cs="Times New Roman"/>
          <w:sz w:val="24"/>
          <w:szCs w:val="24"/>
        </w:rPr>
        <w:t xml:space="preserve"> </w:t>
      </w:r>
      <w:r w:rsidR="00D5319C" w:rsidRPr="00EA0DB9">
        <w:rPr>
          <w:rFonts w:ascii="Times New Roman" w:hAnsi="Times New Roman" w:cs="Times New Roman"/>
          <w:color w:val="0070C0"/>
          <w:sz w:val="24"/>
          <w:szCs w:val="24"/>
        </w:rPr>
        <w:t xml:space="preserve">Ng et al. (2020) also find that the past volatility of Islamic equity sectors affects their current volatility. </w:t>
      </w:r>
      <w:proofErr w:type="spellStart"/>
      <w:r w:rsidR="00302F6F" w:rsidRPr="00302F6F">
        <w:rPr>
          <w:rFonts w:ascii="Times New Roman" w:hAnsi="Times New Roman" w:cs="Times New Roman"/>
          <w:color w:val="0070C0"/>
          <w:sz w:val="24"/>
          <w:szCs w:val="24"/>
        </w:rPr>
        <w:t>Lahmiri</w:t>
      </w:r>
      <w:proofErr w:type="spellEnd"/>
      <w:r w:rsidR="00302F6F">
        <w:rPr>
          <w:rFonts w:ascii="Times New Roman" w:hAnsi="Times New Roman" w:cs="Times New Roman"/>
          <w:color w:val="0070C0"/>
          <w:sz w:val="24"/>
          <w:szCs w:val="24"/>
        </w:rPr>
        <w:t xml:space="preserve"> and</w:t>
      </w:r>
      <w:r w:rsidR="00302F6F" w:rsidRPr="00302F6F">
        <w:rPr>
          <w:rFonts w:ascii="Times New Roman" w:hAnsi="Times New Roman" w:cs="Times New Roman"/>
          <w:color w:val="0070C0"/>
          <w:sz w:val="24"/>
          <w:szCs w:val="24"/>
        </w:rPr>
        <w:t xml:space="preserve"> </w:t>
      </w:r>
      <w:proofErr w:type="spellStart"/>
      <w:r w:rsidR="00302F6F" w:rsidRPr="00302F6F">
        <w:rPr>
          <w:rFonts w:ascii="Times New Roman" w:hAnsi="Times New Roman" w:cs="Times New Roman"/>
          <w:color w:val="0070C0"/>
          <w:sz w:val="24"/>
          <w:szCs w:val="24"/>
        </w:rPr>
        <w:t>Bekiros</w:t>
      </w:r>
      <w:proofErr w:type="spellEnd"/>
      <w:r w:rsidR="00302F6F" w:rsidRPr="00302F6F">
        <w:rPr>
          <w:rFonts w:ascii="Times New Roman" w:hAnsi="Times New Roman" w:cs="Times New Roman"/>
          <w:color w:val="0070C0"/>
          <w:sz w:val="24"/>
          <w:szCs w:val="24"/>
        </w:rPr>
        <w:t xml:space="preserve"> (2019</w:t>
      </w:r>
      <w:r w:rsidR="00302F6F">
        <w:rPr>
          <w:rFonts w:ascii="Times New Roman" w:hAnsi="Times New Roman" w:cs="Times New Roman"/>
          <w:color w:val="0070C0"/>
          <w:sz w:val="24"/>
          <w:szCs w:val="24"/>
        </w:rPr>
        <w:t xml:space="preserve">) also report that volatility </w:t>
      </w:r>
      <w:r w:rsidR="00952945">
        <w:rPr>
          <w:rFonts w:ascii="Times New Roman" w:hAnsi="Times New Roman" w:cs="Times New Roman"/>
          <w:color w:val="0070C0"/>
          <w:sz w:val="24"/>
          <w:szCs w:val="24"/>
        </w:rPr>
        <w:t xml:space="preserve">of Onegram </w:t>
      </w:r>
      <w:r w:rsidR="00302F6F">
        <w:rPr>
          <w:rFonts w:ascii="Times New Roman" w:hAnsi="Times New Roman" w:cs="Times New Roman"/>
          <w:color w:val="0070C0"/>
          <w:sz w:val="24"/>
          <w:szCs w:val="24"/>
        </w:rPr>
        <w:t>can be forecasted</w:t>
      </w:r>
      <w:r w:rsidR="00D5319C" w:rsidRPr="00EA0DB9">
        <w:rPr>
          <w:rFonts w:ascii="Times New Roman" w:hAnsi="Times New Roman" w:cs="Times New Roman"/>
          <w:color w:val="0070C0"/>
          <w:sz w:val="24"/>
          <w:szCs w:val="24"/>
        </w:rPr>
        <w:t xml:space="preserve"> </w:t>
      </w:r>
      <w:r w:rsidR="00952945">
        <w:rPr>
          <w:rFonts w:ascii="Times New Roman" w:hAnsi="Times New Roman" w:cs="Times New Roman"/>
          <w:color w:val="0070C0"/>
          <w:sz w:val="24"/>
          <w:szCs w:val="24"/>
        </w:rPr>
        <w:t xml:space="preserve">through their past volatility. </w:t>
      </w:r>
      <w:r w:rsidR="00F57227">
        <w:rPr>
          <w:rFonts w:ascii="Times New Roman" w:hAnsi="Times New Roman" w:cs="Times New Roman"/>
          <w:sz w:val="24"/>
          <w:szCs w:val="24"/>
        </w:rPr>
        <w:t xml:space="preserve">The results also reveal that </w:t>
      </w:r>
      <w:r w:rsidR="00D66F0F">
        <w:rPr>
          <w:rFonts w:ascii="Times New Roman" w:hAnsi="Times New Roman" w:cs="Times New Roman"/>
          <w:sz w:val="24"/>
          <w:szCs w:val="24"/>
        </w:rPr>
        <w:t>the coefficients of past own</w:t>
      </w:r>
      <w:r w:rsidR="009604A1">
        <w:rPr>
          <w:rFonts w:ascii="Times New Roman" w:hAnsi="Times New Roman" w:cs="Times New Roman"/>
          <w:sz w:val="24"/>
          <w:szCs w:val="24"/>
        </w:rPr>
        <w:t xml:space="preserve"> </w:t>
      </w:r>
      <w:r w:rsidR="00D66F0F">
        <w:rPr>
          <w:rFonts w:ascii="Times New Roman" w:hAnsi="Times New Roman" w:cs="Times New Roman"/>
          <w:sz w:val="24"/>
          <w:szCs w:val="24"/>
        </w:rPr>
        <w:t>volatility</w:t>
      </w:r>
      <w:r w:rsidR="009604A1">
        <w:rPr>
          <w:rFonts w:ascii="Times New Roman" w:hAnsi="Times New Roman" w:cs="Times New Roman"/>
          <w:sz w:val="24"/>
          <w:szCs w:val="24"/>
        </w:rPr>
        <w:t xml:space="preserve"> </w:t>
      </w:r>
      <w:r w:rsidR="00D66F0F">
        <w:rPr>
          <w:rFonts w:ascii="Times New Roman" w:hAnsi="Times New Roman" w:cs="Times New Roman"/>
          <w:sz w:val="24"/>
          <w:szCs w:val="24"/>
        </w:rPr>
        <w:t>are higher compared to the past own sho</w:t>
      </w:r>
      <w:r w:rsidR="009604A1">
        <w:rPr>
          <w:rFonts w:ascii="Times New Roman" w:hAnsi="Times New Roman" w:cs="Times New Roman"/>
          <w:sz w:val="24"/>
          <w:szCs w:val="24"/>
        </w:rPr>
        <w:t>cks</w:t>
      </w:r>
      <w:r w:rsidR="005F7919">
        <w:rPr>
          <w:rFonts w:ascii="Times New Roman" w:hAnsi="Times New Roman" w:cs="Times New Roman"/>
          <w:sz w:val="24"/>
          <w:szCs w:val="24"/>
        </w:rPr>
        <w:t xml:space="preserve">, </w:t>
      </w:r>
      <w:r w:rsidR="005F7919" w:rsidRPr="00644B3B">
        <w:rPr>
          <w:rFonts w:ascii="Times New Roman" w:hAnsi="Times New Roman" w:cs="Times New Roman"/>
          <w:color w:val="0070C0"/>
          <w:sz w:val="24"/>
          <w:szCs w:val="24"/>
        </w:rPr>
        <w:lastRenderedPageBreak/>
        <w:t xml:space="preserve">suggesting that </w:t>
      </w:r>
      <w:r w:rsidR="00CA3C73" w:rsidRPr="00644B3B">
        <w:rPr>
          <w:rFonts w:ascii="Times New Roman" w:hAnsi="Times New Roman" w:cs="Times New Roman"/>
          <w:color w:val="0070C0"/>
          <w:sz w:val="24"/>
          <w:szCs w:val="24"/>
        </w:rPr>
        <w:t xml:space="preserve">past volatility is </w:t>
      </w:r>
      <w:r w:rsidR="001E7B9F" w:rsidRPr="00644B3B">
        <w:rPr>
          <w:rFonts w:ascii="Times New Roman" w:hAnsi="Times New Roman" w:cs="Times New Roman"/>
          <w:color w:val="0070C0"/>
          <w:sz w:val="24"/>
          <w:szCs w:val="24"/>
        </w:rPr>
        <w:t xml:space="preserve">a </w:t>
      </w:r>
      <w:r w:rsidR="00CA3C73" w:rsidRPr="00644B3B">
        <w:rPr>
          <w:rFonts w:ascii="Times New Roman" w:hAnsi="Times New Roman" w:cs="Times New Roman"/>
          <w:color w:val="0070C0"/>
          <w:sz w:val="24"/>
          <w:szCs w:val="24"/>
        </w:rPr>
        <w:t xml:space="preserve">more important factor in </w:t>
      </w:r>
      <w:r w:rsidR="00827271" w:rsidRPr="00644B3B">
        <w:rPr>
          <w:rFonts w:ascii="Times New Roman" w:hAnsi="Times New Roman" w:cs="Times New Roman"/>
          <w:color w:val="0070C0"/>
          <w:sz w:val="24"/>
          <w:szCs w:val="24"/>
        </w:rPr>
        <w:t>forecasting</w:t>
      </w:r>
      <w:r w:rsidR="00CA3C73" w:rsidRPr="00644B3B">
        <w:rPr>
          <w:rFonts w:ascii="Times New Roman" w:hAnsi="Times New Roman" w:cs="Times New Roman"/>
          <w:color w:val="0070C0"/>
          <w:sz w:val="24"/>
          <w:szCs w:val="24"/>
        </w:rPr>
        <w:t xml:space="preserve"> the current </w:t>
      </w:r>
      <w:r w:rsidR="00827271" w:rsidRPr="00644B3B">
        <w:rPr>
          <w:rFonts w:ascii="Times New Roman" w:hAnsi="Times New Roman" w:cs="Times New Roman"/>
          <w:color w:val="0070C0"/>
          <w:sz w:val="24"/>
          <w:szCs w:val="24"/>
        </w:rPr>
        <w:t>volatility</w:t>
      </w:r>
      <w:r w:rsidR="00CC02A5" w:rsidRPr="00644B3B">
        <w:rPr>
          <w:rFonts w:ascii="Times New Roman" w:hAnsi="Times New Roman" w:cs="Times New Roman"/>
          <w:color w:val="0070C0"/>
          <w:sz w:val="24"/>
          <w:szCs w:val="24"/>
        </w:rPr>
        <w:t xml:space="preserve"> as compared to past shocks</w:t>
      </w:r>
      <w:r w:rsidR="00C72262" w:rsidRPr="00644B3B">
        <w:rPr>
          <w:rFonts w:ascii="Times New Roman" w:hAnsi="Times New Roman" w:cs="Times New Roman"/>
          <w:color w:val="0070C0"/>
          <w:sz w:val="24"/>
          <w:szCs w:val="24"/>
        </w:rPr>
        <w:t xml:space="preserve"> in Islamic sectorial equity and cryptocurrency markets. </w:t>
      </w:r>
      <w:r w:rsidR="00E451A2">
        <w:rPr>
          <w:rFonts w:ascii="Times New Roman" w:hAnsi="Times New Roman" w:cs="Times New Roman"/>
          <w:sz w:val="24"/>
          <w:szCs w:val="24"/>
        </w:rPr>
        <w:t>The cross</w:t>
      </w:r>
      <w:r w:rsidR="00B45BD8">
        <w:rPr>
          <w:rFonts w:ascii="Times New Roman" w:hAnsi="Times New Roman" w:cs="Times New Roman"/>
          <w:sz w:val="24"/>
          <w:szCs w:val="24"/>
        </w:rPr>
        <w:t>-</w:t>
      </w:r>
      <w:r w:rsidR="00EA0A6E">
        <w:rPr>
          <w:rFonts w:ascii="Times New Roman" w:hAnsi="Times New Roman" w:cs="Times New Roman"/>
          <w:sz w:val="24"/>
          <w:szCs w:val="24"/>
        </w:rPr>
        <w:t xml:space="preserve">market </w:t>
      </w:r>
      <w:r w:rsidR="00E451A2">
        <w:rPr>
          <w:rFonts w:ascii="Times New Roman" w:hAnsi="Times New Roman" w:cs="Times New Roman"/>
          <w:sz w:val="24"/>
          <w:szCs w:val="24"/>
        </w:rPr>
        <w:t xml:space="preserve">shock spillover results reveal that </w:t>
      </w:r>
      <w:r w:rsidR="00B45BD8">
        <w:rPr>
          <w:rFonts w:ascii="Times New Roman" w:hAnsi="Times New Roman" w:cs="Times New Roman"/>
          <w:sz w:val="24"/>
          <w:szCs w:val="24"/>
        </w:rPr>
        <w:t xml:space="preserve">the </w:t>
      </w:r>
      <w:r w:rsidR="00332E68">
        <w:rPr>
          <w:rFonts w:ascii="Times New Roman" w:hAnsi="Times New Roman" w:cs="Times New Roman"/>
          <w:sz w:val="24"/>
          <w:szCs w:val="24"/>
        </w:rPr>
        <w:t xml:space="preserve">shock transmission </w:t>
      </w:r>
      <w:r w:rsidR="00451C94">
        <w:rPr>
          <w:rFonts w:ascii="Times New Roman" w:hAnsi="Times New Roman" w:cs="Times New Roman"/>
          <w:sz w:val="24"/>
          <w:szCs w:val="24"/>
        </w:rPr>
        <w:t xml:space="preserve">is unidirectional from the communication services, </w:t>
      </w:r>
      <w:r w:rsidR="009E5FDD">
        <w:rPr>
          <w:rFonts w:ascii="Times New Roman" w:hAnsi="Times New Roman" w:cs="Times New Roman"/>
          <w:sz w:val="24"/>
          <w:szCs w:val="24"/>
        </w:rPr>
        <w:t>energy, information technology, materials, and real estate sector</w:t>
      </w:r>
      <w:r w:rsidR="009C2DFA">
        <w:rPr>
          <w:rFonts w:ascii="Times New Roman" w:hAnsi="Times New Roman" w:cs="Times New Roman"/>
          <w:sz w:val="24"/>
          <w:szCs w:val="24"/>
        </w:rPr>
        <w:t>s</w:t>
      </w:r>
      <w:r w:rsidR="009E5FDD">
        <w:rPr>
          <w:rFonts w:ascii="Times New Roman" w:hAnsi="Times New Roman" w:cs="Times New Roman"/>
          <w:sz w:val="24"/>
          <w:szCs w:val="24"/>
        </w:rPr>
        <w:t xml:space="preserve"> to the </w:t>
      </w:r>
      <w:r w:rsidR="00EF74E5">
        <w:rPr>
          <w:rFonts w:ascii="Times New Roman" w:hAnsi="Times New Roman" w:cs="Times New Roman"/>
          <w:sz w:val="24"/>
          <w:szCs w:val="24"/>
        </w:rPr>
        <w:t xml:space="preserve">Onegram </w:t>
      </w:r>
      <w:r w:rsidR="009860B5">
        <w:rPr>
          <w:rFonts w:ascii="Times New Roman" w:hAnsi="Times New Roman" w:cs="Times New Roman"/>
          <w:sz w:val="24"/>
          <w:szCs w:val="24"/>
        </w:rPr>
        <w:t xml:space="preserve">during </w:t>
      </w:r>
      <w:r w:rsidR="001E7B9F">
        <w:rPr>
          <w:rFonts w:ascii="Times New Roman" w:hAnsi="Times New Roman" w:cs="Times New Roman"/>
          <w:sz w:val="24"/>
          <w:szCs w:val="24"/>
        </w:rPr>
        <w:t xml:space="preserve">the </w:t>
      </w:r>
      <w:r w:rsidR="009860B5">
        <w:rPr>
          <w:rFonts w:ascii="Times New Roman" w:hAnsi="Times New Roman" w:cs="Times New Roman"/>
          <w:sz w:val="24"/>
          <w:szCs w:val="24"/>
        </w:rPr>
        <w:t>pre-COVID-19 period</w:t>
      </w:r>
      <w:r w:rsidR="00607B87">
        <w:rPr>
          <w:rFonts w:ascii="Times New Roman" w:hAnsi="Times New Roman" w:cs="Times New Roman"/>
          <w:sz w:val="24"/>
          <w:szCs w:val="24"/>
        </w:rPr>
        <w:t xml:space="preserve">. During the COVID-19, the shock </w:t>
      </w:r>
      <w:r w:rsidR="009C2DFA">
        <w:rPr>
          <w:rFonts w:ascii="Times New Roman" w:hAnsi="Times New Roman" w:cs="Times New Roman"/>
          <w:sz w:val="24"/>
          <w:szCs w:val="24"/>
        </w:rPr>
        <w:t xml:space="preserve">spillover is unidirectional from communication services, </w:t>
      </w:r>
      <w:r w:rsidR="005C6649">
        <w:rPr>
          <w:rFonts w:ascii="Times New Roman" w:hAnsi="Times New Roman" w:cs="Times New Roman"/>
          <w:sz w:val="24"/>
          <w:szCs w:val="24"/>
        </w:rPr>
        <w:t>financials, and utilities sectors to the Onegram</w:t>
      </w:r>
      <w:r w:rsidR="001D1A09">
        <w:rPr>
          <w:rFonts w:ascii="Times New Roman" w:hAnsi="Times New Roman" w:cs="Times New Roman"/>
          <w:sz w:val="24"/>
          <w:szCs w:val="24"/>
        </w:rPr>
        <w:t>, and from</w:t>
      </w:r>
      <w:r w:rsidR="005C6649">
        <w:rPr>
          <w:rFonts w:ascii="Times New Roman" w:hAnsi="Times New Roman" w:cs="Times New Roman"/>
          <w:sz w:val="24"/>
          <w:szCs w:val="24"/>
        </w:rPr>
        <w:t xml:space="preserve"> </w:t>
      </w:r>
      <w:r w:rsidR="00616C00">
        <w:rPr>
          <w:rFonts w:ascii="Times New Roman" w:hAnsi="Times New Roman" w:cs="Times New Roman"/>
          <w:sz w:val="24"/>
          <w:szCs w:val="24"/>
        </w:rPr>
        <w:t xml:space="preserve">Onegram to the </w:t>
      </w:r>
      <w:r w:rsidR="001D1A09">
        <w:rPr>
          <w:rFonts w:ascii="Times New Roman" w:hAnsi="Times New Roman" w:cs="Times New Roman"/>
          <w:sz w:val="24"/>
          <w:szCs w:val="24"/>
        </w:rPr>
        <w:t>c</w:t>
      </w:r>
      <w:r w:rsidR="00E05D29">
        <w:rPr>
          <w:rFonts w:ascii="Times New Roman" w:hAnsi="Times New Roman" w:cs="Times New Roman"/>
          <w:sz w:val="24"/>
          <w:szCs w:val="24"/>
        </w:rPr>
        <w:t>onsumer discretionary, industrials</w:t>
      </w:r>
      <w:r w:rsidR="008B67A0">
        <w:rPr>
          <w:rFonts w:ascii="Times New Roman" w:hAnsi="Times New Roman" w:cs="Times New Roman"/>
          <w:sz w:val="24"/>
          <w:szCs w:val="24"/>
        </w:rPr>
        <w:t xml:space="preserve">, and </w:t>
      </w:r>
      <w:r w:rsidR="00616C00">
        <w:rPr>
          <w:rFonts w:ascii="Times New Roman" w:hAnsi="Times New Roman" w:cs="Times New Roman"/>
          <w:sz w:val="24"/>
          <w:szCs w:val="24"/>
        </w:rPr>
        <w:t>materials</w:t>
      </w:r>
      <w:r w:rsidR="009C2DFA">
        <w:rPr>
          <w:rFonts w:ascii="Times New Roman" w:hAnsi="Times New Roman" w:cs="Times New Roman"/>
          <w:sz w:val="24"/>
          <w:szCs w:val="24"/>
        </w:rPr>
        <w:t xml:space="preserve"> </w:t>
      </w:r>
      <w:r w:rsidR="00616C00">
        <w:rPr>
          <w:rFonts w:ascii="Times New Roman" w:hAnsi="Times New Roman" w:cs="Times New Roman"/>
          <w:sz w:val="24"/>
          <w:szCs w:val="24"/>
        </w:rPr>
        <w:t>sectors</w:t>
      </w:r>
      <w:r w:rsidR="004277FB">
        <w:rPr>
          <w:rFonts w:ascii="Times New Roman" w:hAnsi="Times New Roman" w:cs="Times New Roman"/>
          <w:sz w:val="24"/>
          <w:szCs w:val="24"/>
        </w:rPr>
        <w:t>.</w:t>
      </w:r>
    </w:p>
    <w:p w14:paraId="38B9F256" w14:textId="13A481F6" w:rsidR="002D3669" w:rsidRPr="00644B3B" w:rsidRDefault="004277FB" w:rsidP="00580352">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The cross-market volatility spillover</w:t>
      </w:r>
      <w:r w:rsidR="00F6774A">
        <w:rPr>
          <w:rFonts w:ascii="Times New Roman" w:hAnsi="Times New Roman" w:cs="Times New Roman"/>
          <w:sz w:val="24"/>
          <w:szCs w:val="24"/>
        </w:rPr>
        <w:t xml:space="preserve">s are found to be </w:t>
      </w:r>
      <w:r w:rsidR="008F250A">
        <w:rPr>
          <w:rFonts w:ascii="Times New Roman" w:hAnsi="Times New Roman" w:cs="Times New Roman"/>
          <w:sz w:val="24"/>
          <w:szCs w:val="24"/>
        </w:rPr>
        <w:t>unidirectional from Onegram to</w:t>
      </w:r>
      <w:r w:rsidR="00761670">
        <w:rPr>
          <w:rFonts w:ascii="Times New Roman" w:hAnsi="Times New Roman" w:cs="Times New Roman"/>
          <w:sz w:val="24"/>
          <w:szCs w:val="24"/>
        </w:rPr>
        <w:t xml:space="preserve"> few equity sectors, like </w:t>
      </w:r>
      <w:r w:rsidR="00F74324">
        <w:rPr>
          <w:rFonts w:ascii="Times New Roman" w:hAnsi="Times New Roman" w:cs="Times New Roman"/>
          <w:sz w:val="24"/>
          <w:szCs w:val="24"/>
        </w:rPr>
        <w:t>communicat</w:t>
      </w:r>
      <w:r w:rsidR="007B6222">
        <w:rPr>
          <w:rFonts w:ascii="Times New Roman" w:hAnsi="Times New Roman" w:cs="Times New Roman"/>
          <w:sz w:val="24"/>
          <w:szCs w:val="24"/>
        </w:rPr>
        <w:t>ion services, industrials, and materials</w:t>
      </w:r>
      <w:r w:rsidR="008F250A">
        <w:rPr>
          <w:rFonts w:ascii="Times New Roman" w:hAnsi="Times New Roman" w:cs="Times New Roman"/>
          <w:sz w:val="24"/>
          <w:szCs w:val="24"/>
        </w:rPr>
        <w:t xml:space="preserve"> sectors</w:t>
      </w:r>
      <w:r w:rsidR="00761670">
        <w:rPr>
          <w:rFonts w:ascii="Times New Roman" w:hAnsi="Times New Roman" w:cs="Times New Roman"/>
          <w:sz w:val="24"/>
          <w:szCs w:val="24"/>
        </w:rPr>
        <w:t>,</w:t>
      </w:r>
      <w:r w:rsidR="008F250A">
        <w:rPr>
          <w:rFonts w:ascii="Times New Roman" w:hAnsi="Times New Roman" w:cs="Times New Roman"/>
          <w:sz w:val="24"/>
          <w:szCs w:val="24"/>
        </w:rPr>
        <w:t xml:space="preserve"> during </w:t>
      </w:r>
      <w:r w:rsidR="001E7B9F">
        <w:rPr>
          <w:rFonts w:ascii="Times New Roman" w:hAnsi="Times New Roman" w:cs="Times New Roman"/>
          <w:sz w:val="24"/>
          <w:szCs w:val="24"/>
        </w:rPr>
        <w:t xml:space="preserve">the </w:t>
      </w:r>
      <w:r w:rsidR="008F250A">
        <w:rPr>
          <w:rFonts w:ascii="Times New Roman" w:hAnsi="Times New Roman" w:cs="Times New Roman"/>
          <w:sz w:val="24"/>
          <w:szCs w:val="24"/>
        </w:rPr>
        <w:t xml:space="preserve">pre-COVID-19 period. </w:t>
      </w:r>
      <w:r w:rsidR="009B64C9">
        <w:rPr>
          <w:rFonts w:ascii="Times New Roman" w:hAnsi="Times New Roman" w:cs="Times New Roman"/>
          <w:sz w:val="24"/>
          <w:szCs w:val="24"/>
        </w:rPr>
        <w:t>The volatility spillovers are not significant</w:t>
      </w:r>
      <w:r w:rsidR="00860B61">
        <w:rPr>
          <w:rFonts w:ascii="Times New Roman" w:hAnsi="Times New Roman" w:cs="Times New Roman"/>
          <w:sz w:val="24"/>
          <w:szCs w:val="24"/>
        </w:rPr>
        <w:t xml:space="preserve"> between Onegram and most equity sectors, </w:t>
      </w:r>
      <w:r w:rsidR="00C03594" w:rsidRPr="00644B3B">
        <w:rPr>
          <w:rFonts w:ascii="Times New Roman" w:hAnsi="Times New Roman" w:cs="Times New Roman"/>
          <w:color w:val="0070C0"/>
          <w:sz w:val="24"/>
          <w:szCs w:val="24"/>
        </w:rPr>
        <w:t xml:space="preserve">therefore Onegram provides diversification opportunities for the portfolios of </w:t>
      </w:r>
      <w:proofErr w:type="gramStart"/>
      <w:r w:rsidR="001E7B9F" w:rsidRPr="00644B3B">
        <w:rPr>
          <w:rFonts w:ascii="Times New Roman" w:hAnsi="Times New Roman" w:cs="Times New Roman"/>
          <w:color w:val="0070C0"/>
          <w:sz w:val="24"/>
          <w:szCs w:val="24"/>
        </w:rPr>
        <w:t xml:space="preserve">the </w:t>
      </w:r>
      <w:r w:rsidR="00C03594" w:rsidRPr="00644B3B">
        <w:rPr>
          <w:rFonts w:ascii="Times New Roman" w:hAnsi="Times New Roman" w:cs="Times New Roman"/>
          <w:color w:val="0070C0"/>
          <w:sz w:val="24"/>
          <w:szCs w:val="24"/>
        </w:rPr>
        <w:t>majority of</w:t>
      </w:r>
      <w:proofErr w:type="gramEnd"/>
      <w:r w:rsidR="00C03594" w:rsidRPr="00644B3B">
        <w:rPr>
          <w:rFonts w:ascii="Times New Roman" w:hAnsi="Times New Roman" w:cs="Times New Roman"/>
          <w:color w:val="0070C0"/>
          <w:sz w:val="24"/>
          <w:szCs w:val="24"/>
        </w:rPr>
        <w:t xml:space="preserve"> equity sectors during the pre-COVID-19. </w:t>
      </w:r>
      <w:r w:rsidR="001D34D4">
        <w:rPr>
          <w:rFonts w:ascii="Times New Roman" w:hAnsi="Times New Roman" w:cs="Times New Roman"/>
          <w:sz w:val="24"/>
          <w:szCs w:val="24"/>
        </w:rPr>
        <w:t xml:space="preserve">During the COVID-19, the </w:t>
      </w:r>
      <w:r w:rsidR="00795058">
        <w:rPr>
          <w:rFonts w:ascii="Times New Roman" w:hAnsi="Times New Roman" w:cs="Times New Roman"/>
          <w:sz w:val="24"/>
          <w:szCs w:val="24"/>
        </w:rPr>
        <w:t xml:space="preserve">volatility spillover is unidirectional from </w:t>
      </w:r>
      <w:r w:rsidR="00D45550">
        <w:rPr>
          <w:rFonts w:ascii="Times New Roman" w:hAnsi="Times New Roman" w:cs="Times New Roman"/>
          <w:sz w:val="24"/>
          <w:szCs w:val="24"/>
        </w:rPr>
        <w:t xml:space="preserve">the </w:t>
      </w:r>
      <w:r w:rsidR="009A01C7">
        <w:rPr>
          <w:rFonts w:ascii="Times New Roman" w:hAnsi="Times New Roman" w:cs="Times New Roman"/>
          <w:sz w:val="24"/>
          <w:szCs w:val="24"/>
        </w:rPr>
        <w:t>consumer discretionary,</w:t>
      </w:r>
      <w:r w:rsidR="007E29E2">
        <w:rPr>
          <w:rFonts w:ascii="Times New Roman" w:hAnsi="Times New Roman" w:cs="Times New Roman"/>
          <w:sz w:val="24"/>
          <w:szCs w:val="24"/>
        </w:rPr>
        <w:t xml:space="preserve"> consumer staples,</w:t>
      </w:r>
      <w:r w:rsidR="00F31014">
        <w:rPr>
          <w:rFonts w:ascii="Times New Roman" w:hAnsi="Times New Roman" w:cs="Times New Roman"/>
          <w:sz w:val="24"/>
          <w:szCs w:val="24"/>
        </w:rPr>
        <w:t xml:space="preserve"> health care, industrials, information technology, </w:t>
      </w:r>
      <w:r w:rsidR="007E29E2">
        <w:rPr>
          <w:rFonts w:ascii="Times New Roman" w:hAnsi="Times New Roman" w:cs="Times New Roman"/>
          <w:sz w:val="24"/>
          <w:szCs w:val="24"/>
        </w:rPr>
        <w:t xml:space="preserve">materials, and real estate </w:t>
      </w:r>
      <w:r w:rsidR="00D45550">
        <w:rPr>
          <w:rFonts w:ascii="Times New Roman" w:hAnsi="Times New Roman" w:cs="Times New Roman"/>
          <w:sz w:val="24"/>
          <w:szCs w:val="24"/>
        </w:rPr>
        <w:t>sectors to the Onegram.</w:t>
      </w:r>
      <w:r w:rsidR="007E29E2">
        <w:rPr>
          <w:rFonts w:ascii="Times New Roman" w:hAnsi="Times New Roman" w:cs="Times New Roman"/>
          <w:sz w:val="24"/>
          <w:szCs w:val="24"/>
        </w:rPr>
        <w:t xml:space="preserve"> Moreover, </w:t>
      </w:r>
      <w:r w:rsidR="007B2E98">
        <w:rPr>
          <w:rFonts w:ascii="Times New Roman" w:hAnsi="Times New Roman" w:cs="Times New Roman"/>
          <w:sz w:val="24"/>
          <w:szCs w:val="24"/>
        </w:rPr>
        <w:t xml:space="preserve">there is a bidirectional volatility transmission between the utilities sector and Onegram during the COVID-19. </w:t>
      </w:r>
      <w:r w:rsidR="00220786">
        <w:rPr>
          <w:rFonts w:ascii="Times New Roman" w:hAnsi="Times New Roman" w:cs="Times New Roman"/>
          <w:sz w:val="24"/>
          <w:szCs w:val="24"/>
        </w:rPr>
        <w:t xml:space="preserve">As </w:t>
      </w:r>
      <w:r w:rsidR="00697865">
        <w:rPr>
          <w:rFonts w:ascii="Times New Roman" w:hAnsi="Times New Roman" w:cs="Times New Roman"/>
          <w:sz w:val="24"/>
          <w:szCs w:val="24"/>
        </w:rPr>
        <w:t xml:space="preserve">volatility </w:t>
      </w:r>
      <w:r w:rsidR="00220786">
        <w:rPr>
          <w:rFonts w:ascii="Times New Roman" w:hAnsi="Times New Roman" w:cs="Times New Roman"/>
          <w:sz w:val="24"/>
          <w:szCs w:val="24"/>
        </w:rPr>
        <w:t xml:space="preserve">spillovers are </w:t>
      </w:r>
      <w:r w:rsidR="00A20C24">
        <w:rPr>
          <w:rFonts w:ascii="Times New Roman" w:hAnsi="Times New Roman" w:cs="Times New Roman"/>
          <w:sz w:val="24"/>
          <w:szCs w:val="24"/>
        </w:rPr>
        <w:t xml:space="preserve">not significant </w:t>
      </w:r>
      <w:r w:rsidR="00992B48">
        <w:rPr>
          <w:rFonts w:ascii="Times New Roman" w:hAnsi="Times New Roman" w:cs="Times New Roman"/>
          <w:sz w:val="24"/>
          <w:szCs w:val="24"/>
        </w:rPr>
        <w:t>between the</w:t>
      </w:r>
      <w:r w:rsidR="00F65007">
        <w:rPr>
          <w:rFonts w:ascii="Times New Roman" w:hAnsi="Times New Roman" w:cs="Times New Roman"/>
          <w:sz w:val="24"/>
          <w:szCs w:val="24"/>
        </w:rPr>
        <w:t xml:space="preserve"> Onegram and </w:t>
      </w:r>
      <w:r w:rsidR="004A63A7">
        <w:rPr>
          <w:rFonts w:ascii="Times New Roman" w:hAnsi="Times New Roman" w:cs="Times New Roman"/>
          <w:sz w:val="24"/>
          <w:szCs w:val="24"/>
        </w:rPr>
        <w:t xml:space="preserve">few equity sectors </w:t>
      </w:r>
      <w:r w:rsidR="00046D34">
        <w:rPr>
          <w:rFonts w:ascii="Times New Roman" w:hAnsi="Times New Roman" w:cs="Times New Roman"/>
          <w:sz w:val="24"/>
          <w:szCs w:val="24"/>
        </w:rPr>
        <w:t xml:space="preserve">(i.e., </w:t>
      </w:r>
      <w:r w:rsidR="00E50218">
        <w:rPr>
          <w:rFonts w:ascii="Times New Roman" w:hAnsi="Times New Roman" w:cs="Times New Roman"/>
          <w:sz w:val="24"/>
          <w:szCs w:val="24"/>
        </w:rPr>
        <w:t xml:space="preserve">communication services, consumer staples, </w:t>
      </w:r>
      <w:r w:rsidR="00C63F58">
        <w:rPr>
          <w:rFonts w:ascii="Times New Roman" w:hAnsi="Times New Roman" w:cs="Times New Roman"/>
          <w:sz w:val="24"/>
          <w:szCs w:val="24"/>
        </w:rPr>
        <w:t xml:space="preserve">and </w:t>
      </w:r>
      <w:r w:rsidR="00697865">
        <w:rPr>
          <w:rFonts w:ascii="Times New Roman" w:hAnsi="Times New Roman" w:cs="Times New Roman"/>
          <w:sz w:val="24"/>
          <w:szCs w:val="24"/>
        </w:rPr>
        <w:t>e</w:t>
      </w:r>
      <w:r w:rsidR="00C63F58">
        <w:rPr>
          <w:rFonts w:ascii="Times New Roman" w:hAnsi="Times New Roman" w:cs="Times New Roman"/>
          <w:sz w:val="24"/>
          <w:szCs w:val="24"/>
        </w:rPr>
        <w:t>nergy</w:t>
      </w:r>
      <w:r w:rsidR="00046D34">
        <w:rPr>
          <w:rFonts w:ascii="Times New Roman" w:hAnsi="Times New Roman" w:cs="Times New Roman"/>
          <w:sz w:val="24"/>
          <w:szCs w:val="24"/>
        </w:rPr>
        <w:t>)</w:t>
      </w:r>
      <w:r w:rsidR="00992B48">
        <w:rPr>
          <w:rFonts w:ascii="Times New Roman" w:hAnsi="Times New Roman" w:cs="Times New Roman"/>
          <w:sz w:val="24"/>
          <w:szCs w:val="24"/>
        </w:rPr>
        <w:t xml:space="preserve"> sectors during </w:t>
      </w:r>
      <w:r w:rsidR="00046D34">
        <w:rPr>
          <w:rFonts w:ascii="Times New Roman" w:hAnsi="Times New Roman" w:cs="Times New Roman"/>
          <w:sz w:val="24"/>
          <w:szCs w:val="24"/>
        </w:rPr>
        <w:t xml:space="preserve">the COVID-19, </w:t>
      </w:r>
      <w:r w:rsidR="00046D34" w:rsidRPr="00644B3B">
        <w:rPr>
          <w:rFonts w:ascii="Times New Roman" w:hAnsi="Times New Roman" w:cs="Times New Roman"/>
          <w:color w:val="0070C0"/>
          <w:sz w:val="24"/>
          <w:szCs w:val="24"/>
        </w:rPr>
        <w:t xml:space="preserve">suggesting that </w:t>
      </w:r>
      <w:r w:rsidR="00697865" w:rsidRPr="00644B3B">
        <w:rPr>
          <w:rFonts w:ascii="Times New Roman" w:hAnsi="Times New Roman" w:cs="Times New Roman"/>
          <w:color w:val="0070C0"/>
          <w:sz w:val="24"/>
          <w:szCs w:val="24"/>
        </w:rPr>
        <w:t xml:space="preserve">investors can get </w:t>
      </w:r>
      <w:r w:rsidR="00916A75" w:rsidRPr="00644B3B">
        <w:rPr>
          <w:rFonts w:ascii="Times New Roman" w:hAnsi="Times New Roman" w:cs="Times New Roman"/>
          <w:color w:val="0070C0"/>
          <w:sz w:val="24"/>
          <w:szCs w:val="24"/>
        </w:rPr>
        <w:t xml:space="preserve">the </w:t>
      </w:r>
      <w:r w:rsidR="00697865" w:rsidRPr="00644B3B">
        <w:rPr>
          <w:rFonts w:ascii="Times New Roman" w:hAnsi="Times New Roman" w:cs="Times New Roman"/>
          <w:color w:val="0070C0"/>
          <w:sz w:val="24"/>
          <w:szCs w:val="24"/>
        </w:rPr>
        <w:t xml:space="preserve">maximum benefit of diversification by adding Onegram </w:t>
      </w:r>
      <w:r w:rsidR="00A039E2" w:rsidRPr="00644B3B">
        <w:rPr>
          <w:rFonts w:ascii="Times New Roman" w:hAnsi="Times New Roman" w:cs="Times New Roman"/>
          <w:color w:val="0070C0"/>
          <w:sz w:val="24"/>
          <w:szCs w:val="24"/>
        </w:rPr>
        <w:t xml:space="preserve">in the </w:t>
      </w:r>
      <w:r w:rsidR="00344A93" w:rsidRPr="00644B3B">
        <w:rPr>
          <w:rFonts w:ascii="Times New Roman" w:hAnsi="Times New Roman" w:cs="Times New Roman"/>
          <w:color w:val="0070C0"/>
          <w:sz w:val="24"/>
          <w:szCs w:val="24"/>
        </w:rPr>
        <w:t>communication services, consumer staples, and energy</w:t>
      </w:r>
      <w:r w:rsidR="00CD0416" w:rsidRPr="00644B3B">
        <w:rPr>
          <w:rFonts w:ascii="Times New Roman" w:hAnsi="Times New Roman" w:cs="Times New Roman"/>
          <w:color w:val="0070C0"/>
          <w:sz w:val="24"/>
          <w:szCs w:val="24"/>
        </w:rPr>
        <w:t xml:space="preserve"> </w:t>
      </w:r>
      <w:r w:rsidR="00A039E2" w:rsidRPr="00644B3B">
        <w:rPr>
          <w:rFonts w:ascii="Times New Roman" w:hAnsi="Times New Roman" w:cs="Times New Roman"/>
          <w:color w:val="0070C0"/>
          <w:sz w:val="24"/>
          <w:szCs w:val="24"/>
        </w:rPr>
        <w:t xml:space="preserve">Islamic </w:t>
      </w:r>
      <w:r w:rsidR="00A60AE3" w:rsidRPr="00644B3B">
        <w:rPr>
          <w:rFonts w:ascii="Times New Roman" w:hAnsi="Times New Roman" w:cs="Times New Roman"/>
          <w:color w:val="0070C0"/>
          <w:sz w:val="24"/>
          <w:szCs w:val="24"/>
        </w:rPr>
        <w:t xml:space="preserve">sectorial </w:t>
      </w:r>
      <w:r w:rsidR="00A039E2" w:rsidRPr="00644B3B">
        <w:rPr>
          <w:rFonts w:ascii="Times New Roman" w:hAnsi="Times New Roman" w:cs="Times New Roman"/>
          <w:color w:val="0070C0"/>
          <w:sz w:val="24"/>
          <w:szCs w:val="24"/>
        </w:rPr>
        <w:t xml:space="preserve">equity </w:t>
      </w:r>
      <w:r w:rsidR="009E36DC" w:rsidRPr="00644B3B">
        <w:rPr>
          <w:rFonts w:ascii="Times New Roman" w:hAnsi="Times New Roman" w:cs="Times New Roman"/>
          <w:color w:val="0070C0"/>
          <w:sz w:val="24"/>
          <w:szCs w:val="24"/>
        </w:rPr>
        <w:t>portfolio during</w:t>
      </w:r>
      <w:r w:rsidR="00A039E2" w:rsidRPr="00644B3B">
        <w:rPr>
          <w:rFonts w:ascii="Times New Roman" w:hAnsi="Times New Roman" w:cs="Times New Roman"/>
          <w:color w:val="0070C0"/>
          <w:sz w:val="24"/>
          <w:szCs w:val="24"/>
        </w:rPr>
        <w:t xml:space="preserve"> the COVID-19.</w:t>
      </w:r>
    </w:p>
    <w:p w14:paraId="0A05F293" w14:textId="0836D093" w:rsidR="006B26B7" w:rsidRDefault="001E2BC7" w:rsidP="00681744">
      <w:pPr>
        <w:spacing w:line="360" w:lineRule="auto"/>
        <w:jc w:val="both"/>
        <w:rPr>
          <w:rFonts w:ascii="Times New Roman" w:hAnsi="Times New Roman" w:cs="Times New Roman"/>
          <w:i/>
          <w:iCs/>
          <w:sz w:val="24"/>
          <w:szCs w:val="24"/>
        </w:rPr>
      </w:pPr>
      <w:r>
        <w:rPr>
          <w:rFonts w:ascii="Times New Roman" w:hAnsi="Times New Roman" w:cs="Times New Roman"/>
          <w:sz w:val="24"/>
          <w:szCs w:val="24"/>
        </w:rPr>
        <w:t>T</w:t>
      </w:r>
      <w:r w:rsidR="00FD2607">
        <w:rPr>
          <w:rFonts w:ascii="Times New Roman" w:hAnsi="Times New Roman" w:cs="Times New Roman"/>
          <w:sz w:val="24"/>
          <w:szCs w:val="24"/>
        </w:rPr>
        <w:t>he asymmetric coeffi</w:t>
      </w:r>
      <w:r w:rsidR="00B76E7B">
        <w:rPr>
          <w:rFonts w:ascii="Times New Roman" w:hAnsi="Times New Roman" w:cs="Times New Roman"/>
          <w:sz w:val="24"/>
          <w:szCs w:val="24"/>
        </w:rPr>
        <w:t>ci</w:t>
      </w:r>
      <w:r w:rsidR="00FD2607">
        <w:rPr>
          <w:rFonts w:ascii="Times New Roman" w:hAnsi="Times New Roman" w:cs="Times New Roman"/>
          <w:sz w:val="24"/>
          <w:szCs w:val="24"/>
        </w:rPr>
        <w:t xml:space="preserve">ents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11</m:t>
            </m:r>
          </m:sub>
        </m:sSub>
      </m:oMath>
      <w:r w:rsidR="00EC39EA">
        <w:rPr>
          <w:rFonts w:ascii="Times New Roman" w:eastAsiaTheme="minorEastAsia" w:hAnsi="Times New Roman" w:cs="Times New Roman"/>
          <w:sz w:val="24"/>
          <w:szCs w:val="24"/>
          <w:lang w:val="en-GB"/>
        </w:rPr>
        <w:t xml:space="preserve"> </w:t>
      </w:r>
      <w:r w:rsidR="00FD2607">
        <w:rPr>
          <w:rFonts w:ascii="Times New Roman" w:hAnsi="Times New Roman" w:cs="Times New Roman"/>
          <w:sz w:val="24"/>
          <w:szCs w:val="24"/>
        </w:rPr>
        <w:t>are found to be signi</w:t>
      </w:r>
      <w:r w:rsidR="00B76E7B">
        <w:rPr>
          <w:rFonts w:ascii="Times New Roman" w:hAnsi="Times New Roman" w:cs="Times New Roman"/>
          <w:sz w:val="24"/>
          <w:szCs w:val="24"/>
        </w:rPr>
        <w:t>ficant</w:t>
      </w:r>
      <w:r w:rsidR="00EC39EA">
        <w:rPr>
          <w:rFonts w:ascii="Times New Roman" w:hAnsi="Times New Roman" w:cs="Times New Roman"/>
          <w:sz w:val="24"/>
          <w:szCs w:val="24"/>
        </w:rPr>
        <w:t xml:space="preserve"> and positive</w:t>
      </w:r>
      <w:r w:rsidR="00E12571">
        <w:rPr>
          <w:rFonts w:ascii="Times New Roman" w:hAnsi="Times New Roman" w:cs="Times New Roman"/>
          <w:sz w:val="24"/>
          <w:szCs w:val="24"/>
        </w:rPr>
        <w:t xml:space="preserve"> during the pre-COVID-19</w:t>
      </w:r>
      <w:r w:rsidR="00745FA9">
        <w:rPr>
          <w:rFonts w:ascii="Times New Roman" w:hAnsi="Times New Roman" w:cs="Times New Roman"/>
          <w:sz w:val="24"/>
          <w:szCs w:val="24"/>
        </w:rPr>
        <w:t xml:space="preserve">, </w:t>
      </w:r>
      <w:r w:rsidR="00452ACB">
        <w:rPr>
          <w:rFonts w:ascii="Times New Roman" w:hAnsi="Times New Roman" w:cs="Times New Roman"/>
          <w:sz w:val="24"/>
          <w:szCs w:val="24"/>
        </w:rPr>
        <w:t xml:space="preserve">suggesting that negative own shocks increase the volatility more than the positive shocks in Islamic equity markets during </w:t>
      </w:r>
      <w:r w:rsidR="00916A75">
        <w:rPr>
          <w:rFonts w:ascii="Times New Roman" w:hAnsi="Times New Roman" w:cs="Times New Roman"/>
          <w:sz w:val="24"/>
          <w:szCs w:val="24"/>
        </w:rPr>
        <w:t xml:space="preserve">the </w:t>
      </w:r>
      <w:r w:rsidR="00452ACB">
        <w:rPr>
          <w:rFonts w:ascii="Times New Roman" w:hAnsi="Times New Roman" w:cs="Times New Roman"/>
          <w:sz w:val="24"/>
          <w:szCs w:val="24"/>
        </w:rPr>
        <w:t xml:space="preserve">pre-COVID-19 period. </w:t>
      </w:r>
      <w:r w:rsidR="00610DB0">
        <w:rPr>
          <w:rFonts w:ascii="Times New Roman" w:hAnsi="Times New Roman" w:cs="Times New Roman"/>
          <w:sz w:val="24"/>
          <w:szCs w:val="24"/>
        </w:rPr>
        <w:t xml:space="preserve">During the COVID-19, the </w:t>
      </w:r>
      <w:r w:rsidR="00DC4195">
        <w:rPr>
          <w:rFonts w:ascii="Times New Roman" w:hAnsi="Times New Roman" w:cs="Times New Roman"/>
          <w:sz w:val="24"/>
          <w:szCs w:val="24"/>
        </w:rPr>
        <w:t>coefficients</w:t>
      </w:r>
      <w:r w:rsidR="00610DB0">
        <w:rPr>
          <w:rFonts w:ascii="Times New Roman" w:hAnsi="Times New Roman" w:cs="Times New Roman"/>
          <w:sz w:val="24"/>
          <w:szCs w:val="24"/>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11</m:t>
            </m:r>
          </m:sub>
        </m:sSub>
      </m:oMath>
      <w:r w:rsidR="00DC4195">
        <w:rPr>
          <w:rFonts w:ascii="Times New Roman" w:hAnsi="Times New Roman" w:cs="Times New Roman"/>
          <w:sz w:val="24"/>
          <w:szCs w:val="24"/>
        </w:rPr>
        <w:t xml:space="preserve">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22</m:t>
            </m:r>
          </m:sub>
        </m:sSub>
      </m:oMath>
      <w:r w:rsidR="00DC4195">
        <w:rPr>
          <w:rFonts w:ascii="Times New Roman" w:eastAsiaTheme="minorEastAsia" w:hAnsi="Times New Roman" w:cs="Times New Roman"/>
          <w:sz w:val="24"/>
          <w:szCs w:val="24"/>
          <w:lang w:val="en-GB"/>
        </w:rPr>
        <w:t xml:space="preserve"> are significant and positive</w:t>
      </w:r>
      <w:r w:rsidR="00452ACB">
        <w:rPr>
          <w:rFonts w:ascii="Times New Roman" w:eastAsiaTheme="minorEastAsia" w:hAnsi="Times New Roman" w:cs="Times New Roman"/>
          <w:sz w:val="24"/>
          <w:szCs w:val="24"/>
          <w:lang w:val="en-GB"/>
        </w:rPr>
        <w:t xml:space="preserve">, showing that the </w:t>
      </w:r>
      <w:r w:rsidR="005B0C19">
        <w:rPr>
          <w:rFonts w:ascii="Times New Roman" w:eastAsiaTheme="minorEastAsia" w:hAnsi="Times New Roman" w:cs="Times New Roman"/>
          <w:sz w:val="24"/>
          <w:szCs w:val="24"/>
          <w:lang w:val="en-GB"/>
        </w:rPr>
        <w:t xml:space="preserve">own negative shocks have </w:t>
      </w:r>
      <w:r w:rsidR="00916A75">
        <w:rPr>
          <w:rFonts w:ascii="Times New Roman" w:eastAsiaTheme="minorEastAsia" w:hAnsi="Times New Roman" w:cs="Times New Roman"/>
          <w:sz w:val="24"/>
          <w:szCs w:val="24"/>
          <w:lang w:val="en-GB"/>
        </w:rPr>
        <w:t>a</w:t>
      </w:r>
      <w:r w:rsidR="005B0C19">
        <w:rPr>
          <w:rFonts w:ascii="Times New Roman" w:eastAsiaTheme="minorEastAsia" w:hAnsi="Times New Roman" w:cs="Times New Roman"/>
          <w:sz w:val="24"/>
          <w:szCs w:val="24"/>
          <w:lang w:val="en-GB"/>
        </w:rPr>
        <w:t xml:space="preserve"> </w:t>
      </w:r>
      <w:r w:rsidR="00FC316F">
        <w:rPr>
          <w:rFonts w:ascii="Times New Roman" w:eastAsiaTheme="minorEastAsia" w:hAnsi="Times New Roman" w:cs="Times New Roman"/>
          <w:sz w:val="24"/>
          <w:szCs w:val="24"/>
          <w:lang w:val="en-GB"/>
        </w:rPr>
        <w:t xml:space="preserve">bigger effect than the positive shocks on the volatility of Islamic equity </w:t>
      </w:r>
      <w:r w:rsidR="00CD5394">
        <w:rPr>
          <w:rFonts w:ascii="Times New Roman" w:eastAsiaTheme="minorEastAsia" w:hAnsi="Times New Roman" w:cs="Times New Roman"/>
          <w:sz w:val="24"/>
          <w:szCs w:val="24"/>
          <w:lang w:val="en-GB"/>
        </w:rPr>
        <w:t>sectors</w:t>
      </w:r>
      <w:r w:rsidR="00FC316F">
        <w:rPr>
          <w:rFonts w:ascii="Times New Roman" w:eastAsiaTheme="minorEastAsia" w:hAnsi="Times New Roman" w:cs="Times New Roman"/>
          <w:sz w:val="24"/>
          <w:szCs w:val="24"/>
          <w:lang w:val="en-GB"/>
        </w:rPr>
        <w:t xml:space="preserve"> and </w:t>
      </w:r>
      <w:r w:rsidR="00CD5394">
        <w:rPr>
          <w:rFonts w:ascii="Times New Roman" w:eastAsiaTheme="minorEastAsia" w:hAnsi="Times New Roman" w:cs="Times New Roman"/>
          <w:sz w:val="24"/>
          <w:szCs w:val="24"/>
          <w:lang w:val="en-GB"/>
        </w:rPr>
        <w:t>Onegram during the COVID-1</w:t>
      </w:r>
      <w:r w:rsidR="007F558D">
        <w:rPr>
          <w:rFonts w:ascii="Times New Roman" w:eastAsiaTheme="minorEastAsia" w:hAnsi="Times New Roman" w:cs="Times New Roman"/>
          <w:sz w:val="24"/>
          <w:szCs w:val="24"/>
          <w:lang w:val="en-GB"/>
        </w:rPr>
        <w:t xml:space="preserve">9. </w:t>
      </w:r>
      <w:r w:rsidR="00263903">
        <w:rPr>
          <w:rFonts w:ascii="Times New Roman" w:hAnsi="Times New Roman" w:cs="Times New Roman"/>
          <w:sz w:val="24"/>
          <w:szCs w:val="24"/>
        </w:rPr>
        <w:t xml:space="preserve">Lastly, </w:t>
      </w:r>
      <w:r w:rsidR="00877A3A">
        <w:rPr>
          <w:rFonts w:ascii="Times New Roman" w:hAnsi="Times New Roman" w:cs="Times New Roman"/>
          <w:sz w:val="24"/>
          <w:szCs w:val="24"/>
        </w:rPr>
        <w:t xml:space="preserve">the coefficient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12</m:t>
            </m:r>
          </m:sub>
        </m:sSub>
      </m:oMath>
      <w:r w:rsidR="00877A3A">
        <w:rPr>
          <w:rFonts w:ascii="Times New Roman" w:hAnsi="Times New Roman" w:cs="Times New Roman"/>
          <w:sz w:val="24"/>
          <w:szCs w:val="24"/>
        </w:rPr>
        <w:t xml:space="preserve"> is also significant</w:t>
      </w:r>
      <w:r w:rsidR="00B82334">
        <w:rPr>
          <w:rFonts w:ascii="Times New Roman" w:hAnsi="Times New Roman" w:cs="Times New Roman"/>
          <w:sz w:val="24"/>
          <w:szCs w:val="24"/>
        </w:rPr>
        <w:t xml:space="preserve"> and positive</w:t>
      </w:r>
      <w:r w:rsidR="00877A3A">
        <w:rPr>
          <w:rFonts w:ascii="Times New Roman" w:hAnsi="Times New Roman" w:cs="Times New Roman"/>
          <w:sz w:val="24"/>
          <w:szCs w:val="24"/>
        </w:rPr>
        <w:t xml:space="preserve"> in </w:t>
      </w:r>
      <w:proofErr w:type="gramStart"/>
      <w:r w:rsidR="00EE01AF">
        <w:rPr>
          <w:rFonts w:ascii="Times New Roman" w:hAnsi="Times New Roman" w:cs="Times New Roman"/>
          <w:sz w:val="24"/>
          <w:szCs w:val="24"/>
        </w:rPr>
        <w:t xml:space="preserve">the </w:t>
      </w:r>
      <w:r w:rsidR="00877A3A">
        <w:rPr>
          <w:rFonts w:ascii="Times New Roman" w:hAnsi="Times New Roman" w:cs="Times New Roman"/>
          <w:sz w:val="24"/>
          <w:szCs w:val="24"/>
        </w:rPr>
        <w:t>majority of</w:t>
      </w:r>
      <w:proofErr w:type="gramEnd"/>
      <w:r w:rsidR="00877A3A">
        <w:rPr>
          <w:rFonts w:ascii="Times New Roman" w:hAnsi="Times New Roman" w:cs="Times New Roman"/>
          <w:sz w:val="24"/>
          <w:szCs w:val="24"/>
        </w:rPr>
        <w:t xml:space="preserve"> the cases</w:t>
      </w:r>
      <w:r w:rsidR="0041714A">
        <w:rPr>
          <w:rFonts w:ascii="Times New Roman" w:hAnsi="Times New Roman" w:cs="Times New Roman"/>
          <w:sz w:val="24"/>
          <w:szCs w:val="24"/>
        </w:rPr>
        <w:t xml:space="preserve"> during the COVID-19</w:t>
      </w:r>
      <w:r w:rsidR="00877A3A">
        <w:rPr>
          <w:rFonts w:ascii="Times New Roman" w:hAnsi="Times New Roman" w:cs="Times New Roman"/>
          <w:sz w:val="24"/>
          <w:szCs w:val="24"/>
        </w:rPr>
        <w:t xml:space="preserve">, </w:t>
      </w:r>
      <w:r w:rsidR="00B072B0">
        <w:rPr>
          <w:rFonts w:ascii="Times New Roman" w:hAnsi="Times New Roman" w:cs="Times New Roman"/>
          <w:sz w:val="24"/>
          <w:szCs w:val="24"/>
        </w:rPr>
        <w:t xml:space="preserve">showing that </w:t>
      </w:r>
      <w:r w:rsidR="00080F8A">
        <w:rPr>
          <w:rFonts w:ascii="Times New Roman" w:hAnsi="Times New Roman" w:cs="Times New Roman"/>
          <w:sz w:val="24"/>
          <w:szCs w:val="24"/>
        </w:rPr>
        <w:t>the negative shocks</w:t>
      </w:r>
      <w:r w:rsidR="00417FDE">
        <w:rPr>
          <w:rFonts w:ascii="Times New Roman" w:hAnsi="Times New Roman" w:cs="Times New Roman"/>
          <w:sz w:val="24"/>
          <w:szCs w:val="24"/>
        </w:rPr>
        <w:t xml:space="preserve"> </w:t>
      </w:r>
      <w:r w:rsidR="00727AEA">
        <w:rPr>
          <w:rFonts w:ascii="Times New Roman" w:hAnsi="Times New Roman" w:cs="Times New Roman"/>
          <w:sz w:val="24"/>
          <w:szCs w:val="24"/>
        </w:rPr>
        <w:t>of</w:t>
      </w:r>
      <w:r w:rsidR="00071994">
        <w:rPr>
          <w:rFonts w:ascii="Times New Roman" w:hAnsi="Times New Roman" w:cs="Times New Roman"/>
          <w:sz w:val="24"/>
          <w:szCs w:val="24"/>
        </w:rPr>
        <w:t xml:space="preserve"> </w:t>
      </w:r>
      <w:r w:rsidR="00756535">
        <w:rPr>
          <w:rFonts w:ascii="Times New Roman" w:hAnsi="Times New Roman" w:cs="Times New Roman"/>
          <w:sz w:val="24"/>
          <w:szCs w:val="24"/>
        </w:rPr>
        <w:t xml:space="preserve">most </w:t>
      </w:r>
      <w:r w:rsidR="00071994">
        <w:rPr>
          <w:rFonts w:ascii="Times New Roman" w:hAnsi="Times New Roman" w:cs="Times New Roman"/>
          <w:sz w:val="24"/>
          <w:szCs w:val="24"/>
        </w:rPr>
        <w:t xml:space="preserve">Islamic equity </w:t>
      </w:r>
      <w:r w:rsidR="00756535">
        <w:rPr>
          <w:rFonts w:ascii="Times New Roman" w:hAnsi="Times New Roman" w:cs="Times New Roman"/>
          <w:sz w:val="24"/>
          <w:szCs w:val="24"/>
        </w:rPr>
        <w:t>sectors</w:t>
      </w:r>
      <w:r w:rsidR="00071994">
        <w:rPr>
          <w:rFonts w:ascii="Times New Roman" w:hAnsi="Times New Roman" w:cs="Times New Roman"/>
          <w:sz w:val="24"/>
          <w:szCs w:val="24"/>
        </w:rPr>
        <w:t xml:space="preserve"> </w:t>
      </w:r>
      <w:r w:rsidR="00080F8A">
        <w:rPr>
          <w:rFonts w:ascii="Times New Roman" w:hAnsi="Times New Roman" w:cs="Times New Roman"/>
          <w:sz w:val="24"/>
          <w:szCs w:val="24"/>
        </w:rPr>
        <w:t xml:space="preserve">increase the volatility more in </w:t>
      </w:r>
      <w:r w:rsidR="00071994">
        <w:rPr>
          <w:rFonts w:ascii="Times New Roman" w:hAnsi="Times New Roman" w:cs="Times New Roman"/>
          <w:sz w:val="24"/>
          <w:szCs w:val="24"/>
        </w:rPr>
        <w:t>Onegram</w:t>
      </w:r>
      <w:r w:rsidR="00417FDE">
        <w:rPr>
          <w:rFonts w:ascii="Times New Roman" w:hAnsi="Times New Roman" w:cs="Times New Roman"/>
          <w:sz w:val="24"/>
          <w:szCs w:val="24"/>
        </w:rPr>
        <w:t xml:space="preserve"> compared to the positive shocks </w:t>
      </w:r>
      <w:r w:rsidR="00727AEA">
        <w:rPr>
          <w:rFonts w:ascii="Times New Roman" w:hAnsi="Times New Roman" w:cs="Times New Roman"/>
          <w:sz w:val="24"/>
          <w:szCs w:val="24"/>
        </w:rPr>
        <w:t xml:space="preserve">of Islamic equity markets during the COVID-19. </w:t>
      </w:r>
    </w:p>
    <w:p w14:paraId="014B673E" w14:textId="3BC2FF19" w:rsidR="00187E88" w:rsidRDefault="004A7A1A" w:rsidP="006B26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Similarly, </w:t>
      </w:r>
      <w:r w:rsidR="007424BE">
        <w:rPr>
          <w:rFonts w:ascii="Times New Roman" w:hAnsi="Times New Roman" w:cs="Times New Roman"/>
          <w:sz w:val="24"/>
          <w:szCs w:val="24"/>
        </w:rPr>
        <w:t xml:space="preserve">Table 4 and 5 </w:t>
      </w:r>
      <w:r w:rsidR="00651B89">
        <w:rPr>
          <w:rFonts w:ascii="Times New Roman" w:hAnsi="Times New Roman" w:cs="Times New Roman"/>
          <w:sz w:val="24"/>
          <w:szCs w:val="24"/>
        </w:rPr>
        <w:t xml:space="preserve">represents the return and volatility spillovers between the Islamic equity </w:t>
      </w:r>
      <w:r w:rsidR="00437E42">
        <w:rPr>
          <w:rFonts w:ascii="Times New Roman" w:hAnsi="Times New Roman" w:cs="Times New Roman"/>
          <w:sz w:val="24"/>
          <w:szCs w:val="24"/>
        </w:rPr>
        <w:t>sectors and X8X during the pre-COVID</w:t>
      </w:r>
      <w:r w:rsidR="00681744">
        <w:rPr>
          <w:rFonts w:ascii="Times New Roman" w:hAnsi="Times New Roman" w:cs="Times New Roman"/>
          <w:sz w:val="24"/>
          <w:szCs w:val="24"/>
        </w:rPr>
        <w:t xml:space="preserve"> </w:t>
      </w:r>
      <w:r w:rsidR="00437E42">
        <w:rPr>
          <w:rFonts w:ascii="Times New Roman" w:hAnsi="Times New Roman" w:cs="Times New Roman"/>
          <w:sz w:val="24"/>
          <w:szCs w:val="24"/>
        </w:rPr>
        <w:t xml:space="preserve">and the COVID-19 periods. The results reveal that </w:t>
      </w:r>
      <w:r w:rsidR="0037518F">
        <w:rPr>
          <w:rFonts w:ascii="Times New Roman" w:hAnsi="Times New Roman" w:cs="Times New Roman"/>
          <w:sz w:val="24"/>
          <w:szCs w:val="24"/>
        </w:rPr>
        <w:t xml:space="preserve">the past returns of </w:t>
      </w:r>
      <w:r w:rsidR="00543C6B">
        <w:rPr>
          <w:rFonts w:ascii="Times New Roman" w:hAnsi="Times New Roman" w:cs="Times New Roman"/>
          <w:sz w:val="24"/>
          <w:szCs w:val="24"/>
        </w:rPr>
        <w:t>Islamic equity sectors do not influence their current return</w:t>
      </w:r>
      <w:r w:rsidR="001F2B62">
        <w:rPr>
          <w:rFonts w:ascii="Times New Roman" w:hAnsi="Times New Roman" w:cs="Times New Roman"/>
          <w:sz w:val="24"/>
          <w:szCs w:val="24"/>
        </w:rPr>
        <w:t xml:space="preserve"> during </w:t>
      </w:r>
      <w:r w:rsidR="000A6FA8">
        <w:rPr>
          <w:rFonts w:ascii="Times New Roman" w:hAnsi="Times New Roman" w:cs="Times New Roman"/>
          <w:sz w:val="24"/>
          <w:szCs w:val="24"/>
        </w:rPr>
        <w:t>both sample periods</w:t>
      </w:r>
      <w:r w:rsidR="00EF3EC1">
        <w:rPr>
          <w:rFonts w:ascii="Times New Roman" w:hAnsi="Times New Roman" w:cs="Times New Roman"/>
          <w:sz w:val="24"/>
          <w:szCs w:val="24"/>
        </w:rPr>
        <w:t>, showing that past returns</w:t>
      </w:r>
      <w:r w:rsidR="00D21B3B">
        <w:rPr>
          <w:rFonts w:ascii="Times New Roman" w:hAnsi="Times New Roman" w:cs="Times New Roman"/>
          <w:sz w:val="24"/>
          <w:szCs w:val="24"/>
        </w:rPr>
        <w:t xml:space="preserve"> of Islamic equity sectors </w:t>
      </w:r>
      <w:r w:rsidR="00EE01AF">
        <w:rPr>
          <w:rFonts w:ascii="Times New Roman" w:hAnsi="Times New Roman" w:cs="Times New Roman"/>
          <w:sz w:val="24"/>
          <w:szCs w:val="24"/>
        </w:rPr>
        <w:t>do not help forecast</w:t>
      </w:r>
      <w:r w:rsidR="001D586B">
        <w:rPr>
          <w:rFonts w:ascii="Times New Roman" w:hAnsi="Times New Roman" w:cs="Times New Roman"/>
          <w:sz w:val="24"/>
          <w:szCs w:val="24"/>
        </w:rPr>
        <w:t xml:space="preserve"> th</w:t>
      </w:r>
      <w:r w:rsidR="00D21B3B">
        <w:rPr>
          <w:rFonts w:ascii="Times New Roman" w:hAnsi="Times New Roman" w:cs="Times New Roman"/>
          <w:sz w:val="24"/>
          <w:szCs w:val="24"/>
        </w:rPr>
        <w:t xml:space="preserve">eir </w:t>
      </w:r>
      <w:r w:rsidR="001D586B">
        <w:rPr>
          <w:rFonts w:ascii="Times New Roman" w:hAnsi="Times New Roman" w:cs="Times New Roman"/>
          <w:sz w:val="24"/>
          <w:szCs w:val="24"/>
        </w:rPr>
        <w:t>future returns</w:t>
      </w:r>
      <w:r w:rsidR="001F2B62">
        <w:rPr>
          <w:rFonts w:ascii="Times New Roman" w:hAnsi="Times New Roman" w:cs="Times New Roman"/>
          <w:sz w:val="24"/>
          <w:szCs w:val="24"/>
        </w:rPr>
        <w:t xml:space="preserve">. However, the lag returns of </w:t>
      </w:r>
      <w:r w:rsidR="00DD32E4">
        <w:rPr>
          <w:rFonts w:ascii="Times New Roman" w:hAnsi="Times New Roman" w:cs="Times New Roman"/>
          <w:sz w:val="24"/>
          <w:szCs w:val="24"/>
        </w:rPr>
        <w:t xml:space="preserve">X8X </w:t>
      </w:r>
      <w:r w:rsidR="00A67EE1">
        <w:rPr>
          <w:rFonts w:ascii="Times New Roman" w:hAnsi="Times New Roman" w:cs="Times New Roman"/>
          <w:sz w:val="24"/>
          <w:szCs w:val="24"/>
        </w:rPr>
        <w:t xml:space="preserve">significantly and negatively </w:t>
      </w:r>
      <w:r w:rsidR="003D7645">
        <w:rPr>
          <w:rFonts w:ascii="Times New Roman" w:hAnsi="Times New Roman" w:cs="Times New Roman"/>
          <w:sz w:val="24"/>
          <w:szCs w:val="24"/>
        </w:rPr>
        <w:t>affect</w:t>
      </w:r>
      <w:r w:rsidR="00DD32E4">
        <w:rPr>
          <w:rFonts w:ascii="Times New Roman" w:hAnsi="Times New Roman" w:cs="Times New Roman"/>
          <w:sz w:val="24"/>
          <w:szCs w:val="24"/>
        </w:rPr>
        <w:t xml:space="preserve"> their current returns during </w:t>
      </w:r>
      <w:r w:rsidR="003D7645">
        <w:rPr>
          <w:rFonts w:ascii="Times New Roman" w:hAnsi="Times New Roman" w:cs="Times New Roman"/>
          <w:sz w:val="24"/>
          <w:szCs w:val="24"/>
        </w:rPr>
        <w:t xml:space="preserve">both sample periods, implying that </w:t>
      </w:r>
      <w:r w:rsidR="00C6404D">
        <w:rPr>
          <w:rFonts w:ascii="Times New Roman" w:hAnsi="Times New Roman" w:cs="Times New Roman"/>
          <w:sz w:val="24"/>
          <w:szCs w:val="24"/>
        </w:rPr>
        <w:t xml:space="preserve">past returns can be used to forecast </w:t>
      </w:r>
      <w:r w:rsidR="00EE01AF">
        <w:rPr>
          <w:rFonts w:ascii="Times New Roman" w:hAnsi="Times New Roman" w:cs="Times New Roman"/>
          <w:sz w:val="24"/>
          <w:szCs w:val="24"/>
        </w:rPr>
        <w:t xml:space="preserve">the </w:t>
      </w:r>
      <w:r w:rsidR="00C6404D">
        <w:rPr>
          <w:rFonts w:ascii="Times New Roman" w:hAnsi="Times New Roman" w:cs="Times New Roman"/>
          <w:sz w:val="24"/>
          <w:szCs w:val="24"/>
        </w:rPr>
        <w:t>current return for the short run in X8X</w:t>
      </w:r>
      <w:r w:rsidR="009B369F">
        <w:rPr>
          <w:rFonts w:ascii="Times New Roman" w:hAnsi="Times New Roman" w:cs="Times New Roman"/>
          <w:sz w:val="24"/>
          <w:szCs w:val="24"/>
        </w:rPr>
        <w:t xml:space="preserve">. </w:t>
      </w:r>
      <w:r w:rsidR="00425BAF" w:rsidRPr="00BD49B6">
        <w:rPr>
          <w:rFonts w:ascii="Times New Roman" w:hAnsi="Times New Roman" w:cs="Times New Roman"/>
          <w:color w:val="0070C0"/>
          <w:sz w:val="24"/>
          <w:szCs w:val="24"/>
        </w:rPr>
        <w:t xml:space="preserve">Our results are in line with the findings of </w:t>
      </w:r>
      <w:proofErr w:type="spellStart"/>
      <w:r w:rsidR="00425BAF" w:rsidRPr="00BD49B6">
        <w:rPr>
          <w:rFonts w:ascii="Times New Roman" w:hAnsi="Times New Roman" w:cs="Times New Roman"/>
          <w:color w:val="0070C0"/>
          <w:sz w:val="24"/>
          <w:szCs w:val="24"/>
        </w:rPr>
        <w:t>Lahmiri</w:t>
      </w:r>
      <w:proofErr w:type="spellEnd"/>
      <w:r w:rsidR="00425BAF" w:rsidRPr="00BD49B6">
        <w:rPr>
          <w:rFonts w:ascii="Times New Roman" w:hAnsi="Times New Roman" w:cs="Times New Roman"/>
          <w:color w:val="0070C0"/>
          <w:sz w:val="24"/>
          <w:szCs w:val="24"/>
        </w:rPr>
        <w:t xml:space="preserve"> and </w:t>
      </w:r>
      <w:proofErr w:type="spellStart"/>
      <w:r w:rsidR="00425BAF" w:rsidRPr="00BD49B6">
        <w:rPr>
          <w:rFonts w:ascii="Times New Roman" w:hAnsi="Times New Roman" w:cs="Times New Roman"/>
          <w:color w:val="0070C0"/>
          <w:sz w:val="24"/>
          <w:szCs w:val="24"/>
        </w:rPr>
        <w:t>Bekiros</w:t>
      </w:r>
      <w:proofErr w:type="spellEnd"/>
      <w:r w:rsidR="00425BAF" w:rsidRPr="00BD49B6">
        <w:rPr>
          <w:rFonts w:ascii="Times New Roman" w:hAnsi="Times New Roman" w:cs="Times New Roman"/>
          <w:color w:val="0070C0"/>
          <w:sz w:val="24"/>
          <w:szCs w:val="24"/>
        </w:rPr>
        <w:t xml:space="preserve"> (2019), which </w:t>
      </w:r>
      <w:r w:rsidR="00BD49B6" w:rsidRPr="00BD49B6">
        <w:rPr>
          <w:rFonts w:ascii="Times New Roman" w:hAnsi="Times New Roman" w:cs="Times New Roman"/>
          <w:color w:val="0070C0"/>
          <w:sz w:val="24"/>
          <w:szCs w:val="24"/>
        </w:rPr>
        <w:t xml:space="preserve">provide the evidence of </w:t>
      </w:r>
      <w:proofErr w:type="spellStart"/>
      <w:r w:rsidR="00BD49B6" w:rsidRPr="00BD49B6">
        <w:rPr>
          <w:rFonts w:ascii="Times New Roman" w:hAnsi="Times New Roman" w:cs="Times New Roman"/>
          <w:color w:val="0070C0"/>
          <w:sz w:val="24"/>
          <w:szCs w:val="24"/>
        </w:rPr>
        <w:t>forecastibility</w:t>
      </w:r>
      <w:proofErr w:type="spellEnd"/>
      <w:r w:rsidR="00BD49B6" w:rsidRPr="00BD49B6">
        <w:rPr>
          <w:rFonts w:ascii="Times New Roman" w:hAnsi="Times New Roman" w:cs="Times New Roman"/>
          <w:color w:val="0070C0"/>
          <w:sz w:val="24"/>
          <w:szCs w:val="24"/>
        </w:rPr>
        <w:t xml:space="preserve"> X8X returns though their past returns. </w:t>
      </w:r>
      <w:r w:rsidR="00BD49B6">
        <w:rPr>
          <w:rFonts w:ascii="Times New Roman" w:hAnsi="Times New Roman" w:cs="Times New Roman"/>
          <w:sz w:val="24"/>
          <w:szCs w:val="24"/>
        </w:rPr>
        <w:t>T</w:t>
      </w:r>
      <w:r w:rsidR="00433F20">
        <w:rPr>
          <w:rFonts w:ascii="Times New Roman" w:hAnsi="Times New Roman" w:cs="Times New Roman"/>
          <w:sz w:val="24"/>
          <w:szCs w:val="24"/>
        </w:rPr>
        <w:t>he results of cross-market return spillovers reveal that t</w:t>
      </w:r>
      <w:r w:rsidR="001D328D">
        <w:rPr>
          <w:rFonts w:ascii="Times New Roman" w:hAnsi="Times New Roman" w:cs="Times New Roman"/>
          <w:sz w:val="24"/>
          <w:szCs w:val="24"/>
        </w:rPr>
        <w:t>he return spillover is unidirectional</w:t>
      </w:r>
      <w:r w:rsidR="000E5229">
        <w:rPr>
          <w:rFonts w:ascii="Times New Roman" w:hAnsi="Times New Roman" w:cs="Times New Roman"/>
          <w:sz w:val="24"/>
          <w:szCs w:val="24"/>
        </w:rPr>
        <w:t xml:space="preserve"> and ne</w:t>
      </w:r>
      <w:r w:rsidR="00305057">
        <w:rPr>
          <w:rFonts w:ascii="Times New Roman" w:hAnsi="Times New Roman" w:cs="Times New Roman"/>
          <w:sz w:val="24"/>
          <w:szCs w:val="24"/>
        </w:rPr>
        <w:t>gative</w:t>
      </w:r>
      <w:r w:rsidR="001D328D">
        <w:rPr>
          <w:rFonts w:ascii="Times New Roman" w:hAnsi="Times New Roman" w:cs="Times New Roman"/>
          <w:sz w:val="24"/>
          <w:szCs w:val="24"/>
        </w:rPr>
        <w:t xml:space="preserve"> from the </w:t>
      </w:r>
      <w:r w:rsidR="008B0E7C">
        <w:rPr>
          <w:rFonts w:ascii="Times New Roman" w:hAnsi="Times New Roman" w:cs="Times New Roman"/>
          <w:sz w:val="24"/>
          <w:szCs w:val="24"/>
        </w:rPr>
        <w:t>financial, materials, utilities</w:t>
      </w:r>
      <w:r w:rsidR="001D328D">
        <w:rPr>
          <w:rFonts w:ascii="Times New Roman" w:hAnsi="Times New Roman" w:cs="Times New Roman"/>
          <w:sz w:val="24"/>
          <w:szCs w:val="24"/>
        </w:rPr>
        <w:t xml:space="preserve"> sectors</w:t>
      </w:r>
      <w:r w:rsidR="008B0E7C">
        <w:rPr>
          <w:rFonts w:ascii="Times New Roman" w:hAnsi="Times New Roman" w:cs="Times New Roman"/>
          <w:sz w:val="24"/>
          <w:szCs w:val="24"/>
        </w:rPr>
        <w:t xml:space="preserve"> to X8X</w:t>
      </w:r>
      <w:r w:rsidR="001D328D">
        <w:rPr>
          <w:rFonts w:ascii="Times New Roman" w:hAnsi="Times New Roman" w:cs="Times New Roman"/>
          <w:sz w:val="24"/>
          <w:szCs w:val="24"/>
        </w:rPr>
        <w:t xml:space="preserve">, and from X8X to consumer discretionary and industrials sectors during </w:t>
      </w:r>
      <w:r w:rsidR="00EE01AF">
        <w:rPr>
          <w:rFonts w:ascii="Times New Roman" w:hAnsi="Times New Roman" w:cs="Times New Roman"/>
          <w:sz w:val="24"/>
          <w:szCs w:val="24"/>
        </w:rPr>
        <w:t xml:space="preserve">the </w:t>
      </w:r>
      <w:r w:rsidR="001D328D">
        <w:rPr>
          <w:rFonts w:ascii="Times New Roman" w:hAnsi="Times New Roman" w:cs="Times New Roman"/>
          <w:sz w:val="24"/>
          <w:szCs w:val="24"/>
        </w:rPr>
        <w:t xml:space="preserve">pre-COVID-19 period. </w:t>
      </w:r>
      <w:r w:rsidR="006175C9">
        <w:rPr>
          <w:rFonts w:ascii="Times New Roman" w:hAnsi="Times New Roman" w:cs="Times New Roman"/>
          <w:sz w:val="24"/>
          <w:szCs w:val="24"/>
        </w:rPr>
        <w:t xml:space="preserve">During the COVID-19, the return transmission in significant </w:t>
      </w:r>
      <w:r w:rsidR="008C1FF5">
        <w:rPr>
          <w:rFonts w:ascii="Times New Roman" w:hAnsi="Times New Roman" w:cs="Times New Roman"/>
          <w:sz w:val="24"/>
          <w:szCs w:val="24"/>
        </w:rPr>
        <w:t xml:space="preserve">and positive </w:t>
      </w:r>
      <w:r w:rsidR="006175C9">
        <w:rPr>
          <w:rFonts w:ascii="Times New Roman" w:hAnsi="Times New Roman" w:cs="Times New Roman"/>
          <w:sz w:val="24"/>
          <w:szCs w:val="24"/>
        </w:rPr>
        <w:t xml:space="preserve">from </w:t>
      </w:r>
      <w:r w:rsidR="001112B2">
        <w:rPr>
          <w:rFonts w:ascii="Times New Roman" w:hAnsi="Times New Roman" w:cs="Times New Roman"/>
          <w:sz w:val="24"/>
          <w:szCs w:val="24"/>
        </w:rPr>
        <w:t xml:space="preserve">X8X to </w:t>
      </w:r>
      <w:r w:rsidR="004A7E64">
        <w:rPr>
          <w:rFonts w:ascii="Times New Roman" w:hAnsi="Times New Roman" w:cs="Times New Roman"/>
          <w:sz w:val="24"/>
          <w:szCs w:val="24"/>
        </w:rPr>
        <w:t xml:space="preserve">consumer discretionary, information technology, </w:t>
      </w:r>
      <w:r w:rsidR="001112B2">
        <w:rPr>
          <w:rFonts w:ascii="Times New Roman" w:hAnsi="Times New Roman" w:cs="Times New Roman"/>
          <w:sz w:val="24"/>
          <w:szCs w:val="24"/>
        </w:rPr>
        <w:t>and material</w:t>
      </w:r>
      <w:r w:rsidR="006B4A77">
        <w:rPr>
          <w:rFonts w:ascii="Times New Roman" w:hAnsi="Times New Roman" w:cs="Times New Roman"/>
          <w:sz w:val="24"/>
          <w:szCs w:val="24"/>
        </w:rPr>
        <w:t xml:space="preserve"> sectors</w:t>
      </w:r>
      <w:r w:rsidR="001C56D7">
        <w:rPr>
          <w:rFonts w:ascii="Times New Roman" w:hAnsi="Times New Roman" w:cs="Times New Roman"/>
          <w:sz w:val="24"/>
          <w:szCs w:val="24"/>
        </w:rPr>
        <w:t xml:space="preserve">, suggesting that </w:t>
      </w:r>
      <w:r w:rsidR="0034060C">
        <w:rPr>
          <w:rFonts w:ascii="Times New Roman" w:hAnsi="Times New Roman" w:cs="Times New Roman"/>
          <w:sz w:val="24"/>
          <w:szCs w:val="24"/>
        </w:rPr>
        <w:t xml:space="preserve">X8X returns can be used to forecast the returns of </w:t>
      </w:r>
      <w:r w:rsidR="008224F6">
        <w:rPr>
          <w:rFonts w:ascii="Times New Roman" w:hAnsi="Times New Roman" w:cs="Times New Roman"/>
          <w:sz w:val="24"/>
          <w:szCs w:val="24"/>
        </w:rPr>
        <w:t>these sectors during the COVID-19.</w:t>
      </w:r>
    </w:p>
    <w:p w14:paraId="655637E7" w14:textId="0F1C16D6" w:rsidR="004A7A1A" w:rsidRDefault="004A7A1A" w:rsidP="00681744">
      <w:pPr>
        <w:spacing w:line="360" w:lineRule="auto"/>
        <w:jc w:val="center"/>
        <w:rPr>
          <w:rFonts w:ascii="Times New Roman" w:hAnsi="Times New Roman" w:cs="Times New Roman"/>
          <w:sz w:val="24"/>
          <w:szCs w:val="24"/>
        </w:rPr>
      </w:pPr>
      <w:r>
        <w:rPr>
          <w:rFonts w:ascii="Times New Roman" w:hAnsi="Times New Roman" w:cs="Times New Roman"/>
          <w:sz w:val="24"/>
          <w:szCs w:val="24"/>
        </w:rPr>
        <w:t>[Tables 4 and 5 here]</w:t>
      </w:r>
    </w:p>
    <w:p w14:paraId="1F7773E1" w14:textId="3B086909" w:rsidR="00694894" w:rsidRDefault="00791B04" w:rsidP="006B2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C5346">
        <w:rPr>
          <w:rFonts w:ascii="Times New Roman" w:hAnsi="Times New Roman" w:cs="Times New Roman"/>
          <w:sz w:val="24"/>
          <w:szCs w:val="24"/>
        </w:rPr>
        <w:t xml:space="preserve">effect of </w:t>
      </w:r>
      <w:r w:rsidR="00147120">
        <w:rPr>
          <w:rFonts w:ascii="Times New Roman" w:hAnsi="Times New Roman" w:cs="Times New Roman"/>
          <w:sz w:val="24"/>
          <w:szCs w:val="24"/>
        </w:rPr>
        <w:t xml:space="preserve">own </w:t>
      </w:r>
      <w:r w:rsidR="00FC5346">
        <w:rPr>
          <w:rFonts w:ascii="Times New Roman" w:hAnsi="Times New Roman" w:cs="Times New Roman"/>
          <w:sz w:val="24"/>
          <w:szCs w:val="24"/>
        </w:rPr>
        <w:t xml:space="preserve">past shocks is found to be </w:t>
      </w:r>
      <w:r w:rsidR="008B31ED">
        <w:rPr>
          <w:rFonts w:ascii="Times New Roman" w:hAnsi="Times New Roman" w:cs="Times New Roman"/>
          <w:sz w:val="24"/>
          <w:szCs w:val="24"/>
        </w:rPr>
        <w:t xml:space="preserve">significant (insignificant) </w:t>
      </w:r>
      <w:r w:rsidR="00385435">
        <w:rPr>
          <w:rFonts w:ascii="Times New Roman" w:hAnsi="Times New Roman" w:cs="Times New Roman"/>
          <w:sz w:val="24"/>
          <w:szCs w:val="24"/>
        </w:rPr>
        <w:t xml:space="preserve">on </w:t>
      </w:r>
      <w:r w:rsidR="00147120">
        <w:rPr>
          <w:rFonts w:ascii="Times New Roman" w:hAnsi="Times New Roman" w:cs="Times New Roman"/>
          <w:sz w:val="24"/>
          <w:szCs w:val="24"/>
        </w:rPr>
        <w:t xml:space="preserve">their current conditional volatility in </w:t>
      </w:r>
      <w:r w:rsidR="004378CA">
        <w:rPr>
          <w:rFonts w:ascii="Times New Roman" w:hAnsi="Times New Roman" w:cs="Times New Roman"/>
          <w:sz w:val="24"/>
          <w:szCs w:val="24"/>
        </w:rPr>
        <w:t>X8X (</w:t>
      </w:r>
      <w:r w:rsidR="00147120">
        <w:rPr>
          <w:rFonts w:ascii="Times New Roman" w:hAnsi="Times New Roman" w:cs="Times New Roman"/>
          <w:sz w:val="24"/>
          <w:szCs w:val="24"/>
        </w:rPr>
        <w:t>Islamic equity sectors</w:t>
      </w:r>
      <w:r w:rsidR="004378CA">
        <w:rPr>
          <w:rFonts w:ascii="Times New Roman" w:hAnsi="Times New Roman" w:cs="Times New Roman"/>
          <w:sz w:val="24"/>
          <w:szCs w:val="24"/>
        </w:rPr>
        <w:t xml:space="preserve">) </w:t>
      </w:r>
      <w:r w:rsidR="00EF095C">
        <w:rPr>
          <w:rFonts w:ascii="Times New Roman" w:hAnsi="Times New Roman" w:cs="Times New Roman"/>
          <w:sz w:val="24"/>
          <w:szCs w:val="24"/>
        </w:rPr>
        <w:t xml:space="preserve">during </w:t>
      </w:r>
      <w:r w:rsidR="00EE01AF">
        <w:rPr>
          <w:rFonts w:ascii="Times New Roman" w:hAnsi="Times New Roman" w:cs="Times New Roman"/>
          <w:sz w:val="24"/>
          <w:szCs w:val="24"/>
        </w:rPr>
        <w:t xml:space="preserve">the </w:t>
      </w:r>
      <w:r w:rsidR="00EF095C">
        <w:rPr>
          <w:rFonts w:ascii="Times New Roman" w:hAnsi="Times New Roman" w:cs="Times New Roman"/>
          <w:sz w:val="24"/>
          <w:szCs w:val="24"/>
        </w:rPr>
        <w:t xml:space="preserve">pre-COVID-19 period. </w:t>
      </w:r>
      <w:r w:rsidR="00F3156B">
        <w:rPr>
          <w:rFonts w:ascii="Times New Roman" w:hAnsi="Times New Roman" w:cs="Times New Roman"/>
          <w:sz w:val="24"/>
          <w:szCs w:val="24"/>
        </w:rPr>
        <w:t xml:space="preserve">However, the </w:t>
      </w:r>
      <w:r w:rsidR="00C1406F">
        <w:rPr>
          <w:rFonts w:ascii="Times New Roman" w:hAnsi="Times New Roman" w:cs="Times New Roman"/>
          <w:sz w:val="24"/>
          <w:szCs w:val="24"/>
        </w:rPr>
        <w:t>coefficients</w:t>
      </w:r>
      <w:r w:rsidR="00F3156B">
        <w:rPr>
          <w:rFonts w:ascii="Times New Roman" w:hAnsi="Times New Roman" w:cs="Times New Roman"/>
          <w:sz w:val="24"/>
          <w:szCs w:val="24"/>
        </w:rPr>
        <w:t xml:space="preserve"> of own past shocks are </w:t>
      </w:r>
      <w:r w:rsidR="00C1406F">
        <w:rPr>
          <w:rFonts w:ascii="Times New Roman" w:hAnsi="Times New Roman" w:cs="Times New Roman"/>
          <w:sz w:val="24"/>
          <w:szCs w:val="24"/>
        </w:rPr>
        <w:t xml:space="preserve">significant (insignificant) in Islamic </w:t>
      </w:r>
      <w:r w:rsidR="000802A3">
        <w:rPr>
          <w:rFonts w:ascii="Times New Roman" w:hAnsi="Times New Roman" w:cs="Times New Roman"/>
          <w:sz w:val="24"/>
          <w:szCs w:val="24"/>
        </w:rPr>
        <w:t xml:space="preserve">equity sectors (X8X) during the COVID-19. The past volatility significantly </w:t>
      </w:r>
      <w:r w:rsidR="00492DCD">
        <w:rPr>
          <w:rFonts w:ascii="Times New Roman" w:hAnsi="Times New Roman" w:cs="Times New Roman"/>
          <w:sz w:val="24"/>
          <w:szCs w:val="24"/>
        </w:rPr>
        <w:t>influences</w:t>
      </w:r>
      <w:r w:rsidR="000802A3">
        <w:rPr>
          <w:rFonts w:ascii="Times New Roman" w:hAnsi="Times New Roman" w:cs="Times New Roman"/>
          <w:sz w:val="24"/>
          <w:szCs w:val="24"/>
        </w:rPr>
        <w:t xml:space="preserve"> the current volatility in Islamic equity sectors and X8X during both sample periods</w:t>
      </w:r>
      <w:r w:rsidR="009E2770">
        <w:rPr>
          <w:rFonts w:ascii="Times New Roman" w:hAnsi="Times New Roman" w:cs="Times New Roman"/>
          <w:sz w:val="24"/>
          <w:szCs w:val="24"/>
        </w:rPr>
        <w:t xml:space="preserve">, </w:t>
      </w:r>
      <w:r w:rsidR="009E2770" w:rsidRPr="009E2770">
        <w:rPr>
          <w:rFonts w:ascii="Times New Roman" w:hAnsi="Times New Roman" w:cs="Times New Roman"/>
          <w:sz w:val="24"/>
          <w:szCs w:val="24"/>
        </w:rPr>
        <w:t>implying the forecasting power of past volatility of Islamic equity sectors and X8X</w:t>
      </w:r>
      <w:r w:rsidR="000802A3" w:rsidRPr="009E2770">
        <w:rPr>
          <w:rFonts w:ascii="Times New Roman" w:hAnsi="Times New Roman" w:cs="Times New Roman"/>
          <w:sz w:val="24"/>
          <w:szCs w:val="24"/>
        </w:rPr>
        <w:t xml:space="preserve">. </w:t>
      </w:r>
      <w:r w:rsidR="00BB5C2F">
        <w:rPr>
          <w:rFonts w:ascii="Times New Roman" w:hAnsi="Times New Roman" w:cs="Times New Roman"/>
          <w:sz w:val="24"/>
          <w:szCs w:val="24"/>
        </w:rPr>
        <w:t xml:space="preserve">Our results are </w:t>
      </w:r>
      <w:proofErr w:type="gramStart"/>
      <w:r w:rsidR="00BB5C2F">
        <w:rPr>
          <w:rFonts w:ascii="Times New Roman" w:hAnsi="Times New Roman" w:cs="Times New Roman"/>
          <w:sz w:val="24"/>
          <w:szCs w:val="24"/>
        </w:rPr>
        <w:t>similar to</w:t>
      </w:r>
      <w:proofErr w:type="gramEnd"/>
      <w:r w:rsidR="00BB5C2F">
        <w:rPr>
          <w:rFonts w:ascii="Times New Roman" w:hAnsi="Times New Roman" w:cs="Times New Roman"/>
          <w:sz w:val="24"/>
          <w:szCs w:val="24"/>
        </w:rPr>
        <w:t xml:space="preserve"> the findings of </w:t>
      </w:r>
      <w:r w:rsidR="001D4686" w:rsidRPr="001D4686">
        <w:rPr>
          <w:rFonts w:ascii="Times New Roman" w:hAnsi="Times New Roman" w:cs="Times New Roman"/>
          <w:color w:val="0070C0"/>
          <w:sz w:val="24"/>
          <w:szCs w:val="24"/>
        </w:rPr>
        <w:t>Rahim et al. (2009)</w:t>
      </w:r>
      <w:r w:rsidR="007A68B4">
        <w:rPr>
          <w:rFonts w:ascii="Times New Roman" w:hAnsi="Times New Roman" w:cs="Times New Roman"/>
          <w:color w:val="0070C0"/>
          <w:sz w:val="24"/>
          <w:szCs w:val="24"/>
        </w:rPr>
        <w:t xml:space="preserve"> and </w:t>
      </w:r>
      <w:proofErr w:type="spellStart"/>
      <w:r w:rsidR="007A68B4" w:rsidRPr="007A68B4">
        <w:rPr>
          <w:rFonts w:ascii="Times New Roman" w:hAnsi="Times New Roman" w:cs="Times New Roman"/>
          <w:color w:val="0070C0"/>
          <w:sz w:val="24"/>
          <w:szCs w:val="24"/>
        </w:rPr>
        <w:t>Chkili</w:t>
      </w:r>
      <w:proofErr w:type="spellEnd"/>
      <w:r w:rsidR="007A68B4">
        <w:rPr>
          <w:rFonts w:ascii="Times New Roman" w:hAnsi="Times New Roman" w:cs="Times New Roman"/>
          <w:color w:val="0070C0"/>
          <w:sz w:val="24"/>
          <w:szCs w:val="24"/>
        </w:rPr>
        <w:t xml:space="preserve"> and</w:t>
      </w:r>
      <w:r w:rsidR="007A68B4" w:rsidRPr="007A68B4">
        <w:rPr>
          <w:rFonts w:ascii="Times New Roman" w:hAnsi="Times New Roman" w:cs="Times New Roman"/>
          <w:color w:val="0070C0"/>
          <w:sz w:val="24"/>
          <w:szCs w:val="24"/>
        </w:rPr>
        <w:t xml:space="preserve"> Hamdi (2021</w:t>
      </w:r>
      <w:r w:rsidR="007A68B4">
        <w:rPr>
          <w:rFonts w:ascii="Times New Roman" w:hAnsi="Times New Roman" w:cs="Times New Roman"/>
          <w:color w:val="0070C0"/>
          <w:sz w:val="24"/>
          <w:szCs w:val="24"/>
        </w:rPr>
        <w:t>)</w:t>
      </w:r>
      <w:r w:rsidR="00BB5C2F">
        <w:rPr>
          <w:rFonts w:ascii="Times New Roman" w:hAnsi="Times New Roman" w:cs="Times New Roman"/>
          <w:color w:val="0070C0"/>
          <w:sz w:val="24"/>
          <w:szCs w:val="24"/>
        </w:rPr>
        <w:t>, they</w:t>
      </w:r>
      <w:r w:rsidR="001D4686" w:rsidRPr="001D4686">
        <w:rPr>
          <w:rFonts w:ascii="Times New Roman" w:hAnsi="Times New Roman" w:cs="Times New Roman"/>
          <w:color w:val="0070C0"/>
          <w:sz w:val="24"/>
          <w:szCs w:val="24"/>
        </w:rPr>
        <w:t xml:space="preserve"> report that lag volatility of Islamic equity markets affect their current volatility</w:t>
      </w:r>
      <w:r w:rsidR="007A68B4">
        <w:rPr>
          <w:rFonts w:ascii="Times New Roman" w:hAnsi="Times New Roman" w:cs="Times New Roman"/>
          <w:color w:val="0070C0"/>
          <w:sz w:val="24"/>
          <w:szCs w:val="24"/>
        </w:rPr>
        <w:t xml:space="preserve"> in crisis</w:t>
      </w:r>
      <w:r w:rsidR="009E2770">
        <w:rPr>
          <w:rFonts w:ascii="Times New Roman" w:hAnsi="Times New Roman" w:cs="Times New Roman"/>
          <w:color w:val="0070C0"/>
          <w:sz w:val="24"/>
          <w:szCs w:val="24"/>
        </w:rPr>
        <w:t xml:space="preserve">. </w:t>
      </w:r>
      <w:r w:rsidR="00BB5C2F">
        <w:rPr>
          <w:rFonts w:ascii="Times New Roman" w:hAnsi="Times New Roman" w:cs="Times New Roman"/>
          <w:color w:val="0070C0"/>
          <w:sz w:val="24"/>
          <w:szCs w:val="24"/>
        </w:rPr>
        <w:t xml:space="preserve">Moreover, </w:t>
      </w:r>
      <w:proofErr w:type="spellStart"/>
      <w:r w:rsidR="00BB5C2F" w:rsidRPr="00BB5C2F">
        <w:rPr>
          <w:rFonts w:ascii="Times New Roman" w:hAnsi="Times New Roman" w:cs="Times New Roman"/>
          <w:color w:val="0070C0"/>
          <w:sz w:val="24"/>
          <w:szCs w:val="24"/>
        </w:rPr>
        <w:t>Lahmiri</w:t>
      </w:r>
      <w:proofErr w:type="spellEnd"/>
      <w:r w:rsidR="00BB5C2F">
        <w:rPr>
          <w:rFonts w:ascii="Times New Roman" w:hAnsi="Times New Roman" w:cs="Times New Roman"/>
          <w:color w:val="0070C0"/>
          <w:sz w:val="24"/>
          <w:szCs w:val="24"/>
        </w:rPr>
        <w:t xml:space="preserve"> and </w:t>
      </w:r>
      <w:proofErr w:type="spellStart"/>
      <w:r w:rsidR="00BB5C2F" w:rsidRPr="00BB5C2F">
        <w:rPr>
          <w:rFonts w:ascii="Times New Roman" w:hAnsi="Times New Roman" w:cs="Times New Roman"/>
          <w:color w:val="0070C0"/>
          <w:sz w:val="24"/>
          <w:szCs w:val="24"/>
        </w:rPr>
        <w:t>Bekiros</w:t>
      </w:r>
      <w:proofErr w:type="spellEnd"/>
      <w:r w:rsidR="00BB5C2F">
        <w:rPr>
          <w:rFonts w:ascii="Times New Roman" w:hAnsi="Times New Roman" w:cs="Times New Roman"/>
          <w:color w:val="0070C0"/>
          <w:sz w:val="24"/>
          <w:szCs w:val="24"/>
        </w:rPr>
        <w:t xml:space="preserve"> (</w:t>
      </w:r>
      <w:r w:rsidR="00BB5C2F" w:rsidRPr="00BB5C2F">
        <w:rPr>
          <w:rFonts w:ascii="Times New Roman" w:hAnsi="Times New Roman" w:cs="Times New Roman"/>
          <w:color w:val="0070C0"/>
          <w:sz w:val="24"/>
          <w:szCs w:val="24"/>
        </w:rPr>
        <w:t>2019</w:t>
      </w:r>
      <w:r w:rsidR="00BB5C2F">
        <w:rPr>
          <w:rFonts w:ascii="Times New Roman" w:hAnsi="Times New Roman" w:cs="Times New Roman"/>
          <w:color w:val="0070C0"/>
          <w:sz w:val="24"/>
          <w:szCs w:val="24"/>
        </w:rPr>
        <w:t xml:space="preserve">) also find that past volatility of X8X is useful in forecasting their volatility. </w:t>
      </w:r>
      <w:r w:rsidR="00205DCC">
        <w:rPr>
          <w:rFonts w:ascii="Times New Roman" w:hAnsi="Times New Roman" w:cs="Times New Roman"/>
          <w:sz w:val="24"/>
          <w:szCs w:val="24"/>
        </w:rPr>
        <w:t xml:space="preserve">As the </w:t>
      </w:r>
      <w:r w:rsidR="00AF5CDF">
        <w:rPr>
          <w:rFonts w:ascii="Times New Roman" w:hAnsi="Times New Roman" w:cs="Times New Roman"/>
          <w:sz w:val="24"/>
          <w:szCs w:val="24"/>
        </w:rPr>
        <w:t>coefficients</w:t>
      </w:r>
      <w:r w:rsidR="00205DCC">
        <w:rPr>
          <w:rFonts w:ascii="Times New Roman" w:hAnsi="Times New Roman" w:cs="Times New Roman"/>
          <w:sz w:val="24"/>
          <w:szCs w:val="24"/>
        </w:rPr>
        <w:t xml:space="preserve"> of past own volatility are higher compared to past own shocks, therefore </w:t>
      </w:r>
      <w:r w:rsidR="007566B2">
        <w:rPr>
          <w:rFonts w:ascii="Times New Roman" w:hAnsi="Times New Roman" w:cs="Times New Roman"/>
          <w:sz w:val="24"/>
          <w:szCs w:val="24"/>
        </w:rPr>
        <w:t xml:space="preserve">the past own volatility is </w:t>
      </w:r>
      <w:r w:rsidR="00EE01AF">
        <w:rPr>
          <w:rFonts w:ascii="Times New Roman" w:hAnsi="Times New Roman" w:cs="Times New Roman"/>
          <w:sz w:val="24"/>
          <w:szCs w:val="24"/>
        </w:rPr>
        <w:t xml:space="preserve">a </w:t>
      </w:r>
      <w:r w:rsidR="007566B2">
        <w:rPr>
          <w:rFonts w:ascii="Times New Roman" w:hAnsi="Times New Roman" w:cs="Times New Roman"/>
          <w:sz w:val="24"/>
          <w:szCs w:val="24"/>
        </w:rPr>
        <w:t xml:space="preserve">more important factor in </w:t>
      </w:r>
      <w:r w:rsidR="00AF5CDF">
        <w:rPr>
          <w:rFonts w:ascii="Times New Roman" w:hAnsi="Times New Roman" w:cs="Times New Roman"/>
          <w:sz w:val="24"/>
          <w:szCs w:val="24"/>
        </w:rPr>
        <w:t>explaining</w:t>
      </w:r>
      <w:r w:rsidR="00725AC3">
        <w:rPr>
          <w:rFonts w:ascii="Times New Roman" w:hAnsi="Times New Roman" w:cs="Times New Roman"/>
          <w:sz w:val="24"/>
          <w:szCs w:val="24"/>
        </w:rPr>
        <w:t xml:space="preserve"> current conditional volatility compared </w:t>
      </w:r>
      <w:r w:rsidR="00AF5CDF">
        <w:rPr>
          <w:rFonts w:ascii="Times New Roman" w:hAnsi="Times New Roman" w:cs="Times New Roman"/>
          <w:sz w:val="24"/>
          <w:szCs w:val="24"/>
        </w:rPr>
        <w:t>to the past own shocks in Islamic equity and cryptocurrency markets during both sample periods.</w:t>
      </w:r>
      <w:r w:rsidR="00F24ECC">
        <w:rPr>
          <w:rFonts w:ascii="Times New Roman" w:hAnsi="Times New Roman" w:cs="Times New Roman"/>
          <w:sz w:val="24"/>
          <w:szCs w:val="24"/>
        </w:rPr>
        <w:t xml:space="preserve"> </w:t>
      </w:r>
      <w:proofErr w:type="spellStart"/>
      <w:r w:rsidR="00F24ECC" w:rsidRPr="00F24ECC">
        <w:rPr>
          <w:rFonts w:ascii="Times New Roman" w:hAnsi="Times New Roman" w:cs="Times New Roman"/>
          <w:color w:val="0070C0"/>
          <w:sz w:val="24"/>
          <w:szCs w:val="24"/>
        </w:rPr>
        <w:t>Nazlioglu</w:t>
      </w:r>
      <w:proofErr w:type="spellEnd"/>
      <w:r w:rsidR="00F24ECC" w:rsidRPr="00F24ECC">
        <w:rPr>
          <w:rFonts w:ascii="Times New Roman" w:hAnsi="Times New Roman" w:cs="Times New Roman"/>
          <w:color w:val="0070C0"/>
          <w:sz w:val="24"/>
          <w:szCs w:val="24"/>
        </w:rPr>
        <w:t xml:space="preserve"> et al. (</w:t>
      </w:r>
      <w:r w:rsidR="00F24ECC">
        <w:rPr>
          <w:rFonts w:ascii="Times New Roman" w:hAnsi="Times New Roman" w:cs="Times New Roman"/>
          <w:color w:val="0070C0"/>
          <w:sz w:val="24"/>
          <w:szCs w:val="24"/>
        </w:rPr>
        <w:t>2015</w:t>
      </w:r>
      <w:r w:rsidR="00F24ECC" w:rsidRPr="00F24ECC">
        <w:rPr>
          <w:rFonts w:ascii="Times New Roman" w:hAnsi="Times New Roman" w:cs="Times New Roman"/>
          <w:color w:val="0070C0"/>
          <w:sz w:val="24"/>
          <w:szCs w:val="24"/>
        </w:rPr>
        <w:t>) also find the stronger impact of past volatility compared to past shocks on current volatility in Islamic equity markets</w:t>
      </w:r>
      <w:r w:rsidR="00F24ECC">
        <w:rPr>
          <w:rFonts w:ascii="Times New Roman" w:hAnsi="Times New Roman" w:cs="Times New Roman"/>
          <w:color w:val="0070C0"/>
          <w:sz w:val="24"/>
          <w:szCs w:val="24"/>
        </w:rPr>
        <w:t xml:space="preserve"> in pre and during crises periods</w:t>
      </w:r>
      <w:r w:rsidR="00F24ECC" w:rsidRPr="00F24ECC">
        <w:rPr>
          <w:rFonts w:ascii="Times New Roman" w:hAnsi="Times New Roman" w:cs="Times New Roman"/>
          <w:color w:val="0070C0"/>
          <w:sz w:val="24"/>
          <w:szCs w:val="24"/>
        </w:rPr>
        <w:t xml:space="preserve">. </w:t>
      </w:r>
      <w:r w:rsidR="000A354A">
        <w:rPr>
          <w:rFonts w:ascii="Times New Roman" w:hAnsi="Times New Roman" w:cs="Times New Roman"/>
          <w:sz w:val="24"/>
          <w:szCs w:val="24"/>
        </w:rPr>
        <w:t xml:space="preserve">The </w:t>
      </w:r>
      <w:r w:rsidR="00973CB4">
        <w:rPr>
          <w:rFonts w:ascii="Times New Roman" w:hAnsi="Times New Roman" w:cs="Times New Roman"/>
          <w:sz w:val="24"/>
          <w:szCs w:val="24"/>
        </w:rPr>
        <w:t>cross-market</w:t>
      </w:r>
      <w:r w:rsidR="0016702A">
        <w:rPr>
          <w:rFonts w:ascii="Times New Roman" w:hAnsi="Times New Roman" w:cs="Times New Roman"/>
          <w:sz w:val="24"/>
          <w:szCs w:val="24"/>
        </w:rPr>
        <w:t xml:space="preserve"> </w:t>
      </w:r>
      <w:r w:rsidR="000A354A">
        <w:rPr>
          <w:rFonts w:ascii="Times New Roman" w:hAnsi="Times New Roman" w:cs="Times New Roman"/>
          <w:sz w:val="24"/>
          <w:szCs w:val="24"/>
        </w:rPr>
        <w:t>shock spillover analysis reveal</w:t>
      </w:r>
      <w:r w:rsidR="00EE01AF">
        <w:rPr>
          <w:rFonts w:ascii="Times New Roman" w:hAnsi="Times New Roman" w:cs="Times New Roman"/>
          <w:sz w:val="24"/>
          <w:szCs w:val="24"/>
        </w:rPr>
        <w:t>s</w:t>
      </w:r>
      <w:r w:rsidR="000A354A">
        <w:rPr>
          <w:rFonts w:ascii="Times New Roman" w:hAnsi="Times New Roman" w:cs="Times New Roman"/>
          <w:sz w:val="24"/>
          <w:szCs w:val="24"/>
        </w:rPr>
        <w:t xml:space="preserve"> that </w:t>
      </w:r>
      <w:r w:rsidR="0016702A">
        <w:rPr>
          <w:rFonts w:ascii="Times New Roman" w:hAnsi="Times New Roman" w:cs="Times New Roman"/>
          <w:sz w:val="24"/>
          <w:szCs w:val="24"/>
        </w:rPr>
        <w:t xml:space="preserve">the shock spillover is significant from </w:t>
      </w:r>
      <w:proofErr w:type="gramStart"/>
      <w:r w:rsidR="0016702A">
        <w:rPr>
          <w:rFonts w:ascii="Times New Roman" w:hAnsi="Times New Roman" w:cs="Times New Roman"/>
          <w:sz w:val="24"/>
          <w:szCs w:val="24"/>
        </w:rPr>
        <w:t>the majority of</w:t>
      </w:r>
      <w:proofErr w:type="gramEnd"/>
      <w:r w:rsidR="0016702A">
        <w:rPr>
          <w:rFonts w:ascii="Times New Roman" w:hAnsi="Times New Roman" w:cs="Times New Roman"/>
          <w:sz w:val="24"/>
          <w:szCs w:val="24"/>
        </w:rPr>
        <w:t xml:space="preserve"> the sectors </w:t>
      </w:r>
      <w:r w:rsidR="00D40DF5">
        <w:rPr>
          <w:rFonts w:ascii="Times New Roman" w:hAnsi="Times New Roman" w:cs="Times New Roman"/>
          <w:sz w:val="24"/>
          <w:szCs w:val="24"/>
        </w:rPr>
        <w:t xml:space="preserve">to X8X during </w:t>
      </w:r>
      <w:r w:rsidR="00EE01AF">
        <w:rPr>
          <w:rFonts w:ascii="Times New Roman" w:hAnsi="Times New Roman" w:cs="Times New Roman"/>
          <w:sz w:val="24"/>
          <w:szCs w:val="24"/>
        </w:rPr>
        <w:t xml:space="preserve">the </w:t>
      </w:r>
      <w:r w:rsidR="00D40DF5">
        <w:rPr>
          <w:rFonts w:ascii="Times New Roman" w:hAnsi="Times New Roman" w:cs="Times New Roman"/>
          <w:sz w:val="24"/>
          <w:szCs w:val="24"/>
        </w:rPr>
        <w:t xml:space="preserve">pre-COVID-19 period. </w:t>
      </w:r>
      <w:r w:rsidR="00D40DF5">
        <w:rPr>
          <w:rFonts w:ascii="Times New Roman" w:hAnsi="Times New Roman" w:cs="Times New Roman"/>
          <w:sz w:val="24"/>
          <w:szCs w:val="24"/>
        </w:rPr>
        <w:lastRenderedPageBreak/>
        <w:t>In contrast, the past shock</w:t>
      </w:r>
      <w:r w:rsidR="00973CB4">
        <w:rPr>
          <w:rFonts w:ascii="Times New Roman" w:hAnsi="Times New Roman" w:cs="Times New Roman"/>
          <w:sz w:val="24"/>
          <w:szCs w:val="24"/>
        </w:rPr>
        <w:t xml:space="preserve"> of X8X</w:t>
      </w:r>
      <w:r w:rsidR="00D40DF5">
        <w:rPr>
          <w:rFonts w:ascii="Times New Roman" w:hAnsi="Times New Roman" w:cs="Times New Roman"/>
          <w:sz w:val="24"/>
          <w:szCs w:val="24"/>
        </w:rPr>
        <w:t xml:space="preserve"> significantly affect</w:t>
      </w:r>
      <w:r w:rsidR="00EE01AF">
        <w:rPr>
          <w:rFonts w:ascii="Times New Roman" w:hAnsi="Times New Roman" w:cs="Times New Roman"/>
          <w:sz w:val="24"/>
          <w:szCs w:val="24"/>
        </w:rPr>
        <w:t>s</w:t>
      </w:r>
      <w:r w:rsidR="00D40DF5">
        <w:rPr>
          <w:rFonts w:ascii="Times New Roman" w:hAnsi="Times New Roman" w:cs="Times New Roman"/>
          <w:sz w:val="24"/>
          <w:szCs w:val="24"/>
        </w:rPr>
        <w:t xml:space="preserve"> the current conditional volatility of the </w:t>
      </w:r>
      <w:r w:rsidR="00973CB4">
        <w:rPr>
          <w:rFonts w:ascii="Times New Roman" w:hAnsi="Times New Roman" w:cs="Times New Roman"/>
          <w:sz w:val="24"/>
          <w:szCs w:val="24"/>
        </w:rPr>
        <w:t>c</w:t>
      </w:r>
      <w:r w:rsidR="00694894">
        <w:rPr>
          <w:rFonts w:ascii="Times New Roman" w:hAnsi="Times New Roman" w:cs="Times New Roman"/>
          <w:sz w:val="24"/>
          <w:szCs w:val="24"/>
        </w:rPr>
        <w:t xml:space="preserve">onsumer discretionary and financials </w:t>
      </w:r>
      <w:r w:rsidR="00973CB4">
        <w:rPr>
          <w:rFonts w:ascii="Times New Roman" w:hAnsi="Times New Roman" w:cs="Times New Roman"/>
          <w:sz w:val="24"/>
          <w:szCs w:val="24"/>
        </w:rPr>
        <w:t>sectors during the COVID-19.</w:t>
      </w:r>
    </w:p>
    <w:p w14:paraId="4C0C790F" w14:textId="5514143C" w:rsidR="00FD58FC" w:rsidRPr="00FE4BD1" w:rsidRDefault="00FD58FC" w:rsidP="006B26B7">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The volatility spillover is found to be unidirectional from the health care and real estate to </w:t>
      </w:r>
      <w:r w:rsidR="000E012B">
        <w:rPr>
          <w:rFonts w:ascii="Times New Roman" w:hAnsi="Times New Roman" w:cs="Times New Roman"/>
          <w:sz w:val="24"/>
          <w:szCs w:val="24"/>
        </w:rPr>
        <w:t xml:space="preserve">X8X, and from X8X to </w:t>
      </w:r>
      <w:r w:rsidR="00C53182">
        <w:rPr>
          <w:rFonts w:ascii="Times New Roman" w:hAnsi="Times New Roman" w:cs="Times New Roman"/>
          <w:sz w:val="24"/>
          <w:szCs w:val="24"/>
        </w:rPr>
        <w:t xml:space="preserve">energy, materials, and utilities sectors </w:t>
      </w:r>
      <w:r w:rsidR="00290425">
        <w:rPr>
          <w:rFonts w:ascii="Times New Roman" w:hAnsi="Times New Roman" w:cs="Times New Roman"/>
          <w:sz w:val="24"/>
          <w:szCs w:val="24"/>
        </w:rPr>
        <w:t xml:space="preserve">during </w:t>
      </w:r>
      <w:r w:rsidR="00EE01AF">
        <w:rPr>
          <w:rFonts w:ascii="Times New Roman" w:hAnsi="Times New Roman" w:cs="Times New Roman"/>
          <w:sz w:val="24"/>
          <w:szCs w:val="24"/>
        </w:rPr>
        <w:t xml:space="preserve">the </w:t>
      </w:r>
      <w:r w:rsidR="00290425">
        <w:rPr>
          <w:rFonts w:ascii="Times New Roman" w:hAnsi="Times New Roman" w:cs="Times New Roman"/>
          <w:sz w:val="24"/>
          <w:szCs w:val="24"/>
        </w:rPr>
        <w:t xml:space="preserve">pre-COVID-19 period. </w:t>
      </w:r>
      <w:r w:rsidR="008646D4">
        <w:rPr>
          <w:rFonts w:ascii="Times New Roman" w:hAnsi="Times New Roman" w:cs="Times New Roman"/>
          <w:sz w:val="24"/>
          <w:szCs w:val="24"/>
        </w:rPr>
        <w:t xml:space="preserve">There </w:t>
      </w:r>
      <w:r w:rsidR="009A7FA5">
        <w:rPr>
          <w:rFonts w:ascii="Times New Roman" w:hAnsi="Times New Roman" w:cs="Times New Roman"/>
          <w:sz w:val="24"/>
          <w:szCs w:val="24"/>
        </w:rPr>
        <w:t xml:space="preserve">is no volatility spillover between X8X, and </w:t>
      </w:r>
      <w:r w:rsidR="00D20AD4">
        <w:rPr>
          <w:rFonts w:ascii="Times New Roman" w:hAnsi="Times New Roman" w:cs="Times New Roman"/>
          <w:sz w:val="24"/>
          <w:szCs w:val="24"/>
        </w:rPr>
        <w:t>communication services</w:t>
      </w:r>
      <w:r w:rsidR="00323136">
        <w:rPr>
          <w:rFonts w:ascii="Times New Roman" w:hAnsi="Times New Roman" w:cs="Times New Roman"/>
          <w:sz w:val="24"/>
          <w:szCs w:val="24"/>
        </w:rPr>
        <w:t xml:space="preserve">, consumer discretionary, consumer staples, </w:t>
      </w:r>
      <w:r w:rsidR="00565FD3">
        <w:rPr>
          <w:rFonts w:ascii="Times New Roman" w:hAnsi="Times New Roman" w:cs="Times New Roman"/>
          <w:sz w:val="24"/>
          <w:szCs w:val="24"/>
        </w:rPr>
        <w:t>financials, industr</w:t>
      </w:r>
      <w:r w:rsidR="00484AE1">
        <w:rPr>
          <w:rFonts w:ascii="Times New Roman" w:hAnsi="Times New Roman" w:cs="Times New Roman"/>
          <w:sz w:val="24"/>
          <w:szCs w:val="24"/>
        </w:rPr>
        <w:t xml:space="preserve">ials, </w:t>
      </w:r>
      <w:r w:rsidR="00A4114C">
        <w:rPr>
          <w:rFonts w:ascii="Times New Roman" w:hAnsi="Times New Roman" w:cs="Times New Roman"/>
          <w:sz w:val="24"/>
          <w:szCs w:val="24"/>
        </w:rPr>
        <w:t xml:space="preserve">and </w:t>
      </w:r>
      <w:r w:rsidR="00484AE1">
        <w:rPr>
          <w:rFonts w:ascii="Times New Roman" w:hAnsi="Times New Roman" w:cs="Times New Roman"/>
          <w:sz w:val="24"/>
          <w:szCs w:val="24"/>
        </w:rPr>
        <w:t>information technology</w:t>
      </w:r>
      <w:r w:rsidR="00A4114C">
        <w:rPr>
          <w:rFonts w:ascii="Times New Roman" w:hAnsi="Times New Roman" w:cs="Times New Roman"/>
          <w:sz w:val="24"/>
          <w:szCs w:val="24"/>
        </w:rPr>
        <w:t xml:space="preserve"> sectors, showing that the portfolio risk of these sectors can be reduced by adding X8X </w:t>
      </w:r>
      <w:r w:rsidR="00596496">
        <w:rPr>
          <w:rFonts w:ascii="Times New Roman" w:hAnsi="Times New Roman" w:cs="Times New Roman"/>
          <w:sz w:val="24"/>
          <w:szCs w:val="24"/>
        </w:rPr>
        <w:t xml:space="preserve">during non-crisis period. </w:t>
      </w:r>
      <w:r w:rsidR="00F47724">
        <w:rPr>
          <w:rFonts w:ascii="Times New Roman" w:hAnsi="Times New Roman" w:cs="Times New Roman"/>
          <w:sz w:val="24"/>
          <w:szCs w:val="24"/>
        </w:rPr>
        <w:t>However, the volatility transmission unidirectional from X8</w:t>
      </w:r>
      <w:r w:rsidR="002C49EC">
        <w:rPr>
          <w:rFonts w:ascii="Times New Roman" w:hAnsi="Times New Roman" w:cs="Times New Roman"/>
          <w:sz w:val="24"/>
          <w:szCs w:val="24"/>
        </w:rPr>
        <w:t>X</w:t>
      </w:r>
      <w:r w:rsidR="00F47724">
        <w:rPr>
          <w:rFonts w:ascii="Times New Roman" w:hAnsi="Times New Roman" w:cs="Times New Roman"/>
          <w:sz w:val="24"/>
          <w:szCs w:val="24"/>
        </w:rPr>
        <w:t xml:space="preserve"> to </w:t>
      </w:r>
      <w:r w:rsidR="00882E95">
        <w:rPr>
          <w:rFonts w:ascii="Times New Roman" w:hAnsi="Times New Roman" w:cs="Times New Roman"/>
          <w:sz w:val="24"/>
          <w:szCs w:val="24"/>
        </w:rPr>
        <w:t xml:space="preserve">energy, financials, </w:t>
      </w:r>
      <w:r w:rsidR="00C76F16">
        <w:rPr>
          <w:rFonts w:ascii="Times New Roman" w:hAnsi="Times New Roman" w:cs="Times New Roman"/>
          <w:sz w:val="24"/>
          <w:szCs w:val="24"/>
        </w:rPr>
        <w:t>information technology, materials, real estate, and utilities</w:t>
      </w:r>
      <w:r w:rsidR="00F47724">
        <w:rPr>
          <w:rFonts w:ascii="Times New Roman" w:hAnsi="Times New Roman" w:cs="Times New Roman"/>
          <w:sz w:val="24"/>
          <w:szCs w:val="24"/>
        </w:rPr>
        <w:t xml:space="preserve"> sectors during the COVID-19.</w:t>
      </w:r>
      <w:r w:rsidR="00D60161">
        <w:rPr>
          <w:rFonts w:ascii="Times New Roman" w:hAnsi="Times New Roman" w:cs="Times New Roman"/>
          <w:sz w:val="24"/>
          <w:szCs w:val="24"/>
        </w:rPr>
        <w:t xml:space="preserve"> Moreover, the volatility tra</w:t>
      </w:r>
      <w:r w:rsidR="001303EB">
        <w:rPr>
          <w:rFonts w:ascii="Times New Roman" w:hAnsi="Times New Roman" w:cs="Times New Roman"/>
          <w:sz w:val="24"/>
          <w:szCs w:val="24"/>
        </w:rPr>
        <w:t xml:space="preserve">nsmissions are not significant between X8X and </w:t>
      </w:r>
      <w:r w:rsidR="009A2BAC">
        <w:rPr>
          <w:rFonts w:ascii="Times New Roman" w:hAnsi="Times New Roman" w:cs="Times New Roman"/>
          <w:sz w:val="24"/>
          <w:szCs w:val="24"/>
        </w:rPr>
        <w:t xml:space="preserve">communication services, </w:t>
      </w:r>
      <w:r w:rsidR="002F516F">
        <w:rPr>
          <w:rFonts w:ascii="Times New Roman" w:hAnsi="Times New Roman" w:cs="Times New Roman"/>
          <w:sz w:val="24"/>
          <w:szCs w:val="24"/>
        </w:rPr>
        <w:t>consumer discretionary, consumer staples</w:t>
      </w:r>
      <w:r w:rsidR="002167EB">
        <w:rPr>
          <w:rFonts w:ascii="Times New Roman" w:hAnsi="Times New Roman" w:cs="Times New Roman"/>
          <w:sz w:val="24"/>
          <w:szCs w:val="24"/>
        </w:rPr>
        <w:t xml:space="preserve">, health care, and </w:t>
      </w:r>
      <w:r w:rsidR="00AC5B68">
        <w:rPr>
          <w:rFonts w:ascii="Times New Roman" w:hAnsi="Times New Roman" w:cs="Times New Roman"/>
          <w:sz w:val="24"/>
          <w:szCs w:val="24"/>
        </w:rPr>
        <w:t>industrials</w:t>
      </w:r>
      <w:r w:rsidR="002167EB">
        <w:rPr>
          <w:rFonts w:ascii="Times New Roman" w:hAnsi="Times New Roman" w:cs="Times New Roman"/>
          <w:sz w:val="24"/>
          <w:szCs w:val="24"/>
        </w:rPr>
        <w:t>,</w:t>
      </w:r>
      <w:r w:rsidR="00AC5B68">
        <w:rPr>
          <w:rFonts w:ascii="Times New Roman" w:hAnsi="Times New Roman" w:cs="Times New Roman"/>
          <w:sz w:val="24"/>
          <w:szCs w:val="24"/>
        </w:rPr>
        <w:t xml:space="preserve"> </w:t>
      </w:r>
      <w:r w:rsidR="00AC5B68" w:rsidRPr="00FE4BD1">
        <w:rPr>
          <w:rFonts w:ascii="Times New Roman" w:hAnsi="Times New Roman" w:cs="Times New Roman"/>
          <w:color w:val="0070C0"/>
          <w:sz w:val="24"/>
          <w:szCs w:val="24"/>
        </w:rPr>
        <w:t>proposing that</w:t>
      </w:r>
      <w:r w:rsidR="00F20FDB" w:rsidRPr="00FE4BD1">
        <w:rPr>
          <w:rFonts w:ascii="Times New Roman" w:hAnsi="Times New Roman" w:cs="Times New Roman"/>
          <w:color w:val="0070C0"/>
          <w:sz w:val="24"/>
          <w:szCs w:val="24"/>
        </w:rPr>
        <w:t xml:space="preserve"> </w:t>
      </w:r>
      <w:r w:rsidR="00EB16CB" w:rsidRPr="00FE4BD1">
        <w:rPr>
          <w:rFonts w:ascii="Times New Roman" w:hAnsi="Times New Roman" w:cs="Times New Roman"/>
          <w:color w:val="0070C0"/>
          <w:sz w:val="24"/>
          <w:szCs w:val="24"/>
        </w:rPr>
        <w:t>X8X can be used to m</w:t>
      </w:r>
      <w:r w:rsidR="00F20FDB" w:rsidRPr="00FE4BD1">
        <w:rPr>
          <w:rFonts w:ascii="Times New Roman" w:hAnsi="Times New Roman" w:cs="Times New Roman"/>
          <w:color w:val="0070C0"/>
          <w:sz w:val="24"/>
          <w:szCs w:val="24"/>
        </w:rPr>
        <w:t xml:space="preserve">inimize the risk of </w:t>
      </w:r>
      <w:r w:rsidR="002F6AB4" w:rsidRPr="00FE4BD1">
        <w:rPr>
          <w:rFonts w:ascii="Times New Roman" w:hAnsi="Times New Roman" w:cs="Times New Roman"/>
          <w:color w:val="0070C0"/>
          <w:sz w:val="24"/>
          <w:szCs w:val="24"/>
        </w:rPr>
        <w:t>few equity sectorial portfolios during the COVID-19.</w:t>
      </w:r>
    </w:p>
    <w:p w14:paraId="5E273E85" w14:textId="31BF3E77" w:rsidR="000E717F" w:rsidRDefault="0005531C" w:rsidP="006B2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asymmetric coefficients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11</m:t>
            </m:r>
          </m:sub>
        </m:sSub>
      </m:oMath>
      <w:r>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22</m:t>
            </m:r>
          </m:sub>
        </m:sSub>
      </m:oMath>
      <w:r>
        <w:rPr>
          <w:rFonts w:ascii="Times New Roman" w:eastAsiaTheme="minorEastAsia" w:hAnsi="Times New Roman" w:cs="Times New Roman"/>
          <w:sz w:val="24"/>
          <w:szCs w:val="24"/>
          <w:lang w:val="en-GB"/>
        </w:rPr>
        <w:t>,</w:t>
      </w:r>
      <m:oMath>
        <m:r>
          <w:rPr>
            <w:rFonts w:ascii="Cambria Math" w:hAnsi="Cambria Math" w:cs="Times New Roman"/>
            <w:sz w:val="24"/>
            <w:szCs w:val="24"/>
            <w:lang w:val="en-GB"/>
          </w:rPr>
          <m:t xml:space="preserve"> </m:t>
        </m:r>
      </m:oMath>
      <w:r w:rsidR="006C69BF">
        <w:rPr>
          <w:rFonts w:ascii="Times New Roman" w:eastAsiaTheme="minorEastAsia" w:hAnsi="Times New Roman" w:cs="Times New Roman"/>
          <w:sz w:val="24"/>
          <w:szCs w:val="24"/>
          <w:lang w:val="en-GB"/>
        </w:rPr>
        <w:t>are</w:t>
      </w:r>
      <w:r>
        <w:rPr>
          <w:rFonts w:ascii="Times New Roman" w:hAnsi="Times New Roman" w:cs="Times New Roman"/>
          <w:sz w:val="24"/>
          <w:szCs w:val="24"/>
        </w:rPr>
        <w:t xml:space="preserve"> </w:t>
      </w:r>
      <w:r w:rsidR="00D73575">
        <w:rPr>
          <w:rFonts w:ascii="Times New Roman" w:hAnsi="Times New Roman" w:cs="Times New Roman"/>
          <w:sz w:val="24"/>
          <w:szCs w:val="24"/>
        </w:rPr>
        <w:t>s</w:t>
      </w:r>
      <w:r>
        <w:rPr>
          <w:rFonts w:ascii="Times New Roman" w:hAnsi="Times New Roman" w:cs="Times New Roman"/>
          <w:sz w:val="24"/>
          <w:szCs w:val="24"/>
        </w:rPr>
        <w:t xml:space="preserve">ignificant </w:t>
      </w:r>
      <w:r w:rsidR="00D73575">
        <w:rPr>
          <w:rFonts w:ascii="Times New Roman" w:hAnsi="Times New Roman" w:cs="Times New Roman"/>
          <w:sz w:val="24"/>
          <w:szCs w:val="24"/>
        </w:rPr>
        <w:t xml:space="preserve">and positive </w:t>
      </w:r>
      <w:r>
        <w:rPr>
          <w:rFonts w:ascii="Times New Roman" w:hAnsi="Times New Roman" w:cs="Times New Roman"/>
          <w:sz w:val="24"/>
          <w:szCs w:val="24"/>
        </w:rPr>
        <w:t xml:space="preserve">in </w:t>
      </w:r>
      <w:proofErr w:type="gramStart"/>
      <w:r w:rsidR="00B57F09">
        <w:rPr>
          <w:rFonts w:ascii="Times New Roman" w:hAnsi="Times New Roman" w:cs="Times New Roman"/>
          <w:sz w:val="24"/>
          <w:szCs w:val="24"/>
        </w:rPr>
        <w:t xml:space="preserve">the </w:t>
      </w:r>
      <w:r>
        <w:rPr>
          <w:rFonts w:ascii="Times New Roman" w:hAnsi="Times New Roman" w:cs="Times New Roman"/>
          <w:sz w:val="24"/>
          <w:szCs w:val="24"/>
        </w:rPr>
        <w:t>majority of</w:t>
      </w:r>
      <w:proofErr w:type="gramEnd"/>
      <w:r>
        <w:rPr>
          <w:rFonts w:ascii="Times New Roman" w:hAnsi="Times New Roman" w:cs="Times New Roman"/>
          <w:sz w:val="24"/>
          <w:szCs w:val="24"/>
        </w:rPr>
        <w:t xml:space="preserve"> the cases</w:t>
      </w:r>
      <w:r w:rsidR="00650F80">
        <w:rPr>
          <w:rFonts w:ascii="Times New Roman" w:hAnsi="Times New Roman" w:cs="Times New Roman"/>
          <w:sz w:val="24"/>
          <w:szCs w:val="24"/>
        </w:rPr>
        <w:t xml:space="preserve"> during the pre-COVID-19</w:t>
      </w:r>
      <w:r>
        <w:rPr>
          <w:rFonts w:ascii="Times New Roman" w:hAnsi="Times New Roman" w:cs="Times New Roman"/>
          <w:sz w:val="24"/>
          <w:szCs w:val="24"/>
        </w:rPr>
        <w:t xml:space="preserve">, suggesting that negative own shocks increase the volatility more than the positive shocks in Islamic equity </w:t>
      </w:r>
      <w:r w:rsidR="007C281A">
        <w:rPr>
          <w:rFonts w:ascii="Times New Roman" w:hAnsi="Times New Roman" w:cs="Times New Roman"/>
          <w:sz w:val="24"/>
          <w:szCs w:val="24"/>
        </w:rPr>
        <w:t xml:space="preserve">sectors and </w:t>
      </w:r>
      <w:r w:rsidR="00655A9E">
        <w:rPr>
          <w:rFonts w:ascii="Times New Roman" w:hAnsi="Times New Roman" w:cs="Times New Roman"/>
          <w:sz w:val="24"/>
          <w:szCs w:val="24"/>
        </w:rPr>
        <w:t>X8X</w:t>
      </w:r>
      <w:r>
        <w:rPr>
          <w:rFonts w:ascii="Times New Roman" w:hAnsi="Times New Roman" w:cs="Times New Roman"/>
          <w:sz w:val="24"/>
          <w:szCs w:val="24"/>
        </w:rPr>
        <w:t xml:space="preserve"> during </w:t>
      </w:r>
      <w:r w:rsidR="00B57F09">
        <w:rPr>
          <w:rFonts w:ascii="Times New Roman" w:hAnsi="Times New Roman" w:cs="Times New Roman"/>
          <w:sz w:val="24"/>
          <w:szCs w:val="24"/>
        </w:rPr>
        <w:t xml:space="preserve">the </w:t>
      </w:r>
      <w:r>
        <w:rPr>
          <w:rFonts w:ascii="Times New Roman" w:hAnsi="Times New Roman" w:cs="Times New Roman"/>
          <w:sz w:val="24"/>
          <w:szCs w:val="24"/>
        </w:rPr>
        <w:t>pre-COVID-19 period.</w:t>
      </w:r>
      <w:r w:rsidR="008B314F">
        <w:rPr>
          <w:rFonts w:ascii="Times New Roman" w:hAnsi="Times New Roman" w:cs="Times New Roman"/>
          <w:sz w:val="24"/>
          <w:szCs w:val="24"/>
        </w:rPr>
        <w:t xml:space="preserve"> </w:t>
      </w:r>
      <w:r w:rsidR="008B314F" w:rsidRPr="008B314F">
        <w:rPr>
          <w:rFonts w:ascii="Times New Roman" w:hAnsi="Times New Roman" w:cs="Times New Roman"/>
          <w:color w:val="0070C0"/>
          <w:sz w:val="24"/>
          <w:szCs w:val="24"/>
        </w:rPr>
        <w:t>Hassan et al. (2019) also find that the impact of bad news is higher compared to good news on the volatility of Islamic equity markets in non-crisis period.</w:t>
      </w:r>
      <w:r w:rsidRPr="008B314F">
        <w:rPr>
          <w:rFonts w:ascii="Times New Roman" w:hAnsi="Times New Roman" w:cs="Times New Roman"/>
          <w:color w:val="0070C0"/>
          <w:sz w:val="24"/>
          <w:szCs w:val="24"/>
        </w:rPr>
        <w:t xml:space="preserve"> </w:t>
      </w:r>
      <w:r w:rsidR="007C281A">
        <w:rPr>
          <w:rFonts w:ascii="Times New Roman" w:hAnsi="Times New Roman" w:cs="Times New Roman"/>
          <w:sz w:val="24"/>
          <w:szCs w:val="24"/>
        </w:rPr>
        <w:t xml:space="preserve">However, </w:t>
      </w:r>
      <w:r w:rsidR="00E56948">
        <w:rPr>
          <w:rFonts w:ascii="Times New Roman" w:hAnsi="Times New Roman" w:cs="Times New Roman"/>
          <w:sz w:val="24"/>
          <w:szCs w:val="24"/>
        </w:rPr>
        <w:t xml:space="preserve">the coefficient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11</m:t>
            </m:r>
          </m:sub>
        </m:sSub>
      </m:oMath>
      <w:r w:rsidR="00E56948">
        <w:rPr>
          <w:rFonts w:ascii="Times New Roman" w:hAnsi="Times New Roman" w:cs="Times New Roman"/>
          <w:sz w:val="24"/>
          <w:szCs w:val="24"/>
        </w:rPr>
        <w:t xml:space="preserve"> is significant and positive in majority of the cases during the COVID-19</w:t>
      </w:r>
      <w:r w:rsidR="000B64B3">
        <w:rPr>
          <w:rFonts w:ascii="Times New Roman" w:hAnsi="Times New Roman" w:cs="Times New Roman"/>
          <w:sz w:val="24"/>
          <w:szCs w:val="24"/>
        </w:rPr>
        <w:t>.</w:t>
      </w:r>
      <w:r w:rsidR="00C46909">
        <w:rPr>
          <w:rFonts w:ascii="Times New Roman" w:hAnsi="Times New Roman" w:cs="Times New Roman"/>
          <w:sz w:val="24"/>
          <w:szCs w:val="24"/>
        </w:rPr>
        <w:t xml:space="preserve"> </w:t>
      </w:r>
      <w:r>
        <w:rPr>
          <w:rFonts w:ascii="Times New Roman" w:hAnsi="Times New Roman" w:cs="Times New Roman"/>
          <w:sz w:val="24"/>
          <w:szCs w:val="24"/>
        </w:rPr>
        <w:t xml:space="preserve">During </w:t>
      </w:r>
      <w:r w:rsidR="00ED473F">
        <w:rPr>
          <w:rFonts w:ascii="Times New Roman" w:hAnsi="Times New Roman" w:cs="Times New Roman"/>
          <w:sz w:val="24"/>
          <w:szCs w:val="24"/>
        </w:rPr>
        <w:t>both sample periods</w:t>
      </w:r>
      <w:r>
        <w:rPr>
          <w:rFonts w:ascii="Times New Roman" w:hAnsi="Times New Roman" w:cs="Times New Roman"/>
          <w:sz w:val="24"/>
          <w:szCs w:val="24"/>
        </w:rPr>
        <w:t xml:space="preserve">, the coefficients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12</m:t>
            </m:r>
          </m:sub>
        </m:sSub>
      </m:oMath>
      <w:r>
        <w:rPr>
          <w:rFonts w:ascii="Times New Roman" w:hAnsi="Times New Roman" w:cs="Times New Roman"/>
          <w:sz w:val="24"/>
          <w:szCs w:val="24"/>
        </w:rPr>
        <w:t xml:space="preserve">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21</m:t>
            </m:r>
          </m:sub>
        </m:sSub>
      </m:oMath>
      <w:r>
        <w:rPr>
          <w:rFonts w:ascii="Times New Roman" w:eastAsiaTheme="minorEastAsia" w:hAnsi="Times New Roman" w:cs="Times New Roman"/>
          <w:sz w:val="24"/>
          <w:szCs w:val="24"/>
          <w:lang w:val="en-GB"/>
        </w:rPr>
        <w:t xml:space="preserve"> </w:t>
      </w:r>
      <w:r>
        <w:rPr>
          <w:rFonts w:ascii="Times New Roman" w:hAnsi="Times New Roman" w:cs="Times New Roman"/>
          <w:sz w:val="24"/>
          <w:szCs w:val="24"/>
        </w:rPr>
        <w:t xml:space="preserve">are </w:t>
      </w:r>
      <w:r w:rsidR="0062676C">
        <w:rPr>
          <w:rFonts w:ascii="Times New Roman" w:hAnsi="Times New Roman" w:cs="Times New Roman"/>
          <w:sz w:val="24"/>
          <w:szCs w:val="24"/>
        </w:rPr>
        <w:t>in</w:t>
      </w:r>
      <w:r>
        <w:rPr>
          <w:rFonts w:ascii="Times New Roman" w:hAnsi="Times New Roman" w:cs="Times New Roman"/>
          <w:sz w:val="24"/>
          <w:szCs w:val="24"/>
        </w:rPr>
        <w:t xml:space="preserve">significant in majority cases, implying </w:t>
      </w:r>
      <w:r w:rsidR="005F2C07">
        <w:rPr>
          <w:rFonts w:ascii="Times New Roman" w:hAnsi="Times New Roman" w:cs="Times New Roman"/>
          <w:sz w:val="24"/>
          <w:szCs w:val="24"/>
        </w:rPr>
        <w:t xml:space="preserve">the no </w:t>
      </w:r>
      <w:r w:rsidR="00C46909">
        <w:rPr>
          <w:rFonts w:ascii="Times New Roman" w:hAnsi="Times New Roman" w:cs="Times New Roman"/>
          <w:sz w:val="24"/>
          <w:szCs w:val="24"/>
        </w:rPr>
        <w:t>asymmetry exist</w:t>
      </w:r>
      <w:r w:rsidR="00B57F09">
        <w:rPr>
          <w:rFonts w:ascii="Times New Roman" w:hAnsi="Times New Roman" w:cs="Times New Roman"/>
          <w:sz w:val="24"/>
          <w:szCs w:val="24"/>
        </w:rPr>
        <w:t>s</w:t>
      </w:r>
      <w:r w:rsidR="00C46909">
        <w:rPr>
          <w:rFonts w:ascii="Times New Roman" w:hAnsi="Times New Roman" w:cs="Times New Roman"/>
          <w:sz w:val="24"/>
          <w:szCs w:val="24"/>
        </w:rPr>
        <w:t xml:space="preserve"> across </w:t>
      </w:r>
      <w:r w:rsidR="00ED473F">
        <w:rPr>
          <w:rFonts w:ascii="Times New Roman" w:hAnsi="Times New Roman" w:cs="Times New Roman"/>
          <w:sz w:val="24"/>
          <w:szCs w:val="24"/>
        </w:rPr>
        <w:t xml:space="preserve">majority </w:t>
      </w:r>
      <w:r w:rsidR="00C46909">
        <w:rPr>
          <w:rFonts w:ascii="Times New Roman" w:hAnsi="Times New Roman" w:cs="Times New Roman"/>
          <w:sz w:val="24"/>
          <w:szCs w:val="24"/>
        </w:rPr>
        <w:t>markets during the pre-COVID-19</w:t>
      </w:r>
      <w:r w:rsidR="00ED473F">
        <w:rPr>
          <w:rFonts w:ascii="Times New Roman" w:hAnsi="Times New Roman" w:cs="Times New Roman"/>
          <w:sz w:val="24"/>
          <w:szCs w:val="24"/>
        </w:rPr>
        <w:t xml:space="preserve"> and the COVID-19 periods.</w:t>
      </w:r>
    </w:p>
    <w:p w14:paraId="02099F54" w14:textId="06DF4B37" w:rsidR="00C04C59" w:rsidRPr="003943CD" w:rsidRDefault="009C7186" w:rsidP="004630CF">
      <w:pPr>
        <w:pStyle w:val="ListParagraph"/>
        <w:numPr>
          <w:ilvl w:val="1"/>
          <w:numId w:val="1"/>
        </w:numPr>
        <w:spacing w:line="360" w:lineRule="auto"/>
        <w:jc w:val="both"/>
        <w:rPr>
          <w:rFonts w:ascii="Times New Roman" w:hAnsi="Times New Roman" w:cs="Times New Roman"/>
          <w:b/>
          <w:bCs/>
          <w:sz w:val="24"/>
          <w:szCs w:val="24"/>
        </w:rPr>
      </w:pPr>
      <w:r w:rsidRPr="003943CD">
        <w:rPr>
          <w:rFonts w:ascii="Times New Roman" w:hAnsi="Times New Roman" w:cs="Times New Roman"/>
          <w:b/>
          <w:bCs/>
          <w:sz w:val="24"/>
          <w:szCs w:val="24"/>
        </w:rPr>
        <w:t>Time-varying correlations</w:t>
      </w:r>
      <w:r w:rsidR="003943CD" w:rsidRPr="003943CD">
        <w:rPr>
          <w:rFonts w:ascii="Times New Roman" w:hAnsi="Times New Roman" w:cs="Times New Roman"/>
          <w:b/>
          <w:bCs/>
          <w:sz w:val="24"/>
          <w:szCs w:val="24"/>
        </w:rPr>
        <w:t>, optimal weights, hedge ratios, and hedging effectiveness</w:t>
      </w:r>
    </w:p>
    <w:p w14:paraId="0702F3DD" w14:textId="1465FF1F" w:rsidR="003943CD" w:rsidRDefault="004A7A1A" w:rsidP="003943CD">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At the next stage of our </w:t>
      </w:r>
      <w:proofErr w:type="gramStart"/>
      <w:r>
        <w:rPr>
          <w:rFonts w:ascii="Times New Roman" w:hAnsi="Times New Roman" w:cs="Times New Roman"/>
          <w:sz w:val="24"/>
          <w:szCs w:val="24"/>
        </w:rPr>
        <w:t>analysis</w:t>
      </w:r>
      <w:proofErr w:type="gramEnd"/>
      <w:r>
        <w:rPr>
          <w:rFonts w:ascii="Times New Roman" w:hAnsi="Times New Roman" w:cs="Times New Roman"/>
          <w:sz w:val="24"/>
          <w:szCs w:val="24"/>
        </w:rPr>
        <w:t xml:space="preserve"> we discuss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time-varying correlations, optimal weights, hedge ratios and hedging effectiveness of selected gold-backed cryptocurrencies in the context of Islamic equity sector portfolio.  The </w:t>
      </w:r>
      <w:r w:rsidR="00595528">
        <w:rPr>
          <w:rFonts w:ascii="Times New Roman" w:hAnsi="Times New Roman" w:cs="Times New Roman"/>
          <w:sz w:val="24"/>
          <w:szCs w:val="24"/>
        </w:rPr>
        <w:t xml:space="preserve">average </w:t>
      </w:r>
      <w:r w:rsidR="00D12F49">
        <w:rPr>
          <w:rFonts w:ascii="Times New Roman" w:hAnsi="Times New Roman" w:cs="Times New Roman"/>
          <w:sz w:val="24"/>
          <w:szCs w:val="24"/>
        </w:rPr>
        <w:t xml:space="preserve">conditional correlations for the pairs of </w:t>
      </w:r>
      <w:r w:rsidR="00B77C3C">
        <w:rPr>
          <w:rFonts w:ascii="Times New Roman" w:hAnsi="Times New Roman" w:cs="Times New Roman"/>
          <w:sz w:val="24"/>
          <w:szCs w:val="24"/>
        </w:rPr>
        <w:t xml:space="preserve">Islamic </w:t>
      </w:r>
      <w:r w:rsidR="009432AC">
        <w:rPr>
          <w:rFonts w:ascii="Times New Roman" w:hAnsi="Times New Roman" w:cs="Times New Roman"/>
          <w:sz w:val="24"/>
          <w:szCs w:val="24"/>
        </w:rPr>
        <w:t>equity sector</w:t>
      </w:r>
      <w:r w:rsidR="00BD3820">
        <w:rPr>
          <w:rFonts w:ascii="Times New Roman" w:hAnsi="Times New Roman" w:cs="Times New Roman"/>
          <w:sz w:val="24"/>
          <w:szCs w:val="24"/>
        </w:rPr>
        <w:t xml:space="preserve">-Onegram and </w:t>
      </w:r>
      <w:r w:rsidR="00B77C3C">
        <w:rPr>
          <w:rFonts w:ascii="Times New Roman" w:hAnsi="Times New Roman" w:cs="Times New Roman"/>
          <w:sz w:val="24"/>
          <w:szCs w:val="24"/>
        </w:rPr>
        <w:t xml:space="preserve">Islamic </w:t>
      </w:r>
      <w:r w:rsidR="009432AC">
        <w:rPr>
          <w:rFonts w:ascii="Times New Roman" w:hAnsi="Times New Roman" w:cs="Times New Roman"/>
          <w:sz w:val="24"/>
          <w:szCs w:val="24"/>
        </w:rPr>
        <w:t>equity sector</w:t>
      </w:r>
      <w:r w:rsidR="00BD3820">
        <w:rPr>
          <w:rFonts w:ascii="Times New Roman" w:hAnsi="Times New Roman" w:cs="Times New Roman"/>
          <w:sz w:val="24"/>
          <w:szCs w:val="24"/>
        </w:rPr>
        <w:t>-X8X</w:t>
      </w:r>
      <w:r w:rsidR="00287F5A">
        <w:rPr>
          <w:rFonts w:ascii="Times New Roman" w:hAnsi="Times New Roman" w:cs="Times New Roman"/>
          <w:sz w:val="24"/>
          <w:szCs w:val="24"/>
        </w:rPr>
        <w:t xml:space="preserve"> during pre-COVID and the COVID-19 periods</w:t>
      </w:r>
      <w:r>
        <w:rPr>
          <w:rFonts w:ascii="Times New Roman" w:hAnsi="Times New Roman" w:cs="Times New Roman"/>
          <w:sz w:val="24"/>
          <w:szCs w:val="24"/>
        </w:rPr>
        <w:t xml:space="preserve"> are reported in Table 6</w:t>
      </w:r>
      <w:r w:rsidR="007E4847">
        <w:rPr>
          <w:rFonts w:ascii="Times New Roman" w:hAnsi="Times New Roman" w:cs="Times New Roman"/>
          <w:sz w:val="24"/>
          <w:szCs w:val="24"/>
        </w:rPr>
        <w:t xml:space="preserve">. </w:t>
      </w:r>
      <w:r w:rsidR="00C17867" w:rsidRPr="000C0198">
        <w:rPr>
          <w:rFonts w:ascii="Times New Roman" w:hAnsi="Times New Roman" w:cs="Times New Roman"/>
          <w:color w:val="0070C0"/>
          <w:sz w:val="24"/>
          <w:szCs w:val="24"/>
        </w:rPr>
        <w:t>The average conditional correlations</w:t>
      </w:r>
      <w:r w:rsidR="00C3355A" w:rsidRPr="000C0198">
        <w:rPr>
          <w:rFonts w:ascii="Times New Roman" w:hAnsi="Times New Roman" w:cs="Times New Roman"/>
          <w:color w:val="0070C0"/>
          <w:sz w:val="24"/>
          <w:szCs w:val="24"/>
        </w:rPr>
        <w:t xml:space="preserve"> </w:t>
      </w:r>
      <w:r w:rsidR="0001235A" w:rsidRPr="000C0198">
        <w:rPr>
          <w:rFonts w:ascii="Times New Roman" w:hAnsi="Times New Roman" w:cs="Times New Roman"/>
          <w:color w:val="0070C0"/>
          <w:sz w:val="24"/>
          <w:szCs w:val="24"/>
        </w:rPr>
        <w:t xml:space="preserve">for the pairs of </w:t>
      </w:r>
      <w:r w:rsidR="009432AC" w:rsidRPr="000C0198">
        <w:rPr>
          <w:rFonts w:ascii="Times New Roman" w:hAnsi="Times New Roman" w:cs="Times New Roman"/>
          <w:color w:val="0070C0"/>
          <w:sz w:val="24"/>
          <w:szCs w:val="24"/>
        </w:rPr>
        <w:t>equity sector-Onegram and equity sector-X8X</w:t>
      </w:r>
      <w:r w:rsidR="0051633F" w:rsidRPr="000C0198">
        <w:rPr>
          <w:rFonts w:ascii="Times New Roman" w:hAnsi="Times New Roman" w:cs="Times New Roman"/>
          <w:color w:val="0070C0"/>
          <w:sz w:val="24"/>
          <w:szCs w:val="24"/>
        </w:rPr>
        <w:t xml:space="preserve"> </w:t>
      </w:r>
      <w:r w:rsidR="00C17867" w:rsidRPr="000C0198">
        <w:rPr>
          <w:rFonts w:ascii="Times New Roman" w:hAnsi="Times New Roman" w:cs="Times New Roman"/>
          <w:color w:val="0070C0"/>
          <w:sz w:val="24"/>
          <w:szCs w:val="24"/>
        </w:rPr>
        <w:t xml:space="preserve">are negative in </w:t>
      </w:r>
      <w:proofErr w:type="gramStart"/>
      <w:r w:rsidR="00B57F09" w:rsidRPr="000C0198">
        <w:rPr>
          <w:rFonts w:ascii="Times New Roman" w:hAnsi="Times New Roman" w:cs="Times New Roman"/>
          <w:color w:val="0070C0"/>
          <w:sz w:val="24"/>
          <w:szCs w:val="24"/>
        </w:rPr>
        <w:t xml:space="preserve">the </w:t>
      </w:r>
      <w:r w:rsidR="00C17867" w:rsidRPr="000C0198">
        <w:rPr>
          <w:rFonts w:ascii="Times New Roman" w:hAnsi="Times New Roman" w:cs="Times New Roman"/>
          <w:color w:val="0070C0"/>
          <w:sz w:val="24"/>
          <w:szCs w:val="24"/>
        </w:rPr>
        <w:t>majority of</w:t>
      </w:r>
      <w:proofErr w:type="gramEnd"/>
      <w:r w:rsidR="00C17867" w:rsidRPr="000C0198">
        <w:rPr>
          <w:rFonts w:ascii="Times New Roman" w:hAnsi="Times New Roman" w:cs="Times New Roman"/>
          <w:color w:val="0070C0"/>
          <w:sz w:val="24"/>
          <w:szCs w:val="24"/>
        </w:rPr>
        <w:t xml:space="preserve"> the </w:t>
      </w:r>
      <w:r w:rsidR="00E0606B" w:rsidRPr="000C0198">
        <w:rPr>
          <w:rFonts w:ascii="Times New Roman" w:hAnsi="Times New Roman" w:cs="Times New Roman"/>
          <w:color w:val="0070C0"/>
          <w:sz w:val="24"/>
          <w:szCs w:val="24"/>
        </w:rPr>
        <w:t>cases</w:t>
      </w:r>
      <w:r w:rsidR="00C17867" w:rsidRPr="000C0198">
        <w:rPr>
          <w:rFonts w:ascii="Times New Roman" w:hAnsi="Times New Roman" w:cs="Times New Roman"/>
          <w:color w:val="0070C0"/>
          <w:sz w:val="24"/>
          <w:szCs w:val="24"/>
        </w:rPr>
        <w:t xml:space="preserve"> during pre-COVID-19</w:t>
      </w:r>
      <w:r w:rsidR="005233D1" w:rsidRPr="000C0198">
        <w:rPr>
          <w:rFonts w:ascii="Times New Roman" w:hAnsi="Times New Roman" w:cs="Times New Roman"/>
          <w:color w:val="0070C0"/>
          <w:sz w:val="24"/>
          <w:szCs w:val="24"/>
        </w:rPr>
        <w:t>, implying that Islamic cryptocurrencies are strong hedge against the Islamic stock sectors in non-crisis period</w:t>
      </w:r>
      <w:r w:rsidR="00581EB9" w:rsidRPr="000C0198">
        <w:rPr>
          <w:rFonts w:ascii="Times New Roman" w:hAnsi="Times New Roman" w:cs="Times New Roman"/>
          <w:color w:val="0070C0"/>
          <w:sz w:val="24"/>
          <w:szCs w:val="24"/>
        </w:rPr>
        <w:t xml:space="preserve">. </w:t>
      </w:r>
      <w:r w:rsidR="00F445D4" w:rsidRPr="000C0198">
        <w:rPr>
          <w:rFonts w:ascii="Times New Roman" w:hAnsi="Times New Roman" w:cs="Times New Roman"/>
          <w:color w:val="0070C0"/>
          <w:sz w:val="24"/>
          <w:szCs w:val="24"/>
        </w:rPr>
        <w:t xml:space="preserve">During </w:t>
      </w:r>
      <w:proofErr w:type="spellStart"/>
      <w:r w:rsidR="00F445D4" w:rsidRPr="000C0198">
        <w:rPr>
          <w:rFonts w:ascii="Times New Roman" w:hAnsi="Times New Roman" w:cs="Times New Roman"/>
          <w:color w:val="0070C0"/>
          <w:sz w:val="24"/>
          <w:szCs w:val="24"/>
        </w:rPr>
        <w:t>pre COVID-19</w:t>
      </w:r>
      <w:proofErr w:type="spellEnd"/>
      <w:r w:rsidR="00F445D4" w:rsidRPr="000C0198">
        <w:rPr>
          <w:rFonts w:ascii="Times New Roman" w:hAnsi="Times New Roman" w:cs="Times New Roman"/>
          <w:color w:val="0070C0"/>
          <w:sz w:val="24"/>
          <w:szCs w:val="24"/>
        </w:rPr>
        <w:t xml:space="preserve">, </w:t>
      </w:r>
      <w:r w:rsidR="000C0198" w:rsidRPr="000C0198">
        <w:rPr>
          <w:rFonts w:ascii="Times New Roman" w:hAnsi="Times New Roman" w:cs="Times New Roman"/>
          <w:color w:val="0070C0"/>
          <w:sz w:val="24"/>
          <w:szCs w:val="24"/>
        </w:rPr>
        <w:t>out of all pairs, X8X is strongly and negatively associated with the Information technology (-0.20) and Industrials (-0.18</w:t>
      </w:r>
      <w:proofErr w:type="gramStart"/>
      <w:r w:rsidR="000C0198" w:rsidRPr="000C0198">
        <w:rPr>
          <w:rFonts w:ascii="Times New Roman" w:hAnsi="Times New Roman" w:cs="Times New Roman"/>
          <w:color w:val="0070C0"/>
          <w:sz w:val="24"/>
          <w:szCs w:val="24"/>
        </w:rPr>
        <w:t>)  sectors</w:t>
      </w:r>
      <w:proofErr w:type="gramEnd"/>
      <w:r w:rsidR="000C0198" w:rsidRPr="000C0198">
        <w:rPr>
          <w:rFonts w:ascii="Times New Roman" w:hAnsi="Times New Roman" w:cs="Times New Roman"/>
          <w:color w:val="0070C0"/>
          <w:sz w:val="24"/>
          <w:szCs w:val="24"/>
        </w:rPr>
        <w:t xml:space="preserve">, showing that the addition of X8X </w:t>
      </w:r>
      <w:r w:rsidR="000C0198" w:rsidRPr="000C0198">
        <w:rPr>
          <w:rFonts w:ascii="Times New Roman" w:hAnsi="Times New Roman" w:cs="Times New Roman"/>
          <w:color w:val="0070C0"/>
          <w:sz w:val="24"/>
          <w:szCs w:val="24"/>
        </w:rPr>
        <w:lastRenderedPageBreak/>
        <w:t xml:space="preserve">in the portfolios of Information technology and Industrial sectors provide the highest benefit of diversification during the non-crisis period. </w:t>
      </w:r>
      <w:r w:rsidR="00F445D4">
        <w:rPr>
          <w:rFonts w:ascii="Times New Roman" w:hAnsi="Times New Roman" w:cs="Times New Roman"/>
          <w:sz w:val="24"/>
          <w:szCs w:val="24"/>
        </w:rPr>
        <w:t xml:space="preserve"> </w:t>
      </w:r>
      <w:r w:rsidR="00E0606B">
        <w:rPr>
          <w:rFonts w:ascii="Times New Roman" w:hAnsi="Times New Roman" w:cs="Times New Roman"/>
          <w:sz w:val="24"/>
          <w:szCs w:val="24"/>
        </w:rPr>
        <w:t>However, the</w:t>
      </w:r>
      <w:r w:rsidR="00220051">
        <w:rPr>
          <w:rFonts w:ascii="Times New Roman" w:hAnsi="Times New Roman" w:cs="Times New Roman"/>
          <w:sz w:val="24"/>
          <w:szCs w:val="24"/>
        </w:rPr>
        <w:t>se</w:t>
      </w:r>
      <w:r w:rsidR="00E0606B">
        <w:rPr>
          <w:rFonts w:ascii="Times New Roman" w:hAnsi="Times New Roman" w:cs="Times New Roman"/>
          <w:sz w:val="24"/>
          <w:szCs w:val="24"/>
        </w:rPr>
        <w:t xml:space="preserve"> correlations between sectorial equity and cryptocurrency markets become </w:t>
      </w:r>
      <w:r w:rsidR="00220051">
        <w:rPr>
          <w:rFonts w:ascii="Times New Roman" w:hAnsi="Times New Roman" w:cs="Times New Roman"/>
          <w:sz w:val="24"/>
          <w:szCs w:val="24"/>
        </w:rPr>
        <w:t xml:space="preserve">positive </w:t>
      </w:r>
      <w:r w:rsidR="003F0A47">
        <w:rPr>
          <w:rFonts w:ascii="Times New Roman" w:hAnsi="Times New Roman" w:cs="Times New Roman"/>
          <w:sz w:val="24"/>
          <w:szCs w:val="24"/>
        </w:rPr>
        <w:t xml:space="preserve">during the COVID-19. </w:t>
      </w:r>
      <w:r w:rsidR="00507A32">
        <w:rPr>
          <w:rFonts w:ascii="Times New Roman" w:hAnsi="Times New Roman" w:cs="Times New Roman"/>
          <w:sz w:val="24"/>
          <w:szCs w:val="24"/>
        </w:rPr>
        <w:t>We also illustrate the time</w:t>
      </w:r>
      <w:r w:rsidR="00B57F09">
        <w:rPr>
          <w:rFonts w:ascii="Times New Roman" w:hAnsi="Times New Roman" w:cs="Times New Roman"/>
          <w:sz w:val="24"/>
          <w:szCs w:val="24"/>
        </w:rPr>
        <w:t>-</w:t>
      </w:r>
      <w:r w:rsidR="00507A32">
        <w:rPr>
          <w:rFonts w:ascii="Times New Roman" w:hAnsi="Times New Roman" w:cs="Times New Roman"/>
          <w:sz w:val="24"/>
          <w:szCs w:val="24"/>
        </w:rPr>
        <w:t xml:space="preserve">varying </w:t>
      </w:r>
      <w:r w:rsidR="00965A13">
        <w:rPr>
          <w:rFonts w:ascii="Times New Roman" w:hAnsi="Times New Roman" w:cs="Times New Roman"/>
          <w:sz w:val="24"/>
          <w:szCs w:val="24"/>
        </w:rPr>
        <w:t xml:space="preserve">conditional </w:t>
      </w:r>
      <w:r w:rsidR="00507A32">
        <w:rPr>
          <w:rFonts w:ascii="Times New Roman" w:hAnsi="Times New Roman" w:cs="Times New Roman"/>
          <w:sz w:val="24"/>
          <w:szCs w:val="24"/>
        </w:rPr>
        <w:t xml:space="preserve">correlations for </w:t>
      </w:r>
      <w:r w:rsidR="00965A13">
        <w:rPr>
          <w:rFonts w:ascii="Times New Roman" w:hAnsi="Times New Roman" w:cs="Times New Roman"/>
          <w:sz w:val="24"/>
          <w:szCs w:val="24"/>
        </w:rPr>
        <w:t xml:space="preserve">the pairs of </w:t>
      </w:r>
      <w:r w:rsidR="005D3527">
        <w:rPr>
          <w:rFonts w:ascii="Times New Roman" w:hAnsi="Times New Roman" w:cs="Times New Roman"/>
          <w:sz w:val="24"/>
          <w:szCs w:val="24"/>
        </w:rPr>
        <w:t xml:space="preserve">equity sector-Onegram and equity sector-X8X </w:t>
      </w:r>
      <w:r w:rsidR="003F7011">
        <w:rPr>
          <w:rFonts w:ascii="Times New Roman" w:hAnsi="Times New Roman" w:cs="Times New Roman"/>
          <w:sz w:val="24"/>
          <w:szCs w:val="24"/>
        </w:rPr>
        <w:t>in Figure</w:t>
      </w:r>
      <w:r w:rsidR="00281391">
        <w:rPr>
          <w:rFonts w:ascii="Times New Roman" w:hAnsi="Times New Roman" w:cs="Times New Roman"/>
          <w:sz w:val="24"/>
          <w:szCs w:val="24"/>
        </w:rPr>
        <w:t>s</w:t>
      </w:r>
      <w:r w:rsidR="003F7011">
        <w:rPr>
          <w:rFonts w:ascii="Times New Roman" w:hAnsi="Times New Roman" w:cs="Times New Roman"/>
          <w:sz w:val="24"/>
          <w:szCs w:val="24"/>
        </w:rPr>
        <w:t xml:space="preserve"> 3 and 4. </w:t>
      </w:r>
      <w:r w:rsidR="00FE4B5C" w:rsidRPr="00EF1CDD">
        <w:rPr>
          <w:rFonts w:ascii="Times New Roman" w:hAnsi="Times New Roman" w:cs="Times New Roman"/>
          <w:color w:val="0070C0"/>
          <w:sz w:val="24"/>
          <w:szCs w:val="24"/>
        </w:rPr>
        <w:t>These figures</w:t>
      </w:r>
      <w:r w:rsidR="00EE126C" w:rsidRPr="00EF1CDD">
        <w:rPr>
          <w:rFonts w:ascii="Times New Roman" w:hAnsi="Times New Roman" w:cs="Times New Roman"/>
          <w:color w:val="0070C0"/>
          <w:sz w:val="24"/>
          <w:szCs w:val="24"/>
        </w:rPr>
        <w:t xml:space="preserve"> clearly reveal that the pattern</w:t>
      </w:r>
      <w:r w:rsidR="00ED6949" w:rsidRPr="00EF1CDD">
        <w:rPr>
          <w:rFonts w:ascii="Times New Roman" w:hAnsi="Times New Roman" w:cs="Times New Roman"/>
          <w:color w:val="0070C0"/>
          <w:sz w:val="24"/>
          <w:szCs w:val="24"/>
        </w:rPr>
        <w:t>s</w:t>
      </w:r>
      <w:r w:rsidR="00EE126C" w:rsidRPr="00EF1CDD">
        <w:rPr>
          <w:rFonts w:ascii="Times New Roman" w:hAnsi="Times New Roman" w:cs="Times New Roman"/>
          <w:color w:val="0070C0"/>
          <w:sz w:val="24"/>
          <w:szCs w:val="24"/>
        </w:rPr>
        <w:t xml:space="preserve"> of correlation</w:t>
      </w:r>
      <w:r w:rsidR="00ED6949" w:rsidRPr="00EF1CDD">
        <w:rPr>
          <w:rFonts w:ascii="Times New Roman" w:hAnsi="Times New Roman" w:cs="Times New Roman"/>
          <w:color w:val="0070C0"/>
          <w:sz w:val="24"/>
          <w:szCs w:val="24"/>
        </w:rPr>
        <w:t>s</w:t>
      </w:r>
      <w:r w:rsidR="00B36654" w:rsidRPr="00EF1CDD">
        <w:rPr>
          <w:rFonts w:ascii="Times New Roman" w:hAnsi="Times New Roman" w:cs="Times New Roman"/>
          <w:color w:val="0070C0"/>
          <w:sz w:val="24"/>
          <w:szCs w:val="24"/>
        </w:rPr>
        <w:t xml:space="preserve"> for all pairs</w:t>
      </w:r>
      <w:r w:rsidR="00EE126C" w:rsidRPr="00EF1CDD">
        <w:rPr>
          <w:rFonts w:ascii="Times New Roman" w:hAnsi="Times New Roman" w:cs="Times New Roman"/>
          <w:color w:val="0070C0"/>
          <w:sz w:val="24"/>
          <w:szCs w:val="24"/>
        </w:rPr>
        <w:t xml:space="preserve"> </w:t>
      </w:r>
      <w:r w:rsidR="00ED6949" w:rsidRPr="00EF1CDD">
        <w:rPr>
          <w:rFonts w:ascii="Times New Roman" w:hAnsi="Times New Roman" w:cs="Times New Roman"/>
          <w:color w:val="0070C0"/>
          <w:sz w:val="24"/>
          <w:szCs w:val="24"/>
        </w:rPr>
        <w:t>are</w:t>
      </w:r>
      <w:r w:rsidR="00BE5255" w:rsidRPr="00EF1CDD">
        <w:rPr>
          <w:rFonts w:ascii="Times New Roman" w:hAnsi="Times New Roman" w:cs="Times New Roman"/>
          <w:color w:val="0070C0"/>
          <w:sz w:val="24"/>
          <w:szCs w:val="24"/>
        </w:rPr>
        <w:t xml:space="preserve"> different </w:t>
      </w:r>
      <w:r w:rsidR="00ED6949" w:rsidRPr="00EF1CDD">
        <w:rPr>
          <w:rFonts w:ascii="Times New Roman" w:hAnsi="Times New Roman" w:cs="Times New Roman"/>
          <w:color w:val="0070C0"/>
          <w:sz w:val="24"/>
          <w:szCs w:val="24"/>
        </w:rPr>
        <w:t xml:space="preserve">during the COVID-19 </w:t>
      </w:r>
      <w:r w:rsidR="00B36654" w:rsidRPr="00EF1CDD">
        <w:rPr>
          <w:rFonts w:ascii="Times New Roman" w:hAnsi="Times New Roman" w:cs="Times New Roman"/>
          <w:color w:val="0070C0"/>
          <w:sz w:val="24"/>
          <w:szCs w:val="24"/>
        </w:rPr>
        <w:t>period compared to the pre-COVID-19 period</w:t>
      </w:r>
      <w:r w:rsidR="00B9535D">
        <w:rPr>
          <w:rFonts w:ascii="Times New Roman" w:hAnsi="Times New Roman" w:cs="Times New Roman"/>
          <w:color w:val="0070C0"/>
          <w:sz w:val="24"/>
          <w:szCs w:val="24"/>
        </w:rPr>
        <w:t>, suggesting that investors should continuously adjust their portfolios, especially in transmission period from non-crisis to crisis, to make their portfolios resistant to the crisis episodes</w:t>
      </w:r>
      <w:r w:rsidR="00FE4B5C" w:rsidRPr="00EF1CDD">
        <w:rPr>
          <w:rFonts w:ascii="Times New Roman" w:hAnsi="Times New Roman" w:cs="Times New Roman"/>
          <w:color w:val="0070C0"/>
          <w:sz w:val="24"/>
          <w:szCs w:val="24"/>
        </w:rPr>
        <w:t xml:space="preserve">. </w:t>
      </w:r>
      <w:r w:rsidR="00EF1CDD" w:rsidRPr="00EF1CDD">
        <w:rPr>
          <w:rFonts w:ascii="Times New Roman" w:hAnsi="Times New Roman" w:cs="Times New Roman"/>
          <w:color w:val="0070C0"/>
          <w:sz w:val="24"/>
          <w:szCs w:val="24"/>
        </w:rPr>
        <w:t xml:space="preserve">The highest connectedness between Islamic cryptocurrency and most of the Islamic equity sectors is observed in the first quarter of 2020 (initial phase of the COVID-19), implying that the Islamic cryptocurrencies provides the lesser benefits of diversification against the portfolio of Islamic equity sectors during the peak of crisis.  </w:t>
      </w:r>
      <w:r w:rsidR="00F370CE">
        <w:rPr>
          <w:rFonts w:ascii="Times New Roman" w:hAnsi="Times New Roman" w:cs="Times New Roman"/>
          <w:color w:val="0070C0"/>
          <w:sz w:val="24"/>
          <w:szCs w:val="24"/>
        </w:rPr>
        <w:t xml:space="preserve">Ali et al. (2021) and </w:t>
      </w:r>
      <w:r w:rsidR="00F56E91">
        <w:rPr>
          <w:rFonts w:ascii="Times New Roman" w:hAnsi="Times New Roman" w:cs="Times New Roman"/>
          <w:color w:val="0070C0"/>
          <w:sz w:val="24"/>
          <w:szCs w:val="24"/>
        </w:rPr>
        <w:t>Naeem et al. (2021) a</w:t>
      </w:r>
      <w:r w:rsidR="002626EB">
        <w:rPr>
          <w:rFonts w:ascii="Times New Roman" w:hAnsi="Times New Roman" w:cs="Times New Roman"/>
          <w:color w:val="0070C0"/>
          <w:sz w:val="24"/>
          <w:szCs w:val="24"/>
        </w:rPr>
        <w:t xml:space="preserve">lso provide the evidence of higher connectedness between </w:t>
      </w:r>
      <w:r w:rsidR="00F56E91">
        <w:rPr>
          <w:rFonts w:ascii="Times New Roman" w:hAnsi="Times New Roman" w:cs="Times New Roman"/>
          <w:color w:val="0070C0"/>
          <w:sz w:val="24"/>
          <w:szCs w:val="24"/>
        </w:rPr>
        <w:t xml:space="preserve">Islamic markets </w:t>
      </w:r>
      <w:r w:rsidR="002626EB">
        <w:rPr>
          <w:rFonts w:ascii="Times New Roman" w:hAnsi="Times New Roman" w:cs="Times New Roman"/>
          <w:color w:val="0070C0"/>
          <w:sz w:val="24"/>
          <w:szCs w:val="24"/>
        </w:rPr>
        <w:t>during the COVID-19 pandemic</w:t>
      </w:r>
      <w:r w:rsidR="00F56E91">
        <w:rPr>
          <w:rFonts w:ascii="Times New Roman" w:hAnsi="Times New Roman" w:cs="Times New Roman"/>
          <w:color w:val="0070C0"/>
          <w:sz w:val="24"/>
          <w:szCs w:val="24"/>
        </w:rPr>
        <w:t xml:space="preserve"> compared to the pre COVID-19 period.</w:t>
      </w:r>
      <w:r w:rsidR="002626EB">
        <w:rPr>
          <w:rFonts w:ascii="Times New Roman" w:hAnsi="Times New Roman" w:cs="Times New Roman"/>
          <w:color w:val="0070C0"/>
          <w:sz w:val="24"/>
          <w:szCs w:val="24"/>
        </w:rPr>
        <w:t xml:space="preserve"> </w:t>
      </w:r>
    </w:p>
    <w:p w14:paraId="1163DF9D" w14:textId="69798867" w:rsidR="004A7A1A" w:rsidRDefault="004A7A1A" w:rsidP="00681744">
      <w:pPr>
        <w:spacing w:line="360" w:lineRule="auto"/>
        <w:jc w:val="center"/>
        <w:rPr>
          <w:rFonts w:ascii="Times New Roman" w:hAnsi="Times New Roman" w:cs="Times New Roman"/>
          <w:sz w:val="24"/>
          <w:szCs w:val="24"/>
        </w:rPr>
      </w:pPr>
      <w:r>
        <w:rPr>
          <w:rFonts w:ascii="Times New Roman" w:hAnsi="Times New Roman" w:cs="Times New Roman"/>
          <w:sz w:val="24"/>
          <w:szCs w:val="24"/>
        </w:rPr>
        <w:t>[Table 6 here]</w:t>
      </w:r>
    </w:p>
    <w:p w14:paraId="3C8CABF9" w14:textId="43CC3F9C" w:rsidR="004164D1" w:rsidRDefault="004E6DBD" w:rsidP="004164D1">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3 &amp; 4 here]</w:t>
      </w:r>
    </w:p>
    <w:p w14:paraId="0D234B9A" w14:textId="630AC479" w:rsidR="00973CB4" w:rsidRPr="001D7658" w:rsidRDefault="00FE4B5C" w:rsidP="00C95213">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Table 7 represents the </w:t>
      </w:r>
      <w:r w:rsidR="00DC5D36">
        <w:rPr>
          <w:rFonts w:ascii="Times New Roman" w:hAnsi="Times New Roman" w:cs="Times New Roman"/>
          <w:sz w:val="24"/>
          <w:szCs w:val="24"/>
        </w:rPr>
        <w:t>optimal weights, hedge ratios, and hedging effectiveness for the pairs of equity sector-Onegram and equity sector-X8X during pre-</w:t>
      </w:r>
      <w:proofErr w:type="spellStart"/>
      <w:r w:rsidR="00DC5D36">
        <w:rPr>
          <w:rFonts w:ascii="Times New Roman" w:hAnsi="Times New Roman" w:cs="Times New Roman"/>
          <w:sz w:val="24"/>
          <w:szCs w:val="24"/>
        </w:rPr>
        <w:t>COVIDand</w:t>
      </w:r>
      <w:proofErr w:type="spellEnd"/>
      <w:r w:rsidR="00DC5D36">
        <w:rPr>
          <w:rFonts w:ascii="Times New Roman" w:hAnsi="Times New Roman" w:cs="Times New Roman"/>
          <w:sz w:val="24"/>
          <w:szCs w:val="24"/>
        </w:rPr>
        <w:t xml:space="preserve"> the COVID-19 periods.</w:t>
      </w:r>
      <w:r w:rsidR="00320117">
        <w:rPr>
          <w:rFonts w:ascii="Times New Roman" w:hAnsi="Times New Roman" w:cs="Times New Roman"/>
          <w:sz w:val="24"/>
          <w:szCs w:val="24"/>
        </w:rPr>
        <w:t xml:space="preserve"> For the pairs of equity sector-Onegram, </w:t>
      </w:r>
      <w:r w:rsidR="00E70C64">
        <w:rPr>
          <w:rFonts w:ascii="Times New Roman" w:hAnsi="Times New Roman" w:cs="Times New Roman"/>
          <w:sz w:val="24"/>
          <w:szCs w:val="24"/>
        </w:rPr>
        <w:t xml:space="preserve">the optimal weights are found to be lower during the COVID-19 </w:t>
      </w:r>
      <w:r w:rsidR="00B84187">
        <w:rPr>
          <w:rFonts w:ascii="Times New Roman" w:hAnsi="Times New Roman" w:cs="Times New Roman"/>
          <w:sz w:val="24"/>
          <w:szCs w:val="24"/>
        </w:rPr>
        <w:t xml:space="preserve">compared to the weights in </w:t>
      </w:r>
      <w:r w:rsidR="00281391">
        <w:rPr>
          <w:rFonts w:ascii="Times New Roman" w:hAnsi="Times New Roman" w:cs="Times New Roman"/>
          <w:sz w:val="24"/>
          <w:szCs w:val="24"/>
        </w:rPr>
        <w:t xml:space="preserve">the </w:t>
      </w:r>
      <w:r w:rsidR="00B84187">
        <w:rPr>
          <w:rFonts w:ascii="Times New Roman" w:hAnsi="Times New Roman" w:cs="Times New Roman"/>
          <w:sz w:val="24"/>
          <w:szCs w:val="24"/>
        </w:rPr>
        <w:t>pre-COVID-19 period</w:t>
      </w:r>
      <w:r w:rsidR="00B828AE">
        <w:rPr>
          <w:rFonts w:ascii="Times New Roman" w:hAnsi="Times New Roman" w:cs="Times New Roman"/>
          <w:sz w:val="24"/>
          <w:szCs w:val="24"/>
        </w:rPr>
        <w:t>, suggesting that</w:t>
      </w:r>
      <w:r w:rsidR="00D60FFF">
        <w:rPr>
          <w:rFonts w:ascii="Times New Roman" w:hAnsi="Times New Roman" w:cs="Times New Roman"/>
          <w:sz w:val="24"/>
          <w:szCs w:val="24"/>
        </w:rPr>
        <w:t>,</w:t>
      </w:r>
      <w:r w:rsidR="00261F94">
        <w:rPr>
          <w:rFonts w:ascii="Times New Roman" w:hAnsi="Times New Roman" w:cs="Times New Roman"/>
          <w:sz w:val="24"/>
          <w:szCs w:val="24"/>
        </w:rPr>
        <w:t xml:space="preserve"> for the portfolio of equity sector-Onegram</w:t>
      </w:r>
      <w:r w:rsidR="00D60FFF">
        <w:rPr>
          <w:rFonts w:ascii="Times New Roman" w:hAnsi="Times New Roman" w:cs="Times New Roman"/>
          <w:sz w:val="24"/>
          <w:szCs w:val="24"/>
        </w:rPr>
        <w:t>,</w:t>
      </w:r>
      <w:r w:rsidR="00B828AE">
        <w:rPr>
          <w:rFonts w:ascii="Times New Roman" w:hAnsi="Times New Roman" w:cs="Times New Roman"/>
          <w:sz w:val="24"/>
          <w:szCs w:val="24"/>
        </w:rPr>
        <w:t xml:space="preserve"> investors should increase their investment in Onegram during </w:t>
      </w:r>
      <w:r w:rsidR="00DD748D">
        <w:rPr>
          <w:rFonts w:ascii="Times New Roman" w:hAnsi="Times New Roman" w:cs="Times New Roman"/>
          <w:sz w:val="24"/>
          <w:szCs w:val="24"/>
        </w:rPr>
        <w:t xml:space="preserve">the COVID-19 period. </w:t>
      </w:r>
      <w:r w:rsidR="00F12FFB">
        <w:rPr>
          <w:rFonts w:ascii="Times New Roman" w:hAnsi="Times New Roman" w:cs="Times New Roman"/>
          <w:sz w:val="24"/>
          <w:szCs w:val="24"/>
        </w:rPr>
        <w:t xml:space="preserve">For </w:t>
      </w:r>
      <w:r w:rsidR="00FF7930">
        <w:rPr>
          <w:rFonts w:ascii="Times New Roman" w:hAnsi="Times New Roman" w:cs="Times New Roman"/>
          <w:sz w:val="24"/>
          <w:szCs w:val="24"/>
        </w:rPr>
        <w:t>most of</w:t>
      </w:r>
      <w:r w:rsidR="007854BB">
        <w:rPr>
          <w:rFonts w:ascii="Times New Roman" w:hAnsi="Times New Roman" w:cs="Times New Roman"/>
          <w:sz w:val="24"/>
          <w:szCs w:val="24"/>
        </w:rPr>
        <w:t xml:space="preserve"> the </w:t>
      </w:r>
      <w:r w:rsidR="00F12FFB">
        <w:rPr>
          <w:rFonts w:ascii="Times New Roman" w:hAnsi="Times New Roman" w:cs="Times New Roman"/>
          <w:sz w:val="24"/>
          <w:szCs w:val="24"/>
        </w:rPr>
        <w:t xml:space="preserve">pair of </w:t>
      </w:r>
      <w:r w:rsidR="00B77C3C">
        <w:rPr>
          <w:rFonts w:ascii="Times New Roman" w:hAnsi="Times New Roman" w:cs="Times New Roman"/>
          <w:sz w:val="24"/>
          <w:szCs w:val="24"/>
        </w:rPr>
        <w:t>equity sector</w:t>
      </w:r>
      <w:r w:rsidR="002B5839">
        <w:rPr>
          <w:rFonts w:ascii="Times New Roman" w:hAnsi="Times New Roman" w:cs="Times New Roman"/>
          <w:sz w:val="24"/>
          <w:szCs w:val="24"/>
        </w:rPr>
        <w:t>-X8X, the optimal weights are higher during the COVID-19</w:t>
      </w:r>
      <w:r w:rsidR="007854BB">
        <w:rPr>
          <w:rFonts w:ascii="Times New Roman" w:hAnsi="Times New Roman" w:cs="Times New Roman"/>
          <w:sz w:val="24"/>
          <w:szCs w:val="24"/>
        </w:rPr>
        <w:t xml:space="preserve"> than the pre-COVID-19 period</w:t>
      </w:r>
      <w:r w:rsidR="00695BBE">
        <w:rPr>
          <w:rFonts w:ascii="Times New Roman" w:hAnsi="Times New Roman" w:cs="Times New Roman"/>
          <w:sz w:val="24"/>
          <w:szCs w:val="24"/>
        </w:rPr>
        <w:t xml:space="preserve">, </w:t>
      </w:r>
      <w:r w:rsidR="00695BBE" w:rsidRPr="00352D82">
        <w:rPr>
          <w:rFonts w:ascii="Times New Roman" w:hAnsi="Times New Roman" w:cs="Times New Roman"/>
          <w:color w:val="0070C0"/>
          <w:sz w:val="24"/>
          <w:szCs w:val="24"/>
        </w:rPr>
        <w:t xml:space="preserve">implying that investors should </w:t>
      </w:r>
      <w:r w:rsidR="00953D74" w:rsidRPr="00352D82">
        <w:rPr>
          <w:rFonts w:ascii="Times New Roman" w:hAnsi="Times New Roman" w:cs="Times New Roman"/>
          <w:color w:val="0070C0"/>
          <w:sz w:val="24"/>
          <w:szCs w:val="24"/>
        </w:rPr>
        <w:t xml:space="preserve">increase (decrease) their investment in Islamic equity sectors (X8X) </w:t>
      </w:r>
      <w:r w:rsidR="006542BB" w:rsidRPr="00352D82">
        <w:rPr>
          <w:rFonts w:ascii="Times New Roman" w:hAnsi="Times New Roman" w:cs="Times New Roman"/>
          <w:color w:val="0070C0"/>
          <w:sz w:val="24"/>
          <w:szCs w:val="24"/>
        </w:rPr>
        <w:t xml:space="preserve">to diversify the risk </w:t>
      </w:r>
      <w:r w:rsidR="007F2D8A" w:rsidRPr="00352D82">
        <w:rPr>
          <w:rFonts w:ascii="Times New Roman" w:hAnsi="Times New Roman" w:cs="Times New Roman"/>
          <w:color w:val="0070C0"/>
          <w:sz w:val="24"/>
          <w:szCs w:val="24"/>
        </w:rPr>
        <w:t xml:space="preserve">of </w:t>
      </w:r>
      <w:r w:rsidR="00FA75BA" w:rsidRPr="00352D82">
        <w:rPr>
          <w:rFonts w:ascii="Times New Roman" w:hAnsi="Times New Roman" w:cs="Times New Roman"/>
          <w:color w:val="0070C0"/>
          <w:sz w:val="24"/>
          <w:szCs w:val="24"/>
        </w:rPr>
        <w:t>equity sector-X8X</w:t>
      </w:r>
      <w:r w:rsidR="006542BB" w:rsidRPr="00352D82">
        <w:rPr>
          <w:rFonts w:ascii="Times New Roman" w:hAnsi="Times New Roman" w:cs="Times New Roman"/>
          <w:color w:val="0070C0"/>
          <w:sz w:val="24"/>
          <w:szCs w:val="24"/>
        </w:rPr>
        <w:t xml:space="preserve"> based</w:t>
      </w:r>
      <w:r w:rsidR="007F2D8A" w:rsidRPr="00352D82">
        <w:rPr>
          <w:rFonts w:ascii="Times New Roman" w:hAnsi="Times New Roman" w:cs="Times New Roman"/>
          <w:color w:val="0070C0"/>
          <w:sz w:val="24"/>
          <w:szCs w:val="24"/>
        </w:rPr>
        <w:t xml:space="preserve"> portfolio</w:t>
      </w:r>
      <w:r w:rsidR="00FA75BA" w:rsidRPr="00352D82">
        <w:rPr>
          <w:rFonts w:ascii="Times New Roman" w:hAnsi="Times New Roman" w:cs="Times New Roman"/>
          <w:color w:val="0070C0"/>
          <w:sz w:val="24"/>
          <w:szCs w:val="24"/>
        </w:rPr>
        <w:t xml:space="preserve"> during the COVID-19 period</w:t>
      </w:r>
      <w:r w:rsidR="00293046" w:rsidRPr="00352D82">
        <w:rPr>
          <w:rFonts w:ascii="Times New Roman" w:hAnsi="Times New Roman" w:cs="Times New Roman"/>
          <w:color w:val="0070C0"/>
          <w:sz w:val="24"/>
          <w:szCs w:val="24"/>
        </w:rPr>
        <w:t xml:space="preserve">. </w:t>
      </w:r>
      <w:r w:rsidR="001D7658" w:rsidRPr="001D7658">
        <w:rPr>
          <w:rFonts w:ascii="Times New Roman" w:hAnsi="Times New Roman" w:cs="Times New Roman"/>
          <w:color w:val="0070C0"/>
          <w:sz w:val="24"/>
          <w:szCs w:val="24"/>
        </w:rPr>
        <w:t>For an instance, i</w:t>
      </w:r>
      <w:r w:rsidR="00622199" w:rsidRPr="001D7658">
        <w:rPr>
          <w:rFonts w:ascii="Times New Roman" w:hAnsi="Times New Roman" w:cs="Times New Roman"/>
          <w:color w:val="0070C0"/>
          <w:sz w:val="24"/>
          <w:szCs w:val="24"/>
        </w:rPr>
        <w:t xml:space="preserve">n </w:t>
      </w:r>
      <w:r w:rsidR="00A7426B" w:rsidRPr="001D7658">
        <w:rPr>
          <w:rFonts w:ascii="Times New Roman" w:hAnsi="Times New Roman" w:cs="Times New Roman"/>
          <w:color w:val="0070C0"/>
          <w:sz w:val="24"/>
          <w:szCs w:val="24"/>
        </w:rPr>
        <w:t xml:space="preserve">case of </w:t>
      </w:r>
      <w:r w:rsidR="0065111C" w:rsidRPr="001D7658">
        <w:rPr>
          <w:rFonts w:ascii="Times New Roman" w:hAnsi="Times New Roman" w:cs="Times New Roman"/>
          <w:color w:val="0070C0"/>
          <w:sz w:val="24"/>
          <w:szCs w:val="24"/>
        </w:rPr>
        <w:t>e</w:t>
      </w:r>
      <w:r w:rsidR="00A7426B" w:rsidRPr="001D7658">
        <w:rPr>
          <w:rFonts w:ascii="Times New Roman" w:hAnsi="Times New Roman" w:cs="Times New Roman"/>
          <w:color w:val="0070C0"/>
          <w:sz w:val="24"/>
          <w:szCs w:val="24"/>
        </w:rPr>
        <w:t>nergy sector-X8X pair, the optimal weights ar</w:t>
      </w:r>
      <w:r w:rsidR="00374017" w:rsidRPr="001D7658">
        <w:rPr>
          <w:rFonts w:ascii="Times New Roman" w:hAnsi="Times New Roman" w:cs="Times New Roman"/>
          <w:color w:val="0070C0"/>
          <w:sz w:val="24"/>
          <w:szCs w:val="24"/>
        </w:rPr>
        <w:t>e lower during the COVID-19</w:t>
      </w:r>
      <w:r w:rsidR="0034107B" w:rsidRPr="001D7658">
        <w:rPr>
          <w:rFonts w:ascii="Times New Roman" w:hAnsi="Times New Roman" w:cs="Times New Roman"/>
          <w:color w:val="0070C0"/>
          <w:sz w:val="24"/>
          <w:szCs w:val="24"/>
        </w:rPr>
        <w:t xml:space="preserve"> (</w:t>
      </w:r>
      <w:r w:rsidR="00B078F0" w:rsidRPr="001D7658">
        <w:rPr>
          <w:rFonts w:ascii="Times New Roman" w:hAnsi="Times New Roman" w:cs="Times New Roman"/>
          <w:color w:val="0070C0"/>
          <w:sz w:val="24"/>
          <w:szCs w:val="24"/>
        </w:rPr>
        <w:t>0.974</w:t>
      </w:r>
      <w:r w:rsidR="0034107B" w:rsidRPr="001D7658">
        <w:rPr>
          <w:rFonts w:ascii="Times New Roman" w:hAnsi="Times New Roman" w:cs="Times New Roman"/>
          <w:color w:val="0070C0"/>
          <w:sz w:val="24"/>
          <w:szCs w:val="24"/>
        </w:rPr>
        <w:t>) compared to the pre-COVID-19 (</w:t>
      </w:r>
      <w:r w:rsidR="00B078F0" w:rsidRPr="001D7658">
        <w:rPr>
          <w:rFonts w:ascii="Times New Roman" w:hAnsi="Times New Roman" w:cs="Times New Roman"/>
          <w:color w:val="0070C0"/>
          <w:sz w:val="24"/>
          <w:szCs w:val="24"/>
        </w:rPr>
        <w:t>0.981</w:t>
      </w:r>
      <w:r w:rsidR="0034107B" w:rsidRPr="001D7658">
        <w:rPr>
          <w:rFonts w:ascii="Times New Roman" w:hAnsi="Times New Roman" w:cs="Times New Roman"/>
          <w:color w:val="0070C0"/>
          <w:sz w:val="24"/>
          <w:szCs w:val="24"/>
        </w:rPr>
        <w:t>)</w:t>
      </w:r>
      <w:r w:rsidR="00374017" w:rsidRPr="001D7658">
        <w:rPr>
          <w:rFonts w:ascii="Times New Roman" w:hAnsi="Times New Roman" w:cs="Times New Roman"/>
          <w:color w:val="0070C0"/>
          <w:sz w:val="24"/>
          <w:szCs w:val="24"/>
        </w:rPr>
        <w:t xml:space="preserve">, proposing that investors should increase </w:t>
      </w:r>
      <w:r w:rsidR="0065111C" w:rsidRPr="001D7658">
        <w:rPr>
          <w:rFonts w:ascii="Times New Roman" w:hAnsi="Times New Roman" w:cs="Times New Roman"/>
          <w:color w:val="0070C0"/>
          <w:sz w:val="24"/>
          <w:szCs w:val="24"/>
        </w:rPr>
        <w:t>their investment in X8X</w:t>
      </w:r>
      <w:r w:rsidR="00B078F0" w:rsidRPr="001D7658">
        <w:rPr>
          <w:rFonts w:ascii="Times New Roman" w:hAnsi="Times New Roman" w:cs="Times New Roman"/>
          <w:color w:val="0070C0"/>
          <w:sz w:val="24"/>
          <w:szCs w:val="24"/>
        </w:rPr>
        <w:t xml:space="preserve"> by 0.7 percent</w:t>
      </w:r>
      <w:r w:rsidR="0065111C" w:rsidRPr="001D7658">
        <w:rPr>
          <w:rFonts w:ascii="Times New Roman" w:hAnsi="Times New Roman" w:cs="Times New Roman"/>
          <w:color w:val="0070C0"/>
          <w:sz w:val="24"/>
          <w:szCs w:val="24"/>
        </w:rPr>
        <w:t xml:space="preserve"> for the portfolio of energy sector-X8X</w:t>
      </w:r>
      <w:r w:rsidR="00FF7930" w:rsidRPr="001D7658">
        <w:rPr>
          <w:rFonts w:ascii="Times New Roman" w:hAnsi="Times New Roman" w:cs="Times New Roman"/>
          <w:color w:val="0070C0"/>
          <w:sz w:val="24"/>
          <w:szCs w:val="24"/>
        </w:rPr>
        <w:t xml:space="preserve"> during the COVID-19.</w:t>
      </w:r>
      <w:r w:rsidR="001D7658">
        <w:rPr>
          <w:rFonts w:ascii="Times New Roman" w:hAnsi="Times New Roman" w:cs="Times New Roman"/>
          <w:color w:val="0070C0"/>
          <w:sz w:val="24"/>
          <w:szCs w:val="24"/>
        </w:rPr>
        <w:t xml:space="preserve"> </w:t>
      </w:r>
    </w:p>
    <w:p w14:paraId="0DD2BA38" w14:textId="20E54A3B" w:rsidR="00C95213" w:rsidRDefault="00C95213" w:rsidP="00681744">
      <w:pPr>
        <w:spacing w:line="360" w:lineRule="auto"/>
        <w:jc w:val="center"/>
        <w:rPr>
          <w:rFonts w:ascii="Times New Roman" w:hAnsi="Times New Roman" w:cs="Times New Roman"/>
          <w:sz w:val="24"/>
          <w:szCs w:val="24"/>
        </w:rPr>
      </w:pPr>
      <w:r>
        <w:rPr>
          <w:rFonts w:ascii="Times New Roman" w:hAnsi="Times New Roman" w:cs="Times New Roman"/>
          <w:sz w:val="24"/>
          <w:szCs w:val="24"/>
        </w:rPr>
        <w:t>[Table 7 here]</w:t>
      </w:r>
    </w:p>
    <w:p w14:paraId="5F1EBB43" w14:textId="33C04115" w:rsidR="005C3297" w:rsidRDefault="000063D9" w:rsidP="006B26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Next, we discuss about the results of hedge ratios. The hedge ratio is </w:t>
      </w:r>
      <w:r w:rsidR="00191169">
        <w:rPr>
          <w:rFonts w:ascii="Times New Roman" w:hAnsi="Times New Roman" w:cs="Times New Roman"/>
          <w:sz w:val="24"/>
          <w:szCs w:val="24"/>
        </w:rPr>
        <w:t>financial</w:t>
      </w:r>
      <w:r>
        <w:rPr>
          <w:rFonts w:ascii="Times New Roman" w:hAnsi="Times New Roman" w:cs="Times New Roman"/>
          <w:sz w:val="24"/>
          <w:szCs w:val="24"/>
        </w:rPr>
        <w:t xml:space="preserve"> sector-</w:t>
      </w:r>
      <w:proofErr w:type="spellStart"/>
      <w:r>
        <w:rPr>
          <w:rFonts w:ascii="Times New Roman" w:hAnsi="Times New Roman" w:cs="Times New Roman"/>
          <w:sz w:val="24"/>
          <w:szCs w:val="24"/>
        </w:rPr>
        <w:t>onegram</w:t>
      </w:r>
      <w:proofErr w:type="spellEnd"/>
      <w:r>
        <w:rPr>
          <w:rFonts w:ascii="Times New Roman" w:hAnsi="Times New Roman" w:cs="Times New Roman"/>
          <w:sz w:val="24"/>
          <w:szCs w:val="24"/>
        </w:rPr>
        <w:t xml:space="preserve"> pair is 0.069 during the COVID-19, indicates that </w:t>
      </w:r>
      <w:r w:rsidRPr="00750580">
        <w:rPr>
          <w:rFonts w:ascii="Times New Roman" w:hAnsi="Times New Roman" w:cs="Times New Roman"/>
          <w:color w:val="0070C0"/>
          <w:sz w:val="24"/>
          <w:szCs w:val="24"/>
        </w:rPr>
        <w:t>$1 long position in financial sector can be hedged for 6.9 cents with a short position in Onegram cryptocurrency in the COVID-19</w:t>
      </w:r>
      <w:r>
        <w:rPr>
          <w:rFonts w:ascii="Times New Roman" w:hAnsi="Times New Roman" w:cs="Times New Roman"/>
          <w:sz w:val="24"/>
          <w:szCs w:val="24"/>
        </w:rPr>
        <w:t xml:space="preserve">.  </w:t>
      </w:r>
      <w:r w:rsidR="00E46239">
        <w:rPr>
          <w:rFonts w:ascii="Times New Roman" w:hAnsi="Times New Roman" w:cs="Times New Roman"/>
          <w:sz w:val="24"/>
          <w:szCs w:val="24"/>
        </w:rPr>
        <w:t xml:space="preserve">The interpretation of all pairs </w:t>
      </w:r>
      <w:proofErr w:type="gramStart"/>
      <w:r w:rsidR="00E46239">
        <w:rPr>
          <w:rFonts w:ascii="Times New Roman" w:hAnsi="Times New Roman" w:cs="Times New Roman"/>
          <w:sz w:val="24"/>
          <w:szCs w:val="24"/>
        </w:rPr>
        <w:t>are</w:t>
      </w:r>
      <w:proofErr w:type="gramEnd"/>
      <w:r w:rsidR="00E46239">
        <w:rPr>
          <w:rFonts w:ascii="Times New Roman" w:hAnsi="Times New Roman" w:cs="Times New Roman"/>
          <w:sz w:val="24"/>
          <w:szCs w:val="24"/>
        </w:rPr>
        <w:t xml:space="preserve"> not mentioned here for the purpose of brevity. </w:t>
      </w:r>
      <w:proofErr w:type="spellStart"/>
      <w:r w:rsidR="00E46239">
        <w:rPr>
          <w:rFonts w:ascii="Times New Roman" w:hAnsi="Times New Roman" w:cs="Times New Roman"/>
          <w:sz w:val="24"/>
          <w:szCs w:val="24"/>
        </w:rPr>
        <w:t>Howere</w:t>
      </w:r>
      <w:proofErr w:type="spellEnd"/>
      <w:r w:rsidR="00E46239">
        <w:rPr>
          <w:rFonts w:ascii="Times New Roman" w:hAnsi="Times New Roman" w:cs="Times New Roman"/>
          <w:sz w:val="24"/>
          <w:szCs w:val="24"/>
        </w:rPr>
        <w:t xml:space="preserve"> t</w:t>
      </w:r>
      <w:r w:rsidR="005C3297">
        <w:rPr>
          <w:rFonts w:ascii="Times New Roman" w:hAnsi="Times New Roman" w:cs="Times New Roman"/>
          <w:sz w:val="24"/>
          <w:szCs w:val="24"/>
        </w:rPr>
        <w:t>he hedge ratio for all pairs of equity sector-Onegram and equity sector-X8X</w:t>
      </w:r>
      <w:r w:rsidR="00BB3D57">
        <w:rPr>
          <w:rFonts w:ascii="Times New Roman" w:hAnsi="Times New Roman" w:cs="Times New Roman"/>
          <w:sz w:val="24"/>
          <w:szCs w:val="24"/>
        </w:rPr>
        <w:t xml:space="preserve"> are reported to be higher during the COVID-19 period compared to the pre-COVID-19 period</w:t>
      </w:r>
      <w:r w:rsidR="00D657EA">
        <w:rPr>
          <w:rFonts w:ascii="Times New Roman" w:hAnsi="Times New Roman" w:cs="Times New Roman"/>
          <w:sz w:val="24"/>
          <w:szCs w:val="24"/>
        </w:rPr>
        <w:t>, implying</w:t>
      </w:r>
      <w:r w:rsidR="00BB3D57">
        <w:rPr>
          <w:rFonts w:ascii="Times New Roman" w:hAnsi="Times New Roman" w:cs="Times New Roman"/>
          <w:sz w:val="24"/>
          <w:szCs w:val="24"/>
        </w:rPr>
        <w:t xml:space="preserve"> that </w:t>
      </w:r>
      <w:r w:rsidR="00D657EA">
        <w:rPr>
          <w:rFonts w:ascii="Times New Roman" w:hAnsi="Times New Roman" w:cs="Times New Roman"/>
          <w:sz w:val="24"/>
          <w:szCs w:val="24"/>
        </w:rPr>
        <w:t xml:space="preserve">the </w:t>
      </w:r>
      <w:r w:rsidR="00BB3D57">
        <w:rPr>
          <w:rFonts w:ascii="Times New Roman" w:hAnsi="Times New Roman" w:cs="Times New Roman"/>
          <w:sz w:val="24"/>
          <w:szCs w:val="24"/>
        </w:rPr>
        <w:t>hedging cost is higher during the COVID-19</w:t>
      </w:r>
      <w:r w:rsidR="00D657EA">
        <w:rPr>
          <w:rFonts w:ascii="Times New Roman" w:hAnsi="Times New Roman" w:cs="Times New Roman"/>
          <w:sz w:val="24"/>
          <w:szCs w:val="24"/>
        </w:rPr>
        <w:t xml:space="preserve">. </w:t>
      </w:r>
      <w:r w:rsidR="006836D0" w:rsidRPr="00274542">
        <w:rPr>
          <w:rFonts w:ascii="Times New Roman" w:hAnsi="Times New Roman" w:cs="Times New Roman"/>
          <w:color w:val="0070C0"/>
          <w:sz w:val="24"/>
          <w:szCs w:val="24"/>
        </w:rPr>
        <w:t>Lastly</w:t>
      </w:r>
      <w:r w:rsidR="00281391" w:rsidRPr="00274542">
        <w:rPr>
          <w:rFonts w:ascii="Times New Roman" w:hAnsi="Times New Roman" w:cs="Times New Roman"/>
          <w:color w:val="0070C0"/>
          <w:sz w:val="24"/>
          <w:szCs w:val="24"/>
        </w:rPr>
        <w:t>,</w:t>
      </w:r>
      <w:r w:rsidR="006836D0" w:rsidRPr="00274542">
        <w:rPr>
          <w:rFonts w:ascii="Times New Roman" w:hAnsi="Times New Roman" w:cs="Times New Roman"/>
          <w:color w:val="0070C0"/>
          <w:sz w:val="24"/>
          <w:szCs w:val="24"/>
        </w:rPr>
        <w:t xml:space="preserve"> </w:t>
      </w:r>
      <w:r w:rsidR="00274542" w:rsidRPr="00274542">
        <w:rPr>
          <w:rFonts w:ascii="Times New Roman" w:hAnsi="Times New Roman" w:cs="Times New Roman"/>
          <w:color w:val="0070C0"/>
          <w:sz w:val="24"/>
          <w:szCs w:val="24"/>
        </w:rPr>
        <w:t xml:space="preserve">we estimate the hedging effectiveness scores to compare the effectiveness (in terms of risk reduction) of all pairs of equity sector-cryptocurrency portfolios during both sample periods. </w:t>
      </w:r>
      <w:r w:rsidR="00274542">
        <w:rPr>
          <w:rFonts w:ascii="Times New Roman" w:hAnsi="Times New Roman" w:cs="Times New Roman"/>
          <w:sz w:val="24"/>
          <w:szCs w:val="24"/>
        </w:rPr>
        <w:t xml:space="preserve">The results show that </w:t>
      </w:r>
      <w:r w:rsidR="006836D0">
        <w:rPr>
          <w:rFonts w:ascii="Times New Roman" w:hAnsi="Times New Roman" w:cs="Times New Roman"/>
          <w:sz w:val="24"/>
          <w:szCs w:val="24"/>
        </w:rPr>
        <w:t xml:space="preserve">the hedging effectiveness is </w:t>
      </w:r>
      <w:r w:rsidR="00425AB7">
        <w:rPr>
          <w:rFonts w:ascii="Times New Roman" w:hAnsi="Times New Roman" w:cs="Times New Roman"/>
          <w:sz w:val="24"/>
          <w:szCs w:val="24"/>
        </w:rPr>
        <w:t>positive in all pairs of equity sector-Onegram and equity sector-X8X during pre-COVID-19 and the COVID-19 periods</w:t>
      </w:r>
      <w:r w:rsidR="0042372F">
        <w:rPr>
          <w:rFonts w:ascii="Times New Roman" w:hAnsi="Times New Roman" w:cs="Times New Roman"/>
          <w:sz w:val="24"/>
          <w:szCs w:val="24"/>
        </w:rPr>
        <w:t xml:space="preserve">, showing that the </w:t>
      </w:r>
      <w:r w:rsidR="0005479B">
        <w:rPr>
          <w:rFonts w:ascii="Times New Roman" w:hAnsi="Times New Roman" w:cs="Times New Roman"/>
          <w:sz w:val="24"/>
          <w:szCs w:val="24"/>
        </w:rPr>
        <w:t xml:space="preserve">investors can reduce the portfolio risk </w:t>
      </w:r>
      <w:r w:rsidR="00580D01">
        <w:rPr>
          <w:rFonts w:ascii="Times New Roman" w:hAnsi="Times New Roman" w:cs="Times New Roman"/>
          <w:sz w:val="24"/>
          <w:szCs w:val="24"/>
        </w:rPr>
        <w:t xml:space="preserve">using </w:t>
      </w:r>
      <w:r w:rsidR="00590C2B">
        <w:rPr>
          <w:rFonts w:ascii="Times New Roman" w:hAnsi="Times New Roman" w:cs="Times New Roman"/>
          <w:sz w:val="24"/>
          <w:szCs w:val="24"/>
        </w:rPr>
        <w:t xml:space="preserve">optimal </w:t>
      </w:r>
      <w:r w:rsidR="00580D01">
        <w:rPr>
          <w:rFonts w:ascii="Times New Roman" w:hAnsi="Times New Roman" w:cs="Times New Roman"/>
          <w:sz w:val="24"/>
          <w:szCs w:val="24"/>
        </w:rPr>
        <w:t xml:space="preserve">portfolio </w:t>
      </w:r>
      <w:r w:rsidR="00590C2B">
        <w:rPr>
          <w:rFonts w:ascii="Times New Roman" w:hAnsi="Times New Roman" w:cs="Times New Roman"/>
          <w:sz w:val="24"/>
          <w:szCs w:val="24"/>
        </w:rPr>
        <w:t xml:space="preserve">weights </w:t>
      </w:r>
      <w:r w:rsidR="00580D01">
        <w:rPr>
          <w:rFonts w:ascii="Times New Roman" w:hAnsi="Times New Roman" w:cs="Times New Roman"/>
          <w:sz w:val="24"/>
          <w:szCs w:val="24"/>
        </w:rPr>
        <w:t xml:space="preserve">during both sample periods. </w:t>
      </w:r>
      <w:r w:rsidR="00CA0C10">
        <w:rPr>
          <w:rFonts w:ascii="Times New Roman" w:hAnsi="Times New Roman" w:cs="Times New Roman"/>
          <w:sz w:val="24"/>
          <w:szCs w:val="24"/>
        </w:rPr>
        <w:t xml:space="preserve">For </w:t>
      </w:r>
      <w:r w:rsidR="00C365E2">
        <w:rPr>
          <w:rFonts w:ascii="Times New Roman" w:hAnsi="Times New Roman" w:cs="Times New Roman"/>
          <w:sz w:val="24"/>
          <w:szCs w:val="24"/>
        </w:rPr>
        <w:t>all</w:t>
      </w:r>
      <w:r w:rsidR="006C6CE5">
        <w:rPr>
          <w:rFonts w:ascii="Times New Roman" w:hAnsi="Times New Roman" w:cs="Times New Roman"/>
          <w:sz w:val="24"/>
          <w:szCs w:val="24"/>
        </w:rPr>
        <w:t xml:space="preserve"> </w:t>
      </w:r>
      <w:r w:rsidR="00CA0C10">
        <w:rPr>
          <w:rFonts w:ascii="Times New Roman" w:hAnsi="Times New Roman" w:cs="Times New Roman"/>
          <w:sz w:val="24"/>
          <w:szCs w:val="24"/>
        </w:rPr>
        <w:t xml:space="preserve">pair of </w:t>
      </w:r>
      <w:r w:rsidR="00362BAC">
        <w:rPr>
          <w:rFonts w:ascii="Times New Roman" w:hAnsi="Times New Roman" w:cs="Times New Roman"/>
          <w:sz w:val="24"/>
          <w:szCs w:val="24"/>
        </w:rPr>
        <w:t>equity sector-Onegram</w:t>
      </w:r>
      <w:r w:rsidR="00CA0C10">
        <w:rPr>
          <w:rFonts w:ascii="Times New Roman" w:hAnsi="Times New Roman" w:cs="Times New Roman"/>
          <w:sz w:val="24"/>
          <w:szCs w:val="24"/>
        </w:rPr>
        <w:t xml:space="preserve">, </w:t>
      </w:r>
      <w:r w:rsidR="00362BAC">
        <w:rPr>
          <w:rFonts w:ascii="Times New Roman" w:hAnsi="Times New Roman" w:cs="Times New Roman"/>
          <w:sz w:val="24"/>
          <w:szCs w:val="24"/>
        </w:rPr>
        <w:t xml:space="preserve">the hedging effectiveness </w:t>
      </w:r>
      <w:r w:rsidR="000D300D">
        <w:rPr>
          <w:rFonts w:ascii="Times New Roman" w:hAnsi="Times New Roman" w:cs="Times New Roman"/>
          <w:sz w:val="24"/>
          <w:szCs w:val="24"/>
        </w:rPr>
        <w:t>score</w:t>
      </w:r>
      <w:r w:rsidR="00CA0C10">
        <w:rPr>
          <w:rFonts w:ascii="Times New Roman" w:hAnsi="Times New Roman" w:cs="Times New Roman"/>
          <w:sz w:val="24"/>
          <w:szCs w:val="24"/>
        </w:rPr>
        <w:t>s</w:t>
      </w:r>
      <w:r w:rsidR="000D300D">
        <w:rPr>
          <w:rFonts w:ascii="Times New Roman" w:hAnsi="Times New Roman" w:cs="Times New Roman"/>
          <w:sz w:val="24"/>
          <w:szCs w:val="24"/>
        </w:rPr>
        <w:t xml:space="preserve"> </w:t>
      </w:r>
      <w:r w:rsidR="006C6CE5">
        <w:rPr>
          <w:rFonts w:ascii="Times New Roman" w:hAnsi="Times New Roman" w:cs="Times New Roman"/>
          <w:sz w:val="24"/>
          <w:szCs w:val="24"/>
        </w:rPr>
        <w:t>are</w:t>
      </w:r>
      <w:r w:rsidR="000D300D">
        <w:rPr>
          <w:rFonts w:ascii="Times New Roman" w:hAnsi="Times New Roman" w:cs="Times New Roman"/>
          <w:sz w:val="24"/>
          <w:szCs w:val="24"/>
        </w:rPr>
        <w:t xml:space="preserve"> highe</w:t>
      </w:r>
      <w:r w:rsidR="006C6CE5">
        <w:rPr>
          <w:rFonts w:ascii="Times New Roman" w:hAnsi="Times New Roman" w:cs="Times New Roman"/>
          <w:sz w:val="24"/>
          <w:szCs w:val="24"/>
        </w:rPr>
        <w:t>r</w:t>
      </w:r>
      <w:r w:rsidR="00F579A7">
        <w:rPr>
          <w:rFonts w:ascii="Times New Roman" w:hAnsi="Times New Roman" w:cs="Times New Roman"/>
          <w:sz w:val="24"/>
          <w:szCs w:val="24"/>
        </w:rPr>
        <w:t xml:space="preserve"> during the COVID-19</w:t>
      </w:r>
      <w:r w:rsidR="006C6CE5">
        <w:rPr>
          <w:rFonts w:ascii="Times New Roman" w:hAnsi="Times New Roman" w:cs="Times New Roman"/>
          <w:sz w:val="24"/>
          <w:szCs w:val="24"/>
        </w:rPr>
        <w:t xml:space="preserve"> compared to the pre-COVID-19</w:t>
      </w:r>
      <w:r w:rsidR="006A7B07">
        <w:rPr>
          <w:rFonts w:ascii="Times New Roman" w:hAnsi="Times New Roman" w:cs="Times New Roman"/>
          <w:sz w:val="24"/>
          <w:szCs w:val="24"/>
        </w:rPr>
        <w:t xml:space="preserve">. In contrast, the hedging </w:t>
      </w:r>
      <w:r w:rsidR="00D06211">
        <w:rPr>
          <w:rFonts w:ascii="Times New Roman" w:hAnsi="Times New Roman" w:cs="Times New Roman"/>
          <w:sz w:val="24"/>
          <w:szCs w:val="24"/>
        </w:rPr>
        <w:t>effectiveness</w:t>
      </w:r>
      <w:r w:rsidR="006A7B07">
        <w:rPr>
          <w:rFonts w:ascii="Times New Roman" w:hAnsi="Times New Roman" w:cs="Times New Roman"/>
          <w:sz w:val="24"/>
          <w:szCs w:val="24"/>
        </w:rPr>
        <w:t xml:space="preserve"> score </w:t>
      </w:r>
      <w:r w:rsidR="00281391">
        <w:rPr>
          <w:rFonts w:ascii="Times New Roman" w:hAnsi="Times New Roman" w:cs="Times New Roman"/>
          <w:sz w:val="24"/>
          <w:szCs w:val="24"/>
        </w:rPr>
        <w:t>is</w:t>
      </w:r>
      <w:r w:rsidR="006A7B07">
        <w:rPr>
          <w:rFonts w:ascii="Times New Roman" w:hAnsi="Times New Roman" w:cs="Times New Roman"/>
          <w:sz w:val="24"/>
          <w:szCs w:val="24"/>
        </w:rPr>
        <w:t xml:space="preserve"> found to lower </w:t>
      </w:r>
      <w:r w:rsidR="003952D1">
        <w:rPr>
          <w:rFonts w:ascii="Times New Roman" w:hAnsi="Times New Roman" w:cs="Times New Roman"/>
          <w:sz w:val="24"/>
          <w:szCs w:val="24"/>
        </w:rPr>
        <w:t xml:space="preserve">during the COVID-19 compared to </w:t>
      </w:r>
      <w:r w:rsidR="00281391">
        <w:rPr>
          <w:rFonts w:ascii="Times New Roman" w:hAnsi="Times New Roman" w:cs="Times New Roman"/>
          <w:sz w:val="24"/>
          <w:szCs w:val="24"/>
        </w:rPr>
        <w:t xml:space="preserve">the </w:t>
      </w:r>
      <w:r w:rsidR="003952D1">
        <w:rPr>
          <w:rFonts w:ascii="Times New Roman" w:hAnsi="Times New Roman" w:cs="Times New Roman"/>
          <w:sz w:val="24"/>
          <w:szCs w:val="24"/>
        </w:rPr>
        <w:t>pre-COVID-19 period for all pairs of equity sector-</w:t>
      </w:r>
      <w:r w:rsidR="00D06211">
        <w:rPr>
          <w:rFonts w:ascii="Times New Roman" w:hAnsi="Times New Roman" w:cs="Times New Roman"/>
          <w:sz w:val="24"/>
          <w:szCs w:val="24"/>
        </w:rPr>
        <w:t xml:space="preserve">X8X. </w:t>
      </w:r>
      <w:r w:rsidR="00A90A38">
        <w:rPr>
          <w:rFonts w:ascii="Times New Roman" w:hAnsi="Times New Roman" w:cs="Times New Roman"/>
          <w:sz w:val="24"/>
          <w:szCs w:val="24"/>
        </w:rPr>
        <w:t xml:space="preserve">Out of all pairs of equity sector-Onegram and equity sector-X8X, </w:t>
      </w:r>
      <w:r w:rsidR="00A90A38" w:rsidRPr="002D5B0E">
        <w:rPr>
          <w:rFonts w:ascii="Times New Roman" w:hAnsi="Times New Roman" w:cs="Times New Roman"/>
          <w:color w:val="0070C0"/>
          <w:sz w:val="24"/>
          <w:szCs w:val="24"/>
        </w:rPr>
        <w:t xml:space="preserve">the highest </w:t>
      </w:r>
      <w:proofErr w:type="spellStart"/>
      <w:r w:rsidR="00A90A38" w:rsidRPr="002D5B0E">
        <w:rPr>
          <w:rFonts w:ascii="Times New Roman" w:hAnsi="Times New Roman" w:cs="Times New Roman"/>
          <w:color w:val="0070C0"/>
          <w:sz w:val="24"/>
          <w:szCs w:val="24"/>
        </w:rPr>
        <w:t>hedgeding</w:t>
      </w:r>
      <w:proofErr w:type="spellEnd"/>
      <w:r w:rsidR="00A90A38" w:rsidRPr="002D5B0E">
        <w:rPr>
          <w:rFonts w:ascii="Times New Roman" w:hAnsi="Times New Roman" w:cs="Times New Roman"/>
          <w:color w:val="0070C0"/>
          <w:sz w:val="24"/>
          <w:szCs w:val="24"/>
        </w:rPr>
        <w:t xml:space="preserve"> effectiveness is observed for the Information Technology sector-X8X portfolio (10.52%) during the pre-COVID-19 period, whereas the highest hedging effectiveness score is noticed for the energy sector-Onegram portfolio (33.5%) during the COVID-19. </w:t>
      </w:r>
      <w:r w:rsidR="00A90A38">
        <w:rPr>
          <w:rFonts w:ascii="Times New Roman" w:hAnsi="Times New Roman" w:cs="Times New Roman"/>
          <w:sz w:val="24"/>
          <w:szCs w:val="24"/>
        </w:rPr>
        <w:t>Hence, the addition of X8X</w:t>
      </w:r>
      <w:r w:rsidR="002D5B0E">
        <w:rPr>
          <w:rFonts w:ascii="Times New Roman" w:hAnsi="Times New Roman" w:cs="Times New Roman"/>
          <w:sz w:val="24"/>
          <w:szCs w:val="24"/>
        </w:rPr>
        <w:t xml:space="preserve"> (Onegram)</w:t>
      </w:r>
      <w:r w:rsidR="00A90A38">
        <w:rPr>
          <w:rFonts w:ascii="Times New Roman" w:hAnsi="Times New Roman" w:cs="Times New Roman"/>
          <w:sz w:val="24"/>
          <w:szCs w:val="24"/>
        </w:rPr>
        <w:t xml:space="preserve"> in the portfolio of Information technology </w:t>
      </w:r>
      <w:r w:rsidR="002D5B0E">
        <w:rPr>
          <w:rFonts w:ascii="Times New Roman" w:hAnsi="Times New Roman" w:cs="Times New Roman"/>
          <w:sz w:val="24"/>
          <w:szCs w:val="24"/>
        </w:rPr>
        <w:t xml:space="preserve">(energy) </w:t>
      </w:r>
      <w:r w:rsidR="00A90A38">
        <w:rPr>
          <w:rFonts w:ascii="Times New Roman" w:hAnsi="Times New Roman" w:cs="Times New Roman"/>
          <w:sz w:val="24"/>
          <w:szCs w:val="24"/>
        </w:rPr>
        <w:t xml:space="preserve">sector is suggested during the </w:t>
      </w:r>
      <w:r w:rsidR="002D5B0E">
        <w:rPr>
          <w:rFonts w:ascii="Times New Roman" w:hAnsi="Times New Roman" w:cs="Times New Roman"/>
          <w:sz w:val="24"/>
          <w:szCs w:val="24"/>
        </w:rPr>
        <w:t xml:space="preserve">pre-COVID-19 (the COVID-19) to get maximum benefit of risk reduction. </w:t>
      </w:r>
      <w:r w:rsidR="00D06211">
        <w:rPr>
          <w:rFonts w:ascii="Times New Roman" w:hAnsi="Times New Roman" w:cs="Times New Roman"/>
          <w:sz w:val="24"/>
          <w:szCs w:val="24"/>
        </w:rPr>
        <w:t xml:space="preserve">Overall, these hedging effectiveness scores suggest that investors can </w:t>
      </w:r>
      <w:r w:rsidR="00417930">
        <w:rPr>
          <w:rFonts w:ascii="Times New Roman" w:hAnsi="Times New Roman" w:cs="Times New Roman"/>
          <w:sz w:val="24"/>
          <w:szCs w:val="24"/>
        </w:rPr>
        <w:t xml:space="preserve">reduce maximum portfolio risk </w:t>
      </w:r>
      <w:r w:rsidR="001314A7">
        <w:rPr>
          <w:rFonts w:ascii="Times New Roman" w:hAnsi="Times New Roman" w:cs="Times New Roman"/>
          <w:sz w:val="24"/>
          <w:szCs w:val="24"/>
        </w:rPr>
        <w:t xml:space="preserve">through </w:t>
      </w:r>
      <w:r w:rsidR="009A2468">
        <w:rPr>
          <w:rFonts w:ascii="Times New Roman" w:hAnsi="Times New Roman" w:cs="Times New Roman"/>
          <w:sz w:val="24"/>
          <w:szCs w:val="24"/>
        </w:rPr>
        <w:t>adding Onegram</w:t>
      </w:r>
      <w:r w:rsidR="001314A7">
        <w:rPr>
          <w:rFonts w:ascii="Times New Roman" w:hAnsi="Times New Roman" w:cs="Times New Roman"/>
          <w:sz w:val="24"/>
          <w:szCs w:val="24"/>
        </w:rPr>
        <w:t xml:space="preserve"> </w:t>
      </w:r>
      <w:r w:rsidR="009A2468">
        <w:rPr>
          <w:rFonts w:ascii="Times New Roman" w:hAnsi="Times New Roman" w:cs="Times New Roman"/>
          <w:sz w:val="24"/>
          <w:szCs w:val="24"/>
        </w:rPr>
        <w:t>in their</w:t>
      </w:r>
      <w:r w:rsidR="00417930">
        <w:rPr>
          <w:rFonts w:ascii="Times New Roman" w:hAnsi="Times New Roman" w:cs="Times New Roman"/>
          <w:sz w:val="24"/>
          <w:szCs w:val="24"/>
        </w:rPr>
        <w:t xml:space="preserve"> portfolio</w:t>
      </w:r>
      <w:r w:rsidR="009A2468">
        <w:rPr>
          <w:rFonts w:ascii="Times New Roman" w:hAnsi="Times New Roman" w:cs="Times New Roman"/>
          <w:sz w:val="24"/>
          <w:szCs w:val="24"/>
        </w:rPr>
        <w:t>s</w:t>
      </w:r>
      <w:r w:rsidR="00417930">
        <w:rPr>
          <w:rFonts w:ascii="Times New Roman" w:hAnsi="Times New Roman" w:cs="Times New Roman"/>
          <w:sz w:val="24"/>
          <w:szCs w:val="24"/>
        </w:rPr>
        <w:t xml:space="preserve"> of Islamic </w:t>
      </w:r>
      <w:r w:rsidR="001D3070">
        <w:rPr>
          <w:rFonts w:ascii="Times New Roman" w:hAnsi="Times New Roman" w:cs="Times New Roman"/>
          <w:sz w:val="24"/>
          <w:szCs w:val="24"/>
        </w:rPr>
        <w:t>equity sectors during the COVID-19 period.</w:t>
      </w:r>
    </w:p>
    <w:p w14:paraId="5AD0B6FB" w14:textId="66B15A29" w:rsidR="00695A2F" w:rsidRPr="00FF04C8" w:rsidRDefault="00FF04C8" w:rsidP="00FF04C8">
      <w:pPr>
        <w:pStyle w:val="ListParagraph"/>
        <w:numPr>
          <w:ilvl w:val="0"/>
          <w:numId w:val="1"/>
        </w:numPr>
        <w:spacing w:line="360" w:lineRule="auto"/>
        <w:jc w:val="both"/>
        <w:rPr>
          <w:rFonts w:ascii="Times New Roman" w:hAnsi="Times New Roman" w:cs="Times New Roman"/>
          <w:b/>
          <w:bCs/>
          <w:sz w:val="28"/>
          <w:szCs w:val="28"/>
        </w:rPr>
      </w:pPr>
      <w:r w:rsidRPr="00FF04C8">
        <w:rPr>
          <w:rFonts w:ascii="Times New Roman" w:hAnsi="Times New Roman" w:cs="Times New Roman"/>
          <w:b/>
          <w:bCs/>
          <w:sz w:val="28"/>
          <w:szCs w:val="28"/>
        </w:rPr>
        <w:t>Conclusion</w:t>
      </w:r>
    </w:p>
    <w:p w14:paraId="2369CB72" w14:textId="0A0BD209" w:rsidR="00C95213" w:rsidRDefault="00A4625B" w:rsidP="006B26B7">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examine</w:t>
      </w:r>
      <w:r w:rsidR="00EC3A7D">
        <w:rPr>
          <w:rFonts w:ascii="Times New Roman" w:hAnsi="Times New Roman" w:cs="Times New Roman"/>
          <w:sz w:val="24"/>
          <w:szCs w:val="24"/>
        </w:rPr>
        <w:t>s</w:t>
      </w:r>
      <w:r>
        <w:rPr>
          <w:rFonts w:ascii="Times New Roman" w:hAnsi="Times New Roman" w:cs="Times New Roman"/>
          <w:sz w:val="24"/>
          <w:szCs w:val="24"/>
        </w:rPr>
        <w:t xml:space="preserve"> the return and volatility spillovers between the Islamic Sharia</w:t>
      </w:r>
      <w:r w:rsidR="00281391">
        <w:rPr>
          <w:rFonts w:ascii="Times New Roman" w:hAnsi="Times New Roman" w:cs="Times New Roman"/>
          <w:sz w:val="24"/>
          <w:szCs w:val="24"/>
        </w:rPr>
        <w:t>-</w:t>
      </w:r>
      <w:r>
        <w:rPr>
          <w:rFonts w:ascii="Times New Roman" w:hAnsi="Times New Roman" w:cs="Times New Roman"/>
          <w:sz w:val="24"/>
          <w:szCs w:val="24"/>
        </w:rPr>
        <w:t>compliant cryptocurrencies</w:t>
      </w:r>
      <w:r w:rsidR="002A3614">
        <w:rPr>
          <w:rFonts w:ascii="Times New Roman" w:hAnsi="Times New Roman" w:cs="Times New Roman"/>
          <w:sz w:val="24"/>
          <w:szCs w:val="24"/>
        </w:rPr>
        <w:t xml:space="preserve"> (Onegram and X8X)</w:t>
      </w:r>
      <w:r>
        <w:rPr>
          <w:rFonts w:ascii="Times New Roman" w:hAnsi="Times New Roman" w:cs="Times New Roman"/>
          <w:sz w:val="24"/>
          <w:szCs w:val="24"/>
        </w:rPr>
        <w:t xml:space="preserve"> </w:t>
      </w:r>
      <w:r w:rsidR="00D55688">
        <w:rPr>
          <w:rFonts w:ascii="Times New Roman" w:hAnsi="Times New Roman" w:cs="Times New Roman"/>
          <w:sz w:val="24"/>
          <w:szCs w:val="24"/>
        </w:rPr>
        <w:t xml:space="preserve">and </w:t>
      </w:r>
      <w:r w:rsidR="00C95213">
        <w:rPr>
          <w:rFonts w:ascii="Times New Roman" w:hAnsi="Times New Roman" w:cs="Times New Roman"/>
          <w:sz w:val="24"/>
          <w:szCs w:val="24"/>
        </w:rPr>
        <w:t xml:space="preserve">eleven </w:t>
      </w:r>
      <w:r w:rsidR="00D55688">
        <w:rPr>
          <w:rFonts w:ascii="Times New Roman" w:hAnsi="Times New Roman" w:cs="Times New Roman"/>
          <w:sz w:val="24"/>
          <w:szCs w:val="24"/>
        </w:rPr>
        <w:t xml:space="preserve">Islamic global equity sectors during </w:t>
      </w:r>
      <w:r w:rsidR="00E4013A">
        <w:rPr>
          <w:rFonts w:ascii="Times New Roman" w:hAnsi="Times New Roman" w:cs="Times New Roman"/>
          <w:sz w:val="24"/>
          <w:szCs w:val="24"/>
        </w:rPr>
        <w:t>pre-COVID</w:t>
      </w:r>
      <w:r w:rsidR="00681744">
        <w:rPr>
          <w:rFonts w:ascii="Times New Roman" w:hAnsi="Times New Roman" w:cs="Times New Roman"/>
          <w:sz w:val="24"/>
          <w:szCs w:val="24"/>
        </w:rPr>
        <w:t xml:space="preserve"> </w:t>
      </w:r>
      <w:r w:rsidR="00E4013A">
        <w:rPr>
          <w:rFonts w:ascii="Times New Roman" w:hAnsi="Times New Roman" w:cs="Times New Roman"/>
          <w:sz w:val="24"/>
          <w:szCs w:val="24"/>
        </w:rPr>
        <w:t xml:space="preserve">and the COVID-19 periods using the VAR-BEKK-AGARCH model. </w:t>
      </w:r>
      <w:r w:rsidR="007021F5">
        <w:rPr>
          <w:rFonts w:ascii="Times New Roman" w:hAnsi="Times New Roman" w:cs="Times New Roman"/>
          <w:sz w:val="24"/>
          <w:szCs w:val="24"/>
        </w:rPr>
        <w:t xml:space="preserve">The results reveal that the return </w:t>
      </w:r>
      <w:r w:rsidR="009D1FF7">
        <w:rPr>
          <w:rFonts w:ascii="Times New Roman" w:hAnsi="Times New Roman" w:cs="Times New Roman"/>
          <w:sz w:val="24"/>
          <w:szCs w:val="24"/>
        </w:rPr>
        <w:t>and volatility spillovers</w:t>
      </w:r>
      <w:r w:rsidR="002235BA">
        <w:rPr>
          <w:rFonts w:ascii="Times New Roman" w:hAnsi="Times New Roman" w:cs="Times New Roman"/>
          <w:sz w:val="24"/>
          <w:szCs w:val="24"/>
        </w:rPr>
        <w:t xml:space="preserve"> for the pairs of equity sectors-Onegram and equity sectors-X8X</w:t>
      </w:r>
      <w:r w:rsidR="003C0670">
        <w:rPr>
          <w:rFonts w:ascii="Times New Roman" w:hAnsi="Times New Roman" w:cs="Times New Roman"/>
          <w:sz w:val="24"/>
          <w:szCs w:val="24"/>
        </w:rPr>
        <w:t xml:space="preserve"> </w:t>
      </w:r>
      <w:r w:rsidR="00D7256A">
        <w:rPr>
          <w:rFonts w:ascii="Times New Roman" w:hAnsi="Times New Roman" w:cs="Times New Roman"/>
          <w:sz w:val="24"/>
          <w:szCs w:val="24"/>
        </w:rPr>
        <w:t>vary</w:t>
      </w:r>
      <w:r w:rsidR="00BA2C9E">
        <w:rPr>
          <w:rFonts w:ascii="Times New Roman" w:hAnsi="Times New Roman" w:cs="Times New Roman"/>
          <w:sz w:val="24"/>
          <w:szCs w:val="24"/>
        </w:rPr>
        <w:t xml:space="preserve"> </w:t>
      </w:r>
      <w:r w:rsidR="00C95213">
        <w:rPr>
          <w:rFonts w:ascii="Times New Roman" w:hAnsi="Times New Roman" w:cs="Times New Roman"/>
          <w:sz w:val="24"/>
          <w:szCs w:val="24"/>
        </w:rPr>
        <w:t xml:space="preserve">in </w:t>
      </w:r>
      <w:r w:rsidR="00C95D8A" w:rsidRPr="00C95D8A">
        <w:rPr>
          <w:rFonts w:ascii="Times New Roman" w:hAnsi="Times New Roman" w:cs="Times New Roman"/>
          <w:color w:val="2E74B5" w:themeColor="accent5" w:themeShade="BF"/>
          <w:sz w:val="24"/>
          <w:szCs w:val="24"/>
        </w:rPr>
        <w:t>the</w:t>
      </w:r>
      <w:r w:rsidR="00C95D8A">
        <w:rPr>
          <w:rFonts w:ascii="Times New Roman" w:hAnsi="Times New Roman" w:cs="Times New Roman"/>
          <w:sz w:val="24"/>
          <w:szCs w:val="24"/>
        </w:rPr>
        <w:t xml:space="preserve"> </w:t>
      </w:r>
      <w:r w:rsidR="00BA2C9E">
        <w:rPr>
          <w:rFonts w:ascii="Times New Roman" w:hAnsi="Times New Roman" w:cs="Times New Roman"/>
          <w:sz w:val="24"/>
          <w:szCs w:val="24"/>
        </w:rPr>
        <w:t>pre-COVID</w:t>
      </w:r>
      <w:r w:rsidR="00681744">
        <w:rPr>
          <w:rFonts w:ascii="Times New Roman" w:hAnsi="Times New Roman" w:cs="Times New Roman"/>
          <w:sz w:val="24"/>
          <w:szCs w:val="24"/>
        </w:rPr>
        <w:t xml:space="preserve"> </w:t>
      </w:r>
      <w:r w:rsidR="00BA2C9E">
        <w:rPr>
          <w:rFonts w:ascii="Times New Roman" w:hAnsi="Times New Roman" w:cs="Times New Roman"/>
          <w:sz w:val="24"/>
          <w:szCs w:val="24"/>
        </w:rPr>
        <w:t>and COVID-19 periods</w:t>
      </w:r>
      <w:r w:rsidR="008961DB">
        <w:rPr>
          <w:rFonts w:ascii="Times New Roman" w:hAnsi="Times New Roman" w:cs="Times New Roman"/>
          <w:sz w:val="24"/>
          <w:szCs w:val="24"/>
        </w:rPr>
        <w:t xml:space="preserve">, </w:t>
      </w:r>
      <w:r w:rsidR="00130372">
        <w:rPr>
          <w:rFonts w:ascii="Times New Roman" w:hAnsi="Times New Roman" w:cs="Times New Roman"/>
          <w:sz w:val="24"/>
          <w:szCs w:val="24"/>
        </w:rPr>
        <w:t>suggest</w:t>
      </w:r>
      <w:r w:rsidR="008961DB">
        <w:rPr>
          <w:rFonts w:ascii="Times New Roman" w:hAnsi="Times New Roman" w:cs="Times New Roman"/>
          <w:sz w:val="24"/>
          <w:szCs w:val="24"/>
        </w:rPr>
        <w:t>ing</w:t>
      </w:r>
      <w:r w:rsidR="00130372">
        <w:rPr>
          <w:rFonts w:ascii="Times New Roman" w:hAnsi="Times New Roman" w:cs="Times New Roman"/>
          <w:sz w:val="24"/>
          <w:szCs w:val="24"/>
        </w:rPr>
        <w:t xml:space="preserve"> that investors should rebalance their portfolios </w:t>
      </w:r>
      <w:r w:rsidR="00C95213">
        <w:rPr>
          <w:rFonts w:ascii="Times New Roman" w:hAnsi="Times New Roman" w:cs="Times New Roman"/>
          <w:sz w:val="24"/>
          <w:szCs w:val="24"/>
        </w:rPr>
        <w:t xml:space="preserve">in response to </w:t>
      </w:r>
      <w:r w:rsidR="00130372">
        <w:rPr>
          <w:rFonts w:ascii="Times New Roman" w:hAnsi="Times New Roman" w:cs="Times New Roman"/>
          <w:sz w:val="24"/>
          <w:szCs w:val="24"/>
        </w:rPr>
        <w:t>the COVID-</w:t>
      </w:r>
      <w:r w:rsidR="00C95213">
        <w:rPr>
          <w:rFonts w:ascii="Times New Roman" w:hAnsi="Times New Roman" w:cs="Times New Roman"/>
          <w:sz w:val="24"/>
          <w:szCs w:val="24"/>
        </w:rPr>
        <w:t>related uncertainty</w:t>
      </w:r>
      <w:r w:rsidR="00681744">
        <w:rPr>
          <w:rFonts w:ascii="Times New Roman" w:hAnsi="Times New Roman" w:cs="Times New Roman"/>
          <w:sz w:val="24"/>
          <w:szCs w:val="24"/>
        </w:rPr>
        <w:t xml:space="preserve"> </w:t>
      </w:r>
      <w:r w:rsidR="008961DB">
        <w:rPr>
          <w:rFonts w:ascii="Times New Roman" w:hAnsi="Times New Roman" w:cs="Times New Roman"/>
          <w:sz w:val="24"/>
          <w:szCs w:val="24"/>
        </w:rPr>
        <w:t xml:space="preserve">to </w:t>
      </w:r>
      <w:proofErr w:type="spellStart"/>
      <w:r w:rsidR="00C95213">
        <w:rPr>
          <w:rFonts w:ascii="Times New Roman" w:hAnsi="Times New Roman" w:cs="Times New Roman"/>
          <w:sz w:val="24"/>
          <w:szCs w:val="24"/>
        </w:rPr>
        <w:t>maximise</w:t>
      </w:r>
      <w:proofErr w:type="spellEnd"/>
      <w:r w:rsidR="00C95213">
        <w:rPr>
          <w:rFonts w:ascii="Times New Roman" w:hAnsi="Times New Roman" w:cs="Times New Roman"/>
          <w:sz w:val="24"/>
          <w:szCs w:val="24"/>
        </w:rPr>
        <w:t xml:space="preserve"> the</w:t>
      </w:r>
      <w:r w:rsidR="008961DB">
        <w:rPr>
          <w:rFonts w:ascii="Times New Roman" w:hAnsi="Times New Roman" w:cs="Times New Roman"/>
          <w:sz w:val="24"/>
          <w:szCs w:val="24"/>
        </w:rPr>
        <w:t xml:space="preserve"> </w:t>
      </w:r>
      <w:r w:rsidR="0023527F">
        <w:rPr>
          <w:rFonts w:ascii="Times New Roman" w:hAnsi="Times New Roman" w:cs="Times New Roman"/>
          <w:sz w:val="24"/>
          <w:szCs w:val="24"/>
        </w:rPr>
        <w:t>diversification</w:t>
      </w:r>
      <w:r w:rsidR="00C95213">
        <w:rPr>
          <w:rFonts w:ascii="Times New Roman" w:hAnsi="Times New Roman" w:cs="Times New Roman"/>
          <w:sz w:val="24"/>
          <w:szCs w:val="24"/>
        </w:rPr>
        <w:t xml:space="preserve"> benefits</w:t>
      </w:r>
      <w:r w:rsidR="0023527F">
        <w:rPr>
          <w:rFonts w:ascii="Times New Roman" w:hAnsi="Times New Roman" w:cs="Times New Roman"/>
          <w:sz w:val="24"/>
          <w:szCs w:val="24"/>
        </w:rPr>
        <w:t xml:space="preserve">. </w:t>
      </w:r>
    </w:p>
    <w:p w14:paraId="2D2E7237" w14:textId="1925BEBE" w:rsidR="008C644C" w:rsidRDefault="00C95213" w:rsidP="006B26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also assess the hedging properties of new Islamic gold-backed cryptocurrencies in the context of Islamic equity portfolios. </w:t>
      </w:r>
      <w:r w:rsidR="003B00A7">
        <w:rPr>
          <w:rFonts w:ascii="Times New Roman" w:hAnsi="Times New Roman" w:cs="Times New Roman"/>
          <w:sz w:val="24"/>
          <w:szCs w:val="24"/>
        </w:rPr>
        <w:t>T</w:t>
      </w:r>
      <w:r w:rsidR="001B67B7">
        <w:rPr>
          <w:rFonts w:ascii="Times New Roman" w:hAnsi="Times New Roman" w:cs="Times New Roman"/>
          <w:sz w:val="24"/>
          <w:szCs w:val="24"/>
        </w:rPr>
        <w:t>he portfolio analysis reveal</w:t>
      </w:r>
      <w:r w:rsidR="00091E81">
        <w:rPr>
          <w:rFonts w:ascii="Times New Roman" w:hAnsi="Times New Roman" w:cs="Times New Roman"/>
          <w:sz w:val="24"/>
          <w:szCs w:val="24"/>
        </w:rPr>
        <w:t>s</w:t>
      </w:r>
      <w:r w:rsidR="001B67B7">
        <w:rPr>
          <w:rFonts w:ascii="Times New Roman" w:hAnsi="Times New Roman" w:cs="Times New Roman"/>
          <w:sz w:val="24"/>
          <w:szCs w:val="24"/>
        </w:rPr>
        <w:t xml:space="preserve"> that </w:t>
      </w:r>
      <w:r w:rsidR="003B00A7">
        <w:rPr>
          <w:rFonts w:ascii="Times New Roman" w:hAnsi="Times New Roman" w:cs="Times New Roman"/>
          <w:sz w:val="24"/>
          <w:szCs w:val="24"/>
        </w:rPr>
        <w:t xml:space="preserve">the optimal weights </w:t>
      </w:r>
      <w:r w:rsidR="00EA5992">
        <w:rPr>
          <w:rFonts w:ascii="Times New Roman" w:hAnsi="Times New Roman" w:cs="Times New Roman"/>
          <w:sz w:val="24"/>
          <w:szCs w:val="24"/>
        </w:rPr>
        <w:t xml:space="preserve">are higher (lower) </w:t>
      </w:r>
      <w:r w:rsidR="00AD7C5B">
        <w:rPr>
          <w:rFonts w:ascii="Times New Roman" w:hAnsi="Times New Roman" w:cs="Times New Roman"/>
          <w:sz w:val="24"/>
          <w:szCs w:val="24"/>
        </w:rPr>
        <w:t xml:space="preserve">for the pairs of equity sector-X8X (equity sector-Onegram) </w:t>
      </w:r>
      <w:r w:rsidR="00EA5992">
        <w:rPr>
          <w:rFonts w:ascii="Times New Roman" w:hAnsi="Times New Roman" w:cs="Times New Roman"/>
          <w:sz w:val="24"/>
          <w:szCs w:val="24"/>
        </w:rPr>
        <w:t>during the COVID-19</w:t>
      </w:r>
      <w:r w:rsidR="004F35E8">
        <w:rPr>
          <w:rFonts w:ascii="Times New Roman" w:hAnsi="Times New Roman" w:cs="Times New Roman"/>
          <w:sz w:val="24"/>
          <w:szCs w:val="24"/>
        </w:rPr>
        <w:t xml:space="preserve"> compared to the pre-COVID-19</w:t>
      </w:r>
      <w:r w:rsidR="00124BF4">
        <w:rPr>
          <w:rFonts w:ascii="Times New Roman" w:hAnsi="Times New Roman" w:cs="Times New Roman"/>
          <w:sz w:val="24"/>
          <w:szCs w:val="24"/>
        </w:rPr>
        <w:t xml:space="preserve">. </w:t>
      </w:r>
      <w:r w:rsidR="00124BF4" w:rsidRPr="00352D82">
        <w:rPr>
          <w:rFonts w:ascii="Times New Roman" w:hAnsi="Times New Roman" w:cs="Times New Roman"/>
          <w:color w:val="0070C0"/>
          <w:sz w:val="24"/>
          <w:szCs w:val="24"/>
        </w:rPr>
        <w:t xml:space="preserve">It implies that </w:t>
      </w:r>
      <w:bookmarkStart w:id="12" w:name="_Hlk81052424"/>
      <w:r w:rsidR="00D84A55" w:rsidRPr="00352D82">
        <w:rPr>
          <w:rFonts w:ascii="Times New Roman" w:hAnsi="Times New Roman" w:cs="Times New Roman"/>
          <w:color w:val="0070C0"/>
          <w:sz w:val="24"/>
          <w:szCs w:val="24"/>
        </w:rPr>
        <w:t xml:space="preserve">investors should </w:t>
      </w:r>
      <w:r w:rsidR="00C77E66" w:rsidRPr="00352D82">
        <w:rPr>
          <w:rFonts w:ascii="Times New Roman" w:hAnsi="Times New Roman" w:cs="Times New Roman"/>
          <w:color w:val="0070C0"/>
          <w:sz w:val="24"/>
          <w:szCs w:val="24"/>
        </w:rPr>
        <w:t>in</w:t>
      </w:r>
      <w:r w:rsidR="00D34ED7" w:rsidRPr="00352D82">
        <w:rPr>
          <w:rFonts w:ascii="Times New Roman" w:hAnsi="Times New Roman" w:cs="Times New Roman"/>
          <w:color w:val="0070C0"/>
          <w:sz w:val="24"/>
          <w:szCs w:val="24"/>
        </w:rPr>
        <w:t>c</w:t>
      </w:r>
      <w:r w:rsidR="00D84A55" w:rsidRPr="00352D82">
        <w:rPr>
          <w:rFonts w:ascii="Times New Roman" w:hAnsi="Times New Roman" w:cs="Times New Roman"/>
          <w:color w:val="0070C0"/>
          <w:sz w:val="24"/>
          <w:szCs w:val="24"/>
        </w:rPr>
        <w:t>rease</w:t>
      </w:r>
      <w:r w:rsidR="00FC348B" w:rsidRPr="00352D82">
        <w:rPr>
          <w:rFonts w:ascii="Times New Roman" w:hAnsi="Times New Roman" w:cs="Times New Roman"/>
          <w:color w:val="0070C0"/>
          <w:sz w:val="24"/>
          <w:szCs w:val="24"/>
        </w:rPr>
        <w:t xml:space="preserve"> (</w:t>
      </w:r>
      <w:r w:rsidR="00C77E66" w:rsidRPr="00352D82">
        <w:rPr>
          <w:rFonts w:ascii="Times New Roman" w:hAnsi="Times New Roman" w:cs="Times New Roman"/>
          <w:color w:val="0070C0"/>
          <w:sz w:val="24"/>
          <w:szCs w:val="24"/>
        </w:rPr>
        <w:t>de</w:t>
      </w:r>
      <w:r w:rsidR="00FC348B" w:rsidRPr="00352D82">
        <w:rPr>
          <w:rFonts w:ascii="Times New Roman" w:hAnsi="Times New Roman" w:cs="Times New Roman"/>
          <w:color w:val="0070C0"/>
          <w:sz w:val="24"/>
          <w:szCs w:val="24"/>
        </w:rPr>
        <w:t>crease)</w:t>
      </w:r>
      <w:r w:rsidR="00D84A55" w:rsidRPr="00352D82">
        <w:rPr>
          <w:rFonts w:ascii="Times New Roman" w:hAnsi="Times New Roman" w:cs="Times New Roman"/>
          <w:color w:val="0070C0"/>
          <w:sz w:val="24"/>
          <w:szCs w:val="24"/>
        </w:rPr>
        <w:t xml:space="preserve"> their investment in </w:t>
      </w:r>
      <w:r w:rsidR="006B1C91" w:rsidRPr="00352D82">
        <w:rPr>
          <w:rFonts w:ascii="Times New Roman" w:hAnsi="Times New Roman" w:cs="Times New Roman"/>
          <w:color w:val="0070C0"/>
          <w:sz w:val="24"/>
          <w:szCs w:val="24"/>
        </w:rPr>
        <w:t xml:space="preserve">Onegram </w:t>
      </w:r>
      <w:r w:rsidR="00D34ED7" w:rsidRPr="00352D82">
        <w:rPr>
          <w:rFonts w:ascii="Times New Roman" w:hAnsi="Times New Roman" w:cs="Times New Roman"/>
          <w:color w:val="0070C0"/>
          <w:sz w:val="24"/>
          <w:szCs w:val="24"/>
        </w:rPr>
        <w:t>(</w:t>
      </w:r>
      <w:r w:rsidR="006B1C91" w:rsidRPr="00352D82">
        <w:rPr>
          <w:rFonts w:ascii="Times New Roman" w:hAnsi="Times New Roman" w:cs="Times New Roman"/>
          <w:color w:val="0070C0"/>
          <w:sz w:val="24"/>
          <w:szCs w:val="24"/>
        </w:rPr>
        <w:t>X8X</w:t>
      </w:r>
      <w:r w:rsidR="00D34ED7" w:rsidRPr="00352D82">
        <w:rPr>
          <w:rFonts w:ascii="Times New Roman" w:hAnsi="Times New Roman" w:cs="Times New Roman"/>
          <w:color w:val="0070C0"/>
          <w:sz w:val="24"/>
          <w:szCs w:val="24"/>
        </w:rPr>
        <w:t xml:space="preserve">) </w:t>
      </w:r>
      <w:r w:rsidR="00793D26" w:rsidRPr="00352D82">
        <w:rPr>
          <w:rFonts w:ascii="Times New Roman" w:hAnsi="Times New Roman" w:cs="Times New Roman"/>
          <w:color w:val="0070C0"/>
          <w:sz w:val="24"/>
          <w:szCs w:val="24"/>
        </w:rPr>
        <w:t xml:space="preserve">to reduce the risk of </w:t>
      </w:r>
      <w:r w:rsidR="00091E81" w:rsidRPr="00352D82">
        <w:rPr>
          <w:rFonts w:ascii="Times New Roman" w:hAnsi="Times New Roman" w:cs="Times New Roman"/>
          <w:color w:val="0070C0"/>
          <w:sz w:val="24"/>
          <w:szCs w:val="24"/>
        </w:rPr>
        <w:t xml:space="preserve">the </w:t>
      </w:r>
      <w:r w:rsidR="00043F8D" w:rsidRPr="00352D82">
        <w:rPr>
          <w:rFonts w:ascii="Times New Roman" w:hAnsi="Times New Roman" w:cs="Times New Roman"/>
          <w:color w:val="0070C0"/>
          <w:sz w:val="24"/>
          <w:szCs w:val="24"/>
        </w:rPr>
        <w:t>equity sector-</w:t>
      </w:r>
      <w:r w:rsidR="006B1C91" w:rsidRPr="00352D82">
        <w:rPr>
          <w:rFonts w:ascii="Times New Roman" w:hAnsi="Times New Roman" w:cs="Times New Roman"/>
          <w:color w:val="0070C0"/>
          <w:sz w:val="24"/>
          <w:szCs w:val="24"/>
        </w:rPr>
        <w:t>Onegram</w:t>
      </w:r>
      <w:r w:rsidR="00043F8D" w:rsidRPr="00352D82">
        <w:rPr>
          <w:rFonts w:ascii="Times New Roman" w:hAnsi="Times New Roman" w:cs="Times New Roman"/>
          <w:color w:val="0070C0"/>
          <w:sz w:val="24"/>
          <w:szCs w:val="24"/>
        </w:rPr>
        <w:t xml:space="preserve"> (equity sector-</w:t>
      </w:r>
      <w:r w:rsidR="006B1C91" w:rsidRPr="00352D82">
        <w:rPr>
          <w:rFonts w:ascii="Times New Roman" w:hAnsi="Times New Roman" w:cs="Times New Roman"/>
          <w:color w:val="0070C0"/>
          <w:sz w:val="24"/>
          <w:szCs w:val="24"/>
        </w:rPr>
        <w:t xml:space="preserve"> X8X</w:t>
      </w:r>
      <w:r w:rsidR="00043F8D" w:rsidRPr="00352D82">
        <w:rPr>
          <w:rFonts w:ascii="Times New Roman" w:hAnsi="Times New Roman" w:cs="Times New Roman"/>
          <w:color w:val="0070C0"/>
          <w:sz w:val="24"/>
          <w:szCs w:val="24"/>
        </w:rPr>
        <w:t>)</w:t>
      </w:r>
      <w:r w:rsidR="006209CC" w:rsidRPr="00352D82">
        <w:rPr>
          <w:rFonts w:ascii="Times New Roman" w:hAnsi="Times New Roman" w:cs="Times New Roman"/>
          <w:color w:val="0070C0"/>
          <w:sz w:val="24"/>
          <w:szCs w:val="24"/>
        </w:rPr>
        <w:t xml:space="preserve"> portfolio</w:t>
      </w:r>
      <w:r w:rsidR="00043F8D" w:rsidRPr="00352D82">
        <w:rPr>
          <w:rFonts w:ascii="Times New Roman" w:hAnsi="Times New Roman" w:cs="Times New Roman"/>
          <w:color w:val="0070C0"/>
          <w:sz w:val="24"/>
          <w:szCs w:val="24"/>
        </w:rPr>
        <w:t xml:space="preserve"> during the COVID-19.</w:t>
      </w:r>
      <w:bookmarkEnd w:id="12"/>
      <w:r w:rsidR="00043F8D" w:rsidRPr="00352D82">
        <w:rPr>
          <w:rFonts w:ascii="Times New Roman" w:hAnsi="Times New Roman" w:cs="Times New Roman"/>
          <w:color w:val="0070C0"/>
          <w:sz w:val="24"/>
          <w:szCs w:val="24"/>
        </w:rPr>
        <w:t xml:space="preserve"> </w:t>
      </w:r>
      <w:r w:rsidR="00F51501">
        <w:rPr>
          <w:rFonts w:ascii="Times New Roman" w:hAnsi="Times New Roman" w:cs="Times New Roman"/>
          <w:sz w:val="24"/>
          <w:szCs w:val="24"/>
        </w:rPr>
        <w:t xml:space="preserve">The optimal hedge results reveal that hedging </w:t>
      </w:r>
      <w:r>
        <w:rPr>
          <w:rFonts w:ascii="Times New Roman" w:hAnsi="Times New Roman" w:cs="Times New Roman"/>
          <w:sz w:val="24"/>
          <w:szCs w:val="24"/>
        </w:rPr>
        <w:t>might be costly</w:t>
      </w:r>
      <w:r w:rsidR="00F51501">
        <w:rPr>
          <w:rFonts w:ascii="Times New Roman" w:hAnsi="Times New Roman" w:cs="Times New Roman"/>
          <w:sz w:val="24"/>
          <w:szCs w:val="24"/>
        </w:rPr>
        <w:t xml:space="preserve"> during the COVID-19 </w:t>
      </w:r>
      <w:r w:rsidR="003A2CBB">
        <w:rPr>
          <w:rFonts w:ascii="Times New Roman" w:hAnsi="Times New Roman" w:cs="Times New Roman"/>
          <w:sz w:val="24"/>
          <w:szCs w:val="24"/>
        </w:rPr>
        <w:t xml:space="preserve">for all pairs of equity-cryptocurrency. </w:t>
      </w:r>
      <w:r w:rsidR="00930FDF">
        <w:rPr>
          <w:rFonts w:ascii="Times New Roman" w:hAnsi="Times New Roman" w:cs="Times New Roman"/>
          <w:sz w:val="24"/>
          <w:szCs w:val="24"/>
        </w:rPr>
        <w:t xml:space="preserve">Lastly, the hedging effectiveness results suggest that </w:t>
      </w:r>
      <w:r w:rsidR="00F327E3" w:rsidRPr="00060078">
        <w:rPr>
          <w:rFonts w:ascii="Times New Roman" w:hAnsi="Times New Roman" w:cs="Times New Roman"/>
          <w:color w:val="0070C0"/>
          <w:sz w:val="24"/>
          <w:szCs w:val="24"/>
        </w:rPr>
        <w:t xml:space="preserve">investors can </w:t>
      </w:r>
      <w:r w:rsidR="00E84795" w:rsidRPr="00060078">
        <w:rPr>
          <w:rFonts w:ascii="Times New Roman" w:hAnsi="Times New Roman" w:cs="Times New Roman"/>
          <w:color w:val="0070C0"/>
          <w:sz w:val="24"/>
          <w:szCs w:val="24"/>
        </w:rPr>
        <w:t>reduce the risk</w:t>
      </w:r>
      <w:r w:rsidR="007B69C7" w:rsidRPr="00060078">
        <w:rPr>
          <w:rFonts w:ascii="Times New Roman" w:hAnsi="Times New Roman" w:cs="Times New Roman"/>
          <w:color w:val="0070C0"/>
          <w:sz w:val="24"/>
          <w:szCs w:val="24"/>
        </w:rPr>
        <w:t xml:space="preserve"> of </w:t>
      </w:r>
      <w:r w:rsidR="00E84795" w:rsidRPr="00060078">
        <w:rPr>
          <w:rFonts w:ascii="Times New Roman" w:hAnsi="Times New Roman" w:cs="Times New Roman"/>
          <w:color w:val="0070C0"/>
          <w:sz w:val="24"/>
          <w:szCs w:val="24"/>
        </w:rPr>
        <w:t xml:space="preserve">Islamic sectorial equity portfolios by adding </w:t>
      </w:r>
      <w:r w:rsidR="00CF5A7D" w:rsidRPr="00060078">
        <w:rPr>
          <w:rFonts w:ascii="Times New Roman" w:hAnsi="Times New Roman" w:cs="Times New Roman"/>
          <w:color w:val="0070C0"/>
          <w:sz w:val="24"/>
          <w:szCs w:val="24"/>
        </w:rPr>
        <w:t xml:space="preserve">the Islamic </w:t>
      </w:r>
      <w:r w:rsidR="00980661" w:rsidRPr="00060078">
        <w:rPr>
          <w:rFonts w:ascii="Times New Roman" w:hAnsi="Times New Roman" w:cs="Times New Roman"/>
          <w:color w:val="0070C0"/>
          <w:sz w:val="24"/>
          <w:szCs w:val="24"/>
        </w:rPr>
        <w:t>sharia-based</w:t>
      </w:r>
      <w:r w:rsidR="00F327E3" w:rsidRPr="00060078">
        <w:rPr>
          <w:rFonts w:ascii="Times New Roman" w:hAnsi="Times New Roman" w:cs="Times New Roman"/>
          <w:color w:val="0070C0"/>
          <w:sz w:val="24"/>
          <w:szCs w:val="24"/>
        </w:rPr>
        <w:t xml:space="preserve"> cryptocurrencies</w:t>
      </w:r>
      <w:r w:rsidR="00B83CF5" w:rsidRPr="00060078">
        <w:rPr>
          <w:rFonts w:ascii="Times New Roman" w:hAnsi="Times New Roman" w:cs="Times New Roman"/>
          <w:color w:val="0070C0"/>
          <w:sz w:val="24"/>
          <w:szCs w:val="24"/>
        </w:rPr>
        <w:t xml:space="preserve"> in their </w:t>
      </w:r>
      <w:r w:rsidR="00A36169" w:rsidRPr="00060078">
        <w:rPr>
          <w:rFonts w:ascii="Times New Roman" w:hAnsi="Times New Roman" w:cs="Times New Roman"/>
          <w:color w:val="0070C0"/>
          <w:sz w:val="24"/>
          <w:szCs w:val="24"/>
        </w:rPr>
        <w:t>portfolios</w:t>
      </w:r>
      <w:r w:rsidR="00BC7868" w:rsidRPr="00060078">
        <w:rPr>
          <w:rFonts w:ascii="Times New Roman" w:hAnsi="Times New Roman" w:cs="Times New Roman"/>
          <w:color w:val="0070C0"/>
          <w:sz w:val="24"/>
          <w:szCs w:val="24"/>
        </w:rPr>
        <w:t xml:space="preserve"> during both sample periods. </w:t>
      </w:r>
    </w:p>
    <w:p w14:paraId="15B662AB" w14:textId="69A02A7A" w:rsidR="00C36674" w:rsidRPr="007A2F6B" w:rsidRDefault="00B912D1" w:rsidP="00C36674">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Overall, this study extends the literature </w:t>
      </w:r>
      <w:proofErr w:type="gramStart"/>
      <w:r w:rsidR="00195CFB">
        <w:rPr>
          <w:rFonts w:ascii="Times New Roman" w:hAnsi="Times New Roman" w:cs="Times New Roman"/>
          <w:sz w:val="24"/>
          <w:szCs w:val="24"/>
        </w:rPr>
        <w:t>in the area of</w:t>
      </w:r>
      <w:proofErr w:type="gramEnd"/>
      <w:r w:rsidR="00195CFB">
        <w:rPr>
          <w:rFonts w:ascii="Times New Roman" w:hAnsi="Times New Roman" w:cs="Times New Roman"/>
          <w:sz w:val="24"/>
          <w:szCs w:val="24"/>
        </w:rPr>
        <w:t xml:space="preserve"> </w:t>
      </w:r>
      <w:r>
        <w:rPr>
          <w:rFonts w:ascii="Times New Roman" w:hAnsi="Times New Roman" w:cs="Times New Roman"/>
          <w:sz w:val="24"/>
          <w:szCs w:val="24"/>
        </w:rPr>
        <w:t>Islamic FinTech</w:t>
      </w:r>
      <w:r w:rsidR="00EF48FF">
        <w:rPr>
          <w:rFonts w:ascii="Times New Roman" w:hAnsi="Times New Roman" w:cs="Times New Roman"/>
          <w:sz w:val="24"/>
          <w:szCs w:val="24"/>
        </w:rPr>
        <w:t xml:space="preserve"> and </w:t>
      </w:r>
      <w:r w:rsidR="000E4BFA">
        <w:rPr>
          <w:rFonts w:ascii="Times New Roman" w:hAnsi="Times New Roman" w:cs="Times New Roman"/>
          <w:sz w:val="24"/>
          <w:szCs w:val="24"/>
        </w:rPr>
        <w:t>Sharia alternate assets</w:t>
      </w:r>
      <w:r w:rsidR="00C95213">
        <w:rPr>
          <w:rFonts w:ascii="Times New Roman" w:hAnsi="Times New Roman" w:cs="Times New Roman"/>
          <w:sz w:val="24"/>
          <w:szCs w:val="24"/>
        </w:rPr>
        <w:t>, providing a novel empirical evidence from Sharia-compliant gold-backed stablecoins</w:t>
      </w:r>
      <w:r w:rsidR="000E4BFA">
        <w:rPr>
          <w:rFonts w:ascii="Times New Roman" w:hAnsi="Times New Roman" w:cs="Times New Roman"/>
          <w:sz w:val="24"/>
          <w:szCs w:val="24"/>
        </w:rPr>
        <w:t>.</w:t>
      </w:r>
      <w:r>
        <w:rPr>
          <w:rFonts w:ascii="Times New Roman" w:hAnsi="Times New Roman" w:cs="Times New Roman"/>
          <w:sz w:val="24"/>
          <w:szCs w:val="24"/>
        </w:rPr>
        <w:t xml:space="preserve"> </w:t>
      </w:r>
      <w:r w:rsidR="007B69C7">
        <w:rPr>
          <w:rFonts w:ascii="Times New Roman" w:hAnsi="Times New Roman" w:cs="Times New Roman"/>
          <w:sz w:val="24"/>
          <w:szCs w:val="24"/>
        </w:rPr>
        <w:t xml:space="preserve">These results are useful for </w:t>
      </w:r>
      <w:r w:rsidR="00C02A9E">
        <w:rPr>
          <w:rFonts w:ascii="Times New Roman" w:hAnsi="Times New Roman" w:cs="Times New Roman"/>
          <w:sz w:val="24"/>
          <w:szCs w:val="24"/>
        </w:rPr>
        <w:t>faith-based</w:t>
      </w:r>
      <w:r w:rsidR="007B69C7">
        <w:rPr>
          <w:rFonts w:ascii="Times New Roman" w:hAnsi="Times New Roman" w:cs="Times New Roman"/>
          <w:sz w:val="24"/>
          <w:szCs w:val="24"/>
        </w:rPr>
        <w:t xml:space="preserve"> </w:t>
      </w:r>
      <w:r w:rsidR="00BC1CFC">
        <w:rPr>
          <w:rFonts w:ascii="Times New Roman" w:hAnsi="Times New Roman" w:cs="Times New Roman"/>
          <w:sz w:val="24"/>
          <w:szCs w:val="24"/>
        </w:rPr>
        <w:t>investors</w:t>
      </w:r>
      <w:r w:rsidR="009340B1">
        <w:rPr>
          <w:rFonts w:ascii="Times New Roman" w:hAnsi="Times New Roman" w:cs="Times New Roman"/>
          <w:sz w:val="24"/>
          <w:szCs w:val="24"/>
        </w:rPr>
        <w:t xml:space="preserve"> and portfolio managers</w:t>
      </w:r>
      <w:r w:rsidR="00BC1CFC">
        <w:rPr>
          <w:rFonts w:ascii="Times New Roman" w:hAnsi="Times New Roman" w:cs="Times New Roman"/>
          <w:sz w:val="24"/>
          <w:szCs w:val="24"/>
        </w:rPr>
        <w:t xml:space="preserve"> wh</w:t>
      </w:r>
      <w:r w:rsidR="00091E81">
        <w:rPr>
          <w:rFonts w:ascii="Times New Roman" w:hAnsi="Times New Roman" w:cs="Times New Roman"/>
          <w:sz w:val="24"/>
          <w:szCs w:val="24"/>
        </w:rPr>
        <w:t>o</w:t>
      </w:r>
      <w:r w:rsidR="00BC1CFC">
        <w:rPr>
          <w:rFonts w:ascii="Times New Roman" w:hAnsi="Times New Roman" w:cs="Times New Roman"/>
          <w:sz w:val="24"/>
          <w:szCs w:val="24"/>
        </w:rPr>
        <w:t xml:space="preserve"> are interested in finding alternate </w:t>
      </w:r>
      <w:r w:rsidR="00C02A9E">
        <w:rPr>
          <w:rFonts w:ascii="Times New Roman" w:hAnsi="Times New Roman" w:cs="Times New Roman"/>
          <w:sz w:val="24"/>
          <w:szCs w:val="24"/>
        </w:rPr>
        <w:t xml:space="preserve">Sharia complaint </w:t>
      </w:r>
      <w:r w:rsidR="00BC1CFC">
        <w:rPr>
          <w:rFonts w:ascii="Times New Roman" w:hAnsi="Times New Roman" w:cs="Times New Roman"/>
          <w:sz w:val="24"/>
          <w:szCs w:val="24"/>
        </w:rPr>
        <w:t xml:space="preserve">assets </w:t>
      </w:r>
      <w:r w:rsidR="004D11BB">
        <w:rPr>
          <w:rFonts w:ascii="Times New Roman" w:hAnsi="Times New Roman" w:cs="Times New Roman"/>
          <w:sz w:val="24"/>
          <w:szCs w:val="24"/>
        </w:rPr>
        <w:t xml:space="preserve">to reduce the risk of </w:t>
      </w:r>
      <w:r w:rsidR="00073EC5">
        <w:rPr>
          <w:rFonts w:ascii="Times New Roman" w:hAnsi="Times New Roman" w:cs="Times New Roman"/>
          <w:sz w:val="24"/>
          <w:szCs w:val="24"/>
        </w:rPr>
        <w:t xml:space="preserve">Islamic </w:t>
      </w:r>
      <w:r w:rsidR="00AD34F0">
        <w:rPr>
          <w:rFonts w:ascii="Times New Roman" w:hAnsi="Times New Roman" w:cs="Times New Roman"/>
          <w:sz w:val="24"/>
          <w:szCs w:val="24"/>
        </w:rPr>
        <w:t>equity-based</w:t>
      </w:r>
      <w:r w:rsidR="00073EC5">
        <w:rPr>
          <w:rFonts w:ascii="Times New Roman" w:hAnsi="Times New Roman" w:cs="Times New Roman"/>
          <w:sz w:val="24"/>
          <w:szCs w:val="24"/>
        </w:rPr>
        <w:t xml:space="preserve"> portfolios. </w:t>
      </w:r>
      <w:r w:rsidR="00AD34F0">
        <w:rPr>
          <w:rFonts w:ascii="Times New Roman" w:hAnsi="Times New Roman" w:cs="Times New Roman"/>
          <w:sz w:val="24"/>
          <w:szCs w:val="24"/>
        </w:rPr>
        <w:t xml:space="preserve">Apart from the </w:t>
      </w:r>
      <w:r w:rsidR="005D5377">
        <w:rPr>
          <w:rFonts w:ascii="Times New Roman" w:hAnsi="Times New Roman" w:cs="Times New Roman"/>
          <w:sz w:val="24"/>
          <w:szCs w:val="24"/>
        </w:rPr>
        <w:t xml:space="preserve">faith-based investors, </w:t>
      </w:r>
      <w:r w:rsidR="00546D34">
        <w:rPr>
          <w:rFonts w:ascii="Times New Roman" w:hAnsi="Times New Roman" w:cs="Times New Roman"/>
          <w:sz w:val="24"/>
          <w:szCs w:val="24"/>
        </w:rPr>
        <w:t>these findings are also useful for the non-</w:t>
      </w:r>
      <w:r w:rsidR="002D6595">
        <w:rPr>
          <w:rFonts w:ascii="Times New Roman" w:hAnsi="Times New Roman" w:cs="Times New Roman"/>
          <w:sz w:val="24"/>
          <w:szCs w:val="24"/>
        </w:rPr>
        <w:t>faith-based</w:t>
      </w:r>
      <w:r w:rsidR="00546D34">
        <w:rPr>
          <w:rFonts w:ascii="Times New Roman" w:hAnsi="Times New Roman" w:cs="Times New Roman"/>
          <w:sz w:val="24"/>
          <w:szCs w:val="24"/>
        </w:rPr>
        <w:t xml:space="preserve"> investors who invest in Islamic </w:t>
      </w:r>
      <w:r w:rsidR="00851826">
        <w:rPr>
          <w:rFonts w:ascii="Times New Roman" w:hAnsi="Times New Roman" w:cs="Times New Roman"/>
          <w:sz w:val="24"/>
          <w:szCs w:val="24"/>
        </w:rPr>
        <w:t>equity sectors</w:t>
      </w:r>
      <w:r w:rsidR="00C95213">
        <w:rPr>
          <w:rFonts w:ascii="Times New Roman" w:hAnsi="Times New Roman" w:cs="Times New Roman"/>
          <w:sz w:val="24"/>
          <w:szCs w:val="24"/>
        </w:rPr>
        <w:t xml:space="preserve"> or in gold-backed digital assets</w:t>
      </w:r>
      <w:r w:rsidR="00851826">
        <w:rPr>
          <w:rFonts w:ascii="Times New Roman" w:hAnsi="Times New Roman" w:cs="Times New Roman"/>
          <w:sz w:val="24"/>
          <w:szCs w:val="24"/>
        </w:rPr>
        <w:t>.</w:t>
      </w:r>
      <w:r w:rsidR="00060078">
        <w:rPr>
          <w:rFonts w:ascii="Times New Roman" w:hAnsi="Times New Roman" w:cs="Times New Roman"/>
          <w:sz w:val="24"/>
          <w:szCs w:val="24"/>
        </w:rPr>
        <w:t xml:space="preserve"> </w:t>
      </w:r>
      <w:r w:rsidR="00283718">
        <w:rPr>
          <w:rFonts w:ascii="Times New Roman" w:hAnsi="Times New Roman" w:cs="Times New Roman"/>
          <w:color w:val="0070C0"/>
          <w:sz w:val="24"/>
          <w:szCs w:val="24"/>
        </w:rPr>
        <w:t xml:space="preserve">The sharia compliance and gold-backup features make the Islamic cryptocurrencies effective alternate assets, therefore </w:t>
      </w:r>
      <w:r w:rsidR="007A2F6B" w:rsidRPr="00556892">
        <w:rPr>
          <w:rFonts w:ascii="Times New Roman" w:hAnsi="Times New Roman" w:cs="Times New Roman"/>
          <w:color w:val="0070C0"/>
          <w:sz w:val="24"/>
          <w:szCs w:val="24"/>
        </w:rPr>
        <w:t xml:space="preserve">Islamic </w:t>
      </w:r>
      <w:proofErr w:type="spellStart"/>
      <w:r w:rsidR="007A2F6B" w:rsidRPr="00556892">
        <w:rPr>
          <w:rFonts w:ascii="Times New Roman" w:hAnsi="Times New Roman" w:cs="Times New Roman"/>
          <w:color w:val="0070C0"/>
          <w:sz w:val="24"/>
          <w:szCs w:val="24"/>
        </w:rPr>
        <w:t>enterprenuers</w:t>
      </w:r>
      <w:proofErr w:type="spellEnd"/>
      <w:r w:rsidR="00F364BE">
        <w:rPr>
          <w:rFonts w:ascii="Times New Roman" w:hAnsi="Times New Roman" w:cs="Times New Roman"/>
          <w:color w:val="0070C0"/>
          <w:sz w:val="24"/>
          <w:szCs w:val="24"/>
        </w:rPr>
        <w:t xml:space="preserve"> and Islamic Fintech organizations</w:t>
      </w:r>
      <w:r w:rsidR="007A2F6B">
        <w:rPr>
          <w:rFonts w:ascii="Times New Roman" w:hAnsi="Times New Roman" w:cs="Times New Roman"/>
          <w:color w:val="0070C0"/>
          <w:sz w:val="24"/>
          <w:szCs w:val="24"/>
        </w:rPr>
        <w:t xml:space="preserve"> </w:t>
      </w:r>
      <w:r w:rsidR="00283718">
        <w:rPr>
          <w:rFonts w:ascii="Times New Roman" w:hAnsi="Times New Roman" w:cs="Times New Roman"/>
          <w:color w:val="0070C0"/>
          <w:sz w:val="24"/>
          <w:szCs w:val="24"/>
        </w:rPr>
        <w:t xml:space="preserve">are suggested to introduce </w:t>
      </w:r>
      <w:r w:rsidR="007A2F6B" w:rsidRPr="00556892">
        <w:rPr>
          <w:rFonts w:ascii="Times New Roman" w:hAnsi="Times New Roman" w:cs="Times New Roman"/>
          <w:color w:val="0070C0"/>
          <w:sz w:val="24"/>
          <w:szCs w:val="24"/>
        </w:rPr>
        <w:t xml:space="preserve">new Islamic </w:t>
      </w:r>
      <w:r w:rsidR="00283718">
        <w:rPr>
          <w:rFonts w:ascii="Times New Roman" w:hAnsi="Times New Roman" w:cs="Times New Roman"/>
          <w:color w:val="0070C0"/>
          <w:sz w:val="24"/>
          <w:szCs w:val="24"/>
        </w:rPr>
        <w:t xml:space="preserve">gold backed </w:t>
      </w:r>
      <w:r w:rsidR="007A2F6B" w:rsidRPr="00556892">
        <w:rPr>
          <w:rFonts w:ascii="Times New Roman" w:hAnsi="Times New Roman" w:cs="Times New Roman"/>
          <w:color w:val="0070C0"/>
          <w:sz w:val="24"/>
          <w:szCs w:val="24"/>
        </w:rPr>
        <w:t>cryptocurrencies.</w:t>
      </w:r>
      <w:r w:rsidR="007A2F6B">
        <w:rPr>
          <w:rFonts w:ascii="Times New Roman" w:hAnsi="Times New Roman" w:cs="Times New Roman"/>
          <w:color w:val="0070C0"/>
          <w:sz w:val="24"/>
          <w:szCs w:val="24"/>
        </w:rPr>
        <w:t xml:space="preserve"> </w:t>
      </w:r>
      <w:r w:rsidR="00283718">
        <w:rPr>
          <w:rFonts w:ascii="Times New Roman" w:hAnsi="Times New Roman" w:cs="Times New Roman"/>
          <w:color w:val="0070C0"/>
          <w:sz w:val="24"/>
          <w:szCs w:val="24"/>
        </w:rPr>
        <w:t xml:space="preserve">Major Islamic countries have gold </w:t>
      </w:r>
      <w:proofErr w:type="gramStart"/>
      <w:r w:rsidR="00283718">
        <w:rPr>
          <w:rFonts w:ascii="Times New Roman" w:hAnsi="Times New Roman" w:cs="Times New Roman"/>
          <w:color w:val="0070C0"/>
          <w:sz w:val="24"/>
          <w:szCs w:val="24"/>
        </w:rPr>
        <w:t>reserve,</w:t>
      </w:r>
      <w:proofErr w:type="gramEnd"/>
      <w:r w:rsidR="00283718">
        <w:rPr>
          <w:rFonts w:ascii="Times New Roman" w:hAnsi="Times New Roman" w:cs="Times New Roman"/>
          <w:color w:val="0070C0"/>
          <w:sz w:val="24"/>
          <w:szCs w:val="24"/>
        </w:rPr>
        <w:t xml:space="preserve"> therefore these countries are suggested to issue their own Islamic gold backed cryptocurrencies. </w:t>
      </w:r>
      <w:r w:rsidR="0076467C">
        <w:rPr>
          <w:rFonts w:ascii="Times New Roman" w:hAnsi="Times New Roman" w:cs="Times New Roman"/>
          <w:color w:val="0070C0"/>
          <w:sz w:val="24"/>
          <w:szCs w:val="24"/>
        </w:rPr>
        <w:t xml:space="preserve">Regulators are suggested to continuously monitor the Islamic cryptocurrency markets in addition to the Islamic equity markets, because the connectedness is observed to be higher between Islamic cryptocurrency and Islamic equity markets during the initial phase of the COVID-19. </w:t>
      </w:r>
      <w:r w:rsidR="00D979F3">
        <w:rPr>
          <w:rFonts w:ascii="Times New Roman" w:hAnsi="Times New Roman" w:cs="Times New Roman"/>
          <w:color w:val="0070C0"/>
          <w:sz w:val="24"/>
          <w:szCs w:val="24"/>
        </w:rPr>
        <w:t xml:space="preserve">Policymakers </w:t>
      </w:r>
      <w:r w:rsidR="0076467C">
        <w:rPr>
          <w:rFonts w:ascii="Times New Roman" w:hAnsi="Times New Roman" w:cs="Times New Roman"/>
          <w:color w:val="0070C0"/>
          <w:sz w:val="24"/>
          <w:szCs w:val="24"/>
        </w:rPr>
        <w:t xml:space="preserve">are also suggested to </w:t>
      </w:r>
      <w:r w:rsidR="006F10AA">
        <w:rPr>
          <w:rFonts w:ascii="Times New Roman" w:hAnsi="Times New Roman" w:cs="Times New Roman"/>
          <w:color w:val="0070C0"/>
          <w:sz w:val="24"/>
          <w:szCs w:val="24"/>
        </w:rPr>
        <w:t xml:space="preserve">consider the addition of </w:t>
      </w:r>
      <w:r w:rsidR="0076467C">
        <w:rPr>
          <w:rFonts w:ascii="Times New Roman" w:hAnsi="Times New Roman" w:cs="Times New Roman"/>
          <w:color w:val="0070C0"/>
          <w:sz w:val="24"/>
          <w:szCs w:val="24"/>
        </w:rPr>
        <w:t>Islamic gold back cryptocurrencies</w:t>
      </w:r>
      <w:r w:rsidR="006F10AA">
        <w:rPr>
          <w:rFonts w:ascii="Times New Roman" w:hAnsi="Times New Roman" w:cs="Times New Roman"/>
          <w:color w:val="0070C0"/>
          <w:sz w:val="24"/>
          <w:szCs w:val="24"/>
        </w:rPr>
        <w:t xml:space="preserve"> in their financial systems especially in Islamic countries</w:t>
      </w:r>
      <w:r w:rsidR="0076467C">
        <w:rPr>
          <w:rFonts w:ascii="Times New Roman" w:hAnsi="Times New Roman" w:cs="Times New Roman"/>
          <w:color w:val="0070C0"/>
          <w:sz w:val="24"/>
          <w:szCs w:val="24"/>
        </w:rPr>
        <w:t xml:space="preserve">, as these are effective alternate assets </w:t>
      </w:r>
      <w:proofErr w:type="gramStart"/>
      <w:r w:rsidR="0076467C">
        <w:rPr>
          <w:rFonts w:ascii="Times New Roman" w:hAnsi="Times New Roman" w:cs="Times New Roman"/>
          <w:color w:val="0070C0"/>
          <w:sz w:val="24"/>
          <w:szCs w:val="24"/>
        </w:rPr>
        <w:t>and;</w:t>
      </w:r>
      <w:proofErr w:type="gramEnd"/>
      <w:r w:rsidR="0076467C">
        <w:rPr>
          <w:rFonts w:ascii="Times New Roman" w:hAnsi="Times New Roman" w:cs="Times New Roman"/>
          <w:color w:val="0070C0"/>
          <w:sz w:val="24"/>
          <w:szCs w:val="24"/>
        </w:rPr>
        <w:t xml:space="preserve"> becoming stable with the passage of time, i.e., the unconditional volatility of Onegram declined from 36.2 in pre-COVID-19 to 4.5 in the COVID-19 period (See. Table 1). </w:t>
      </w:r>
      <w:r w:rsidR="00855D33">
        <w:rPr>
          <w:rFonts w:ascii="Times New Roman" w:hAnsi="Times New Roman" w:cs="Times New Roman"/>
          <w:color w:val="0070C0"/>
          <w:sz w:val="24"/>
          <w:szCs w:val="24"/>
        </w:rPr>
        <w:t>Further, in case of permissibility of Islamic gold</w:t>
      </w:r>
      <w:r w:rsidR="00C95D8A">
        <w:rPr>
          <w:rFonts w:ascii="Times New Roman" w:hAnsi="Times New Roman" w:cs="Times New Roman"/>
          <w:color w:val="0070C0"/>
          <w:sz w:val="24"/>
          <w:szCs w:val="24"/>
        </w:rPr>
        <w:t>-</w:t>
      </w:r>
      <w:r w:rsidR="00855D33">
        <w:rPr>
          <w:rFonts w:ascii="Times New Roman" w:hAnsi="Times New Roman" w:cs="Times New Roman"/>
          <w:color w:val="0070C0"/>
          <w:sz w:val="24"/>
          <w:szCs w:val="24"/>
        </w:rPr>
        <w:t>back</w:t>
      </w:r>
      <w:r w:rsidR="00C95D8A">
        <w:rPr>
          <w:rFonts w:ascii="Times New Roman" w:hAnsi="Times New Roman" w:cs="Times New Roman"/>
          <w:color w:val="0070C0"/>
          <w:sz w:val="24"/>
          <w:szCs w:val="24"/>
        </w:rPr>
        <w:t xml:space="preserve">ed </w:t>
      </w:r>
      <w:proofErr w:type="spellStart"/>
      <w:r w:rsidR="00855D33">
        <w:rPr>
          <w:rFonts w:ascii="Times New Roman" w:hAnsi="Times New Roman" w:cs="Times New Roman"/>
          <w:color w:val="0070C0"/>
          <w:sz w:val="24"/>
          <w:szCs w:val="24"/>
        </w:rPr>
        <w:t>cryptocrrency</w:t>
      </w:r>
      <w:proofErr w:type="spellEnd"/>
      <w:r w:rsidR="00855D33">
        <w:rPr>
          <w:rFonts w:ascii="Times New Roman" w:hAnsi="Times New Roman" w:cs="Times New Roman"/>
          <w:color w:val="0070C0"/>
          <w:sz w:val="24"/>
          <w:szCs w:val="24"/>
        </w:rPr>
        <w:t xml:space="preserve"> in any country, the regulators should watch and ensure the backup (of gold) of these Islamic </w:t>
      </w:r>
      <w:proofErr w:type="gramStart"/>
      <w:r w:rsidR="00855D33">
        <w:rPr>
          <w:rFonts w:ascii="Times New Roman" w:hAnsi="Times New Roman" w:cs="Times New Roman"/>
          <w:color w:val="0070C0"/>
          <w:sz w:val="24"/>
          <w:szCs w:val="24"/>
        </w:rPr>
        <w:t>cryptocurrencies</w:t>
      </w:r>
      <w:r w:rsidR="0038145B">
        <w:rPr>
          <w:rFonts w:ascii="Times New Roman" w:hAnsi="Times New Roman" w:cs="Times New Roman"/>
          <w:color w:val="0070C0"/>
          <w:sz w:val="24"/>
          <w:szCs w:val="24"/>
        </w:rPr>
        <w:t>, and</w:t>
      </w:r>
      <w:proofErr w:type="gramEnd"/>
      <w:r w:rsidR="0038145B">
        <w:rPr>
          <w:rFonts w:ascii="Times New Roman" w:hAnsi="Times New Roman" w:cs="Times New Roman"/>
          <w:color w:val="0070C0"/>
          <w:sz w:val="24"/>
          <w:szCs w:val="24"/>
        </w:rPr>
        <w:t xml:space="preserve"> inform to their local customers in case of any deficiency</w:t>
      </w:r>
      <w:r w:rsidR="00855D33">
        <w:rPr>
          <w:rFonts w:ascii="Times New Roman" w:hAnsi="Times New Roman" w:cs="Times New Roman"/>
          <w:color w:val="0070C0"/>
          <w:sz w:val="24"/>
          <w:szCs w:val="24"/>
        </w:rPr>
        <w:t xml:space="preserve">. </w:t>
      </w:r>
      <w:r w:rsidR="00C36674" w:rsidRPr="007A2F6B">
        <w:rPr>
          <w:rFonts w:ascii="Times New Roman" w:hAnsi="Times New Roman" w:cs="Times New Roman"/>
          <w:color w:val="0070C0"/>
          <w:sz w:val="24"/>
          <w:szCs w:val="24"/>
        </w:rPr>
        <w:t xml:space="preserve">Sharia boards and advisors should </w:t>
      </w:r>
      <w:proofErr w:type="gramStart"/>
      <w:r w:rsidR="00C36674" w:rsidRPr="007A2F6B">
        <w:rPr>
          <w:rFonts w:ascii="Times New Roman" w:hAnsi="Times New Roman" w:cs="Times New Roman"/>
          <w:color w:val="0070C0"/>
          <w:sz w:val="24"/>
          <w:szCs w:val="24"/>
        </w:rPr>
        <w:t>promote</w:t>
      </w:r>
      <w:proofErr w:type="gramEnd"/>
      <w:r w:rsidR="00C36674" w:rsidRPr="007A2F6B">
        <w:rPr>
          <w:rFonts w:ascii="Times New Roman" w:hAnsi="Times New Roman" w:cs="Times New Roman"/>
          <w:color w:val="0070C0"/>
          <w:sz w:val="24"/>
          <w:szCs w:val="24"/>
        </w:rPr>
        <w:t xml:space="preserve"> and design new </w:t>
      </w:r>
      <w:r w:rsidR="007A2F6B" w:rsidRPr="007A2F6B">
        <w:rPr>
          <w:rFonts w:ascii="Times New Roman" w:hAnsi="Times New Roman" w:cs="Times New Roman"/>
          <w:color w:val="0070C0"/>
          <w:sz w:val="24"/>
          <w:szCs w:val="24"/>
        </w:rPr>
        <w:t xml:space="preserve">standards and </w:t>
      </w:r>
      <w:r w:rsidR="00C36674" w:rsidRPr="007A2F6B">
        <w:rPr>
          <w:rFonts w:ascii="Times New Roman" w:hAnsi="Times New Roman" w:cs="Times New Roman"/>
          <w:color w:val="0070C0"/>
          <w:sz w:val="24"/>
          <w:szCs w:val="24"/>
        </w:rPr>
        <w:t xml:space="preserve">models of Islamic sharia based </w:t>
      </w:r>
      <w:proofErr w:type="spellStart"/>
      <w:r w:rsidR="00C36674" w:rsidRPr="007A2F6B">
        <w:rPr>
          <w:rFonts w:ascii="Times New Roman" w:hAnsi="Times New Roman" w:cs="Times New Roman"/>
          <w:color w:val="0070C0"/>
          <w:sz w:val="24"/>
          <w:szCs w:val="24"/>
        </w:rPr>
        <w:t>cryptocurrecies</w:t>
      </w:r>
      <w:proofErr w:type="spellEnd"/>
      <w:r w:rsidR="00C36674" w:rsidRPr="007A2F6B">
        <w:rPr>
          <w:rFonts w:ascii="Times New Roman" w:hAnsi="Times New Roman" w:cs="Times New Roman"/>
          <w:color w:val="0070C0"/>
          <w:sz w:val="24"/>
          <w:szCs w:val="24"/>
        </w:rPr>
        <w:t xml:space="preserve"> to expand the market size of Islamic Fintech</w:t>
      </w:r>
      <w:r w:rsidR="00283718">
        <w:rPr>
          <w:rFonts w:ascii="Times New Roman" w:hAnsi="Times New Roman" w:cs="Times New Roman"/>
          <w:color w:val="0070C0"/>
          <w:sz w:val="24"/>
          <w:szCs w:val="24"/>
        </w:rPr>
        <w:t>, as it has huge growth potential</w:t>
      </w:r>
      <w:r w:rsidR="00F364BE">
        <w:rPr>
          <w:rFonts w:ascii="Times New Roman" w:hAnsi="Times New Roman" w:cs="Times New Roman"/>
          <w:color w:val="0070C0"/>
          <w:sz w:val="24"/>
          <w:szCs w:val="24"/>
        </w:rPr>
        <w:t>.</w:t>
      </w:r>
      <w:r w:rsidR="007A2F6B" w:rsidRPr="007A2F6B">
        <w:rPr>
          <w:rFonts w:ascii="Times New Roman" w:hAnsi="Times New Roman" w:cs="Times New Roman"/>
          <w:color w:val="0070C0"/>
          <w:sz w:val="24"/>
          <w:szCs w:val="24"/>
        </w:rPr>
        <w:t xml:space="preserve"> </w:t>
      </w:r>
    </w:p>
    <w:p w14:paraId="3EEB046A" w14:textId="036E311D" w:rsidR="003664B7" w:rsidRPr="00556892" w:rsidRDefault="006C6D0C" w:rsidP="006B26B7">
      <w:pPr>
        <w:spacing w:line="360" w:lineRule="auto"/>
        <w:jc w:val="both"/>
        <w:rPr>
          <w:rFonts w:ascii="Times New Roman" w:hAnsi="Times New Roman" w:cs="Times New Roman"/>
          <w:color w:val="0070C0"/>
          <w:sz w:val="24"/>
          <w:szCs w:val="24"/>
        </w:rPr>
      </w:pPr>
      <w:r>
        <w:rPr>
          <w:rFonts w:ascii="Times New Roman" w:hAnsi="Times New Roman" w:cs="Times New Roman"/>
          <w:color w:val="0070C0"/>
          <w:sz w:val="24"/>
          <w:szCs w:val="24"/>
        </w:rPr>
        <w:lastRenderedPageBreak/>
        <w:t xml:space="preserve">Our study uses the data of only two major Islamic gold backed cryptocurrencies, whereas future studies are suggested to add Hellogold (Islamic gold backed cryptocurrency) in analysis. Moreover, our study only </w:t>
      </w:r>
      <w:proofErr w:type="gramStart"/>
      <w:r>
        <w:rPr>
          <w:rFonts w:ascii="Times New Roman" w:hAnsi="Times New Roman" w:cs="Times New Roman"/>
          <w:color w:val="0070C0"/>
          <w:sz w:val="24"/>
          <w:szCs w:val="24"/>
        </w:rPr>
        <w:t>explore</w:t>
      </w:r>
      <w:proofErr w:type="gramEnd"/>
      <w:r>
        <w:rPr>
          <w:rFonts w:ascii="Times New Roman" w:hAnsi="Times New Roman" w:cs="Times New Roman"/>
          <w:color w:val="0070C0"/>
          <w:sz w:val="24"/>
          <w:szCs w:val="24"/>
        </w:rPr>
        <w:t xml:space="preserve"> the effectiveness of Islamic gold backed cryptocurrencies against the Islamic equity sectors, whereas future studies can examine the effectiveness of Islamic gold backed cryptocurrencies against the other Islamic (i.e., Sukuk, </w:t>
      </w:r>
      <w:proofErr w:type="spellStart"/>
      <w:r>
        <w:rPr>
          <w:rFonts w:ascii="Times New Roman" w:hAnsi="Times New Roman" w:cs="Times New Roman"/>
          <w:color w:val="0070C0"/>
          <w:sz w:val="24"/>
          <w:szCs w:val="24"/>
        </w:rPr>
        <w:t>countrywise</w:t>
      </w:r>
      <w:proofErr w:type="spellEnd"/>
      <w:r>
        <w:rPr>
          <w:rFonts w:ascii="Times New Roman" w:hAnsi="Times New Roman" w:cs="Times New Roman"/>
          <w:color w:val="0070C0"/>
          <w:sz w:val="24"/>
          <w:szCs w:val="24"/>
        </w:rPr>
        <w:t xml:space="preserve"> Islamic equity indices) and </w:t>
      </w:r>
      <w:proofErr w:type="spellStart"/>
      <w:r>
        <w:rPr>
          <w:rFonts w:ascii="Times New Roman" w:hAnsi="Times New Roman" w:cs="Times New Roman"/>
          <w:color w:val="0070C0"/>
          <w:sz w:val="24"/>
          <w:szCs w:val="24"/>
        </w:rPr>
        <w:t>coneventional</w:t>
      </w:r>
      <w:proofErr w:type="spellEnd"/>
      <w:r>
        <w:rPr>
          <w:rFonts w:ascii="Times New Roman" w:hAnsi="Times New Roman" w:cs="Times New Roman"/>
          <w:color w:val="0070C0"/>
          <w:sz w:val="24"/>
          <w:szCs w:val="24"/>
        </w:rPr>
        <w:t xml:space="preserve"> markets (i.e., stocks, bonds, cryptocurrencies, commodities, real estate, among others). </w:t>
      </w:r>
    </w:p>
    <w:p w14:paraId="2D842661" w14:textId="77777777" w:rsidR="0065503E" w:rsidRDefault="0065503E" w:rsidP="006B26B7">
      <w:pPr>
        <w:spacing w:line="360" w:lineRule="auto"/>
        <w:jc w:val="both"/>
        <w:rPr>
          <w:rFonts w:ascii="Times New Roman" w:hAnsi="Times New Roman" w:cs="Times New Roman"/>
          <w:sz w:val="24"/>
          <w:szCs w:val="24"/>
        </w:rPr>
      </w:pPr>
    </w:p>
    <w:p w14:paraId="3BF4ED05" w14:textId="697BFE04" w:rsidR="001D0323" w:rsidRPr="001D0323" w:rsidRDefault="00DA1988" w:rsidP="00FD6733">
      <w:pPr>
        <w:spacing w:line="360" w:lineRule="auto"/>
        <w:jc w:val="both"/>
        <w:rPr>
          <w:rFonts w:ascii="Times New Roman" w:hAnsi="Times New Roman"/>
          <w:sz w:val="24"/>
          <w:szCs w:val="24"/>
        </w:rPr>
      </w:pPr>
      <w:r w:rsidRPr="00FB3C86">
        <w:rPr>
          <w:rFonts w:ascii="Times New Roman" w:hAnsi="Times New Roman" w:cs="Times New Roman"/>
          <w:b/>
          <w:bCs/>
          <w:sz w:val="28"/>
          <w:szCs w:val="28"/>
        </w:rPr>
        <w:t>References</w:t>
      </w:r>
    </w:p>
    <w:p w14:paraId="6782FF79" w14:textId="0C07348A" w:rsidR="008244CB" w:rsidRDefault="008244CB" w:rsidP="00244890">
      <w:pPr>
        <w:spacing w:line="360" w:lineRule="auto"/>
        <w:jc w:val="both"/>
        <w:rPr>
          <w:rFonts w:ascii="Times New Roman" w:hAnsi="Times New Roman" w:cs="Times New Roman"/>
          <w:color w:val="0070C0"/>
          <w:sz w:val="24"/>
          <w:szCs w:val="24"/>
          <w:shd w:val="clear" w:color="auto" w:fill="FFFFFF"/>
        </w:rPr>
      </w:pPr>
      <w:bookmarkStart w:id="13" w:name="_Hlk80955880"/>
      <w:r w:rsidRPr="008244CB">
        <w:rPr>
          <w:rFonts w:ascii="Times New Roman" w:hAnsi="Times New Roman" w:cs="Times New Roman"/>
          <w:color w:val="0070C0"/>
          <w:sz w:val="24"/>
          <w:szCs w:val="24"/>
          <w:shd w:val="clear" w:color="auto" w:fill="FFFFFF"/>
        </w:rPr>
        <w:t xml:space="preserve">Abubakar, M., Hassan, M. K., &amp; Haruna, M. A. (2019). Cryptocurrency tide and Islamic finance development: any issue? </w:t>
      </w:r>
      <w:r w:rsidRPr="008244CB">
        <w:rPr>
          <w:rFonts w:ascii="Times New Roman" w:hAnsi="Times New Roman" w:cs="Times New Roman"/>
          <w:i/>
          <w:iCs/>
          <w:color w:val="0070C0"/>
          <w:sz w:val="24"/>
          <w:szCs w:val="24"/>
          <w:shd w:val="clear" w:color="auto" w:fill="FFFFFF"/>
        </w:rPr>
        <w:t>Disruptive Innovation in Business and Finance in the Digital World.</w:t>
      </w:r>
      <w:r w:rsidRPr="008244CB">
        <w:rPr>
          <w:rFonts w:ascii="Times New Roman" w:hAnsi="Times New Roman" w:cs="Times New Roman"/>
          <w:color w:val="0070C0"/>
          <w:sz w:val="24"/>
          <w:szCs w:val="24"/>
          <w:shd w:val="clear" w:color="auto" w:fill="FFFFFF"/>
        </w:rPr>
        <w:t xml:space="preserve"> Emerald Publishing Limited.</w:t>
      </w:r>
    </w:p>
    <w:p w14:paraId="0D949C8D" w14:textId="5F0F42D0" w:rsidR="00244890" w:rsidRPr="00244890" w:rsidRDefault="00244890" w:rsidP="00244890">
      <w:pPr>
        <w:spacing w:line="360" w:lineRule="auto"/>
        <w:jc w:val="both"/>
        <w:rPr>
          <w:rFonts w:ascii="Times New Roman" w:hAnsi="Times New Roman" w:cs="Times New Roman"/>
          <w:color w:val="0070C0"/>
          <w:sz w:val="24"/>
          <w:szCs w:val="24"/>
        </w:rPr>
      </w:pPr>
      <w:r w:rsidRPr="00244890">
        <w:rPr>
          <w:rFonts w:ascii="Times New Roman" w:hAnsi="Times New Roman" w:cs="Times New Roman"/>
          <w:color w:val="0070C0"/>
          <w:sz w:val="24"/>
          <w:szCs w:val="24"/>
          <w:shd w:val="clear" w:color="auto" w:fill="FFFFFF"/>
        </w:rPr>
        <w:t>Adekoya</w:t>
      </w:r>
      <w:bookmarkEnd w:id="13"/>
      <w:r w:rsidRPr="00244890">
        <w:rPr>
          <w:rFonts w:ascii="Times New Roman" w:hAnsi="Times New Roman" w:cs="Times New Roman"/>
          <w:color w:val="0070C0"/>
          <w:sz w:val="24"/>
          <w:szCs w:val="24"/>
          <w:shd w:val="clear" w:color="auto" w:fill="FFFFFF"/>
        </w:rPr>
        <w:t xml:space="preserve">, O. B., </w:t>
      </w:r>
      <w:proofErr w:type="spellStart"/>
      <w:r w:rsidRPr="00244890">
        <w:rPr>
          <w:rFonts w:ascii="Times New Roman" w:hAnsi="Times New Roman" w:cs="Times New Roman"/>
          <w:color w:val="0070C0"/>
          <w:sz w:val="24"/>
          <w:szCs w:val="24"/>
          <w:shd w:val="clear" w:color="auto" w:fill="FFFFFF"/>
        </w:rPr>
        <w:t>Oliyide</w:t>
      </w:r>
      <w:proofErr w:type="spellEnd"/>
      <w:r w:rsidRPr="00244890">
        <w:rPr>
          <w:rFonts w:ascii="Times New Roman" w:hAnsi="Times New Roman" w:cs="Times New Roman"/>
          <w:color w:val="0070C0"/>
          <w:sz w:val="24"/>
          <w:szCs w:val="24"/>
          <w:shd w:val="clear" w:color="auto" w:fill="FFFFFF"/>
        </w:rPr>
        <w:t xml:space="preserve">, J. A., &amp; Tiwari, A. K. (2021). Risk transmissions between sectoral Islamic and conventional stock markets during COVID-19 pandemic: What matters more between actual COVID-19 occurrence and speculative and sentiment </w:t>
      </w:r>
      <w:proofErr w:type="gramStart"/>
      <w:r w:rsidRPr="00244890">
        <w:rPr>
          <w:rFonts w:ascii="Times New Roman" w:hAnsi="Times New Roman" w:cs="Times New Roman"/>
          <w:color w:val="0070C0"/>
          <w:sz w:val="24"/>
          <w:szCs w:val="24"/>
          <w:shd w:val="clear" w:color="auto" w:fill="FFFFFF"/>
        </w:rPr>
        <w:t>factors?.</w:t>
      </w:r>
      <w:proofErr w:type="gramEnd"/>
      <w:r w:rsidRPr="00244890">
        <w:rPr>
          <w:rFonts w:ascii="Times New Roman" w:hAnsi="Times New Roman" w:cs="Times New Roman"/>
          <w:color w:val="0070C0"/>
          <w:sz w:val="24"/>
          <w:szCs w:val="24"/>
          <w:shd w:val="clear" w:color="auto" w:fill="FFFFFF"/>
        </w:rPr>
        <w:t> </w:t>
      </w:r>
      <w:proofErr w:type="spellStart"/>
      <w:r w:rsidRPr="00244890">
        <w:rPr>
          <w:rFonts w:ascii="Times New Roman" w:hAnsi="Times New Roman" w:cs="Times New Roman"/>
          <w:i/>
          <w:iCs/>
          <w:color w:val="0070C0"/>
          <w:sz w:val="24"/>
          <w:szCs w:val="24"/>
          <w:shd w:val="clear" w:color="auto" w:fill="FFFFFF"/>
        </w:rPr>
        <w:t>Borsa</w:t>
      </w:r>
      <w:proofErr w:type="spellEnd"/>
      <w:r w:rsidRPr="00244890">
        <w:rPr>
          <w:rFonts w:ascii="Times New Roman" w:hAnsi="Times New Roman" w:cs="Times New Roman"/>
          <w:i/>
          <w:iCs/>
          <w:color w:val="0070C0"/>
          <w:sz w:val="24"/>
          <w:szCs w:val="24"/>
          <w:shd w:val="clear" w:color="auto" w:fill="FFFFFF"/>
        </w:rPr>
        <w:t xml:space="preserve"> Istanbul Review</w:t>
      </w:r>
      <w:r w:rsidRPr="00244890">
        <w:rPr>
          <w:rFonts w:ascii="Times New Roman" w:hAnsi="Times New Roman" w:cs="Times New Roman"/>
          <w:color w:val="0070C0"/>
          <w:sz w:val="24"/>
          <w:szCs w:val="24"/>
          <w:shd w:val="clear" w:color="auto" w:fill="FFFFFF"/>
        </w:rPr>
        <w:t>.</w:t>
      </w:r>
    </w:p>
    <w:p w14:paraId="19469156" w14:textId="7937C908" w:rsidR="00244890" w:rsidRDefault="00244890" w:rsidP="00AE345F">
      <w:pPr>
        <w:spacing w:before="240" w:after="0" w:line="360" w:lineRule="auto"/>
        <w:jc w:val="both"/>
        <w:rPr>
          <w:rFonts w:ascii="Times New Roman" w:hAnsi="Times New Roman" w:cs="Times New Roman"/>
          <w:sz w:val="24"/>
          <w:szCs w:val="24"/>
          <w:shd w:val="clear" w:color="auto" w:fill="FFFFFF"/>
        </w:rPr>
      </w:pPr>
      <w:bookmarkStart w:id="14" w:name="_Hlk66580699"/>
      <w:proofErr w:type="spellStart"/>
      <w:r w:rsidRPr="00AE345F">
        <w:rPr>
          <w:rFonts w:ascii="Times New Roman" w:hAnsi="Times New Roman" w:cs="Times New Roman"/>
          <w:sz w:val="24"/>
          <w:szCs w:val="24"/>
          <w:shd w:val="clear" w:color="auto" w:fill="FFFFFF"/>
        </w:rPr>
        <w:t>Alahouel</w:t>
      </w:r>
      <w:proofErr w:type="spellEnd"/>
      <w:r w:rsidRPr="00AE345F">
        <w:rPr>
          <w:rFonts w:ascii="Times New Roman" w:hAnsi="Times New Roman" w:cs="Times New Roman"/>
          <w:sz w:val="24"/>
          <w:szCs w:val="24"/>
          <w:shd w:val="clear" w:color="auto" w:fill="FFFFFF"/>
        </w:rPr>
        <w:t xml:space="preserve">, F., &amp; </w:t>
      </w:r>
      <w:proofErr w:type="spellStart"/>
      <w:r w:rsidRPr="00AE345F">
        <w:rPr>
          <w:rFonts w:ascii="Times New Roman" w:hAnsi="Times New Roman" w:cs="Times New Roman"/>
          <w:sz w:val="24"/>
          <w:szCs w:val="24"/>
          <w:shd w:val="clear" w:color="auto" w:fill="FFFFFF"/>
        </w:rPr>
        <w:t>Loukil</w:t>
      </w:r>
      <w:bookmarkEnd w:id="14"/>
      <w:proofErr w:type="spellEnd"/>
      <w:r w:rsidRPr="00AE345F">
        <w:rPr>
          <w:rFonts w:ascii="Times New Roman" w:hAnsi="Times New Roman" w:cs="Times New Roman"/>
          <w:sz w:val="24"/>
          <w:szCs w:val="24"/>
          <w:shd w:val="clear" w:color="auto" w:fill="FFFFFF"/>
        </w:rPr>
        <w:t xml:space="preserve">, N. (2021). Islamic stock-sukuk indexes' correlations: does financial uncertainty </w:t>
      </w:r>
      <w:proofErr w:type="gramStart"/>
      <w:r w:rsidRPr="00AE345F">
        <w:rPr>
          <w:rFonts w:ascii="Times New Roman" w:hAnsi="Times New Roman" w:cs="Times New Roman"/>
          <w:sz w:val="24"/>
          <w:szCs w:val="24"/>
          <w:shd w:val="clear" w:color="auto" w:fill="FFFFFF"/>
        </w:rPr>
        <w:t>matter?.</w:t>
      </w:r>
      <w:proofErr w:type="gramEnd"/>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International Journal of Emerging Markets</w:t>
      </w:r>
      <w:r w:rsidRPr="00AE345F">
        <w:rPr>
          <w:rFonts w:ascii="Times New Roman" w:hAnsi="Times New Roman" w:cs="Times New Roman"/>
          <w:sz w:val="24"/>
          <w:szCs w:val="24"/>
          <w:shd w:val="clear" w:color="auto" w:fill="FFFFFF"/>
        </w:rPr>
        <w:t>.</w:t>
      </w:r>
    </w:p>
    <w:p w14:paraId="6C282D2B" w14:textId="134B36FA" w:rsidR="008244CB" w:rsidRPr="008244CB" w:rsidRDefault="008244CB" w:rsidP="008244CB">
      <w:pPr>
        <w:spacing w:line="360" w:lineRule="auto"/>
        <w:jc w:val="both"/>
        <w:rPr>
          <w:rFonts w:ascii="Times New Roman" w:hAnsi="Times New Roman" w:cs="Times New Roman"/>
          <w:color w:val="0070C0"/>
          <w:sz w:val="24"/>
          <w:szCs w:val="24"/>
          <w:shd w:val="clear" w:color="auto" w:fill="FFFFFF"/>
        </w:rPr>
      </w:pPr>
      <w:proofErr w:type="spellStart"/>
      <w:r w:rsidRPr="008244CB">
        <w:rPr>
          <w:rFonts w:ascii="Times New Roman" w:hAnsi="Times New Roman" w:cs="Times New Roman"/>
          <w:color w:val="0070C0"/>
          <w:sz w:val="24"/>
          <w:szCs w:val="24"/>
          <w:shd w:val="clear" w:color="auto" w:fill="FFFFFF"/>
        </w:rPr>
        <w:t>Alam</w:t>
      </w:r>
      <w:proofErr w:type="spellEnd"/>
      <w:r w:rsidRPr="008244CB">
        <w:rPr>
          <w:rFonts w:ascii="Times New Roman" w:hAnsi="Times New Roman" w:cs="Times New Roman"/>
          <w:color w:val="0070C0"/>
          <w:sz w:val="24"/>
          <w:szCs w:val="24"/>
          <w:shd w:val="clear" w:color="auto" w:fill="FFFFFF"/>
        </w:rPr>
        <w:t xml:space="preserve">, N., Gupta, L., &amp; </w:t>
      </w:r>
      <w:proofErr w:type="spellStart"/>
      <w:r w:rsidRPr="008244CB">
        <w:rPr>
          <w:rFonts w:ascii="Times New Roman" w:hAnsi="Times New Roman" w:cs="Times New Roman"/>
          <w:color w:val="0070C0"/>
          <w:sz w:val="24"/>
          <w:szCs w:val="24"/>
          <w:shd w:val="clear" w:color="auto" w:fill="FFFFFF"/>
        </w:rPr>
        <w:t>Zameni</w:t>
      </w:r>
      <w:proofErr w:type="spellEnd"/>
      <w:r w:rsidRPr="008244CB">
        <w:rPr>
          <w:rFonts w:ascii="Times New Roman" w:hAnsi="Times New Roman" w:cs="Times New Roman"/>
          <w:color w:val="0070C0"/>
          <w:sz w:val="24"/>
          <w:szCs w:val="24"/>
          <w:shd w:val="clear" w:color="auto" w:fill="FFFFFF"/>
        </w:rPr>
        <w:t xml:space="preserve">, A. (2019). Cryptocurrency and Islamic Finance. </w:t>
      </w:r>
      <w:r w:rsidRPr="008244CB">
        <w:rPr>
          <w:rFonts w:ascii="Times New Roman" w:hAnsi="Times New Roman" w:cs="Times New Roman"/>
          <w:i/>
          <w:iCs/>
          <w:color w:val="0070C0"/>
          <w:sz w:val="24"/>
          <w:szCs w:val="24"/>
          <w:shd w:val="clear" w:color="auto" w:fill="FFFFFF"/>
        </w:rPr>
        <w:t>Fintech and Islamic Finance (</w:t>
      </w:r>
      <w:r w:rsidRPr="008244CB">
        <w:rPr>
          <w:rFonts w:ascii="Times New Roman" w:hAnsi="Times New Roman" w:cs="Times New Roman"/>
          <w:color w:val="0070C0"/>
          <w:sz w:val="24"/>
          <w:szCs w:val="24"/>
          <w:shd w:val="clear" w:color="auto" w:fill="FFFFFF"/>
        </w:rPr>
        <w:t>pp. 99-118). Palgrave Macmillan, Cham.</w:t>
      </w:r>
    </w:p>
    <w:p w14:paraId="434247FD"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r w:rsidRPr="00244890">
        <w:rPr>
          <w:rFonts w:ascii="Times New Roman" w:hAnsi="Times New Roman" w:cs="Times New Roman"/>
          <w:color w:val="0070C0"/>
          <w:sz w:val="24"/>
          <w:szCs w:val="24"/>
          <w:shd w:val="clear" w:color="auto" w:fill="FFFFFF"/>
        </w:rPr>
        <w:t xml:space="preserve">Ali, F., Jiang, Y., &amp; </w:t>
      </w:r>
      <w:proofErr w:type="spellStart"/>
      <w:r w:rsidRPr="00244890">
        <w:rPr>
          <w:rFonts w:ascii="Times New Roman" w:hAnsi="Times New Roman" w:cs="Times New Roman"/>
          <w:color w:val="0070C0"/>
          <w:sz w:val="24"/>
          <w:szCs w:val="24"/>
          <w:shd w:val="clear" w:color="auto" w:fill="FFFFFF"/>
        </w:rPr>
        <w:t>Sensoy</w:t>
      </w:r>
      <w:proofErr w:type="spellEnd"/>
      <w:r w:rsidRPr="00244890">
        <w:rPr>
          <w:rFonts w:ascii="Times New Roman" w:hAnsi="Times New Roman" w:cs="Times New Roman"/>
          <w:color w:val="0070C0"/>
          <w:sz w:val="24"/>
          <w:szCs w:val="24"/>
          <w:shd w:val="clear" w:color="auto" w:fill="FFFFFF"/>
        </w:rPr>
        <w:t>, A. (2021). Downside risk in Dow Jones Islamic equity indices: Precious metals and portfolio diversification before and after the COVID-19 bear market. </w:t>
      </w:r>
      <w:r w:rsidRPr="00244890">
        <w:rPr>
          <w:rFonts w:ascii="Times New Roman" w:hAnsi="Times New Roman" w:cs="Times New Roman"/>
          <w:i/>
          <w:iCs/>
          <w:color w:val="0070C0"/>
          <w:sz w:val="24"/>
          <w:szCs w:val="24"/>
          <w:shd w:val="clear" w:color="auto" w:fill="FFFFFF"/>
        </w:rPr>
        <w:t>Research in International Business and Finance</w:t>
      </w:r>
      <w:r w:rsidRPr="00244890">
        <w:rPr>
          <w:rFonts w:ascii="Times New Roman" w:hAnsi="Times New Roman" w:cs="Times New Roman"/>
          <w:color w:val="0070C0"/>
          <w:sz w:val="24"/>
          <w:szCs w:val="24"/>
          <w:shd w:val="clear" w:color="auto" w:fill="FFFFFF"/>
        </w:rPr>
        <w:t>, 101502.</w:t>
      </w:r>
    </w:p>
    <w:p w14:paraId="60D09424" w14:textId="77777777" w:rsidR="00244890" w:rsidRDefault="00244890" w:rsidP="00AE345F">
      <w:pPr>
        <w:spacing w:before="240" w:after="0" w:line="360" w:lineRule="auto"/>
        <w:jc w:val="both"/>
        <w:rPr>
          <w:rFonts w:ascii="Times New Roman" w:hAnsi="Times New Roman" w:cs="Times New Roman"/>
          <w:sz w:val="24"/>
          <w:szCs w:val="24"/>
          <w:shd w:val="clear" w:color="auto" w:fill="FFFFFF"/>
        </w:rPr>
      </w:pPr>
      <w:proofErr w:type="spellStart"/>
      <w:r w:rsidRPr="00187D50">
        <w:rPr>
          <w:rFonts w:ascii="Times New Roman" w:hAnsi="Times New Roman" w:cs="Times New Roman"/>
          <w:sz w:val="24"/>
          <w:szCs w:val="24"/>
          <w:shd w:val="clear" w:color="auto" w:fill="FFFFFF"/>
        </w:rPr>
        <w:t>Aloui</w:t>
      </w:r>
      <w:proofErr w:type="spellEnd"/>
      <w:r w:rsidRPr="00187D50">
        <w:rPr>
          <w:rFonts w:ascii="Times New Roman" w:hAnsi="Times New Roman" w:cs="Times New Roman"/>
          <w:sz w:val="24"/>
          <w:szCs w:val="24"/>
          <w:shd w:val="clear" w:color="auto" w:fill="FFFFFF"/>
        </w:rPr>
        <w:t xml:space="preserve">, C., ben Hamida, H., &amp; Yarovaya, L. (2021). Are Islamic gold-backed cryptocurrencies </w:t>
      </w:r>
      <w:proofErr w:type="gramStart"/>
      <w:r w:rsidRPr="00187D50">
        <w:rPr>
          <w:rFonts w:ascii="Times New Roman" w:hAnsi="Times New Roman" w:cs="Times New Roman"/>
          <w:sz w:val="24"/>
          <w:szCs w:val="24"/>
          <w:shd w:val="clear" w:color="auto" w:fill="FFFFFF"/>
        </w:rPr>
        <w:t>different?.</w:t>
      </w:r>
      <w:proofErr w:type="gramEnd"/>
      <w:r w:rsidRPr="00187D50">
        <w:rPr>
          <w:rFonts w:ascii="Times New Roman" w:hAnsi="Times New Roman" w:cs="Times New Roman"/>
          <w:sz w:val="24"/>
          <w:szCs w:val="24"/>
          <w:shd w:val="clear" w:color="auto" w:fill="FFFFFF"/>
        </w:rPr>
        <w:t> </w:t>
      </w:r>
      <w:r w:rsidRPr="00187D50">
        <w:rPr>
          <w:rFonts w:ascii="Times New Roman" w:hAnsi="Times New Roman" w:cs="Times New Roman"/>
          <w:i/>
          <w:iCs/>
          <w:sz w:val="24"/>
          <w:szCs w:val="24"/>
          <w:shd w:val="clear" w:color="auto" w:fill="FFFFFF"/>
        </w:rPr>
        <w:t>Finance Research Letters</w:t>
      </w:r>
      <w:r w:rsidRPr="00187D50">
        <w:rPr>
          <w:rFonts w:ascii="Times New Roman" w:hAnsi="Times New Roman" w:cs="Times New Roman"/>
          <w:sz w:val="24"/>
          <w:szCs w:val="24"/>
          <w:shd w:val="clear" w:color="auto" w:fill="FFFFFF"/>
        </w:rPr>
        <w:t>, </w:t>
      </w:r>
      <w:r w:rsidRPr="00187D50">
        <w:rPr>
          <w:rFonts w:ascii="Times New Roman" w:hAnsi="Times New Roman" w:cs="Times New Roman"/>
          <w:i/>
          <w:iCs/>
          <w:sz w:val="24"/>
          <w:szCs w:val="24"/>
          <w:shd w:val="clear" w:color="auto" w:fill="FFFFFF"/>
        </w:rPr>
        <w:t>39</w:t>
      </w:r>
      <w:r w:rsidRPr="00187D50">
        <w:rPr>
          <w:rFonts w:ascii="Times New Roman" w:hAnsi="Times New Roman" w:cs="Times New Roman"/>
          <w:sz w:val="24"/>
          <w:szCs w:val="24"/>
          <w:shd w:val="clear" w:color="auto" w:fill="FFFFFF"/>
        </w:rPr>
        <w:t>, 101615.</w:t>
      </w:r>
    </w:p>
    <w:p w14:paraId="3CD0241C" w14:textId="77777777" w:rsidR="00244890" w:rsidRPr="00AE345F" w:rsidRDefault="00244890" w:rsidP="00AE345F">
      <w:pPr>
        <w:spacing w:before="240" w:after="0" w:line="360" w:lineRule="auto"/>
        <w:jc w:val="both"/>
        <w:rPr>
          <w:rFonts w:ascii="Times New Roman" w:hAnsi="Times New Roman" w:cs="Times New Roman"/>
          <w:sz w:val="24"/>
          <w:szCs w:val="24"/>
        </w:rPr>
      </w:pPr>
      <w:proofErr w:type="spellStart"/>
      <w:r w:rsidRPr="00AE345F">
        <w:rPr>
          <w:rFonts w:ascii="Times New Roman" w:hAnsi="Times New Roman" w:cs="Times New Roman"/>
          <w:sz w:val="24"/>
          <w:szCs w:val="24"/>
          <w:shd w:val="clear" w:color="auto" w:fill="FFFFFF"/>
        </w:rPr>
        <w:t>Aloui</w:t>
      </w:r>
      <w:proofErr w:type="spellEnd"/>
      <w:r w:rsidRPr="00AE345F">
        <w:rPr>
          <w:rFonts w:ascii="Times New Roman" w:hAnsi="Times New Roman" w:cs="Times New Roman"/>
          <w:sz w:val="24"/>
          <w:szCs w:val="24"/>
          <w:shd w:val="clear" w:color="auto" w:fill="FFFFFF"/>
        </w:rPr>
        <w:t xml:space="preserve">, C., </w:t>
      </w:r>
      <w:proofErr w:type="spellStart"/>
      <w:r w:rsidRPr="00AE345F">
        <w:rPr>
          <w:rFonts w:ascii="Times New Roman" w:hAnsi="Times New Roman" w:cs="Times New Roman"/>
          <w:sz w:val="24"/>
          <w:szCs w:val="24"/>
          <w:shd w:val="clear" w:color="auto" w:fill="FFFFFF"/>
        </w:rPr>
        <w:t>Hammoudeh</w:t>
      </w:r>
      <w:proofErr w:type="spellEnd"/>
      <w:r w:rsidRPr="00AE345F">
        <w:rPr>
          <w:rFonts w:ascii="Times New Roman" w:hAnsi="Times New Roman" w:cs="Times New Roman"/>
          <w:sz w:val="24"/>
          <w:szCs w:val="24"/>
          <w:shd w:val="clear" w:color="auto" w:fill="FFFFFF"/>
        </w:rPr>
        <w:t>, S., &amp; Hamida, H. B. (2015). Price discovery and regime shift behavior in the relationship between sharia stocks and sukuk: A two-state Markov switching analysis.</w:t>
      </w:r>
      <w:r>
        <w:rPr>
          <w:rFonts w:ascii="Times New Roman" w:hAnsi="Times New Roman" w:cs="Times New Roman"/>
          <w:sz w:val="24"/>
          <w:szCs w:val="24"/>
          <w:shd w:val="clear" w:color="auto" w:fill="FFFFFF"/>
        </w:rPr>
        <w:t xml:space="preserve"> </w:t>
      </w:r>
      <w:r w:rsidRPr="00AE345F">
        <w:rPr>
          <w:rFonts w:ascii="Times New Roman" w:hAnsi="Times New Roman" w:cs="Times New Roman"/>
          <w:i/>
          <w:iCs/>
          <w:sz w:val="24"/>
          <w:szCs w:val="24"/>
          <w:shd w:val="clear" w:color="auto" w:fill="FFFFFF"/>
        </w:rPr>
        <w:t>Pacific-Basin Finance Journal</w:t>
      </w:r>
      <w:r w:rsidRPr="00AE345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AE345F">
        <w:rPr>
          <w:rFonts w:ascii="Times New Roman" w:hAnsi="Times New Roman" w:cs="Times New Roman"/>
          <w:i/>
          <w:iCs/>
          <w:sz w:val="24"/>
          <w:szCs w:val="24"/>
          <w:shd w:val="clear" w:color="auto" w:fill="FFFFFF"/>
        </w:rPr>
        <w:t>34</w:t>
      </w:r>
      <w:r w:rsidRPr="00AE345F">
        <w:rPr>
          <w:rFonts w:ascii="Times New Roman" w:hAnsi="Times New Roman" w:cs="Times New Roman"/>
          <w:sz w:val="24"/>
          <w:szCs w:val="24"/>
          <w:shd w:val="clear" w:color="auto" w:fill="FFFFFF"/>
        </w:rPr>
        <w:t>, 121-135.</w:t>
      </w:r>
    </w:p>
    <w:p w14:paraId="180629C1"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bookmarkStart w:id="15" w:name="_Hlk80948668"/>
      <w:r w:rsidRPr="00244890">
        <w:rPr>
          <w:rFonts w:ascii="Times New Roman" w:hAnsi="Times New Roman" w:cs="Times New Roman"/>
          <w:color w:val="0070C0"/>
          <w:sz w:val="24"/>
          <w:szCs w:val="24"/>
          <w:shd w:val="clear" w:color="auto" w:fill="FFFFFF"/>
        </w:rPr>
        <w:lastRenderedPageBreak/>
        <w:t>Al-</w:t>
      </w:r>
      <w:proofErr w:type="spellStart"/>
      <w:r w:rsidRPr="00244890">
        <w:rPr>
          <w:rFonts w:ascii="Times New Roman" w:hAnsi="Times New Roman" w:cs="Times New Roman"/>
          <w:color w:val="0070C0"/>
          <w:sz w:val="24"/>
          <w:szCs w:val="24"/>
          <w:shd w:val="clear" w:color="auto" w:fill="FFFFFF"/>
        </w:rPr>
        <w:t>Yahyaee</w:t>
      </w:r>
      <w:bookmarkEnd w:id="15"/>
      <w:proofErr w:type="spellEnd"/>
      <w:r w:rsidRPr="00244890">
        <w:rPr>
          <w:rFonts w:ascii="Times New Roman" w:hAnsi="Times New Roman" w:cs="Times New Roman"/>
          <w:color w:val="0070C0"/>
          <w:sz w:val="24"/>
          <w:szCs w:val="24"/>
          <w:shd w:val="clear" w:color="auto" w:fill="FFFFFF"/>
        </w:rPr>
        <w:t xml:space="preserve">, K. H., </w:t>
      </w:r>
      <w:proofErr w:type="spellStart"/>
      <w:r w:rsidRPr="00244890">
        <w:rPr>
          <w:rFonts w:ascii="Times New Roman" w:hAnsi="Times New Roman" w:cs="Times New Roman"/>
          <w:color w:val="0070C0"/>
          <w:sz w:val="24"/>
          <w:szCs w:val="24"/>
          <w:shd w:val="clear" w:color="auto" w:fill="FFFFFF"/>
        </w:rPr>
        <w:t>Mensi</w:t>
      </w:r>
      <w:proofErr w:type="spellEnd"/>
      <w:r w:rsidRPr="00244890">
        <w:rPr>
          <w:rFonts w:ascii="Times New Roman" w:hAnsi="Times New Roman" w:cs="Times New Roman"/>
          <w:color w:val="0070C0"/>
          <w:sz w:val="24"/>
          <w:szCs w:val="24"/>
          <w:shd w:val="clear" w:color="auto" w:fill="FFFFFF"/>
        </w:rPr>
        <w:t>, W., Rehman, M. U., Vo, X. V., &amp; Kang, S. H. (2020). Do Islamic stocks outperform conventional stock sectors during normal and crisis periods? Extreme co-movements and portfolio management analysis. </w:t>
      </w:r>
      <w:r w:rsidRPr="00244890">
        <w:rPr>
          <w:rFonts w:ascii="Times New Roman" w:hAnsi="Times New Roman" w:cs="Times New Roman"/>
          <w:i/>
          <w:iCs/>
          <w:color w:val="0070C0"/>
          <w:sz w:val="24"/>
          <w:szCs w:val="24"/>
          <w:shd w:val="clear" w:color="auto" w:fill="FFFFFF"/>
        </w:rPr>
        <w:t>Pacific-Basin Finance Journal</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62</w:t>
      </w:r>
      <w:r w:rsidRPr="00244890">
        <w:rPr>
          <w:rFonts w:ascii="Times New Roman" w:hAnsi="Times New Roman" w:cs="Times New Roman"/>
          <w:color w:val="0070C0"/>
          <w:sz w:val="24"/>
          <w:szCs w:val="24"/>
          <w:shd w:val="clear" w:color="auto" w:fill="FFFFFF"/>
        </w:rPr>
        <w:t>, 101385.</w:t>
      </w:r>
    </w:p>
    <w:p w14:paraId="2944AC04" w14:textId="77777777" w:rsidR="00244890" w:rsidRPr="00AE345F" w:rsidRDefault="00244890" w:rsidP="00AE345F">
      <w:pPr>
        <w:pStyle w:val="pf0"/>
        <w:spacing w:before="240" w:beforeAutospacing="0" w:after="0" w:afterAutospacing="0" w:line="360" w:lineRule="auto"/>
        <w:jc w:val="both"/>
      </w:pPr>
      <w:proofErr w:type="spellStart"/>
      <w:r w:rsidRPr="00AE345F">
        <w:rPr>
          <w:rStyle w:val="cf01"/>
          <w:rFonts w:ascii="Times New Roman" w:hAnsi="Times New Roman" w:cs="Times New Roman"/>
          <w:sz w:val="24"/>
          <w:szCs w:val="24"/>
        </w:rPr>
        <w:t>Arner</w:t>
      </w:r>
      <w:proofErr w:type="spellEnd"/>
      <w:r w:rsidRPr="00AE345F">
        <w:rPr>
          <w:rStyle w:val="cf01"/>
          <w:rFonts w:ascii="Times New Roman" w:hAnsi="Times New Roman" w:cs="Times New Roman"/>
          <w:sz w:val="24"/>
          <w:szCs w:val="24"/>
        </w:rPr>
        <w:t>, D., Auer, R., &amp; Frost, J. (2020). Stablecoins: risks, potential and regulation, BIS Working.</w:t>
      </w:r>
    </w:p>
    <w:p w14:paraId="4A87EE05" w14:textId="64312C06" w:rsidR="00244890" w:rsidRDefault="00244890" w:rsidP="00AE345F">
      <w:pPr>
        <w:spacing w:before="240" w:after="0" w:line="360" w:lineRule="auto"/>
        <w:jc w:val="both"/>
        <w:rPr>
          <w:rFonts w:ascii="Times New Roman" w:hAnsi="Times New Roman" w:cs="Times New Roman"/>
          <w:sz w:val="24"/>
          <w:szCs w:val="24"/>
          <w:shd w:val="clear" w:color="auto" w:fill="FFFFFF"/>
        </w:rPr>
      </w:pPr>
      <w:r w:rsidRPr="00AE345F">
        <w:rPr>
          <w:rFonts w:ascii="Times New Roman" w:hAnsi="Times New Roman" w:cs="Times New Roman"/>
          <w:sz w:val="24"/>
          <w:szCs w:val="24"/>
          <w:shd w:val="clear" w:color="auto" w:fill="FFFFFF"/>
        </w:rPr>
        <w:t>Ashraf, B. N. (2020). Economic impact of government interventions during the COVID-19 pandemic: International evidence from financial markets.</w:t>
      </w:r>
      <w:r>
        <w:rPr>
          <w:rFonts w:ascii="Times New Roman" w:hAnsi="Times New Roman" w:cs="Times New Roman"/>
          <w:sz w:val="24"/>
          <w:szCs w:val="24"/>
          <w:shd w:val="clear" w:color="auto" w:fill="FFFFFF"/>
        </w:rPr>
        <w:t xml:space="preserve"> </w:t>
      </w:r>
      <w:r w:rsidRPr="00AE345F">
        <w:rPr>
          <w:rFonts w:ascii="Times New Roman" w:hAnsi="Times New Roman" w:cs="Times New Roman"/>
          <w:i/>
          <w:iCs/>
          <w:sz w:val="24"/>
          <w:szCs w:val="24"/>
          <w:shd w:val="clear" w:color="auto" w:fill="FFFFFF"/>
        </w:rPr>
        <w:t>Journal of behavioral and experimental finance</w:t>
      </w:r>
      <w:r w:rsidRPr="00AE345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AE345F">
        <w:rPr>
          <w:rFonts w:ascii="Times New Roman" w:hAnsi="Times New Roman" w:cs="Times New Roman"/>
          <w:i/>
          <w:iCs/>
          <w:sz w:val="24"/>
          <w:szCs w:val="24"/>
          <w:shd w:val="clear" w:color="auto" w:fill="FFFFFF"/>
        </w:rPr>
        <w:t>27</w:t>
      </w:r>
      <w:r w:rsidRPr="00AE345F">
        <w:rPr>
          <w:rFonts w:ascii="Times New Roman" w:hAnsi="Times New Roman" w:cs="Times New Roman"/>
          <w:sz w:val="24"/>
          <w:szCs w:val="24"/>
          <w:shd w:val="clear" w:color="auto" w:fill="FFFFFF"/>
        </w:rPr>
        <w:t>, 100371.</w:t>
      </w:r>
    </w:p>
    <w:p w14:paraId="4A9A2D25" w14:textId="003DB4FA" w:rsidR="008244CB" w:rsidRPr="008244CB" w:rsidRDefault="008244CB" w:rsidP="00244890">
      <w:pPr>
        <w:spacing w:line="360" w:lineRule="auto"/>
        <w:jc w:val="both"/>
        <w:rPr>
          <w:rFonts w:ascii="Times New Roman" w:hAnsi="Times New Roman" w:cs="Times New Roman"/>
          <w:i/>
          <w:iCs/>
          <w:color w:val="0070C0"/>
          <w:sz w:val="24"/>
          <w:szCs w:val="24"/>
          <w:shd w:val="clear" w:color="auto" w:fill="FFFFFF"/>
        </w:rPr>
      </w:pPr>
      <w:proofErr w:type="spellStart"/>
      <w:r w:rsidRPr="008244CB">
        <w:rPr>
          <w:rFonts w:ascii="Times New Roman" w:hAnsi="Times New Roman" w:cs="Times New Roman"/>
          <w:color w:val="0070C0"/>
          <w:sz w:val="24"/>
          <w:szCs w:val="24"/>
          <w:shd w:val="clear" w:color="auto" w:fill="FFFFFF"/>
        </w:rPr>
        <w:t>Ayedh</w:t>
      </w:r>
      <w:proofErr w:type="spellEnd"/>
      <w:r w:rsidRPr="008244CB">
        <w:rPr>
          <w:rFonts w:ascii="Times New Roman" w:hAnsi="Times New Roman" w:cs="Times New Roman"/>
          <w:color w:val="0070C0"/>
          <w:sz w:val="24"/>
          <w:szCs w:val="24"/>
          <w:shd w:val="clear" w:color="auto" w:fill="FFFFFF"/>
        </w:rPr>
        <w:t xml:space="preserve">, A., </w:t>
      </w:r>
      <w:proofErr w:type="spellStart"/>
      <w:r w:rsidRPr="008244CB">
        <w:rPr>
          <w:rFonts w:ascii="Times New Roman" w:hAnsi="Times New Roman" w:cs="Times New Roman"/>
          <w:color w:val="0070C0"/>
          <w:sz w:val="24"/>
          <w:szCs w:val="24"/>
          <w:shd w:val="clear" w:color="auto" w:fill="FFFFFF"/>
        </w:rPr>
        <w:t>Echchabi</w:t>
      </w:r>
      <w:proofErr w:type="spellEnd"/>
      <w:r w:rsidRPr="008244CB">
        <w:rPr>
          <w:rFonts w:ascii="Times New Roman" w:hAnsi="Times New Roman" w:cs="Times New Roman"/>
          <w:color w:val="0070C0"/>
          <w:sz w:val="24"/>
          <w:szCs w:val="24"/>
          <w:shd w:val="clear" w:color="auto" w:fill="FFFFFF"/>
        </w:rPr>
        <w:t xml:space="preserve">, A., </w:t>
      </w:r>
      <w:proofErr w:type="spellStart"/>
      <w:r w:rsidRPr="008244CB">
        <w:rPr>
          <w:rFonts w:ascii="Times New Roman" w:hAnsi="Times New Roman" w:cs="Times New Roman"/>
          <w:color w:val="0070C0"/>
          <w:sz w:val="24"/>
          <w:szCs w:val="24"/>
          <w:shd w:val="clear" w:color="auto" w:fill="FFFFFF"/>
        </w:rPr>
        <w:t>Battour</w:t>
      </w:r>
      <w:proofErr w:type="spellEnd"/>
      <w:r w:rsidRPr="008244CB">
        <w:rPr>
          <w:rFonts w:ascii="Times New Roman" w:hAnsi="Times New Roman" w:cs="Times New Roman"/>
          <w:color w:val="0070C0"/>
          <w:sz w:val="24"/>
          <w:szCs w:val="24"/>
          <w:shd w:val="clear" w:color="auto" w:fill="FFFFFF"/>
        </w:rPr>
        <w:t xml:space="preserve">, M., &amp; Omar, M. (2020). Malaysian Muslim investors’ </w:t>
      </w:r>
      <w:proofErr w:type="spellStart"/>
      <w:r w:rsidRPr="008244CB">
        <w:rPr>
          <w:rFonts w:ascii="Times New Roman" w:hAnsi="Times New Roman" w:cs="Times New Roman"/>
          <w:color w:val="0070C0"/>
          <w:sz w:val="24"/>
          <w:szCs w:val="24"/>
          <w:shd w:val="clear" w:color="auto" w:fill="FFFFFF"/>
        </w:rPr>
        <w:t>behaviour</w:t>
      </w:r>
      <w:proofErr w:type="spellEnd"/>
      <w:r w:rsidRPr="008244CB">
        <w:rPr>
          <w:rFonts w:ascii="Times New Roman" w:hAnsi="Times New Roman" w:cs="Times New Roman"/>
          <w:color w:val="0070C0"/>
          <w:sz w:val="24"/>
          <w:szCs w:val="24"/>
          <w:shd w:val="clear" w:color="auto" w:fill="FFFFFF"/>
        </w:rPr>
        <w:t xml:space="preserve"> towards the blockchain-based Bitcoin cryptocurrency market. </w:t>
      </w:r>
      <w:r w:rsidRPr="008244CB">
        <w:rPr>
          <w:rFonts w:ascii="Times New Roman" w:hAnsi="Times New Roman" w:cs="Times New Roman"/>
          <w:i/>
          <w:iCs/>
          <w:color w:val="0070C0"/>
          <w:sz w:val="24"/>
          <w:szCs w:val="24"/>
          <w:shd w:val="clear" w:color="auto" w:fill="FFFFFF"/>
        </w:rPr>
        <w:t>Journal of Islamic Marketing.</w:t>
      </w:r>
      <w:bookmarkStart w:id="16" w:name="_Hlk80955950"/>
    </w:p>
    <w:p w14:paraId="520D8BB2" w14:textId="77777777" w:rsidR="008244CB" w:rsidRDefault="008244CB" w:rsidP="00244890">
      <w:pPr>
        <w:spacing w:line="360" w:lineRule="auto"/>
        <w:jc w:val="both"/>
        <w:rPr>
          <w:rFonts w:ascii="Times New Roman" w:hAnsi="Times New Roman" w:cs="Times New Roman"/>
          <w:color w:val="0070C0"/>
          <w:sz w:val="24"/>
          <w:szCs w:val="24"/>
          <w:shd w:val="clear" w:color="auto" w:fill="FFFFFF"/>
        </w:rPr>
      </w:pPr>
    </w:p>
    <w:p w14:paraId="5BC3041D" w14:textId="78CFAC2F" w:rsidR="00244890" w:rsidRPr="008244CB" w:rsidRDefault="00244890" w:rsidP="00244890">
      <w:pPr>
        <w:spacing w:line="360" w:lineRule="auto"/>
        <w:jc w:val="both"/>
        <w:rPr>
          <w:rFonts w:ascii="Times New Roman" w:hAnsi="Times New Roman" w:cs="Times New Roman"/>
          <w:color w:val="0070C0"/>
          <w:sz w:val="24"/>
          <w:szCs w:val="24"/>
          <w:shd w:val="clear" w:color="auto" w:fill="FFFFFF"/>
        </w:rPr>
      </w:pPr>
      <w:proofErr w:type="spellStart"/>
      <w:r w:rsidRPr="00244890">
        <w:rPr>
          <w:rFonts w:ascii="Times New Roman" w:hAnsi="Times New Roman" w:cs="Times New Roman"/>
          <w:color w:val="0070C0"/>
          <w:sz w:val="24"/>
          <w:szCs w:val="24"/>
          <w:shd w:val="clear" w:color="auto" w:fill="FFFFFF"/>
        </w:rPr>
        <w:t>Bahloul</w:t>
      </w:r>
      <w:proofErr w:type="spellEnd"/>
      <w:r w:rsidRPr="00244890">
        <w:rPr>
          <w:rFonts w:ascii="Times New Roman" w:hAnsi="Times New Roman" w:cs="Times New Roman"/>
          <w:color w:val="0070C0"/>
          <w:sz w:val="24"/>
          <w:szCs w:val="24"/>
          <w:shd w:val="clear" w:color="auto" w:fill="FFFFFF"/>
        </w:rPr>
        <w:t xml:space="preserve">, S., &amp; </w:t>
      </w:r>
      <w:proofErr w:type="spellStart"/>
      <w:r w:rsidRPr="00244890">
        <w:rPr>
          <w:rFonts w:ascii="Times New Roman" w:hAnsi="Times New Roman" w:cs="Times New Roman"/>
          <w:color w:val="0070C0"/>
          <w:sz w:val="24"/>
          <w:szCs w:val="24"/>
          <w:shd w:val="clear" w:color="auto" w:fill="FFFFFF"/>
        </w:rPr>
        <w:t>Khemakhem</w:t>
      </w:r>
      <w:bookmarkEnd w:id="16"/>
      <w:proofErr w:type="spellEnd"/>
      <w:r w:rsidRPr="00244890">
        <w:rPr>
          <w:rFonts w:ascii="Times New Roman" w:hAnsi="Times New Roman" w:cs="Times New Roman"/>
          <w:color w:val="0070C0"/>
          <w:sz w:val="24"/>
          <w:szCs w:val="24"/>
          <w:shd w:val="clear" w:color="auto" w:fill="FFFFFF"/>
        </w:rPr>
        <w:t>, I. (2021). Dynamic return and volatility connectedness between commodities and Islamic stock market indices. </w:t>
      </w:r>
      <w:r w:rsidRPr="00244890">
        <w:rPr>
          <w:rFonts w:ascii="Times New Roman" w:hAnsi="Times New Roman" w:cs="Times New Roman"/>
          <w:i/>
          <w:iCs/>
          <w:color w:val="0070C0"/>
          <w:sz w:val="24"/>
          <w:szCs w:val="24"/>
          <w:shd w:val="clear" w:color="auto" w:fill="FFFFFF"/>
        </w:rPr>
        <w:t>Resources Policy</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71</w:t>
      </w:r>
      <w:r w:rsidRPr="00244890">
        <w:rPr>
          <w:rFonts w:ascii="Times New Roman" w:hAnsi="Times New Roman" w:cs="Times New Roman"/>
          <w:color w:val="0070C0"/>
          <w:sz w:val="24"/>
          <w:szCs w:val="24"/>
          <w:shd w:val="clear" w:color="auto" w:fill="FFFFFF"/>
        </w:rPr>
        <w:t>, 101993.</w:t>
      </w:r>
    </w:p>
    <w:p w14:paraId="6381C59E" w14:textId="77777777" w:rsidR="00244890" w:rsidRPr="00AE345F" w:rsidRDefault="00244890" w:rsidP="00AE345F">
      <w:pPr>
        <w:spacing w:before="240" w:after="0" w:line="360" w:lineRule="auto"/>
        <w:jc w:val="both"/>
        <w:rPr>
          <w:rFonts w:ascii="Times New Roman" w:hAnsi="Times New Roman" w:cs="Times New Roman"/>
          <w:sz w:val="24"/>
          <w:szCs w:val="24"/>
          <w:shd w:val="clear" w:color="auto" w:fill="FFFFFF"/>
        </w:rPr>
      </w:pPr>
      <w:r w:rsidRPr="00AE345F">
        <w:rPr>
          <w:rFonts w:ascii="Times New Roman" w:hAnsi="Times New Roman" w:cs="Times New Roman"/>
          <w:sz w:val="24"/>
          <w:szCs w:val="24"/>
          <w:shd w:val="clear" w:color="auto" w:fill="FFFFFF"/>
        </w:rPr>
        <w:t xml:space="preserve">Baker, S. R., Bloom, N., Davis, S. J., </w:t>
      </w:r>
      <w:proofErr w:type="spellStart"/>
      <w:r w:rsidRPr="00AE345F">
        <w:rPr>
          <w:rFonts w:ascii="Times New Roman" w:hAnsi="Times New Roman" w:cs="Times New Roman"/>
          <w:sz w:val="24"/>
          <w:szCs w:val="24"/>
          <w:shd w:val="clear" w:color="auto" w:fill="FFFFFF"/>
        </w:rPr>
        <w:t>Kost</w:t>
      </w:r>
      <w:proofErr w:type="spellEnd"/>
      <w:r w:rsidRPr="00AE345F">
        <w:rPr>
          <w:rFonts w:ascii="Times New Roman" w:hAnsi="Times New Roman" w:cs="Times New Roman"/>
          <w:sz w:val="24"/>
          <w:szCs w:val="24"/>
          <w:shd w:val="clear" w:color="auto" w:fill="FFFFFF"/>
        </w:rPr>
        <w:t xml:space="preserve">, K., </w:t>
      </w:r>
      <w:proofErr w:type="spellStart"/>
      <w:r w:rsidRPr="00AE345F">
        <w:rPr>
          <w:rFonts w:ascii="Times New Roman" w:hAnsi="Times New Roman" w:cs="Times New Roman"/>
          <w:sz w:val="24"/>
          <w:szCs w:val="24"/>
          <w:shd w:val="clear" w:color="auto" w:fill="FFFFFF"/>
        </w:rPr>
        <w:t>Sammon</w:t>
      </w:r>
      <w:proofErr w:type="spellEnd"/>
      <w:r w:rsidRPr="00AE345F">
        <w:rPr>
          <w:rFonts w:ascii="Times New Roman" w:hAnsi="Times New Roman" w:cs="Times New Roman"/>
          <w:sz w:val="24"/>
          <w:szCs w:val="24"/>
          <w:shd w:val="clear" w:color="auto" w:fill="FFFFFF"/>
        </w:rPr>
        <w:t xml:space="preserve">, M., &amp; </w:t>
      </w:r>
      <w:proofErr w:type="spellStart"/>
      <w:r w:rsidRPr="00AE345F">
        <w:rPr>
          <w:rFonts w:ascii="Times New Roman" w:hAnsi="Times New Roman" w:cs="Times New Roman"/>
          <w:sz w:val="24"/>
          <w:szCs w:val="24"/>
          <w:shd w:val="clear" w:color="auto" w:fill="FFFFFF"/>
        </w:rPr>
        <w:t>Viratyosin</w:t>
      </w:r>
      <w:proofErr w:type="spellEnd"/>
      <w:r w:rsidRPr="00AE345F">
        <w:rPr>
          <w:rFonts w:ascii="Times New Roman" w:hAnsi="Times New Roman" w:cs="Times New Roman"/>
          <w:sz w:val="24"/>
          <w:szCs w:val="24"/>
          <w:shd w:val="clear" w:color="auto" w:fill="FFFFFF"/>
        </w:rPr>
        <w:t>, T. (2020). The unprecedented stock market reaction to COVID-19. </w:t>
      </w:r>
      <w:r w:rsidRPr="00AE345F">
        <w:rPr>
          <w:rFonts w:ascii="Times New Roman" w:hAnsi="Times New Roman" w:cs="Times New Roman"/>
          <w:i/>
          <w:iCs/>
          <w:sz w:val="24"/>
          <w:szCs w:val="24"/>
          <w:shd w:val="clear" w:color="auto" w:fill="FFFFFF"/>
        </w:rPr>
        <w:t>The Review of Asset Pricing Studies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10</w:t>
      </w:r>
      <w:r w:rsidRPr="00AE345F">
        <w:rPr>
          <w:rFonts w:ascii="Times New Roman" w:hAnsi="Times New Roman" w:cs="Times New Roman"/>
          <w:sz w:val="24"/>
          <w:szCs w:val="24"/>
          <w:shd w:val="clear" w:color="auto" w:fill="FFFFFF"/>
        </w:rPr>
        <w:t>(4), 742-758.</w:t>
      </w:r>
    </w:p>
    <w:p w14:paraId="04872C9F"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bookmarkStart w:id="17" w:name="_Hlk80946529"/>
      <w:r w:rsidRPr="00244890">
        <w:rPr>
          <w:rFonts w:ascii="Times New Roman" w:hAnsi="Times New Roman" w:cs="Times New Roman"/>
          <w:color w:val="0070C0"/>
          <w:sz w:val="24"/>
          <w:szCs w:val="24"/>
          <w:shd w:val="clear" w:color="auto" w:fill="FFFFFF"/>
        </w:rPr>
        <w:t>Baur, D. G., &amp; McDermott, T. K. (2010)</w:t>
      </w:r>
      <w:bookmarkEnd w:id="17"/>
      <w:r w:rsidRPr="00244890">
        <w:rPr>
          <w:rFonts w:ascii="Times New Roman" w:hAnsi="Times New Roman" w:cs="Times New Roman"/>
          <w:color w:val="0070C0"/>
          <w:sz w:val="24"/>
          <w:szCs w:val="24"/>
          <w:shd w:val="clear" w:color="auto" w:fill="FFFFFF"/>
        </w:rPr>
        <w:t xml:space="preserve">. Is gold </w:t>
      </w:r>
      <w:proofErr w:type="gramStart"/>
      <w:r w:rsidRPr="00244890">
        <w:rPr>
          <w:rFonts w:ascii="Times New Roman" w:hAnsi="Times New Roman" w:cs="Times New Roman"/>
          <w:color w:val="0070C0"/>
          <w:sz w:val="24"/>
          <w:szCs w:val="24"/>
          <w:shd w:val="clear" w:color="auto" w:fill="FFFFFF"/>
        </w:rPr>
        <w:t>a safe haven</w:t>
      </w:r>
      <w:proofErr w:type="gramEnd"/>
      <w:r w:rsidRPr="00244890">
        <w:rPr>
          <w:rFonts w:ascii="Times New Roman" w:hAnsi="Times New Roman" w:cs="Times New Roman"/>
          <w:color w:val="0070C0"/>
          <w:sz w:val="24"/>
          <w:szCs w:val="24"/>
          <w:shd w:val="clear" w:color="auto" w:fill="FFFFFF"/>
        </w:rPr>
        <w:t>? International evidence. </w:t>
      </w:r>
      <w:r w:rsidRPr="00244890">
        <w:rPr>
          <w:rFonts w:ascii="Times New Roman" w:hAnsi="Times New Roman" w:cs="Times New Roman"/>
          <w:i/>
          <w:iCs/>
          <w:color w:val="0070C0"/>
          <w:sz w:val="24"/>
          <w:szCs w:val="24"/>
          <w:shd w:val="clear" w:color="auto" w:fill="FFFFFF"/>
        </w:rPr>
        <w:t>Journal of Banking &amp; Finance</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34</w:t>
      </w:r>
      <w:r w:rsidRPr="00244890">
        <w:rPr>
          <w:rFonts w:ascii="Times New Roman" w:hAnsi="Times New Roman" w:cs="Times New Roman"/>
          <w:color w:val="0070C0"/>
          <w:sz w:val="24"/>
          <w:szCs w:val="24"/>
          <w:shd w:val="clear" w:color="auto" w:fill="FFFFFF"/>
        </w:rPr>
        <w:t>(8), 1886-1898.</w:t>
      </w:r>
    </w:p>
    <w:p w14:paraId="50C78AA8"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r w:rsidRPr="00244890">
        <w:rPr>
          <w:rFonts w:ascii="Times New Roman" w:hAnsi="Times New Roman" w:cs="Times New Roman"/>
          <w:color w:val="0070C0"/>
          <w:sz w:val="24"/>
          <w:szCs w:val="24"/>
          <w:shd w:val="clear" w:color="auto" w:fill="FFFFFF"/>
        </w:rPr>
        <w:t xml:space="preserve">Bredin, D., Conlon, T., &amp; </w:t>
      </w:r>
      <w:proofErr w:type="spellStart"/>
      <w:r w:rsidRPr="00244890">
        <w:rPr>
          <w:rFonts w:ascii="Times New Roman" w:hAnsi="Times New Roman" w:cs="Times New Roman"/>
          <w:color w:val="0070C0"/>
          <w:sz w:val="24"/>
          <w:szCs w:val="24"/>
          <w:shd w:val="clear" w:color="auto" w:fill="FFFFFF"/>
        </w:rPr>
        <w:t>Potì</w:t>
      </w:r>
      <w:proofErr w:type="spellEnd"/>
      <w:r w:rsidRPr="00244890">
        <w:rPr>
          <w:rFonts w:ascii="Times New Roman" w:hAnsi="Times New Roman" w:cs="Times New Roman"/>
          <w:color w:val="0070C0"/>
          <w:sz w:val="24"/>
          <w:szCs w:val="24"/>
          <w:shd w:val="clear" w:color="auto" w:fill="FFFFFF"/>
        </w:rPr>
        <w:t xml:space="preserve">, V. (2015). Does gold glitter in the </w:t>
      </w:r>
      <w:proofErr w:type="gramStart"/>
      <w:r w:rsidRPr="00244890">
        <w:rPr>
          <w:rFonts w:ascii="Times New Roman" w:hAnsi="Times New Roman" w:cs="Times New Roman"/>
          <w:color w:val="0070C0"/>
          <w:sz w:val="24"/>
          <w:szCs w:val="24"/>
          <w:shd w:val="clear" w:color="auto" w:fill="FFFFFF"/>
        </w:rPr>
        <w:t>long-run</w:t>
      </w:r>
      <w:proofErr w:type="gramEnd"/>
      <w:r w:rsidRPr="00244890">
        <w:rPr>
          <w:rFonts w:ascii="Times New Roman" w:hAnsi="Times New Roman" w:cs="Times New Roman"/>
          <w:color w:val="0070C0"/>
          <w:sz w:val="24"/>
          <w:szCs w:val="24"/>
          <w:shd w:val="clear" w:color="auto" w:fill="FFFFFF"/>
        </w:rPr>
        <w:t xml:space="preserve">? Gold as a hedge and </w:t>
      </w:r>
      <w:proofErr w:type="gramStart"/>
      <w:r w:rsidRPr="00244890">
        <w:rPr>
          <w:rFonts w:ascii="Times New Roman" w:hAnsi="Times New Roman" w:cs="Times New Roman"/>
          <w:color w:val="0070C0"/>
          <w:sz w:val="24"/>
          <w:szCs w:val="24"/>
          <w:shd w:val="clear" w:color="auto" w:fill="FFFFFF"/>
        </w:rPr>
        <w:t>safe haven</w:t>
      </w:r>
      <w:proofErr w:type="gramEnd"/>
      <w:r w:rsidRPr="00244890">
        <w:rPr>
          <w:rFonts w:ascii="Times New Roman" w:hAnsi="Times New Roman" w:cs="Times New Roman"/>
          <w:color w:val="0070C0"/>
          <w:sz w:val="24"/>
          <w:szCs w:val="24"/>
          <w:shd w:val="clear" w:color="auto" w:fill="FFFFFF"/>
        </w:rPr>
        <w:t xml:space="preserve"> across time and investment horizon. </w:t>
      </w:r>
      <w:r w:rsidRPr="00244890">
        <w:rPr>
          <w:rFonts w:ascii="Times New Roman" w:hAnsi="Times New Roman" w:cs="Times New Roman"/>
          <w:i/>
          <w:iCs/>
          <w:color w:val="0070C0"/>
          <w:sz w:val="24"/>
          <w:szCs w:val="24"/>
          <w:shd w:val="clear" w:color="auto" w:fill="FFFFFF"/>
        </w:rPr>
        <w:t>International Review of Financial Analysis</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41</w:t>
      </w:r>
      <w:r w:rsidRPr="00244890">
        <w:rPr>
          <w:rFonts w:ascii="Times New Roman" w:hAnsi="Times New Roman" w:cs="Times New Roman"/>
          <w:color w:val="0070C0"/>
          <w:sz w:val="24"/>
          <w:szCs w:val="24"/>
          <w:shd w:val="clear" w:color="auto" w:fill="FFFFFF"/>
        </w:rPr>
        <w:t>, 320-328.</w:t>
      </w:r>
    </w:p>
    <w:p w14:paraId="121F2008" w14:textId="77777777" w:rsidR="00244890" w:rsidRPr="00AE345F" w:rsidRDefault="00244890" w:rsidP="00AE345F">
      <w:pPr>
        <w:spacing w:before="240" w:after="0" w:line="360" w:lineRule="auto"/>
        <w:jc w:val="both"/>
        <w:rPr>
          <w:rFonts w:ascii="Times New Roman" w:hAnsi="Times New Roman" w:cs="Times New Roman"/>
          <w:b/>
          <w:bCs/>
          <w:sz w:val="24"/>
          <w:szCs w:val="24"/>
        </w:rPr>
      </w:pPr>
      <w:proofErr w:type="spellStart"/>
      <w:r w:rsidRPr="00AE345F">
        <w:rPr>
          <w:rFonts w:ascii="Times New Roman" w:hAnsi="Times New Roman" w:cs="Times New Roman"/>
          <w:sz w:val="24"/>
          <w:szCs w:val="24"/>
          <w:shd w:val="clear" w:color="auto" w:fill="FFFFFF"/>
        </w:rPr>
        <w:t>Bugan</w:t>
      </w:r>
      <w:proofErr w:type="spellEnd"/>
      <w:r w:rsidRPr="00AE345F">
        <w:rPr>
          <w:rFonts w:ascii="Times New Roman" w:hAnsi="Times New Roman" w:cs="Times New Roman"/>
          <w:sz w:val="24"/>
          <w:szCs w:val="24"/>
          <w:shd w:val="clear" w:color="auto" w:fill="FFFFFF"/>
        </w:rPr>
        <w:t xml:space="preserve">, M. F., </w:t>
      </w:r>
      <w:proofErr w:type="spellStart"/>
      <w:r w:rsidRPr="00AE345F">
        <w:rPr>
          <w:rFonts w:ascii="Times New Roman" w:hAnsi="Times New Roman" w:cs="Times New Roman"/>
          <w:sz w:val="24"/>
          <w:szCs w:val="24"/>
          <w:shd w:val="clear" w:color="auto" w:fill="FFFFFF"/>
        </w:rPr>
        <w:t>Cevik</w:t>
      </w:r>
      <w:proofErr w:type="spellEnd"/>
      <w:r w:rsidRPr="00AE345F">
        <w:rPr>
          <w:rFonts w:ascii="Times New Roman" w:hAnsi="Times New Roman" w:cs="Times New Roman"/>
          <w:sz w:val="24"/>
          <w:szCs w:val="24"/>
          <w:shd w:val="clear" w:color="auto" w:fill="FFFFFF"/>
        </w:rPr>
        <w:t xml:space="preserve">, E. I., &amp; </w:t>
      </w:r>
      <w:proofErr w:type="spellStart"/>
      <w:r w:rsidRPr="00AE345F">
        <w:rPr>
          <w:rFonts w:ascii="Times New Roman" w:hAnsi="Times New Roman" w:cs="Times New Roman"/>
          <w:sz w:val="24"/>
          <w:szCs w:val="24"/>
          <w:shd w:val="clear" w:color="auto" w:fill="FFFFFF"/>
        </w:rPr>
        <w:t>Dibooglu</w:t>
      </w:r>
      <w:proofErr w:type="spellEnd"/>
      <w:r w:rsidRPr="00AE345F">
        <w:rPr>
          <w:rFonts w:ascii="Times New Roman" w:hAnsi="Times New Roman" w:cs="Times New Roman"/>
          <w:sz w:val="24"/>
          <w:szCs w:val="24"/>
          <w:shd w:val="clear" w:color="auto" w:fill="FFFFFF"/>
        </w:rPr>
        <w:t>, S. (2021). Emerging market portfolios and Islamic financial markets: Diversification benefits and safe havens.</w:t>
      </w:r>
      <w:r>
        <w:rPr>
          <w:rFonts w:ascii="Times New Roman" w:hAnsi="Times New Roman" w:cs="Times New Roman"/>
          <w:sz w:val="24"/>
          <w:szCs w:val="24"/>
          <w:shd w:val="clear" w:color="auto" w:fill="FFFFFF"/>
        </w:rPr>
        <w:t xml:space="preserve"> </w:t>
      </w:r>
      <w:proofErr w:type="spellStart"/>
      <w:r w:rsidRPr="00AE345F">
        <w:rPr>
          <w:rFonts w:ascii="Times New Roman" w:hAnsi="Times New Roman" w:cs="Times New Roman"/>
          <w:i/>
          <w:iCs/>
          <w:sz w:val="24"/>
          <w:szCs w:val="24"/>
          <w:shd w:val="clear" w:color="auto" w:fill="FFFFFF"/>
        </w:rPr>
        <w:t>Borsa</w:t>
      </w:r>
      <w:proofErr w:type="spellEnd"/>
      <w:r w:rsidRPr="00AE345F">
        <w:rPr>
          <w:rFonts w:ascii="Times New Roman" w:hAnsi="Times New Roman" w:cs="Times New Roman"/>
          <w:i/>
          <w:iCs/>
          <w:sz w:val="24"/>
          <w:szCs w:val="24"/>
          <w:shd w:val="clear" w:color="auto" w:fill="FFFFFF"/>
        </w:rPr>
        <w:t xml:space="preserve"> Istanbul Review</w:t>
      </w:r>
      <w:r w:rsidRPr="00AE345F">
        <w:rPr>
          <w:rFonts w:ascii="Times New Roman" w:hAnsi="Times New Roman" w:cs="Times New Roman"/>
          <w:sz w:val="24"/>
          <w:szCs w:val="24"/>
          <w:shd w:val="clear" w:color="auto" w:fill="FFFFFF"/>
        </w:rPr>
        <w:t>.</w:t>
      </w:r>
    </w:p>
    <w:p w14:paraId="4F1C93F2"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bookmarkStart w:id="18" w:name="_Hlk81038901"/>
      <w:proofErr w:type="spellStart"/>
      <w:r w:rsidRPr="00244890">
        <w:rPr>
          <w:rFonts w:ascii="Times New Roman" w:hAnsi="Times New Roman" w:cs="Times New Roman"/>
          <w:color w:val="0070C0"/>
          <w:sz w:val="24"/>
          <w:szCs w:val="24"/>
          <w:shd w:val="clear" w:color="auto" w:fill="FFFFFF"/>
        </w:rPr>
        <w:t>Chkili</w:t>
      </w:r>
      <w:proofErr w:type="spellEnd"/>
      <w:r w:rsidRPr="00244890">
        <w:rPr>
          <w:rFonts w:ascii="Times New Roman" w:hAnsi="Times New Roman" w:cs="Times New Roman"/>
          <w:color w:val="0070C0"/>
          <w:sz w:val="24"/>
          <w:szCs w:val="24"/>
          <w:shd w:val="clear" w:color="auto" w:fill="FFFFFF"/>
        </w:rPr>
        <w:t>, W., &amp; Hamdi, M. (2021</w:t>
      </w:r>
      <w:bookmarkEnd w:id="18"/>
      <w:r w:rsidRPr="00244890">
        <w:rPr>
          <w:rFonts w:ascii="Times New Roman" w:hAnsi="Times New Roman" w:cs="Times New Roman"/>
          <w:color w:val="0070C0"/>
          <w:sz w:val="24"/>
          <w:szCs w:val="24"/>
          <w:shd w:val="clear" w:color="auto" w:fill="FFFFFF"/>
        </w:rPr>
        <w:t xml:space="preserve">). An artificial neural network augmented GARCH model for Islamic stock market volatility: Do asymmetry and long memory </w:t>
      </w:r>
      <w:proofErr w:type="gramStart"/>
      <w:r w:rsidRPr="00244890">
        <w:rPr>
          <w:rFonts w:ascii="Times New Roman" w:hAnsi="Times New Roman" w:cs="Times New Roman"/>
          <w:color w:val="0070C0"/>
          <w:sz w:val="24"/>
          <w:szCs w:val="24"/>
          <w:shd w:val="clear" w:color="auto" w:fill="FFFFFF"/>
        </w:rPr>
        <w:t>matter?.</w:t>
      </w:r>
      <w:proofErr w:type="gramEnd"/>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International Journal of Islamic and Middle Eastern Finance and Management</w:t>
      </w:r>
      <w:r w:rsidRPr="00244890">
        <w:rPr>
          <w:rFonts w:ascii="Times New Roman" w:hAnsi="Times New Roman" w:cs="Times New Roman"/>
          <w:color w:val="0070C0"/>
          <w:sz w:val="24"/>
          <w:szCs w:val="24"/>
          <w:shd w:val="clear" w:color="auto" w:fill="FFFFFF"/>
        </w:rPr>
        <w:t>.</w:t>
      </w:r>
    </w:p>
    <w:p w14:paraId="166477DE" w14:textId="77777777" w:rsidR="00244890" w:rsidRPr="00244890" w:rsidRDefault="00244890" w:rsidP="00244890">
      <w:pPr>
        <w:pStyle w:val="MDPI31text"/>
        <w:spacing w:line="360" w:lineRule="auto"/>
        <w:ind w:firstLine="0"/>
        <w:rPr>
          <w:rFonts w:ascii="Times New Roman" w:hAnsi="Times New Roman"/>
          <w:color w:val="0070C0"/>
          <w:sz w:val="24"/>
          <w:szCs w:val="24"/>
          <w:shd w:val="clear" w:color="auto" w:fill="FFFFFF"/>
        </w:rPr>
      </w:pPr>
      <w:proofErr w:type="spellStart"/>
      <w:r w:rsidRPr="00244890">
        <w:rPr>
          <w:rFonts w:ascii="Times New Roman" w:hAnsi="Times New Roman"/>
          <w:color w:val="0070C0"/>
          <w:sz w:val="24"/>
          <w:szCs w:val="24"/>
          <w:shd w:val="clear" w:color="auto" w:fill="FFFFFF"/>
        </w:rPr>
        <w:t>Chng</w:t>
      </w:r>
      <w:proofErr w:type="spellEnd"/>
      <w:r w:rsidRPr="00244890">
        <w:rPr>
          <w:rFonts w:ascii="Times New Roman" w:hAnsi="Times New Roman"/>
          <w:color w:val="0070C0"/>
          <w:sz w:val="24"/>
          <w:szCs w:val="24"/>
          <w:shd w:val="clear" w:color="auto" w:fill="FFFFFF"/>
        </w:rPr>
        <w:t>, M. T. (2009). Economic linkages across commodity futures: Hedging and trading implications. </w:t>
      </w:r>
      <w:r w:rsidRPr="00244890">
        <w:rPr>
          <w:rFonts w:ascii="Times New Roman" w:hAnsi="Times New Roman"/>
          <w:i/>
          <w:iCs/>
          <w:color w:val="0070C0"/>
          <w:sz w:val="24"/>
          <w:szCs w:val="24"/>
          <w:shd w:val="clear" w:color="auto" w:fill="FFFFFF"/>
        </w:rPr>
        <w:t>Journal of Banking &amp; Finance</w:t>
      </w:r>
      <w:r w:rsidRPr="00244890">
        <w:rPr>
          <w:rFonts w:ascii="Times New Roman" w:hAnsi="Times New Roman"/>
          <w:color w:val="0070C0"/>
          <w:sz w:val="24"/>
          <w:szCs w:val="24"/>
          <w:shd w:val="clear" w:color="auto" w:fill="FFFFFF"/>
        </w:rPr>
        <w:t>, </w:t>
      </w:r>
      <w:r w:rsidRPr="00244890">
        <w:rPr>
          <w:rFonts w:ascii="Times New Roman" w:hAnsi="Times New Roman"/>
          <w:i/>
          <w:iCs/>
          <w:color w:val="0070C0"/>
          <w:sz w:val="24"/>
          <w:szCs w:val="24"/>
          <w:shd w:val="clear" w:color="auto" w:fill="FFFFFF"/>
        </w:rPr>
        <w:t>33</w:t>
      </w:r>
      <w:r w:rsidRPr="00244890">
        <w:rPr>
          <w:rFonts w:ascii="Times New Roman" w:hAnsi="Times New Roman"/>
          <w:color w:val="0070C0"/>
          <w:sz w:val="24"/>
          <w:szCs w:val="24"/>
          <w:shd w:val="clear" w:color="auto" w:fill="FFFFFF"/>
        </w:rPr>
        <w:t>(5), 958-970.</w:t>
      </w:r>
    </w:p>
    <w:p w14:paraId="27574808" w14:textId="77777777" w:rsidR="00244890" w:rsidRPr="00AE345F" w:rsidRDefault="00244890" w:rsidP="00AE345F">
      <w:pPr>
        <w:spacing w:before="240" w:after="0" w:line="360" w:lineRule="auto"/>
        <w:jc w:val="both"/>
        <w:rPr>
          <w:rFonts w:ascii="Times New Roman" w:hAnsi="Times New Roman" w:cs="Times New Roman"/>
          <w:sz w:val="24"/>
          <w:szCs w:val="24"/>
          <w:shd w:val="clear" w:color="auto" w:fill="FFFFFF"/>
        </w:rPr>
      </w:pPr>
      <w:bookmarkStart w:id="19" w:name="_Hlk69420431"/>
      <w:r w:rsidRPr="00AE345F">
        <w:rPr>
          <w:rFonts w:ascii="Times New Roman" w:hAnsi="Times New Roman" w:cs="Times New Roman"/>
          <w:sz w:val="24"/>
          <w:szCs w:val="24"/>
          <w:shd w:val="clear" w:color="auto" w:fill="FFFFFF"/>
        </w:rPr>
        <w:lastRenderedPageBreak/>
        <w:t>Chowdhury</w:t>
      </w:r>
      <w:bookmarkEnd w:id="19"/>
      <w:r w:rsidRPr="00AE345F">
        <w:rPr>
          <w:rFonts w:ascii="Times New Roman" w:hAnsi="Times New Roman" w:cs="Times New Roman"/>
          <w:sz w:val="24"/>
          <w:szCs w:val="24"/>
          <w:shd w:val="clear" w:color="auto" w:fill="FFFFFF"/>
        </w:rPr>
        <w:t xml:space="preserve">, M. I. H., </w:t>
      </w:r>
      <w:proofErr w:type="spellStart"/>
      <w:r w:rsidRPr="00AE345F">
        <w:rPr>
          <w:rFonts w:ascii="Times New Roman" w:hAnsi="Times New Roman" w:cs="Times New Roman"/>
          <w:sz w:val="24"/>
          <w:szCs w:val="24"/>
          <w:shd w:val="clear" w:color="auto" w:fill="FFFFFF"/>
        </w:rPr>
        <w:t>Balli</w:t>
      </w:r>
      <w:proofErr w:type="spellEnd"/>
      <w:r w:rsidRPr="00AE345F">
        <w:rPr>
          <w:rFonts w:ascii="Times New Roman" w:hAnsi="Times New Roman" w:cs="Times New Roman"/>
          <w:sz w:val="24"/>
          <w:szCs w:val="24"/>
          <w:shd w:val="clear" w:color="auto" w:fill="FFFFFF"/>
        </w:rPr>
        <w:t>, F., &amp; de Bruin, A. (2021). Islamic equity markets versus their conventional counterparts in the COVID‐19 age: Reaction, resilience, and recovery.</w:t>
      </w:r>
      <w:r>
        <w:rPr>
          <w:rFonts w:ascii="Times New Roman" w:hAnsi="Times New Roman" w:cs="Times New Roman"/>
          <w:sz w:val="24"/>
          <w:szCs w:val="24"/>
          <w:shd w:val="clear" w:color="auto" w:fill="FFFFFF"/>
        </w:rPr>
        <w:t xml:space="preserve"> </w:t>
      </w:r>
      <w:r w:rsidRPr="00AE345F">
        <w:rPr>
          <w:rFonts w:ascii="Times New Roman" w:hAnsi="Times New Roman" w:cs="Times New Roman"/>
          <w:i/>
          <w:iCs/>
          <w:sz w:val="24"/>
          <w:szCs w:val="24"/>
          <w:shd w:val="clear" w:color="auto" w:fill="FFFFFF"/>
        </w:rPr>
        <w:t>International Review of Finance</w:t>
      </w:r>
      <w:r w:rsidRPr="00AE345F">
        <w:rPr>
          <w:rFonts w:ascii="Times New Roman" w:hAnsi="Times New Roman" w:cs="Times New Roman"/>
          <w:sz w:val="24"/>
          <w:szCs w:val="24"/>
          <w:shd w:val="clear" w:color="auto" w:fill="FFFFFF"/>
        </w:rPr>
        <w:t>.</w:t>
      </w:r>
    </w:p>
    <w:p w14:paraId="5A732037" w14:textId="77777777" w:rsidR="00244890" w:rsidRPr="00AE345F" w:rsidRDefault="00244890" w:rsidP="00AE345F">
      <w:pPr>
        <w:spacing w:before="240" w:after="0" w:line="360" w:lineRule="auto"/>
        <w:jc w:val="both"/>
        <w:rPr>
          <w:rFonts w:ascii="Times New Roman" w:hAnsi="Times New Roman" w:cs="Times New Roman"/>
          <w:sz w:val="24"/>
          <w:szCs w:val="24"/>
        </w:rPr>
      </w:pPr>
      <w:r w:rsidRPr="00AE345F">
        <w:rPr>
          <w:rFonts w:ascii="Times New Roman" w:hAnsi="Times New Roman" w:cs="Times New Roman"/>
          <w:sz w:val="24"/>
          <w:szCs w:val="24"/>
          <w:shd w:val="clear" w:color="auto" w:fill="FFFFFF"/>
        </w:rPr>
        <w:t xml:space="preserve">Conlon, T., Corbet, S., &amp; McGee, R. J. (2020). Are cryptocurrencies </w:t>
      </w:r>
      <w:proofErr w:type="gramStart"/>
      <w:r w:rsidRPr="00AE345F">
        <w:rPr>
          <w:rFonts w:ascii="Times New Roman" w:hAnsi="Times New Roman" w:cs="Times New Roman"/>
          <w:sz w:val="24"/>
          <w:szCs w:val="24"/>
          <w:shd w:val="clear" w:color="auto" w:fill="FFFFFF"/>
        </w:rPr>
        <w:t>a safe haven</w:t>
      </w:r>
      <w:proofErr w:type="gramEnd"/>
      <w:r w:rsidRPr="00AE345F">
        <w:rPr>
          <w:rFonts w:ascii="Times New Roman" w:hAnsi="Times New Roman" w:cs="Times New Roman"/>
          <w:sz w:val="24"/>
          <w:szCs w:val="24"/>
          <w:shd w:val="clear" w:color="auto" w:fill="FFFFFF"/>
        </w:rPr>
        <w:t xml:space="preserve"> for equity markets? An international perspective from the COVID-19 pandemic. </w:t>
      </w:r>
      <w:r w:rsidRPr="00AE345F">
        <w:rPr>
          <w:rFonts w:ascii="Times New Roman" w:hAnsi="Times New Roman" w:cs="Times New Roman"/>
          <w:i/>
          <w:iCs/>
          <w:sz w:val="24"/>
          <w:szCs w:val="24"/>
          <w:shd w:val="clear" w:color="auto" w:fill="FFFFFF"/>
        </w:rPr>
        <w:t>Research in International Business and Finance</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54</w:t>
      </w:r>
      <w:r w:rsidRPr="00AE345F">
        <w:rPr>
          <w:rFonts w:ascii="Times New Roman" w:hAnsi="Times New Roman" w:cs="Times New Roman"/>
          <w:sz w:val="24"/>
          <w:szCs w:val="24"/>
          <w:shd w:val="clear" w:color="auto" w:fill="FFFFFF"/>
        </w:rPr>
        <w:t>, 101248.</w:t>
      </w:r>
    </w:p>
    <w:p w14:paraId="0DA7B87F" w14:textId="77777777" w:rsidR="00244890" w:rsidRPr="00AE345F" w:rsidRDefault="00244890" w:rsidP="00AE345F">
      <w:pPr>
        <w:spacing w:before="240" w:after="0" w:line="360" w:lineRule="auto"/>
        <w:jc w:val="both"/>
        <w:rPr>
          <w:rFonts w:ascii="Times New Roman" w:hAnsi="Times New Roman" w:cs="Times New Roman"/>
          <w:sz w:val="24"/>
          <w:szCs w:val="24"/>
        </w:rPr>
      </w:pPr>
      <w:r w:rsidRPr="00AE345F">
        <w:rPr>
          <w:rFonts w:ascii="Times New Roman" w:hAnsi="Times New Roman" w:cs="Times New Roman"/>
          <w:sz w:val="24"/>
          <w:szCs w:val="24"/>
          <w:shd w:val="clear" w:color="auto" w:fill="FFFFFF"/>
        </w:rPr>
        <w:t>Corbet, S., Hou, Y. G., Hu, Y., Larkin, C., &amp; Oxley, L. (2020</w:t>
      </w:r>
      <w:r>
        <w:rPr>
          <w:rFonts w:ascii="Times New Roman" w:hAnsi="Times New Roman" w:cs="Times New Roman"/>
          <w:sz w:val="24"/>
          <w:szCs w:val="24"/>
          <w:shd w:val="clear" w:color="auto" w:fill="FFFFFF"/>
        </w:rPr>
        <w:t>a</w:t>
      </w:r>
      <w:r w:rsidRPr="00AE345F">
        <w:rPr>
          <w:rFonts w:ascii="Times New Roman" w:hAnsi="Times New Roman" w:cs="Times New Roman"/>
          <w:sz w:val="24"/>
          <w:szCs w:val="24"/>
          <w:shd w:val="clear" w:color="auto" w:fill="FFFFFF"/>
        </w:rPr>
        <w:t>). Any port in a storm: Cryptocurrency safe-havens during the COVID-19 pandemic. </w:t>
      </w:r>
      <w:r w:rsidRPr="00AE345F">
        <w:rPr>
          <w:rFonts w:ascii="Times New Roman" w:hAnsi="Times New Roman" w:cs="Times New Roman"/>
          <w:i/>
          <w:iCs/>
          <w:sz w:val="24"/>
          <w:szCs w:val="24"/>
          <w:shd w:val="clear" w:color="auto" w:fill="FFFFFF"/>
        </w:rPr>
        <w:t>Economics Letters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194</w:t>
      </w:r>
      <w:r w:rsidRPr="00AE345F">
        <w:rPr>
          <w:rFonts w:ascii="Times New Roman" w:hAnsi="Times New Roman" w:cs="Times New Roman"/>
          <w:sz w:val="24"/>
          <w:szCs w:val="24"/>
          <w:shd w:val="clear" w:color="auto" w:fill="FFFFFF"/>
        </w:rPr>
        <w:t>, 109377.</w:t>
      </w:r>
    </w:p>
    <w:p w14:paraId="765DA3CB" w14:textId="77777777" w:rsidR="00244890" w:rsidRPr="00AE345F" w:rsidRDefault="00244890" w:rsidP="00AE345F">
      <w:pPr>
        <w:spacing w:before="240" w:after="0" w:line="360" w:lineRule="auto"/>
        <w:jc w:val="both"/>
        <w:rPr>
          <w:rFonts w:ascii="Times New Roman" w:hAnsi="Times New Roman" w:cs="Times New Roman"/>
          <w:sz w:val="24"/>
          <w:szCs w:val="24"/>
          <w:shd w:val="clear" w:color="auto" w:fill="FFFFFF"/>
        </w:rPr>
      </w:pPr>
      <w:r w:rsidRPr="00AE345F">
        <w:rPr>
          <w:rFonts w:ascii="Times New Roman" w:hAnsi="Times New Roman" w:cs="Times New Roman"/>
          <w:sz w:val="24"/>
          <w:szCs w:val="24"/>
          <w:shd w:val="clear" w:color="auto" w:fill="FFFFFF"/>
        </w:rPr>
        <w:t>Corbet, S., Larkin, C., &amp; Lucey, B. (2020</w:t>
      </w:r>
      <w:r>
        <w:rPr>
          <w:rFonts w:ascii="Times New Roman" w:hAnsi="Times New Roman" w:cs="Times New Roman"/>
          <w:sz w:val="24"/>
          <w:szCs w:val="24"/>
          <w:shd w:val="clear" w:color="auto" w:fill="FFFFFF"/>
        </w:rPr>
        <w:t>b</w:t>
      </w:r>
      <w:r w:rsidRPr="00AE345F">
        <w:rPr>
          <w:rFonts w:ascii="Times New Roman" w:hAnsi="Times New Roman" w:cs="Times New Roman"/>
          <w:sz w:val="24"/>
          <w:szCs w:val="24"/>
          <w:shd w:val="clear" w:color="auto" w:fill="FFFFFF"/>
        </w:rPr>
        <w:t>). The contagion effects of the COVID-19 pandemic: Evidence from gold and cryptocurrencies. </w:t>
      </w:r>
      <w:r w:rsidRPr="00AE345F">
        <w:rPr>
          <w:rFonts w:ascii="Times New Roman" w:hAnsi="Times New Roman" w:cs="Times New Roman"/>
          <w:i/>
          <w:iCs/>
          <w:sz w:val="24"/>
          <w:szCs w:val="24"/>
          <w:shd w:val="clear" w:color="auto" w:fill="FFFFFF"/>
        </w:rPr>
        <w:t>Finance Research Letters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35</w:t>
      </w:r>
      <w:r w:rsidRPr="00AE345F">
        <w:rPr>
          <w:rFonts w:ascii="Times New Roman" w:hAnsi="Times New Roman" w:cs="Times New Roman"/>
          <w:sz w:val="24"/>
          <w:szCs w:val="24"/>
          <w:shd w:val="clear" w:color="auto" w:fill="FFFFFF"/>
        </w:rPr>
        <w:t>, 101554.</w:t>
      </w:r>
    </w:p>
    <w:p w14:paraId="0161A3C7" w14:textId="77777777" w:rsidR="00244890" w:rsidRPr="00AE345F" w:rsidRDefault="00244890" w:rsidP="00AE345F">
      <w:pPr>
        <w:spacing w:before="240" w:after="0" w:line="360" w:lineRule="auto"/>
        <w:jc w:val="both"/>
        <w:rPr>
          <w:rFonts w:ascii="Times New Roman" w:hAnsi="Times New Roman" w:cs="Times New Roman"/>
          <w:sz w:val="24"/>
          <w:szCs w:val="24"/>
        </w:rPr>
      </w:pPr>
      <w:proofErr w:type="spellStart"/>
      <w:r w:rsidRPr="00AE345F">
        <w:rPr>
          <w:rFonts w:ascii="Times New Roman" w:hAnsi="Times New Roman" w:cs="Times New Roman"/>
          <w:sz w:val="24"/>
          <w:szCs w:val="24"/>
        </w:rPr>
        <w:t>Damak</w:t>
      </w:r>
      <w:proofErr w:type="spellEnd"/>
      <w:r w:rsidRPr="00AE345F">
        <w:rPr>
          <w:rFonts w:ascii="Times New Roman" w:hAnsi="Times New Roman" w:cs="Times New Roman"/>
          <w:sz w:val="24"/>
          <w:szCs w:val="24"/>
        </w:rPr>
        <w:t xml:space="preserve">, M. (2020, June 15). Islamic Finance 2020-2021: COVID-19 Offers </w:t>
      </w:r>
      <w:proofErr w:type="gramStart"/>
      <w:r w:rsidRPr="00AE345F">
        <w:rPr>
          <w:rFonts w:ascii="Times New Roman" w:hAnsi="Times New Roman" w:cs="Times New Roman"/>
          <w:sz w:val="24"/>
          <w:szCs w:val="24"/>
        </w:rPr>
        <w:t>An</w:t>
      </w:r>
      <w:proofErr w:type="gramEnd"/>
      <w:r w:rsidRPr="00AE345F">
        <w:rPr>
          <w:rFonts w:ascii="Times New Roman" w:hAnsi="Times New Roman" w:cs="Times New Roman"/>
          <w:sz w:val="24"/>
          <w:szCs w:val="24"/>
        </w:rPr>
        <w:t xml:space="preserve"> Opportunity For Transformative Developments. </w:t>
      </w:r>
      <w:r w:rsidRPr="00AE345F">
        <w:rPr>
          <w:rFonts w:ascii="Times New Roman" w:hAnsi="Times New Roman" w:cs="Times New Roman"/>
          <w:i/>
          <w:iCs/>
          <w:sz w:val="24"/>
          <w:szCs w:val="24"/>
        </w:rPr>
        <w:t>S&amp;P Global Rating</w:t>
      </w:r>
      <w:r w:rsidRPr="00AE345F">
        <w:rPr>
          <w:rFonts w:ascii="Times New Roman" w:hAnsi="Times New Roman" w:cs="Times New Roman"/>
          <w:sz w:val="24"/>
          <w:szCs w:val="24"/>
        </w:rPr>
        <w:t xml:space="preserve">. Retrieved from: </w:t>
      </w:r>
      <w:hyperlink r:id="rId8" w:history="1">
        <w:r w:rsidRPr="00AE345F">
          <w:rPr>
            <w:rStyle w:val="Hyperlink"/>
            <w:rFonts w:ascii="Times New Roman" w:hAnsi="Times New Roman" w:cs="Times New Roman"/>
            <w:color w:val="auto"/>
            <w:sz w:val="24"/>
            <w:szCs w:val="24"/>
          </w:rPr>
          <w:t>https://www.spglobal.com/</w:t>
        </w:r>
      </w:hyperlink>
      <w:r w:rsidRPr="00AE345F">
        <w:rPr>
          <w:rFonts w:ascii="Times New Roman" w:hAnsi="Times New Roman" w:cs="Times New Roman"/>
          <w:sz w:val="24"/>
          <w:szCs w:val="24"/>
        </w:rPr>
        <w:t>.</w:t>
      </w:r>
    </w:p>
    <w:p w14:paraId="19D4B4AE" w14:textId="77777777" w:rsidR="00244890" w:rsidRPr="00AE345F" w:rsidRDefault="00244890" w:rsidP="00AE345F">
      <w:pPr>
        <w:spacing w:before="240" w:after="0" w:line="360" w:lineRule="auto"/>
        <w:jc w:val="both"/>
        <w:rPr>
          <w:rFonts w:ascii="Times New Roman" w:hAnsi="Times New Roman" w:cs="Times New Roman"/>
          <w:sz w:val="24"/>
          <w:szCs w:val="24"/>
          <w:shd w:val="clear" w:color="auto" w:fill="FFFFFF"/>
        </w:rPr>
      </w:pPr>
      <w:r w:rsidRPr="00AE345F">
        <w:rPr>
          <w:rFonts w:ascii="Times New Roman" w:hAnsi="Times New Roman" w:cs="Times New Roman"/>
          <w:sz w:val="24"/>
          <w:szCs w:val="24"/>
          <w:shd w:val="clear" w:color="auto" w:fill="FFFFFF"/>
        </w:rPr>
        <w:t xml:space="preserve">Ding, W., Levine, R., Lin, C., &amp; </w:t>
      </w:r>
      <w:proofErr w:type="spellStart"/>
      <w:r w:rsidRPr="00AE345F">
        <w:rPr>
          <w:rFonts w:ascii="Times New Roman" w:hAnsi="Times New Roman" w:cs="Times New Roman"/>
          <w:sz w:val="24"/>
          <w:szCs w:val="24"/>
          <w:shd w:val="clear" w:color="auto" w:fill="FFFFFF"/>
        </w:rPr>
        <w:t>Xie</w:t>
      </w:r>
      <w:proofErr w:type="spellEnd"/>
      <w:r w:rsidRPr="00AE345F">
        <w:rPr>
          <w:rFonts w:ascii="Times New Roman" w:hAnsi="Times New Roman" w:cs="Times New Roman"/>
          <w:sz w:val="24"/>
          <w:szCs w:val="24"/>
          <w:shd w:val="clear" w:color="auto" w:fill="FFFFFF"/>
        </w:rPr>
        <w:t>, W. (2021). Corporate immunity to the COVID-19 pandemic. </w:t>
      </w:r>
      <w:r w:rsidRPr="00AE345F">
        <w:rPr>
          <w:rFonts w:ascii="Times New Roman" w:hAnsi="Times New Roman" w:cs="Times New Roman"/>
          <w:i/>
          <w:iCs/>
          <w:sz w:val="24"/>
          <w:szCs w:val="24"/>
          <w:shd w:val="clear" w:color="auto" w:fill="FFFFFF"/>
        </w:rPr>
        <w:t>Journal of Financial Economics</w:t>
      </w:r>
      <w:r w:rsidRPr="00AE345F">
        <w:rPr>
          <w:rFonts w:ascii="Times New Roman" w:hAnsi="Times New Roman" w:cs="Times New Roman"/>
          <w:sz w:val="24"/>
          <w:szCs w:val="24"/>
          <w:shd w:val="clear" w:color="auto" w:fill="FFFFFF"/>
        </w:rPr>
        <w:t xml:space="preserve">, in press, </w:t>
      </w:r>
      <w:hyperlink r:id="rId9" w:tgtFrame="_blank" w:tooltip="Persistent link using digital object identifier" w:history="1">
        <w:r w:rsidRPr="00AE345F">
          <w:rPr>
            <w:rStyle w:val="Hyperlink"/>
            <w:rFonts w:ascii="Times New Roman" w:hAnsi="Times New Roman" w:cs="Times New Roman"/>
            <w:color w:val="auto"/>
            <w:sz w:val="24"/>
            <w:szCs w:val="24"/>
            <w:shd w:val="clear" w:color="auto" w:fill="FFFFFF"/>
          </w:rPr>
          <w:t>doi:10.1016/j.jfineco.2021.03.005</w:t>
        </w:r>
      </w:hyperlink>
      <w:r w:rsidRPr="00AE345F">
        <w:rPr>
          <w:rFonts w:ascii="Times New Roman" w:hAnsi="Times New Roman" w:cs="Times New Roman"/>
          <w:sz w:val="24"/>
          <w:szCs w:val="24"/>
          <w:shd w:val="clear" w:color="auto" w:fill="FFFFFF"/>
        </w:rPr>
        <w:t>.</w:t>
      </w:r>
    </w:p>
    <w:p w14:paraId="1D3CB27B" w14:textId="0356699E" w:rsidR="00487275" w:rsidRPr="00487275" w:rsidRDefault="00487275" w:rsidP="00487275">
      <w:pPr>
        <w:spacing w:before="240" w:after="0" w:line="360" w:lineRule="auto"/>
        <w:jc w:val="both"/>
        <w:rPr>
          <w:rFonts w:ascii="Times New Roman" w:hAnsi="Times New Roman" w:cs="Times New Roman"/>
          <w:color w:val="2E74B5" w:themeColor="accent5" w:themeShade="BF"/>
          <w:sz w:val="24"/>
          <w:szCs w:val="24"/>
          <w:shd w:val="clear" w:color="auto" w:fill="FFFFFF"/>
        </w:rPr>
      </w:pPr>
      <w:bookmarkStart w:id="20" w:name="_Hlk67072935"/>
      <w:proofErr w:type="spellStart"/>
      <w:r w:rsidRPr="00487275">
        <w:rPr>
          <w:rFonts w:ascii="Times New Roman" w:hAnsi="Times New Roman" w:cs="Times New Roman"/>
          <w:color w:val="2E74B5" w:themeColor="accent5" w:themeShade="BF"/>
          <w:sz w:val="24"/>
          <w:szCs w:val="24"/>
          <w:shd w:val="clear" w:color="auto" w:fill="FFFFFF"/>
        </w:rPr>
        <w:t>eddine</w:t>
      </w:r>
      <w:proofErr w:type="spellEnd"/>
      <w:r w:rsidRPr="00487275">
        <w:rPr>
          <w:rFonts w:ascii="Times New Roman" w:hAnsi="Times New Roman" w:cs="Times New Roman"/>
          <w:color w:val="2E74B5" w:themeColor="accent5" w:themeShade="BF"/>
          <w:sz w:val="24"/>
          <w:szCs w:val="24"/>
          <w:shd w:val="clear" w:color="auto" w:fill="FFFFFF"/>
        </w:rPr>
        <w:t xml:space="preserve"> </w:t>
      </w:r>
      <w:proofErr w:type="spellStart"/>
      <w:r w:rsidRPr="00487275">
        <w:rPr>
          <w:rFonts w:ascii="Times New Roman" w:hAnsi="Times New Roman" w:cs="Times New Roman"/>
          <w:color w:val="2E74B5" w:themeColor="accent5" w:themeShade="BF"/>
          <w:sz w:val="24"/>
          <w:szCs w:val="24"/>
          <w:shd w:val="clear" w:color="auto" w:fill="FFFFFF"/>
        </w:rPr>
        <w:t>Bedoui</w:t>
      </w:r>
      <w:proofErr w:type="spellEnd"/>
      <w:r w:rsidRPr="00487275">
        <w:rPr>
          <w:rFonts w:ascii="Times New Roman" w:hAnsi="Times New Roman" w:cs="Times New Roman"/>
          <w:color w:val="2E74B5" w:themeColor="accent5" w:themeShade="BF"/>
          <w:sz w:val="24"/>
          <w:szCs w:val="24"/>
          <w:shd w:val="clear" w:color="auto" w:fill="FFFFFF"/>
        </w:rPr>
        <w:t xml:space="preserve">, H., &amp; </w:t>
      </w:r>
      <w:proofErr w:type="spellStart"/>
      <w:r w:rsidRPr="00487275">
        <w:rPr>
          <w:rFonts w:ascii="Times New Roman" w:hAnsi="Times New Roman" w:cs="Times New Roman"/>
          <w:color w:val="2E74B5" w:themeColor="accent5" w:themeShade="BF"/>
          <w:sz w:val="24"/>
          <w:szCs w:val="24"/>
          <w:shd w:val="clear" w:color="auto" w:fill="FFFFFF"/>
        </w:rPr>
        <w:t>Robbana</w:t>
      </w:r>
      <w:proofErr w:type="spellEnd"/>
      <w:r w:rsidRPr="00487275">
        <w:rPr>
          <w:rFonts w:ascii="Times New Roman" w:hAnsi="Times New Roman" w:cs="Times New Roman"/>
          <w:color w:val="2E74B5" w:themeColor="accent5" w:themeShade="BF"/>
          <w:sz w:val="24"/>
          <w:szCs w:val="24"/>
          <w:shd w:val="clear" w:color="auto" w:fill="FFFFFF"/>
        </w:rPr>
        <w:t>, A. (2019). Islamic social financing through cryptocurrency. </w:t>
      </w:r>
      <w:r w:rsidRPr="00487275">
        <w:rPr>
          <w:rFonts w:ascii="Times New Roman" w:hAnsi="Times New Roman" w:cs="Times New Roman"/>
          <w:i/>
          <w:iCs/>
          <w:color w:val="2E74B5" w:themeColor="accent5" w:themeShade="BF"/>
          <w:sz w:val="24"/>
          <w:szCs w:val="24"/>
          <w:shd w:val="clear" w:color="auto" w:fill="FFFFFF"/>
        </w:rPr>
        <w:t>Halal Cryptocurrency Management</w:t>
      </w:r>
      <w:r w:rsidRPr="00487275">
        <w:rPr>
          <w:rFonts w:ascii="Times New Roman" w:hAnsi="Times New Roman" w:cs="Times New Roman"/>
          <w:color w:val="2E74B5" w:themeColor="accent5" w:themeShade="BF"/>
          <w:sz w:val="24"/>
          <w:szCs w:val="24"/>
          <w:shd w:val="clear" w:color="auto" w:fill="FFFFFF"/>
        </w:rPr>
        <w:t> (pp. 259-274). Palgrave Macmillan, Cham.</w:t>
      </w:r>
    </w:p>
    <w:p w14:paraId="10243136" w14:textId="22CDC024" w:rsidR="00244890" w:rsidRPr="00AE345F" w:rsidRDefault="00244890" w:rsidP="00AE345F">
      <w:pPr>
        <w:spacing w:before="240" w:after="0" w:line="360" w:lineRule="auto"/>
        <w:jc w:val="both"/>
        <w:rPr>
          <w:rFonts w:ascii="Times New Roman" w:hAnsi="Times New Roman" w:cs="Times New Roman"/>
          <w:sz w:val="24"/>
          <w:szCs w:val="24"/>
          <w:shd w:val="clear" w:color="auto" w:fill="FFFFFF"/>
        </w:rPr>
      </w:pPr>
      <w:r w:rsidRPr="00AE345F">
        <w:rPr>
          <w:rFonts w:ascii="Times New Roman" w:hAnsi="Times New Roman" w:cs="Times New Roman"/>
          <w:sz w:val="24"/>
          <w:szCs w:val="24"/>
          <w:shd w:val="clear" w:color="auto" w:fill="FFFFFF"/>
        </w:rPr>
        <w:t>Engelhardt</w:t>
      </w:r>
      <w:bookmarkEnd w:id="20"/>
      <w:r w:rsidRPr="00AE345F">
        <w:rPr>
          <w:rFonts w:ascii="Times New Roman" w:hAnsi="Times New Roman" w:cs="Times New Roman"/>
          <w:sz w:val="24"/>
          <w:szCs w:val="24"/>
          <w:shd w:val="clear" w:color="auto" w:fill="FFFFFF"/>
        </w:rPr>
        <w:t xml:space="preserve">, N., Krause, M., </w:t>
      </w:r>
      <w:proofErr w:type="spellStart"/>
      <w:r w:rsidRPr="00AE345F">
        <w:rPr>
          <w:rFonts w:ascii="Times New Roman" w:hAnsi="Times New Roman" w:cs="Times New Roman"/>
          <w:sz w:val="24"/>
          <w:szCs w:val="24"/>
          <w:shd w:val="clear" w:color="auto" w:fill="FFFFFF"/>
        </w:rPr>
        <w:t>Neukirchen</w:t>
      </w:r>
      <w:proofErr w:type="spellEnd"/>
      <w:r w:rsidRPr="00AE345F">
        <w:rPr>
          <w:rFonts w:ascii="Times New Roman" w:hAnsi="Times New Roman" w:cs="Times New Roman"/>
          <w:sz w:val="24"/>
          <w:szCs w:val="24"/>
          <w:shd w:val="clear" w:color="auto" w:fill="FFFFFF"/>
        </w:rPr>
        <w:t xml:space="preserve">, D., &amp; </w:t>
      </w:r>
      <w:proofErr w:type="spellStart"/>
      <w:r w:rsidRPr="00AE345F">
        <w:rPr>
          <w:rFonts w:ascii="Times New Roman" w:hAnsi="Times New Roman" w:cs="Times New Roman"/>
          <w:sz w:val="24"/>
          <w:szCs w:val="24"/>
          <w:shd w:val="clear" w:color="auto" w:fill="FFFFFF"/>
        </w:rPr>
        <w:t>Posch</w:t>
      </w:r>
      <w:proofErr w:type="spellEnd"/>
      <w:r w:rsidRPr="00AE345F">
        <w:rPr>
          <w:rFonts w:ascii="Times New Roman" w:hAnsi="Times New Roman" w:cs="Times New Roman"/>
          <w:sz w:val="24"/>
          <w:szCs w:val="24"/>
          <w:shd w:val="clear" w:color="auto" w:fill="FFFFFF"/>
        </w:rPr>
        <w:t>, P. N. (2021). Trust and stock market volatility during the COVID-19 crisis. </w:t>
      </w:r>
      <w:r w:rsidRPr="00AE345F">
        <w:rPr>
          <w:rFonts w:ascii="Times New Roman" w:hAnsi="Times New Roman" w:cs="Times New Roman"/>
          <w:i/>
          <w:iCs/>
          <w:sz w:val="24"/>
          <w:szCs w:val="24"/>
          <w:shd w:val="clear" w:color="auto" w:fill="FFFFFF"/>
        </w:rPr>
        <w:t>Finance Research Letters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38</w:t>
      </w:r>
      <w:r w:rsidRPr="00AE345F">
        <w:rPr>
          <w:rFonts w:ascii="Times New Roman" w:hAnsi="Times New Roman" w:cs="Times New Roman"/>
          <w:sz w:val="24"/>
          <w:szCs w:val="24"/>
          <w:shd w:val="clear" w:color="auto" w:fill="FFFFFF"/>
        </w:rPr>
        <w:t>, 101873.</w:t>
      </w:r>
    </w:p>
    <w:p w14:paraId="578093DC" w14:textId="77777777" w:rsidR="00244890" w:rsidRPr="00AE345F" w:rsidRDefault="00244890" w:rsidP="00AE345F">
      <w:pPr>
        <w:spacing w:before="240" w:after="0" w:line="360" w:lineRule="auto"/>
        <w:jc w:val="both"/>
        <w:rPr>
          <w:rFonts w:ascii="Times New Roman" w:hAnsi="Times New Roman" w:cs="Times New Roman"/>
          <w:sz w:val="24"/>
          <w:szCs w:val="24"/>
          <w:shd w:val="clear" w:color="auto" w:fill="FFFFFF"/>
        </w:rPr>
      </w:pPr>
      <w:bookmarkStart w:id="21" w:name="_Hlk67048790"/>
      <w:r w:rsidRPr="00AE345F">
        <w:rPr>
          <w:rFonts w:ascii="Times New Roman" w:hAnsi="Times New Roman" w:cs="Times New Roman"/>
          <w:sz w:val="24"/>
          <w:szCs w:val="24"/>
          <w:shd w:val="clear" w:color="auto" w:fill="FFFFFF"/>
        </w:rPr>
        <w:t>Goodell</w:t>
      </w:r>
      <w:bookmarkEnd w:id="21"/>
      <w:r w:rsidRPr="00AE345F">
        <w:rPr>
          <w:rFonts w:ascii="Times New Roman" w:hAnsi="Times New Roman" w:cs="Times New Roman"/>
          <w:sz w:val="24"/>
          <w:szCs w:val="24"/>
          <w:shd w:val="clear" w:color="auto" w:fill="FFFFFF"/>
        </w:rPr>
        <w:t>, J. W. (2020). COVID-19 and finance: Agendas for future research. </w:t>
      </w:r>
      <w:r w:rsidRPr="00AE345F">
        <w:rPr>
          <w:rFonts w:ascii="Times New Roman" w:hAnsi="Times New Roman" w:cs="Times New Roman"/>
          <w:i/>
          <w:iCs/>
          <w:sz w:val="24"/>
          <w:szCs w:val="24"/>
          <w:shd w:val="clear" w:color="auto" w:fill="FFFFFF"/>
        </w:rPr>
        <w:t>Finance Research Letters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35</w:t>
      </w:r>
      <w:r w:rsidRPr="00AE345F">
        <w:rPr>
          <w:rFonts w:ascii="Times New Roman" w:hAnsi="Times New Roman" w:cs="Times New Roman"/>
          <w:sz w:val="24"/>
          <w:szCs w:val="24"/>
          <w:shd w:val="clear" w:color="auto" w:fill="FFFFFF"/>
        </w:rPr>
        <w:t>, 101512.</w:t>
      </w:r>
    </w:p>
    <w:p w14:paraId="7AB539B2" w14:textId="77777777" w:rsidR="00244890" w:rsidRPr="00AE345F" w:rsidRDefault="00244890" w:rsidP="00AE345F">
      <w:pPr>
        <w:spacing w:before="240" w:after="0" w:line="360" w:lineRule="auto"/>
        <w:jc w:val="both"/>
        <w:rPr>
          <w:rFonts w:ascii="Times New Roman" w:hAnsi="Times New Roman" w:cs="Times New Roman"/>
          <w:sz w:val="24"/>
          <w:szCs w:val="24"/>
        </w:rPr>
      </w:pPr>
      <w:bookmarkStart w:id="22" w:name="_Hlk69421296"/>
      <w:r w:rsidRPr="00AE345F">
        <w:rPr>
          <w:rFonts w:ascii="Times New Roman" w:hAnsi="Times New Roman" w:cs="Times New Roman"/>
          <w:sz w:val="24"/>
          <w:szCs w:val="24"/>
          <w:shd w:val="clear" w:color="auto" w:fill="FFFFFF"/>
        </w:rPr>
        <w:t>Goodell</w:t>
      </w:r>
      <w:bookmarkEnd w:id="22"/>
      <w:r w:rsidRPr="00AE345F">
        <w:rPr>
          <w:rFonts w:ascii="Times New Roman" w:hAnsi="Times New Roman" w:cs="Times New Roman"/>
          <w:sz w:val="24"/>
          <w:szCs w:val="24"/>
          <w:shd w:val="clear" w:color="auto" w:fill="FFFFFF"/>
        </w:rPr>
        <w:t>, J. W., &amp; Goutte, S. (2021). Co-movement of COVID-19 and Bitcoin: Evidence from wavelet coherence analysis. </w:t>
      </w:r>
      <w:r w:rsidRPr="00AE345F">
        <w:rPr>
          <w:rFonts w:ascii="Times New Roman" w:hAnsi="Times New Roman" w:cs="Times New Roman"/>
          <w:i/>
          <w:iCs/>
          <w:sz w:val="24"/>
          <w:szCs w:val="24"/>
          <w:shd w:val="clear" w:color="auto" w:fill="FFFFFF"/>
        </w:rPr>
        <w:t>Finance Research Letters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38</w:t>
      </w:r>
      <w:r w:rsidRPr="00AE345F">
        <w:rPr>
          <w:rFonts w:ascii="Times New Roman" w:hAnsi="Times New Roman" w:cs="Times New Roman"/>
          <w:sz w:val="24"/>
          <w:szCs w:val="24"/>
          <w:shd w:val="clear" w:color="auto" w:fill="FFFFFF"/>
        </w:rPr>
        <w:t>, 101625.</w:t>
      </w:r>
    </w:p>
    <w:p w14:paraId="157350DC" w14:textId="77777777" w:rsidR="00244890" w:rsidRPr="00AE345F" w:rsidRDefault="00244890" w:rsidP="00AE345F">
      <w:pPr>
        <w:spacing w:before="240" w:after="0" w:line="360" w:lineRule="auto"/>
        <w:jc w:val="both"/>
        <w:rPr>
          <w:rFonts w:ascii="Times New Roman" w:hAnsi="Times New Roman" w:cs="Times New Roman"/>
          <w:sz w:val="24"/>
          <w:szCs w:val="24"/>
        </w:rPr>
      </w:pPr>
      <w:bookmarkStart w:id="23" w:name="_Hlk67074012"/>
      <w:r w:rsidRPr="00AE345F">
        <w:rPr>
          <w:rFonts w:ascii="Times New Roman" w:hAnsi="Times New Roman" w:cs="Times New Roman"/>
          <w:sz w:val="24"/>
          <w:szCs w:val="24"/>
          <w:shd w:val="clear" w:color="auto" w:fill="FFFFFF"/>
        </w:rPr>
        <w:t>Goodell, J. W., &amp; Huynh</w:t>
      </w:r>
      <w:bookmarkEnd w:id="23"/>
      <w:r w:rsidRPr="00AE345F">
        <w:rPr>
          <w:rFonts w:ascii="Times New Roman" w:hAnsi="Times New Roman" w:cs="Times New Roman"/>
          <w:sz w:val="24"/>
          <w:szCs w:val="24"/>
          <w:shd w:val="clear" w:color="auto" w:fill="FFFFFF"/>
        </w:rPr>
        <w:t>, T. L. D. (2020). Did Congress trade ahead? Considering the reaction of US industries to COVID-19. </w:t>
      </w:r>
      <w:r w:rsidRPr="00AE345F">
        <w:rPr>
          <w:rFonts w:ascii="Times New Roman" w:hAnsi="Times New Roman" w:cs="Times New Roman"/>
          <w:i/>
          <w:iCs/>
          <w:sz w:val="24"/>
          <w:szCs w:val="24"/>
          <w:shd w:val="clear" w:color="auto" w:fill="FFFFFF"/>
        </w:rPr>
        <w:t>Finance Research Letters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36</w:t>
      </w:r>
      <w:r w:rsidRPr="00AE345F">
        <w:rPr>
          <w:rFonts w:ascii="Times New Roman" w:hAnsi="Times New Roman" w:cs="Times New Roman"/>
          <w:sz w:val="24"/>
          <w:szCs w:val="24"/>
          <w:shd w:val="clear" w:color="auto" w:fill="FFFFFF"/>
        </w:rPr>
        <w:t>, 101578.</w:t>
      </w:r>
    </w:p>
    <w:p w14:paraId="03F1D0AE"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r w:rsidRPr="00244890">
        <w:rPr>
          <w:rFonts w:ascii="Times New Roman" w:hAnsi="Times New Roman" w:cs="Times New Roman"/>
          <w:color w:val="0070C0"/>
          <w:sz w:val="24"/>
          <w:szCs w:val="24"/>
          <w:shd w:val="clear" w:color="auto" w:fill="FFFFFF"/>
        </w:rPr>
        <w:lastRenderedPageBreak/>
        <w:t>Hasan, M. B., Mahi, M., Hassan, M. K., &amp; Bhuiyan, A. B. (2021). Impact of COVID-19 pandemic on stock markets: Conventional vs. Islamic indices using wavelet-based multi-timescales analysis. </w:t>
      </w:r>
      <w:r w:rsidRPr="00244890">
        <w:rPr>
          <w:rFonts w:ascii="Times New Roman" w:hAnsi="Times New Roman" w:cs="Times New Roman"/>
          <w:i/>
          <w:iCs/>
          <w:color w:val="0070C0"/>
          <w:sz w:val="24"/>
          <w:szCs w:val="24"/>
          <w:shd w:val="clear" w:color="auto" w:fill="FFFFFF"/>
        </w:rPr>
        <w:t>The North American Journal of Economics and Finance</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58</w:t>
      </w:r>
      <w:r w:rsidRPr="00244890">
        <w:rPr>
          <w:rFonts w:ascii="Times New Roman" w:hAnsi="Times New Roman" w:cs="Times New Roman"/>
          <w:color w:val="0070C0"/>
          <w:sz w:val="24"/>
          <w:szCs w:val="24"/>
          <w:shd w:val="clear" w:color="auto" w:fill="FFFFFF"/>
        </w:rPr>
        <w:t>, 101504.</w:t>
      </w:r>
    </w:p>
    <w:p w14:paraId="0B3276E9"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r w:rsidRPr="00244890">
        <w:rPr>
          <w:rFonts w:ascii="Times New Roman" w:hAnsi="Times New Roman" w:cs="Times New Roman"/>
          <w:color w:val="0070C0"/>
          <w:sz w:val="24"/>
          <w:szCs w:val="24"/>
          <w:shd w:val="clear" w:color="auto" w:fill="FFFFFF"/>
        </w:rPr>
        <w:t xml:space="preserve">Hassan, K., Hoque, A., &amp; </w:t>
      </w:r>
      <w:proofErr w:type="spellStart"/>
      <w:r w:rsidRPr="00244890">
        <w:rPr>
          <w:rFonts w:ascii="Times New Roman" w:hAnsi="Times New Roman" w:cs="Times New Roman"/>
          <w:color w:val="0070C0"/>
          <w:sz w:val="24"/>
          <w:szCs w:val="24"/>
          <w:shd w:val="clear" w:color="auto" w:fill="FFFFFF"/>
        </w:rPr>
        <w:t>Gasbarro</w:t>
      </w:r>
      <w:proofErr w:type="spellEnd"/>
      <w:r w:rsidRPr="00244890">
        <w:rPr>
          <w:rFonts w:ascii="Times New Roman" w:hAnsi="Times New Roman" w:cs="Times New Roman"/>
          <w:color w:val="0070C0"/>
          <w:sz w:val="24"/>
          <w:szCs w:val="24"/>
          <w:shd w:val="clear" w:color="auto" w:fill="FFFFFF"/>
        </w:rPr>
        <w:t>, D. (2019). Separating BRIC using Islamic stocks and crude oil: dynamic conditional correlation and volatility spillover analysis. </w:t>
      </w:r>
      <w:r w:rsidRPr="00244890">
        <w:rPr>
          <w:rFonts w:ascii="Times New Roman" w:hAnsi="Times New Roman" w:cs="Times New Roman"/>
          <w:i/>
          <w:iCs/>
          <w:color w:val="0070C0"/>
          <w:sz w:val="24"/>
          <w:szCs w:val="24"/>
          <w:shd w:val="clear" w:color="auto" w:fill="FFFFFF"/>
        </w:rPr>
        <w:t>Energy Economics</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80</w:t>
      </w:r>
      <w:r w:rsidRPr="00244890">
        <w:rPr>
          <w:rFonts w:ascii="Times New Roman" w:hAnsi="Times New Roman" w:cs="Times New Roman"/>
          <w:color w:val="0070C0"/>
          <w:sz w:val="24"/>
          <w:szCs w:val="24"/>
          <w:shd w:val="clear" w:color="auto" w:fill="FFFFFF"/>
        </w:rPr>
        <w:t>, 950-969.</w:t>
      </w:r>
    </w:p>
    <w:p w14:paraId="2A088E41" w14:textId="77777777" w:rsidR="00244890" w:rsidRPr="00244890" w:rsidRDefault="00244890" w:rsidP="00244890">
      <w:pPr>
        <w:spacing w:line="360" w:lineRule="auto"/>
        <w:jc w:val="both"/>
        <w:rPr>
          <w:rFonts w:ascii="Times New Roman" w:hAnsi="Times New Roman" w:cs="Times New Roman"/>
          <w:color w:val="0070C0"/>
          <w:sz w:val="24"/>
          <w:szCs w:val="24"/>
        </w:rPr>
      </w:pPr>
      <w:bookmarkStart w:id="24" w:name="_Hlk81067776"/>
      <w:r w:rsidRPr="00244890">
        <w:rPr>
          <w:rFonts w:ascii="Times New Roman" w:hAnsi="Times New Roman" w:cs="Times New Roman"/>
          <w:color w:val="0070C0"/>
          <w:sz w:val="24"/>
          <w:szCs w:val="24"/>
          <w:shd w:val="clear" w:color="auto" w:fill="FFFFFF"/>
        </w:rPr>
        <w:t>Hassan</w:t>
      </w:r>
      <w:bookmarkEnd w:id="24"/>
      <w:r w:rsidRPr="00244890">
        <w:rPr>
          <w:rFonts w:ascii="Times New Roman" w:hAnsi="Times New Roman" w:cs="Times New Roman"/>
          <w:color w:val="0070C0"/>
          <w:sz w:val="24"/>
          <w:szCs w:val="24"/>
          <w:shd w:val="clear" w:color="auto" w:fill="FFFFFF"/>
        </w:rPr>
        <w:t xml:space="preserve">, M. K., </w:t>
      </w:r>
      <w:proofErr w:type="spellStart"/>
      <w:r w:rsidRPr="00244890">
        <w:rPr>
          <w:rFonts w:ascii="Times New Roman" w:hAnsi="Times New Roman" w:cs="Times New Roman"/>
          <w:color w:val="0070C0"/>
          <w:sz w:val="24"/>
          <w:szCs w:val="24"/>
          <w:shd w:val="clear" w:color="auto" w:fill="FFFFFF"/>
        </w:rPr>
        <w:t>Djajadikerta</w:t>
      </w:r>
      <w:proofErr w:type="spellEnd"/>
      <w:r w:rsidRPr="00244890">
        <w:rPr>
          <w:rFonts w:ascii="Times New Roman" w:hAnsi="Times New Roman" w:cs="Times New Roman"/>
          <w:color w:val="0070C0"/>
          <w:sz w:val="24"/>
          <w:szCs w:val="24"/>
          <w:shd w:val="clear" w:color="auto" w:fill="FFFFFF"/>
        </w:rPr>
        <w:t>, H. G., Choudhury, T., &amp; Kamran, M. (2021). Safe havens in Islamic financial markets: COVID-19 versus GFC. </w:t>
      </w:r>
      <w:r w:rsidRPr="00244890">
        <w:rPr>
          <w:rFonts w:ascii="Times New Roman" w:hAnsi="Times New Roman" w:cs="Times New Roman"/>
          <w:i/>
          <w:iCs/>
          <w:color w:val="0070C0"/>
          <w:sz w:val="24"/>
          <w:szCs w:val="24"/>
          <w:shd w:val="clear" w:color="auto" w:fill="FFFFFF"/>
        </w:rPr>
        <w:t>Global Finance Journal</w:t>
      </w:r>
      <w:r w:rsidRPr="00244890">
        <w:rPr>
          <w:rFonts w:ascii="Times New Roman" w:hAnsi="Times New Roman" w:cs="Times New Roman"/>
          <w:color w:val="0070C0"/>
          <w:sz w:val="24"/>
          <w:szCs w:val="24"/>
          <w:shd w:val="clear" w:color="auto" w:fill="FFFFFF"/>
        </w:rPr>
        <w:t>, 100643.</w:t>
      </w:r>
    </w:p>
    <w:p w14:paraId="254623A3" w14:textId="77777777" w:rsidR="00244890" w:rsidRPr="00AE345F" w:rsidRDefault="00244890" w:rsidP="00AE345F">
      <w:pPr>
        <w:spacing w:before="240" w:after="0" w:line="360" w:lineRule="auto"/>
        <w:jc w:val="both"/>
        <w:rPr>
          <w:rFonts w:ascii="Times New Roman" w:hAnsi="Times New Roman" w:cs="Times New Roman"/>
          <w:sz w:val="24"/>
          <w:szCs w:val="24"/>
        </w:rPr>
      </w:pPr>
      <w:r w:rsidRPr="00AE345F">
        <w:rPr>
          <w:rFonts w:ascii="Times New Roman" w:hAnsi="Times New Roman" w:cs="Times New Roman"/>
          <w:sz w:val="24"/>
          <w:szCs w:val="24"/>
          <w:shd w:val="clear" w:color="auto" w:fill="FFFFFF"/>
        </w:rPr>
        <w:t xml:space="preserve">Huang, Y., Duan, K., &amp; Mishra, T. (2021). Is Bitcoin </w:t>
      </w:r>
      <w:proofErr w:type="gramStart"/>
      <w:r w:rsidRPr="00AE345F">
        <w:rPr>
          <w:rFonts w:ascii="Times New Roman" w:hAnsi="Times New Roman" w:cs="Times New Roman"/>
          <w:sz w:val="24"/>
          <w:szCs w:val="24"/>
          <w:shd w:val="clear" w:color="auto" w:fill="FFFFFF"/>
        </w:rPr>
        <w:t>really more</w:t>
      </w:r>
      <w:proofErr w:type="gramEnd"/>
      <w:r w:rsidRPr="00AE345F">
        <w:rPr>
          <w:rFonts w:ascii="Times New Roman" w:hAnsi="Times New Roman" w:cs="Times New Roman"/>
          <w:sz w:val="24"/>
          <w:szCs w:val="24"/>
          <w:shd w:val="clear" w:color="auto" w:fill="FFFFFF"/>
        </w:rPr>
        <w:t xml:space="preserve"> than a diversifier? A pre-and post-COVID-19 analysis. </w:t>
      </w:r>
      <w:r w:rsidRPr="00AE345F">
        <w:rPr>
          <w:rFonts w:ascii="Times New Roman" w:hAnsi="Times New Roman" w:cs="Times New Roman"/>
          <w:i/>
          <w:iCs/>
          <w:sz w:val="24"/>
          <w:szCs w:val="24"/>
          <w:shd w:val="clear" w:color="auto" w:fill="FFFFFF"/>
        </w:rPr>
        <w:t>Finance Research Letters</w:t>
      </w:r>
      <w:r w:rsidRPr="00AE345F">
        <w:rPr>
          <w:rFonts w:ascii="Times New Roman" w:hAnsi="Times New Roman" w:cs="Times New Roman"/>
          <w:sz w:val="24"/>
          <w:szCs w:val="24"/>
          <w:shd w:val="clear" w:color="auto" w:fill="FFFFFF"/>
        </w:rPr>
        <w:t>, 102016.</w:t>
      </w:r>
    </w:p>
    <w:p w14:paraId="0ED1FDC2"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bookmarkStart w:id="25" w:name="_Hlk81062035"/>
      <w:r w:rsidRPr="00244890">
        <w:rPr>
          <w:rFonts w:ascii="Times New Roman" w:hAnsi="Times New Roman" w:cs="Times New Roman"/>
          <w:color w:val="0070C0"/>
          <w:sz w:val="24"/>
          <w:szCs w:val="24"/>
          <w:shd w:val="clear" w:color="auto" w:fill="FFFFFF"/>
        </w:rPr>
        <w:t>Hung, N. T., &amp; Vo</w:t>
      </w:r>
      <w:bookmarkEnd w:id="25"/>
      <w:r w:rsidRPr="00244890">
        <w:rPr>
          <w:rFonts w:ascii="Times New Roman" w:hAnsi="Times New Roman" w:cs="Times New Roman"/>
          <w:color w:val="0070C0"/>
          <w:sz w:val="24"/>
          <w:szCs w:val="24"/>
          <w:shd w:val="clear" w:color="auto" w:fill="FFFFFF"/>
        </w:rPr>
        <w:t xml:space="preserve">, X. V. (2021). Directional spillover effects and time-frequency nexus between oil, </w:t>
      </w:r>
      <w:proofErr w:type="gramStart"/>
      <w:r w:rsidRPr="00244890">
        <w:rPr>
          <w:rFonts w:ascii="Times New Roman" w:hAnsi="Times New Roman" w:cs="Times New Roman"/>
          <w:color w:val="0070C0"/>
          <w:sz w:val="24"/>
          <w:szCs w:val="24"/>
          <w:shd w:val="clear" w:color="auto" w:fill="FFFFFF"/>
        </w:rPr>
        <w:t>gold</w:t>
      </w:r>
      <w:proofErr w:type="gramEnd"/>
      <w:r w:rsidRPr="00244890">
        <w:rPr>
          <w:rFonts w:ascii="Times New Roman" w:hAnsi="Times New Roman" w:cs="Times New Roman"/>
          <w:color w:val="0070C0"/>
          <w:sz w:val="24"/>
          <w:szCs w:val="24"/>
          <w:shd w:val="clear" w:color="auto" w:fill="FFFFFF"/>
        </w:rPr>
        <w:t xml:space="preserve"> and stock markets: Evidence from pre and during COVID-19 outbreak. </w:t>
      </w:r>
      <w:r w:rsidRPr="00244890">
        <w:rPr>
          <w:rFonts w:ascii="Times New Roman" w:hAnsi="Times New Roman" w:cs="Times New Roman"/>
          <w:i/>
          <w:iCs/>
          <w:color w:val="0070C0"/>
          <w:sz w:val="24"/>
          <w:szCs w:val="24"/>
          <w:shd w:val="clear" w:color="auto" w:fill="FFFFFF"/>
        </w:rPr>
        <w:t>International Review of Financial Analysis</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76</w:t>
      </w:r>
      <w:r w:rsidRPr="00244890">
        <w:rPr>
          <w:rFonts w:ascii="Times New Roman" w:hAnsi="Times New Roman" w:cs="Times New Roman"/>
          <w:color w:val="0070C0"/>
          <w:sz w:val="24"/>
          <w:szCs w:val="24"/>
          <w:shd w:val="clear" w:color="auto" w:fill="FFFFFF"/>
        </w:rPr>
        <w:t>, 101730.</w:t>
      </w:r>
    </w:p>
    <w:p w14:paraId="2900B147" w14:textId="77777777" w:rsidR="00244890" w:rsidRPr="00AE345F" w:rsidRDefault="00244890" w:rsidP="00AE345F">
      <w:pPr>
        <w:spacing w:before="240" w:after="0" w:line="360" w:lineRule="auto"/>
        <w:jc w:val="both"/>
        <w:rPr>
          <w:rFonts w:ascii="Times New Roman" w:hAnsi="Times New Roman" w:cs="Times New Roman"/>
          <w:sz w:val="24"/>
          <w:szCs w:val="24"/>
        </w:rPr>
      </w:pPr>
      <w:r w:rsidRPr="00AE345F">
        <w:rPr>
          <w:rFonts w:ascii="Times New Roman" w:hAnsi="Times New Roman" w:cs="Times New Roman"/>
          <w:sz w:val="24"/>
          <w:szCs w:val="24"/>
          <w:shd w:val="clear" w:color="auto" w:fill="FFFFFF"/>
        </w:rPr>
        <w:t>Iqbal, N., Fareed, Z., Wan, G., &amp; Shahzad, F. (2021). Asymmetric nexus between COVID-19 outbreak in the world and cryptocurrency market. </w:t>
      </w:r>
      <w:r w:rsidRPr="00AE345F">
        <w:rPr>
          <w:rFonts w:ascii="Times New Roman" w:hAnsi="Times New Roman" w:cs="Times New Roman"/>
          <w:i/>
          <w:iCs/>
          <w:sz w:val="24"/>
          <w:szCs w:val="24"/>
          <w:shd w:val="clear" w:color="auto" w:fill="FFFFFF"/>
        </w:rPr>
        <w:t>International Review of Financial Analysis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73</w:t>
      </w:r>
      <w:r w:rsidRPr="00AE345F">
        <w:rPr>
          <w:rFonts w:ascii="Times New Roman" w:hAnsi="Times New Roman" w:cs="Times New Roman"/>
          <w:sz w:val="24"/>
          <w:szCs w:val="24"/>
          <w:shd w:val="clear" w:color="auto" w:fill="FFFFFF"/>
        </w:rPr>
        <w:t>, 101613.</w:t>
      </w:r>
    </w:p>
    <w:p w14:paraId="7A8C55E8" w14:textId="1570E1B8" w:rsidR="008244CB" w:rsidRDefault="008244CB" w:rsidP="00244890">
      <w:pPr>
        <w:spacing w:line="360" w:lineRule="auto"/>
        <w:jc w:val="both"/>
        <w:rPr>
          <w:rFonts w:ascii="Times New Roman" w:hAnsi="Times New Roman" w:cs="Times New Roman"/>
          <w:color w:val="0070C0"/>
          <w:sz w:val="24"/>
          <w:szCs w:val="24"/>
          <w:shd w:val="clear" w:color="auto" w:fill="FFFFFF"/>
        </w:rPr>
      </w:pPr>
      <w:bookmarkStart w:id="26" w:name="_Hlk80946783"/>
      <w:proofErr w:type="spellStart"/>
      <w:r w:rsidRPr="008244CB">
        <w:rPr>
          <w:rFonts w:ascii="Times New Roman" w:hAnsi="Times New Roman" w:cs="Times New Roman"/>
          <w:color w:val="0070C0"/>
          <w:sz w:val="24"/>
          <w:szCs w:val="24"/>
          <w:shd w:val="clear" w:color="auto" w:fill="FFFFFF"/>
        </w:rPr>
        <w:t>Kakkattil</w:t>
      </w:r>
      <w:proofErr w:type="spellEnd"/>
      <w:r w:rsidRPr="008244CB">
        <w:rPr>
          <w:rFonts w:ascii="Times New Roman" w:hAnsi="Times New Roman" w:cs="Times New Roman"/>
          <w:color w:val="0070C0"/>
          <w:sz w:val="24"/>
          <w:szCs w:val="24"/>
          <w:shd w:val="clear" w:color="auto" w:fill="FFFFFF"/>
        </w:rPr>
        <w:t xml:space="preserve">, S. K. (2019). Blockchain Technology in Managing Halal Cryptocurrency. </w:t>
      </w:r>
      <w:r w:rsidRPr="008244CB">
        <w:rPr>
          <w:rFonts w:ascii="Times New Roman" w:hAnsi="Times New Roman" w:cs="Times New Roman"/>
          <w:i/>
          <w:iCs/>
          <w:color w:val="0070C0"/>
          <w:sz w:val="24"/>
          <w:szCs w:val="24"/>
          <w:shd w:val="clear" w:color="auto" w:fill="FFFFFF"/>
        </w:rPr>
        <w:t>Halal Cryptocurrency Management</w:t>
      </w:r>
      <w:r>
        <w:rPr>
          <w:rFonts w:ascii="Times New Roman" w:hAnsi="Times New Roman" w:cs="Times New Roman"/>
          <w:color w:val="0070C0"/>
          <w:sz w:val="24"/>
          <w:szCs w:val="24"/>
          <w:shd w:val="clear" w:color="auto" w:fill="FFFFFF"/>
        </w:rPr>
        <w:t>,</w:t>
      </w:r>
      <w:r w:rsidRPr="008244CB">
        <w:rPr>
          <w:rFonts w:ascii="Times New Roman" w:hAnsi="Times New Roman" w:cs="Times New Roman"/>
          <w:color w:val="0070C0"/>
          <w:sz w:val="24"/>
          <w:szCs w:val="24"/>
          <w:shd w:val="clear" w:color="auto" w:fill="FFFFFF"/>
        </w:rPr>
        <w:t xml:space="preserve"> 53-67. Palgrave Macmillan, Cham.</w:t>
      </w:r>
    </w:p>
    <w:p w14:paraId="1A9DB44E" w14:textId="74C8A7E1"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proofErr w:type="spellStart"/>
      <w:r w:rsidRPr="00244890">
        <w:rPr>
          <w:rFonts w:ascii="Times New Roman" w:hAnsi="Times New Roman" w:cs="Times New Roman"/>
          <w:color w:val="0070C0"/>
          <w:sz w:val="24"/>
          <w:szCs w:val="24"/>
          <w:shd w:val="clear" w:color="auto" w:fill="FFFFFF"/>
        </w:rPr>
        <w:t>Kinateder</w:t>
      </w:r>
      <w:proofErr w:type="spellEnd"/>
      <w:r w:rsidRPr="00244890">
        <w:rPr>
          <w:rFonts w:ascii="Times New Roman" w:hAnsi="Times New Roman" w:cs="Times New Roman"/>
          <w:color w:val="0070C0"/>
          <w:sz w:val="24"/>
          <w:szCs w:val="24"/>
          <w:shd w:val="clear" w:color="auto" w:fill="FFFFFF"/>
        </w:rPr>
        <w:t>,</w:t>
      </w:r>
      <w:bookmarkEnd w:id="26"/>
      <w:r w:rsidRPr="00244890">
        <w:rPr>
          <w:rFonts w:ascii="Times New Roman" w:hAnsi="Times New Roman" w:cs="Times New Roman"/>
          <w:color w:val="0070C0"/>
          <w:sz w:val="24"/>
          <w:szCs w:val="24"/>
          <w:shd w:val="clear" w:color="auto" w:fill="FFFFFF"/>
        </w:rPr>
        <w:t xml:space="preserve"> H., Campbell, R., &amp; Choudhury, T. (2021). </w:t>
      </w:r>
      <w:proofErr w:type="gramStart"/>
      <w:r w:rsidRPr="00244890">
        <w:rPr>
          <w:rFonts w:ascii="Times New Roman" w:hAnsi="Times New Roman" w:cs="Times New Roman"/>
          <w:color w:val="0070C0"/>
          <w:sz w:val="24"/>
          <w:szCs w:val="24"/>
          <w:shd w:val="clear" w:color="auto" w:fill="FFFFFF"/>
        </w:rPr>
        <w:t>Safe haven</w:t>
      </w:r>
      <w:proofErr w:type="gramEnd"/>
      <w:r w:rsidRPr="00244890">
        <w:rPr>
          <w:rFonts w:ascii="Times New Roman" w:hAnsi="Times New Roman" w:cs="Times New Roman"/>
          <w:color w:val="0070C0"/>
          <w:sz w:val="24"/>
          <w:szCs w:val="24"/>
          <w:shd w:val="clear" w:color="auto" w:fill="FFFFFF"/>
        </w:rPr>
        <w:t xml:space="preserve"> in GFC versus COVID-19: 100 turbulent days in the financial markets. </w:t>
      </w:r>
      <w:r w:rsidRPr="00244890">
        <w:rPr>
          <w:rFonts w:ascii="Times New Roman" w:hAnsi="Times New Roman" w:cs="Times New Roman"/>
          <w:i/>
          <w:iCs/>
          <w:color w:val="0070C0"/>
          <w:sz w:val="24"/>
          <w:szCs w:val="24"/>
          <w:shd w:val="clear" w:color="auto" w:fill="FFFFFF"/>
        </w:rPr>
        <w:t>Finance Research Letters</w:t>
      </w:r>
      <w:r w:rsidRPr="00244890">
        <w:rPr>
          <w:rFonts w:ascii="Times New Roman" w:hAnsi="Times New Roman" w:cs="Times New Roman"/>
          <w:color w:val="0070C0"/>
          <w:sz w:val="24"/>
          <w:szCs w:val="24"/>
          <w:shd w:val="clear" w:color="auto" w:fill="FFFFFF"/>
        </w:rPr>
        <w:t>, 101951.</w:t>
      </w:r>
    </w:p>
    <w:p w14:paraId="2F1AE110" w14:textId="77777777" w:rsidR="00244890" w:rsidRPr="00AE345F" w:rsidRDefault="00244890" w:rsidP="00AE345F">
      <w:pPr>
        <w:pStyle w:val="MDPI31text"/>
        <w:spacing w:before="240" w:line="360" w:lineRule="auto"/>
        <w:ind w:firstLine="0"/>
        <w:rPr>
          <w:rFonts w:ascii="Times New Roman" w:hAnsi="Times New Roman"/>
          <w:color w:val="auto"/>
          <w:sz w:val="24"/>
          <w:szCs w:val="24"/>
          <w:shd w:val="clear" w:color="auto" w:fill="FFFFFF"/>
        </w:rPr>
      </w:pPr>
      <w:r w:rsidRPr="00AE345F">
        <w:rPr>
          <w:rFonts w:ascii="Times New Roman" w:hAnsi="Times New Roman"/>
          <w:color w:val="auto"/>
          <w:sz w:val="24"/>
          <w:szCs w:val="24"/>
          <w:shd w:val="clear" w:color="auto" w:fill="FFFFFF"/>
        </w:rPr>
        <w:t xml:space="preserve">Kroner, K. F., &amp; Ng, V. K. (1998). Modeling asymmetric </w:t>
      </w:r>
      <w:proofErr w:type="spellStart"/>
      <w:r w:rsidRPr="00AE345F">
        <w:rPr>
          <w:rFonts w:ascii="Times New Roman" w:hAnsi="Times New Roman"/>
          <w:color w:val="auto"/>
          <w:sz w:val="24"/>
          <w:szCs w:val="24"/>
          <w:shd w:val="clear" w:color="auto" w:fill="FFFFFF"/>
        </w:rPr>
        <w:t>comovements</w:t>
      </w:r>
      <w:proofErr w:type="spellEnd"/>
      <w:r w:rsidRPr="00AE345F">
        <w:rPr>
          <w:rFonts w:ascii="Times New Roman" w:hAnsi="Times New Roman"/>
          <w:color w:val="auto"/>
          <w:sz w:val="24"/>
          <w:szCs w:val="24"/>
          <w:shd w:val="clear" w:color="auto" w:fill="FFFFFF"/>
        </w:rPr>
        <w:t xml:space="preserve"> of asset returns. </w:t>
      </w:r>
      <w:r w:rsidRPr="00AE345F">
        <w:rPr>
          <w:rFonts w:ascii="Times New Roman" w:hAnsi="Times New Roman"/>
          <w:i/>
          <w:iCs/>
          <w:color w:val="auto"/>
          <w:sz w:val="24"/>
          <w:szCs w:val="24"/>
          <w:shd w:val="clear" w:color="auto" w:fill="FFFFFF"/>
        </w:rPr>
        <w:t>The review of financial studies</w:t>
      </w:r>
      <w:r w:rsidRPr="00AE345F">
        <w:rPr>
          <w:rFonts w:ascii="Times New Roman" w:hAnsi="Times New Roman"/>
          <w:color w:val="auto"/>
          <w:sz w:val="24"/>
          <w:szCs w:val="24"/>
          <w:shd w:val="clear" w:color="auto" w:fill="FFFFFF"/>
        </w:rPr>
        <w:t>, </w:t>
      </w:r>
      <w:r w:rsidRPr="00AE345F">
        <w:rPr>
          <w:rFonts w:ascii="Times New Roman" w:hAnsi="Times New Roman"/>
          <w:i/>
          <w:iCs/>
          <w:color w:val="auto"/>
          <w:sz w:val="24"/>
          <w:szCs w:val="24"/>
          <w:shd w:val="clear" w:color="auto" w:fill="FFFFFF"/>
        </w:rPr>
        <w:t>11</w:t>
      </w:r>
      <w:r w:rsidRPr="00AE345F">
        <w:rPr>
          <w:rFonts w:ascii="Times New Roman" w:hAnsi="Times New Roman"/>
          <w:color w:val="auto"/>
          <w:sz w:val="24"/>
          <w:szCs w:val="24"/>
          <w:shd w:val="clear" w:color="auto" w:fill="FFFFFF"/>
        </w:rPr>
        <w:t>(4), 817-844.</w:t>
      </w:r>
    </w:p>
    <w:p w14:paraId="3538FCA7" w14:textId="77777777" w:rsidR="00244890" w:rsidRPr="00AE345F" w:rsidRDefault="00244890" w:rsidP="00AE345F">
      <w:pPr>
        <w:pStyle w:val="MDPI31text"/>
        <w:spacing w:before="240" w:line="360" w:lineRule="auto"/>
        <w:ind w:firstLine="0"/>
        <w:rPr>
          <w:rFonts w:ascii="Times New Roman" w:hAnsi="Times New Roman"/>
          <w:color w:val="auto"/>
          <w:sz w:val="24"/>
          <w:szCs w:val="24"/>
          <w:shd w:val="clear" w:color="auto" w:fill="FFFFFF"/>
        </w:rPr>
      </w:pPr>
      <w:r w:rsidRPr="00AE345F">
        <w:rPr>
          <w:rFonts w:ascii="Times New Roman" w:hAnsi="Times New Roman"/>
          <w:color w:val="auto"/>
          <w:sz w:val="24"/>
          <w:szCs w:val="24"/>
          <w:shd w:val="clear" w:color="auto" w:fill="FFFFFF"/>
        </w:rPr>
        <w:t>Kroner, K. F., &amp; Sultan, J. (1993). Time-varying distributions and dynamic hedging with foreign currency futures. </w:t>
      </w:r>
      <w:r w:rsidRPr="00AE345F">
        <w:rPr>
          <w:rFonts w:ascii="Times New Roman" w:hAnsi="Times New Roman"/>
          <w:i/>
          <w:iCs/>
          <w:color w:val="auto"/>
          <w:sz w:val="24"/>
          <w:szCs w:val="24"/>
          <w:shd w:val="clear" w:color="auto" w:fill="FFFFFF"/>
        </w:rPr>
        <w:t>Journal of financial and quantitative analysis</w:t>
      </w:r>
      <w:r w:rsidRPr="00AE345F">
        <w:rPr>
          <w:rFonts w:ascii="Times New Roman" w:hAnsi="Times New Roman"/>
          <w:color w:val="auto"/>
          <w:sz w:val="24"/>
          <w:szCs w:val="24"/>
          <w:shd w:val="clear" w:color="auto" w:fill="FFFFFF"/>
        </w:rPr>
        <w:t>, 535-551.</w:t>
      </w:r>
    </w:p>
    <w:p w14:paraId="66416456" w14:textId="77777777" w:rsidR="00244890" w:rsidRPr="00AE345F" w:rsidRDefault="00244890" w:rsidP="00AE345F">
      <w:pPr>
        <w:pStyle w:val="MDPI31text"/>
        <w:spacing w:before="240" w:line="360" w:lineRule="auto"/>
        <w:ind w:firstLine="0"/>
        <w:rPr>
          <w:rFonts w:ascii="Times New Roman" w:hAnsi="Times New Roman"/>
          <w:color w:val="auto"/>
          <w:sz w:val="24"/>
          <w:szCs w:val="24"/>
          <w:shd w:val="clear" w:color="auto" w:fill="FFFFFF"/>
        </w:rPr>
      </w:pPr>
      <w:r w:rsidRPr="00AE345F">
        <w:rPr>
          <w:rFonts w:ascii="Times New Roman" w:hAnsi="Times New Roman"/>
          <w:color w:val="auto"/>
          <w:sz w:val="24"/>
          <w:szCs w:val="24"/>
          <w:shd w:val="clear" w:color="auto" w:fill="FFFFFF"/>
        </w:rPr>
        <w:t>Ku, Y. H. H., Chen, H. C., &amp; Chen, K. H. (2007). On the application of the dynamic conditional correlation model in estimating optimal time-varying hedge ratios. </w:t>
      </w:r>
      <w:r w:rsidRPr="00AE345F">
        <w:rPr>
          <w:rFonts w:ascii="Times New Roman" w:hAnsi="Times New Roman"/>
          <w:i/>
          <w:iCs/>
          <w:color w:val="auto"/>
          <w:sz w:val="24"/>
          <w:szCs w:val="24"/>
          <w:shd w:val="clear" w:color="auto" w:fill="FFFFFF"/>
        </w:rPr>
        <w:t>Applied Economics Letters</w:t>
      </w:r>
      <w:r w:rsidRPr="00AE345F">
        <w:rPr>
          <w:rFonts w:ascii="Times New Roman" w:hAnsi="Times New Roman"/>
          <w:color w:val="auto"/>
          <w:sz w:val="24"/>
          <w:szCs w:val="24"/>
          <w:shd w:val="clear" w:color="auto" w:fill="FFFFFF"/>
        </w:rPr>
        <w:t>, </w:t>
      </w:r>
      <w:r w:rsidRPr="00AE345F">
        <w:rPr>
          <w:rFonts w:ascii="Times New Roman" w:hAnsi="Times New Roman"/>
          <w:i/>
          <w:iCs/>
          <w:color w:val="auto"/>
          <w:sz w:val="24"/>
          <w:szCs w:val="24"/>
          <w:shd w:val="clear" w:color="auto" w:fill="FFFFFF"/>
        </w:rPr>
        <w:t>14</w:t>
      </w:r>
      <w:r w:rsidRPr="00AE345F">
        <w:rPr>
          <w:rFonts w:ascii="Times New Roman" w:hAnsi="Times New Roman"/>
          <w:color w:val="auto"/>
          <w:sz w:val="24"/>
          <w:szCs w:val="24"/>
          <w:shd w:val="clear" w:color="auto" w:fill="FFFFFF"/>
        </w:rPr>
        <w:t>(7), 503-509.</w:t>
      </w:r>
    </w:p>
    <w:p w14:paraId="75B336FE"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bookmarkStart w:id="27" w:name="_Hlk80968411"/>
      <w:proofErr w:type="spellStart"/>
      <w:r w:rsidRPr="00244890">
        <w:rPr>
          <w:rFonts w:ascii="Times New Roman" w:hAnsi="Times New Roman" w:cs="Times New Roman"/>
          <w:color w:val="0070C0"/>
          <w:sz w:val="24"/>
          <w:szCs w:val="24"/>
          <w:shd w:val="clear" w:color="auto" w:fill="FFFFFF"/>
        </w:rPr>
        <w:lastRenderedPageBreak/>
        <w:t>Lahmiri</w:t>
      </w:r>
      <w:proofErr w:type="spellEnd"/>
      <w:r w:rsidRPr="00244890">
        <w:rPr>
          <w:rFonts w:ascii="Times New Roman" w:hAnsi="Times New Roman" w:cs="Times New Roman"/>
          <w:color w:val="0070C0"/>
          <w:sz w:val="24"/>
          <w:szCs w:val="24"/>
          <w:shd w:val="clear" w:color="auto" w:fill="FFFFFF"/>
        </w:rPr>
        <w:t xml:space="preserve">, S., &amp; </w:t>
      </w:r>
      <w:proofErr w:type="spellStart"/>
      <w:r w:rsidRPr="00244890">
        <w:rPr>
          <w:rFonts w:ascii="Times New Roman" w:hAnsi="Times New Roman" w:cs="Times New Roman"/>
          <w:color w:val="0070C0"/>
          <w:sz w:val="24"/>
          <w:szCs w:val="24"/>
          <w:shd w:val="clear" w:color="auto" w:fill="FFFFFF"/>
        </w:rPr>
        <w:t>Bekiros</w:t>
      </w:r>
      <w:proofErr w:type="spellEnd"/>
      <w:r w:rsidRPr="00244890">
        <w:rPr>
          <w:rFonts w:ascii="Times New Roman" w:hAnsi="Times New Roman" w:cs="Times New Roman"/>
          <w:color w:val="0070C0"/>
          <w:sz w:val="24"/>
          <w:szCs w:val="24"/>
          <w:shd w:val="clear" w:color="auto" w:fill="FFFFFF"/>
        </w:rPr>
        <w:t>, S. (2019</w:t>
      </w:r>
      <w:bookmarkEnd w:id="27"/>
      <w:r w:rsidRPr="00244890">
        <w:rPr>
          <w:rFonts w:ascii="Times New Roman" w:hAnsi="Times New Roman" w:cs="Times New Roman"/>
          <w:color w:val="0070C0"/>
          <w:sz w:val="24"/>
          <w:szCs w:val="24"/>
          <w:shd w:val="clear" w:color="auto" w:fill="FFFFFF"/>
        </w:rPr>
        <w:t xml:space="preserve">). Decomposing the persistence structure of Islamic and green </w:t>
      </w:r>
      <w:proofErr w:type="gramStart"/>
      <w:r w:rsidRPr="00244890">
        <w:rPr>
          <w:rFonts w:ascii="Times New Roman" w:hAnsi="Times New Roman" w:cs="Times New Roman"/>
          <w:color w:val="0070C0"/>
          <w:sz w:val="24"/>
          <w:szCs w:val="24"/>
          <w:shd w:val="clear" w:color="auto" w:fill="FFFFFF"/>
        </w:rPr>
        <w:t>crypto-currencies</w:t>
      </w:r>
      <w:proofErr w:type="gramEnd"/>
      <w:r w:rsidRPr="00244890">
        <w:rPr>
          <w:rFonts w:ascii="Times New Roman" w:hAnsi="Times New Roman" w:cs="Times New Roman"/>
          <w:color w:val="0070C0"/>
          <w:sz w:val="24"/>
          <w:szCs w:val="24"/>
          <w:shd w:val="clear" w:color="auto" w:fill="FFFFFF"/>
        </w:rPr>
        <w:t xml:space="preserve"> with nonlinear stepwise filtering. </w:t>
      </w:r>
      <w:r w:rsidRPr="00244890">
        <w:rPr>
          <w:rFonts w:ascii="Times New Roman" w:hAnsi="Times New Roman" w:cs="Times New Roman"/>
          <w:i/>
          <w:iCs/>
          <w:color w:val="0070C0"/>
          <w:sz w:val="24"/>
          <w:szCs w:val="24"/>
          <w:shd w:val="clear" w:color="auto" w:fill="FFFFFF"/>
        </w:rPr>
        <w:t>Chaos, Solitons &amp; Fractals</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127</w:t>
      </w:r>
      <w:r w:rsidRPr="00244890">
        <w:rPr>
          <w:rFonts w:ascii="Times New Roman" w:hAnsi="Times New Roman" w:cs="Times New Roman"/>
          <w:color w:val="0070C0"/>
          <w:sz w:val="24"/>
          <w:szCs w:val="24"/>
          <w:shd w:val="clear" w:color="auto" w:fill="FFFFFF"/>
        </w:rPr>
        <w:t>, 334-341.</w:t>
      </w:r>
    </w:p>
    <w:p w14:paraId="11E1C40A" w14:textId="77777777" w:rsidR="00244890" w:rsidRPr="00AE345F" w:rsidRDefault="00244890" w:rsidP="00AE345F">
      <w:pPr>
        <w:spacing w:before="240" w:after="0" w:line="360" w:lineRule="auto"/>
        <w:jc w:val="both"/>
        <w:rPr>
          <w:rFonts w:ascii="Times New Roman" w:hAnsi="Times New Roman" w:cs="Times New Roman"/>
          <w:sz w:val="24"/>
          <w:szCs w:val="24"/>
        </w:rPr>
      </w:pPr>
      <w:proofErr w:type="spellStart"/>
      <w:r w:rsidRPr="00AE345F">
        <w:rPr>
          <w:rFonts w:ascii="Times New Roman" w:hAnsi="Times New Roman" w:cs="Times New Roman"/>
          <w:sz w:val="24"/>
          <w:szCs w:val="24"/>
          <w:shd w:val="clear" w:color="auto" w:fill="FFFFFF"/>
        </w:rPr>
        <w:t>Maghyereh</w:t>
      </w:r>
      <w:proofErr w:type="spellEnd"/>
      <w:r w:rsidRPr="00AE345F">
        <w:rPr>
          <w:rFonts w:ascii="Times New Roman" w:hAnsi="Times New Roman" w:cs="Times New Roman"/>
          <w:sz w:val="24"/>
          <w:szCs w:val="24"/>
          <w:shd w:val="clear" w:color="auto" w:fill="FFFFFF"/>
        </w:rPr>
        <w:t xml:space="preserve">, A. I., </w:t>
      </w:r>
      <w:proofErr w:type="spellStart"/>
      <w:r w:rsidRPr="00AE345F">
        <w:rPr>
          <w:rFonts w:ascii="Times New Roman" w:hAnsi="Times New Roman" w:cs="Times New Roman"/>
          <w:sz w:val="24"/>
          <w:szCs w:val="24"/>
          <w:shd w:val="clear" w:color="auto" w:fill="FFFFFF"/>
        </w:rPr>
        <w:t>Abdoh</w:t>
      </w:r>
      <w:proofErr w:type="spellEnd"/>
      <w:r w:rsidRPr="00AE345F">
        <w:rPr>
          <w:rFonts w:ascii="Times New Roman" w:hAnsi="Times New Roman" w:cs="Times New Roman"/>
          <w:sz w:val="24"/>
          <w:szCs w:val="24"/>
          <w:shd w:val="clear" w:color="auto" w:fill="FFFFFF"/>
        </w:rPr>
        <w:t xml:space="preserve">, H., &amp; </w:t>
      </w:r>
      <w:proofErr w:type="spellStart"/>
      <w:r w:rsidRPr="00AE345F">
        <w:rPr>
          <w:rFonts w:ascii="Times New Roman" w:hAnsi="Times New Roman" w:cs="Times New Roman"/>
          <w:sz w:val="24"/>
          <w:szCs w:val="24"/>
          <w:shd w:val="clear" w:color="auto" w:fill="FFFFFF"/>
        </w:rPr>
        <w:t>Awartani</w:t>
      </w:r>
      <w:proofErr w:type="spellEnd"/>
      <w:r w:rsidRPr="00AE345F">
        <w:rPr>
          <w:rFonts w:ascii="Times New Roman" w:hAnsi="Times New Roman" w:cs="Times New Roman"/>
          <w:sz w:val="24"/>
          <w:szCs w:val="24"/>
          <w:shd w:val="clear" w:color="auto" w:fill="FFFFFF"/>
        </w:rPr>
        <w:t>, B. (2019). Connectedness and hedging between gold and Islamic securities: A new evidence from time-frequency domain approaches. </w:t>
      </w:r>
      <w:r w:rsidRPr="00AE345F">
        <w:rPr>
          <w:rFonts w:ascii="Times New Roman" w:hAnsi="Times New Roman" w:cs="Times New Roman"/>
          <w:i/>
          <w:iCs/>
          <w:sz w:val="24"/>
          <w:szCs w:val="24"/>
          <w:shd w:val="clear" w:color="auto" w:fill="FFFFFF"/>
        </w:rPr>
        <w:t>Pacific-Basin Finance Journal</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54</w:t>
      </w:r>
      <w:r w:rsidRPr="00AE345F">
        <w:rPr>
          <w:rFonts w:ascii="Times New Roman" w:hAnsi="Times New Roman" w:cs="Times New Roman"/>
          <w:sz w:val="24"/>
          <w:szCs w:val="24"/>
          <w:shd w:val="clear" w:color="auto" w:fill="FFFFFF"/>
        </w:rPr>
        <w:t>, 13-28.</w:t>
      </w:r>
    </w:p>
    <w:p w14:paraId="1D2A7FB0" w14:textId="77777777" w:rsidR="00244890" w:rsidRPr="00AE345F" w:rsidRDefault="00244890" w:rsidP="00AE345F">
      <w:pPr>
        <w:spacing w:before="240" w:after="0" w:line="360" w:lineRule="auto"/>
        <w:jc w:val="both"/>
        <w:rPr>
          <w:rFonts w:ascii="Times New Roman" w:hAnsi="Times New Roman" w:cs="Times New Roman"/>
          <w:sz w:val="24"/>
          <w:szCs w:val="24"/>
        </w:rPr>
      </w:pPr>
      <w:bookmarkStart w:id="28" w:name="_Hlk66578732"/>
      <w:proofErr w:type="spellStart"/>
      <w:r w:rsidRPr="00AE345F">
        <w:rPr>
          <w:rFonts w:ascii="Times New Roman" w:hAnsi="Times New Roman" w:cs="Times New Roman"/>
          <w:sz w:val="24"/>
          <w:szCs w:val="24"/>
          <w:shd w:val="clear" w:color="auto" w:fill="FFFFFF"/>
        </w:rPr>
        <w:t>Maghyereh</w:t>
      </w:r>
      <w:bookmarkEnd w:id="28"/>
      <w:proofErr w:type="spellEnd"/>
      <w:r w:rsidRPr="00AE345F">
        <w:rPr>
          <w:rFonts w:ascii="Times New Roman" w:hAnsi="Times New Roman" w:cs="Times New Roman"/>
          <w:sz w:val="24"/>
          <w:szCs w:val="24"/>
          <w:shd w:val="clear" w:color="auto" w:fill="FFFFFF"/>
        </w:rPr>
        <w:t xml:space="preserve">, A., </w:t>
      </w:r>
      <w:proofErr w:type="spellStart"/>
      <w:r w:rsidRPr="00AE345F">
        <w:rPr>
          <w:rFonts w:ascii="Times New Roman" w:hAnsi="Times New Roman" w:cs="Times New Roman"/>
          <w:sz w:val="24"/>
          <w:szCs w:val="24"/>
          <w:shd w:val="clear" w:color="auto" w:fill="FFFFFF"/>
        </w:rPr>
        <w:t>Awartani</w:t>
      </w:r>
      <w:proofErr w:type="spellEnd"/>
      <w:r w:rsidRPr="00AE345F">
        <w:rPr>
          <w:rFonts w:ascii="Times New Roman" w:hAnsi="Times New Roman" w:cs="Times New Roman"/>
          <w:sz w:val="24"/>
          <w:szCs w:val="24"/>
          <w:shd w:val="clear" w:color="auto" w:fill="FFFFFF"/>
        </w:rPr>
        <w:t>, B., &amp; Hassan, A. (2018). Can gold be used as a hedge against the risks of Sharia-compliant securities? Application for Islamic portfolio management. </w:t>
      </w:r>
      <w:r w:rsidRPr="00AE345F">
        <w:rPr>
          <w:rFonts w:ascii="Times New Roman" w:hAnsi="Times New Roman" w:cs="Times New Roman"/>
          <w:i/>
          <w:iCs/>
          <w:sz w:val="24"/>
          <w:szCs w:val="24"/>
          <w:shd w:val="clear" w:color="auto" w:fill="FFFFFF"/>
        </w:rPr>
        <w:t>Journal of Asset Management</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19</w:t>
      </w:r>
      <w:r w:rsidRPr="00AE345F">
        <w:rPr>
          <w:rFonts w:ascii="Times New Roman" w:hAnsi="Times New Roman" w:cs="Times New Roman"/>
          <w:sz w:val="24"/>
          <w:szCs w:val="24"/>
          <w:shd w:val="clear" w:color="auto" w:fill="FFFFFF"/>
        </w:rPr>
        <w:t>(6), 394-412.</w:t>
      </w:r>
    </w:p>
    <w:p w14:paraId="0271446E" w14:textId="77777777" w:rsidR="00244890" w:rsidRPr="00AE345F" w:rsidRDefault="00244890" w:rsidP="00AE345F">
      <w:pPr>
        <w:spacing w:before="240" w:after="0" w:line="360" w:lineRule="auto"/>
        <w:jc w:val="both"/>
        <w:rPr>
          <w:rFonts w:ascii="Times New Roman" w:hAnsi="Times New Roman" w:cs="Times New Roman"/>
          <w:sz w:val="24"/>
          <w:szCs w:val="24"/>
        </w:rPr>
      </w:pPr>
      <w:bookmarkStart w:id="29" w:name="_Hlk69421113"/>
      <w:r w:rsidRPr="00AE345F">
        <w:rPr>
          <w:rFonts w:ascii="Times New Roman" w:hAnsi="Times New Roman" w:cs="Times New Roman"/>
          <w:sz w:val="24"/>
          <w:szCs w:val="24"/>
          <w:shd w:val="clear" w:color="auto" w:fill="FFFFFF"/>
        </w:rPr>
        <w:t>Mariana</w:t>
      </w:r>
      <w:bookmarkEnd w:id="29"/>
      <w:r w:rsidRPr="00AE345F">
        <w:rPr>
          <w:rFonts w:ascii="Times New Roman" w:hAnsi="Times New Roman" w:cs="Times New Roman"/>
          <w:sz w:val="24"/>
          <w:szCs w:val="24"/>
          <w:shd w:val="clear" w:color="auto" w:fill="FFFFFF"/>
        </w:rPr>
        <w:t xml:space="preserve">, C. D., </w:t>
      </w:r>
      <w:proofErr w:type="spellStart"/>
      <w:r w:rsidRPr="00AE345F">
        <w:rPr>
          <w:rFonts w:ascii="Times New Roman" w:hAnsi="Times New Roman" w:cs="Times New Roman"/>
          <w:sz w:val="24"/>
          <w:szCs w:val="24"/>
          <w:shd w:val="clear" w:color="auto" w:fill="FFFFFF"/>
        </w:rPr>
        <w:t>Ekaputra</w:t>
      </w:r>
      <w:proofErr w:type="spellEnd"/>
      <w:r w:rsidRPr="00AE345F">
        <w:rPr>
          <w:rFonts w:ascii="Times New Roman" w:hAnsi="Times New Roman" w:cs="Times New Roman"/>
          <w:sz w:val="24"/>
          <w:szCs w:val="24"/>
          <w:shd w:val="clear" w:color="auto" w:fill="FFFFFF"/>
        </w:rPr>
        <w:t xml:space="preserve">, I. A., &amp; </w:t>
      </w:r>
      <w:proofErr w:type="spellStart"/>
      <w:r w:rsidRPr="00AE345F">
        <w:rPr>
          <w:rFonts w:ascii="Times New Roman" w:hAnsi="Times New Roman" w:cs="Times New Roman"/>
          <w:sz w:val="24"/>
          <w:szCs w:val="24"/>
          <w:shd w:val="clear" w:color="auto" w:fill="FFFFFF"/>
        </w:rPr>
        <w:t>Husodo</w:t>
      </w:r>
      <w:proofErr w:type="spellEnd"/>
      <w:r w:rsidRPr="00AE345F">
        <w:rPr>
          <w:rFonts w:ascii="Times New Roman" w:hAnsi="Times New Roman" w:cs="Times New Roman"/>
          <w:sz w:val="24"/>
          <w:szCs w:val="24"/>
          <w:shd w:val="clear" w:color="auto" w:fill="FFFFFF"/>
        </w:rPr>
        <w:t xml:space="preserve">, Z. A. (2021). Are Bitcoin and Ethereum safe-havens for stocks during the COVID-19 </w:t>
      </w:r>
      <w:proofErr w:type="gramStart"/>
      <w:r w:rsidRPr="00AE345F">
        <w:rPr>
          <w:rFonts w:ascii="Times New Roman" w:hAnsi="Times New Roman" w:cs="Times New Roman"/>
          <w:sz w:val="24"/>
          <w:szCs w:val="24"/>
          <w:shd w:val="clear" w:color="auto" w:fill="FFFFFF"/>
        </w:rPr>
        <w:t>pandemic?.</w:t>
      </w:r>
      <w:proofErr w:type="gramEnd"/>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Finance research letters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38</w:t>
      </w:r>
      <w:r w:rsidRPr="00AE345F">
        <w:rPr>
          <w:rFonts w:ascii="Times New Roman" w:hAnsi="Times New Roman" w:cs="Times New Roman"/>
          <w:sz w:val="24"/>
          <w:szCs w:val="24"/>
          <w:shd w:val="clear" w:color="auto" w:fill="FFFFFF"/>
        </w:rPr>
        <w:t>, 101798.</w:t>
      </w:r>
    </w:p>
    <w:p w14:paraId="4E5AD9FF" w14:textId="77777777" w:rsidR="00244890" w:rsidRPr="00AE345F" w:rsidRDefault="00244890" w:rsidP="00AE345F">
      <w:pPr>
        <w:spacing w:before="240" w:after="0" w:line="360" w:lineRule="auto"/>
        <w:jc w:val="both"/>
        <w:rPr>
          <w:rFonts w:ascii="Times New Roman" w:hAnsi="Times New Roman" w:cs="Times New Roman"/>
          <w:sz w:val="24"/>
          <w:szCs w:val="24"/>
        </w:rPr>
      </w:pPr>
      <w:bookmarkStart w:id="30" w:name="_Hlk66578301"/>
      <w:proofErr w:type="spellStart"/>
      <w:r w:rsidRPr="00AE345F">
        <w:rPr>
          <w:rFonts w:ascii="Times New Roman" w:hAnsi="Times New Roman" w:cs="Times New Roman"/>
          <w:sz w:val="24"/>
          <w:szCs w:val="24"/>
          <w:shd w:val="clear" w:color="auto" w:fill="FFFFFF"/>
        </w:rPr>
        <w:t>Mensi</w:t>
      </w:r>
      <w:proofErr w:type="spellEnd"/>
      <w:r w:rsidRPr="00AE345F">
        <w:rPr>
          <w:rFonts w:ascii="Times New Roman" w:hAnsi="Times New Roman" w:cs="Times New Roman"/>
          <w:sz w:val="24"/>
          <w:szCs w:val="24"/>
          <w:shd w:val="clear" w:color="auto" w:fill="FFFFFF"/>
        </w:rPr>
        <w:t>,</w:t>
      </w:r>
      <w:bookmarkEnd w:id="30"/>
      <w:r w:rsidRPr="00AE345F">
        <w:rPr>
          <w:rFonts w:ascii="Times New Roman" w:hAnsi="Times New Roman" w:cs="Times New Roman"/>
          <w:sz w:val="24"/>
          <w:szCs w:val="24"/>
          <w:shd w:val="clear" w:color="auto" w:fill="FFFFFF"/>
        </w:rPr>
        <w:t xml:space="preserve"> W., Rehman, M. U., Maitra, D., Al-</w:t>
      </w:r>
      <w:proofErr w:type="spellStart"/>
      <w:r w:rsidRPr="00AE345F">
        <w:rPr>
          <w:rFonts w:ascii="Times New Roman" w:hAnsi="Times New Roman" w:cs="Times New Roman"/>
          <w:sz w:val="24"/>
          <w:szCs w:val="24"/>
          <w:shd w:val="clear" w:color="auto" w:fill="FFFFFF"/>
        </w:rPr>
        <w:t>Yahyaee</w:t>
      </w:r>
      <w:proofErr w:type="spellEnd"/>
      <w:r w:rsidRPr="00AE345F">
        <w:rPr>
          <w:rFonts w:ascii="Times New Roman" w:hAnsi="Times New Roman" w:cs="Times New Roman"/>
          <w:sz w:val="24"/>
          <w:szCs w:val="24"/>
          <w:shd w:val="clear" w:color="auto" w:fill="FFFFFF"/>
        </w:rPr>
        <w:t xml:space="preserve">, K. H., &amp; </w:t>
      </w:r>
      <w:proofErr w:type="spellStart"/>
      <w:r w:rsidRPr="00AE345F">
        <w:rPr>
          <w:rFonts w:ascii="Times New Roman" w:hAnsi="Times New Roman" w:cs="Times New Roman"/>
          <w:sz w:val="24"/>
          <w:szCs w:val="24"/>
          <w:shd w:val="clear" w:color="auto" w:fill="FFFFFF"/>
        </w:rPr>
        <w:t>Sensoy</w:t>
      </w:r>
      <w:proofErr w:type="spellEnd"/>
      <w:r w:rsidRPr="00AE345F">
        <w:rPr>
          <w:rFonts w:ascii="Times New Roman" w:hAnsi="Times New Roman" w:cs="Times New Roman"/>
          <w:sz w:val="24"/>
          <w:szCs w:val="24"/>
          <w:shd w:val="clear" w:color="auto" w:fill="FFFFFF"/>
        </w:rPr>
        <w:t>, A. (2020). Does bitcoin co-move and share risk with Sukuk and world and regional Islamic stock markets? Evidence using a time-frequency approach. </w:t>
      </w:r>
      <w:r w:rsidRPr="00AE345F">
        <w:rPr>
          <w:rFonts w:ascii="Times New Roman" w:hAnsi="Times New Roman" w:cs="Times New Roman"/>
          <w:i/>
          <w:iCs/>
          <w:sz w:val="24"/>
          <w:szCs w:val="24"/>
          <w:shd w:val="clear" w:color="auto" w:fill="FFFFFF"/>
        </w:rPr>
        <w:t>Research in International Business and Finance</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53</w:t>
      </w:r>
      <w:r w:rsidRPr="00AE345F">
        <w:rPr>
          <w:rFonts w:ascii="Times New Roman" w:hAnsi="Times New Roman" w:cs="Times New Roman"/>
          <w:sz w:val="24"/>
          <w:szCs w:val="24"/>
          <w:shd w:val="clear" w:color="auto" w:fill="FFFFFF"/>
        </w:rPr>
        <w:t>, 101230.</w:t>
      </w:r>
    </w:p>
    <w:p w14:paraId="0E69E1A9"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r w:rsidRPr="00244890">
        <w:rPr>
          <w:rFonts w:ascii="Times New Roman" w:hAnsi="Times New Roman" w:cs="Times New Roman"/>
          <w:color w:val="0070C0"/>
          <w:sz w:val="24"/>
          <w:szCs w:val="24"/>
          <w:shd w:val="clear" w:color="auto" w:fill="FFFFFF"/>
        </w:rPr>
        <w:t xml:space="preserve">Naeem, M. A., </w:t>
      </w:r>
      <w:proofErr w:type="spellStart"/>
      <w:r w:rsidRPr="00244890">
        <w:rPr>
          <w:rFonts w:ascii="Times New Roman" w:hAnsi="Times New Roman" w:cs="Times New Roman"/>
          <w:color w:val="0070C0"/>
          <w:sz w:val="24"/>
          <w:szCs w:val="24"/>
          <w:shd w:val="clear" w:color="auto" w:fill="FFFFFF"/>
        </w:rPr>
        <w:t>Billah</w:t>
      </w:r>
      <w:proofErr w:type="spellEnd"/>
      <w:r w:rsidRPr="00244890">
        <w:rPr>
          <w:rFonts w:ascii="Times New Roman" w:hAnsi="Times New Roman" w:cs="Times New Roman"/>
          <w:color w:val="0070C0"/>
          <w:sz w:val="24"/>
          <w:szCs w:val="24"/>
          <w:shd w:val="clear" w:color="auto" w:fill="FFFFFF"/>
        </w:rPr>
        <w:t xml:space="preserve">, M., </w:t>
      </w:r>
      <w:proofErr w:type="spellStart"/>
      <w:r w:rsidRPr="00244890">
        <w:rPr>
          <w:rFonts w:ascii="Times New Roman" w:hAnsi="Times New Roman" w:cs="Times New Roman"/>
          <w:color w:val="0070C0"/>
          <w:sz w:val="24"/>
          <w:szCs w:val="24"/>
          <w:shd w:val="clear" w:color="auto" w:fill="FFFFFF"/>
        </w:rPr>
        <w:t>Marei</w:t>
      </w:r>
      <w:proofErr w:type="spellEnd"/>
      <w:r w:rsidRPr="00244890">
        <w:rPr>
          <w:rFonts w:ascii="Times New Roman" w:hAnsi="Times New Roman" w:cs="Times New Roman"/>
          <w:color w:val="0070C0"/>
          <w:sz w:val="24"/>
          <w:szCs w:val="24"/>
          <w:shd w:val="clear" w:color="auto" w:fill="FFFFFF"/>
        </w:rPr>
        <w:t xml:space="preserve">, M., &amp; </w:t>
      </w:r>
      <w:proofErr w:type="spellStart"/>
      <w:r w:rsidRPr="00244890">
        <w:rPr>
          <w:rFonts w:ascii="Times New Roman" w:hAnsi="Times New Roman" w:cs="Times New Roman"/>
          <w:color w:val="0070C0"/>
          <w:sz w:val="24"/>
          <w:szCs w:val="24"/>
          <w:shd w:val="clear" w:color="auto" w:fill="FFFFFF"/>
        </w:rPr>
        <w:t>Balli</w:t>
      </w:r>
      <w:proofErr w:type="spellEnd"/>
      <w:r w:rsidRPr="00244890">
        <w:rPr>
          <w:rFonts w:ascii="Times New Roman" w:hAnsi="Times New Roman" w:cs="Times New Roman"/>
          <w:color w:val="0070C0"/>
          <w:sz w:val="24"/>
          <w:szCs w:val="24"/>
          <w:shd w:val="clear" w:color="auto" w:fill="FFFFFF"/>
        </w:rPr>
        <w:t>, F. (2021). Quantile connectedness between Sukuk bonds and the impact of COVID-19. </w:t>
      </w:r>
      <w:r w:rsidRPr="00244890">
        <w:rPr>
          <w:rFonts w:ascii="Times New Roman" w:hAnsi="Times New Roman" w:cs="Times New Roman"/>
          <w:i/>
          <w:iCs/>
          <w:color w:val="0070C0"/>
          <w:sz w:val="24"/>
          <w:szCs w:val="24"/>
          <w:shd w:val="clear" w:color="auto" w:fill="FFFFFF"/>
        </w:rPr>
        <w:t>Applied Economics Letters</w:t>
      </w:r>
      <w:r w:rsidRPr="00244890">
        <w:rPr>
          <w:rFonts w:ascii="Times New Roman" w:hAnsi="Times New Roman" w:cs="Times New Roman"/>
          <w:color w:val="0070C0"/>
          <w:sz w:val="24"/>
          <w:szCs w:val="24"/>
          <w:shd w:val="clear" w:color="auto" w:fill="FFFFFF"/>
        </w:rPr>
        <w:t>, 1-10.</w:t>
      </w:r>
    </w:p>
    <w:p w14:paraId="0F02C898"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bookmarkStart w:id="31" w:name="_Hlk81036697"/>
      <w:proofErr w:type="spellStart"/>
      <w:r w:rsidRPr="00244890">
        <w:rPr>
          <w:rFonts w:ascii="Times New Roman" w:hAnsi="Times New Roman" w:cs="Times New Roman"/>
          <w:color w:val="0070C0"/>
          <w:sz w:val="24"/>
          <w:szCs w:val="24"/>
          <w:shd w:val="clear" w:color="auto" w:fill="FFFFFF"/>
        </w:rPr>
        <w:t>Nazlioglu</w:t>
      </w:r>
      <w:bookmarkEnd w:id="31"/>
      <w:proofErr w:type="spellEnd"/>
      <w:r w:rsidRPr="00244890">
        <w:rPr>
          <w:rFonts w:ascii="Times New Roman" w:hAnsi="Times New Roman" w:cs="Times New Roman"/>
          <w:color w:val="0070C0"/>
          <w:sz w:val="24"/>
          <w:szCs w:val="24"/>
          <w:shd w:val="clear" w:color="auto" w:fill="FFFFFF"/>
        </w:rPr>
        <w:t xml:space="preserve">, S., </w:t>
      </w:r>
      <w:proofErr w:type="spellStart"/>
      <w:r w:rsidRPr="00244890">
        <w:rPr>
          <w:rFonts w:ascii="Times New Roman" w:hAnsi="Times New Roman" w:cs="Times New Roman"/>
          <w:color w:val="0070C0"/>
          <w:sz w:val="24"/>
          <w:szCs w:val="24"/>
          <w:shd w:val="clear" w:color="auto" w:fill="FFFFFF"/>
        </w:rPr>
        <w:t>Hammoudeh</w:t>
      </w:r>
      <w:proofErr w:type="spellEnd"/>
      <w:r w:rsidRPr="00244890">
        <w:rPr>
          <w:rFonts w:ascii="Times New Roman" w:hAnsi="Times New Roman" w:cs="Times New Roman"/>
          <w:color w:val="0070C0"/>
          <w:sz w:val="24"/>
          <w:szCs w:val="24"/>
          <w:shd w:val="clear" w:color="auto" w:fill="FFFFFF"/>
        </w:rPr>
        <w:t>, S., &amp; Gupta, R. (2015). Volatility transmission between Islamic and conventional equity markets: Evidence from causality-in-variance test. </w:t>
      </w:r>
      <w:r w:rsidRPr="00244890">
        <w:rPr>
          <w:rFonts w:ascii="Times New Roman" w:hAnsi="Times New Roman" w:cs="Times New Roman"/>
          <w:i/>
          <w:iCs/>
          <w:color w:val="0070C0"/>
          <w:sz w:val="24"/>
          <w:szCs w:val="24"/>
          <w:shd w:val="clear" w:color="auto" w:fill="FFFFFF"/>
        </w:rPr>
        <w:t>Applied Economics</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47</w:t>
      </w:r>
      <w:r w:rsidRPr="00244890">
        <w:rPr>
          <w:rFonts w:ascii="Times New Roman" w:hAnsi="Times New Roman" w:cs="Times New Roman"/>
          <w:color w:val="0070C0"/>
          <w:sz w:val="24"/>
          <w:szCs w:val="24"/>
          <w:shd w:val="clear" w:color="auto" w:fill="FFFFFF"/>
        </w:rPr>
        <w:t>(46), 4996-5011.</w:t>
      </w:r>
    </w:p>
    <w:p w14:paraId="78D62B88"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r w:rsidRPr="00244890">
        <w:rPr>
          <w:rFonts w:ascii="Times New Roman" w:hAnsi="Times New Roman" w:cs="Times New Roman"/>
          <w:color w:val="0070C0"/>
          <w:sz w:val="24"/>
          <w:szCs w:val="24"/>
          <w:shd w:val="clear" w:color="auto" w:fill="FFFFFF"/>
        </w:rPr>
        <w:t>Ng, S. L., Chin, W. C., &amp; Chong, L. L. (2017). Multivariate market risk evaluation between Malaysian Islamic stock index and sectoral indices. </w:t>
      </w:r>
      <w:proofErr w:type="spellStart"/>
      <w:r w:rsidRPr="00244890">
        <w:rPr>
          <w:rFonts w:ascii="Times New Roman" w:hAnsi="Times New Roman" w:cs="Times New Roman"/>
          <w:i/>
          <w:iCs/>
          <w:color w:val="0070C0"/>
          <w:sz w:val="24"/>
          <w:szCs w:val="24"/>
          <w:shd w:val="clear" w:color="auto" w:fill="FFFFFF"/>
        </w:rPr>
        <w:t>Borsa</w:t>
      </w:r>
      <w:proofErr w:type="spellEnd"/>
      <w:r w:rsidRPr="00244890">
        <w:rPr>
          <w:rFonts w:ascii="Times New Roman" w:hAnsi="Times New Roman" w:cs="Times New Roman"/>
          <w:i/>
          <w:iCs/>
          <w:color w:val="0070C0"/>
          <w:sz w:val="24"/>
          <w:szCs w:val="24"/>
          <w:shd w:val="clear" w:color="auto" w:fill="FFFFFF"/>
        </w:rPr>
        <w:t xml:space="preserve"> Istanbul Review</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17</w:t>
      </w:r>
      <w:r w:rsidRPr="00244890">
        <w:rPr>
          <w:rFonts w:ascii="Times New Roman" w:hAnsi="Times New Roman" w:cs="Times New Roman"/>
          <w:color w:val="0070C0"/>
          <w:sz w:val="24"/>
          <w:szCs w:val="24"/>
          <w:shd w:val="clear" w:color="auto" w:fill="FFFFFF"/>
        </w:rPr>
        <w:t>(1), 49-61.</w:t>
      </w:r>
    </w:p>
    <w:p w14:paraId="4B510913"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r w:rsidRPr="00244890">
        <w:rPr>
          <w:rFonts w:ascii="Times New Roman" w:hAnsi="Times New Roman" w:cs="Times New Roman"/>
          <w:color w:val="0070C0"/>
          <w:sz w:val="24"/>
          <w:szCs w:val="24"/>
          <w:shd w:val="clear" w:color="auto" w:fill="FFFFFF"/>
        </w:rPr>
        <w:t>Ng, S. L., Chin, W. C., &amp; Chong, L. L. (2020). Realized volatility transmission within Islamic stock markets: A multivariate HAR-GARCH-type with nearest neighbor truncation estimator. </w:t>
      </w:r>
      <w:proofErr w:type="spellStart"/>
      <w:r w:rsidRPr="00244890">
        <w:rPr>
          <w:rFonts w:ascii="Times New Roman" w:hAnsi="Times New Roman" w:cs="Times New Roman"/>
          <w:i/>
          <w:iCs/>
          <w:color w:val="0070C0"/>
          <w:sz w:val="24"/>
          <w:szCs w:val="24"/>
          <w:shd w:val="clear" w:color="auto" w:fill="FFFFFF"/>
        </w:rPr>
        <w:t>Borsa</w:t>
      </w:r>
      <w:proofErr w:type="spellEnd"/>
      <w:r w:rsidRPr="00244890">
        <w:rPr>
          <w:rFonts w:ascii="Times New Roman" w:hAnsi="Times New Roman" w:cs="Times New Roman"/>
          <w:i/>
          <w:iCs/>
          <w:color w:val="0070C0"/>
          <w:sz w:val="24"/>
          <w:szCs w:val="24"/>
          <w:shd w:val="clear" w:color="auto" w:fill="FFFFFF"/>
        </w:rPr>
        <w:t xml:space="preserve"> Istanbul Review</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20</w:t>
      </w:r>
      <w:r w:rsidRPr="00244890">
        <w:rPr>
          <w:rFonts w:ascii="Times New Roman" w:hAnsi="Times New Roman" w:cs="Times New Roman"/>
          <w:color w:val="0070C0"/>
          <w:sz w:val="24"/>
          <w:szCs w:val="24"/>
          <w:shd w:val="clear" w:color="auto" w:fill="FFFFFF"/>
        </w:rPr>
        <w:t>, S26-S39.</w:t>
      </w:r>
    </w:p>
    <w:p w14:paraId="0E79B29F" w14:textId="57AD292D" w:rsidR="00487275" w:rsidRDefault="00487275" w:rsidP="00244890">
      <w:pPr>
        <w:spacing w:line="360" w:lineRule="auto"/>
        <w:jc w:val="both"/>
        <w:rPr>
          <w:rFonts w:ascii="Times New Roman" w:hAnsi="Times New Roman" w:cs="Times New Roman"/>
          <w:color w:val="0070C0"/>
          <w:sz w:val="24"/>
          <w:szCs w:val="24"/>
          <w:shd w:val="clear" w:color="auto" w:fill="FFFFFF"/>
        </w:rPr>
      </w:pPr>
      <w:bookmarkStart w:id="32" w:name="_Hlk81031857"/>
      <w:proofErr w:type="spellStart"/>
      <w:r w:rsidRPr="00487275">
        <w:rPr>
          <w:rFonts w:ascii="Times New Roman" w:hAnsi="Times New Roman" w:cs="Times New Roman"/>
          <w:color w:val="0070C0"/>
          <w:sz w:val="24"/>
          <w:szCs w:val="24"/>
          <w:shd w:val="clear" w:color="auto" w:fill="FFFFFF"/>
        </w:rPr>
        <w:t>Siswantoro</w:t>
      </w:r>
      <w:proofErr w:type="spellEnd"/>
      <w:r w:rsidRPr="00487275">
        <w:rPr>
          <w:rFonts w:ascii="Times New Roman" w:hAnsi="Times New Roman" w:cs="Times New Roman"/>
          <w:color w:val="0070C0"/>
          <w:sz w:val="24"/>
          <w:szCs w:val="24"/>
          <w:shd w:val="clear" w:color="auto" w:fill="FFFFFF"/>
        </w:rPr>
        <w:t xml:space="preserve">, D., </w:t>
      </w:r>
      <w:proofErr w:type="spellStart"/>
      <w:r w:rsidRPr="00487275">
        <w:rPr>
          <w:rFonts w:ascii="Times New Roman" w:hAnsi="Times New Roman" w:cs="Times New Roman"/>
          <w:color w:val="0070C0"/>
          <w:sz w:val="24"/>
          <w:szCs w:val="24"/>
          <w:shd w:val="clear" w:color="auto" w:fill="FFFFFF"/>
        </w:rPr>
        <w:t>Handika</w:t>
      </w:r>
      <w:proofErr w:type="spellEnd"/>
      <w:r w:rsidRPr="00487275">
        <w:rPr>
          <w:rFonts w:ascii="Times New Roman" w:hAnsi="Times New Roman" w:cs="Times New Roman"/>
          <w:color w:val="0070C0"/>
          <w:sz w:val="24"/>
          <w:szCs w:val="24"/>
          <w:shd w:val="clear" w:color="auto" w:fill="FFFFFF"/>
        </w:rPr>
        <w:t xml:space="preserve">, R., &amp; </w:t>
      </w:r>
      <w:proofErr w:type="spellStart"/>
      <w:r w:rsidRPr="00487275">
        <w:rPr>
          <w:rFonts w:ascii="Times New Roman" w:hAnsi="Times New Roman" w:cs="Times New Roman"/>
          <w:color w:val="0070C0"/>
          <w:sz w:val="24"/>
          <w:szCs w:val="24"/>
          <w:shd w:val="clear" w:color="auto" w:fill="FFFFFF"/>
        </w:rPr>
        <w:t>Mita</w:t>
      </w:r>
      <w:proofErr w:type="spellEnd"/>
      <w:r w:rsidRPr="00487275">
        <w:rPr>
          <w:rFonts w:ascii="Times New Roman" w:hAnsi="Times New Roman" w:cs="Times New Roman"/>
          <w:color w:val="0070C0"/>
          <w:sz w:val="24"/>
          <w:szCs w:val="24"/>
          <w:shd w:val="clear" w:color="auto" w:fill="FFFFFF"/>
        </w:rPr>
        <w:t>, A. F. (2020). The requirements of cryptocurrency for money, an Islamic view. Heliyon, 6(1), e03235.</w:t>
      </w:r>
    </w:p>
    <w:p w14:paraId="7ED603BA" w14:textId="3965B912"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r w:rsidRPr="00244890">
        <w:rPr>
          <w:rFonts w:ascii="Times New Roman" w:hAnsi="Times New Roman" w:cs="Times New Roman"/>
          <w:color w:val="0070C0"/>
          <w:sz w:val="24"/>
          <w:szCs w:val="24"/>
          <w:shd w:val="clear" w:color="auto" w:fill="FFFFFF"/>
        </w:rPr>
        <w:lastRenderedPageBreak/>
        <w:t>Rahim</w:t>
      </w:r>
      <w:bookmarkEnd w:id="32"/>
      <w:r w:rsidRPr="00244890">
        <w:rPr>
          <w:rFonts w:ascii="Times New Roman" w:hAnsi="Times New Roman" w:cs="Times New Roman"/>
          <w:color w:val="0070C0"/>
          <w:sz w:val="24"/>
          <w:szCs w:val="24"/>
          <w:shd w:val="clear" w:color="auto" w:fill="FFFFFF"/>
        </w:rPr>
        <w:t>, F. A., Ahmad, N., &amp; Ahmad, I. (2009). Information transmission between Islamic stock indices in South East Asia. </w:t>
      </w:r>
      <w:r w:rsidRPr="00244890">
        <w:rPr>
          <w:rFonts w:ascii="Times New Roman" w:hAnsi="Times New Roman" w:cs="Times New Roman"/>
          <w:i/>
          <w:iCs/>
          <w:color w:val="0070C0"/>
          <w:sz w:val="24"/>
          <w:szCs w:val="24"/>
          <w:shd w:val="clear" w:color="auto" w:fill="FFFFFF"/>
        </w:rPr>
        <w:t>International Journal of Islamic and Middle Eastern Finance and Management</w:t>
      </w:r>
      <w:r w:rsidRPr="00244890">
        <w:rPr>
          <w:rFonts w:ascii="Times New Roman" w:hAnsi="Times New Roman" w:cs="Times New Roman"/>
          <w:color w:val="0070C0"/>
          <w:sz w:val="24"/>
          <w:szCs w:val="24"/>
          <w:shd w:val="clear" w:color="auto" w:fill="FFFFFF"/>
        </w:rPr>
        <w:t>.</w:t>
      </w:r>
    </w:p>
    <w:p w14:paraId="7359F100" w14:textId="77777777" w:rsidR="00244890" w:rsidRPr="00AE345F" w:rsidRDefault="00244890" w:rsidP="00AE345F">
      <w:pPr>
        <w:spacing w:before="240" w:after="0" w:line="360" w:lineRule="auto"/>
        <w:jc w:val="both"/>
        <w:rPr>
          <w:rFonts w:ascii="Times New Roman" w:hAnsi="Times New Roman" w:cs="Times New Roman"/>
          <w:sz w:val="24"/>
          <w:szCs w:val="24"/>
          <w:shd w:val="clear" w:color="auto" w:fill="FFFFFF"/>
        </w:rPr>
      </w:pPr>
      <w:bookmarkStart w:id="33" w:name="_Hlk67049179"/>
      <w:proofErr w:type="spellStart"/>
      <w:r w:rsidRPr="00AE345F">
        <w:rPr>
          <w:rFonts w:ascii="Times New Roman" w:hAnsi="Times New Roman" w:cs="Times New Roman"/>
          <w:sz w:val="24"/>
          <w:szCs w:val="24"/>
          <w:shd w:val="clear" w:color="auto" w:fill="FFFFFF"/>
        </w:rPr>
        <w:t>Ramelli</w:t>
      </w:r>
      <w:proofErr w:type="spellEnd"/>
      <w:r w:rsidRPr="00AE345F">
        <w:rPr>
          <w:rFonts w:ascii="Times New Roman" w:hAnsi="Times New Roman" w:cs="Times New Roman"/>
          <w:sz w:val="24"/>
          <w:szCs w:val="24"/>
          <w:shd w:val="clear" w:color="auto" w:fill="FFFFFF"/>
        </w:rPr>
        <w:t>, S., &amp; Wagner</w:t>
      </w:r>
      <w:bookmarkEnd w:id="33"/>
      <w:r w:rsidRPr="00AE345F">
        <w:rPr>
          <w:rFonts w:ascii="Times New Roman" w:hAnsi="Times New Roman" w:cs="Times New Roman"/>
          <w:sz w:val="24"/>
          <w:szCs w:val="24"/>
          <w:shd w:val="clear" w:color="auto" w:fill="FFFFFF"/>
        </w:rPr>
        <w:t>, A. F. (2020). Feverish stock price reactions to COVID-19. </w:t>
      </w:r>
      <w:r w:rsidRPr="00AE345F">
        <w:rPr>
          <w:rFonts w:ascii="Times New Roman" w:hAnsi="Times New Roman" w:cs="Times New Roman"/>
          <w:i/>
          <w:iCs/>
          <w:sz w:val="24"/>
          <w:szCs w:val="24"/>
          <w:shd w:val="clear" w:color="auto" w:fill="FFFFFF"/>
        </w:rPr>
        <w:t>The Review of Corporate Finance Studies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9</w:t>
      </w:r>
      <w:r w:rsidRPr="00AE345F">
        <w:rPr>
          <w:rFonts w:ascii="Times New Roman" w:hAnsi="Times New Roman" w:cs="Times New Roman"/>
          <w:sz w:val="24"/>
          <w:szCs w:val="24"/>
          <w:shd w:val="clear" w:color="auto" w:fill="FFFFFF"/>
        </w:rPr>
        <w:t>(3), 622-655.</w:t>
      </w:r>
    </w:p>
    <w:p w14:paraId="5C7F85B5" w14:textId="77777777" w:rsidR="00244890" w:rsidRPr="00244890" w:rsidRDefault="00244890" w:rsidP="00244890">
      <w:pPr>
        <w:spacing w:line="360" w:lineRule="auto"/>
        <w:jc w:val="both"/>
        <w:rPr>
          <w:rFonts w:ascii="Times New Roman" w:hAnsi="Times New Roman" w:cs="Times New Roman"/>
          <w:color w:val="0070C0"/>
          <w:sz w:val="24"/>
          <w:szCs w:val="24"/>
          <w:shd w:val="clear" w:color="auto" w:fill="FFFFFF"/>
        </w:rPr>
      </w:pPr>
      <w:r w:rsidRPr="00244890">
        <w:rPr>
          <w:rFonts w:ascii="Times New Roman" w:hAnsi="Times New Roman" w:cs="Times New Roman"/>
          <w:color w:val="0070C0"/>
          <w:sz w:val="24"/>
          <w:szCs w:val="24"/>
          <w:shd w:val="clear" w:color="auto" w:fill="FFFFFF"/>
        </w:rPr>
        <w:t>Rehman, M. U., Asghar, N., &amp; Kang, S. H. (2020). Do Islamic indices provide diversification to bitcoin? A time-varying copulas and value at risk application. </w:t>
      </w:r>
      <w:r w:rsidRPr="00244890">
        <w:rPr>
          <w:rFonts w:ascii="Times New Roman" w:hAnsi="Times New Roman" w:cs="Times New Roman"/>
          <w:i/>
          <w:iCs/>
          <w:color w:val="0070C0"/>
          <w:sz w:val="24"/>
          <w:szCs w:val="24"/>
          <w:shd w:val="clear" w:color="auto" w:fill="FFFFFF"/>
        </w:rPr>
        <w:t>Pacific-Basin Finance Journal</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61</w:t>
      </w:r>
      <w:r w:rsidRPr="00244890">
        <w:rPr>
          <w:rFonts w:ascii="Times New Roman" w:hAnsi="Times New Roman" w:cs="Times New Roman"/>
          <w:color w:val="0070C0"/>
          <w:sz w:val="24"/>
          <w:szCs w:val="24"/>
          <w:shd w:val="clear" w:color="auto" w:fill="FFFFFF"/>
        </w:rPr>
        <w:t>, 101326.</w:t>
      </w:r>
    </w:p>
    <w:p w14:paraId="23396292" w14:textId="77777777" w:rsidR="00244890" w:rsidRPr="00AE345F" w:rsidRDefault="00244890" w:rsidP="00AE345F">
      <w:pPr>
        <w:pStyle w:val="MDPI31text"/>
        <w:spacing w:before="240" w:line="360" w:lineRule="auto"/>
        <w:ind w:firstLine="0"/>
        <w:rPr>
          <w:rFonts w:ascii="Times New Roman" w:hAnsi="Times New Roman"/>
          <w:color w:val="auto"/>
          <w:sz w:val="24"/>
          <w:szCs w:val="24"/>
        </w:rPr>
      </w:pPr>
      <w:proofErr w:type="spellStart"/>
      <w:r w:rsidRPr="00AE345F">
        <w:rPr>
          <w:rFonts w:ascii="Times New Roman" w:hAnsi="Times New Roman"/>
          <w:color w:val="auto"/>
          <w:sz w:val="24"/>
          <w:szCs w:val="24"/>
          <w:shd w:val="clear" w:color="auto" w:fill="FFFFFF"/>
        </w:rPr>
        <w:t>Sadorsky</w:t>
      </w:r>
      <w:proofErr w:type="spellEnd"/>
      <w:r w:rsidRPr="00AE345F">
        <w:rPr>
          <w:rFonts w:ascii="Times New Roman" w:hAnsi="Times New Roman"/>
          <w:color w:val="auto"/>
          <w:sz w:val="24"/>
          <w:szCs w:val="24"/>
          <w:shd w:val="clear" w:color="auto" w:fill="FFFFFF"/>
        </w:rPr>
        <w:t>, P. (2012). Correlations and volatility spillovers between oil prices and the stock prices of clean energy and technology companies. </w:t>
      </w:r>
      <w:r w:rsidRPr="00AE345F">
        <w:rPr>
          <w:rFonts w:ascii="Times New Roman" w:hAnsi="Times New Roman"/>
          <w:i/>
          <w:iCs/>
          <w:color w:val="auto"/>
          <w:sz w:val="24"/>
          <w:szCs w:val="24"/>
          <w:shd w:val="clear" w:color="auto" w:fill="FFFFFF"/>
        </w:rPr>
        <w:t>Energy economics</w:t>
      </w:r>
      <w:r w:rsidRPr="00AE345F">
        <w:rPr>
          <w:rFonts w:ascii="Times New Roman" w:hAnsi="Times New Roman"/>
          <w:color w:val="auto"/>
          <w:sz w:val="24"/>
          <w:szCs w:val="24"/>
          <w:shd w:val="clear" w:color="auto" w:fill="FFFFFF"/>
        </w:rPr>
        <w:t>, </w:t>
      </w:r>
      <w:r w:rsidRPr="00AE345F">
        <w:rPr>
          <w:rFonts w:ascii="Times New Roman" w:hAnsi="Times New Roman"/>
          <w:i/>
          <w:iCs/>
          <w:color w:val="auto"/>
          <w:sz w:val="24"/>
          <w:szCs w:val="24"/>
          <w:shd w:val="clear" w:color="auto" w:fill="FFFFFF"/>
        </w:rPr>
        <w:t>34</w:t>
      </w:r>
      <w:r w:rsidRPr="00AE345F">
        <w:rPr>
          <w:rFonts w:ascii="Times New Roman" w:hAnsi="Times New Roman"/>
          <w:color w:val="auto"/>
          <w:sz w:val="24"/>
          <w:szCs w:val="24"/>
          <w:shd w:val="clear" w:color="auto" w:fill="FFFFFF"/>
        </w:rPr>
        <w:t>(1), 248-255.</w:t>
      </w:r>
    </w:p>
    <w:p w14:paraId="6B875181" w14:textId="77777777" w:rsidR="00244890" w:rsidRPr="00AE345F" w:rsidRDefault="00244890" w:rsidP="00AE345F">
      <w:pPr>
        <w:pStyle w:val="MDPI31text"/>
        <w:spacing w:before="240" w:line="360" w:lineRule="auto"/>
        <w:ind w:firstLine="0"/>
        <w:rPr>
          <w:rFonts w:ascii="Times New Roman" w:hAnsi="Times New Roman"/>
          <w:color w:val="auto"/>
          <w:sz w:val="24"/>
          <w:szCs w:val="24"/>
        </w:rPr>
      </w:pPr>
      <w:bookmarkStart w:id="34" w:name="_Hlk67061751"/>
      <w:proofErr w:type="spellStart"/>
      <w:r w:rsidRPr="00AE345F">
        <w:rPr>
          <w:rFonts w:ascii="Times New Roman" w:hAnsi="Times New Roman"/>
          <w:color w:val="auto"/>
          <w:sz w:val="24"/>
          <w:szCs w:val="24"/>
          <w:shd w:val="clear" w:color="auto" w:fill="FFFFFF"/>
        </w:rPr>
        <w:t>Salisu</w:t>
      </w:r>
      <w:proofErr w:type="spellEnd"/>
      <w:r w:rsidRPr="00AE345F">
        <w:rPr>
          <w:rFonts w:ascii="Times New Roman" w:hAnsi="Times New Roman"/>
          <w:color w:val="auto"/>
          <w:sz w:val="24"/>
          <w:szCs w:val="24"/>
          <w:shd w:val="clear" w:color="auto" w:fill="FFFFFF"/>
        </w:rPr>
        <w:t xml:space="preserve">, A. A., &amp; </w:t>
      </w:r>
      <w:proofErr w:type="spellStart"/>
      <w:r w:rsidRPr="00AE345F">
        <w:rPr>
          <w:rFonts w:ascii="Times New Roman" w:hAnsi="Times New Roman"/>
          <w:color w:val="auto"/>
          <w:sz w:val="24"/>
          <w:szCs w:val="24"/>
          <w:shd w:val="clear" w:color="auto" w:fill="FFFFFF"/>
        </w:rPr>
        <w:t>Oloko</w:t>
      </w:r>
      <w:bookmarkEnd w:id="34"/>
      <w:proofErr w:type="spellEnd"/>
      <w:r w:rsidRPr="00AE345F">
        <w:rPr>
          <w:rFonts w:ascii="Times New Roman" w:hAnsi="Times New Roman"/>
          <w:color w:val="auto"/>
          <w:sz w:val="24"/>
          <w:szCs w:val="24"/>
          <w:shd w:val="clear" w:color="auto" w:fill="FFFFFF"/>
        </w:rPr>
        <w:t>, T. F. (2015). Modeling oil price–US stock nexus: A VARMA–BEKK–AGARCH approach. </w:t>
      </w:r>
      <w:r w:rsidRPr="00AE345F">
        <w:rPr>
          <w:rFonts w:ascii="Times New Roman" w:hAnsi="Times New Roman"/>
          <w:i/>
          <w:iCs/>
          <w:color w:val="auto"/>
          <w:sz w:val="24"/>
          <w:szCs w:val="24"/>
          <w:shd w:val="clear" w:color="auto" w:fill="FFFFFF"/>
        </w:rPr>
        <w:t>Energy Economics</w:t>
      </w:r>
      <w:r w:rsidRPr="00AE345F">
        <w:rPr>
          <w:rFonts w:ascii="Times New Roman" w:hAnsi="Times New Roman"/>
          <w:color w:val="auto"/>
          <w:sz w:val="24"/>
          <w:szCs w:val="24"/>
          <w:shd w:val="clear" w:color="auto" w:fill="FFFFFF"/>
        </w:rPr>
        <w:t>, </w:t>
      </w:r>
      <w:r w:rsidRPr="00AE345F">
        <w:rPr>
          <w:rFonts w:ascii="Times New Roman" w:hAnsi="Times New Roman"/>
          <w:i/>
          <w:iCs/>
          <w:color w:val="auto"/>
          <w:sz w:val="24"/>
          <w:szCs w:val="24"/>
          <w:shd w:val="clear" w:color="auto" w:fill="FFFFFF"/>
        </w:rPr>
        <w:t>50</w:t>
      </w:r>
      <w:r w:rsidRPr="00AE345F">
        <w:rPr>
          <w:rFonts w:ascii="Times New Roman" w:hAnsi="Times New Roman"/>
          <w:color w:val="auto"/>
          <w:sz w:val="24"/>
          <w:szCs w:val="24"/>
          <w:shd w:val="clear" w:color="auto" w:fill="FFFFFF"/>
        </w:rPr>
        <w:t>, 1-12.</w:t>
      </w:r>
    </w:p>
    <w:p w14:paraId="414EB33B" w14:textId="77777777" w:rsidR="00244890" w:rsidRPr="00244890" w:rsidRDefault="00244890" w:rsidP="00244890">
      <w:pPr>
        <w:spacing w:line="360" w:lineRule="auto"/>
        <w:jc w:val="both"/>
        <w:rPr>
          <w:rFonts w:ascii="Times New Roman" w:hAnsi="Times New Roman" w:cs="Times New Roman"/>
          <w:color w:val="0070C0"/>
          <w:sz w:val="24"/>
          <w:szCs w:val="24"/>
        </w:rPr>
      </w:pPr>
      <w:r w:rsidRPr="00244890">
        <w:rPr>
          <w:rFonts w:ascii="Times New Roman" w:hAnsi="Times New Roman" w:cs="Times New Roman"/>
          <w:color w:val="0070C0"/>
          <w:sz w:val="24"/>
          <w:szCs w:val="24"/>
          <w:shd w:val="clear" w:color="auto" w:fill="FFFFFF"/>
        </w:rPr>
        <w:t xml:space="preserve">Shahzad, S. J. H., </w:t>
      </w:r>
      <w:proofErr w:type="spellStart"/>
      <w:r w:rsidRPr="00244890">
        <w:rPr>
          <w:rFonts w:ascii="Times New Roman" w:hAnsi="Times New Roman" w:cs="Times New Roman"/>
          <w:color w:val="0070C0"/>
          <w:sz w:val="24"/>
          <w:szCs w:val="24"/>
          <w:shd w:val="clear" w:color="auto" w:fill="FFFFFF"/>
        </w:rPr>
        <w:t>Mensi</w:t>
      </w:r>
      <w:proofErr w:type="spellEnd"/>
      <w:r w:rsidRPr="00244890">
        <w:rPr>
          <w:rFonts w:ascii="Times New Roman" w:hAnsi="Times New Roman" w:cs="Times New Roman"/>
          <w:color w:val="0070C0"/>
          <w:sz w:val="24"/>
          <w:szCs w:val="24"/>
          <w:shd w:val="clear" w:color="auto" w:fill="FFFFFF"/>
        </w:rPr>
        <w:t xml:space="preserve">, W., </w:t>
      </w:r>
      <w:proofErr w:type="spellStart"/>
      <w:r w:rsidRPr="00244890">
        <w:rPr>
          <w:rFonts w:ascii="Times New Roman" w:hAnsi="Times New Roman" w:cs="Times New Roman"/>
          <w:color w:val="0070C0"/>
          <w:sz w:val="24"/>
          <w:szCs w:val="24"/>
          <w:shd w:val="clear" w:color="auto" w:fill="FFFFFF"/>
        </w:rPr>
        <w:t>Hammoudeh</w:t>
      </w:r>
      <w:proofErr w:type="spellEnd"/>
      <w:r w:rsidRPr="00244890">
        <w:rPr>
          <w:rFonts w:ascii="Times New Roman" w:hAnsi="Times New Roman" w:cs="Times New Roman"/>
          <w:color w:val="0070C0"/>
          <w:sz w:val="24"/>
          <w:szCs w:val="24"/>
          <w:shd w:val="clear" w:color="auto" w:fill="FFFFFF"/>
        </w:rPr>
        <w:t>, S., Rehman, M. U., &amp; Al-</w:t>
      </w:r>
      <w:proofErr w:type="spellStart"/>
      <w:r w:rsidRPr="00244890">
        <w:rPr>
          <w:rFonts w:ascii="Times New Roman" w:hAnsi="Times New Roman" w:cs="Times New Roman"/>
          <w:color w:val="0070C0"/>
          <w:sz w:val="24"/>
          <w:szCs w:val="24"/>
          <w:shd w:val="clear" w:color="auto" w:fill="FFFFFF"/>
        </w:rPr>
        <w:t>Yahyaee</w:t>
      </w:r>
      <w:proofErr w:type="spellEnd"/>
      <w:r w:rsidRPr="00244890">
        <w:rPr>
          <w:rFonts w:ascii="Times New Roman" w:hAnsi="Times New Roman" w:cs="Times New Roman"/>
          <w:color w:val="0070C0"/>
          <w:sz w:val="24"/>
          <w:szCs w:val="24"/>
          <w:shd w:val="clear" w:color="auto" w:fill="FFFFFF"/>
        </w:rPr>
        <w:t>, K. H. (2018). Extreme dependence and risk spillovers between oil and Islamic stock markets. </w:t>
      </w:r>
      <w:r w:rsidRPr="00244890">
        <w:rPr>
          <w:rFonts w:ascii="Times New Roman" w:hAnsi="Times New Roman" w:cs="Times New Roman"/>
          <w:i/>
          <w:iCs/>
          <w:color w:val="0070C0"/>
          <w:sz w:val="24"/>
          <w:szCs w:val="24"/>
          <w:shd w:val="clear" w:color="auto" w:fill="FFFFFF"/>
        </w:rPr>
        <w:t>Emerging Markets Review</w:t>
      </w:r>
      <w:r w:rsidRPr="00244890">
        <w:rPr>
          <w:rFonts w:ascii="Times New Roman" w:hAnsi="Times New Roman" w:cs="Times New Roman"/>
          <w:color w:val="0070C0"/>
          <w:sz w:val="24"/>
          <w:szCs w:val="24"/>
          <w:shd w:val="clear" w:color="auto" w:fill="FFFFFF"/>
        </w:rPr>
        <w:t>, </w:t>
      </w:r>
      <w:r w:rsidRPr="00244890">
        <w:rPr>
          <w:rFonts w:ascii="Times New Roman" w:hAnsi="Times New Roman" w:cs="Times New Roman"/>
          <w:i/>
          <w:iCs/>
          <w:color w:val="0070C0"/>
          <w:sz w:val="24"/>
          <w:szCs w:val="24"/>
          <w:shd w:val="clear" w:color="auto" w:fill="FFFFFF"/>
        </w:rPr>
        <w:t>34</w:t>
      </w:r>
      <w:r w:rsidRPr="00244890">
        <w:rPr>
          <w:rFonts w:ascii="Times New Roman" w:hAnsi="Times New Roman" w:cs="Times New Roman"/>
          <w:color w:val="0070C0"/>
          <w:sz w:val="24"/>
          <w:szCs w:val="24"/>
          <w:shd w:val="clear" w:color="auto" w:fill="FFFFFF"/>
        </w:rPr>
        <w:t>, 42-63.</w:t>
      </w:r>
      <w:r w:rsidRPr="00244890">
        <w:rPr>
          <w:rFonts w:ascii="Times New Roman" w:hAnsi="Times New Roman" w:cs="Times New Roman"/>
          <w:color w:val="0070C0"/>
          <w:sz w:val="24"/>
          <w:szCs w:val="24"/>
        </w:rPr>
        <w:t xml:space="preserve"> </w:t>
      </w:r>
    </w:p>
    <w:p w14:paraId="033EB188" w14:textId="77777777" w:rsidR="00244890" w:rsidRPr="00AE345F" w:rsidRDefault="00244890" w:rsidP="00AE345F">
      <w:pPr>
        <w:spacing w:before="240" w:after="0" w:line="360" w:lineRule="auto"/>
        <w:jc w:val="both"/>
        <w:rPr>
          <w:rFonts w:ascii="Times New Roman" w:hAnsi="Times New Roman" w:cs="Times New Roman"/>
          <w:sz w:val="24"/>
          <w:szCs w:val="24"/>
          <w:shd w:val="clear" w:color="auto" w:fill="FFFFFF"/>
        </w:rPr>
      </w:pPr>
      <w:proofErr w:type="spellStart"/>
      <w:r w:rsidRPr="00AE345F">
        <w:rPr>
          <w:rFonts w:ascii="Times New Roman" w:hAnsi="Times New Roman" w:cs="Times New Roman"/>
          <w:sz w:val="24"/>
          <w:szCs w:val="24"/>
          <w:shd w:val="clear" w:color="auto" w:fill="FFFFFF"/>
        </w:rPr>
        <w:t>Sherif</w:t>
      </w:r>
      <w:proofErr w:type="spellEnd"/>
      <w:r w:rsidRPr="00AE345F">
        <w:rPr>
          <w:rFonts w:ascii="Times New Roman" w:hAnsi="Times New Roman" w:cs="Times New Roman"/>
          <w:sz w:val="24"/>
          <w:szCs w:val="24"/>
          <w:shd w:val="clear" w:color="auto" w:fill="FFFFFF"/>
        </w:rPr>
        <w:t>, M. (2020). The impact of Coronavirus (COVID-19) outbreak on faith-based investments: An original analysis. </w:t>
      </w:r>
      <w:r w:rsidRPr="00AE345F">
        <w:rPr>
          <w:rFonts w:ascii="Times New Roman" w:hAnsi="Times New Roman" w:cs="Times New Roman"/>
          <w:i/>
          <w:iCs/>
          <w:sz w:val="24"/>
          <w:szCs w:val="24"/>
          <w:shd w:val="clear" w:color="auto" w:fill="FFFFFF"/>
        </w:rPr>
        <w:t>Journal of Behavioral and Experimental Finance</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28</w:t>
      </w:r>
      <w:r w:rsidRPr="00AE345F">
        <w:rPr>
          <w:rFonts w:ascii="Times New Roman" w:hAnsi="Times New Roman" w:cs="Times New Roman"/>
          <w:sz w:val="24"/>
          <w:szCs w:val="24"/>
          <w:shd w:val="clear" w:color="auto" w:fill="FFFFFF"/>
        </w:rPr>
        <w:t>, 100403.</w:t>
      </w:r>
    </w:p>
    <w:p w14:paraId="172D72BE" w14:textId="77777777" w:rsidR="00244890" w:rsidRPr="00AE345F" w:rsidRDefault="00244890" w:rsidP="00AE345F">
      <w:pPr>
        <w:pStyle w:val="MDPI31text"/>
        <w:spacing w:before="240" w:line="360" w:lineRule="auto"/>
        <w:ind w:firstLine="0"/>
        <w:rPr>
          <w:rFonts w:ascii="Times New Roman" w:hAnsi="Times New Roman"/>
          <w:color w:val="auto"/>
          <w:sz w:val="24"/>
          <w:szCs w:val="24"/>
          <w:shd w:val="clear" w:color="auto" w:fill="FFFFFF"/>
        </w:rPr>
      </w:pPr>
      <w:proofErr w:type="spellStart"/>
      <w:r w:rsidRPr="00AE345F">
        <w:rPr>
          <w:rFonts w:ascii="Times New Roman" w:hAnsi="Times New Roman"/>
          <w:color w:val="auto"/>
          <w:sz w:val="24"/>
          <w:szCs w:val="24"/>
          <w:shd w:val="clear" w:color="auto" w:fill="FFFFFF"/>
        </w:rPr>
        <w:t>Symitsi</w:t>
      </w:r>
      <w:proofErr w:type="spellEnd"/>
      <w:r w:rsidRPr="00AE345F">
        <w:rPr>
          <w:rFonts w:ascii="Times New Roman" w:hAnsi="Times New Roman"/>
          <w:color w:val="auto"/>
          <w:sz w:val="24"/>
          <w:szCs w:val="24"/>
          <w:shd w:val="clear" w:color="auto" w:fill="FFFFFF"/>
        </w:rPr>
        <w:t xml:space="preserve">, E., &amp; Chalvatzis, K. J. (2018). Return, </w:t>
      </w:r>
      <w:proofErr w:type="gramStart"/>
      <w:r w:rsidRPr="00AE345F">
        <w:rPr>
          <w:rFonts w:ascii="Times New Roman" w:hAnsi="Times New Roman"/>
          <w:color w:val="auto"/>
          <w:sz w:val="24"/>
          <w:szCs w:val="24"/>
          <w:shd w:val="clear" w:color="auto" w:fill="FFFFFF"/>
        </w:rPr>
        <w:t>volatility</w:t>
      </w:r>
      <w:proofErr w:type="gramEnd"/>
      <w:r w:rsidRPr="00AE345F">
        <w:rPr>
          <w:rFonts w:ascii="Times New Roman" w:hAnsi="Times New Roman"/>
          <w:color w:val="auto"/>
          <w:sz w:val="24"/>
          <w:szCs w:val="24"/>
          <w:shd w:val="clear" w:color="auto" w:fill="FFFFFF"/>
        </w:rPr>
        <w:t xml:space="preserve"> and shock spillovers of Bitcoin with energy and technology companies. </w:t>
      </w:r>
      <w:r w:rsidRPr="00AE345F">
        <w:rPr>
          <w:rFonts w:ascii="Times New Roman" w:hAnsi="Times New Roman"/>
          <w:i/>
          <w:iCs/>
          <w:color w:val="auto"/>
          <w:sz w:val="24"/>
          <w:szCs w:val="24"/>
          <w:shd w:val="clear" w:color="auto" w:fill="FFFFFF"/>
        </w:rPr>
        <w:t>Economics Letters</w:t>
      </w:r>
      <w:r w:rsidRPr="00AE345F">
        <w:rPr>
          <w:rFonts w:ascii="Times New Roman" w:hAnsi="Times New Roman"/>
          <w:color w:val="auto"/>
          <w:sz w:val="24"/>
          <w:szCs w:val="24"/>
          <w:shd w:val="clear" w:color="auto" w:fill="FFFFFF"/>
        </w:rPr>
        <w:t>, </w:t>
      </w:r>
      <w:r w:rsidRPr="00AE345F">
        <w:rPr>
          <w:rFonts w:ascii="Times New Roman" w:hAnsi="Times New Roman"/>
          <w:i/>
          <w:iCs/>
          <w:color w:val="auto"/>
          <w:sz w:val="24"/>
          <w:szCs w:val="24"/>
          <w:shd w:val="clear" w:color="auto" w:fill="FFFFFF"/>
        </w:rPr>
        <w:t>170</w:t>
      </w:r>
      <w:r w:rsidRPr="00AE345F">
        <w:rPr>
          <w:rFonts w:ascii="Times New Roman" w:hAnsi="Times New Roman"/>
          <w:color w:val="auto"/>
          <w:sz w:val="24"/>
          <w:szCs w:val="24"/>
          <w:shd w:val="clear" w:color="auto" w:fill="FFFFFF"/>
        </w:rPr>
        <w:t>, 127-130.</w:t>
      </w:r>
    </w:p>
    <w:p w14:paraId="4597AFAD" w14:textId="2AE5F2C7" w:rsidR="00244890" w:rsidRDefault="00244890" w:rsidP="00AE345F">
      <w:pPr>
        <w:pStyle w:val="MDPI31text"/>
        <w:spacing w:before="240" w:line="360" w:lineRule="auto"/>
        <w:ind w:firstLine="0"/>
        <w:rPr>
          <w:rFonts w:ascii="Times New Roman" w:hAnsi="Times New Roman"/>
          <w:color w:val="auto"/>
          <w:sz w:val="24"/>
          <w:szCs w:val="24"/>
          <w:shd w:val="clear" w:color="auto" w:fill="FFFFFF"/>
        </w:rPr>
      </w:pPr>
      <w:proofErr w:type="spellStart"/>
      <w:r w:rsidRPr="00AE345F">
        <w:rPr>
          <w:rFonts w:ascii="Times New Roman" w:hAnsi="Times New Roman"/>
          <w:color w:val="auto"/>
          <w:sz w:val="24"/>
          <w:szCs w:val="24"/>
          <w:shd w:val="clear" w:color="auto" w:fill="FFFFFF"/>
        </w:rPr>
        <w:t>Trabelsi</w:t>
      </w:r>
      <w:proofErr w:type="spellEnd"/>
      <w:r w:rsidRPr="00AE345F">
        <w:rPr>
          <w:rFonts w:ascii="Times New Roman" w:hAnsi="Times New Roman"/>
          <w:color w:val="auto"/>
          <w:sz w:val="24"/>
          <w:szCs w:val="24"/>
          <w:shd w:val="clear" w:color="auto" w:fill="FFFFFF"/>
        </w:rPr>
        <w:t xml:space="preserve">, N. (2019). Dynamic and frequency connectedness across Islamic stock indexes, bonds, crude </w:t>
      </w:r>
      <w:proofErr w:type="gramStart"/>
      <w:r w:rsidRPr="00AE345F">
        <w:rPr>
          <w:rFonts w:ascii="Times New Roman" w:hAnsi="Times New Roman"/>
          <w:color w:val="auto"/>
          <w:sz w:val="24"/>
          <w:szCs w:val="24"/>
          <w:shd w:val="clear" w:color="auto" w:fill="FFFFFF"/>
        </w:rPr>
        <w:t>oil</w:t>
      </w:r>
      <w:proofErr w:type="gramEnd"/>
      <w:r w:rsidRPr="00AE345F">
        <w:rPr>
          <w:rFonts w:ascii="Times New Roman" w:hAnsi="Times New Roman"/>
          <w:color w:val="auto"/>
          <w:sz w:val="24"/>
          <w:szCs w:val="24"/>
          <w:shd w:val="clear" w:color="auto" w:fill="FFFFFF"/>
        </w:rPr>
        <w:t xml:space="preserve"> and gold. </w:t>
      </w:r>
      <w:r w:rsidRPr="00AE345F">
        <w:rPr>
          <w:rFonts w:ascii="Times New Roman" w:hAnsi="Times New Roman"/>
          <w:i/>
          <w:iCs/>
          <w:color w:val="auto"/>
          <w:sz w:val="24"/>
          <w:szCs w:val="24"/>
          <w:shd w:val="clear" w:color="auto" w:fill="FFFFFF"/>
        </w:rPr>
        <w:t>International Journal of Islamic and Middle Eastern Finance and Management</w:t>
      </w:r>
      <w:r w:rsidRPr="00AE345F">
        <w:rPr>
          <w:rFonts w:ascii="Times New Roman" w:hAnsi="Times New Roman"/>
          <w:color w:val="auto"/>
          <w:sz w:val="24"/>
          <w:szCs w:val="24"/>
          <w:shd w:val="clear" w:color="auto" w:fill="FFFFFF"/>
        </w:rPr>
        <w:t>.</w:t>
      </w:r>
    </w:p>
    <w:p w14:paraId="673B69B8" w14:textId="24C8E655" w:rsidR="00244890" w:rsidRPr="00244890" w:rsidRDefault="00244890" w:rsidP="00F5275F">
      <w:pPr>
        <w:pStyle w:val="MDPI31text"/>
        <w:spacing w:before="240" w:line="360" w:lineRule="auto"/>
        <w:ind w:firstLine="0"/>
        <w:rPr>
          <w:rFonts w:ascii="Times New Roman" w:hAnsi="Times New Roman"/>
          <w:color w:val="0070C0"/>
          <w:sz w:val="24"/>
          <w:szCs w:val="24"/>
        </w:rPr>
      </w:pPr>
      <w:r w:rsidRPr="00244890">
        <w:rPr>
          <w:rFonts w:ascii="Times New Roman" w:hAnsi="Times New Roman"/>
          <w:color w:val="0070C0"/>
          <w:sz w:val="24"/>
          <w:szCs w:val="24"/>
        </w:rPr>
        <w:t xml:space="preserve">Vizcaino, B. (November 12, 2018b), Swiss cryptocurrency firm X8 obtains Islamic finance certification, </w:t>
      </w:r>
      <w:r w:rsidRPr="00244890">
        <w:rPr>
          <w:rFonts w:ascii="Times New Roman" w:hAnsi="Times New Roman"/>
          <w:i/>
          <w:iCs/>
          <w:color w:val="0070C0"/>
          <w:sz w:val="24"/>
          <w:szCs w:val="24"/>
        </w:rPr>
        <w:t>Thomson Reuters</w:t>
      </w:r>
      <w:r w:rsidRPr="00244890">
        <w:rPr>
          <w:rFonts w:ascii="Times New Roman" w:hAnsi="Times New Roman"/>
          <w:color w:val="0070C0"/>
          <w:sz w:val="24"/>
          <w:szCs w:val="24"/>
        </w:rPr>
        <w:t>. Retrieved from https://www.reuters.com/article/islamic-finance-cryptocurrencies-idUSL8N1XN0BG</w:t>
      </w:r>
    </w:p>
    <w:p w14:paraId="6D53AAEE" w14:textId="77777777" w:rsidR="00244890" w:rsidRPr="00244890" w:rsidRDefault="00244890" w:rsidP="00244890">
      <w:pPr>
        <w:spacing w:line="360" w:lineRule="auto"/>
        <w:jc w:val="both"/>
        <w:rPr>
          <w:rFonts w:ascii="Times New Roman" w:hAnsi="Times New Roman" w:cs="Times New Roman"/>
          <w:color w:val="0070C0"/>
          <w:sz w:val="24"/>
          <w:szCs w:val="24"/>
        </w:rPr>
      </w:pPr>
      <w:bookmarkStart w:id="35" w:name="_Hlk80966303"/>
      <w:r w:rsidRPr="00244890">
        <w:rPr>
          <w:rFonts w:ascii="Times New Roman" w:hAnsi="Times New Roman" w:cs="Times New Roman"/>
          <w:color w:val="0070C0"/>
          <w:sz w:val="24"/>
          <w:szCs w:val="24"/>
        </w:rPr>
        <w:lastRenderedPageBreak/>
        <w:t>Vizcaino</w:t>
      </w:r>
      <w:bookmarkEnd w:id="35"/>
      <w:r w:rsidRPr="00244890">
        <w:rPr>
          <w:rFonts w:ascii="Times New Roman" w:hAnsi="Times New Roman" w:cs="Times New Roman"/>
          <w:color w:val="0070C0"/>
          <w:sz w:val="24"/>
          <w:szCs w:val="24"/>
        </w:rPr>
        <w:t xml:space="preserve">, B. (September 18, 2018a), </w:t>
      </w:r>
      <w:proofErr w:type="spellStart"/>
      <w:r w:rsidRPr="00244890">
        <w:rPr>
          <w:rFonts w:ascii="Times New Roman" w:hAnsi="Times New Roman" w:cs="Times New Roman"/>
          <w:color w:val="0070C0"/>
          <w:sz w:val="24"/>
          <w:szCs w:val="24"/>
        </w:rPr>
        <w:t>OneGram</w:t>
      </w:r>
      <w:proofErr w:type="spellEnd"/>
      <w:r w:rsidRPr="00244890">
        <w:rPr>
          <w:rFonts w:ascii="Times New Roman" w:hAnsi="Times New Roman" w:cs="Times New Roman"/>
          <w:color w:val="0070C0"/>
          <w:sz w:val="24"/>
          <w:szCs w:val="24"/>
        </w:rPr>
        <w:t xml:space="preserve"> lists Islamic cryptocurrency on its own virtual exchange, </w:t>
      </w:r>
      <w:r w:rsidRPr="00244890">
        <w:rPr>
          <w:rFonts w:ascii="Times New Roman" w:hAnsi="Times New Roman" w:cs="Times New Roman"/>
          <w:i/>
          <w:iCs/>
          <w:color w:val="0070C0"/>
          <w:sz w:val="24"/>
          <w:szCs w:val="24"/>
        </w:rPr>
        <w:t>Thomson Reuters</w:t>
      </w:r>
      <w:r w:rsidRPr="00244890">
        <w:rPr>
          <w:rFonts w:ascii="Times New Roman" w:hAnsi="Times New Roman" w:cs="Times New Roman"/>
          <w:color w:val="0070C0"/>
          <w:sz w:val="24"/>
          <w:szCs w:val="24"/>
        </w:rPr>
        <w:t>. Retrieved from https://www.reuters.com/article/islamic-finance-cryptocurrencies-idUSL8N1W41X9.</w:t>
      </w:r>
    </w:p>
    <w:p w14:paraId="3DD16CAA" w14:textId="77777777" w:rsidR="00244890" w:rsidRPr="00AE345F" w:rsidRDefault="00244890" w:rsidP="00AE345F">
      <w:pPr>
        <w:pStyle w:val="pf0"/>
        <w:spacing w:before="240" w:beforeAutospacing="0" w:after="0" w:afterAutospacing="0" w:line="360" w:lineRule="auto"/>
        <w:jc w:val="both"/>
      </w:pPr>
      <w:r w:rsidRPr="00AE345F">
        <w:rPr>
          <w:rStyle w:val="cf01"/>
          <w:rFonts w:ascii="Times New Roman" w:hAnsi="Times New Roman" w:cs="Times New Roman"/>
          <w:sz w:val="24"/>
          <w:szCs w:val="24"/>
        </w:rPr>
        <w:t xml:space="preserve">Wang, G. J., Ma, X. Y., &amp; Wu, H. Y. (2020). Are stablecoins truly diversifiers, hedges, or safe havens against traditional cryptocurrencies as their name </w:t>
      </w:r>
      <w:proofErr w:type="gramStart"/>
      <w:r w:rsidRPr="00AE345F">
        <w:rPr>
          <w:rStyle w:val="cf01"/>
          <w:rFonts w:ascii="Times New Roman" w:hAnsi="Times New Roman" w:cs="Times New Roman"/>
          <w:sz w:val="24"/>
          <w:szCs w:val="24"/>
        </w:rPr>
        <w:t>suggests?.</w:t>
      </w:r>
      <w:proofErr w:type="gramEnd"/>
      <w:r w:rsidRPr="00AE345F">
        <w:rPr>
          <w:rStyle w:val="cf01"/>
          <w:rFonts w:ascii="Times New Roman" w:hAnsi="Times New Roman" w:cs="Times New Roman"/>
          <w:sz w:val="24"/>
          <w:szCs w:val="24"/>
        </w:rPr>
        <w:t xml:space="preserve"> Research in International Business and Finance, 54, 101225.</w:t>
      </w:r>
    </w:p>
    <w:p w14:paraId="26428782" w14:textId="77777777" w:rsidR="00244890" w:rsidRPr="00AE345F" w:rsidRDefault="00244890" w:rsidP="00AE345F">
      <w:pPr>
        <w:spacing w:before="240" w:after="0" w:line="360" w:lineRule="auto"/>
        <w:jc w:val="both"/>
        <w:rPr>
          <w:rFonts w:ascii="Times New Roman" w:hAnsi="Times New Roman" w:cs="Times New Roman"/>
          <w:sz w:val="24"/>
          <w:szCs w:val="24"/>
          <w:shd w:val="clear" w:color="auto" w:fill="FFFFFF"/>
        </w:rPr>
      </w:pPr>
      <w:r w:rsidRPr="00AE345F">
        <w:rPr>
          <w:rFonts w:ascii="Times New Roman" w:hAnsi="Times New Roman" w:cs="Times New Roman"/>
          <w:sz w:val="24"/>
          <w:szCs w:val="24"/>
          <w:shd w:val="clear" w:color="auto" w:fill="FFFFFF"/>
        </w:rPr>
        <w:t xml:space="preserve">Yarovaya, L., </w:t>
      </w:r>
      <w:proofErr w:type="spellStart"/>
      <w:r w:rsidRPr="00AE345F">
        <w:rPr>
          <w:rFonts w:ascii="Times New Roman" w:hAnsi="Times New Roman" w:cs="Times New Roman"/>
          <w:sz w:val="24"/>
          <w:szCs w:val="24"/>
          <w:shd w:val="clear" w:color="auto" w:fill="FFFFFF"/>
        </w:rPr>
        <w:t>Elsayed</w:t>
      </w:r>
      <w:proofErr w:type="spellEnd"/>
      <w:r w:rsidRPr="00AE345F">
        <w:rPr>
          <w:rFonts w:ascii="Times New Roman" w:hAnsi="Times New Roman" w:cs="Times New Roman"/>
          <w:sz w:val="24"/>
          <w:szCs w:val="24"/>
          <w:shd w:val="clear" w:color="auto" w:fill="FFFFFF"/>
        </w:rPr>
        <w:t xml:space="preserve">, A. H., &amp; </w:t>
      </w:r>
      <w:proofErr w:type="spellStart"/>
      <w:r w:rsidRPr="00AE345F">
        <w:rPr>
          <w:rFonts w:ascii="Times New Roman" w:hAnsi="Times New Roman" w:cs="Times New Roman"/>
          <w:sz w:val="24"/>
          <w:szCs w:val="24"/>
          <w:shd w:val="clear" w:color="auto" w:fill="FFFFFF"/>
        </w:rPr>
        <w:t>Hammoudeh</w:t>
      </w:r>
      <w:proofErr w:type="spellEnd"/>
      <w:r w:rsidRPr="00AE345F">
        <w:rPr>
          <w:rFonts w:ascii="Times New Roman" w:hAnsi="Times New Roman" w:cs="Times New Roman"/>
          <w:sz w:val="24"/>
          <w:szCs w:val="24"/>
          <w:shd w:val="clear" w:color="auto" w:fill="FFFFFF"/>
        </w:rPr>
        <w:t xml:space="preserve">, S. (2021a). Determinants of spillovers between Islamic and conventional financial markets: Exploring the </w:t>
      </w:r>
      <w:proofErr w:type="gramStart"/>
      <w:r w:rsidRPr="00AE345F">
        <w:rPr>
          <w:rFonts w:ascii="Times New Roman" w:hAnsi="Times New Roman" w:cs="Times New Roman"/>
          <w:sz w:val="24"/>
          <w:szCs w:val="24"/>
          <w:shd w:val="clear" w:color="auto" w:fill="FFFFFF"/>
        </w:rPr>
        <w:t>safe haven</w:t>
      </w:r>
      <w:proofErr w:type="gramEnd"/>
      <w:r w:rsidRPr="00AE345F">
        <w:rPr>
          <w:rFonts w:ascii="Times New Roman" w:hAnsi="Times New Roman" w:cs="Times New Roman"/>
          <w:sz w:val="24"/>
          <w:szCs w:val="24"/>
          <w:shd w:val="clear" w:color="auto" w:fill="FFFFFF"/>
        </w:rPr>
        <w:t xml:space="preserve"> assets during the COVID-19 pandemic. </w:t>
      </w:r>
      <w:r w:rsidRPr="00AE345F">
        <w:rPr>
          <w:rFonts w:ascii="Times New Roman" w:hAnsi="Times New Roman" w:cs="Times New Roman"/>
          <w:i/>
          <w:iCs/>
          <w:sz w:val="24"/>
          <w:szCs w:val="24"/>
          <w:shd w:val="clear" w:color="auto" w:fill="FFFFFF"/>
        </w:rPr>
        <w:t>Finance Research Letters</w:t>
      </w:r>
      <w:r w:rsidRPr="00AE345F">
        <w:rPr>
          <w:rFonts w:ascii="Times New Roman" w:hAnsi="Times New Roman" w:cs="Times New Roman"/>
          <w:sz w:val="24"/>
          <w:szCs w:val="24"/>
          <w:shd w:val="clear" w:color="auto" w:fill="FFFFFF"/>
        </w:rPr>
        <w:t>, 101979.</w:t>
      </w:r>
    </w:p>
    <w:p w14:paraId="06BE25EA" w14:textId="77777777" w:rsidR="00830893" w:rsidRDefault="00244890" w:rsidP="00830893">
      <w:pPr>
        <w:spacing w:before="240" w:after="0" w:line="360" w:lineRule="auto"/>
        <w:jc w:val="both"/>
        <w:rPr>
          <w:rFonts w:ascii="Times New Roman" w:hAnsi="Times New Roman" w:cs="Times New Roman"/>
          <w:sz w:val="24"/>
          <w:szCs w:val="24"/>
          <w:shd w:val="clear" w:color="auto" w:fill="FFFFFF"/>
        </w:rPr>
      </w:pPr>
      <w:bookmarkStart w:id="36" w:name="_Hlk67050429"/>
      <w:r w:rsidRPr="00AE345F">
        <w:rPr>
          <w:rFonts w:ascii="Times New Roman" w:hAnsi="Times New Roman" w:cs="Times New Roman"/>
          <w:sz w:val="24"/>
          <w:szCs w:val="24"/>
          <w:shd w:val="clear" w:color="auto" w:fill="FFFFFF"/>
        </w:rPr>
        <w:t>Yarovaya</w:t>
      </w:r>
      <w:bookmarkEnd w:id="36"/>
      <w:r w:rsidRPr="00AE345F">
        <w:rPr>
          <w:rFonts w:ascii="Times New Roman" w:hAnsi="Times New Roman" w:cs="Times New Roman"/>
          <w:sz w:val="24"/>
          <w:szCs w:val="24"/>
          <w:shd w:val="clear" w:color="auto" w:fill="FFFFFF"/>
        </w:rPr>
        <w:t xml:space="preserve">, L., </w:t>
      </w:r>
      <w:proofErr w:type="spellStart"/>
      <w:r w:rsidRPr="00AE345F">
        <w:rPr>
          <w:rFonts w:ascii="Times New Roman" w:hAnsi="Times New Roman" w:cs="Times New Roman"/>
          <w:sz w:val="24"/>
          <w:szCs w:val="24"/>
          <w:shd w:val="clear" w:color="auto" w:fill="FFFFFF"/>
        </w:rPr>
        <w:t>Matkovskyy</w:t>
      </w:r>
      <w:proofErr w:type="spellEnd"/>
      <w:r w:rsidRPr="00AE345F">
        <w:rPr>
          <w:rFonts w:ascii="Times New Roman" w:hAnsi="Times New Roman" w:cs="Times New Roman"/>
          <w:sz w:val="24"/>
          <w:szCs w:val="24"/>
          <w:shd w:val="clear" w:color="auto" w:fill="FFFFFF"/>
        </w:rPr>
        <w:t>, R., &amp; Jalan, A. (2021b). The effects of a “black swan” event (COVID-19) on herding behavior in cryptocurrency markets. </w:t>
      </w:r>
      <w:r w:rsidRPr="00AE345F">
        <w:rPr>
          <w:rFonts w:ascii="Times New Roman" w:hAnsi="Times New Roman" w:cs="Times New Roman"/>
          <w:i/>
          <w:iCs/>
          <w:sz w:val="24"/>
          <w:szCs w:val="24"/>
          <w:shd w:val="clear" w:color="auto" w:fill="FFFFFF"/>
        </w:rPr>
        <w:t>Journal of International Financial Markets, Institutions and Money</w:t>
      </w:r>
      <w:r w:rsidRPr="00AE345F">
        <w:rPr>
          <w:rFonts w:ascii="Times New Roman" w:hAnsi="Times New Roman" w:cs="Times New Roman"/>
          <w:sz w:val="24"/>
          <w:szCs w:val="24"/>
          <w:shd w:val="clear" w:color="auto" w:fill="FFFFFF"/>
        </w:rPr>
        <w:t>, 101321.</w:t>
      </w:r>
    </w:p>
    <w:p w14:paraId="1E8D94D0" w14:textId="30A00A76" w:rsidR="00244890" w:rsidRPr="00244890" w:rsidRDefault="00244890" w:rsidP="00830893">
      <w:pPr>
        <w:spacing w:before="240" w:after="0" w:line="360" w:lineRule="auto"/>
        <w:jc w:val="both"/>
        <w:rPr>
          <w:rFonts w:ascii="Times New Roman" w:hAnsi="Times New Roman" w:cs="Times New Roman"/>
          <w:color w:val="0070C0"/>
          <w:sz w:val="24"/>
          <w:szCs w:val="24"/>
          <w:shd w:val="clear" w:color="auto" w:fill="FFFFFF"/>
        </w:rPr>
      </w:pPr>
      <w:r w:rsidRPr="00244890">
        <w:rPr>
          <w:rFonts w:ascii="Times New Roman" w:hAnsi="Times New Roman" w:cs="Times New Roman"/>
          <w:color w:val="0070C0"/>
          <w:sz w:val="24"/>
          <w:szCs w:val="24"/>
          <w:shd w:val="clear" w:color="auto" w:fill="FFFFFF"/>
        </w:rPr>
        <w:t>Yousaf, I. (2021). Risk transmission from the COVID-19 to metals and energy markets. </w:t>
      </w:r>
      <w:r w:rsidRPr="00244890">
        <w:rPr>
          <w:rFonts w:ascii="Times New Roman" w:hAnsi="Times New Roman" w:cs="Times New Roman"/>
          <w:i/>
          <w:iCs/>
          <w:color w:val="0070C0"/>
          <w:sz w:val="24"/>
          <w:szCs w:val="24"/>
          <w:shd w:val="clear" w:color="auto" w:fill="FFFFFF"/>
        </w:rPr>
        <w:t>Resources Policy</w:t>
      </w:r>
      <w:r w:rsidRPr="00244890">
        <w:rPr>
          <w:rFonts w:ascii="Times New Roman" w:hAnsi="Times New Roman" w:cs="Times New Roman"/>
          <w:color w:val="0070C0"/>
          <w:sz w:val="24"/>
          <w:szCs w:val="24"/>
          <w:shd w:val="clear" w:color="auto" w:fill="FFFFFF"/>
        </w:rPr>
        <w:t>, 102156.</w:t>
      </w:r>
    </w:p>
    <w:p w14:paraId="3892BBB1" w14:textId="77777777" w:rsidR="00244890" w:rsidRPr="00AE345F" w:rsidRDefault="00244890" w:rsidP="00AE345F">
      <w:pPr>
        <w:spacing w:before="240" w:after="0" w:line="360" w:lineRule="auto"/>
        <w:jc w:val="both"/>
        <w:rPr>
          <w:rFonts w:ascii="Times New Roman" w:hAnsi="Times New Roman" w:cs="Times New Roman"/>
          <w:sz w:val="24"/>
          <w:szCs w:val="24"/>
        </w:rPr>
      </w:pPr>
      <w:r w:rsidRPr="00AE345F">
        <w:rPr>
          <w:rFonts w:ascii="Times New Roman" w:hAnsi="Times New Roman" w:cs="Times New Roman"/>
          <w:sz w:val="24"/>
          <w:szCs w:val="24"/>
          <w:shd w:val="clear" w:color="auto" w:fill="FFFFFF"/>
        </w:rPr>
        <w:t>Yousaf, I., &amp; Ali, S. (2020). Discovering interlinkages between major cryptocurrencies using high-frequency data: new evidence from COVID-19 pandemic. </w:t>
      </w:r>
      <w:r w:rsidRPr="00AE345F">
        <w:rPr>
          <w:rFonts w:ascii="Times New Roman" w:hAnsi="Times New Roman" w:cs="Times New Roman"/>
          <w:i/>
          <w:iCs/>
          <w:sz w:val="24"/>
          <w:szCs w:val="24"/>
          <w:shd w:val="clear" w:color="auto" w:fill="FFFFFF"/>
        </w:rPr>
        <w:t>Financial Innovation</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6</w:t>
      </w:r>
      <w:r w:rsidRPr="00AE345F">
        <w:rPr>
          <w:rFonts w:ascii="Times New Roman" w:hAnsi="Times New Roman" w:cs="Times New Roman"/>
          <w:sz w:val="24"/>
          <w:szCs w:val="24"/>
          <w:shd w:val="clear" w:color="auto" w:fill="FFFFFF"/>
        </w:rPr>
        <w:t>(1), 1-18.</w:t>
      </w:r>
    </w:p>
    <w:p w14:paraId="70373DC1" w14:textId="77777777" w:rsidR="00244890" w:rsidRPr="00AE345F" w:rsidRDefault="00244890" w:rsidP="00AE345F">
      <w:pPr>
        <w:pStyle w:val="MDPI31text"/>
        <w:spacing w:before="240" w:line="360" w:lineRule="auto"/>
        <w:ind w:firstLine="0"/>
        <w:rPr>
          <w:rFonts w:ascii="Times New Roman" w:hAnsi="Times New Roman"/>
          <w:color w:val="auto"/>
          <w:sz w:val="24"/>
          <w:szCs w:val="24"/>
          <w:shd w:val="clear" w:color="auto" w:fill="FFFFFF"/>
        </w:rPr>
      </w:pPr>
      <w:r w:rsidRPr="00AE345F">
        <w:rPr>
          <w:rFonts w:ascii="Times New Roman" w:hAnsi="Times New Roman"/>
          <w:color w:val="auto"/>
          <w:sz w:val="24"/>
          <w:szCs w:val="24"/>
          <w:shd w:val="clear" w:color="auto" w:fill="FFFFFF"/>
        </w:rPr>
        <w:t>Yousaf, I., &amp; Ali, S. (2021). Linkages between stock and cryptocurrency markets during the COVID-19 outbreak: An intraday analysis. </w:t>
      </w:r>
      <w:r w:rsidRPr="00AE345F">
        <w:rPr>
          <w:rFonts w:ascii="Times New Roman" w:hAnsi="Times New Roman"/>
          <w:i/>
          <w:iCs/>
          <w:color w:val="auto"/>
          <w:sz w:val="24"/>
          <w:szCs w:val="24"/>
          <w:shd w:val="clear" w:color="auto" w:fill="FFFFFF"/>
        </w:rPr>
        <w:t>The Singapore Economic Review</w:t>
      </w:r>
      <w:r w:rsidRPr="00AE345F">
        <w:rPr>
          <w:rFonts w:ascii="Times New Roman" w:hAnsi="Times New Roman"/>
          <w:color w:val="auto"/>
          <w:sz w:val="24"/>
          <w:szCs w:val="24"/>
          <w:shd w:val="clear" w:color="auto" w:fill="FFFFFF"/>
        </w:rPr>
        <w:t xml:space="preserve">. In press. </w:t>
      </w:r>
      <w:hyperlink r:id="rId10" w:history="1">
        <w:r w:rsidRPr="00AE345F">
          <w:rPr>
            <w:rStyle w:val="Hyperlink"/>
            <w:rFonts w:ascii="Times New Roman" w:hAnsi="Times New Roman"/>
            <w:color w:val="auto"/>
            <w:sz w:val="24"/>
            <w:szCs w:val="24"/>
            <w:shd w:val="clear" w:color="auto" w:fill="FFFFFF"/>
          </w:rPr>
          <w:t>doi:10.1142/S0217590821470019</w:t>
        </w:r>
      </w:hyperlink>
    </w:p>
    <w:p w14:paraId="655C6C28" w14:textId="77777777" w:rsidR="00830893" w:rsidRDefault="00244890" w:rsidP="00830893">
      <w:pPr>
        <w:spacing w:before="240" w:after="0" w:line="360" w:lineRule="auto"/>
        <w:jc w:val="both"/>
        <w:rPr>
          <w:rFonts w:ascii="Times New Roman" w:hAnsi="Times New Roman" w:cs="Times New Roman"/>
          <w:sz w:val="24"/>
          <w:szCs w:val="24"/>
          <w:shd w:val="clear" w:color="auto" w:fill="FFFFFF"/>
        </w:rPr>
      </w:pPr>
      <w:bookmarkStart w:id="37" w:name="_Hlk67048730"/>
      <w:r w:rsidRPr="00AE345F">
        <w:rPr>
          <w:rFonts w:ascii="Times New Roman" w:hAnsi="Times New Roman" w:cs="Times New Roman"/>
          <w:sz w:val="24"/>
          <w:szCs w:val="24"/>
          <w:shd w:val="clear" w:color="auto" w:fill="FFFFFF"/>
        </w:rPr>
        <w:t>Zhang,</w:t>
      </w:r>
      <w:bookmarkEnd w:id="37"/>
      <w:r w:rsidRPr="00AE345F">
        <w:rPr>
          <w:rFonts w:ascii="Times New Roman" w:hAnsi="Times New Roman" w:cs="Times New Roman"/>
          <w:sz w:val="24"/>
          <w:szCs w:val="24"/>
          <w:shd w:val="clear" w:color="auto" w:fill="FFFFFF"/>
        </w:rPr>
        <w:t xml:space="preserve"> D., Hu, M., &amp; Ji, Q. (2020). Financial markets under the global pandemic of COVID-19. </w:t>
      </w:r>
      <w:r w:rsidRPr="00AE345F">
        <w:rPr>
          <w:rFonts w:ascii="Times New Roman" w:hAnsi="Times New Roman" w:cs="Times New Roman"/>
          <w:i/>
          <w:iCs/>
          <w:sz w:val="24"/>
          <w:szCs w:val="24"/>
          <w:shd w:val="clear" w:color="auto" w:fill="FFFFFF"/>
        </w:rPr>
        <w:t>Finance Research Letters</w:t>
      </w:r>
      <w:r w:rsidRPr="00AE345F">
        <w:rPr>
          <w:rFonts w:ascii="Times New Roman" w:hAnsi="Times New Roman" w:cs="Times New Roman"/>
          <w:sz w:val="24"/>
          <w:szCs w:val="24"/>
          <w:shd w:val="clear" w:color="auto" w:fill="FFFFFF"/>
        </w:rPr>
        <w:t>, </w:t>
      </w:r>
      <w:r w:rsidRPr="00AE345F">
        <w:rPr>
          <w:rFonts w:ascii="Times New Roman" w:hAnsi="Times New Roman" w:cs="Times New Roman"/>
          <w:i/>
          <w:iCs/>
          <w:sz w:val="24"/>
          <w:szCs w:val="24"/>
          <w:shd w:val="clear" w:color="auto" w:fill="FFFFFF"/>
        </w:rPr>
        <w:t>36</w:t>
      </w:r>
      <w:r w:rsidRPr="00AE345F">
        <w:rPr>
          <w:rFonts w:ascii="Times New Roman" w:hAnsi="Times New Roman" w:cs="Times New Roman"/>
          <w:sz w:val="24"/>
          <w:szCs w:val="24"/>
          <w:shd w:val="clear" w:color="auto" w:fill="FFFFFF"/>
        </w:rPr>
        <w:t>, 101528.</w:t>
      </w:r>
    </w:p>
    <w:p w14:paraId="16BB4DA9" w14:textId="5B1C3CFC" w:rsidR="00244890" w:rsidRPr="00244890" w:rsidRDefault="00244890" w:rsidP="00830893">
      <w:pPr>
        <w:spacing w:before="240" w:after="0" w:line="360" w:lineRule="auto"/>
        <w:jc w:val="both"/>
        <w:rPr>
          <w:rFonts w:ascii="Times New Roman" w:hAnsi="Times New Roman"/>
          <w:color w:val="0070C0"/>
          <w:sz w:val="24"/>
          <w:szCs w:val="24"/>
          <w:shd w:val="clear" w:color="auto" w:fill="FFFFFF"/>
        </w:rPr>
      </w:pPr>
      <w:r w:rsidRPr="00244890">
        <w:rPr>
          <w:rFonts w:ascii="Times New Roman" w:hAnsi="Times New Roman"/>
          <w:color w:val="0070C0"/>
          <w:sz w:val="24"/>
          <w:szCs w:val="24"/>
          <w:shd w:val="clear" w:color="auto" w:fill="FFFFFF"/>
        </w:rPr>
        <w:t xml:space="preserve">Zhang, Y., &amp; </w:t>
      </w:r>
      <w:bookmarkStart w:id="38" w:name="_Hlk80959811"/>
      <w:r w:rsidRPr="00244890">
        <w:rPr>
          <w:rFonts w:ascii="Times New Roman" w:hAnsi="Times New Roman"/>
          <w:color w:val="0070C0"/>
          <w:sz w:val="24"/>
          <w:szCs w:val="24"/>
          <w:shd w:val="clear" w:color="auto" w:fill="FFFFFF"/>
        </w:rPr>
        <w:t>Choudhry</w:t>
      </w:r>
      <w:bookmarkEnd w:id="38"/>
      <w:r w:rsidRPr="00244890">
        <w:rPr>
          <w:rFonts w:ascii="Times New Roman" w:hAnsi="Times New Roman"/>
          <w:color w:val="0070C0"/>
          <w:sz w:val="24"/>
          <w:szCs w:val="24"/>
          <w:shd w:val="clear" w:color="auto" w:fill="FFFFFF"/>
        </w:rPr>
        <w:t>, T. (2017). Forecasting the Daily Time‐Varying Beta of European Banks During the Crisis Period: Comparison Between GARCH Models and the Kalman Filter. </w:t>
      </w:r>
      <w:r w:rsidRPr="00244890">
        <w:rPr>
          <w:rFonts w:ascii="Times New Roman" w:hAnsi="Times New Roman"/>
          <w:i/>
          <w:iCs/>
          <w:color w:val="0070C0"/>
          <w:sz w:val="24"/>
          <w:szCs w:val="24"/>
          <w:shd w:val="clear" w:color="auto" w:fill="FFFFFF"/>
        </w:rPr>
        <w:t>Journal of Forecasting</w:t>
      </w:r>
      <w:r w:rsidRPr="00244890">
        <w:rPr>
          <w:rFonts w:ascii="Times New Roman" w:hAnsi="Times New Roman"/>
          <w:color w:val="0070C0"/>
          <w:sz w:val="24"/>
          <w:szCs w:val="24"/>
          <w:shd w:val="clear" w:color="auto" w:fill="FFFFFF"/>
        </w:rPr>
        <w:t>, </w:t>
      </w:r>
      <w:r w:rsidRPr="00244890">
        <w:rPr>
          <w:rFonts w:ascii="Times New Roman" w:hAnsi="Times New Roman"/>
          <w:i/>
          <w:iCs/>
          <w:color w:val="0070C0"/>
          <w:sz w:val="24"/>
          <w:szCs w:val="24"/>
          <w:shd w:val="clear" w:color="auto" w:fill="FFFFFF"/>
        </w:rPr>
        <w:t>36</w:t>
      </w:r>
      <w:r w:rsidRPr="00244890">
        <w:rPr>
          <w:rFonts w:ascii="Times New Roman" w:hAnsi="Times New Roman"/>
          <w:color w:val="0070C0"/>
          <w:sz w:val="24"/>
          <w:szCs w:val="24"/>
          <w:shd w:val="clear" w:color="auto" w:fill="FFFFFF"/>
        </w:rPr>
        <w:t>(8), 956-973.</w:t>
      </w:r>
    </w:p>
    <w:p w14:paraId="402847D4" w14:textId="77777777" w:rsidR="00F41329" w:rsidRDefault="00F41329" w:rsidP="00FE4BD1">
      <w:pPr>
        <w:spacing w:line="360" w:lineRule="auto"/>
        <w:jc w:val="both"/>
        <w:rPr>
          <w:rFonts w:ascii="Times New Roman" w:hAnsi="Times New Roman" w:cs="Times New Roman"/>
          <w:sz w:val="24"/>
          <w:szCs w:val="24"/>
        </w:rPr>
      </w:pPr>
    </w:p>
    <w:p w14:paraId="14BB7388" w14:textId="77777777" w:rsidR="00FE4BD1" w:rsidRDefault="00FE4BD1" w:rsidP="006D1F08">
      <w:pPr>
        <w:spacing w:line="360" w:lineRule="auto"/>
        <w:jc w:val="both"/>
        <w:rPr>
          <w:rFonts w:ascii="Times New Roman" w:hAnsi="Times New Roman" w:cs="Times New Roman"/>
          <w:sz w:val="24"/>
          <w:szCs w:val="24"/>
        </w:rPr>
      </w:pPr>
    </w:p>
    <w:p w14:paraId="6ED13C80" w14:textId="77777777" w:rsidR="006D1F08" w:rsidRPr="00EF1CDD" w:rsidRDefault="006D1F08" w:rsidP="00F370CE">
      <w:pPr>
        <w:spacing w:line="360" w:lineRule="auto"/>
        <w:jc w:val="both"/>
        <w:rPr>
          <w:rFonts w:ascii="Times New Roman" w:hAnsi="Times New Roman" w:cs="Times New Roman"/>
          <w:color w:val="0070C0"/>
          <w:sz w:val="24"/>
          <w:szCs w:val="24"/>
        </w:rPr>
      </w:pPr>
    </w:p>
    <w:p w14:paraId="2865021A" w14:textId="77777777" w:rsidR="00F370CE" w:rsidRDefault="00F370CE" w:rsidP="00DC34BB">
      <w:pPr>
        <w:spacing w:line="360" w:lineRule="auto"/>
        <w:jc w:val="both"/>
        <w:rPr>
          <w:rFonts w:ascii="Times New Roman" w:hAnsi="Times New Roman" w:cs="Times New Roman"/>
          <w:sz w:val="24"/>
          <w:szCs w:val="24"/>
        </w:rPr>
      </w:pPr>
    </w:p>
    <w:p w14:paraId="4796D8C8" w14:textId="77777777" w:rsidR="00DC34BB" w:rsidRDefault="00DC34BB" w:rsidP="00D22660">
      <w:pPr>
        <w:spacing w:line="360" w:lineRule="auto"/>
        <w:jc w:val="both"/>
        <w:rPr>
          <w:rFonts w:ascii="Times New Roman" w:hAnsi="Times New Roman" w:cs="Times New Roman"/>
          <w:color w:val="0070C0"/>
          <w:sz w:val="24"/>
          <w:szCs w:val="24"/>
        </w:rPr>
      </w:pPr>
    </w:p>
    <w:p w14:paraId="47B4E32D" w14:textId="77777777" w:rsidR="00D22660" w:rsidRDefault="00D22660" w:rsidP="00527A69">
      <w:pPr>
        <w:pStyle w:val="MDPI31text"/>
        <w:spacing w:line="360" w:lineRule="auto"/>
        <w:ind w:firstLine="0"/>
        <w:rPr>
          <w:rFonts w:ascii="Times New Roman" w:hAnsi="Times New Roman"/>
          <w:color w:val="000000" w:themeColor="text1"/>
          <w:sz w:val="24"/>
          <w:szCs w:val="24"/>
        </w:rPr>
      </w:pPr>
    </w:p>
    <w:p w14:paraId="1C7EA25F" w14:textId="77777777" w:rsidR="00527A69" w:rsidRDefault="00527A69" w:rsidP="0081087D">
      <w:pPr>
        <w:pStyle w:val="MDPI31text"/>
        <w:spacing w:line="360" w:lineRule="auto"/>
        <w:ind w:firstLine="0"/>
        <w:rPr>
          <w:rFonts w:ascii="Times New Roman" w:hAnsi="Times New Roman"/>
          <w:color w:val="000000" w:themeColor="text1"/>
          <w:sz w:val="24"/>
          <w:szCs w:val="24"/>
        </w:rPr>
      </w:pPr>
    </w:p>
    <w:p w14:paraId="6123EA95" w14:textId="77777777" w:rsidR="0081087D" w:rsidRDefault="0081087D" w:rsidP="000C48E8">
      <w:pPr>
        <w:spacing w:line="360" w:lineRule="auto"/>
        <w:jc w:val="both"/>
        <w:rPr>
          <w:rFonts w:ascii="Times New Roman" w:hAnsi="Times New Roman" w:cs="Times New Roman"/>
          <w:sz w:val="24"/>
          <w:szCs w:val="24"/>
        </w:rPr>
      </w:pPr>
    </w:p>
    <w:p w14:paraId="63A466FE" w14:textId="77777777" w:rsidR="000C48E8" w:rsidRDefault="000C48E8" w:rsidP="00A94745">
      <w:pPr>
        <w:spacing w:line="360" w:lineRule="auto"/>
        <w:jc w:val="both"/>
        <w:rPr>
          <w:rFonts w:ascii="Times New Roman" w:hAnsi="Times New Roman" w:cs="Times New Roman"/>
          <w:sz w:val="24"/>
          <w:szCs w:val="24"/>
        </w:rPr>
      </w:pPr>
    </w:p>
    <w:p w14:paraId="63178308" w14:textId="77777777" w:rsidR="00A94745" w:rsidRDefault="00A94745" w:rsidP="00DB05CD">
      <w:pPr>
        <w:spacing w:line="360" w:lineRule="auto"/>
        <w:jc w:val="both"/>
        <w:rPr>
          <w:rFonts w:ascii="Times New Roman" w:hAnsi="Times New Roman" w:cs="Times New Roman"/>
          <w:sz w:val="24"/>
          <w:szCs w:val="24"/>
        </w:rPr>
      </w:pPr>
    </w:p>
    <w:p w14:paraId="37B543F3" w14:textId="77777777" w:rsidR="00297F06" w:rsidRDefault="00297F06" w:rsidP="00AE345F">
      <w:pPr>
        <w:spacing w:before="240" w:after="0" w:line="360" w:lineRule="auto"/>
        <w:jc w:val="both"/>
        <w:rPr>
          <w:rFonts w:ascii="Times New Roman" w:hAnsi="Times New Roman" w:cs="Times New Roman"/>
          <w:sz w:val="24"/>
          <w:szCs w:val="24"/>
          <w:shd w:val="clear" w:color="auto" w:fill="FFFFFF"/>
        </w:rPr>
      </w:pPr>
    </w:p>
    <w:p w14:paraId="4F278ED2" w14:textId="3B9EEE59" w:rsidR="00785B27" w:rsidRDefault="00785B27" w:rsidP="00AE345F">
      <w:pPr>
        <w:spacing w:before="240" w:after="0" w:line="360" w:lineRule="auto"/>
        <w:jc w:val="both"/>
        <w:rPr>
          <w:rFonts w:ascii="Times New Roman" w:hAnsi="Times New Roman" w:cs="Times New Roman"/>
          <w:sz w:val="24"/>
          <w:szCs w:val="24"/>
          <w:shd w:val="clear" w:color="auto" w:fill="FFFFFF"/>
        </w:rPr>
      </w:pPr>
    </w:p>
    <w:p w14:paraId="54C9EE42" w14:textId="77777777" w:rsidR="00297F06" w:rsidRDefault="00297F06" w:rsidP="00297F06">
      <w:pPr>
        <w:rPr>
          <w:rFonts w:ascii="Times New Roman" w:hAnsi="Times New Roman" w:cs="Times New Roman"/>
          <w:b/>
          <w:bCs/>
          <w:sz w:val="24"/>
          <w:szCs w:val="24"/>
        </w:rPr>
        <w:sectPr w:rsidR="00297F06" w:rsidSect="00A56C42">
          <w:footerReference w:type="default" r:id="rId11"/>
          <w:pgSz w:w="12240" w:h="15840"/>
          <w:pgMar w:top="1440" w:right="1440" w:bottom="1440" w:left="1440" w:header="720" w:footer="720" w:gutter="0"/>
          <w:cols w:space="720"/>
          <w:titlePg/>
          <w:docGrid w:linePitch="360"/>
        </w:sectPr>
      </w:pPr>
    </w:p>
    <w:p w14:paraId="4CDB0930" w14:textId="3FFC8011" w:rsidR="00297F06" w:rsidRPr="00FF6562" w:rsidRDefault="00297F06" w:rsidP="00F62D33">
      <w:pPr>
        <w:jc w:val="center"/>
        <w:rPr>
          <w:rFonts w:ascii="Times New Roman" w:hAnsi="Times New Roman" w:cs="Times New Roman"/>
          <w:sz w:val="24"/>
          <w:szCs w:val="24"/>
        </w:rPr>
      </w:pPr>
      <w:r w:rsidRPr="00FF6562">
        <w:rPr>
          <w:rFonts w:ascii="Times New Roman" w:hAnsi="Times New Roman" w:cs="Times New Roman"/>
          <w:b/>
          <w:bCs/>
          <w:sz w:val="24"/>
          <w:szCs w:val="24"/>
        </w:rPr>
        <w:lastRenderedPageBreak/>
        <w:t>Table 1.</w:t>
      </w:r>
      <w:r w:rsidRPr="00FF6562">
        <w:rPr>
          <w:rFonts w:ascii="Times New Roman" w:hAnsi="Times New Roman" w:cs="Times New Roman"/>
          <w:sz w:val="24"/>
          <w:szCs w:val="24"/>
        </w:rPr>
        <w:t xml:space="preserve"> Summary Statistics</w:t>
      </w:r>
    </w:p>
    <w:tbl>
      <w:tblPr>
        <w:tblW w:w="14155" w:type="dxa"/>
        <w:tblBorders>
          <w:top w:val="single" w:sz="4" w:space="0" w:color="auto"/>
          <w:bottom w:val="single" w:sz="4" w:space="0" w:color="auto"/>
        </w:tblBorders>
        <w:tblLayout w:type="fixed"/>
        <w:tblLook w:val="04A0" w:firstRow="1" w:lastRow="0" w:firstColumn="1" w:lastColumn="0" w:noHBand="0" w:noVBand="1"/>
      </w:tblPr>
      <w:tblGrid>
        <w:gridCol w:w="1071"/>
        <w:gridCol w:w="537"/>
        <w:gridCol w:w="803"/>
        <w:gridCol w:w="1072"/>
        <w:gridCol w:w="1072"/>
        <w:gridCol w:w="1060"/>
        <w:gridCol w:w="1072"/>
        <w:gridCol w:w="938"/>
        <w:gridCol w:w="1001"/>
        <w:gridCol w:w="71"/>
        <w:gridCol w:w="938"/>
        <w:gridCol w:w="15"/>
        <w:gridCol w:w="879"/>
        <w:gridCol w:w="311"/>
        <w:gridCol w:w="1072"/>
        <w:gridCol w:w="1072"/>
        <w:gridCol w:w="1151"/>
        <w:gridCol w:w="20"/>
      </w:tblGrid>
      <w:tr w:rsidR="001019B2" w:rsidRPr="00FF6562" w14:paraId="749F9E7E" w14:textId="77777777" w:rsidTr="00FA0603">
        <w:trPr>
          <w:trHeight w:val="283"/>
        </w:trPr>
        <w:tc>
          <w:tcPr>
            <w:tcW w:w="14155" w:type="dxa"/>
            <w:gridSpan w:val="18"/>
            <w:tcBorders>
              <w:top w:val="single" w:sz="4" w:space="0" w:color="auto"/>
              <w:bottom w:val="single" w:sz="4" w:space="0" w:color="auto"/>
            </w:tcBorders>
            <w:shd w:val="clear" w:color="auto" w:fill="auto"/>
            <w:vAlign w:val="bottom"/>
          </w:tcPr>
          <w:p w14:paraId="2364FF37" w14:textId="68667B58" w:rsidR="001019B2" w:rsidRPr="00FF6562" w:rsidRDefault="00B15499" w:rsidP="003D5421">
            <w:p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This Table provides the summary statistics of Islamic gold backed cryptocurrencies and Islamic equity sectors. Panel A and Panel B represent the summary statistics during pre-COVID-19 period and the COVID-19 period</w:t>
            </w:r>
            <w:r w:rsidR="003D5421">
              <w:rPr>
                <w:rFonts w:ascii="Times New Roman" w:eastAsia="Times New Roman" w:hAnsi="Times New Roman" w:cs="Times New Roman"/>
                <w:sz w:val="20"/>
                <w:szCs w:val="20"/>
                <w:lang w:eastAsia="en-GB"/>
              </w:rPr>
              <w:t xml:space="preserve">, respectively. </w:t>
            </w:r>
            <w:proofErr w:type="spellStart"/>
            <w:proofErr w:type="gramStart"/>
            <w:r w:rsidR="001019B2" w:rsidRPr="001019B2">
              <w:rPr>
                <w:rFonts w:ascii="Times New Roman" w:eastAsia="Times New Roman" w:hAnsi="Times New Roman" w:cs="Times New Roman"/>
                <w:sz w:val="20"/>
                <w:szCs w:val="20"/>
                <w:vertAlign w:val="superscript"/>
                <w:lang w:eastAsia="en-GB"/>
              </w:rPr>
              <w:t>a</w:t>
            </w:r>
            <w:r w:rsidR="001019B2" w:rsidRPr="001019B2">
              <w:rPr>
                <w:rFonts w:ascii="Times New Roman" w:eastAsia="Times New Roman" w:hAnsi="Times New Roman" w:cs="Times New Roman"/>
                <w:sz w:val="20"/>
                <w:szCs w:val="20"/>
                <w:lang w:eastAsia="en-GB"/>
              </w:rPr>
              <w:t>,</w:t>
            </w:r>
            <w:r w:rsidR="001019B2" w:rsidRPr="001019B2">
              <w:rPr>
                <w:rFonts w:ascii="Times New Roman" w:eastAsia="Times New Roman" w:hAnsi="Times New Roman" w:cs="Times New Roman"/>
                <w:sz w:val="20"/>
                <w:szCs w:val="20"/>
                <w:vertAlign w:val="superscript"/>
                <w:lang w:eastAsia="en-GB"/>
              </w:rPr>
              <w:t>b</w:t>
            </w:r>
            <w:proofErr w:type="gramEnd"/>
            <w:r w:rsidR="001019B2" w:rsidRPr="001019B2">
              <w:rPr>
                <w:rFonts w:ascii="Times New Roman" w:eastAsia="Times New Roman" w:hAnsi="Times New Roman" w:cs="Times New Roman"/>
                <w:sz w:val="20"/>
                <w:szCs w:val="20"/>
                <w:lang w:eastAsia="en-GB"/>
              </w:rPr>
              <w:t>,</w:t>
            </w:r>
            <w:r w:rsidR="001019B2" w:rsidRPr="001019B2">
              <w:rPr>
                <w:rFonts w:ascii="Times New Roman" w:eastAsia="Times New Roman" w:hAnsi="Times New Roman" w:cs="Times New Roman"/>
                <w:sz w:val="20"/>
                <w:szCs w:val="20"/>
                <w:vertAlign w:val="superscript"/>
                <w:lang w:eastAsia="en-GB"/>
              </w:rPr>
              <w:t>c</w:t>
            </w:r>
            <w:proofErr w:type="spellEnd"/>
            <w:r w:rsidR="001019B2" w:rsidRPr="001019B2">
              <w:rPr>
                <w:rFonts w:ascii="Times New Roman" w:eastAsia="Times New Roman" w:hAnsi="Times New Roman" w:cs="Times New Roman"/>
                <w:sz w:val="20"/>
                <w:szCs w:val="20"/>
                <w:lang w:eastAsia="en-GB"/>
              </w:rPr>
              <w:t xml:space="preserve"> denote the level of significance at 1%, 5%, and 10%, respectively.</w:t>
            </w:r>
            <w:r w:rsidR="003D5421">
              <w:rPr>
                <w:rFonts w:ascii="Times New Roman" w:eastAsia="Times New Roman" w:hAnsi="Times New Roman" w:cs="Times New Roman"/>
                <w:sz w:val="20"/>
                <w:szCs w:val="20"/>
                <w:lang w:eastAsia="en-GB"/>
              </w:rPr>
              <w:t xml:space="preserve"> Following are the full forms of different acronyms used in table:</w:t>
            </w:r>
            <w:bookmarkStart w:id="39" w:name="_Hlk66061133"/>
            <w:r w:rsidR="003D5421">
              <w:rPr>
                <w:rFonts w:ascii="Times New Roman" w:eastAsia="Times New Roman" w:hAnsi="Times New Roman" w:cs="Times New Roman"/>
                <w:sz w:val="20"/>
                <w:szCs w:val="20"/>
                <w:lang w:eastAsia="en-GB"/>
              </w:rPr>
              <w:t xml:space="preserve"> </w:t>
            </w:r>
            <w:r w:rsidR="003D5421" w:rsidRPr="001019B2">
              <w:rPr>
                <w:rFonts w:ascii="Times New Roman" w:eastAsia="Times New Roman" w:hAnsi="Times New Roman" w:cs="Times New Roman"/>
                <w:sz w:val="20"/>
                <w:szCs w:val="20"/>
                <w:lang w:eastAsia="en-GB"/>
              </w:rPr>
              <w:t xml:space="preserve">Com. services-communication services, consumer disc.-consumer discretionary, consumer </w:t>
            </w:r>
            <w:proofErr w:type="spellStart"/>
            <w:r w:rsidR="003D5421" w:rsidRPr="001019B2">
              <w:rPr>
                <w:rFonts w:ascii="Times New Roman" w:eastAsia="Times New Roman" w:hAnsi="Times New Roman" w:cs="Times New Roman"/>
                <w:sz w:val="20"/>
                <w:szCs w:val="20"/>
                <w:lang w:eastAsia="en-GB"/>
              </w:rPr>
              <w:t>stap</w:t>
            </w:r>
            <w:proofErr w:type="spellEnd"/>
            <w:r w:rsidR="003D5421" w:rsidRPr="001019B2">
              <w:rPr>
                <w:rFonts w:ascii="Times New Roman" w:eastAsia="Times New Roman" w:hAnsi="Times New Roman" w:cs="Times New Roman"/>
                <w:sz w:val="20"/>
                <w:szCs w:val="20"/>
                <w:lang w:eastAsia="en-GB"/>
              </w:rPr>
              <w:t xml:space="preserve">-consumer staples, Information tech.-Information technology. </w:t>
            </w:r>
            <w:bookmarkEnd w:id="39"/>
            <w:r w:rsidR="003D5421" w:rsidRPr="001019B2">
              <w:rPr>
                <w:rFonts w:ascii="Times New Roman" w:eastAsia="Times New Roman" w:hAnsi="Times New Roman" w:cs="Times New Roman"/>
                <w:sz w:val="20"/>
                <w:szCs w:val="20"/>
                <w:lang w:eastAsia="en-GB"/>
              </w:rPr>
              <w:t>Std. Dev.-standard deviation, JB-</w:t>
            </w:r>
            <w:proofErr w:type="spellStart"/>
            <w:r w:rsidR="003D5421" w:rsidRPr="001019B2">
              <w:rPr>
                <w:rFonts w:ascii="Times New Roman" w:eastAsia="Times New Roman" w:hAnsi="Times New Roman" w:cs="Times New Roman"/>
                <w:sz w:val="20"/>
                <w:szCs w:val="20"/>
                <w:lang w:eastAsia="en-GB"/>
              </w:rPr>
              <w:t>Jarque</w:t>
            </w:r>
            <w:proofErr w:type="spellEnd"/>
            <w:r w:rsidR="003D5421" w:rsidRPr="001019B2">
              <w:rPr>
                <w:rFonts w:ascii="Times New Roman" w:eastAsia="Times New Roman" w:hAnsi="Times New Roman" w:cs="Times New Roman"/>
                <w:sz w:val="20"/>
                <w:szCs w:val="20"/>
                <w:lang w:eastAsia="en-GB"/>
              </w:rPr>
              <w:t xml:space="preserve"> Berra, ADF-Augmented Dicky Fuller test, PP- </w:t>
            </w:r>
            <w:bookmarkStart w:id="40" w:name="_Hlk81166720"/>
            <w:r w:rsidR="003D5421" w:rsidRPr="001019B2">
              <w:rPr>
                <w:rFonts w:ascii="Times New Roman" w:eastAsia="Times New Roman" w:hAnsi="Times New Roman" w:cs="Times New Roman"/>
                <w:sz w:val="20"/>
                <w:szCs w:val="20"/>
                <w:lang w:eastAsia="en-GB"/>
              </w:rPr>
              <w:t xml:space="preserve">Phillips–Perron </w:t>
            </w:r>
            <w:proofErr w:type="gramStart"/>
            <w:r w:rsidR="003D5421" w:rsidRPr="001019B2">
              <w:rPr>
                <w:rFonts w:ascii="Times New Roman" w:eastAsia="Times New Roman" w:hAnsi="Times New Roman" w:cs="Times New Roman"/>
                <w:sz w:val="20"/>
                <w:szCs w:val="20"/>
                <w:lang w:eastAsia="en-GB"/>
              </w:rPr>
              <w:t>test</w:t>
            </w:r>
            <w:bookmarkEnd w:id="40"/>
            <w:r w:rsidR="003D5421" w:rsidRPr="001019B2">
              <w:rPr>
                <w:rFonts w:ascii="Times New Roman" w:eastAsia="Times New Roman" w:hAnsi="Times New Roman" w:cs="Times New Roman"/>
                <w:sz w:val="20"/>
                <w:szCs w:val="20"/>
                <w:lang w:eastAsia="en-GB"/>
              </w:rPr>
              <w:t>,  Corr.</w:t>
            </w:r>
            <w:proofErr w:type="gramEnd"/>
            <w:r w:rsidR="003D5421" w:rsidRPr="001019B2">
              <w:rPr>
                <w:rFonts w:ascii="Times New Roman" w:eastAsia="Times New Roman" w:hAnsi="Times New Roman" w:cs="Times New Roman"/>
                <w:sz w:val="20"/>
                <w:szCs w:val="20"/>
                <w:lang w:eastAsia="en-GB"/>
              </w:rPr>
              <w:t xml:space="preserve">-correlation. Q-stat refers to the </w:t>
            </w:r>
            <w:proofErr w:type="spellStart"/>
            <w:r w:rsidR="003D5421" w:rsidRPr="001019B2">
              <w:rPr>
                <w:rFonts w:ascii="Times New Roman" w:eastAsia="Times New Roman" w:hAnsi="Times New Roman" w:cs="Times New Roman"/>
                <w:sz w:val="20"/>
                <w:szCs w:val="20"/>
                <w:lang w:eastAsia="en-GB"/>
              </w:rPr>
              <w:t>Ljung</w:t>
            </w:r>
            <w:proofErr w:type="spellEnd"/>
            <w:r w:rsidR="003D5421" w:rsidRPr="001019B2">
              <w:rPr>
                <w:rFonts w:ascii="Times New Roman" w:eastAsia="Times New Roman" w:hAnsi="Times New Roman" w:cs="Times New Roman"/>
                <w:sz w:val="20"/>
                <w:szCs w:val="20"/>
                <w:lang w:eastAsia="en-GB"/>
              </w:rPr>
              <w:t>-Box Q-statistics.</w:t>
            </w:r>
          </w:p>
        </w:tc>
      </w:tr>
      <w:tr w:rsidR="00FA0603" w:rsidRPr="00FF6562" w14:paraId="4B9E0AFA" w14:textId="77777777" w:rsidTr="00FA0603">
        <w:trPr>
          <w:gridAfter w:val="1"/>
          <w:wAfter w:w="20" w:type="dxa"/>
          <w:trHeight w:val="283"/>
        </w:trPr>
        <w:tc>
          <w:tcPr>
            <w:tcW w:w="1608" w:type="dxa"/>
            <w:gridSpan w:val="2"/>
            <w:tcBorders>
              <w:top w:val="single" w:sz="4" w:space="0" w:color="auto"/>
              <w:bottom w:val="single" w:sz="4" w:space="0" w:color="auto"/>
            </w:tcBorders>
            <w:shd w:val="clear" w:color="auto" w:fill="auto"/>
            <w:vAlign w:val="bottom"/>
            <w:hideMark/>
          </w:tcPr>
          <w:p w14:paraId="09FC42F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803" w:type="dxa"/>
            <w:tcBorders>
              <w:top w:val="single" w:sz="4" w:space="0" w:color="auto"/>
              <w:bottom w:val="single" w:sz="4" w:space="0" w:color="auto"/>
            </w:tcBorders>
            <w:shd w:val="clear" w:color="auto" w:fill="auto"/>
            <w:vAlign w:val="bottom"/>
            <w:hideMark/>
          </w:tcPr>
          <w:p w14:paraId="2DA0DC7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Mean</w:t>
            </w:r>
          </w:p>
        </w:tc>
        <w:tc>
          <w:tcPr>
            <w:tcW w:w="1072" w:type="dxa"/>
            <w:tcBorders>
              <w:top w:val="single" w:sz="4" w:space="0" w:color="auto"/>
              <w:bottom w:val="single" w:sz="4" w:space="0" w:color="auto"/>
            </w:tcBorders>
            <w:shd w:val="clear" w:color="auto" w:fill="auto"/>
            <w:vAlign w:val="bottom"/>
            <w:hideMark/>
          </w:tcPr>
          <w:p w14:paraId="0F375F1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Maximum</w:t>
            </w:r>
          </w:p>
        </w:tc>
        <w:tc>
          <w:tcPr>
            <w:tcW w:w="1072" w:type="dxa"/>
            <w:tcBorders>
              <w:top w:val="single" w:sz="4" w:space="0" w:color="auto"/>
              <w:bottom w:val="single" w:sz="4" w:space="0" w:color="auto"/>
            </w:tcBorders>
            <w:shd w:val="clear" w:color="auto" w:fill="auto"/>
            <w:vAlign w:val="bottom"/>
            <w:hideMark/>
          </w:tcPr>
          <w:p w14:paraId="5A4780E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Minimum</w:t>
            </w:r>
          </w:p>
        </w:tc>
        <w:tc>
          <w:tcPr>
            <w:tcW w:w="1060" w:type="dxa"/>
            <w:tcBorders>
              <w:top w:val="single" w:sz="4" w:space="0" w:color="auto"/>
              <w:bottom w:val="single" w:sz="4" w:space="0" w:color="auto"/>
            </w:tcBorders>
            <w:shd w:val="clear" w:color="auto" w:fill="auto"/>
            <w:vAlign w:val="bottom"/>
            <w:hideMark/>
          </w:tcPr>
          <w:p w14:paraId="0428A9F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bookmarkStart w:id="41" w:name="_Hlk66059298"/>
            <w:r w:rsidRPr="00FF6562">
              <w:rPr>
                <w:rFonts w:ascii="Times New Roman" w:eastAsia="Times New Roman" w:hAnsi="Times New Roman" w:cs="Times New Roman"/>
                <w:sz w:val="20"/>
                <w:szCs w:val="20"/>
                <w:lang w:eastAsia="en-GB"/>
              </w:rPr>
              <w:t>Std. Dev.</w:t>
            </w:r>
            <w:bookmarkEnd w:id="41"/>
          </w:p>
        </w:tc>
        <w:tc>
          <w:tcPr>
            <w:tcW w:w="1072" w:type="dxa"/>
            <w:tcBorders>
              <w:top w:val="single" w:sz="4" w:space="0" w:color="auto"/>
              <w:bottom w:val="single" w:sz="4" w:space="0" w:color="auto"/>
            </w:tcBorders>
            <w:shd w:val="clear" w:color="auto" w:fill="auto"/>
            <w:vAlign w:val="bottom"/>
            <w:hideMark/>
          </w:tcPr>
          <w:p w14:paraId="270DE564"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Skewness</w:t>
            </w:r>
          </w:p>
        </w:tc>
        <w:tc>
          <w:tcPr>
            <w:tcW w:w="938" w:type="dxa"/>
            <w:tcBorders>
              <w:top w:val="single" w:sz="4" w:space="0" w:color="auto"/>
              <w:bottom w:val="single" w:sz="4" w:space="0" w:color="auto"/>
            </w:tcBorders>
            <w:shd w:val="clear" w:color="auto" w:fill="auto"/>
            <w:vAlign w:val="bottom"/>
            <w:hideMark/>
          </w:tcPr>
          <w:p w14:paraId="5B25F3A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Kurtosis</w:t>
            </w:r>
          </w:p>
        </w:tc>
        <w:tc>
          <w:tcPr>
            <w:tcW w:w="1001" w:type="dxa"/>
            <w:tcBorders>
              <w:top w:val="single" w:sz="4" w:space="0" w:color="auto"/>
              <w:bottom w:val="single" w:sz="4" w:space="0" w:color="auto"/>
            </w:tcBorders>
            <w:shd w:val="clear" w:color="auto" w:fill="auto"/>
            <w:vAlign w:val="bottom"/>
            <w:hideMark/>
          </w:tcPr>
          <w:p w14:paraId="5A026FE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JB</w:t>
            </w:r>
          </w:p>
        </w:tc>
        <w:tc>
          <w:tcPr>
            <w:tcW w:w="1024" w:type="dxa"/>
            <w:gridSpan w:val="3"/>
            <w:tcBorders>
              <w:top w:val="single" w:sz="4" w:space="0" w:color="auto"/>
              <w:bottom w:val="single" w:sz="4" w:space="0" w:color="auto"/>
            </w:tcBorders>
            <w:shd w:val="clear" w:color="auto" w:fill="auto"/>
            <w:vAlign w:val="bottom"/>
            <w:hideMark/>
          </w:tcPr>
          <w:p w14:paraId="2A8C611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Q-stat</w:t>
            </w:r>
          </w:p>
        </w:tc>
        <w:tc>
          <w:tcPr>
            <w:tcW w:w="1190" w:type="dxa"/>
            <w:gridSpan w:val="2"/>
            <w:tcBorders>
              <w:top w:val="single" w:sz="4" w:space="0" w:color="auto"/>
              <w:bottom w:val="single" w:sz="4" w:space="0" w:color="auto"/>
            </w:tcBorders>
            <w:shd w:val="clear" w:color="auto" w:fill="auto"/>
            <w:vAlign w:val="bottom"/>
            <w:hideMark/>
          </w:tcPr>
          <w:p w14:paraId="667482B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ADF</w:t>
            </w:r>
          </w:p>
        </w:tc>
        <w:tc>
          <w:tcPr>
            <w:tcW w:w="1072" w:type="dxa"/>
            <w:tcBorders>
              <w:top w:val="single" w:sz="4" w:space="0" w:color="auto"/>
              <w:bottom w:val="single" w:sz="4" w:space="0" w:color="auto"/>
            </w:tcBorders>
          </w:tcPr>
          <w:p w14:paraId="00B0B089" w14:textId="77777777" w:rsidR="00577E25" w:rsidRDefault="00577E25" w:rsidP="00875EB5">
            <w:pPr>
              <w:spacing w:after="0" w:line="240" w:lineRule="auto"/>
              <w:rPr>
                <w:rFonts w:ascii="Times New Roman" w:eastAsia="Times New Roman" w:hAnsi="Times New Roman" w:cs="Times New Roman"/>
                <w:sz w:val="20"/>
                <w:szCs w:val="20"/>
                <w:lang w:eastAsia="en-GB"/>
              </w:rPr>
            </w:pPr>
          </w:p>
          <w:p w14:paraId="603A9343" w14:textId="36FF7177" w:rsidR="00815FA1" w:rsidRPr="00FF6562" w:rsidRDefault="00C0235B" w:rsidP="00875EB5">
            <w:pPr>
              <w:spacing w:after="0" w:line="240" w:lineRule="auto"/>
              <w:rPr>
                <w:rFonts w:ascii="Times New Roman" w:eastAsia="Times New Roman" w:hAnsi="Times New Roman" w:cs="Times New Roman"/>
                <w:sz w:val="20"/>
                <w:szCs w:val="20"/>
                <w:lang w:eastAsia="en-GB"/>
              </w:rPr>
            </w:pPr>
            <w:r w:rsidRPr="00577E25">
              <w:rPr>
                <w:rFonts w:ascii="Times New Roman" w:eastAsia="Times New Roman" w:hAnsi="Times New Roman" w:cs="Times New Roman"/>
                <w:color w:val="0070C0"/>
                <w:sz w:val="20"/>
                <w:szCs w:val="20"/>
                <w:lang w:eastAsia="en-GB"/>
              </w:rPr>
              <w:t>PP</w:t>
            </w:r>
          </w:p>
        </w:tc>
        <w:tc>
          <w:tcPr>
            <w:tcW w:w="1072" w:type="dxa"/>
            <w:tcBorders>
              <w:top w:val="single" w:sz="4" w:space="0" w:color="auto"/>
              <w:bottom w:val="single" w:sz="4" w:space="0" w:color="auto"/>
            </w:tcBorders>
            <w:shd w:val="clear" w:color="auto" w:fill="auto"/>
            <w:vAlign w:val="bottom"/>
            <w:hideMark/>
          </w:tcPr>
          <w:p w14:paraId="1EC7B9DE" w14:textId="57F15444"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Corr. with</w:t>
            </w:r>
          </w:p>
          <w:p w14:paraId="6F32382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 xml:space="preserve"> Onegram</w:t>
            </w:r>
          </w:p>
        </w:tc>
        <w:tc>
          <w:tcPr>
            <w:tcW w:w="1151" w:type="dxa"/>
            <w:tcBorders>
              <w:top w:val="single" w:sz="4" w:space="0" w:color="auto"/>
              <w:bottom w:val="single" w:sz="4" w:space="0" w:color="auto"/>
            </w:tcBorders>
            <w:shd w:val="clear" w:color="auto" w:fill="auto"/>
            <w:vAlign w:val="bottom"/>
            <w:hideMark/>
          </w:tcPr>
          <w:p w14:paraId="74A0834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Corr. with</w:t>
            </w:r>
          </w:p>
          <w:p w14:paraId="4CD9690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 xml:space="preserve"> X8X</w:t>
            </w:r>
          </w:p>
        </w:tc>
      </w:tr>
      <w:tr w:rsidR="00815FA1" w:rsidRPr="00FF6562" w14:paraId="74DAEEA5" w14:textId="77777777" w:rsidTr="00FA0603">
        <w:trPr>
          <w:trHeight w:val="170"/>
        </w:trPr>
        <w:tc>
          <w:tcPr>
            <w:tcW w:w="1071" w:type="dxa"/>
            <w:tcBorders>
              <w:top w:val="single" w:sz="4" w:space="0" w:color="auto"/>
              <w:bottom w:val="nil"/>
            </w:tcBorders>
          </w:tcPr>
          <w:p w14:paraId="5314261F" w14:textId="77777777" w:rsidR="00815FA1" w:rsidRPr="00FF6562" w:rsidRDefault="00815FA1" w:rsidP="00875EB5">
            <w:pPr>
              <w:spacing w:after="0" w:line="240" w:lineRule="auto"/>
              <w:rPr>
                <w:rFonts w:ascii="Times New Roman" w:eastAsia="Times New Roman" w:hAnsi="Times New Roman" w:cs="Times New Roman"/>
                <w:b/>
                <w:bCs/>
                <w:sz w:val="20"/>
                <w:szCs w:val="20"/>
                <w:lang w:eastAsia="en-GB"/>
              </w:rPr>
            </w:pPr>
          </w:p>
        </w:tc>
        <w:tc>
          <w:tcPr>
            <w:tcW w:w="13083" w:type="dxa"/>
            <w:gridSpan w:val="17"/>
            <w:tcBorders>
              <w:top w:val="single" w:sz="4" w:space="0" w:color="auto"/>
              <w:bottom w:val="nil"/>
            </w:tcBorders>
            <w:shd w:val="clear" w:color="auto" w:fill="auto"/>
            <w:vAlign w:val="bottom"/>
          </w:tcPr>
          <w:p w14:paraId="0917FAD5" w14:textId="0C28FDD9" w:rsidR="00815FA1" w:rsidRPr="00FF6562" w:rsidRDefault="00815FA1" w:rsidP="00875EB5">
            <w:pPr>
              <w:spacing w:after="0" w:line="240" w:lineRule="auto"/>
              <w:rPr>
                <w:rFonts w:ascii="Times New Roman" w:eastAsia="Times New Roman" w:hAnsi="Times New Roman" w:cs="Times New Roman"/>
                <w:b/>
                <w:bCs/>
                <w:sz w:val="20"/>
                <w:szCs w:val="20"/>
                <w:lang w:eastAsia="en-GB"/>
              </w:rPr>
            </w:pPr>
            <w:r w:rsidRPr="00FF6562">
              <w:rPr>
                <w:rFonts w:ascii="Times New Roman" w:eastAsia="Times New Roman" w:hAnsi="Times New Roman" w:cs="Times New Roman"/>
                <w:b/>
                <w:bCs/>
                <w:sz w:val="20"/>
                <w:szCs w:val="20"/>
                <w:lang w:eastAsia="en-GB"/>
              </w:rPr>
              <w:t>Panel A. Pre-</w:t>
            </w:r>
            <w:r w:rsidR="00B15499">
              <w:rPr>
                <w:rFonts w:ascii="Times New Roman" w:eastAsia="Times New Roman" w:hAnsi="Times New Roman" w:cs="Times New Roman"/>
                <w:b/>
                <w:bCs/>
                <w:sz w:val="20"/>
                <w:szCs w:val="20"/>
                <w:lang w:eastAsia="en-GB"/>
              </w:rPr>
              <w:t>COVID-19</w:t>
            </w:r>
            <w:r w:rsidRPr="00FF6562">
              <w:rPr>
                <w:rFonts w:ascii="Times New Roman" w:eastAsia="Times New Roman" w:hAnsi="Times New Roman" w:cs="Times New Roman"/>
                <w:b/>
                <w:bCs/>
                <w:sz w:val="20"/>
                <w:szCs w:val="20"/>
                <w:lang w:eastAsia="en-GB"/>
              </w:rPr>
              <w:t xml:space="preserve"> </w:t>
            </w:r>
          </w:p>
          <w:p w14:paraId="77FE60F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r>
      <w:tr w:rsidR="00FA0603" w:rsidRPr="00FF6562" w14:paraId="78D38571" w14:textId="77777777" w:rsidTr="00FA0603">
        <w:trPr>
          <w:gridAfter w:val="1"/>
          <w:wAfter w:w="20" w:type="dxa"/>
          <w:trHeight w:val="170"/>
        </w:trPr>
        <w:tc>
          <w:tcPr>
            <w:tcW w:w="1608" w:type="dxa"/>
            <w:gridSpan w:val="2"/>
            <w:tcBorders>
              <w:top w:val="nil"/>
            </w:tcBorders>
            <w:shd w:val="clear" w:color="auto" w:fill="auto"/>
            <w:vAlign w:val="bottom"/>
            <w:hideMark/>
          </w:tcPr>
          <w:p w14:paraId="0E02272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Onegram</w:t>
            </w:r>
          </w:p>
        </w:tc>
        <w:tc>
          <w:tcPr>
            <w:tcW w:w="803" w:type="dxa"/>
            <w:tcBorders>
              <w:top w:val="nil"/>
            </w:tcBorders>
            <w:shd w:val="clear" w:color="auto" w:fill="auto"/>
            <w:vAlign w:val="bottom"/>
            <w:hideMark/>
          </w:tcPr>
          <w:p w14:paraId="03A4DCB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-0.390</w:t>
            </w:r>
          </w:p>
        </w:tc>
        <w:tc>
          <w:tcPr>
            <w:tcW w:w="1072" w:type="dxa"/>
            <w:tcBorders>
              <w:top w:val="nil"/>
            </w:tcBorders>
            <w:shd w:val="clear" w:color="auto" w:fill="auto"/>
            <w:vAlign w:val="bottom"/>
            <w:hideMark/>
          </w:tcPr>
          <w:p w14:paraId="66B3E7E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150.275</w:t>
            </w:r>
          </w:p>
        </w:tc>
        <w:tc>
          <w:tcPr>
            <w:tcW w:w="1072" w:type="dxa"/>
            <w:tcBorders>
              <w:top w:val="nil"/>
            </w:tcBorders>
            <w:shd w:val="clear" w:color="auto" w:fill="auto"/>
            <w:vAlign w:val="bottom"/>
            <w:hideMark/>
          </w:tcPr>
          <w:p w14:paraId="1ED4E5E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-160.165</w:t>
            </w:r>
          </w:p>
        </w:tc>
        <w:tc>
          <w:tcPr>
            <w:tcW w:w="1060" w:type="dxa"/>
            <w:tcBorders>
              <w:top w:val="nil"/>
            </w:tcBorders>
            <w:shd w:val="clear" w:color="auto" w:fill="auto"/>
            <w:vAlign w:val="bottom"/>
            <w:hideMark/>
          </w:tcPr>
          <w:p w14:paraId="6883DBD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36.222</w:t>
            </w:r>
          </w:p>
        </w:tc>
        <w:tc>
          <w:tcPr>
            <w:tcW w:w="1072" w:type="dxa"/>
            <w:tcBorders>
              <w:top w:val="nil"/>
            </w:tcBorders>
            <w:shd w:val="clear" w:color="auto" w:fill="auto"/>
            <w:vAlign w:val="bottom"/>
            <w:hideMark/>
          </w:tcPr>
          <w:p w14:paraId="25952DD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-0.100</w:t>
            </w:r>
          </w:p>
        </w:tc>
        <w:tc>
          <w:tcPr>
            <w:tcW w:w="938" w:type="dxa"/>
            <w:tcBorders>
              <w:top w:val="nil"/>
            </w:tcBorders>
            <w:shd w:val="clear" w:color="auto" w:fill="auto"/>
            <w:vAlign w:val="bottom"/>
            <w:hideMark/>
          </w:tcPr>
          <w:p w14:paraId="670CFC3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11.412</w:t>
            </w:r>
          </w:p>
        </w:tc>
        <w:tc>
          <w:tcPr>
            <w:tcW w:w="1001" w:type="dxa"/>
            <w:tcBorders>
              <w:top w:val="nil"/>
            </w:tcBorders>
            <w:shd w:val="clear" w:color="auto" w:fill="auto"/>
            <w:vAlign w:val="bottom"/>
            <w:hideMark/>
          </w:tcPr>
          <w:p w14:paraId="78353CD2"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710.962</w:t>
            </w:r>
            <w:r w:rsidRPr="00FF6562">
              <w:rPr>
                <w:rFonts w:ascii="Times New Roman" w:eastAsia="Times New Roman" w:hAnsi="Times New Roman" w:cs="Times New Roman"/>
                <w:sz w:val="20"/>
                <w:szCs w:val="20"/>
                <w:vertAlign w:val="superscript"/>
                <w:lang w:eastAsia="en-GB"/>
              </w:rPr>
              <w:t>a</w:t>
            </w:r>
          </w:p>
        </w:tc>
        <w:tc>
          <w:tcPr>
            <w:tcW w:w="1024" w:type="dxa"/>
            <w:gridSpan w:val="3"/>
            <w:tcBorders>
              <w:top w:val="nil"/>
            </w:tcBorders>
            <w:shd w:val="clear" w:color="auto" w:fill="auto"/>
            <w:vAlign w:val="bottom"/>
            <w:hideMark/>
          </w:tcPr>
          <w:p w14:paraId="2D6B38E1"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92.006</w:t>
            </w:r>
            <w:r w:rsidRPr="00FF6562">
              <w:rPr>
                <w:rFonts w:ascii="Times New Roman" w:eastAsia="Times New Roman" w:hAnsi="Times New Roman" w:cs="Times New Roman"/>
                <w:sz w:val="20"/>
                <w:szCs w:val="20"/>
                <w:vertAlign w:val="superscript"/>
                <w:lang w:eastAsia="en-GB"/>
              </w:rPr>
              <w:t>a</w:t>
            </w:r>
          </w:p>
        </w:tc>
        <w:tc>
          <w:tcPr>
            <w:tcW w:w="1190" w:type="dxa"/>
            <w:gridSpan w:val="2"/>
            <w:tcBorders>
              <w:top w:val="nil"/>
            </w:tcBorders>
            <w:shd w:val="clear" w:color="auto" w:fill="auto"/>
            <w:vAlign w:val="bottom"/>
            <w:hideMark/>
          </w:tcPr>
          <w:p w14:paraId="0571DB7F"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-9.456</w:t>
            </w:r>
            <w:r w:rsidRPr="00FF6562">
              <w:rPr>
                <w:rFonts w:ascii="Times New Roman" w:eastAsia="Times New Roman" w:hAnsi="Times New Roman" w:cs="Times New Roman"/>
                <w:sz w:val="20"/>
                <w:szCs w:val="20"/>
                <w:vertAlign w:val="superscript"/>
                <w:lang w:eastAsia="en-GB"/>
              </w:rPr>
              <w:t>a</w:t>
            </w:r>
          </w:p>
        </w:tc>
        <w:tc>
          <w:tcPr>
            <w:tcW w:w="1072" w:type="dxa"/>
            <w:tcBorders>
              <w:top w:val="nil"/>
            </w:tcBorders>
          </w:tcPr>
          <w:p w14:paraId="7FF19B6C" w14:textId="0EB5C72C" w:rsidR="00815FA1" w:rsidRPr="00577E25" w:rsidRDefault="00F3670B"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-62.711</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tcBorders>
              <w:top w:val="nil"/>
            </w:tcBorders>
            <w:shd w:val="clear" w:color="auto" w:fill="auto"/>
            <w:vAlign w:val="bottom"/>
            <w:hideMark/>
          </w:tcPr>
          <w:p w14:paraId="7BFE3CBF" w14:textId="4707591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1.000</w:t>
            </w:r>
          </w:p>
        </w:tc>
        <w:tc>
          <w:tcPr>
            <w:tcW w:w="1151" w:type="dxa"/>
            <w:tcBorders>
              <w:top w:val="nil"/>
            </w:tcBorders>
            <w:shd w:val="clear" w:color="auto" w:fill="auto"/>
            <w:vAlign w:val="bottom"/>
            <w:hideMark/>
          </w:tcPr>
          <w:p w14:paraId="636D72A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0.053</w:t>
            </w:r>
          </w:p>
        </w:tc>
      </w:tr>
      <w:tr w:rsidR="00FA0603" w:rsidRPr="00FF6562" w14:paraId="19D48CB8" w14:textId="77777777" w:rsidTr="00FA0603">
        <w:trPr>
          <w:gridAfter w:val="1"/>
          <w:wAfter w:w="20" w:type="dxa"/>
          <w:trHeight w:val="170"/>
        </w:trPr>
        <w:tc>
          <w:tcPr>
            <w:tcW w:w="1608" w:type="dxa"/>
            <w:gridSpan w:val="2"/>
            <w:shd w:val="clear" w:color="auto" w:fill="auto"/>
            <w:vAlign w:val="bottom"/>
            <w:hideMark/>
          </w:tcPr>
          <w:p w14:paraId="65B3430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X8X</w:t>
            </w:r>
          </w:p>
        </w:tc>
        <w:tc>
          <w:tcPr>
            <w:tcW w:w="803" w:type="dxa"/>
            <w:shd w:val="clear" w:color="auto" w:fill="auto"/>
            <w:vAlign w:val="bottom"/>
            <w:hideMark/>
          </w:tcPr>
          <w:p w14:paraId="291F2A8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-0.309</w:t>
            </w:r>
          </w:p>
        </w:tc>
        <w:tc>
          <w:tcPr>
            <w:tcW w:w="1072" w:type="dxa"/>
            <w:shd w:val="clear" w:color="auto" w:fill="auto"/>
            <w:vAlign w:val="bottom"/>
            <w:hideMark/>
          </w:tcPr>
          <w:p w14:paraId="2BAE4AD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60.657</w:t>
            </w:r>
          </w:p>
        </w:tc>
        <w:tc>
          <w:tcPr>
            <w:tcW w:w="1072" w:type="dxa"/>
            <w:shd w:val="clear" w:color="auto" w:fill="auto"/>
            <w:vAlign w:val="bottom"/>
            <w:hideMark/>
          </w:tcPr>
          <w:p w14:paraId="587ADC5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-59.393</w:t>
            </w:r>
          </w:p>
        </w:tc>
        <w:tc>
          <w:tcPr>
            <w:tcW w:w="1060" w:type="dxa"/>
            <w:shd w:val="clear" w:color="auto" w:fill="auto"/>
            <w:vAlign w:val="bottom"/>
            <w:hideMark/>
          </w:tcPr>
          <w:p w14:paraId="7C650B6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13.382</w:t>
            </w:r>
          </w:p>
        </w:tc>
        <w:tc>
          <w:tcPr>
            <w:tcW w:w="1072" w:type="dxa"/>
            <w:shd w:val="clear" w:color="auto" w:fill="auto"/>
            <w:vAlign w:val="bottom"/>
            <w:hideMark/>
          </w:tcPr>
          <w:p w14:paraId="4B73D8B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0.185</w:t>
            </w:r>
          </w:p>
        </w:tc>
        <w:tc>
          <w:tcPr>
            <w:tcW w:w="938" w:type="dxa"/>
            <w:shd w:val="clear" w:color="auto" w:fill="auto"/>
            <w:vAlign w:val="bottom"/>
            <w:hideMark/>
          </w:tcPr>
          <w:p w14:paraId="364DE46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7.189</w:t>
            </w:r>
          </w:p>
        </w:tc>
        <w:tc>
          <w:tcPr>
            <w:tcW w:w="1001" w:type="dxa"/>
            <w:shd w:val="clear" w:color="auto" w:fill="auto"/>
            <w:vAlign w:val="bottom"/>
            <w:hideMark/>
          </w:tcPr>
          <w:p w14:paraId="653F5FC3"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177.590</w:t>
            </w:r>
            <w:r w:rsidRPr="00FF6562">
              <w:rPr>
                <w:rFonts w:ascii="Times New Roman" w:eastAsia="Times New Roman" w:hAnsi="Times New Roman" w:cs="Times New Roman"/>
                <w:sz w:val="20"/>
                <w:szCs w:val="20"/>
                <w:vertAlign w:val="superscript"/>
                <w:lang w:eastAsia="en-GB"/>
              </w:rPr>
              <w:t>a</w:t>
            </w:r>
          </w:p>
        </w:tc>
        <w:tc>
          <w:tcPr>
            <w:tcW w:w="1024" w:type="dxa"/>
            <w:gridSpan w:val="3"/>
            <w:shd w:val="clear" w:color="auto" w:fill="auto"/>
            <w:vAlign w:val="bottom"/>
            <w:hideMark/>
          </w:tcPr>
          <w:p w14:paraId="4B49A5B7"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59.323</w:t>
            </w:r>
            <w:r w:rsidRPr="00FF6562">
              <w:rPr>
                <w:rFonts w:ascii="Times New Roman" w:eastAsia="Times New Roman" w:hAnsi="Times New Roman" w:cs="Times New Roman"/>
                <w:sz w:val="20"/>
                <w:szCs w:val="20"/>
                <w:vertAlign w:val="superscript"/>
                <w:lang w:eastAsia="en-GB"/>
              </w:rPr>
              <w:t>a</w:t>
            </w:r>
          </w:p>
        </w:tc>
        <w:tc>
          <w:tcPr>
            <w:tcW w:w="1190" w:type="dxa"/>
            <w:gridSpan w:val="2"/>
            <w:shd w:val="clear" w:color="auto" w:fill="auto"/>
            <w:vAlign w:val="bottom"/>
            <w:hideMark/>
          </w:tcPr>
          <w:p w14:paraId="63672A3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-17.164</w:t>
            </w:r>
            <w:r w:rsidRPr="00FF6562">
              <w:rPr>
                <w:rFonts w:ascii="Times New Roman" w:eastAsia="Times New Roman" w:hAnsi="Times New Roman" w:cs="Times New Roman"/>
                <w:sz w:val="20"/>
                <w:szCs w:val="20"/>
                <w:vertAlign w:val="superscript"/>
                <w:lang w:eastAsia="en-GB"/>
              </w:rPr>
              <w:t>a</w:t>
            </w:r>
          </w:p>
        </w:tc>
        <w:tc>
          <w:tcPr>
            <w:tcW w:w="1072" w:type="dxa"/>
          </w:tcPr>
          <w:p w14:paraId="41AE2DA0" w14:textId="54DDD23F" w:rsidR="00815FA1" w:rsidRPr="00577E25" w:rsidRDefault="00467000"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-27.119</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hideMark/>
          </w:tcPr>
          <w:p w14:paraId="07CB0D19" w14:textId="72E476CB"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0.053</w:t>
            </w:r>
          </w:p>
        </w:tc>
        <w:tc>
          <w:tcPr>
            <w:tcW w:w="1151" w:type="dxa"/>
            <w:shd w:val="clear" w:color="auto" w:fill="auto"/>
            <w:vAlign w:val="bottom"/>
            <w:hideMark/>
          </w:tcPr>
          <w:p w14:paraId="13C2236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1.000</w:t>
            </w:r>
          </w:p>
        </w:tc>
      </w:tr>
      <w:tr w:rsidR="00FA0603" w:rsidRPr="00FF6562" w14:paraId="100675BA"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0A273D13" w14:textId="3F7F8B6C"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 xml:space="preserve">Com. </w:t>
            </w:r>
            <w:r w:rsidR="007C387A" w:rsidRPr="00FF6562">
              <w:rPr>
                <w:rFonts w:ascii="Times New Roman" w:hAnsi="Times New Roman" w:cs="Times New Roman"/>
                <w:sz w:val="20"/>
                <w:szCs w:val="20"/>
              </w:rPr>
              <w:t>S</w:t>
            </w:r>
            <w:r w:rsidRPr="00FF6562">
              <w:rPr>
                <w:rFonts w:ascii="Times New Roman" w:hAnsi="Times New Roman" w:cs="Times New Roman"/>
                <w:sz w:val="20"/>
                <w:szCs w:val="20"/>
              </w:rPr>
              <w:t>ervices</w:t>
            </w:r>
          </w:p>
        </w:tc>
        <w:tc>
          <w:tcPr>
            <w:tcW w:w="803" w:type="dxa"/>
            <w:shd w:val="clear" w:color="auto" w:fill="auto"/>
            <w:vAlign w:val="bottom"/>
            <w:hideMark/>
          </w:tcPr>
          <w:p w14:paraId="1E5EA74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0.101</w:t>
            </w:r>
          </w:p>
        </w:tc>
        <w:tc>
          <w:tcPr>
            <w:tcW w:w="1072" w:type="dxa"/>
            <w:shd w:val="clear" w:color="auto" w:fill="auto"/>
            <w:vAlign w:val="bottom"/>
            <w:hideMark/>
          </w:tcPr>
          <w:p w14:paraId="3044B43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3.797</w:t>
            </w:r>
          </w:p>
        </w:tc>
        <w:tc>
          <w:tcPr>
            <w:tcW w:w="1072" w:type="dxa"/>
            <w:shd w:val="clear" w:color="auto" w:fill="auto"/>
            <w:vAlign w:val="bottom"/>
            <w:hideMark/>
          </w:tcPr>
          <w:p w14:paraId="56C2CF9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-4.244</w:t>
            </w:r>
          </w:p>
        </w:tc>
        <w:tc>
          <w:tcPr>
            <w:tcW w:w="1060" w:type="dxa"/>
            <w:shd w:val="clear" w:color="auto" w:fill="auto"/>
            <w:vAlign w:val="bottom"/>
            <w:hideMark/>
          </w:tcPr>
          <w:p w14:paraId="0AA2A86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0.980</w:t>
            </w:r>
          </w:p>
        </w:tc>
        <w:tc>
          <w:tcPr>
            <w:tcW w:w="1072" w:type="dxa"/>
            <w:shd w:val="clear" w:color="auto" w:fill="auto"/>
            <w:vAlign w:val="bottom"/>
            <w:hideMark/>
          </w:tcPr>
          <w:p w14:paraId="1D22408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-0.690</w:t>
            </w:r>
          </w:p>
        </w:tc>
        <w:tc>
          <w:tcPr>
            <w:tcW w:w="938" w:type="dxa"/>
            <w:shd w:val="clear" w:color="auto" w:fill="auto"/>
            <w:vAlign w:val="bottom"/>
            <w:hideMark/>
          </w:tcPr>
          <w:p w14:paraId="4611F96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6.128</w:t>
            </w:r>
          </w:p>
        </w:tc>
        <w:tc>
          <w:tcPr>
            <w:tcW w:w="1001" w:type="dxa"/>
            <w:shd w:val="clear" w:color="auto" w:fill="auto"/>
            <w:vAlign w:val="bottom"/>
            <w:hideMark/>
          </w:tcPr>
          <w:p w14:paraId="3A9971AE"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117.322</w:t>
            </w:r>
            <w:r w:rsidRPr="00FF6562">
              <w:rPr>
                <w:rFonts w:ascii="Times New Roman" w:eastAsia="Times New Roman" w:hAnsi="Times New Roman" w:cs="Times New Roman"/>
                <w:sz w:val="20"/>
                <w:szCs w:val="20"/>
                <w:vertAlign w:val="superscript"/>
                <w:lang w:eastAsia="en-GB"/>
              </w:rPr>
              <w:t>a</w:t>
            </w:r>
          </w:p>
        </w:tc>
        <w:tc>
          <w:tcPr>
            <w:tcW w:w="1024" w:type="dxa"/>
            <w:gridSpan w:val="3"/>
            <w:shd w:val="clear" w:color="auto" w:fill="auto"/>
            <w:vAlign w:val="bottom"/>
            <w:hideMark/>
          </w:tcPr>
          <w:p w14:paraId="2BAAFFD2"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48.685</w:t>
            </w:r>
            <w:r w:rsidRPr="00FF6562">
              <w:rPr>
                <w:rFonts w:ascii="Times New Roman" w:eastAsia="Times New Roman" w:hAnsi="Times New Roman" w:cs="Times New Roman"/>
                <w:sz w:val="20"/>
                <w:szCs w:val="20"/>
                <w:vertAlign w:val="superscript"/>
                <w:lang w:eastAsia="en-GB"/>
              </w:rPr>
              <w:t>a</w:t>
            </w:r>
          </w:p>
        </w:tc>
        <w:tc>
          <w:tcPr>
            <w:tcW w:w="1190" w:type="dxa"/>
            <w:gridSpan w:val="2"/>
            <w:shd w:val="clear" w:color="auto" w:fill="auto"/>
            <w:vAlign w:val="bottom"/>
            <w:hideMark/>
          </w:tcPr>
          <w:p w14:paraId="5A24EC6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-14.626</w:t>
            </w:r>
            <w:r w:rsidRPr="00FF6562">
              <w:rPr>
                <w:rFonts w:ascii="Times New Roman" w:eastAsia="Times New Roman" w:hAnsi="Times New Roman" w:cs="Times New Roman"/>
                <w:sz w:val="20"/>
                <w:szCs w:val="20"/>
                <w:vertAlign w:val="superscript"/>
                <w:lang w:eastAsia="en-GB"/>
              </w:rPr>
              <w:t>a</w:t>
            </w:r>
          </w:p>
        </w:tc>
        <w:tc>
          <w:tcPr>
            <w:tcW w:w="1072" w:type="dxa"/>
          </w:tcPr>
          <w:p w14:paraId="2B9C88DE" w14:textId="064D3658" w:rsidR="00815FA1" w:rsidRPr="00577E25" w:rsidRDefault="00467000"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-14.618</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hideMark/>
          </w:tcPr>
          <w:p w14:paraId="558F53A9" w14:textId="521931E9"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-0.034</w:t>
            </w:r>
          </w:p>
        </w:tc>
        <w:tc>
          <w:tcPr>
            <w:tcW w:w="1151" w:type="dxa"/>
            <w:shd w:val="clear" w:color="auto" w:fill="auto"/>
            <w:vAlign w:val="bottom"/>
            <w:hideMark/>
          </w:tcPr>
          <w:p w14:paraId="7689657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-0.157</w:t>
            </w:r>
          </w:p>
        </w:tc>
      </w:tr>
      <w:tr w:rsidR="00FA0603" w:rsidRPr="00FF6562" w14:paraId="31D8D3C4"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62DF1ED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Consumer disc.</w:t>
            </w:r>
          </w:p>
        </w:tc>
        <w:tc>
          <w:tcPr>
            <w:tcW w:w="803" w:type="dxa"/>
            <w:shd w:val="clear" w:color="auto" w:fill="auto"/>
            <w:vAlign w:val="bottom"/>
            <w:hideMark/>
          </w:tcPr>
          <w:p w14:paraId="24AECF69"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0.067</w:t>
            </w:r>
          </w:p>
        </w:tc>
        <w:tc>
          <w:tcPr>
            <w:tcW w:w="1072" w:type="dxa"/>
            <w:shd w:val="clear" w:color="auto" w:fill="auto"/>
            <w:vAlign w:val="bottom"/>
            <w:hideMark/>
          </w:tcPr>
          <w:p w14:paraId="6157B68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2.162</w:t>
            </w:r>
          </w:p>
        </w:tc>
        <w:tc>
          <w:tcPr>
            <w:tcW w:w="1072" w:type="dxa"/>
            <w:shd w:val="clear" w:color="auto" w:fill="auto"/>
            <w:vAlign w:val="bottom"/>
            <w:hideMark/>
          </w:tcPr>
          <w:p w14:paraId="7D031D0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-2.407</w:t>
            </w:r>
          </w:p>
        </w:tc>
        <w:tc>
          <w:tcPr>
            <w:tcW w:w="1060" w:type="dxa"/>
            <w:shd w:val="clear" w:color="auto" w:fill="auto"/>
            <w:vAlign w:val="bottom"/>
            <w:hideMark/>
          </w:tcPr>
          <w:p w14:paraId="7B7DA5A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0.673</w:t>
            </w:r>
          </w:p>
        </w:tc>
        <w:tc>
          <w:tcPr>
            <w:tcW w:w="1072" w:type="dxa"/>
            <w:shd w:val="clear" w:color="auto" w:fill="auto"/>
            <w:vAlign w:val="bottom"/>
            <w:hideMark/>
          </w:tcPr>
          <w:p w14:paraId="1E47F6B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-0.572</w:t>
            </w:r>
          </w:p>
        </w:tc>
        <w:tc>
          <w:tcPr>
            <w:tcW w:w="938" w:type="dxa"/>
            <w:shd w:val="clear" w:color="auto" w:fill="auto"/>
            <w:vAlign w:val="bottom"/>
            <w:hideMark/>
          </w:tcPr>
          <w:p w14:paraId="49D0B39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4.641</w:t>
            </w:r>
          </w:p>
        </w:tc>
        <w:tc>
          <w:tcPr>
            <w:tcW w:w="1001" w:type="dxa"/>
            <w:shd w:val="clear" w:color="auto" w:fill="auto"/>
            <w:vAlign w:val="bottom"/>
            <w:hideMark/>
          </w:tcPr>
          <w:p w14:paraId="66871514"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40.209</w:t>
            </w:r>
            <w:r w:rsidRPr="00FF6562">
              <w:rPr>
                <w:rFonts w:ascii="Times New Roman" w:eastAsia="Times New Roman" w:hAnsi="Times New Roman" w:cs="Times New Roman"/>
                <w:sz w:val="20"/>
                <w:szCs w:val="20"/>
                <w:vertAlign w:val="superscript"/>
                <w:lang w:eastAsia="en-GB"/>
              </w:rPr>
              <w:t>a</w:t>
            </w:r>
          </w:p>
        </w:tc>
        <w:tc>
          <w:tcPr>
            <w:tcW w:w="1024" w:type="dxa"/>
            <w:gridSpan w:val="3"/>
            <w:shd w:val="clear" w:color="auto" w:fill="auto"/>
            <w:vAlign w:val="bottom"/>
            <w:hideMark/>
          </w:tcPr>
          <w:p w14:paraId="67407CF3"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34.958</w:t>
            </w:r>
            <w:r w:rsidRPr="00FF6562">
              <w:rPr>
                <w:rFonts w:ascii="Times New Roman" w:eastAsia="Times New Roman" w:hAnsi="Times New Roman" w:cs="Times New Roman"/>
                <w:sz w:val="20"/>
                <w:szCs w:val="20"/>
                <w:vertAlign w:val="superscript"/>
                <w:lang w:eastAsia="en-GB"/>
              </w:rPr>
              <w:t>a</w:t>
            </w:r>
          </w:p>
        </w:tc>
        <w:tc>
          <w:tcPr>
            <w:tcW w:w="1190" w:type="dxa"/>
            <w:gridSpan w:val="2"/>
            <w:shd w:val="clear" w:color="auto" w:fill="auto"/>
            <w:vAlign w:val="bottom"/>
            <w:hideMark/>
          </w:tcPr>
          <w:p w14:paraId="30066A9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-13.922</w:t>
            </w:r>
            <w:r w:rsidRPr="00FF6562">
              <w:rPr>
                <w:rFonts w:ascii="Times New Roman" w:eastAsia="Times New Roman" w:hAnsi="Times New Roman" w:cs="Times New Roman"/>
                <w:sz w:val="20"/>
                <w:szCs w:val="20"/>
                <w:vertAlign w:val="superscript"/>
                <w:lang w:eastAsia="en-GB"/>
              </w:rPr>
              <w:t>a</w:t>
            </w:r>
          </w:p>
        </w:tc>
        <w:tc>
          <w:tcPr>
            <w:tcW w:w="1072" w:type="dxa"/>
          </w:tcPr>
          <w:p w14:paraId="190DC1CF" w14:textId="78854B70" w:rsidR="00815FA1" w:rsidRPr="00577E25" w:rsidRDefault="00E52D85"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-13.867</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hideMark/>
          </w:tcPr>
          <w:p w14:paraId="013312EC" w14:textId="2F3B8298"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-0.002</w:t>
            </w:r>
          </w:p>
        </w:tc>
        <w:tc>
          <w:tcPr>
            <w:tcW w:w="1151" w:type="dxa"/>
            <w:shd w:val="clear" w:color="auto" w:fill="auto"/>
            <w:vAlign w:val="bottom"/>
            <w:hideMark/>
          </w:tcPr>
          <w:p w14:paraId="1F699DD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-0.107</w:t>
            </w:r>
          </w:p>
        </w:tc>
      </w:tr>
      <w:tr w:rsidR="00FA0603" w:rsidRPr="00FF6562" w14:paraId="58BF0BC5"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6640CDF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 xml:space="preserve">Consumer </w:t>
            </w:r>
            <w:proofErr w:type="spellStart"/>
            <w:r w:rsidRPr="00FF6562">
              <w:rPr>
                <w:rFonts w:ascii="Times New Roman" w:hAnsi="Times New Roman" w:cs="Times New Roman"/>
                <w:sz w:val="20"/>
                <w:szCs w:val="20"/>
              </w:rPr>
              <w:t>stap</w:t>
            </w:r>
            <w:proofErr w:type="spellEnd"/>
            <w:r w:rsidRPr="00FF6562">
              <w:rPr>
                <w:rFonts w:ascii="Times New Roman" w:hAnsi="Times New Roman" w:cs="Times New Roman"/>
                <w:sz w:val="20"/>
                <w:szCs w:val="20"/>
              </w:rPr>
              <w:t>.</w:t>
            </w:r>
          </w:p>
        </w:tc>
        <w:tc>
          <w:tcPr>
            <w:tcW w:w="803" w:type="dxa"/>
            <w:shd w:val="clear" w:color="auto" w:fill="auto"/>
            <w:vAlign w:val="bottom"/>
            <w:hideMark/>
          </w:tcPr>
          <w:p w14:paraId="5F29A6E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0.068</w:t>
            </w:r>
          </w:p>
        </w:tc>
        <w:tc>
          <w:tcPr>
            <w:tcW w:w="1072" w:type="dxa"/>
            <w:shd w:val="clear" w:color="auto" w:fill="auto"/>
            <w:vAlign w:val="bottom"/>
            <w:hideMark/>
          </w:tcPr>
          <w:p w14:paraId="5BF4AFF4"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1.414</w:t>
            </w:r>
          </w:p>
        </w:tc>
        <w:tc>
          <w:tcPr>
            <w:tcW w:w="1072" w:type="dxa"/>
            <w:shd w:val="clear" w:color="auto" w:fill="auto"/>
            <w:vAlign w:val="bottom"/>
            <w:hideMark/>
          </w:tcPr>
          <w:p w14:paraId="550EFAC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-2.159</w:t>
            </w:r>
          </w:p>
        </w:tc>
        <w:tc>
          <w:tcPr>
            <w:tcW w:w="1060" w:type="dxa"/>
            <w:shd w:val="clear" w:color="auto" w:fill="auto"/>
            <w:vAlign w:val="bottom"/>
            <w:hideMark/>
          </w:tcPr>
          <w:p w14:paraId="3AB7AE0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0.591</w:t>
            </w:r>
          </w:p>
        </w:tc>
        <w:tc>
          <w:tcPr>
            <w:tcW w:w="1072" w:type="dxa"/>
            <w:shd w:val="clear" w:color="auto" w:fill="auto"/>
            <w:vAlign w:val="bottom"/>
            <w:hideMark/>
          </w:tcPr>
          <w:p w14:paraId="339B7D6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-0.443</w:t>
            </w:r>
          </w:p>
        </w:tc>
        <w:tc>
          <w:tcPr>
            <w:tcW w:w="938" w:type="dxa"/>
            <w:shd w:val="clear" w:color="auto" w:fill="auto"/>
            <w:vAlign w:val="bottom"/>
            <w:hideMark/>
          </w:tcPr>
          <w:p w14:paraId="6F25FFB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3.951</w:t>
            </w:r>
          </w:p>
        </w:tc>
        <w:tc>
          <w:tcPr>
            <w:tcW w:w="1001" w:type="dxa"/>
            <w:shd w:val="clear" w:color="auto" w:fill="auto"/>
            <w:vAlign w:val="bottom"/>
            <w:hideMark/>
          </w:tcPr>
          <w:p w14:paraId="1FCF73D6"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16.966</w:t>
            </w:r>
            <w:r w:rsidRPr="00FF6562">
              <w:rPr>
                <w:rFonts w:ascii="Times New Roman" w:eastAsia="Times New Roman" w:hAnsi="Times New Roman" w:cs="Times New Roman"/>
                <w:sz w:val="20"/>
                <w:szCs w:val="20"/>
                <w:vertAlign w:val="superscript"/>
                <w:lang w:eastAsia="en-GB"/>
              </w:rPr>
              <w:t>a</w:t>
            </w:r>
          </w:p>
        </w:tc>
        <w:tc>
          <w:tcPr>
            <w:tcW w:w="1024" w:type="dxa"/>
            <w:gridSpan w:val="3"/>
            <w:shd w:val="clear" w:color="auto" w:fill="auto"/>
            <w:vAlign w:val="bottom"/>
            <w:hideMark/>
          </w:tcPr>
          <w:p w14:paraId="749B8B51"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50.588</w:t>
            </w:r>
            <w:r w:rsidRPr="00FF6562">
              <w:rPr>
                <w:rFonts w:ascii="Times New Roman" w:eastAsia="Times New Roman" w:hAnsi="Times New Roman" w:cs="Times New Roman"/>
                <w:sz w:val="20"/>
                <w:szCs w:val="20"/>
                <w:vertAlign w:val="superscript"/>
                <w:lang w:eastAsia="en-GB"/>
              </w:rPr>
              <w:t>a</w:t>
            </w:r>
          </w:p>
        </w:tc>
        <w:tc>
          <w:tcPr>
            <w:tcW w:w="1190" w:type="dxa"/>
            <w:gridSpan w:val="2"/>
            <w:shd w:val="clear" w:color="auto" w:fill="auto"/>
            <w:vAlign w:val="bottom"/>
            <w:hideMark/>
          </w:tcPr>
          <w:p w14:paraId="0E3C939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-12.607</w:t>
            </w:r>
            <w:r w:rsidRPr="00FF6562">
              <w:rPr>
                <w:rFonts w:ascii="Times New Roman" w:eastAsia="Times New Roman" w:hAnsi="Times New Roman" w:cs="Times New Roman"/>
                <w:sz w:val="20"/>
                <w:szCs w:val="20"/>
                <w:vertAlign w:val="superscript"/>
                <w:lang w:eastAsia="en-GB"/>
              </w:rPr>
              <w:t>a</w:t>
            </w:r>
          </w:p>
        </w:tc>
        <w:tc>
          <w:tcPr>
            <w:tcW w:w="1072" w:type="dxa"/>
          </w:tcPr>
          <w:p w14:paraId="4CEF397F" w14:textId="63817826" w:rsidR="00815FA1" w:rsidRPr="00577E25" w:rsidRDefault="00E52D85"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-15.909</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hideMark/>
          </w:tcPr>
          <w:p w14:paraId="44F6064E" w14:textId="3FD0EBB4"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0.050</w:t>
            </w:r>
          </w:p>
        </w:tc>
        <w:tc>
          <w:tcPr>
            <w:tcW w:w="1151" w:type="dxa"/>
            <w:shd w:val="clear" w:color="auto" w:fill="auto"/>
            <w:vAlign w:val="bottom"/>
            <w:hideMark/>
          </w:tcPr>
          <w:p w14:paraId="2D5CB60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0.011</w:t>
            </w:r>
          </w:p>
        </w:tc>
      </w:tr>
      <w:tr w:rsidR="00FA0603" w:rsidRPr="00FF6562" w14:paraId="6859DDDF"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3433626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Energy</w:t>
            </w:r>
          </w:p>
        </w:tc>
        <w:tc>
          <w:tcPr>
            <w:tcW w:w="803" w:type="dxa"/>
            <w:shd w:val="clear" w:color="auto" w:fill="auto"/>
            <w:vAlign w:val="bottom"/>
            <w:hideMark/>
          </w:tcPr>
          <w:p w14:paraId="3251E69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-0.046</w:t>
            </w:r>
          </w:p>
        </w:tc>
        <w:tc>
          <w:tcPr>
            <w:tcW w:w="1072" w:type="dxa"/>
            <w:shd w:val="clear" w:color="auto" w:fill="auto"/>
            <w:vAlign w:val="bottom"/>
            <w:hideMark/>
          </w:tcPr>
          <w:p w14:paraId="0B0860B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3.343</w:t>
            </w:r>
          </w:p>
        </w:tc>
        <w:tc>
          <w:tcPr>
            <w:tcW w:w="1072" w:type="dxa"/>
            <w:shd w:val="clear" w:color="auto" w:fill="auto"/>
            <w:vAlign w:val="bottom"/>
            <w:hideMark/>
          </w:tcPr>
          <w:p w14:paraId="5B73EE6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-3.953</w:t>
            </w:r>
          </w:p>
        </w:tc>
        <w:tc>
          <w:tcPr>
            <w:tcW w:w="1060" w:type="dxa"/>
            <w:shd w:val="clear" w:color="auto" w:fill="auto"/>
            <w:vAlign w:val="bottom"/>
            <w:hideMark/>
          </w:tcPr>
          <w:p w14:paraId="098CD02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1.107</w:t>
            </w:r>
          </w:p>
        </w:tc>
        <w:tc>
          <w:tcPr>
            <w:tcW w:w="1072" w:type="dxa"/>
            <w:shd w:val="clear" w:color="auto" w:fill="auto"/>
            <w:vAlign w:val="bottom"/>
            <w:hideMark/>
          </w:tcPr>
          <w:p w14:paraId="7A1A955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-0.206</w:t>
            </w:r>
          </w:p>
        </w:tc>
        <w:tc>
          <w:tcPr>
            <w:tcW w:w="938" w:type="dxa"/>
            <w:shd w:val="clear" w:color="auto" w:fill="auto"/>
            <w:vAlign w:val="bottom"/>
            <w:hideMark/>
          </w:tcPr>
          <w:p w14:paraId="68DF889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3.797</w:t>
            </w:r>
          </w:p>
        </w:tc>
        <w:tc>
          <w:tcPr>
            <w:tcW w:w="1001" w:type="dxa"/>
            <w:shd w:val="clear" w:color="auto" w:fill="auto"/>
            <w:vAlign w:val="bottom"/>
            <w:hideMark/>
          </w:tcPr>
          <w:p w14:paraId="6287D102"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8.077</w:t>
            </w:r>
            <w:r w:rsidRPr="00FF6562">
              <w:rPr>
                <w:rFonts w:ascii="Times New Roman" w:eastAsia="Times New Roman" w:hAnsi="Times New Roman" w:cs="Times New Roman"/>
                <w:sz w:val="20"/>
                <w:szCs w:val="20"/>
                <w:vertAlign w:val="superscript"/>
                <w:lang w:eastAsia="en-GB"/>
              </w:rPr>
              <w:t>b</w:t>
            </w:r>
          </w:p>
        </w:tc>
        <w:tc>
          <w:tcPr>
            <w:tcW w:w="1024" w:type="dxa"/>
            <w:gridSpan w:val="3"/>
            <w:shd w:val="clear" w:color="auto" w:fill="auto"/>
            <w:vAlign w:val="bottom"/>
            <w:hideMark/>
          </w:tcPr>
          <w:p w14:paraId="0F6A36DC"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31.618</w:t>
            </w:r>
            <w:r w:rsidRPr="00FF6562">
              <w:rPr>
                <w:rFonts w:ascii="Times New Roman" w:eastAsia="Times New Roman" w:hAnsi="Times New Roman" w:cs="Times New Roman"/>
                <w:sz w:val="20"/>
                <w:szCs w:val="20"/>
                <w:vertAlign w:val="superscript"/>
                <w:lang w:eastAsia="en-GB"/>
              </w:rPr>
              <w:t>a</w:t>
            </w:r>
          </w:p>
        </w:tc>
        <w:tc>
          <w:tcPr>
            <w:tcW w:w="1190" w:type="dxa"/>
            <w:gridSpan w:val="2"/>
            <w:shd w:val="clear" w:color="auto" w:fill="auto"/>
            <w:vAlign w:val="bottom"/>
            <w:hideMark/>
          </w:tcPr>
          <w:p w14:paraId="78C7566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-15.072</w:t>
            </w:r>
            <w:r w:rsidRPr="00FF6562">
              <w:rPr>
                <w:rFonts w:ascii="Times New Roman" w:eastAsia="Times New Roman" w:hAnsi="Times New Roman" w:cs="Times New Roman"/>
                <w:sz w:val="20"/>
                <w:szCs w:val="20"/>
                <w:vertAlign w:val="superscript"/>
                <w:lang w:eastAsia="en-GB"/>
              </w:rPr>
              <w:t>a</w:t>
            </w:r>
          </w:p>
        </w:tc>
        <w:tc>
          <w:tcPr>
            <w:tcW w:w="1072" w:type="dxa"/>
          </w:tcPr>
          <w:p w14:paraId="3F6BAB98" w14:textId="2E3DC7B9" w:rsidR="00815FA1" w:rsidRPr="00577E25" w:rsidRDefault="00F2744E"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-15.066</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hideMark/>
          </w:tcPr>
          <w:p w14:paraId="124BC93A" w14:textId="107DA690"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0.018</w:t>
            </w:r>
          </w:p>
        </w:tc>
        <w:tc>
          <w:tcPr>
            <w:tcW w:w="1151" w:type="dxa"/>
            <w:shd w:val="clear" w:color="auto" w:fill="auto"/>
            <w:vAlign w:val="bottom"/>
            <w:hideMark/>
          </w:tcPr>
          <w:p w14:paraId="007374F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-0.149</w:t>
            </w:r>
          </w:p>
        </w:tc>
      </w:tr>
      <w:tr w:rsidR="00FA0603" w:rsidRPr="00FF6562" w14:paraId="5BF12371"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5AA1A72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Financials </w:t>
            </w:r>
          </w:p>
        </w:tc>
        <w:tc>
          <w:tcPr>
            <w:tcW w:w="803" w:type="dxa"/>
            <w:shd w:val="clear" w:color="auto" w:fill="auto"/>
            <w:vAlign w:val="bottom"/>
            <w:hideMark/>
          </w:tcPr>
          <w:p w14:paraId="0697559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0.170</w:t>
            </w:r>
          </w:p>
        </w:tc>
        <w:tc>
          <w:tcPr>
            <w:tcW w:w="1072" w:type="dxa"/>
            <w:shd w:val="clear" w:color="auto" w:fill="auto"/>
            <w:vAlign w:val="bottom"/>
            <w:hideMark/>
          </w:tcPr>
          <w:p w14:paraId="76BC7A4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3.411</w:t>
            </w:r>
          </w:p>
        </w:tc>
        <w:tc>
          <w:tcPr>
            <w:tcW w:w="1072" w:type="dxa"/>
            <w:shd w:val="clear" w:color="auto" w:fill="auto"/>
            <w:vAlign w:val="bottom"/>
            <w:hideMark/>
          </w:tcPr>
          <w:p w14:paraId="37AC7EA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-4.504</w:t>
            </w:r>
          </w:p>
        </w:tc>
        <w:tc>
          <w:tcPr>
            <w:tcW w:w="1060" w:type="dxa"/>
            <w:shd w:val="clear" w:color="auto" w:fill="auto"/>
            <w:vAlign w:val="bottom"/>
            <w:hideMark/>
          </w:tcPr>
          <w:p w14:paraId="6F841D7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1.148</w:t>
            </w:r>
          </w:p>
        </w:tc>
        <w:tc>
          <w:tcPr>
            <w:tcW w:w="1072" w:type="dxa"/>
            <w:shd w:val="clear" w:color="auto" w:fill="auto"/>
            <w:vAlign w:val="bottom"/>
            <w:hideMark/>
          </w:tcPr>
          <w:p w14:paraId="3A6C4D8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-0.712</w:t>
            </w:r>
          </w:p>
        </w:tc>
        <w:tc>
          <w:tcPr>
            <w:tcW w:w="938" w:type="dxa"/>
            <w:shd w:val="clear" w:color="auto" w:fill="auto"/>
            <w:vAlign w:val="bottom"/>
            <w:hideMark/>
          </w:tcPr>
          <w:p w14:paraId="67E71D7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4.628</w:t>
            </w:r>
          </w:p>
        </w:tc>
        <w:tc>
          <w:tcPr>
            <w:tcW w:w="1001" w:type="dxa"/>
            <w:shd w:val="clear" w:color="auto" w:fill="auto"/>
            <w:vAlign w:val="bottom"/>
            <w:hideMark/>
          </w:tcPr>
          <w:p w14:paraId="28624DE0"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46.956</w:t>
            </w:r>
            <w:r w:rsidRPr="00FF6562">
              <w:rPr>
                <w:rFonts w:ascii="Times New Roman" w:eastAsia="Times New Roman" w:hAnsi="Times New Roman" w:cs="Times New Roman"/>
                <w:sz w:val="20"/>
                <w:szCs w:val="20"/>
                <w:vertAlign w:val="superscript"/>
                <w:lang w:eastAsia="en-GB"/>
              </w:rPr>
              <w:t>a</w:t>
            </w:r>
          </w:p>
        </w:tc>
        <w:tc>
          <w:tcPr>
            <w:tcW w:w="1024" w:type="dxa"/>
            <w:gridSpan w:val="3"/>
            <w:shd w:val="clear" w:color="auto" w:fill="auto"/>
            <w:vAlign w:val="bottom"/>
            <w:hideMark/>
          </w:tcPr>
          <w:p w14:paraId="5E525693"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51.070</w:t>
            </w:r>
            <w:r w:rsidRPr="00FF6562">
              <w:rPr>
                <w:rFonts w:ascii="Times New Roman" w:eastAsia="Times New Roman" w:hAnsi="Times New Roman" w:cs="Times New Roman"/>
                <w:sz w:val="20"/>
                <w:szCs w:val="20"/>
                <w:vertAlign w:val="superscript"/>
                <w:lang w:eastAsia="en-GB"/>
              </w:rPr>
              <w:t>a</w:t>
            </w:r>
          </w:p>
        </w:tc>
        <w:tc>
          <w:tcPr>
            <w:tcW w:w="1190" w:type="dxa"/>
            <w:gridSpan w:val="2"/>
            <w:shd w:val="clear" w:color="auto" w:fill="auto"/>
            <w:vAlign w:val="bottom"/>
            <w:hideMark/>
          </w:tcPr>
          <w:p w14:paraId="17D03B3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-15.656</w:t>
            </w:r>
            <w:r w:rsidRPr="00FF6562">
              <w:rPr>
                <w:rFonts w:ascii="Times New Roman" w:eastAsia="Times New Roman" w:hAnsi="Times New Roman" w:cs="Times New Roman"/>
                <w:sz w:val="20"/>
                <w:szCs w:val="20"/>
                <w:vertAlign w:val="superscript"/>
                <w:lang w:eastAsia="en-GB"/>
              </w:rPr>
              <w:t>a</w:t>
            </w:r>
          </w:p>
        </w:tc>
        <w:tc>
          <w:tcPr>
            <w:tcW w:w="1072" w:type="dxa"/>
          </w:tcPr>
          <w:p w14:paraId="1CA3A8A9" w14:textId="280E0F88" w:rsidR="00815FA1" w:rsidRPr="00577E25" w:rsidRDefault="00B51EDF"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-16.668</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hideMark/>
          </w:tcPr>
          <w:p w14:paraId="2A7B8EF5" w14:textId="20A2B26C"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0.039</w:t>
            </w:r>
          </w:p>
        </w:tc>
        <w:tc>
          <w:tcPr>
            <w:tcW w:w="1151" w:type="dxa"/>
            <w:shd w:val="clear" w:color="auto" w:fill="auto"/>
            <w:vAlign w:val="bottom"/>
            <w:hideMark/>
          </w:tcPr>
          <w:p w14:paraId="612823C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-0.093</w:t>
            </w:r>
          </w:p>
        </w:tc>
      </w:tr>
      <w:tr w:rsidR="00FA0603" w:rsidRPr="00FF6562" w14:paraId="10C3FBEA"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4CE98EF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Health Care</w:t>
            </w:r>
          </w:p>
        </w:tc>
        <w:tc>
          <w:tcPr>
            <w:tcW w:w="803" w:type="dxa"/>
            <w:shd w:val="clear" w:color="auto" w:fill="auto"/>
            <w:vAlign w:val="bottom"/>
            <w:hideMark/>
          </w:tcPr>
          <w:p w14:paraId="371DE58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0.067</w:t>
            </w:r>
          </w:p>
        </w:tc>
        <w:tc>
          <w:tcPr>
            <w:tcW w:w="1072" w:type="dxa"/>
            <w:shd w:val="clear" w:color="auto" w:fill="auto"/>
            <w:vAlign w:val="bottom"/>
            <w:hideMark/>
          </w:tcPr>
          <w:p w14:paraId="10FA6EE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1.731</w:t>
            </w:r>
          </w:p>
        </w:tc>
        <w:tc>
          <w:tcPr>
            <w:tcW w:w="1072" w:type="dxa"/>
            <w:shd w:val="clear" w:color="auto" w:fill="auto"/>
            <w:vAlign w:val="bottom"/>
            <w:hideMark/>
          </w:tcPr>
          <w:p w14:paraId="727DD3C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-2.567</w:t>
            </w:r>
          </w:p>
        </w:tc>
        <w:tc>
          <w:tcPr>
            <w:tcW w:w="1060" w:type="dxa"/>
            <w:shd w:val="clear" w:color="auto" w:fill="auto"/>
            <w:vAlign w:val="bottom"/>
            <w:hideMark/>
          </w:tcPr>
          <w:p w14:paraId="60338D0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0.666</w:t>
            </w:r>
          </w:p>
        </w:tc>
        <w:tc>
          <w:tcPr>
            <w:tcW w:w="1072" w:type="dxa"/>
            <w:shd w:val="clear" w:color="auto" w:fill="auto"/>
            <w:vAlign w:val="bottom"/>
            <w:hideMark/>
          </w:tcPr>
          <w:p w14:paraId="34B5534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-0.809</w:t>
            </w:r>
          </w:p>
        </w:tc>
        <w:tc>
          <w:tcPr>
            <w:tcW w:w="938" w:type="dxa"/>
            <w:shd w:val="clear" w:color="auto" w:fill="auto"/>
            <w:vAlign w:val="bottom"/>
            <w:hideMark/>
          </w:tcPr>
          <w:p w14:paraId="2B48A48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4.414</w:t>
            </w:r>
          </w:p>
        </w:tc>
        <w:tc>
          <w:tcPr>
            <w:tcW w:w="1001" w:type="dxa"/>
            <w:shd w:val="clear" w:color="auto" w:fill="auto"/>
            <w:vAlign w:val="bottom"/>
            <w:hideMark/>
          </w:tcPr>
          <w:p w14:paraId="1CDDCCA8"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46.337</w:t>
            </w:r>
            <w:r w:rsidRPr="00FF6562">
              <w:rPr>
                <w:rFonts w:ascii="Times New Roman" w:eastAsia="Times New Roman" w:hAnsi="Times New Roman" w:cs="Times New Roman"/>
                <w:sz w:val="20"/>
                <w:szCs w:val="20"/>
                <w:vertAlign w:val="superscript"/>
                <w:lang w:eastAsia="en-GB"/>
              </w:rPr>
              <w:t>a</w:t>
            </w:r>
          </w:p>
        </w:tc>
        <w:tc>
          <w:tcPr>
            <w:tcW w:w="1024" w:type="dxa"/>
            <w:gridSpan w:val="3"/>
            <w:shd w:val="clear" w:color="auto" w:fill="auto"/>
            <w:vAlign w:val="bottom"/>
            <w:hideMark/>
          </w:tcPr>
          <w:p w14:paraId="0401002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39.644</w:t>
            </w:r>
          </w:p>
        </w:tc>
        <w:tc>
          <w:tcPr>
            <w:tcW w:w="1190" w:type="dxa"/>
            <w:gridSpan w:val="2"/>
            <w:shd w:val="clear" w:color="auto" w:fill="auto"/>
            <w:vAlign w:val="bottom"/>
            <w:hideMark/>
          </w:tcPr>
          <w:p w14:paraId="3570B29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-13.692</w:t>
            </w:r>
            <w:r w:rsidRPr="00FF6562">
              <w:rPr>
                <w:rFonts w:ascii="Times New Roman" w:eastAsia="Times New Roman" w:hAnsi="Times New Roman" w:cs="Times New Roman"/>
                <w:sz w:val="20"/>
                <w:szCs w:val="20"/>
                <w:vertAlign w:val="superscript"/>
                <w:lang w:eastAsia="en-GB"/>
              </w:rPr>
              <w:t>a</w:t>
            </w:r>
          </w:p>
        </w:tc>
        <w:tc>
          <w:tcPr>
            <w:tcW w:w="1072" w:type="dxa"/>
          </w:tcPr>
          <w:p w14:paraId="4782AEFD" w14:textId="38386E88" w:rsidR="00815FA1" w:rsidRPr="00577E25" w:rsidRDefault="00476F92"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-13.602</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hideMark/>
          </w:tcPr>
          <w:p w14:paraId="3F7F0D96" w14:textId="4D8A238D"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-0.035</w:t>
            </w:r>
          </w:p>
        </w:tc>
        <w:tc>
          <w:tcPr>
            <w:tcW w:w="1151" w:type="dxa"/>
            <w:shd w:val="clear" w:color="auto" w:fill="auto"/>
            <w:vAlign w:val="bottom"/>
            <w:hideMark/>
          </w:tcPr>
          <w:p w14:paraId="08391414"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-0.168</w:t>
            </w:r>
          </w:p>
        </w:tc>
      </w:tr>
      <w:tr w:rsidR="00FA0603" w:rsidRPr="00FF6562" w14:paraId="272C85E7"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49A3FFC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Industrials </w:t>
            </w:r>
          </w:p>
        </w:tc>
        <w:tc>
          <w:tcPr>
            <w:tcW w:w="803" w:type="dxa"/>
            <w:shd w:val="clear" w:color="auto" w:fill="auto"/>
            <w:vAlign w:val="bottom"/>
            <w:hideMark/>
          </w:tcPr>
          <w:p w14:paraId="3398188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0.055</w:t>
            </w:r>
          </w:p>
        </w:tc>
        <w:tc>
          <w:tcPr>
            <w:tcW w:w="1072" w:type="dxa"/>
            <w:shd w:val="clear" w:color="auto" w:fill="auto"/>
            <w:vAlign w:val="bottom"/>
            <w:hideMark/>
          </w:tcPr>
          <w:p w14:paraId="6CF11B4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1.688</w:t>
            </w:r>
          </w:p>
        </w:tc>
        <w:tc>
          <w:tcPr>
            <w:tcW w:w="1072" w:type="dxa"/>
            <w:shd w:val="clear" w:color="auto" w:fill="auto"/>
            <w:vAlign w:val="bottom"/>
            <w:hideMark/>
          </w:tcPr>
          <w:p w14:paraId="78B13E4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-2.389</w:t>
            </w:r>
          </w:p>
        </w:tc>
        <w:tc>
          <w:tcPr>
            <w:tcW w:w="1060" w:type="dxa"/>
            <w:shd w:val="clear" w:color="auto" w:fill="auto"/>
            <w:vAlign w:val="bottom"/>
            <w:hideMark/>
          </w:tcPr>
          <w:p w14:paraId="42AEF37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0.705</w:t>
            </w:r>
          </w:p>
        </w:tc>
        <w:tc>
          <w:tcPr>
            <w:tcW w:w="1072" w:type="dxa"/>
            <w:shd w:val="clear" w:color="auto" w:fill="auto"/>
            <w:vAlign w:val="bottom"/>
            <w:hideMark/>
          </w:tcPr>
          <w:p w14:paraId="4CBE4B8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-0.594</w:t>
            </w:r>
          </w:p>
        </w:tc>
        <w:tc>
          <w:tcPr>
            <w:tcW w:w="938" w:type="dxa"/>
            <w:shd w:val="clear" w:color="auto" w:fill="auto"/>
            <w:vAlign w:val="bottom"/>
            <w:hideMark/>
          </w:tcPr>
          <w:p w14:paraId="3B64888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4.286</w:t>
            </w:r>
          </w:p>
        </w:tc>
        <w:tc>
          <w:tcPr>
            <w:tcW w:w="1001" w:type="dxa"/>
            <w:shd w:val="clear" w:color="auto" w:fill="auto"/>
            <w:vAlign w:val="bottom"/>
            <w:hideMark/>
          </w:tcPr>
          <w:p w14:paraId="1AD79BDC"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30.766</w:t>
            </w:r>
            <w:r w:rsidRPr="00FF6562">
              <w:rPr>
                <w:rFonts w:ascii="Times New Roman" w:eastAsia="Times New Roman" w:hAnsi="Times New Roman" w:cs="Times New Roman"/>
                <w:sz w:val="20"/>
                <w:szCs w:val="20"/>
                <w:vertAlign w:val="superscript"/>
                <w:lang w:eastAsia="en-GB"/>
              </w:rPr>
              <w:t>a</w:t>
            </w:r>
          </w:p>
        </w:tc>
        <w:tc>
          <w:tcPr>
            <w:tcW w:w="1024" w:type="dxa"/>
            <w:gridSpan w:val="3"/>
            <w:shd w:val="clear" w:color="auto" w:fill="auto"/>
            <w:vAlign w:val="bottom"/>
            <w:hideMark/>
          </w:tcPr>
          <w:p w14:paraId="5C830C74"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42.363</w:t>
            </w:r>
            <w:r w:rsidRPr="00FF6562">
              <w:rPr>
                <w:rFonts w:ascii="Times New Roman" w:eastAsia="Times New Roman" w:hAnsi="Times New Roman" w:cs="Times New Roman"/>
                <w:sz w:val="20"/>
                <w:szCs w:val="20"/>
                <w:vertAlign w:val="superscript"/>
                <w:lang w:eastAsia="en-GB"/>
              </w:rPr>
              <w:t>b</w:t>
            </w:r>
          </w:p>
        </w:tc>
        <w:tc>
          <w:tcPr>
            <w:tcW w:w="1190" w:type="dxa"/>
            <w:gridSpan w:val="2"/>
            <w:shd w:val="clear" w:color="auto" w:fill="auto"/>
            <w:vAlign w:val="bottom"/>
            <w:hideMark/>
          </w:tcPr>
          <w:p w14:paraId="2A81AD9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-13.595</w:t>
            </w:r>
            <w:r w:rsidRPr="00FF6562">
              <w:rPr>
                <w:rFonts w:ascii="Times New Roman" w:eastAsia="Times New Roman" w:hAnsi="Times New Roman" w:cs="Times New Roman"/>
                <w:sz w:val="20"/>
                <w:szCs w:val="20"/>
                <w:vertAlign w:val="superscript"/>
                <w:lang w:eastAsia="en-GB"/>
              </w:rPr>
              <w:t>a</w:t>
            </w:r>
          </w:p>
        </w:tc>
        <w:tc>
          <w:tcPr>
            <w:tcW w:w="1072" w:type="dxa"/>
          </w:tcPr>
          <w:p w14:paraId="799135EA" w14:textId="445BC14F" w:rsidR="00815FA1" w:rsidRPr="00577E25" w:rsidRDefault="00476F92"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-13.601</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hideMark/>
          </w:tcPr>
          <w:p w14:paraId="4BEC249C" w14:textId="7B8006C9"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-0.008</w:t>
            </w:r>
          </w:p>
        </w:tc>
        <w:tc>
          <w:tcPr>
            <w:tcW w:w="1151" w:type="dxa"/>
            <w:shd w:val="clear" w:color="auto" w:fill="auto"/>
            <w:vAlign w:val="bottom"/>
            <w:hideMark/>
          </w:tcPr>
          <w:p w14:paraId="3D45507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-0.106</w:t>
            </w:r>
          </w:p>
        </w:tc>
      </w:tr>
      <w:tr w:rsidR="00FA0603" w:rsidRPr="00FF6562" w14:paraId="0A455A35"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7219A9E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Information Tech.</w:t>
            </w:r>
          </w:p>
        </w:tc>
        <w:tc>
          <w:tcPr>
            <w:tcW w:w="803" w:type="dxa"/>
            <w:shd w:val="clear" w:color="auto" w:fill="auto"/>
            <w:vAlign w:val="bottom"/>
            <w:hideMark/>
          </w:tcPr>
          <w:p w14:paraId="5D97416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0.140</w:t>
            </w:r>
          </w:p>
        </w:tc>
        <w:tc>
          <w:tcPr>
            <w:tcW w:w="1072" w:type="dxa"/>
            <w:shd w:val="clear" w:color="auto" w:fill="auto"/>
            <w:vAlign w:val="bottom"/>
            <w:hideMark/>
          </w:tcPr>
          <w:p w14:paraId="0EB5FC6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2.557</w:t>
            </w:r>
          </w:p>
        </w:tc>
        <w:tc>
          <w:tcPr>
            <w:tcW w:w="1072" w:type="dxa"/>
            <w:shd w:val="clear" w:color="auto" w:fill="auto"/>
            <w:vAlign w:val="bottom"/>
            <w:hideMark/>
          </w:tcPr>
          <w:p w14:paraId="76A0639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-3.840</w:t>
            </w:r>
          </w:p>
        </w:tc>
        <w:tc>
          <w:tcPr>
            <w:tcW w:w="1060" w:type="dxa"/>
            <w:shd w:val="clear" w:color="auto" w:fill="auto"/>
            <w:vAlign w:val="bottom"/>
            <w:hideMark/>
          </w:tcPr>
          <w:p w14:paraId="02197AD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0.953</w:t>
            </w:r>
          </w:p>
        </w:tc>
        <w:tc>
          <w:tcPr>
            <w:tcW w:w="1072" w:type="dxa"/>
            <w:shd w:val="clear" w:color="auto" w:fill="auto"/>
            <w:vAlign w:val="bottom"/>
            <w:hideMark/>
          </w:tcPr>
          <w:p w14:paraId="268A3BA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-0.680</w:t>
            </w:r>
          </w:p>
        </w:tc>
        <w:tc>
          <w:tcPr>
            <w:tcW w:w="938" w:type="dxa"/>
            <w:shd w:val="clear" w:color="auto" w:fill="auto"/>
            <w:vAlign w:val="bottom"/>
            <w:hideMark/>
          </w:tcPr>
          <w:p w14:paraId="201E922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4.887</w:t>
            </w:r>
          </w:p>
        </w:tc>
        <w:tc>
          <w:tcPr>
            <w:tcW w:w="1001" w:type="dxa"/>
            <w:shd w:val="clear" w:color="auto" w:fill="auto"/>
            <w:vAlign w:val="bottom"/>
            <w:hideMark/>
          </w:tcPr>
          <w:p w14:paraId="4FDA3DB5"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54.341</w:t>
            </w:r>
            <w:r w:rsidRPr="00FF6562">
              <w:rPr>
                <w:rFonts w:ascii="Times New Roman" w:eastAsia="Times New Roman" w:hAnsi="Times New Roman" w:cs="Times New Roman"/>
                <w:sz w:val="20"/>
                <w:szCs w:val="20"/>
                <w:vertAlign w:val="superscript"/>
                <w:lang w:eastAsia="en-GB"/>
              </w:rPr>
              <w:t>a</w:t>
            </w:r>
          </w:p>
        </w:tc>
        <w:tc>
          <w:tcPr>
            <w:tcW w:w="1024" w:type="dxa"/>
            <w:gridSpan w:val="3"/>
            <w:shd w:val="clear" w:color="auto" w:fill="auto"/>
            <w:vAlign w:val="bottom"/>
            <w:hideMark/>
          </w:tcPr>
          <w:p w14:paraId="027E2A8A"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40.247</w:t>
            </w:r>
            <w:r w:rsidRPr="00FF6562">
              <w:rPr>
                <w:rFonts w:ascii="Times New Roman" w:eastAsia="Times New Roman" w:hAnsi="Times New Roman" w:cs="Times New Roman"/>
                <w:sz w:val="20"/>
                <w:szCs w:val="20"/>
                <w:vertAlign w:val="superscript"/>
                <w:lang w:eastAsia="en-GB"/>
              </w:rPr>
              <w:t>c</w:t>
            </w:r>
          </w:p>
        </w:tc>
        <w:tc>
          <w:tcPr>
            <w:tcW w:w="1190" w:type="dxa"/>
            <w:gridSpan w:val="2"/>
            <w:shd w:val="clear" w:color="auto" w:fill="auto"/>
            <w:vAlign w:val="bottom"/>
            <w:hideMark/>
          </w:tcPr>
          <w:p w14:paraId="3D32A52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-15.318</w:t>
            </w:r>
            <w:r w:rsidRPr="00FF6562">
              <w:rPr>
                <w:rFonts w:ascii="Times New Roman" w:eastAsia="Times New Roman" w:hAnsi="Times New Roman" w:cs="Times New Roman"/>
                <w:sz w:val="20"/>
                <w:szCs w:val="20"/>
                <w:vertAlign w:val="superscript"/>
                <w:lang w:eastAsia="en-GB"/>
              </w:rPr>
              <w:t>a</w:t>
            </w:r>
          </w:p>
        </w:tc>
        <w:tc>
          <w:tcPr>
            <w:tcW w:w="1072" w:type="dxa"/>
          </w:tcPr>
          <w:p w14:paraId="51E99FB5" w14:textId="25B6D607" w:rsidR="00815FA1" w:rsidRPr="00577E25" w:rsidRDefault="00476F92"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-15.337</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hideMark/>
          </w:tcPr>
          <w:p w14:paraId="5AF7C6A1" w14:textId="52CE5D99"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0.051</w:t>
            </w:r>
          </w:p>
        </w:tc>
        <w:tc>
          <w:tcPr>
            <w:tcW w:w="1151" w:type="dxa"/>
            <w:shd w:val="clear" w:color="auto" w:fill="auto"/>
            <w:vAlign w:val="bottom"/>
            <w:hideMark/>
          </w:tcPr>
          <w:p w14:paraId="6E8BF51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-0.175</w:t>
            </w:r>
          </w:p>
        </w:tc>
      </w:tr>
      <w:tr w:rsidR="00FA0603" w:rsidRPr="00FF6562" w14:paraId="520D46B0"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21A24C3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Materials </w:t>
            </w:r>
          </w:p>
        </w:tc>
        <w:tc>
          <w:tcPr>
            <w:tcW w:w="803" w:type="dxa"/>
            <w:shd w:val="clear" w:color="auto" w:fill="auto"/>
            <w:vAlign w:val="bottom"/>
            <w:hideMark/>
          </w:tcPr>
          <w:p w14:paraId="6A53A7B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0.045</w:t>
            </w:r>
          </w:p>
        </w:tc>
        <w:tc>
          <w:tcPr>
            <w:tcW w:w="1072" w:type="dxa"/>
            <w:shd w:val="clear" w:color="auto" w:fill="auto"/>
            <w:vAlign w:val="bottom"/>
            <w:hideMark/>
          </w:tcPr>
          <w:p w14:paraId="2655CC0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1.915</w:t>
            </w:r>
          </w:p>
        </w:tc>
        <w:tc>
          <w:tcPr>
            <w:tcW w:w="1072" w:type="dxa"/>
            <w:shd w:val="clear" w:color="auto" w:fill="auto"/>
            <w:vAlign w:val="bottom"/>
            <w:hideMark/>
          </w:tcPr>
          <w:p w14:paraId="448028D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-1.964</w:t>
            </w:r>
          </w:p>
        </w:tc>
        <w:tc>
          <w:tcPr>
            <w:tcW w:w="1060" w:type="dxa"/>
            <w:shd w:val="clear" w:color="auto" w:fill="auto"/>
            <w:vAlign w:val="bottom"/>
            <w:hideMark/>
          </w:tcPr>
          <w:p w14:paraId="03AC92B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0.684</w:t>
            </w:r>
          </w:p>
        </w:tc>
        <w:tc>
          <w:tcPr>
            <w:tcW w:w="1072" w:type="dxa"/>
            <w:shd w:val="clear" w:color="auto" w:fill="auto"/>
            <w:vAlign w:val="bottom"/>
            <w:hideMark/>
          </w:tcPr>
          <w:p w14:paraId="0E84FD3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-0.340</w:t>
            </w:r>
          </w:p>
        </w:tc>
        <w:tc>
          <w:tcPr>
            <w:tcW w:w="938" w:type="dxa"/>
            <w:shd w:val="clear" w:color="auto" w:fill="auto"/>
            <w:vAlign w:val="bottom"/>
            <w:hideMark/>
          </w:tcPr>
          <w:p w14:paraId="1EF35AE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3.561</w:t>
            </w:r>
          </w:p>
        </w:tc>
        <w:tc>
          <w:tcPr>
            <w:tcW w:w="1001" w:type="dxa"/>
            <w:shd w:val="clear" w:color="auto" w:fill="auto"/>
            <w:vAlign w:val="bottom"/>
            <w:hideMark/>
          </w:tcPr>
          <w:p w14:paraId="78F26E82"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7.813</w:t>
            </w:r>
            <w:r w:rsidRPr="00FF6562">
              <w:rPr>
                <w:rFonts w:ascii="Times New Roman" w:eastAsia="Times New Roman" w:hAnsi="Times New Roman" w:cs="Times New Roman"/>
                <w:sz w:val="20"/>
                <w:szCs w:val="20"/>
                <w:vertAlign w:val="superscript"/>
                <w:lang w:eastAsia="en-GB"/>
              </w:rPr>
              <w:t>b</w:t>
            </w:r>
          </w:p>
        </w:tc>
        <w:tc>
          <w:tcPr>
            <w:tcW w:w="1024" w:type="dxa"/>
            <w:gridSpan w:val="3"/>
            <w:shd w:val="clear" w:color="auto" w:fill="auto"/>
            <w:vAlign w:val="bottom"/>
            <w:hideMark/>
          </w:tcPr>
          <w:p w14:paraId="07866C56"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40.218</w:t>
            </w:r>
            <w:r w:rsidRPr="00FF6562">
              <w:rPr>
                <w:rFonts w:ascii="Times New Roman" w:eastAsia="Times New Roman" w:hAnsi="Times New Roman" w:cs="Times New Roman"/>
                <w:sz w:val="20"/>
                <w:szCs w:val="20"/>
                <w:vertAlign w:val="superscript"/>
                <w:lang w:eastAsia="en-GB"/>
              </w:rPr>
              <w:t>b</w:t>
            </w:r>
          </w:p>
        </w:tc>
        <w:tc>
          <w:tcPr>
            <w:tcW w:w="1190" w:type="dxa"/>
            <w:gridSpan w:val="2"/>
            <w:shd w:val="clear" w:color="auto" w:fill="auto"/>
            <w:vAlign w:val="bottom"/>
            <w:hideMark/>
          </w:tcPr>
          <w:p w14:paraId="4AF6E38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-12.917</w:t>
            </w:r>
            <w:r w:rsidRPr="00FF6562">
              <w:rPr>
                <w:rFonts w:ascii="Times New Roman" w:eastAsia="Times New Roman" w:hAnsi="Times New Roman" w:cs="Times New Roman"/>
                <w:sz w:val="20"/>
                <w:szCs w:val="20"/>
                <w:vertAlign w:val="superscript"/>
                <w:lang w:eastAsia="en-GB"/>
              </w:rPr>
              <w:t>a</w:t>
            </w:r>
          </w:p>
        </w:tc>
        <w:tc>
          <w:tcPr>
            <w:tcW w:w="1072" w:type="dxa"/>
          </w:tcPr>
          <w:p w14:paraId="52870F5D" w14:textId="51642FE5" w:rsidR="00815FA1" w:rsidRPr="00577E25" w:rsidRDefault="00476F92"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-12.925</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hideMark/>
          </w:tcPr>
          <w:p w14:paraId="7C82918B" w14:textId="0AA0B68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0.057</w:t>
            </w:r>
          </w:p>
        </w:tc>
        <w:tc>
          <w:tcPr>
            <w:tcW w:w="1151" w:type="dxa"/>
            <w:shd w:val="clear" w:color="auto" w:fill="auto"/>
            <w:vAlign w:val="bottom"/>
            <w:hideMark/>
          </w:tcPr>
          <w:p w14:paraId="38167ED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-0.055</w:t>
            </w:r>
          </w:p>
        </w:tc>
      </w:tr>
      <w:tr w:rsidR="00FA0603" w:rsidRPr="00FF6562" w14:paraId="1E0CFCFF"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625DB17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Real Estate</w:t>
            </w:r>
          </w:p>
        </w:tc>
        <w:tc>
          <w:tcPr>
            <w:tcW w:w="803" w:type="dxa"/>
            <w:tcBorders>
              <w:bottom w:val="nil"/>
            </w:tcBorders>
            <w:shd w:val="clear" w:color="auto" w:fill="auto"/>
            <w:vAlign w:val="bottom"/>
            <w:hideMark/>
          </w:tcPr>
          <w:p w14:paraId="3F6D1E4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0.045</w:t>
            </w:r>
          </w:p>
        </w:tc>
        <w:tc>
          <w:tcPr>
            <w:tcW w:w="1072" w:type="dxa"/>
            <w:tcBorders>
              <w:bottom w:val="nil"/>
            </w:tcBorders>
            <w:shd w:val="clear" w:color="auto" w:fill="auto"/>
            <w:vAlign w:val="bottom"/>
            <w:hideMark/>
          </w:tcPr>
          <w:p w14:paraId="582F8F04"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1.984</w:t>
            </w:r>
          </w:p>
        </w:tc>
        <w:tc>
          <w:tcPr>
            <w:tcW w:w="1072" w:type="dxa"/>
            <w:tcBorders>
              <w:bottom w:val="nil"/>
            </w:tcBorders>
            <w:shd w:val="clear" w:color="auto" w:fill="auto"/>
            <w:vAlign w:val="bottom"/>
            <w:hideMark/>
          </w:tcPr>
          <w:p w14:paraId="338E64A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-2.393</w:t>
            </w:r>
          </w:p>
        </w:tc>
        <w:tc>
          <w:tcPr>
            <w:tcW w:w="1060" w:type="dxa"/>
            <w:tcBorders>
              <w:bottom w:val="nil"/>
            </w:tcBorders>
            <w:shd w:val="clear" w:color="auto" w:fill="auto"/>
            <w:vAlign w:val="bottom"/>
            <w:hideMark/>
          </w:tcPr>
          <w:p w14:paraId="78B7DFC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0.674</w:t>
            </w:r>
          </w:p>
        </w:tc>
        <w:tc>
          <w:tcPr>
            <w:tcW w:w="1072" w:type="dxa"/>
            <w:tcBorders>
              <w:bottom w:val="nil"/>
            </w:tcBorders>
            <w:shd w:val="clear" w:color="auto" w:fill="auto"/>
            <w:vAlign w:val="bottom"/>
            <w:hideMark/>
          </w:tcPr>
          <w:p w14:paraId="4110232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-0.205</w:t>
            </w:r>
          </w:p>
        </w:tc>
        <w:tc>
          <w:tcPr>
            <w:tcW w:w="938" w:type="dxa"/>
            <w:tcBorders>
              <w:bottom w:val="nil"/>
            </w:tcBorders>
            <w:shd w:val="clear" w:color="auto" w:fill="auto"/>
            <w:vAlign w:val="bottom"/>
            <w:hideMark/>
          </w:tcPr>
          <w:p w14:paraId="2321EEA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3.415</w:t>
            </w:r>
          </w:p>
        </w:tc>
        <w:tc>
          <w:tcPr>
            <w:tcW w:w="1001" w:type="dxa"/>
            <w:tcBorders>
              <w:bottom w:val="nil"/>
            </w:tcBorders>
            <w:shd w:val="clear" w:color="auto" w:fill="auto"/>
            <w:vAlign w:val="bottom"/>
            <w:hideMark/>
          </w:tcPr>
          <w:p w14:paraId="67CE5CA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3.413</w:t>
            </w:r>
          </w:p>
        </w:tc>
        <w:tc>
          <w:tcPr>
            <w:tcW w:w="1024" w:type="dxa"/>
            <w:gridSpan w:val="3"/>
            <w:tcBorders>
              <w:bottom w:val="nil"/>
            </w:tcBorders>
            <w:shd w:val="clear" w:color="auto" w:fill="auto"/>
            <w:vAlign w:val="bottom"/>
            <w:hideMark/>
          </w:tcPr>
          <w:p w14:paraId="72C6666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33.939</w:t>
            </w:r>
          </w:p>
        </w:tc>
        <w:tc>
          <w:tcPr>
            <w:tcW w:w="1190" w:type="dxa"/>
            <w:gridSpan w:val="2"/>
            <w:tcBorders>
              <w:bottom w:val="nil"/>
            </w:tcBorders>
            <w:shd w:val="clear" w:color="auto" w:fill="auto"/>
            <w:vAlign w:val="bottom"/>
            <w:hideMark/>
          </w:tcPr>
          <w:p w14:paraId="4052C26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-14.881</w:t>
            </w:r>
            <w:r w:rsidRPr="00FF6562">
              <w:rPr>
                <w:rFonts w:ascii="Times New Roman" w:eastAsia="Times New Roman" w:hAnsi="Times New Roman" w:cs="Times New Roman"/>
                <w:sz w:val="20"/>
                <w:szCs w:val="20"/>
                <w:vertAlign w:val="superscript"/>
                <w:lang w:eastAsia="en-GB"/>
              </w:rPr>
              <w:t>a</w:t>
            </w:r>
          </w:p>
        </w:tc>
        <w:tc>
          <w:tcPr>
            <w:tcW w:w="1072" w:type="dxa"/>
            <w:tcBorders>
              <w:bottom w:val="nil"/>
            </w:tcBorders>
          </w:tcPr>
          <w:p w14:paraId="24CA4A26" w14:textId="73B56B74" w:rsidR="00815FA1" w:rsidRPr="00577E25" w:rsidRDefault="00476F92"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-15.225</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tcBorders>
              <w:bottom w:val="nil"/>
            </w:tcBorders>
            <w:shd w:val="clear" w:color="auto" w:fill="auto"/>
            <w:vAlign w:val="bottom"/>
            <w:hideMark/>
          </w:tcPr>
          <w:p w14:paraId="41F7B19E" w14:textId="22655713"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0.012</w:t>
            </w:r>
          </w:p>
        </w:tc>
        <w:tc>
          <w:tcPr>
            <w:tcW w:w="1151" w:type="dxa"/>
            <w:tcBorders>
              <w:bottom w:val="nil"/>
            </w:tcBorders>
            <w:shd w:val="clear" w:color="auto" w:fill="auto"/>
            <w:vAlign w:val="bottom"/>
            <w:hideMark/>
          </w:tcPr>
          <w:p w14:paraId="5665E4F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0.009</w:t>
            </w:r>
          </w:p>
        </w:tc>
      </w:tr>
      <w:tr w:rsidR="00FA0603" w:rsidRPr="00FF6562" w14:paraId="2E59DEC0" w14:textId="77777777" w:rsidTr="00FA0603">
        <w:trPr>
          <w:gridAfter w:val="1"/>
          <w:wAfter w:w="20" w:type="dxa"/>
          <w:trHeight w:val="170"/>
        </w:trPr>
        <w:tc>
          <w:tcPr>
            <w:tcW w:w="1608" w:type="dxa"/>
            <w:gridSpan w:val="2"/>
            <w:tcBorders>
              <w:top w:val="nil"/>
              <w:left w:val="nil"/>
              <w:bottom w:val="nil"/>
              <w:right w:val="nil"/>
            </w:tcBorders>
            <w:shd w:val="clear" w:color="auto" w:fill="auto"/>
            <w:vAlign w:val="center"/>
            <w:hideMark/>
          </w:tcPr>
          <w:p w14:paraId="7352776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Utilities</w:t>
            </w:r>
          </w:p>
        </w:tc>
        <w:tc>
          <w:tcPr>
            <w:tcW w:w="803" w:type="dxa"/>
            <w:tcBorders>
              <w:top w:val="nil"/>
              <w:bottom w:val="nil"/>
            </w:tcBorders>
            <w:shd w:val="clear" w:color="auto" w:fill="auto"/>
            <w:vAlign w:val="bottom"/>
            <w:hideMark/>
          </w:tcPr>
          <w:p w14:paraId="3DBAE60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0.010</w:t>
            </w:r>
          </w:p>
        </w:tc>
        <w:tc>
          <w:tcPr>
            <w:tcW w:w="1072" w:type="dxa"/>
            <w:tcBorders>
              <w:top w:val="nil"/>
              <w:bottom w:val="nil"/>
            </w:tcBorders>
            <w:shd w:val="clear" w:color="auto" w:fill="auto"/>
            <w:vAlign w:val="bottom"/>
            <w:hideMark/>
          </w:tcPr>
          <w:p w14:paraId="4616BAD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2.660</w:t>
            </w:r>
          </w:p>
        </w:tc>
        <w:tc>
          <w:tcPr>
            <w:tcW w:w="1072" w:type="dxa"/>
            <w:tcBorders>
              <w:top w:val="nil"/>
              <w:bottom w:val="nil"/>
            </w:tcBorders>
            <w:shd w:val="clear" w:color="auto" w:fill="auto"/>
            <w:vAlign w:val="bottom"/>
            <w:hideMark/>
          </w:tcPr>
          <w:p w14:paraId="710B657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-2.575</w:t>
            </w:r>
          </w:p>
        </w:tc>
        <w:tc>
          <w:tcPr>
            <w:tcW w:w="1060" w:type="dxa"/>
            <w:tcBorders>
              <w:top w:val="nil"/>
              <w:bottom w:val="nil"/>
            </w:tcBorders>
            <w:shd w:val="clear" w:color="auto" w:fill="auto"/>
            <w:vAlign w:val="bottom"/>
            <w:hideMark/>
          </w:tcPr>
          <w:p w14:paraId="5D411E89"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0.717</w:t>
            </w:r>
          </w:p>
        </w:tc>
        <w:tc>
          <w:tcPr>
            <w:tcW w:w="1072" w:type="dxa"/>
            <w:tcBorders>
              <w:top w:val="nil"/>
              <w:bottom w:val="nil"/>
            </w:tcBorders>
            <w:shd w:val="clear" w:color="auto" w:fill="auto"/>
            <w:vAlign w:val="bottom"/>
            <w:hideMark/>
          </w:tcPr>
          <w:p w14:paraId="263D5B8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-0.064</w:t>
            </w:r>
          </w:p>
        </w:tc>
        <w:tc>
          <w:tcPr>
            <w:tcW w:w="938" w:type="dxa"/>
            <w:tcBorders>
              <w:top w:val="nil"/>
              <w:bottom w:val="nil"/>
            </w:tcBorders>
            <w:shd w:val="clear" w:color="auto" w:fill="auto"/>
            <w:vAlign w:val="bottom"/>
            <w:hideMark/>
          </w:tcPr>
          <w:p w14:paraId="1AED9AF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4.018</w:t>
            </w:r>
          </w:p>
        </w:tc>
        <w:tc>
          <w:tcPr>
            <w:tcW w:w="1001" w:type="dxa"/>
            <w:tcBorders>
              <w:top w:val="nil"/>
              <w:bottom w:val="nil"/>
            </w:tcBorders>
            <w:shd w:val="clear" w:color="auto" w:fill="auto"/>
            <w:vAlign w:val="bottom"/>
            <w:hideMark/>
          </w:tcPr>
          <w:p w14:paraId="285DF947"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10.566</w:t>
            </w:r>
            <w:r w:rsidRPr="00FF6562">
              <w:rPr>
                <w:rFonts w:ascii="Times New Roman" w:eastAsia="Times New Roman" w:hAnsi="Times New Roman" w:cs="Times New Roman"/>
                <w:sz w:val="20"/>
                <w:szCs w:val="20"/>
                <w:vertAlign w:val="superscript"/>
                <w:lang w:eastAsia="en-GB"/>
              </w:rPr>
              <w:t>a</w:t>
            </w:r>
          </w:p>
        </w:tc>
        <w:tc>
          <w:tcPr>
            <w:tcW w:w="1024" w:type="dxa"/>
            <w:gridSpan w:val="3"/>
            <w:tcBorders>
              <w:top w:val="nil"/>
              <w:bottom w:val="nil"/>
            </w:tcBorders>
            <w:shd w:val="clear" w:color="auto" w:fill="auto"/>
            <w:vAlign w:val="bottom"/>
            <w:hideMark/>
          </w:tcPr>
          <w:p w14:paraId="3830D79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41.533</w:t>
            </w:r>
            <w:r w:rsidRPr="00FF6562">
              <w:rPr>
                <w:rFonts w:ascii="Times New Roman" w:eastAsia="Times New Roman" w:hAnsi="Times New Roman" w:cs="Times New Roman"/>
                <w:sz w:val="20"/>
                <w:szCs w:val="20"/>
                <w:vertAlign w:val="superscript"/>
                <w:lang w:eastAsia="en-GB"/>
              </w:rPr>
              <w:t>b</w:t>
            </w:r>
            <w:r w:rsidRPr="00FF6562">
              <w:rPr>
                <w:rFonts w:ascii="Times New Roman" w:eastAsia="Times New Roman" w:hAnsi="Times New Roman" w:cs="Times New Roman"/>
                <w:sz w:val="20"/>
                <w:szCs w:val="20"/>
                <w:lang w:eastAsia="en-GB"/>
              </w:rPr>
              <w:t xml:space="preserve"> </w:t>
            </w:r>
          </w:p>
        </w:tc>
        <w:tc>
          <w:tcPr>
            <w:tcW w:w="1190" w:type="dxa"/>
            <w:gridSpan w:val="2"/>
            <w:tcBorders>
              <w:top w:val="nil"/>
              <w:bottom w:val="nil"/>
            </w:tcBorders>
            <w:shd w:val="clear" w:color="auto" w:fill="auto"/>
            <w:vAlign w:val="bottom"/>
            <w:hideMark/>
          </w:tcPr>
          <w:p w14:paraId="44CB513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-15.056</w:t>
            </w:r>
            <w:r w:rsidRPr="00FF6562">
              <w:rPr>
                <w:rFonts w:ascii="Times New Roman" w:eastAsia="Times New Roman" w:hAnsi="Times New Roman" w:cs="Times New Roman"/>
                <w:sz w:val="20"/>
                <w:szCs w:val="20"/>
                <w:vertAlign w:val="superscript"/>
                <w:lang w:eastAsia="en-GB"/>
              </w:rPr>
              <w:t>a</w:t>
            </w:r>
          </w:p>
        </w:tc>
        <w:tc>
          <w:tcPr>
            <w:tcW w:w="1072" w:type="dxa"/>
            <w:tcBorders>
              <w:top w:val="nil"/>
              <w:bottom w:val="nil"/>
            </w:tcBorders>
          </w:tcPr>
          <w:p w14:paraId="1D9F024E" w14:textId="79CA1944" w:rsidR="00815FA1" w:rsidRPr="00577E25" w:rsidRDefault="00476F92"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-15.468</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tcBorders>
              <w:top w:val="nil"/>
              <w:bottom w:val="nil"/>
            </w:tcBorders>
            <w:shd w:val="clear" w:color="auto" w:fill="auto"/>
            <w:vAlign w:val="bottom"/>
            <w:hideMark/>
          </w:tcPr>
          <w:p w14:paraId="46F7558A" w14:textId="7F8B49E6"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0.005</w:t>
            </w:r>
          </w:p>
        </w:tc>
        <w:tc>
          <w:tcPr>
            <w:tcW w:w="1151" w:type="dxa"/>
            <w:tcBorders>
              <w:top w:val="nil"/>
              <w:bottom w:val="nil"/>
            </w:tcBorders>
            <w:shd w:val="clear" w:color="auto" w:fill="auto"/>
            <w:vAlign w:val="bottom"/>
            <w:hideMark/>
          </w:tcPr>
          <w:p w14:paraId="19996F9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-0.014</w:t>
            </w:r>
          </w:p>
        </w:tc>
      </w:tr>
      <w:tr w:rsidR="00815FA1" w:rsidRPr="00FF6562" w14:paraId="7AB93974" w14:textId="77777777" w:rsidTr="00FA0603">
        <w:trPr>
          <w:trHeight w:val="379"/>
        </w:trPr>
        <w:tc>
          <w:tcPr>
            <w:tcW w:w="1071" w:type="dxa"/>
            <w:tcBorders>
              <w:top w:val="nil"/>
              <w:bottom w:val="nil"/>
            </w:tcBorders>
          </w:tcPr>
          <w:p w14:paraId="375FB6FA" w14:textId="77777777" w:rsidR="00815FA1" w:rsidRPr="00FF6562" w:rsidRDefault="00815FA1" w:rsidP="00875EB5">
            <w:pPr>
              <w:spacing w:after="0" w:line="240" w:lineRule="auto"/>
              <w:rPr>
                <w:rFonts w:ascii="Times New Roman" w:eastAsia="Times New Roman" w:hAnsi="Times New Roman" w:cs="Times New Roman"/>
                <w:b/>
                <w:bCs/>
                <w:sz w:val="20"/>
                <w:szCs w:val="20"/>
                <w:lang w:eastAsia="en-GB"/>
              </w:rPr>
            </w:pPr>
          </w:p>
        </w:tc>
        <w:tc>
          <w:tcPr>
            <w:tcW w:w="13083" w:type="dxa"/>
            <w:gridSpan w:val="17"/>
            <w:tcBorders>
              <w:top w:val="nil"/>
              <w:bottom w:val="nil"/>
            </w:tcBorders>
            <w:shd w:val="clear" w:color="auto" w:fill="auto"/>
            <w:vAlign w:val="bottom"/>
            <w:hideMark/>
          </w:tcPr>
          <w:p w14:paraId="48C333C2" w14:textId="782826A6" w:rsidR="00815FA1" w:rsidRPr="00FF6562" w:rsidRDefault="00815FA1" w:rsidP="00875EB5">
            <w:pPr>
              <w:spacing w:after="0" w:line="240" w:lineRule="auto"/>
              <w:rPr>
                <w:rFonts w:ascii="Times New Roman" w:eastAsia="Times New Roman" w:hAnsi="Times New Roman" w:cs="Times New Roman"/>
                <w:b/>
                <w:bCs/>
                <w:sz w:val="20"/>
                <w:szCs w:val="20"/>
                <w:lang w:eastAsia="en-GB"/>
              </w:rPr>
            </w:pPr>
            <w:r w:rsidRPr="00FF6562">
              <w:rPr>
                <w:rFonts w:ascii="Times New Roman" w:eastAsia="Times New Roman" w:hAnsi="Times New Roman" w:cs="Times New Roman"/>
                <w:b/>
                <w:bCs/>
                <w:sz w:val="20"/>
                <w:szCs w:val="20"/>
                <w:lang w:eastAsia="en-GB"/>
              </w:rPr>
              <w:t xml:space="preserve">Panel B. </w:t>
            </w:r>
            <w:r w:rsidRPr="00943B04">
              <w:rPr>
                <w:rFonts w:ascii="Times New Roman" w:eastAsia="Times New Roman" w:hAnsi="Times New Roman" w:cs="Times New Roman"/>
                <w:b/>
                <w:bCs/>
                <w:color w:val="0070C0"/>
                <w:sz w:val="20"/>
                <w:szCs w:val="20"/>
                <w:lang w:eastAsia="en-GB"/>
              </w:rPr>
              <w:t>The COVID-19</w:t>
            </w:r>
          </w:p>
          <w:p w14:paraId="03A56250" w14:textId="77777777" w:rsidR="00815FA1" w:rsidRPr="00FF6562" w:rsidRDefault="00815FA1" w:rsidP="00875EB5">
            <w:pPr>
              <w:spacing w:after="0" w:line="240" w:lineRule="auto"/>
              <w:rPr>
                <w:rFonts w:ascii="Times New Roman" w:eastAsia="Times New Roman" w:hAnsi="Times New Roman" w:cs="Times New Roman"/>
                <w:b/>
                <w:bCs/>
                <w:sz w:val="20"/>
                <w:szCs w:val="20"/>
                <w:lang w:eastAsia="en-GB"/>
              </w:rPr>
            </w:pPr>
          </w:p>
        </w:tc>
      </w:tr>
      <w:tr w:rsidR="00FA0603" w:rsidRPr="00FF6562" w14:paraId="0E36255E" w14:textId="77777777" w:rsidTr="00FA0603">
        <w:trPr>
          <w:gridAfter w:val="1"/>
          <w:wAfter w:w="20" w:type="dxa"/>
          <w:trHeight w:val="152"/>
        </w:trPr>
        <w:tc>
          <w:tcPr>
            <w:tcW w:w="1608" w:type="dxa"/>
            <w:gridSpan w:val="2"/>
            <w:tcBorders>
              <w:top w:val="nil"/>
            </w:tcBorders>
            <w:shd w:val="clear" w:color="auto" w:fill="auto"/>
            <w:vAlign w:val="bottom"/>
            <w:hideMark/>
          </w:tcPr>
          <w:p w14:paraId="2EDDFF4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Onegram</w:t>
            </w:r>
          </w:p>
        </w:tc>
        <w:tc>
          <w:tcPr>
            <w:tcW w:w="803" w:type="dxa"/>
            <w:tcBorders>
              <w:top w:val="nil"/>
            </w:tcBorders>
            <w:shd w:val="clear" w:color="auto" w:fill="auto"/>
            <w:vAlign w:val="bottom"/>
            <w:hideMark/>
          </w:tcPr>
          <w:p w14:paraId="1597A64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-0.001</w:t>
            </w:r>
          </w:p>
        </w:tc>
        <w:tc>
          <w:tcPr>
            <w:tcW w:w="1072" w:type="dxa"/>
            <w:tcBorders>
              <w:top w:val="nil"/>
            </w:tcBorders>
            <w:shd w:val="clear" w:color="auto" w:fill="auto"/>
            <w:vAlign w:val="bottom"/>
          </w:tcPr>
          <w:p w14:paraId="75D3D1C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15.171</w:t>
            </w:r>
          </w:p>
        </w:tc>
        <w:tc>
          <w:tcPr>
            <w:tcW w:w="1072" w:type="dxa"/>
            <w:tcBorders>
              <w:top w:val="nil"/>
            </w:tcBorders>
            <w:shd w:val="clear" w:color="auto" w:fill="auto"/>
            <w:vAlign w:val="bottom"/>
          </w:tcPr>
          <w:p w14:paraId="5A24B30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-21.805</w:t>
            </w:r>
          </w:p>
        </w:tc>
        <w:tc>
          <w:tcPr>
            <w:tcW w:w="1060" w:type="dxa"/>
            <w:tcBorders>
              <w:top w:val="nil"/>
            </w:tcBorders>
            <w:shd w:val="clear" w:color="auto" w:fill="auto"/>
            <w:vAlign w:val="bottom"/>
          </w:tcPr>
          <w:p w14:paraId="4CF4589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4.520</w:t>
            </w:r>
          </w:p>
        </w:tc>
        <w:tc>
          <w:tcPr>
            <w:tcW w:w="1072" w:type="dxa"/>
            <w:tcBorders>
              <w:top w:val="nil"/>
            </w:tcBorders>
            <w:shd w:val="clear" w:color="auto" w:fill="auto"/>
            <w:vAlign w:val="bottom"/>
          </w:tcPr>
          <w:p w14:paraId="54F6DB1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-0.366</w:t>
            </w:r>
          </w:p>
        </w:tc>
        <w:tc>
          <w:tcPr>
            <w:tcW w:w="938" w:type="dxa"/>
            <w:tcBorders>
              <w:top w:val="nil"/>
            </w:tcBorders>
            <w:shd w:val="clear" w:color="auto" w:fill="auto"/>
            <w:vAlign w:val="bottom"/>
          </w:tcPr>
          <w:p w14:paraId="1D40CDF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6.124</w:t>
            </w:r>
          </w:p>
        </w:tc>
        <w:tc>
          <w:tcPr>
            <w:tcW w:w="1072" w:type="dxa"/>
            <w:gridSpan w:val="2"/>
            <w:tcBorders>
              <w:top w:val="nil"/>
            </w:tcBorders>
            <w:shd w:val="clear" w:color="auto" w:fill="auto"/>
            <w:vAlign w:val="bottom"/>
          </w:tcPr>
          <w:p w14:paraId="5A2A3BD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123.093</w:t>
            </w:r>
            <w:r w:rsidRPr="00FF6562">
              <w:rPr>
                <w:rFonts w:ascii="Times New Roman" w:eastAsia="Times New Roman" w:hAnsi="Times New Roman" w:cs="Times New Roman"/>
                <w:sz w:val="20"/>
                <w:szCs w:val="20"/>
                <w:vertAlign w:val="superscript"/>
                <w:lang w:eastAsia="en-GB"/>
              </w:rPr>
              <w:t>a</w:t>
            </w:r>
          </w:p>
        </w:tc>
        <w:tc>
          <w:tcPr>
            <w:tcW w:w="938" w:type="dxa"/>
            <w:tcBorders>
              <w:top w:val="nil"/>
            </w:tcBorders>
            <w:shd w:val="clear" w:color="auto" w:fill="auto"/>
            <w:vAlign w:val="bottom"/>
          </w:tcPr>
          <w:p w14:paraId="2145BEE2"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87.459</w:t>
            </w:r>
            <w:r w:rsidRPr="00FF6562">
              <w:rPr>
                <w:rFonts w:ascii="Times New Roman" w:eastAsia="Times New Roman" w:hAnsi="Times New Roman" w:cs="Times New Roman"/>
                <w:sz w:val="20"/>
                <w:szCs w:val="20"/>
                <w:vertAlign w:val="superscript"/>
                <w:lang w:eastAsia="en-GB"/>
              </w:rPr>
              <w:t>a</w:t>
            </w:r>
          </w:p>
        </w:tc>
        <w:tc>
          <w:tcPr>
            <w:tcW w:w="894" w:type="dxa"/>
            <w:gridSpan w:val="2"/>
            <w:tcBorders>
              <w:top w:val="nil"/>
            </w:tcBorders>
            <w:shd w:val="clear" w:color="auto" w:fill="auto"/>
            <w:vAlign w:val="bottom"/>
          </w:tcPr>
          <w:p w14:paraId="0BB8A48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-11.048</w:t>
            </w:r>
            <w:r w:rsidRPr="00FF6562">
              <w:rPr>
                <w:rFonts w:ascii="Times New Roman" w:eastAsia="Times New Roman" w:hAnsi="Times New Roman" w:cs="Times New Roman"/>
                <w:sz w:val="20"/>
                <w:szCs w:val="20"/>
                <w:vertAlign w:val="superscript"/>
                <w:lang w:eastAsia="en-GB"/>
              </w:rPr>
              <w:t>a</w:t>
            </w:r>
          </w:p>
        </w:tc>
        <w:tc>
          <w:tcPr>
            <w:tcW w:w="311" w:type="dxa"/>
            <w:tcBorders>
              <w:top w:val="nil"/>
            </w:tcBorders>
            <w:shd w:val="clear" w:color="auto" w:fill="auto"/>
            <w:vAlign w:val="bottom"/>
          </w:tcPr>
          <w:p w14:paraId="458D241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Borders>
              <w:top w:val="nil"/>
            </w:tcBorders>
          </w:tcPr>
          <w:p w14:paraId="5DDD4896" w14:textId="75164B0F" w:rsidR="00815FA1" w:rsidRPr="00577E25" w:rsidRDefault="00584CA9"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-42.851</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tcBorders>
              <w:top w:val="nil"/>
            </w:tcBorders>
            <w:shd w:val="clear" w:color="auto" w:fill="auto"/>
            <w:vAlign w:val="bottom"/>
          </w:tcPr>
          <w:p w14:paraId="52AD6329" w14:textId="6DFB5448"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1.000</w:t>
            </w:r>
          </w:p>
        </w:tc>
        <w:tc>
          <w:tcPr>
            <w:tcW w:w="1151" w:type="dxa"/>
            <w:tcBorders>
              <w:top w:val="nil"/>
            </w:tcBorders>
            <w:shd w:val="clear" w:color="auto" w:fill="auto"/>
            <w:vAlign w:val="bottom"/>
          </w:tcPr>
          <w:p w14:paraId="60C2049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0.137</w:t>
            </w:r>
          </w:p>
        </w:tc>
      </w:tr>
      <w:tr w:rsidR="00FA0603" w:rsidRPr="00FF6562" w14:paraId="08677DE6" w14:textId="77777777" w:rsidTr="00FA0603">
        <w:trPr>
          <w:gridAfter w:val="1"/>
          <w:wAfter w:w="20" w:type="dxa"/>
          <w:trHeight w:val="152"/>
        </w:trPr>
        <w:tc>
          <w:tcPr>
            <w:tcW w:w="1608" w:type="dxa"/>
            <w:gridSpan w:val="2"/>
            <w:shd w:val="clear" w:color="auto" w:fill="auto"/>
            <w:vAlign w:val="bottom"/>
            <w:hideMark/>
          </w:tcPr>
          <w:p w14:paraId="4E442FD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X8X</w:t>
            </w:r>
          </w:p>
        </w:tc>
        <w:tc>
          <w:tcPr>
            <w:tcW w:w="803" w:type="dxa"/>
            <w:shd w:val="clear" w:color="auto" w:fill="auto"/>
            <w:vAlign w:val="bottom"/>
            <w:hideMark/>
          </w:tcPr>
          <w:p w14:paraId="28EBF06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0.155</w:t>
            </w:r>
          </w:p>
        </w:tc>
        <w:tc>
          <w:tcPr>
            <w:tcW w:w="1072" w:type="dxa"/>
            <w:shd w:val="clear" w:color="auto" w:fill="auto"/>
            <w:vAlign w:val="bottom"/>
          </w:tcPr>
          <w:p w14:paraId="7E73243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73.941</w:t>
            </w:r>
          </w:p>
        </w:tc>
        <w:tc>
          <w:tcPr>
            <w:tcW w:w="1072" w:type="dxa"/>
            <w:shd w:val="clear" w:color="auto" w:fill="auto"/>
            <w:vAlign w:val="bottom"/>
          </w:tcPr>
          <w:p w14:paraId="2242438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-84.630</w:t>
            </w:r>
          </w:p>
        </w:tc>
        <w:tc>
          <w:tcPr>
            <w:tcW w:w="1060" w:type="dxa"/>
            <w:shd w:val="clear" w:color="auto" w:fill="auto"/>
            <w:vAlign w:val="bottom"/>
          </w:tcPr>
          <w:p w14:paraId="6325663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14.782</w:t>
            </w:r>
          </w:p>
        </w:tc>
        <w:tc>
          <w:tcPr>
            <w:tcW w:w="1072" w:type="dxa"/>
            <w:shd w:val="clear" w:color="auto" w:fill="auto"/>
            <w:vAlign w:val="bottom"/>
          </w:tcPr>
          <w:p w14:paraId="2CCE189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-0.431</w:t>
            </w:r>
          </w:p>
        </w:tc>
        <w:tc>
          <w:tcPr>
            <w:tcW w:w="938" w:type="dxa"/>
            <w:shd w:val="clear" w:color="auto" w:fill="auto"/>
            <w:vAlign w:val="bottom"/>
          </w:tcPr>
          <w:p w14:paraId="7992ABA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10.253</w:t>
            </w:r>
          </w:p>
        </w:tc>
        <w:tc>
          <w:tcPr>
            <w:tcW w:w="1072" w:type="dxa"/>
            <w:gridSpan w:val="2"/>
            <w:shd w:val="clear" w:color="auto" w:fill="auto"/>
            <w:vAlign w:val="bottom"/>
          </w:tcPr>
          <w:p w14:paraId="0ACF179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638.030</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45C96029"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34.677</w:t>
            </w:r>
            <w:r w:rsidRPr="00FF6562">
              <w:rPr>
                <w:rFonts w:ascii="Times New Roman" w:eastAsia="Times New Roman" w:hAnsi="Times New Roman" w:cs="Times New Roman"/>
                <w:sz w:val="20"/>
                <w:szCs w:val="20"/>
                <w:vertAlign w:val="superscript"/>
                <w:lang w:eastAsia="en-GB"/>
              </w:rPr>
              <w:t>c</w:t>
            </w:r>
          </w:p>
        </w:tc>
        <w:tc>
          <w:tcPr>
            <w:tcW w:w="894" w:type="dxa"/>
            <w:gridSpan w:val="2"/>
            <w:shd w:val="clear" w:color="auto" w:fill="auto"/>
            <w:vAlign w:val="bottom"/>
          </w:tcPr>
          <w:p w14:paraId="597AF057" w14:textId="77777777" w:rsidR="00815FA1" w:rsidRPr="00FF6562" w:rsidRDefault="00815FA1" w:rsidP="00875EB5">
            <w:pPr>
              <w:spacing w:after="0" w:line="240" w:lineRule="auto"/>
              <w:rPr>
                <w:rFonts w:ascii="Times New Roman" w:eastAsia="Times New Roman" w:hAnsi="Times New Roman" w:cs="Times New Roman"/>
                <w:sz w:val="20"/>
                <w:szCs w:val="20"/>
                <w:vertAlign w:val="superscript"/>
                <w:lang w:eastAsia="en-GB"/>
              </w:rPr>
            </w:pPr>
            <w:r w:rsidRPr="00FF6562">
              <w:rPr>
                <w:rFonts w:ascii="Times New Roman" w:eastAsia="Times New Roman" w:hAnsi="Times New Roman" w:cs="Times New Roman"/>
                <w:sz w:val="20"/>
                <w:szCs w:val="20"/>
                <w:lang w:eastAsia="en-GB"/>
              </w:rPr>
              <w:t>-18.926</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5C63259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02ECE546" w14:textId="49A303B1" w:rsidR="00815FA1" w:rsidRPr="00577E25" w:rsidRDefault="00A74358"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-19.102</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62A56ECA" w14:textId="0D369B35"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0.137</w:t>
            </w:r>
          </w:p>
        </w:tc>
        <w:tc>
          <w:tcPr>
            <w:tcW w:w="1151" w:type="dxa"/>
            <w:shd w:val="clear" w:color="auto" w:fill="auto"/>
            <w:vAlign w:val="bottom"/>
          </w:tcPr>
          <w:p w14:paraId="7F9814E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1.000</w:t>
            </w:r>
          </w:p>
        </w:tc>
      </w:tr>
      <w:tr w:rsidR="00FA0603" w:rsidRPr="00FF6562" w14:paraId="66C6385B" w14:textId="77777777" w:rsidTr="00FA0603">
        <w:trPr>
          <w:gridAfter w:val="1"/>
          <w:wAfter w:w="20" w:type="dxa"/>
          <w:trHeight w:val="152"/>
        </w:trPr>
        <w:tc>
          <w:tcPr>
            <w:tcW w:w="1608" w:type="dxa"/>
            <w:gridSpan w:val="2"/>
            <w:tcBorders>
              <w:top w:val="nil"/>
              <w:left w:val="nil"/>
              <w:bottom w:val="nil"/>
              <w:right w:val="nil"/>
            </w:tcBorders>
            <w:shd w:val="clear" w:color="auto" w:fill="auto"/>
            <w:vAlign w:val="center"/>
            <w:hideMark/>
          </w:tcPr>
          <w:p w14:paraId="0555A438" w14:textId="7D8154E6"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 xml:space="preserve">Com. </w:t>
            </w:r>
            <w:r w:rsidR="007C387A" w:rsidRPr="00FF6562">
              <w:rPr>
                <w:rFonts w:ascii="Times New Roman" w:hAnsi="Times New Roman" w:cs="Times New Roman"/>
                <w:sz w:val="20"/>
                <w:szCs w:val="20"/>
              </w:rPr>
              <w:t>S</w:t>
            </w:r>
            <w:r w:rsidRPr="00FF6562">
              <w:rPr>
                <w:rFonts w:ascii="Times New Roman" w:hAnsi="Times New Roman" w:cs="Times New Roman"/>
                <w:sz w:val="20"/>
                <w:szCs w:val="20"/>
              </w:rPr>
              <w:t>ervices</w:t>
            </w:r>
          </w:p>
        </w:tc>
        <w:tc>
          <w:tcPr>
            <w:tcW w:w="803" w:type="dxa"/>
            <w:shd w:val="clear" w:color="auto" w:fill="auto"/>
            <w:vAlign w:val="bottom"/>
            <w:hideMark/>
          </w:tcPr>
          <w:p w14:paraId="4189ACA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0.110</w:t>
            </w:r>
          </w:p>
        </w:tc>
        <w:tc>
          <w:tcPr>
            <w:tcW w:w="1072" w:type="dxa"/>
            <w:shd w:val="clear" w:color="auto" w:fill="auto"/>
            <w:vAlign w:val="bottom"/>
          </w:tcPr>
          <w:p w14:paraId="59B10789"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6.228</w:t>
            </w:r>
          </w:p>
        </w:tc>
        <w:tc>
          <w:tcPr>
            <w:tcW w:w="1072" w:type="dxa"/>
            <w:shd w:val="clear" w:color="auto" w:fill="auto"/>
            <w:vAlign w:val="bottom"/>
          </w:tcPr>
          <w:p w14:paraId="777B0B8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-10.807</w:t>
            </w:r>
          </w:p>
        </w:tc>
        <w:tc>
          <w:tcPr>
            <w:tcW w:w="1060" w:type="dxa"/>
            <w:shd w:val="clear" w:color="auto" w:fill="auto"/>
            <w:vAlign w:val="bottom"/>
          </w:tcPr>
          <w:p w14:paraId="467718E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1.882</w:t>
            </w:r>
          </w:p>
        </w:tc>
        <w:tc>
          <w:tcPr>
            <w:tcW w:w="1072" w:type="dxa"/>
            <w:shd w:val="clear" w:color="auto" w:fill="auto"/>
            <w:vAlign w:val="bottom"/>
          </w:tcPr>
          <w:p w14:paraId="6204544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-0.726</w:t>
            </w:r>
          </w:p>
        </w:tc>
        <w:tc>
          <w:tcPr>
            <w:tcW w:w="938" w:type="dxa"/>
            <w:shd w:val="clear" w:color="auto" w:fill="auto"/>
            <w:vAlign w:val="bottom"/>
          </w:tcPr>
          <w:p w14:paraId="5B21FE4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8.102</w:t>
            </w:r>
          </w:p>
        </w:tc>
        <w:tc>
          <w:tcPr>
            <w:tcW w:w="1072" w:type="dxa"/>
            <w:gridSpan w:val="2"/>
            <w:shd w:val="clear" w:color="auto" w:fill="auto"/>
            <w:vAlign w:val="bottom"/>
          </w:tcPr>
          <w:p w14:paraId="42241B5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336.503</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7E39D1F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105.500</w:t>
            </w:r>
            <w:r w:rsidRPr="00FF6562">
              <w:rPr>
                <w:rFonts w:ascii="Times New Roman" w:eastAsia="Times New Roman" w:hAnsi="Times New Roman" w:cs="Times New Roman"/>
                <w:sz w:val="20"/>
                <w:szCs w:val="20"/>
                <w:vertAlign w:val="superscript"/>
                <w:lang w:eastAsia="en-GB"/>
              </w:rPr>
              <w:t>a</w:t>
            </w:r>
          </w:p>
        </w:tc>
        <w:tc>
          <w:tcPr>
            <w:tcW w:w="894" w:type="dxa"/>
            <w:gridSpan w:val="2"/>
            <w:shd w:val="clear" w:color="auto" w:fill="auto"/>
            <w:vAlign w:val="bottom"/>
          </w:tcPr>
          <w:p w14:paraId="0B39BAA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-11.260</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40B9F66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6E4024CD" w14:textId="67F18CB0" w:rsidR="00815FA1" w:rsidRPr="00577E25" w:rsidRDefault="00A74358"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-20.175</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392F8D10" w14:textId="55245790"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0.127</w:t>
            </w:r>
          </w:p>
        </w:tc>
        <w:tc>
          <w:tcPr>
            <w:tcW w:w="1151" w:type="dxa"/>
            <w:shd w:val="clear" w:color="auto" w:fill="auto"/>
            <w:vAlign w:val="bottom"/>
          </w:tcPr>
          <w:p w14:paraId="7043740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0.186</w:t>
            </w:r>
          </w:p>
        </w:tc>
      </w:tr>
      <w:tr w:rsidR="00FA0603" w:rsidRPr="00FF6562" w14:paraId="3105900E" w14:textId="77777777" w:rsidTr="00FA0603">
        <w:trPr>
          <w:gridAfter w:val="1"/>
          <w:wAfter w:w="20" w:type="dxa"/>
          <w:trHeight w:val="152"/>
        </w:trPr>
        <w:tc>
          <w:tcPr>
            <w:tcW w:w="1608" w:type="dxa"/>
            <w:gridSpan w:val="2"/>
            <w:tcBorders>
              <w:top w:val="nil"/>
              <w:left w:val="nil"/>
              <w:bottom w:val="nil"/>
              <w:right w:val="nil"/>
            </w:tcBorders>
            <w:shd w:val="clear" w:color="auto" w:fill="auto"/>
            <w:vAlign w:val="center"/>
            <w:hideMark/>
          </w:tcPr>
          <w:p w14:paraId="5D6CEDC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Consumer disc.</w:t>
            </w:r>
          </w:p>
        </w:tc>
        <w:tc>
          <w:tcPr>
            <w:tcW w:w="803" w:type="dxa"/>
            <w:shd w:val="clear" w:color="auto" w:fill="auto"/>
            <w:vAlign w:val="bottom"/>
            <w:hideMark/>
          </w:tcPr>
          <w:p w14:paraId="36EAA24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0.063</w:t>
            </w:r>
          </w:p>
        </w:tc>
        <w:tc>
          <w:tcPr>
            <w:tcW w:w="1072" w:type="dxa"/>
            <w:shd w:val="clear" w:color="auto" w:fill="auto"/>
            <w:vAlign w:val="bottom"/>
          </w:tcPr>
          <w:p w14:paraId="6260D72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10.473</w:t>
            </w:r>
          </w:p>
        </w:tc>
        <w:tc>
          <w:tcPr>
            <w:tcW w:w="1072" w:type="dxa"/>
            <w:shd w:val="clear" w:color="auto" w:fill="auto"/>
            <w:vAlign w:val="bottom"/>
          </w:tcPr>
          <w:p w14:paraId="382B1769"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-13.040</w:t>
            </w:r>
          </w:p>
        </w:tc>
        <w:tc>
          <w:tcPr>
            <w:tcW w:w="1060" w:type="dxa"/>
            <w:shd w:val="clear" w:color="auto" w:fill="auto"/>
            <w:vAlign w:val="bottom"/>
          </w:tcPr>
          <w:p w14:paraId="682DF6F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1.927</w:t>
            </w:r>
          </w:p>
        </w:tc>
        <w:tc>
          <w:tcPr>
            <w:tcW w:w="1072" w:type="dxa"/>
            <w:shd w:val="clear" w:color="auto" w:fill="auto"/>
            <w:vAlign w:val="bottom"/>
          </w:tcPr>
          <w:p w14:paraId="4668BAD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-1.305</w:t>
            </w:r>
          </w:p>
        </w:tc>
        <w:tc>
          <w:tcPr>
            <w:tcW w:w="938" w:type="dxa"/>
            <w:shd w:val="clear" w:color="auto" w:fill="auto"/>
            <w:vAlign w:val="bottom"/>
          </w:tcPr>
          <w:p w14:paraId="3AD5E5F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16.642</w:t>
            </w:r>
          </w:p>
        </w:tc>
        <w:tc>
          <w:tcPr>
            <w:tcW w:w="1072" w:type="dxa"/>
            <w:gridSpan w:val="2"/>
            <w:shd w:val="clear" w:color="auto" w:fill="auto"/>
            <w:vAlign w:val="bottom"/>
          </w:tcPr>
          <w:p w14:paraId="3AE4E0B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2306.995</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798EBDF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100.810</w:t>
            </w:r>
            <w:r w:rsidRPr="00FF6562">
              <w:rPr>
                <w:rFonts w:ascii="Times New Roman" w:eastAsia="Times New Roman" w:hAnsi="Times New Roman" w:cs="Times New Roman"/>
                <w:sz w:val="20"/>
                <w:szCs w:val="20"/>
                <w:vertAlign w:val="superscript"/>
                <w:lang w:eastAsia="en-GB"/>
              </w:rPr>
              <w:t>a</w:t>
            </w:r>
          </w:p>
        </w:tc>
        <w:tc>
          <w:tcPr>
            <w:tcW w:w="894" w:type="dxa"/>
            <w:gridSpan w:val="2"/>
            <w:shd w:val="clear" w:color="auto" w:fill="auto"/>
            <w:vAlign w:val="bottom"/>
          </w:tcPr>
          <w:p w14:paraId="741A06D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-8.947</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25845D5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3AE7A199" w14:textId="635FD6D3" w:rsidR="00815FA1" w:rsidRPr="00577E25" w:rsidRDefault="00935A89"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-17.753</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61FE7FBE" w14:textId="2DD0B61F"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0.137</w:t>
            </w:r>
          </w:p>
        </w:tc>
        <w:tc>
          <w:tcPr>
            <w:tcW w:w="1151" w:type="dxa"/>
            <w:shd w:val="clear" w:color="auto" w:fill="auto"/>
            <w:vAlign w:val="bottom"/>
          </w:tcPr>
          <w:p w14:paraId="7B77766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0.175</w:t>
            </w:r>
          </w:p>
        </w:tc>
      </w:tr>
      <w:tr w:rsidR="00FA0603" w:rsidRPr="00FF6562" w14:paraId="36E892BA" w14:textId="77777777" w:rsidTr="00FA0603">
        <w:trPr>
          <w:gridAfter w:val="1"/>
          <w:wAfter w:w="20" w:type="dxa"/>
          <w:trHeight w:val="152"/>
        </w:trPr>
        <w:tc>
          <w:tcPr>
            <w:tcW w:w="1608" w:type="dxa"/>
            <w:gridSpan w:val="2"/>
            <w:tcBorders>
              <w:top w:val="nil"/>
              <w:left w:val="nil"/>
              <w:bottom w:val="nil"/>
              <w:right w:val="nil"/>
            </w:tcBorders>
            <w:shd w:val="clear" w:color="auto" w:fill="auto"/>
            <w:vAlign w:val="center"/>
            <w:hideMark/>
          </w:tcPr>
          <w:p w14:paraId="3D7425B4"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 xml:space="preserve">Consumer </w:t>
            </w:r>
            <w:proofErr w:type="spellStart"/>
            <w:r w:rsidRPr="00FF6562">
              <w:rPr>
                <w:rFonts w:ascii="Times New Roman" w:hAnsi="Times New Roman" w:cs="Times New Roman"/>
                <w:sz w:val="20"/>
                <w:szCs w:val="20"/>
              </w:rPr>
              <w:t>stap</w:t>
            </w:r>
            <w:proofErr w:type="spellEnd"/>
            <w:r w:rsidRPr="00FF6562">
              <w:rPr>
                <w:rFonts w:ascii="Times New Roman" w:hAnsi="Times New Roman" w:cs="Times New Roman"/>
                <w:sz w:val="20"/>
                <w:szCs w:val="20"/>
              </w:rPr>
              <w:t>.</w:t>
            </w:r>
          </w:p>
        </w:tc>
        <w:tc>
          <w:tcPr>
            <w:tcW w:w="803" w:type="dxa"/>
            <w:shd w:val="clear" w:color="auto" w:fill="auto"/>
            <w:vAlign w:val="bottom"/>
            <w:hideMark/>
          </w:tcPr>
          <w:p w14:paraId="2BD7423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-0.014</w:t>
            </w:r>
          </w:p>
        </w:tc>
        <w:tc>
          <w:tcPr>
            <w:tcW w:w="1072" w:type="dxa"/>
            <w:shd w:val="clear" w:color="auto" w:fill="auto"/>
            <w:vAlign w:val="bottom"/>
          </w:tcPr>
          <w:p w14:paraId="7C13C09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6.200</w:t>
            </w:r>
          </w:p>
        </w:tc>
        <w:tc>
          <w:tcPr>
            <w:tcW w:w="1072" w:type="dxa"/>
            <w:shd w:val="clear" w:color="auto" w:fill="auto"/>
            <w:vAlign w:val="bottom"/>
          </w:tcPr>
          <w:p w14:paraId="1CD0832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-8.868</w:t>
            </w:r>
          </w:p>
        </w:tc>
        <w:tc>
          <w:tcPr>
            <w:tcW w:w="1060" w:type="dxa"/>
            <w:shd w:val="clear" w:color="auto" w:fill="auto"/>
            <w:vAlign w:val="bottom"/>
          </w:tcPr>
          <w:p w14:paraId="0644336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1.365</w:t>
            </w:r>
          </w:p>
        </w:tc>
        <w:tc>
          <w:tcPr>
            <w:tcW w:w="1072" w:type="dxa"/>
            <w:shd w:val="clear" w:color="auto" w:fill="auto"/>
            <w:vAlign w:val="bottom"/>
          </w:tcPr>
          <w:p w14:paraId="0175C8A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-0.691</w:t>
            </w:r>
          </w:p>
        </w:tc>
        <w:tc>
          <w:tcPr>
            <w:tcW w:w="938" w:type="dxa"/>
            <w:shd w:val="clear" w:color="auto" w:fill="auto"/>
            <w:vAlign w:val="bottom"/>
          </w:tcPr>
          <w:p w14:paraId="1E9F38E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12.527</w:t>
            </w:r>
          </w:p>
        </w:tc>
        <w:tc>
          <w:tcPr>
            <w:tcW w:w="1072" w:type="dxa"/>
            <w:gridSpan w:val="2"/>
            <w:shd w:val="clear" w:color="auto" w:fill="auto"/>
            <w:vAlign w:val="bottom"/>
          </w:tcPr>
          <w:p w14:paraId="5D57FE3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1108.187</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13C1789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111.340</w:t>
            </w:r>
            <w:r w:rsidRPr="00FF6562">
              <w:rPr>
                <w:rFonts w:ascii="Times New Roman" w:eastAsia="Times New Roman" w:hAnsi="Times New Roman" w:cs="Times New Roman"/>
                <w:sz w:val="20"/>
                <w:szCs w:val="20"/>
                <w:vertAlign w:val="superscript"/>
                <w:lang w:eastAsia="en-GB"/>
              </w:rPr>
              <w:t>a</w:t>
            </w:r>
          </w:p>
        </w:tc>
        <w:tc>
          <w:tcPr>
            <w:tcW w:w="894" w:type="dxa"/>
            <w:gridSpan w:val="2"/>
            <w:shd w:val="clear" w:color="auto" w:fill="auto"/>
            <w:vAlign w:val="bottom"/>
          </w:tcPr>
          <w:p w14:paraId="003AFAF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-10.610</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71BB8B1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2591E9BB" w14:textId="57737B46" w:rsidR="00815FA1" w:rsidRPr="00577E25" w:rsidRDefault="00935A89"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-18.852</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42D48ACA" w14:textId="632F385B"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0.190</w:t>
            </w:r>
          </w:p>
        </w:tc>
        <w:tc>
          <w:tcPr>
            <w:tcW w:w="1151" w:type="dxa"/>
            <w:shd w:val="clear" w:color="auto" w:fill="auto"/>
            <w:vAlign w:val="bottom"/>
          </w:tcPr>
          <w:p w14:paraId="6EDD3289"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0.180</w:t>
            </w:r>
          </w:p>
        </w:tc>
      </w:tr>
      <w:tr w:rsidR="00FA0603" w:rsidRPr="00FF6562" w14:paraId="747B9FA8" w14:textId="77777777" w:rsidTr="00FA0603">
        <w:trPr>
          <w:gridAfter w:val="1"/>
          <w:wAfter w:w="20" w:type="dxa"/>
          <w:trHeight w:val="152"/>
        </w:trPr>
        <w:tc>
          <w:tcPr>
            <w:tcW w:w="1608" w:type="dxa"/>
            <w:gridSpan w:val="2"/>
            <w:tcBorders>
              <w:top w:val="nil"/>
              <w:left w:val="nil"/>
              <w:bottom w:val="nil"/>
              <w:right w:val="nil"/>
            </w:tcBorders>
            <w:shd w:val="clear" w:color="auto" w:fill="auto"/>
            <w:vAlign w:val="center"/>
            <w:hideMark/>
          </w:tcPr>
          <w:p w14:paraId="1351C53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Energy</w:t>
            </w:r>
          </w:p>
        </w:tc>
        <w:tc>
          <w:tcPr>
            <w:tcW w:w="803" w:type="dxa"/>
            <w:shd w:val="clear" w:color="auto" w:fill="auto"/>
            <w:vAlign w:val="bottom"/>
            <w:hideMark/>
          </w:tcPr>
          <w:p w14:paraId="430761B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-0.068</w:t>
            </w:r>
          </w:p>
        </w:tc>
        <w:tc>
          <w:tcPr>
            <w:tcW w:w="1072" w:type="dxa"/>
            <w:shd w:val="clear" w:color="auto" w:fill="auto"/>
            <w:vAlign w:val="bottom"/>
          </w:tcPr>
          <w:p w14:paraId="0D3C6CB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15.021</w:t>
            </w:r>
          </w:p>
        </w:tc>
        <w:tc>
          <w:tcPr>
            <w:tcW w:w="1072" w:type="dxa"/>
            <w:shd w:val="clear" w:color="auto" w:fill="auto"/>
            <w:vAlign w:val="bottom"/>
          </w:tcPr>
          <w:p w14:paraId="62229984"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-19.038</w:t>
            </w:r>
          </w:p>
        </w:tc>
        <w:tc>
          <w:tcPr>
            <w:tcW w:w="1060" w:type="dxa"/>
            <w:shd w:val="clear" w:color="auto" w:fill="auto"/>
            <w:vAlign w:val="bottom"/>
          </w:tcPr>
          <w:p w14:paraId="6468474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3.456</w:t>
            </w:r>
          </w:p>
        </w:tc>
        <w:tc>
          <w:tcPr>
            <w:tcW w:w="1072" w:type="dxa"/>
            <w:shd w:val="clear" w:color="auto" w:fill="auto"/>
            <w:vAlign w:val="bottom"/>
          </w:tcPr>
          <w:p w14:paraId="0F833EF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-0.631</w:t>
            </w:r>
          </w:p>
        </w:tc>
        <w:tc>
          <w:tcPr>
            <w:tcW w:w="938" w:type="dxa"/>
            <w:shd w:val="clear" w:color="auto" w:fill="auto"/>
            <w:vAlign w:val="bottom"/>
          </w:tcPr>
          <w:p w14:paraId="3913713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9.180</w:t>
            </w:r>
          </w:p>
        </w:tc>
        <w:tc>
          <w:tcPr>
            <w:tcW w:w="1072" w:type="dxa"/>
            <w:gridSpan w:val="2"/>
            <w:shd w:val="clear" w:color="auto" w:fill="auto"/>
            <w:vAlign w:val="bottom"/>
          </w:tcPr>
          <w:p w14:paraId="39EAD22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475.759</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008DCC9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76.121</w:t>
            </w:r>
            <w:r w:rsidRPr="00FF6562">
              <w:rPr>
                <w:rFonts w:ascii="Times New Roman" w:eastAsia="Times New Roman" w:hAnsi="Times New Roman" w:cs="Times New Roman"/>
                <w:sz w:val="20"/>
                <w:szCs w:val="20"/>
                <w:vertAlign w:val="superscript"/>
                <w:lang w:eastAsia="en-GB"/>
              </w:rPr>
              <w:t>a</w:t>
            </w:r>
          </w:p>
        </w:tc>
        <w:tc>
          <w:tcPr>
            <w:tcW w:w="894" w:type="dxa"/>
            <w:gridSpan w:val="2"/>
            <w:shd w:val="clear" w:color="auto" w:fill="auto"/>
            <w:vAlign w:val="bottom"/>
          </w:tcPr>
          <w:p w14:paraId="5AEF425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-18.953</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27D1740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15938111" w14:textId="43EF99C8" w:rsidR="00815FA1" w:rsidRPr="00577E25" w:rsidRDefault="00935A89"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-18.863</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295DF79B" w14:textId="69C06946"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0.115</w:t>
            </w:r>
          </w:p>
        </w:tc>
        <w:tc>
          <w:tcPr>
            <w:tcW w:w="1151" w:type="dxa"/>
            <w:shd w:val="clear" w:color="auto" w:fill="auto"/>
            <w:vAlign w:val="bottom"/>
          </w:tcPr>
          <w:p w14:paraId="14F0C9D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0.132</w:t>
            </w:r>
          </w:p>
        </w:tc>
      </w:tr>
      <w:tr w:rsidR="00FA0603" w:rsidRPr="00FF6562" w14:paraId="345604AD" w14:textId="77777777" w:rsidTr="00FA0603">
        <w:trPr>
          <w:gridAfter w:val="1"/>
          <w:wAfter w:w="20" w:type="dxa"/>
          <w:trHeight w:val="152"/>
        </w:trPr>
        <w:tc>
          <w:tcPr>
            <w:tcW w:w="1608" w:type="dxa"/>
            <w:gridSpan w:val="2"/>
            <w:tcBorders>
              <w:top w:val="nil"/>
              <w:left w:val="nil"/>
              <w:bottom w:val="nil"/>
              <w:right w:val="nil"/>
            </w:tcBorders>
            <w:shd w:val="clear" w:color="auto" w:fill="auto"/>
            <w:vAlign w:val="center"/>
            <w:hideMark/>
          </w:tcPr>
          <w:p w14:paraId="45A8E179"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Financials </w:t>
            </w:r>
          </w:p>
        </w:tc>
        <w:tc>
          <w:tcPr>
            <w:tcW w:w="803" w:type="dxa"/>
            <w:shd w:val="clear" w:color="auto" w:fill="auto"/>
            <w:vAlign w:val="bottom"/>
            <w:hideMark/>
          </w:tcPr>
          <w:p w14:paraId="7ADEB91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0.062</w:t>
            </w:r>
          </w:p>
        </w:tc>
        <w:tc>
          <w:tcPr>
            <w:tcW w:w="1072" w:type="dxa"/>
            <w:shd w:val="clear" w:color="auto" w:fill="auto"/>
            <w:vAlign w:val="bottom"/>
          </w:tcPr>
          <w:p w14:paraId="4D6FBB4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14.827</w:t>
            </w:r>
          </w:p>
        </w:tc>
        <w:tc>
          <w:tcPr>
            <w:tcW w:w="1072" w:type="dxa"/>
            <w:shd w:val="clear" w:color="auto" w:fill="auto"/>
            <w:vAlign w:val="bottom"/>
          </w:tcPr>
          <w:p w14:paraId="526FE8C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-15.139</w:t>
            </w:r>
          </w:p>
        </w:tc>
        <w:tc>
          <w:tcPr>
            <w:tcW w:w="1060" w:type="dxa"/>
            <w:shd w:val="clear" w:color="auto" w:fill="auto"/>
            <w:vAlign w:val="bottom"/>
          </w:tcPr>
          <w:p w14:paraId="2A41382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2.768</w:t>
            </w:r>
          </w:p>
        </w:tc>
        <w:tc>
          <w:tcPr>
            <w:tcW w:w="1072" w:type="dxa"/>
            <w:shd w:val="clear" w:color="auto" w:fill="auto"/>
            <w:vAlign w:val="bottom"/>
          </w:tcPr>
          <w:p w14:paraId="2313728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-0.383</w:t>
            </w:r>
          </w:p>
        </w:tc>
        <w:tc>
          <w:tcPr>
            <w:tcW w:w="938" w:type="dxa"/>
            <w:shd w:val="clear" w:color="auto" w:fill="auto"/>
            <w:vAlign w:val="bottom"/>
          </w:tcPr>
          <w:p w14:paraId="3C1C85E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11.400</w:t>
            </w:r>
          </w:p>
        </w:tc>
        <w:tc>
          <w:tcPr>
            <w:tcW w:w="1072" w:type="dxa"/>
            <w:gridSpan w:val="2"/>
            <w:shd w:val="clear" w:color="auto" w:fill="auto"/>
            <w:vAlign w:val="bottom"/>
          </w:tcPr>
          <w:p w14:paraId="2D49838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850.877</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784783A4"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186.660</w:t>
            </w:r>
            <w:r w:rsidRPr="00FF6562">
              <w:rPr>
                <w:rFonts w:ascii="Times New Roman" w:eastAsia="Times New Roman" w:hAnsi="Times New Roman" w:cs="Times New Roman"/>
                <w:sz w:val="20"/>
                <w:szCs w:val="20"/>
                <w:vertAlign w:val="superscript"/>
                <w:lang w:eastAsia="en-GB"/>
              </w:rPr>
              <w:t>a</w:t>
            </w:r>
          </w:p>
        </w:tc>
        <w:tc>
          <w:tcPr>
            <w:tcW w:w="894" w:type="dxa"/>
            <w:gridSpan w:val="2"/>
            <w:shd w:val="clear" w:color="auto" w:fill="auto"/>
            <w:vAlign w:val="bottom"/>
          </w:tcPr>
          <w:p w14:paraId="6A92343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-6.390</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05EA3C1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4B75890D" w14:textId="059E2C37" w:rsidR="00815FA1" w:rsidRPr="00577E25" w:rsidRDefault="00935A89"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-23.031</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0610CA01" w14:textId="56CB2C76"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0.152</w:t>
            </w:r>
          </w:p>
        </w:tc>
        <w:tc>
          <w:tcPr>
            <w:tcW w:w="1151" w:type="dxa"/>
            <w:shd w:val="clear" w:color="auto" w:fill="auto"/>
            <w:vAlign w:val="bottom"/>
          </w:tcPr>
          <w:p w14:paraId="4D2234F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0.153</w:t>
            </w:r>
          </w:p>
        </w:tc>
      </w:tr>
      <w:tr w:rsidR="00FA0603" w:rsidRPr="00FF6562" w14:paraId="057E3958" w14:textId="77777777" w:rsidTr="00FA0603">
        <w:trPr>
          <w:gridAfter w:val="1"/>
          <w:wAfter w:w="20" w:type="dxa"/>
          <w:trHeight w:val="152"/>
        </w:trPr>
        <w:tc>
          <w:tcPr>
            <w:tcW w:w="1608" w:type="dxa"/>
            <w:gridSpan w:val="2"/>
            <w:tcBorders>
              <w:top w:val="nil"/>
              <w:left w:val="nil"/>
              <w:bottom w:val="nil"/>
              <w:right w:val="nil"/>
            </w:tcBorders>
            <w:shd w:val="clear" w:color="auto" w:fill="auto"/>
            <w:vAlign w:val="center"/>
            <w:hideMark/>
          </w:tcPr>
          <w:p w14:paraId="62FE35B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Health Care</w:t>
            </w:r>
          </w:p>
        </w:tc>
        <w:tc>
          <w:tcPr>
            <w:tcW w:w="803" w:type="dxa"/>
            <w:shd w:val="clear" w:color="auto" w:fill="auto"/>
            <w:vAlign w:val="bottom"/>
            <w:hideMark/>
          </w:tcPr>
          <w:p w14:paraId="4D608C2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0.025</w:t>
            </w:r>
          </w:p>
        </w:tc>
        <w:tc>
          <w:tcPr>
            <w:tcW w:w="1072" w:type="dxa"/>
            <w:shd w:val="clear" w:color="auto" w:fill="auto"/>
            <w:vAlign w:val="bottom"/>
          </w:tcPr>
          <w:p w14:paraId="0BED444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5.969</w:t>
            </w:r>
          </w:p>
        </w:tc>
        <w:tc>
          <w:tcPr>
            <w:tcW w:w="1072" w:type="dxa"/>
            <w:shd w:val="clear" w:color="auto" w:fill="auto"/>
            <w:vAlign w:val="bottom"/>
          </w:tcPr>
          <w:p w14:paraId="286133A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-7.591</w:t>
            </w:r>
          </w:p>
        </w:tc>
        <w:tc>
          <w:tcPr>
            <w:tcW w:w="1060" w:type="dxa"/>
            <w:shd w:val="clear" w:color="auto" w:fill="auto"/>
            <w:vAlign w:val="bottom"/>
          </w:tcPr>
          <w:p w14:paraId="3407820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1.437</w:t>
            </w:r>
          </w:p>
        </w:tc>
        <w:tc>
          <w:tcPr>
            <w:tcW w:w="1072" w:type="dxa"/>
            <w:shd w:val="clear" w:color="auto" w:fill="auto"/>
            <w:vAlign w:val="bottom"/>
          </w:tcPr>
          <w:p w14:paraId="1F144A1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-0.376</w:t>
            </w:r>
          </w:p>
        </w:tc>
        <w:tc>
          <w:tcPr>
            <w:tcW w:w="938" w:type="dxa"/>
            <w:shd w:val="clear" w:color="auto" w:fill="auto"/>
            <w:vAlign w:val="bottom"/>
          </w:tcPr>
          <w:p w14:paraId="686C393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8.748</w:t>
            </w:r>
          </w:p>
        </w:tc>
        <w:tc>
          <w:tcPr>
            <w:tcW w:w="1072" w:type="dxa"/>
            <w:gridSpan w:val="2"/>
            <w:shd w:val="clear" w:color="auto" w:fill="auto"/>
            <w:vAlign w:val="bottom"/>
          </w:tcPr>
          <w:p w14:paraId="1ADCB8E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401.871</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20AEEE7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121.510</w:t>
            </w:r>
            <w:r w:rsidRPr="00FF6562">
              <w:rPr>
                <w:rFonts w:ascii="Times New Roman" w:eastAsia="Times New Roman" w:hAnsi="Times New Roman" w:cs="Times New Roman"/>
                <w:sz w:val="20"/>
                <w:szCs w:val="20"/>
                <w:vertAlign w:val="superscript"/>
                <w:lang w:eastAsia="en-GB"/>
              </w:rPr>
              <w:t>a</w:t>
            </w:r>
          </w:p>
        </w:tc>
        <w:tc>
          <w:tcPr>
            <w:tcW w:w="894" w:type="dxa"/>
            <w:gridSpan w:val="2"/>
            <w:shd w:val="clear" w:color="auto" w:fill="auto"/>
            <w:vAlign w:val="bottom"/>
          </w:tcPr>
          <w:p w14:paraId="71FEC53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-10.383</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55E17A9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60125DA5" w14:textId="307709D0" w:rsidR="00815FA1" w:rsidRPr="00577E25" w:rsidRDefault="00935A89"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-19.631</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4629E7EC" w14:textId="77179DEC"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0.169</w:t>
            </w:r>
          </w:p>
        </w:tc>
        <w:tc>
          <w:tcPr>
            <w:tcW w:w="1151" w:type="dxa"/>
            <w:shd w:val="clear" w:color="auto" w:fill="auto"/>
            <w:vAlign w:val="bottom"/>
          </w:tcPr>
          <w:p w14:paraId="50B3317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0.153</w:t>
            </w:r>
          </w:p>
        </w:tc>
      </w:tr>
      <w:tr w:rsidR="00FA0603" w:rsidRPr="00FF6562" w14:paraId="40D1D647" w14:textId="77777777" w:rsidTr="00FA0603">
        <w:trPr>
          <w:gridAfter w:val="1"/>
          <w:wAfter w:w="20" w:type="dxa"/>
          <w:trHeight w:val="152"/>
        </w:trPr>
        <w:tc>
          <w:tcPr>
            <w:tcW w:w="1608" w:type="dxa"/>
            <w:gridSpan w:val="2"/>
            <w:tcBorders>
              <w:top w:val="nil"/>
              <w:left w:val="nil"/>
              <w:bottom w:val="nil"/>
              <w:right w:val="nil"/>
            </w:tcBorders>
            <w:shd w:val="clear" w:color="auto" w:fill="auto"/>
            <w:vAlign w:val="center"/>
            <w:hideMark/>
          </w:tcPr>
          <w:p w14:paraId="566A898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Industrials </w:t>
            </w:r>
          </w:p>
        </w:tc>
        <w:tc>
          <w:tcPr>
            <w:tcW w:w="803" w:type="dxa"/>
            <w:shd w:val="clear" w:color="auto" w:fill="auto"/>
            <w:vAlign w:val="bottom"/>
            <w:hideMark/>
          </w:tcPr>
          <w:p w14:paraId="502B18D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0.025</w:t>
            </w:r>
          </w:p>
        </w:tc>
        <w:tc>
          <w:tcPr>
            <w:tcW w:w="1072" w:type="dxa"/>
            <w:shd w:val="clear" w:color="auto" w:fill="auto"/>
            <w:vAlign w:val="bottom"/>
          </w:tcPr>
          <w:p w14:paraId="20641824"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10.429</w:t>
            </w:r>
          </w:p>
        </w:tc>
        <w:tc>
          <w:tcPr>
            <w:tcW w:w="1072" w:type="dxa"/>
            <w:shd w:val="clear" w:color="auto" w:fill="auto"/>
            <w:vAlign w:val="bottom"/>
          </w:tcPr>
          <w:p w14:paraId="3AFEED7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-10.732</w:t>
            </w:r>
          </w:p>
        </w:tc>
        <w:tc>
          <w:tcPr>
            <w:tcW w:w="1060" w:type="dxa"/>
            <w:shd w:val="clear" w:color="auto" w:fill="auto"/>
            <w:vAlign w:val="bottom"/>
          </w:tcPr>
          <w:p w14:paraId="60E9375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1.907</w:t>
            </w:r>
          </w:p>
        </w:tc>
        <w:tc>
          <w:tcPr>
            <w:tcW w:w="1072" w:type="dxa"/>
            <w:shd w:val="clear" w:color="auto" w:fill="auto"/>
            <w:vAlign w:val="bottom"/>
          </w:tcPr>
          <w:p w14:paraId="6DFCCC29"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-0.677</w:t>
            </w:r>
          </w:p>
        </w:tc>
        <w:tc>
          <w:tcPr>
            <w:tcW w:w="938" w:type="dxa"/>
            <w:shd w:val="clear" w:color="auto" w:fill="auto"/>
            <w:vAlign w:val="bottom"/>
          </w:tcPr>
          <w:p w14:paraId="16312CA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12.069</w:t>
            </w:r>
          </w:p>
        </w:tc>
        <w:tc>
          <w:tcPr>
            <w:tcW w:w="1072" w:type="dxa"/>
            <w:gridSpan w:val="2"/>
            <w:shd w:val="clear" w:color="auto" w:fill="auto"/>
            <w:vAlign w:val="bottom"/>
          </w:tcPr>
          <w:p w14:paraId="778A713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1005.370</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1525F219"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85.827</w:t>
            </w:r>
            <w:r w:rsidRPr="00FF6562">
              <w:rPr>
                <w:rFonts w:ascii="Times New Roman" w:eastAsia="Times New Roman" w:hAnsi="Times New Roman" w:cs="Times New Roman"/>
                <w:sz w:val="20"/>
                <w:szCs w:val="20"/>
                <w:vertAlign w:val="superscript"/>
                <w:lang w:eastAsia="en-GB"/>
              </w:rPr>
              <w:t>a</w:t>
            </w:r>
          </w:p>
        </w:tc>
        <w:tc>
          <w:tcPr>
            <w:tcW w:w="894" w:type="dxa"/>
            <w:gridSpan w:val="2"/>
            <w:shd w:val="clear" w:color="auto" w:fill="auto"/>
            <w:vAlign w:val="bottom"/>
          </w:tcPr>
          <w:p w14:paraId="6BC555A9"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-5.310</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0C74378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6D3E24BD" w14:textId="16A20517" w:rsidR="00815FA1" w:rsidRPr="00577E25" w:rsidRDefault="00935A89"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-16.968</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6182BE5C" w14:textId="3B9F66F9"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0.151</w:t>
            </w:r>
          </w:p>
        </w:tc>
        <w:tc>
          <w:tcPr>
            <w:tcW w:w="1151" w:type="dxa"/>
            <w:shd w:val="clear" w:color="auto" w:fill="auto"/>
            <w:vAlign w:val="bottom"/>
          </w:tcPr>
          <w:p w14:paraId="6FCDAF7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0.188</w:t>
            </w:r>
          </w:p>
        </w:tc>
      </w:tr>
      <w:tr w:rsidR="00FA0603" w:rsidRPr="00FF6562" w14:paraId="220666E1" w14:textId="77777777" w:rsidTr="00FA0603">
        <w:trPr>
          <w:gridAfter w:val="1"/>
          <w:wAfter w:w="20" w:type="dxa"/>
          <w:trHeight w:val="152"/>
        </w:trPr>
        <w:tc>
          <w:tcPr>
            <w:tcW w:w="1608" w:type="dxa"/>
            <w:gridSpan w:val="2"/>
            <w:tcBorders>
              <w:top w:val="nil"/>
              <w:left w:val="nil"/>
              <w:bottom w:val="nil"/>
              <w:right w:val="nil"/>
            </w:tcBorders>
            <w:shd w:val="clear" w:color="auto" w:fill="auto"/>
            <w:vAlign w:val="center"/>
            <w:hideMark/>
          </w:tcPr>
          <w:p w14:paraId="4D163E7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Information Tech.</w:t>
            </w:r>
          </w:p>
        </w:tc>
        <w:tc>
          <w:tcPr>
            <w:tcW w:w="803" w:type="dxa"/>
            <w:shd w:val="clear" w:color="auto" w:fill="auto"/>
            <w:vAlign w:val="bottom"/>
            <w:hideMark/>
          </w:tcPr>
          <w:p w14:paraId="6967C29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0.112</w:t>
            </w:r>
          </w:p>
        </w:tc>
        <w:tc>
          <w:tcPr>
            <w:tcW w:w="1072" w:type="dxa"/>
            <w:shd w:val="clear" w:color="auto" w:fill="auto"/>
            <w:vAlign w:val="bottom"/>
          </w:tcPr>
          <w:p w14:paraId="4CA1B0E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9.588</w:t>
            </w:r>
          </w:p>
        </w:tc>
        <w:tc>
          <w:tcPr>
            <w:tcW w:w="1072" w:type="dxa"/>
            <w:shd w:val="clear" w:color="auto" w:fill="auto"/>
            <w:vAlign w:val="bottom"/>
          </w:tcPr>
          <w:p w14:paraId="720CDD7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-13.011</w:t>
            </w:r>
          </w:p>
        </w:tc>
        <w:tc>
          <w:tcPr>
            <w:tcW w:w="1060" w:type="dxa"/>
            <w:shd w:val="clear" w:color="auto" w:fill="auto"/>
            <w:vAlign w:val="bottom"/>
          </w:tcPr>
          <w:p w14:paraId="729923F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2.216</w:t>
            </w:r>
          </w:p>
        </w:tc>
        <w:tc>
          <w:tcPr>
            <w:tcW w:w="1072" w:type="dxa"/>
            <w:shd w:val="clear" w:color="auto" w:fill="auto"/>
            <w:vAlign w:val="bottom"/>
          </w:tcPr>
          <w:p w14:paraId="7806107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-0.673</w:t>
            </w:r>
          </w:p>
        </w:tc>
        <w:tc>
          <w:tcPr>
            <w:tcW w:w="938" w:type="dxa"/>
            <w:shd w:val="clear" w:color="auto" w:fill="auto"/>
            <w:vAlign w:val="bottom"/>
          </w:tcPr>
          <w:p w14:paraId="1BB3E0E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10.547</w:t>
            </w:r>
          </w:p>
        </w:tc>
        <w:tc>
          <w:tcPr>
            <w:tcW w:w="1072" w:type="dxa"/>
            <w:gridSpan w:val="2"/>
            <w:shd w:val="clear" w:color="auto" w:fill="auto"/>
            <w:vAlign w:val="bottom"/>
          </w:tcPr>
          <w:p w14:paraId="5EC7049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702.765</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1408AB9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171.109</w:t>
            </w:r>
            <w:r w:rsidRPr="00FF6562">
              <w:rPr>
                <w:rFonts w:ascii="Times New Roman" w:eastAsia="Times New Roman" w:hAnsi="Times New Roman" w:cs="Times New Roman"/>
                <w:sz w:val="20"/>
                <w:szCs w:val="20"/>
                <w:vertAlign w:val="superscript"/>
                <w:lang w:eastAsia="en-GB"/>
              </w:rPr>
              <w:t>a</w:t>
            </w:r>
          </w:p>
        </w:tc>
        <w:tc>
          <w:tcPr>
            <w:tcW w:w="894" w:type="dxa"/>
            <w:gridSpan w:val="2"/>
            <w:shd w:val="clear" w:color="auto" w:fill="auto"/>
            <w:vAlign w:val="bottom"/>
          </w:tcPr>
          <w:p w14:paraId="2BAB8E4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-23.823</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6F7F26F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1A28E729" w14:textId="64DB51C9" w:rsidR="00815FA1" w:rsidRPr="00577E25" w:rsidRDefault="00935A89"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-23.126</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7C07C43F" w14:textId="04144F0A"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0.162</w:t>
            </w:r>
          </w:p>
        </w:tc>
        <w:tc>
          <w:tcPr>
            <w:tcW w:w="1151" w:type="dxa"/>
            <w:shd w:val="clear" w:color="auto" w:fill="auto"/>
            <w:vAlign w:val="bottom"/>
          </w:tcPr>
          <w:p w14:paraId="5100AD5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0.171</w:t>
            </w:r>
          </w:p>
        </w:tc>
      </w:tr>
      <w:tr w:rsidR="00FA0603" w:rsidRPr="00FF6562" w14:paraId="21B13A53" w14:textId="77777777" w:rsidTr="00FA0603">
        <w:trPr>
          <w:gridAfter w:val="1"/>
          <w:wAfter w:w="20" w:type="dxa"/>
          <w:trHeight w:val="152"/>
        </w:trPr>
        <w:tc>
          <w:tcPr>
            <w:tcW w:w="1608" w:type="dxa"/>
            <w:gridSpan w:val="2"/>
            <w:tcBorders>
              <w:top w:val="nil"/>
              <w:left w:val="nil"/>
              <w:bottom w:val="nil"/>
              <w:right w:val="nil"/>
            </w:tcBorders>
            <w:shd w:val="clear" w:color="auto" w:fill="auto"/>
            <w:vAlign w:val="center"/>
            <w:hideMark/>
          </w:tcPr>
          <w:p w14:paraId="6AA586C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Materials </w:t>
            </w:r>
          </w:p>
        </w:tc>
        <w:tc>
          <w:tcPr>
            <w:tcW w:w="803" w:type="dxa"/>
            <w:shd w:val="clear" w:color="auto" w:fill="auto"/>
            <w:vAlign w:val="bottom"/>
            <w:hideMark/>
          </w:tcPr>
          <w:p w14:paraId="6B304D3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0.059</w:t>
            </w:r>
          </w:p>
        </w:tc>
        <w:tc>
          <w:tcPr>
            <w:tcW w:w="1072" w:type="dxa"/>
            <w:shd w:val="clear" w:color="auto" w:fill="auto"/>
            <w:vAlign w:val="bottom"/>
          </w:tcPr>
          <w:p w14:paraId="3710324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9.408</w:t>
            </w:r>
          </w:p>
        </w:tc>
        <w:tc>
          <w:tcPr>
            <w:tcW w:w="1072" w:type="dxa"/>
            <w:shd w:val="clear" w:color="auto" w:fill="auto"/>
            <w:vAlign w:val="bottom"/>
          </w:tcPr>
          <w:p w14:paraId="03654687"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-9.914</w:t>
            </w:r>
          </w:p>
        </w:tc>
        <w:tc>
          <w:tcPr>
            <w:tcW w:w="1060" w:type="dxa"/>
            <w:shd w:val="clear" w:color="auto" w:fill="auto"/>
            <w:vAlign w:val="bottom"/>
          </w:tcPr>
          <w:p w14:paraId="5F4F6B2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1.712</w:t>
            </w:r>
          </w:p>
        </w:tc>
        <w:tc>
          <w:tcPr>
            <w:tcW w:w="1072" w:type="dxa"/>
            <w:shd w:val="clear" w:color="auto" w:fill="auto"/>
            <w:vAlign w:val="bottom"/>
          </w:tcPr>
          <w:p w14:paraId="04CDB2C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-0.885</w:t>
            </w:r>
          </w:p>
        </w:tc>
        <w:tc>
          <w:tcPr>
            <w:tcW w:w="938" w:type="dxa"/>
            <w:shd w:val="clear" w:color="auto" w:fill="auto"/>
            <w:vAlign w:val="bottom"/>
          </w:tcPr>
          <w:p w14:paraId="62500AF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12.067</w:t>
            </w:r>
          </w:p>
        </w:tc>
        <w:tc>
          <w:tcPr>
            <w:tcW w:w="1072" w:type="dxa"/>
            <w:gridSpan w:val="2"/>
            <w:shd w:val="clear" w:color="auto" w:fill="auto"/>
            <w:vAlign w:val="bottom"/>
          </w:tcPr>
          <w:p w14:paraId="33C209B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1020.463</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35FC673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74.327</w:t>
            </w:r>
            <w:r w:rsidRPr="00FF6562">
              <w:rPr>
                <w:rFonts w:ascii="Times New Roman" w:eastAsia="Times New Roman" w:hAnsi="Times New Roman" w:cs="Times New Roman"/>
                <w:sz w:val="20"/>
                <w:szCs w:val="20"/>
                <w:vertAlign w:val="superscript"/>
                <w:lang w:eastAsia="en-GB"/>
              </w:rPr>
              <w:t>a</w:t>
            </w:r>
          </w:p>
        </w:tc>
        <w:tc>
          <w:tcPr>
            <w:tcW w:w="894" w:type="dxa"/>
            <w:gridSpan w:val="2"/>
            <w:shd w:val="clear" w:color="auto" w:fill="auto"/>
            <w:vAlign w:val="bottom"/>
          </w:tcPr>
          <w:p w14:paraId="2F113EE4"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-9.892</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43A67F5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5491AF54" w14:textId="788366ED" w:rsidR="00815FA1" w:rsidRPr="00577E25" w:rsidRDefault="00935A89"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-17.578</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65708752" w14:textId="2E38D009"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0.201</w:t>
            </w:r>
          </w:p>
        </w:tc>
        <w:tc>
          <w:tcPr>
            <w:tcW w:w="1151" w:type="dxa"/>
            <w:shd w:val="clear" w:color="auto" w:fill="auto"/>
            <w:vAlign w:val="bottom"/>
          </w:tcPr>
          <w:p w14:paraId="290436A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0.198</w:t>
            </w:r>
          </w:p>
        </w:tc>
      </w:tr>
      <w:tr w:rsidR="00FA0603" w:rsidRPr="00FF6562" w14:paraId="393B71C5" w14:textId="77777777" w:rsidTr="00FA0603">
        <w:trPr>
          <w:gridAfter w:val="1"/>
          <w:wAfter w:w="20" w:type="dxa"/>
          <w:trHeight w:val="152"/>
        </w:trPr>
        <w:tc>
          <w:tcPr>
            <w:tcW w:w="1608" w:type="dxa"/>
            <w:gridSpan w:val="2"/>
            <w:tcBorders>
              <w:top w:val="nil"/>
              <w:left w:val="nil"/>
              <w:bottom w:val="nil"/>
              <w:right w:val="nil"/>
            </w:tcBorders>
            <w:shd w:val="clear" w:color="auto" w:fill="auto"/>
            <w:vAlign w:val="center"/>
            <w:hideMark/>
          </w:tcPr>
          <w:p w14:paraId="2717489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Real Estate</w:t>
            </w:r>
          </w:p>
        </w:tc>
        <w:tc>
          <w:tcPr>
            <w:tcW w:w="803" w:type="dxa"/>
            <w:shd w:val="clear" w:color="auto" w:fill="auto"/>
            <w:vAlign w:val="bottom"/>
            <w:hideMark/>
          </w:tcPr>
          <w:p w14:paraId="4348727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-0.010</w:t>
            </w:r>
          </w:p>
        </w:tc>
        <w:tc>
          <w:tcPr>
            <w:tcW w:w="1072" w:type="dxa"/>
            <w:shd w:val="clear" w:color="auto" w:fill="auto"/>
            <w:vAlign w:val="bottom"/>
          </w:tcPr>
          <w:p w14:paraId="4D5B2B9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7.927</w:t>
            </w:r>
          </w:p>
        </w:tc>
        <w:tc>
          <w:tcPr>
            <w:tcW w:w="1072" w:type="dxa"/>
            <w:shd w:val="clear" w:color="auto" w:fill="auto"/>
            <w:vAlign w:val="bottom"/>
          </w:tcPr>
          <w:p w14:paraId="3DA5530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-14.609</w:t>
            </w:r>
          </w:p>
        </w:tc>
        <w:tc>
          <w:tcPr>
            <w:tcW w:w="1060" w:type="dxa"/>
            <w:shd w:val="clear" w:color="auto" w:fill="auto"/>
            <w:vAlign w:val="bottom"/>
          </w:tcPr>
          <w:p w14:paraId="0A6FB68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2.108</w:t>
            </w:r>
          </w:p>
        </w:tc>
        <w:tc>
          <w:tcPr>
            <w:tcW w:w="1072" w:type="dxa"/>
            <w:shd w:val="clear" w:color="auto" w:fill="auto"/>
            <w:vAlign w:val="bottom"/>
          </w:tcPr>
          <w:p w14:paraId="7AB8F66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-0.798</w:t>
            </w:r>
          </w:p>
        </w:tc>
        <w:tc>
          <w:tcPr>
            <w:tcW w:w="938" w:type="dxa"/>
            <w:shd w:val="clear" w:color="auto" w:fill="auto"/>
            <w:vAlign w:val="bottom"/>
          </w:tcPr>
          <w:p w14:paraId="24D0FC0C"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12.832</w:t>
            </w:r>
          </w:p>
        </w:tc>
        <w:tc>
          <w:tcPr>
            <w:tcW w:w="1072" w:type="dxa"/>
            <w:gridSpan w:val="2"/>
            <w:shd w:val="clear" w:color="auto" w:fill="auto"/>
            <w:vAlign w:val="bottom"/>
          </w:tcPr>
          <w:p w14:paraId="00622850"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1186.485</w:t>
            </w:r>
            <w:r w:rsidRPr="00FF6562">
              <w:rPr>
                <w:rFonts w:ascii="Times New Roman" w:eastAsia="Times New Roman" w:hAnsi="Times New Roman" w:cs="Times New Roman"/>
                <w:sz w:val="20"/>
                <w:szCs w:val="20"/>
                <w:vertAlign w:val="superscript"/>
                <w:lang w:eastAsia="en-GB"/>
              </w:rPr>
              <w:t>a</w:t>
            </w:r>
          </w:p>
        </w:tc>
        <w:tc>
          <w:tcPr>
            <w:tcW w:w="938" w:type="dxa"/>
            <w:shd w:val="clear" w:color="auto" w:fill="auto"/>
            <w:vAlign w:val="bottom"/>
          </w:tcPr>
          <w:p w14:paraId="50B13145"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108.400</w:t>
            </w:r>
            <w:r w:rsidRPr="00FF6562">
              <w:rPr>
                <w:rFonts w:ascii="Times New Roman" w:eastAsia="Times New Roman" w:hAnsi="Times New Roman" w:cs="Times New Roman"/>
                <w:sz w:val="20"/>
                <w:szCs w:val="20"/>
                <w:vertAlign w:val="superscript"/>
                <w:lang w:eastAsia="en-GB"/>
              </w:rPr>
              <w:t>a</w:t>
            </w:r>
          </w:p>
        </w:tc>
        <w:tc>
          <w:tcPr>
            <w:tcW w:w="894" w:type="dxa"/>
            <w:gridSpan w:val="2"/>
            <w:shd w:val="clear" w:color="auto" w:fill="auto"/>
            <w:vAlign w:val="bottom"/>
          </w:tcPr>
          <w:p w14:paraId="38BC045A"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-9.618</w:t>
            </w:r>
            <w:r w:rsidRPr="00FF6562">
              <w:rPr>
                <w:rFonts w:ascii="Times New Roman" w:eastAsia="Times New Roman" w:hAnsi="Times New Roman" w:cs="Times New Roman"/>
                <w:sz w:val="20"/>
                <w:szCs w:val="20"/>
                <w:vertAlign w:val="superscript"/>
                <w:lang w:eastAsia="en-GB"/>
              </w:rPr>
              <w:t>a</w:t>
            </w:r>
          </w:p>
        </w:tc>
        <w:tc>
          <w:tcPr>
            <w:tcW w:w="311" w:type="dxa"/>
            <w:shd w:val="clear" w:color="auto" w:fill="auto"/>
            <w:vAlign w:val="bottom"/>
          </w:tcPr>
          <w:p w14:paraId="1FFFC23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Pr>
          <w:p w14:paraId="3E9936B9" w14:textId="1C8FDCD7" w:rsidR="00815FA1" w:rsidRPr="00577E25" w:rsidRDefault="00935A89"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-20.734</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shd w:val="clear" w:color="auto" w:fill="auto"/>
            <w:vAlign w:val="bottom"/>
          </w:tcPr>
          <w:p w14:paraId="31CAA9CC" w14:textId="73FFFCFC"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0.089</w:t>
            </w:r>
          </w:p>
        </w:tc>
        <w:tc>
          <w:tcPr>
            <w:tcW w:w="1151" w:type="dxa"/>
            <w:shd w:val="clear" w:color="auto" w:fill="auto"/>
            <w:vAlign w:val="bottom"/>
          </w:tcPr>
          <w:p w14:paraId="46E0CD94"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0.189</w:t>
            </w:r>
          </w:p>
        </w:tc>
      </w:tr>
      <w:tr w:rsidR="00FA0603" w:rsidRPr="00FF6562" w14:paraId="6217321A" w14:textId="77777777" w:rsidTr="00FA0603">
        <w:trPr>
          <w:gridAfter w:val="1"/>
          <w:wAfter w:w="20" w:type="dxa"/>
          <w:trHeight w:val="152"/>
        </w:trPr>
        <w:tc>
          <w:tcPr>
            <w:tcW w:w="1608" w:type="dxa"/>
            <w:gridSpan w:val="2"/>
            <w:tcBorders>
              <w:top w:val="nil"/>
              <w:left w:val="nil"/>
              <w:bottom w:val="single" w:sz="4" w:space="0" w:color="auto"/>
              <w:right w:val="nil"/>
            </w:tcBorders>
            <w:shd w:val="clear" w:color="auto" w:fill="auto"/>
            <w:vAlign w:val="center"/>
            <w:hideMark/>
          </w:tcPr>
          <w:p w14:paraId="3888659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hAnsi="Times New Roman" w:cs="Times New Roman"/>
                <w:sz w:val="20"/>
                <w:szCs w:val="20"/>
              </w:rPr>
              <w:t>Utilities</w:t>
            </w:r>
          </w:p>
        </w:tc>
        <w:tc>
          <w:tcPr>
            <w:tcW w:w="803" w:type="dxa"/>
            <w:tcBorders>
              <w:bottom w:val="single" w:sz="4" w:space="0" w:color="auto"/>
            </w:tcBorders>
            <w:shd w:val="clear" w:color="auto" w:fill="auto"/>
            <w:vAlign w:val="bottom"/>
            <w:hideMark/>
          </w:tcPr>
          <w:p w14:paraId="63AE0F3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0.010</w:t>
            </w:r>
          </w:p>
        </w:tc>
        <w:tc>
          <w:tcPr>
            <w:tcW w:w="1072" w:type="dxa"/>
            <w:tcBorders>
              <w:bottom w:val="single" w:sz="4" w:space="0" w:color="auto"/>
            </w:tcBorders>
            <w:shd w:val="clear" w:color="auto" w:fill="auto"/>
            <w:vAlign w:val="bottom"/>
          </w:tcPr>
          <w:p w14:paraId="278ACE7B"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3.952</w:t>
            </w:r>
          </w:p>
        </w:tc>
        <w:tc>
          <w:tcPr>
            <w:tcW w:w="1072" w:type="dxa"/>
            <w:tcBorders>
              <w:bottom w:val="single" w:sz="4" w:space="0" w:color="auto"/>
            </w:tcBorders>
            <w:shd w:val="clear" w:color="auto" w:fill="auto"/>
            <w:vAlign w:val="bottom"/>
          </w:tcPr>
          <w:p w14:paraId="1320172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-6.183</w:t>
            </w:r>
          </w:p>
        </w:tc>
        <w:tc>
          <w:tcPr>
            <w:tcW w:w="1060" w:type="dxa"/>
            <w:tcBorders>
              <w:bottom w:val="single" w:sz="4" w:space="0" w:color="auto"/>
            </w:tcBorders>
            <w:shd w:val="clear" w:color="auto" w:fill="auto"/>
            <w:vAlign w:val="bottom"/>
          </w:tcPr>
          <w:p w14:paraId="51261906"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1.285</w:t>
            </w:r>
          </w:p>
        </w:tc>
        <w:tc>
          <w:tcPr>
            <w:tcW w:w="1072" w:type="dxa"/>
            <w:tcBorders>
              <w:bottom w:val="single" w:sz="4" w:space="0" w:color="auto"/>
            </w:tcBorders>
            <w:shd w:val="clear" w:color="auto" w:fill="auto"/>
            <w:vAlign w:val="bottom"/>
          </w:tcPr>
          <w:p w14:paraId="3D9AE8CD"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-0.319</w:t>
            </w:r>
          </w:p>
        </w:tc>
        <w:tc>
          <w:tcPr>
            <w:tcW w:w="938" w:type="dxa"/>
            <w:tcBorders>
              <w:bottom w:val="single" w:sz="4" w:space="0" w:color="auto"/>
            </w:tcBorders>
            <w:shd w:val="clear" w:color="auto" w:fill="auto"/>
            <w:vAlign w:val="bottom"/>
          </w:tcPr>
          <w:p w14:paraId="7AE1D058"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5.651</w:t>
            </w:r>
          </w:p>
        </w:tc>
        <w:tc>
          <w:tcPr>
            <w:tcW w:w="1072" w:type="dxa"/>
            <w:gridSpan w:val="2"/>
            <w:tcBorders>
              <w:bottom w:val="single" w:sz="4" w:space="0" w:color="auto"/>
            </w:tcBorders>
            <w:shd w:val="clear" w:color="auto" w:fill="auto"/>
            <w:vAlign w:val="bottom"/>
          </w:tcPr>
          <w:p w14:paraId="4402B1EF"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88.932</w:t>
            </w:r>
            <w:r w:rsidRPr="00FF6562">
              <w:rPr>
                <w:rFonts w:ascii="Times New Roman" w:eastAsia="Times New Roman" w:hAnsi="Times New Roman" w:cs="Times New Roman"/>
                <w:sz w:val="20"/>
                <w:szCs w:val="20"/>
                <w:vertAlign w:val="superscript"/>
                <w:lang w:eastAsia="en-GB"/>
              </w:rPr>
              <w:t>a</w:t>
            </w:r>
          </w:p>
        </w:tc>
        <w:tc>
          <w:tcPr>
            <w:tcW w:w="938" w:type="dxa"/>
            <w:tcBorders>
              <w:bottom w:val="single" w:sz="4" w:space="0" w:color="auto"/>
            </w:tcBorders>
            <w:shd w:val="clear" w:color="auto" w:fill="auto"/>
            <w:vAlign w:val="bottom"/>
          </w:tcPr>
          <w:p w14:paraId="3671024E"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27.480</w:t>
            </w:r>
          </w:p>
        </w:tc>
        <w:tc>
          <w:tcPr>
            <w:tcW w:w="894" w:type="dxa"/>
            <w:gridSpan w:val="2"/>
            <w:tcBorders>
              <w:bottom w:val="single" w:sz="4" w:space="0" w:color="auto"/>
            </w:tcBorders>
            <w:shd w:val="clear" w:color="auto" w:fill="auto"/>
            <w:vAlign w:val="bottom"/>
          </w:tcPr>
          <w:p w14:paraId="28723411"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-15.698</w:t>
            </w:r>
            <w:r w:rsidRPr="00FF6562">
              <w:rPr>
                <w:rFonts w:ascii="Times New Roman" w:eastAsia="Times New Roman" w:hAnsi="Times New Roman" w:cs="Times New Roman"/>
                <w:sz w:val="20"/>
                <w:szCs w:val="20"/>
                <w:vertAlign w:val="superscript"/>
                <w:lang w:eastAsia="en-GB"/>
              </w:rPr>
              <w:t>a</w:t>
            </w:r>
          </w:p>
        </w:tc>
        <w:tc>
          <w:tcPr>
            <w:tcW w:w="311" w:type="dxa"/>
            <w:tcBorders>
              <w:bottom w:val="single" w:sz="4" w:space="0" w:color="auto"/>
            </w:tcBorders>
            <w:shd w:val="clear" w:color="auto" w:fill="auto"/>
            <w:vAlign w:val="bottom"/>
          </w:tcPr>
          <w:p w14:paraId="40443FD3"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p>
        </w:tc>
        <w:tc>
          <w:tcPr>
            <w:tcW w:w="1072" w:type="dxa"/>
            <w:tcBorders>
              <w:bottom w:val="single" w:sz="4" w:space="0" w:color="auto"/>
            </w:tcBorders>
          </w:tcPr>
          <w:p w14:paraId="0C79A304" w14:textId="42070765" w:rsidR="00815FA1" w:rsidRPr="00577E25" w:rsidRDefault="001F3906" w:rsidP="00875EB5">
            <w:pPr>
              <w:spacing w:after="0" w:line="240" w:lineRule="auto"/>
              <w:rPr>
                <w:rFonts w:ascii="Times New Roman" w:eastAsia="Times New Roman" w:hAnsi="Times New Roman" w:cs="Times New Roman"/>
                <w:color w:val="0070C0"/>
                <w:sz w:val="20"/>
                <w:szCs w:val="20"/>
                <w:lang w:eastAsia="en-GB"/>
              </w:rPr>
            </w:pPr>
            <w:r w:rsidRPr="00577E25">
              <w:rPr>
                <w:rFonts w:ascii="Times New Roman" w:eastAsia="Times New Roman" w:hAnsi="Times New Roman" w:cs="Times New Roman"/>
                <w:color w:val="0070C0"/>
                <w:sz w:val="20"/>
                <w:szCs w:val="20"/>
                <w:lang w:eastAsia="en-GB"/>
              </w:rPr>
              <w:t>-15.771</w:t>
            </w:r>
            <w:r w:rsidR="000D6D39" w:rsidRPr="00577E25">
              <w:rPr>
                <w:rFonts w:ascii="Times New Roman" w:eastAsia="Times New Roman" w:hAnsi="Times New Roman" w:cs="Times New Roman"/>
                <w:color w:val="0070C0"/>
                <w:sz w:val="20"/>
                <w:szCs w:val="20"/>
                <w:vertAlign w:val="superscript"/>
                <w:lang w:eastAsia="en-GB"/>
              </w:rPr>
              <w:t>a</w:t>
            </w:r>
          </w:p>
        </w:tc>
        <w:tc>
          <w:tcPr>
            <w:tcW w:w="1072" w:type="dxa"/>
            <w:tcBorders>
              <w:bottom w:val="single" w:sz="4" w:space="0" w:color="auto"/>
            </w:tcBorders>
            <w:shd w:val="clear" w:color="auto" w:fill="auto"/>
            <w:vAlign w:val="bottom"/>
          </w:tcPr>
          <w:p w14:paraId="15515EB7" w14:textId="16D535B2"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0.080</w:t>
            </w:r>
          </w:p>
        </w:tc>
        <w:tc>
          <w:tcPr>
            <w:tcW w:w="1151" w:type="dxa"/>
            <w:tcBorders>
              <w:bottom w:val="single" w:sz="4" w:space="0" w:color="auto"/>
            </w:tcBorders>
            <w:shd w:val="clear" w:color="auto" w:fill="auto"/>
            <w:vAlign w:val="bottom"/>
          </w:tcPr>
          <w:p w14:paraId="6DAB5CE2" w14:textId="77777777" w:rsidR="00815FA1" w:rsidRPr="00FF6562" w:rsidRDefault="00815FA1"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0.034</w:t>
            </w:r>
          </w:p>
        </w:tc>
      </w:tr>
    </w:tbl>
    <w:p w14:paraId="5F53DF6E" w14:textId="77777777" w:rsidR="00297F06" w:rsidRPr="00FF6562" w:rsidRDefault="00297F06" w:rsidP="00297F06">
      <w:pPr>
        <w:rPr>
          <w:rFonts w:ascii="Times New Roman" w:hAnsi="Times New Roman" w:cs="Times New Roman"/>
          <w:sz w:val="18"/>
          <w:szCs w:val="18"/>
        </w:rPr>
      </w:pPr>
    </w:p>
    <w:p w14:paraId="2FAF6DA2" w14:textId="77777777" w:rsidR="00297F06" w:rsidRDefault="00297F06" w:rsidP="00297F06">
      <w:pPr>
        <w:spacing w:line="360" w:lineRule="auto"/>
        <w:jc w:val="both"/>
        <w:rPr>
          <w:rFonts w:ascii="Times New Roman" w:hAnsi="Times New Roman" w:cs="Times New Roman"/>
          <w:sz w:val="24"/>
          <w:szCs w:val="24"/>
        </w:rPr>
      </w:pPr>
    </w:p>
    <w:p w14:paraId="780D9E30" w14:textId="686DB6EE" w:rsidR="00297F06" w:rsidRPr="00E065F9" w:rsidRDefault="00297F06" w:rsidP="00F62D33">
      <w:pPr>
        <w:jc w:val="center"/>
        <w:rPr>
          <w:rFonts w:ascii="Times New Roman" w:hAnsi="Times New Roman" w:cs="Times New Roman"/>
        </w:rPr>
      </w:pPr>
      <w:r w:rsidRPr="00E065F9">
        <w:rPr>
          <w:rFonts w:ascii="Times New Roman" w:hAnsi="Times New Roman" w:cs="Times New Roman"/>
          <w:b/>
          <w:bCs/>
        </w:rPr>
        <w:t xml:space="preserve">Figure 1. </w:t>
      </w:r>
      <w:r>
        <w:rPr>
          <w:rFonts w:ascii="Times New Roman" w:hAnsi="Times New Roman" w:cs="Times New Roman"/>
        </w:rPr>
        <w:t>Price</w:t>
      </w:r>
      <w:r w:rsidR="00A56C42">
        <w:rPr>
          <w:rFonts w:ascii="Times New Roman" w:hAnsi="Times New Roman" w:cs="Times New Roman"/>
        </w:rPr>
        <w:t>s</w:t>
      </w:r>
    </w:p>
    <w:p w14:paraId="3D7A9C70" w14:textId="77777777" w:rsidR="00297F06" w:rsidRPr="00FF6562" w:rsidRDefault="00297F06" w:rsidP="006605CA">
      <w:pPr>
        <w:jc w:val="center"/>
        <w:rPr>
          <w:rFonts w:ascii="Times New Roman" w:hAnsi="Times New Roman" w:cs="Times New Roman"/>
        </w:rPr>
      </w:pPr>
      <w:r w:rsidRPr="00C20E0D">
        <w:rPr>
          <w:rFonts w:ascii="Times New Roman" w:hAnsi="Times New Roman" w:cs="Times New Roman"/>
          <w:noProof/>
        </w:rPr>
        <w:drawing>
          <wp:inline distT="0" distB="0" distL="0" distR="0" wp14:anchorId="4DCB6421" wp14:editId="09CC9377">
            <wp:extent cx="6484620" cy="393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4620" cy="3931920"/>
                    </a:xfrm>
                    <a:prstGeom prst="rect">
                      <a:avLst/>
                    </a:prstGeom>
                    <a:noFill/>
                    <a:ln>
                      <a:noFill/>
                    </a:ln>
                  </pic:spPr>
                </pic:pic>
              </a:graphicData>
            </a:graphic>
          </wp:inline>
        </w:drawing>
      </w:r>
    </w:p>
    <w:p w14:paraId="23D0380D" w14:textId="77777777" w:rsidR="00297F06" w:rsidRPr="00FF6562" w:rsidRDefault="00297F06" w:rsidP="00297F06">
      <w:pPr>
        <w:rPr>
          <w:rFonts w:ascii="Times New Roman" w:hAnsi="Times New Roman" w:cs="Times New Roman"/>
        </w:rPr>
      </w:pPr>
    </w:p>
    <w:p w14:paraId="06030984" w14:textId="0841E0A6" w:rsidR="00297F06" w:rsidRDefault="00297F06" w:rsidP="00297F06">
      <w:pPr>
        <w:rPr>
          <w:rFonts w:ascii="Times New Roman" w:hAnsi="Times New Roman" w:cs="Times New Roman"/>
        </w:rPr>
      </w:pPr>
    </w:p>
    <w:p w14:paraId="6253FE6B" w14:textId="4B543EF7" w:rsidR="006605CA" w:rsidRDefault="006605CA" w:rsidP="00297F06">
      <w:pPr>
        <w:rPr>
          <w:rFonts w:ascii="Times New Roman" w:hAnsi="Times New Roman" w:cs="Times New Roman"/>
        </w:rPr>
      </w:pPr>
    </w:p>
    <w:p w14:paraId="7A005960" w14:textId="7A71BB4C" w:rsidR="006605CA" w:rsidRDefault="006605CA" w:rsidP="00297F06">
      <w:pPr>
        <w:rPr>
          <w:rFonts w:ascii="Times New Roman" w:hAnsi="Times New Roman" w:cs="Times New Roman"/>
        </w:rPr>
      </w:pPr>
    </w:p>
    <w:p w14:paraId="782B4386" w14:textId="2ECA61B1" w:rsidR="006605CA" w:rsidRDefault="006605CA" w:rsidP="00297F06">
      <w:pPr>
        <w:rPr>
          <w:rFonts w:ascii="Times New Roman" w:hAnsi="Times New Roman" w:cs="Times New Roman"/>
        </w:rPr>
      </w:pPr>
    </w:p>
    <w:p w14:paraId="2512A070" w14:textId="77777777" w:rsidR="006605CA" w:rsidRPr="00FF6562" w:rsidRDefault="006605CA" w:rsidP="00297F06">
      <w:pPr>
        <w:rPr>
          <w:rFonts w:ascii="Times New Roman" w:hAnsi="Times New Roman" w:cs="Times New Roman"/>
        </w:rPr>
      </w:pPr>
    </w:p>
    <w:p w14:paraId="3D90C8AC" w14:textId="77777777" w:rsidR="00297F06" w:rsidRDefault="00297F06" w:rsidP="00A56C42">
      <w:pPr>
        <w:jc w:val="center"/>
        <w:rPr>
          <w:rFonts w:ascii="Times New Roman" w:hAnsi="Times New Roman" w:cs="Times New Roman"/>
        </w:rPr>
      </w:pPr>
      <w:r w:rsidRPr="003F4B38">
        <w:rPr>
          <w:rFonts w:ascii="Times New Roman" w:hAnsi="Times New Roman" w:cs="Times New Roman"/>
          <w:b/>
          <w:bCs/>
        </w:rPr>
        <w:t>Figure 2.</w:t>
      </w:r>
      <w:r>
        <w:rPr>
          <w:rFonts w:ascii="Times New Roman" w:hAnsi="Times New Roman" w:cs="Times New Roman"/>
        </w:rPr>
        <w:t xml:space="preserve"> Returns</w:t>
      </w:r>
    </w:p>
    <w:p w14:paraId="766F3F67" w14:textId="77777777" w:rsidR="00297F06" w:rsidRPr="00FF6562" w:rsidRDefault="00297F06" w:rsidP="006605CA">
      <w:pPr>
        <w:jc w:val="center"/>
        <w:rPr>
          <w:rFonts w:ascii="Times New Roman" w:hAnsi="Times New Roman" w:cs="Times New Roman"/>
        </w:rPr>
      </w:pPr>
      <w:r w:rsidRPr="00CB1BE2">
        <w:rPr>
          <w:rFonts w:ascii="Times New Roman" w:hAnsi="Times New Roman" w:cs="Times New Roman"/>
          <w:noProof/>
        </w:rPr>
        <w:drawing>
          <wp:inline distT="0" distB="0" distL="0" distR="0" wp14:anchorId="6CAA0C70" wp14:editId="0CBE87F8">
            <wp:extent cx="6499860" cy="421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9860" cy="4213860"/>
                    </a:xfrm>
                    <a:prstGeom prst="rect">
                      <a:avLst/>
                    </a:prstGeom>
                    <a:noFill/>
                    <a:ln>
                      <a:noFill/>
                    </a:ln>
                  </pic:spPr>
                </pic:pic>
              </a:graphicData>
            </a:graphic>
          </wp:inline>
        </w:drawing>
      </w:r>
    </w:p>
    <w:p w14:paraId="24E05937" w14:textId="77777777" w:rsidR="00297F06" w:rsidRPr="00FF6562" w:rsidRDefault="00297F06" w:rsidP="00297F06">
      <w:pPr>
        <w:rPr>
          <w:rFonts w:ascii="Times New Roman" w:hAnsi="Times New Roman" w:cs="Times New Roman"/>
        </w:rPr>
      </w:pPr>
    </w:p>
    <w:p w14:paraId="5B2AA0ED" w14:textId="5D6638A4" w:rsidR="00785B27" w:rsidRDefault="00785B27" w:rsidP="00AE345F">
      <w:pPr>
        <w:spacing w:before="240" w:after="0" w:line="360" w:lineRule="auto"/>
        <w:jc w:val="both"/>
        <w:rPr>
          <w:rFonts w:ascii="Times New Roman" w:hAnsi="Times New Roman" w:cs="Times New Roman"/>
          <w:sz w:val="24"/>
          <w:szCs w:val="24"/>
          <w:shd w:val="clear" w:color="auto" w:fill="FFFFFF"/>
        </w:rPr>
      </w:pPr>
    </w:p>
    <w:p w14:paraId="4CCCDD2E" w14:textId="77777777" w:rsidR="00476036" w:rsidRDefault="00476036" w:rsidP="00AE345F">
      <w:pPr>
        <w:spacing w:before="240" w:after="0" w:line="360" w:lineRule="auto"/>
        <w:jc w:val="both"/>
        <w:rPr>
          <w:rFonts w:ascii="Times New Roman" w:hAnsi="Times New Roman" w:cs="Times New Roman"/>
          <w:sz w:val="24"/>
          <w:szCs w:val="24"/>
          <w:shd w:val="clear" w:color="auto" w:fill="FFFFFF"/>
        </w:rPr>
        <w:sectPr w:rsidR="00476036" w:rsidSect="00297F06">
          <w:pgSz w:w="15840" w:h="12240" w:orient="landscape"/>
          <w:pgMar w:top="1368" w:right="850" w:bottom="1368" w:left="850" w:header="720" w:footer="720" w:gutter="0"/>
          <w:cols w:space="720"/>
          <w:docGrid w:linePitch="360"/>
        </w:sectPr>
      </w:pPr>
    </w:p>
    <w:p w14:paraId="28A92042" w14:textId="1D4CE248" w:rsidR="00476036" w:rsidRPr="00943B04" w:rsidRDefault="00476036" w:rsidP="00A56C42">
      <w:pPr>
        <w:jc w:val="center"/>
        <w:rPr>
          <w:rFonts w:ascii="Times New Roman" w:hAnsi="Times New Roman" w:cs="Times New Roman"/>
          <w:color w:val="0070C0"/>
        </w:rPr>
      </w:pPr>
      <w:bookmarkStart w:id="42" w:name="_Hlk66060682"/>
      <w:r w:rsidRPr="00FF6562">
        <w:rPr>
          <w:rFonts w:ascii="Times New Roman" w:hAnsi="Times New Roman" w:cs="Times New Roman"/>
          <w:b/>
          <w:bCs/>
        </w:rPr>
        <w:lastRenderedPageBreak/>
        <w:t xml:space="preserve">Table </w:t>
      </w:r>
      <w:r>
        <w:rPr>
          <w:rFonts w:ascii="Times New Roman" w:hAnsi="Times New Roman" w:cs="Times New Roman"/>
          <w:b/>
          <w:bCs/>
        </w:rPr>
        <w:t>2.</w:t>
      </w:r>
      <w:r w:rsidRPr="00FF6562">
        <w:rPr>
          <w:rFonts w:ascii="Times New Roman" w:hAnsi="Times New Roman" w:cs="Times New Roman"/>
        </w:rPr>
        <w:t xml:space="preserve"> </w:t>
      </w:r>
      <w:bookmarkStart w:id="43" w:name="_Hlk66060658"/>
      <w:r>
        <w:rPr>
          <w:rFonts w:ascii="Times New Roman" w:hAnsi="Times New Roman" w:cs="Times New Roman"/>
        </w:rPr>
        <w:t>Estimates of VAR-BEKK-</w:t>
      </w:r>
      <w:r w:rsidRPr="00FF6562">
        <w:rPr>
          <w:rFonts w:ascii="Times New Roman" w:hAnsi="Times New Roman" w:cs="Times New Roman"/>
        </w:rPr>
        <w:t>AGARCH</w:t>
      </w:r>
      <w:r>
        <w:rPr>
          <w:rFonts w:ascii="Times New Roman" w:hAnsi="Times New Roman" w:cs="Times New Roman"/>
        </w:rPr>
        <w:t xml:space="preserve"> between Islamic equity sectors and Onegram during </w:t>
      </w:r>
      <w:bookmarkStart w:id="44" w:name="_Hlk81062202"/>
      <w:r w:rsidRPr="00943B04">
        <w:rPr>
          <w:rFonts w:ascii="Times New Roman" w:hAnsi="Times New Roman" w:cs="Times New Roman"/>
          <w:color w:val="0070C0"/>
        </w:rPr>
        <w:t>pre-</w:t>
      </w:r>
      <w:r w:rsidR="00C014AF" w:rsidRPr="00943B04">
        <w:rPr>
          <w:rFonts w:ascii="Times New Roman" w:hAnsi="Times New Roman" w:cs="Times New Roman"/>
          <w:color w:val="0070C0"/>
        </w:rPr>
        <w:t xml:space="preserve">COVID-19 </w:t>
      </w:r>
      <w:r w:rsidRPr="00943B04">
        <w:rPr>
          <w:rFonts w:ascii="Times New Roman" w:hAnsi="Times New Roman" w:cs="Times New Roman"/>
          <w:color w:val="0070C0"/>
        </w:rPr>
        <w:t>crisis</w:t>
      </w:r>
      <w:bookmarkEnd w:id="44"/>
      <w:r w:rsidRPr="00943B04">
        <w:rPr>
          <w:rFonts w:ascii="Times New Roman" w:hAnsi="Times New Roman" w:cs="Times New Roman"/>
          <w:color w:val="0070C0"/>
        </w:rPr>
        <w:t>.</w:t>
      </w:r>
    </w:p>
    <w:tbl>
      <w:tblPr>
        <w:tblW w:w="14446" w:type="dxa"/>
        <w:tblLook w:val="04A0" w:firstRow="1" w:lastRow="0" w:firstColumn="1" w:lastColumn="0" w:noHBand="0" w:noVBand="1"/>
      </w:tblPr>
      <w:tblGrid>
        <w:gridCol w:w="668"/>
        <w:gridCol w:w="637"/>
        <w:gridCol w:w="592"/>
        <w:gridCol w:w="660"/>
        <w:gridCol w:w="614"/>
        <w:gridCol w:w="670"/>
        <w:gridCol w:w="622"/>
        <w:gridCol w:w="637"/>
        <w:gridCol w:w="592"/>
        <w:gridCol w:w="637"/>
        <w:gridCol w:w="592"/>
        <w:gridCol w:w="637"/>
        <w:gridCol w:w="592"/>
        <w:gridCol w:w="637"/>
        <w:gridCol w:w="592"/>
        <w:gridCol w:w="637"/>
        <w:gridCol w:w="844"/>
        <w:gridCol w:w="637"/>
        <w:gridCol w:w="592"/>
        <w:gridCol w:w="637"/>
        <w:gridCol w:w="592"/>
        <w:gridCol w:w="637"/>
        <w:gridCol w:w="592"/>
        <w:gridCol w:w="9"/>
      </w:tblGrid>
      <w:tr w:rsidR="008206BE" w:rsidRPr="00FF6562" w14:paraId="08F7659E" w14:textId="77777777" w:rsidTr="000A173E">
        <w:trPr>
          <w:trHeight w:val="236"/>
        </w:trPr>
        <w:tc>
          <w:tcPr>
            <w:tcW w:w="14446" w:type="dxa"/>
            <w:gridSpan w:val="24"/>
            <w:tcBorders>
              <w:top w:val="single" w:sz="8" w:space="0" w:color="auto"/>
              <w:left w:val="nil"/>
              <w:bottom w:val="single" w:sz="8" w:space="0" w:color="auto"/>
            </w:tcBorders>
            <w:shd w:val="clear" w:color="auto" w:fill="auto"/>
            <w:noWrap/>
            <w:vAlign w:val="center"/>
          </w:tcPr>
          <w:p w14:paraId="642C0CE4" w14:textId="7B818246" w:rsidR="008B6447" w:rsidRPr="00FF6562" w:rsidRDefault="008B6447" w:rsidP="008B6447">
            <w:pPr>
              <w:spacing w:after="0"/>
              <w:jc w:val="both"/>
              <w:rPr>
                <w:rFonts w:ascii="Times New Roman" w:eastAsia="Times New Roman" w:hAnsi="Times New Roman" w:cs="Times New Roman"/>
                <w:b/>
                <w:bCs/>
                <w:sz w:val="16"/>
                <w:szCs w:val="16"/>
                <w:lang w:eastAsia="en-GB"/>
              </w:rPr>
            </w:pPr>
            <w:r>
              <w:rPr>
                <w:rFonts w:ascii="Times New Roman" w:hAnsi="Times New Roman" w:cs="Times New Roman"/>
                <w:sz w:val="16"/>
                <w:szCs w:val="16"/>
              </w:rPr>
              <w:t xml:space="preserve">This table provides the estimations of return and volatility spillovers between </w:t>
            </w:r>
            <w:r w:rsidRPr="008B6447">
              <w:rPr>
                <w:rFonts w:ascii="Times New Roman" w:hAnsi="Times New Roman" w:cs="Times New Roman"/>
                <w:sz w:val="16"/>
                <w:szCs w:val="16"/>
              </w:rPr>
              <w:t>Islamic equity sectors and Onegram</w:t>
            </w:r>
            <w:r w:rsidR="00841919">
              <w:rPr>
                <w:rFonts w:ascii="Times New Roman" w:hAnsi="Times New Roman" w:cs="Times New Roman"/>
                <w:sz w:val="16"/>
                <w:szCs w:val="16"/>
              </w:rPr>
              <w:t xml:space="preserve"> during pre-COVID-19 period.</w:t>
            </w:r>
            <w:r>
              <w:rPr>
                <w:rFonts w:ascii="Times New Roman" w:hAnsi="Times New Roman" w:cs="Times New Roman"/>
                <w:sz w:val="16"/>
                <w:szCs w:val="16"/>
              </w:rPr>
              <w:t xml:space="preserve"> The mean equation in Panel A provides the results of returns spillovers, whereas the variance equation in panel B provides the results of shock and volatility spillovers. Panel C presents the diagnostic tests, including </w:t>
            </w:r>
            <w:r w:rsidRPr="008B6447">
              <w:rPr>
                <w:rFonts w:ascii="Times New Roman" w:hAnsi="Times New Roman" w:cs="Times New Roman"/>
                <w:sz w:val="16"/>
                <w:szCs w:val="16"/>
              </w:rPr>
              <w:t>log-likelihood ratio</w:t>
            </w:r>
            <w:r>
              <w:rPr>
                <w:rFonts w:ascii="Times New Roman" w:hAnsi="Times New Roman" w:cs="Times New Roman"/>
                <w:sz w:val="16"/>
                <w:szCs w:val="16"/>
              </w:rPr>
              <w:t xml:space="preserve">, AIC test, BIC test, and </w:t>
            </w:r>
            <w:proofErr w:type="spellStart"/>
            <w:r w:rsidRPr="008B6447">
              <w:rPr>
                <w:rFonts w:ascii="Times New Roman" w:hAnsi="Times New Roman" w:cs="Times New Roman"/>
                <w:sz w:val="16"/>
                <w:szCs w:val="16"/>
              </w:rPr>
              <w:t>Ljung</w:t>
            </w:r>
            <w:proofErr w:type="spellEnd"/>
            <w:r w:rsidRPr="008B6447">
              <w:rPr>
                <w:rFonts w:ascii="Times New Roman" w:hAnsi="Times New Roman" w:cs="Times New Roman"/>
                <w:sz w:val="16"/>
                <w:szCs w:val="16"/>
              </w:rPr>
              <w:t>-Box Q statistics</w:t>
            </w:r>
            <w:r>
              <w:rPr>
                <w:rFonts w:ascii="Times New Roman" w:hAnsi="Times New Roman" w:cs="Times New Roman"/>
                <w:sz w:val="16"/>
                <w:szCs w:val="16"/>
              </w:rPr>
              <w:t xml:space="preserve">. </w:t>
            </w:r>
            <w:r w:rsidRPr="008B6447">
              <w:rPr>
                <w:rFonts w:ascii="Times New Roman" w:hAnsi="Times New Roman" w:cs="Times New Roman"/>
                <w:sz w:val="16"/>
                <w:szCs w:val="16"/>
              </w:rPr>
              <w:t xml:space="preserve">Following are the full forms of different acronyms used in </w:t>
            </w:r>
            <w:r>
              <w:rPr>
                <w:rFonts w:ascii="Times New Roman" w:hAnsi="Times New Roman" w:cs="Times New Roman"/>
                <w:sz w:val="16"/>
                <w:szCs w:val="16"/>
              </w:rPr>
              <w:t xml:space="preserve">the </w:t>
            </w:r>
            <w:proofErr w:type="spellStart"/>
            <w:r w:rsidRPr="008B6447">
              <w:rPr>
                <w:rFonts w:ascii="Times New Roman" w:hAnsi="Times New Roman" w:cs="Times New Roman"/>
                <w:sz w:val="16"/>
                <w:szCs w:val="16"/>
              </w:rPr>
              <w:t>table:</w:t>
            </w:r>
            <w:r w:rsidRPr="0089673A">
              <w:rPr>
                <w:rFonts w:ascii="Times New Roman" w:hAnsi="Times New Roman" w:cs="Times New Roman"/>
                <w:sz w:val="16"/>
                <w:szCs w:val="16"/>
              </w:rPr>
              <w:t>Com</w:t>
            </w:r>
            <w:proofErr w:type="spellEnd"/>
            <w:r w:rsidRPr="0089673A">
              <w:rPr>
                <w:rFonts w:ascii="Times New Roman" w:hAnsi="Times New Roman" w:cs="Times New Roman"/>
                <w:sz w:val="16"/>
                <w:szCs w:val="16"/>
              </w:rPr>
              <w:t xml:space="preserve">. services-communication services, consumer disc.-consumer discretionary, consumer </w:t>
            </w:r>
            <w:proofErr w:type="spellStart"/>
            <w:r w:rsidRPr="0089673A">
              <w:rPr>
                <w:rFonts w:ascii="Times New Roman" w:hAnsi="Times New Roman" w:cs="Times New Roman"/>
                <w:sz w:val="16"/>
                <w:szCs w:val="16"/>
              </w:rPr>
              <w:t>stap</w:t>
            </w:r>
            <w:proofErr w:type="spellEnd"/>
            <w:r w:rsidRPr="0089673A">
              <w:rPr>
                <w:rFonts w:ascii="Times New Roman" w:hAnsi="Times New Roman" w:cs="Times New Roman"/>
                <w:sz w:val="16"/>
                <w:szCs w:val="16"/>
              </w:rPr>
              <w:t>-consumer staples, Information tech.-Information technology. Coeff-coefficient, p-val.-p-</w:t>
            </w:r>
            <w:proofErr w:type="spellStart"/>
            <w:r w:rsidRPr="0089673A">
              <w:rPr>
                <w:rFonts w:ascii="Times New Roman" w:hAnsi="Times New Roman" w:cs="Times New Roman"/>
                <w:sz w:val="16"/>
                <w:szCs w:val="16"/>
              </w:rPr>
              <w:t>value.AIC</w:t>
            </w:r>
            <w:proofErr w:type="spellEnd"/>
            <w:r w:rsidRPr="0089673A">
              <w:rPr>
                <w:rFonts w:ascii="Times New Roman" w:hAnsi="Times New Roman" w:cs="Times New Roman"/>
                <w:sz w:val="16"/>
                <w:szCs w:val="16"/>
              </w:rPr>
              <w:t xml:space="preserve"> and SIC </w:t>
            </w:r>
            <w:proofErr w:type="spellStart"/>
            <w:r w:rsidRPr="0089673A">
              <w:rPr>
                <w:rFonts w:ascii="Times New Roman" w:hAnsi="Times New Roman" w:cs="Times New Roman"/>
                <w:sz w:val="16"/>
                <w:szCs w:val="16"/>
              </w:rPr>
              <w:t>criterias</w:t>
            </w:r>
            <w:proofErr w:type="spellEnd"/>
            <w:r w:rsidRPr="0089673A">
              <w:rPr>
                <w:rFonts w:ascii="Times New Roman" w:hAnsi="Times New Roman" w:cs="Times New Roman"/>
                <w:sz w:val="16"/>
                <w:szCs w:val="16"/>
              </w:rPr>
              <w:t xml:space="preserve"> are used for the selection of number of lags.</w:t>
            </w:r>
            <w:r w:rsidRPr="0089673A">
              <w:rPr>
                <w:sz w:val="16"/>
                <w:szCs w:val="16"/>
              </w:rPr>
              <w:t xml:space="preserve"> </w:t>
            </w:r>
            <w:r w:rsidRPr="0089673A">
              <w:rPr>
                <w:rFonts w:ascii="Times New Roman" w:hAnsi="Times New Roman" w:cs="Times New Roman"/>
                <w:color w:val="000000" w:themeColor="text1"/>
                <w:sz w:val="16"/>
                <w:szCs w:val="16"/>
              </w:rPr>
              <w:t>Q (20), and Q</w:t>
            </w:r>
            <w:r w:rsidRPr="0089673A">
              <w:rPr>
                <w:rFonts w:ascii="Times New Roman" w:hAnsi="Times New Roman" w:cs="Times New Roman"/>
                <w:color w:val="000000" w:themeColor="text1"/>
                <w:sz w:val="16"/>
                <w:szCs w:val="16"/>
                <w:vertAlign w:val="superscript"/>
              </w:rPr>
              <w:t>2</w:t>
            </w:r>
            <w:r w:rsidRPr="0089673A">
              <w:rPr>
                <w:rFonts w:ascii="Times New Roman" w:hAnsi="Times New Roman" w:cs="Times New Roman"/>
                <w:color w:val="000000" w:themeColor="text1"/>
                <w:sz w:val="16"/>
                <w:szCs w:val="16"/>
              </w:rPr>
              <w:t xml:space="preserve">(20) denotes </w:t>
            </w:r>
            <w:proofErr w:type="spellStart"/>
            <w:r w:rsidRPr="0089673A">
              <w:rPr>
                <w:rFonts w:ascii="Times New Roman" w:hAnsi="Times New Roman" w:cs="Times New Roman"/>
                <w:sz w:val="16"/>
                <w:szCs w:val="16"/>
              </w:rPr>
              <w:t>Ljung</w:t>
            </w:r>
            <w:proofErr w:type="spellEnd"/>
            <w:r w:rsidRPr="0089673A">
              <w:rPr>
                <w:rFonts w:ascii="Times New Roman" w:hAnsi="Times New Roman" w:cs="Times New Roman"/>
                <w:sz w:val="16"/>
                <w:szCs w:val="16"/>
              </w:rPr>
              <w:t>-Box Q statistics of order 20 for autocorrelation applied to the standardized residuals and squared standardized residuals, respectively. Variable order is the Islamic sectoral equity market (1) and Onegram (2).</w:t>
            </w:r>
            <w:r>
              <w:rPr>
                <w:rFonts w:ascii="Times New Roman" w:hAnsi="Times New Roman" w:cs="Times New Roman"/>
                <w:sz w:val="16"/>
                <w:szCs w:val="16"/>
              </w:rPr>
              <w:t xml:space="preserve"> </w:t>
            </w:r>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12</m:t>
                  </m:r>
                </m:sub>
              </m:sSub>
            </m:oMath>
            <w:r>
              <w:rPr>
                <w:rFonts w:ascii="Times New Roman" w:eastAsiaTheme="minorEastAsia" w:hAnsi="Times New Roman" w:cs="Times New Roman"/>
                <w:color w:val="000000" w:themeColor="text1"/>
                <w:sz w:val="16"/>
                <w:szCs w:val="16"/>
                <w:lang w:eastAsia="en-GB"/>
              </w:rPr>
              <w:t xml:space="preserve"> denotes the returns spillover from Islamic sectoral equity market to Onegram. </w:t>
            </w:r>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12</m:t>
                  </m:r>
                </m:sub>
              </m:sSub>
            </m:oMath>
            <w:r>
              <w:rPr>
                <w:rFonts w:ascii="Times New Roman" w:eastAsiaTheme="minorEastAsia" w:hAnsi="Times New Roman" w:cs="Times New Roman"/>
                <w:color w:val="000000" w:themeColor="text1"/>
                <w:sz w:val="16"/>
                <w:szCs w:val="16"/>
                <w:lang w:eastAsia="en-GB"/>
              </w:rPr>
              <w:t xml:space="preserve"> means the shock spillover from Islamic sectoral equity market to Onegram. </w:t>
            </w:r>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12</m:t>
                  </m:r>
                </m:sub>
              </m:sSub>
            </m:oMath>
            <w:r>
              <w:rPr>
                <w:rFonts w:ascii="Times New Roman" w:eastAsiaTheme="minorEastAsia" w:hAnsi="Times New Roman" w:cs="Times New Roman"/>
                <w:color w:val="000000" w:themeColor="text1"/>
                <w:sz w:val="16"/>
                <w:szCs w:val="16"/>
                <w:lang w:eastAsia="en-GB"/>
              </w:rPr>
              <w:t xml:space="preserve"> refers to the volatility spillover from Islamic sectoral equity market to Onegram. </w:t>
            </w:r>
          </w:p>
        </w:tc>
      </w:tr>
      <w:bookmarkEnd w:id="42"/>
      <w:bookmarkEnd w:id="43"/>
      <w:tr w:rsidR="00476036" w:rsidRPr="00FF6562" w14:paraId="0C0F291D" w14:textId="77777777" w:rsidTr="000A173E">
        <w:trPr>
          <w:gridAfter w:val="1"/>
          <w:wAfter w:w="9" w:type="dxa"/>
          <w:trHeight w:val="236"/>
        </w:trPr>
        <w:tc>
          <w:tcPr>
            <w:tcW w:w="0" w:type="auto"/>
            <w:tcBorders>
              <w:top w:val="single" w:sz="8" w:space="0" w:color="auto"/>
              <w:left w:val="nil"/>
              <w:bottom w:val="single" w:sz="8" w:space="0" w:color="auto"/>
              <w:right w:val="nil"/>
            </w:tcBorders>
            <w:shd w:val="clear" w:color="auto" w:fill="auto"/>
            <w:noWrap/>
            <w:vAlign w:val="center"/>
            <w:hideMark/>
          </w:tcPr>
          <w:p w14:paraId="7B473DD1"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771B83D1"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Com. services</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759CE3BB"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Consumer disc.</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1ED9720D"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 xml:space="preserve">Consumer </w:t>
            </w:r>
            <w:proofErr w:type="spellStart"/>
            <w:r w:rsidRPr="00FF6562">
              <w:rPr>
                <w:rFonts w:ascii="Times New Roman" w:eastAsia="Times New Roman" w:hAnsi="Times New Roman" w:cs="Times New Roman"/>
                <w:b/>
                <w:bCs/>
                <w:sz w:val="16"/>
                <w:szCs w:val="16"/>
                <w:lang w:eastAsia="en-GB"/>
              </w:rPr>
              <w:t>stap</w:t>
            </w:r>
            <w:proofErr w:type="spellEnd"/>
            <w:r w:rsidRPr="00FF6562">
              <w:rPr>
                <w:rFonts w:ascii="Times New Roman" w:eastAsia="Times New Roman" w:hAnsi="Times New Roman" w:cs="Times New Roman"/>
                <w:b/>
                <w:bCs/>
                <w:sz w:val="16"/>
                <w:szCs w:val="16"/>
                <w:lang w:eastAsia="en-GB"/>
              </w:rPr>
              <w:t>.</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16F90C9B"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Energy</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6B654C68"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Financials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2831112B"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Health Care</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7D6C5AEF"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Industrials </w:t>
            </w:r>
          </w:p>
        </w:tc>
        <w:tc>
          <w:tcPr>
            <w:tcW w:w="1467" w:type="dxa"/>
            <w:gridSpan w:val="2"/>
            <w:tcBorders>
              <w:top w:val="single" w:sz="8" w:space="0" w:color="auto"/>
              <w:left w:val="nil"/>
              <w:bottom w:val="single" w:sz="8" w:space="0" w:color="auto"/>
              <w:right w:val="nil"/>
            </w:tcBorders>
            <w:shd w:val="clear" w:color="auto" w:fill="auto"/>
            <w:noWrap/>
            <w:vAlign w:val="center"/>
            <w:hideMark/>
          </w:tcPr>
          <w:p w14:paraId="40E98B7E"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Information Tech.</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5A99469A"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Materials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45365604"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Real Estate</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508EA9A6"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Utilities</w:t>
            </w:r>
          </w:p>
        </w:tc>
      </w:tr>
      <w:tr w:rsidR="000A173E" w:rsidRPr="00FF6562" w14:paraId="2E4FCA18" w14:textId="77777777" w:rsidTr="000A173E">
        <w:trPr>
          <w:gridAfter w:val="1"/>
          <w:wAfter w:w="12" w:type="dxa"/>
          <w:trHeight w:val="236"/>
        </w:trPr>
        <w:tc>
          <w:tcPr>
            <w:tcW w:w="0" w:type="auto"/>
            <w:tcBorders>
              <w:top w:val="single" w:sz="8" w:space="0" w:color="auto"/>
              <w:left w:val="nil"/>
              <w:bottom w:val="single" w:sz="4" w:space="0" w:color="auto"/>
              <w:right w:val="nil"/>
            </w:tcBorders>
            <w:shd w:val="clear" w:color="auto" w:fill="auto"/>
            <w:noWrap/>
            <w:vAlign w:val="bottom"/>
            <w:hideMark/>
          </w:tcPr>
          <w:p w14:paraId="3CA8EEEA" w14:textId="77777777" w:rsidR="00476036" w:rsidRPr="00FF6562" w:rsidRDefault="00476036" w:rsidP="00875EB5">
            <w:pPr>
              <w:spacing w:after="0" w:line="240" w:lineRule="auto"/>
              <w:rPr>
                <w:rFonts w:ascii="Times New Roman" w:eastAsia="Times New Roman" w:hAnsi="Times New Roman" w:cs="Times New Roman"/>
                <w:b/>
                <w:bCs/>
                <w:sz w:val="16"/>
                <w:szCs w:val="16"/>
                <w:lang w:eastAsia="en-GB"/>
              </w:rPr>
            </w:pPr>
          </w:p>
        </w:tc>
        <w:tc>
          <w:tcPr>
            <w:tcW w:w="0" w:type="auto"/>
            <w:tcBorders>
              <w:top w:val="nil"/>
              <w:left w:val="nil"/>
              <w:bottom w:val="single" w:sz="8" w:space="0" w:color="auto"/>
              <w:right w:val="nil"/>
            </w:tcBorders>
            <w:shd w:val="clear" w:color="auto" w:fill="auto"/>
            <w:noWrap/>
            <w:vAlign w:val="center"/>
            <w:hideMark/>
          </w:tcPr>
          <w:p w14:paraId="37E2556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00F26A4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6EE482F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4F81B8D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3E9C030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022C892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019712D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1BBB4C6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7B6EEB0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693B032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17F5F49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51B45E5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0F94905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5171434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012FAC9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834" w:type="dxa"/>
            <w:tcBorders>
              <w:top w:val="nil"/>
              <w:left w:val="nil"/>
              <w:bottom w:val="single" w:sz="8" w:space="0" w:color="auto"/>
              <w:right w:val="nil"/>
            </w:tcBorders>
            <w:shd w:val="clear" w:color="auto" w:fill="auto"/>
            <w:noWrap/>
            <w:vAlign w:val="center"/>
            <w:hideMark/>
          </w:tcPr>
          <w:p w14:paraId="1CFC67C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1A2732F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6CDAE6A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24CEE68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306F7DA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4035102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4EB91B0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r>
      <w:tr w:rsidR="00476036" w:rsidRPr="00FF6562" w14:paraId="596DDF09" w14:textId="77777777" w:rsidTr="000A173E">
        <w:trPr>
          <w:trHeight w:val="236"/>
        </w:trPr>
        <w:tc>
          <w:tcPr>
            <w:tcW w:w="14446" w:type="dxa"/>
            <w:gridSpan w:val="24"/>
            <w:tcBorders>
              <w:top w:val="nil"/>
              <w:left w:val="nil"/>
              <w:bottom w:val="nil"/>
              <w:right w:val="nil"/>
            </w:tcBorders>
            <w:shd w:val="clear" w:color="auto" w:fill="auto"/>
            <w:noWrap/>
            <w:vAlign w:val="bottom"/>
            <w:hideMark/>
          </w:tcPr>
          <w:p w14:paraId="4608C4AC" w14:textId="77777777" w:rsidR="00476036" w:rsidRPr="00A56C42" w:rsidRDefault="00476036" w:rsidP="00875EB5">
            <w:pPr>
              <w:spacing w:after="0" w:line="240" w:lineRule="auto"/>
              <w:rPr>
                <w:rFonts w:ascii="Times New Roman" w:eastAsia="Times New Roman" w:hAnsi="Times New Roman" w:cs="Times New Roman"/>
                <w:b/>
                <w:bCs/>
                <w:sz w:val="16"/>
                <w:szCs w:val="16"/>
                <w:u w:val="single"/>
                <w:lang w:eastAsia="en-GB"/>
              </w:rPr>
            </w:pPr>
            <w:r w:rsidRPr="00A56C42">
              <w:rPr>
                <w:rFonts w:ascii="Times New Roman" w:eastAsia="Times New Roman" w:hAnsi="Times New Roman" w:cs="Times New Roman"/>
                <w:b/>
                <w:bCs/>
                <w:sz w:val="16"/>
                <w:szCs w:val="16"/>
                <w:u w:val="single"/>
                <w:lang w:eastAsia="en-GB"/>
              </w:rPr>
              <w:t>Panel A. Mean Equation</w:t>
            </w:r>
          </w:p>
        </w:tc>
      </w:tr>
      <w:tr w:rsidR="000A173E" w:rsidRPr="00FF6562" w14:paraId="413EA9C7" w14:textId="77777777" w:rsidTr="000A173E">
        <w:trPr>
          <w:gridAfter w:val="1"/>
          <w:wAfter w:w="12" w:type="dxa"/>
          <w:trHeight w:val="222"/>
        </w:trPr>
        <w:tc>
          <w:tcPr>
            <w:tcW w:w="0" w:type="auto"/>
            <w:tcBorders>
              <w:top w:val="nil"/>
              <w:left w:val="nil"/>
              <w:bottom w:val="nil"/>
              <w:right w:val="nil"/>
            </w:tcBorders>
            <w:shd w:val="clear" w:color="auto" w:fill="auto"/>
            <w:noWrap/>
            <w:hideMark/>
          </w:tcPr>
          <w:p w14:paraId="67125354"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μ</m:t>
                    </m:r>
                  </m:e>
                  <m:sub>
                    <m:r>
                      <w:rPr>
                        <w:rFonts w:ascii="Cambria Math" w:hAnsi="Cambria Math" w:cs="Times New Roman"/>
                        <w:color w:val="000000" w:themeColor="text1"/>
                        <w:sz w:val="16"/>
                        <w:szCs w:val="16"/>
                        <w:lang w:eastAsia="en-GB"/>
                      </w:rPr>
                      <m:t>1</m:t>
                    </m:r>
                  </m:sub>
                </m:sSub>
              </m:oMath>
            </m:oMathPara>
          </w:p>
        </w:tc>
        <w:tc>
          <w:tcPr>
            <w:tcW w:w="0" w:type="auto"/>
            <w:tcBorders>
              <w:top w:val="nil"/>
              <w:left w:val="nil"/>
              <w:bottom w:val="nil"/>
              <w:right w:val="nil"/>
            </w:tcBorders>
            <w:shd w:val="clear" w:color="auto" w:fill="auto"/>
            <w:noWrap/>
            <w:hideMark/>
          </w:tcPr>
          <w:p w14:paraId="4513AF6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0.154</w:t>
            </w:r>
          </w:p>
        </w:tc>
        <w:tc>
          <w:tcPr>
            <w:tcW w:w="0" w:type="auto"/>
            <w:tcBorders>
              <w:top w:val="nil"/>
              <w:left w:val="nil"/>
              <w:bottom w:val="nil"/>
              <w:right w:val="nil"/>
            </w:tcBorders>
            <w:shd w:val="clear" w:color="auto" w:fill="auto"/>
            <w:noWrap/>
            <w:hideMark/>
          </w:tcPr>
          <w:p w14:paraId="1F3D063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hideMark/>
          </w:tcPr>
          <w:p w14:paraId="0324593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0.036</w:t>
            </w:r>
          </w:p>
        </w:tc>
        <w:tc>
          <w:tcPr>
            <w:tcW w:w="0" w:type="auto"/>
            <w:tcBorders>
              <w:top w:val="nil"/>
              <w:left w:val="nil"/>
              <w:bottom w:val="nil"/>
              <w:right w:val="nil"/>
            </w:tcBorders>
            <w:shd w:val="clear" w:color="auto" w:fill="auto"/>
            <w:noWrap/>
            <w:hideMark/>
          </w:tcPr>
          <w:p w14:paraId="247FD97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0.362</w:t>
            </w:r>
          </w:p>
        </w:tc>
        <w:tc>
          <w:tcPr>
            <w:tcW w:w="0" w:type="auto"/>
            <w:tcBorders>
              <w:top w:val="nil"/>
              <w:left w:val="nil"/>
              <w:bottom w:val="nil"/>
              <w:right w:val="nil"/>
            </w:tcBorders>
            <w:shd w:val="clear" w:color="auto" w:fill="auto"/>
            <w:noWrap/>
            <w:hideMark/>
          </w:tcPr>
          <w:p w14:paraId="57C68A7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0.070</w:t>
            </w:r>
          </w:p>
        </w:tc>
        <w:tc>
          <w:tcPr>
            <w:tcW w:w="0" w:type="auto"/>
            <w:tcBorders>
              <w:top w:val="nil"/>
              <w:left w:val="nil"/>
              <w:bottom w:val="nil"/>
              <w:right w:val="nil"/>
            </w:tcBorders>
            <w:shd w:val="clear" w:color="auto" w:fill="auto"/>
            <w:noWrap/>
            <w:hideMark/>
          </w:tcPr>
          <w:p w14:paraId="76B9E43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0.065</w:t>
            </w:r>
          </w:p>
        </w:tc>
        <w:tc>
          <w:tcPr>
            <w:tcW w:w="0" w:type="auto"/>
            <w:tcBorders>
              <w:top w:val="nil"/>
              <w:left w:val="nil"/>
              <w:bottom w:val="nil"/>
              <w:right w:val="nil"/>
            </w:tcBorders>
            <w:shd w:val="clear" w:color="auto" w:fill="auto"/>
            <w:noWrap/>
            <w:hideMark/>
          </w:tcPr>
          <w:p w14:paraId="54752A0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-0.082</w:t>
            </w:r>
          </w:p>
        </w:tc>
        <w:tc>
          <w:tcPr>
            <w:tcW w:w="0" w:type="auto"/>
            <w:tcBorders>
              <w:top w:val="nil"/>
              <w:left w:val="nil"/>
              <w:bottom w:val="nil"/>
              <w:right w:val="nil"/>
            </w:tcBorders>
            <w:shd w:val="clear" w:color="auto" w:fill="auto"/>
            <w:noWrap/>
            <w:hideMark/>
          </w:tcPr>
          <w:p w14:paraId="2DD97DB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0.228</w:t>
            </w:r>
          </w:p>
        </w:tc>
        <w:tc>
          <w:tcPr>
            <w:tcW w:w="0" w:type="auto"/>
            <w:tcBorders>
              <w:top w:val="nil"/>
              <w:left w:val="nil"/>
              <w:bottom w:val="nil"/>
              <w:right w:val="nil"/>
            </w:tcBorders>
            <w:shd w:val="clear" w:color="auto" w:fill="auto"/>
            <w:noWrap/>
            <w:hideMark/>
          </w:tcPr>
          <w:p w14:paraId="0BB7EFE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0.200</w:t>
            </w:r>
          </w:p>
        </w:tc>
        <w:tc>
          <w:tcPr>
            <w:tcW w:w="0" w:type="auto"/>
            <w:tcBorders>
              <w:top w:val="nil"/>
              <w:left w:val="nil"/>
              <w:bottom w:val="nil"/>
              <w:right w:val="nil"/>
            </w:tcBorders>
            <w:shd w:val="clear" w:color="auto" w:fill="auto"/>
            <w:noWrap/>
            <w:hideMark/>
          </w:tcPr>
          <w:p w14:paraId="2A7A58E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hideMark/>
          </w:tcPr>
          <w:p w14:paraId="32B0E79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0.081</w:t>
            </w:r>
          </w:p>
        </w:tc>
        <w:tc>
          <w:tcPr>
            <w:tcW w:w="0" w:type="auto"/>
            <w:tcBorders>
              <w:top w:val="nil"/>
              <w:left w:val="nil"/>
              <w:bottom w:val="nil"/>
              <w:right w:val="nil"/>
            </w:tcBorders>
            <w:shd w:val="clear" w:color="auto" w:fill="auto"/>
            <w:noWrap/>
            <w:hideMark/>
          </w:tcPr>
          <w:p w14:paraId="47B2422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0.036</w:t>
            </w:r>
          </w:p>
        </w:tc>
        <w:tc>
          <w:tcPr>
            <w:tcW w:w="0" w:type="auto"/>
            <w:tcBorders>
              <w:top w:val="nil"/>
              <w:left w:val="nil"/>
              <w:bottom w:val="nil"/>
              <w:right w:val="nil"/>
            </w:tcBorders>
            <w:shd w:val="clear" w:color="auto" w:fill="auto"/>
            <w:noWrap/>
            <w:hideMark/>
          </w:tcPr>
          <w:p w14:paraId="1C9FF2D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0" w:type="auto"/>
            <w:tcBorders>
              <w:top w:val="nil"/>
              <w:left w:val="nil"/>
              <w:bottom w:val="nil"/>
              <w:right w:val="nil"/>
            </w:tcBorders>
            <w:shd w:val="clear" w:color="auto" w:fill="auto"/>
            <w:noWrap/>
            <w:hideMark/>
          </w:tcPr>
          <w:p w14:paraId="3F34B9F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0.502</w:t>
            </w:r>
          </w:p>
        </w:tc>
        <w:tc>
          <w:tcPr>
            <w:tcW w:w="0" w:type="auto"/>
            <w:tcBorders>
              <w:top w:val="nil"/>
              <w:left w:val="nil"/>
              <w:bottom w:val="nil"/>
              <w:right w:val="nil"/>
            </w:tcBorders>
            <w:shd w:val="clear" w:color="auto" w:fill="auto"/>
            <w:noWrap/>
            <w:hideMark/>
          </w:tcPr>
          <w:p w14:paraId="64CEFC9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0.154</w:t>
            </w:r>
          </w:p>
        </w:tc>
        <w:tc>
          <w:tcPr>
            <w:tcW w:w="834" w:type="dxa"/>
            <w:tcBorders>
              <w:top w:val="nil"/>
              <w:left w:val="nil"/>
              <w:bottom w:val="nil"/>
              <w:right w:val="nil"/>
            </w:tcBorders>
            <w:shd w:val="clear" w:color="auto" w:fill="auto"/>
            <w:noWrap/>
            <w:hideMark/>
          </w:tcPr>
          <w:p w14:paraId="73BE029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hideMark/>
          </w:tcPr>
          <w:p w14:paraId="5B76B98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0.056</w:t>
            </w:r>
          </w:p>
        </w:tc>
        <w:tc>
          <w:tcPr>
            <w:tcW w:w="0" w:type="auto"/>
            <w:tcBorders>
              <w:top w:val="nil"/>
              <w:left w:val="nil"/>
              <w:bottom w:val="nil"/>
              <w:right w:val="nil"/>
            </w:tcBorders>
            <w:shd w:val="clear" w:color="auto" w:fill="auto"/>
            <w:noWrap/>
            <w:hideMark/>
          </w:tcPr>
          <w:p w14:paraId="74B8DD0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0.172</w:t>
            </w:r>
          </w:p>
        </w:tc>
        <w:tc>
          <w:tcPr>
            <w:tcW w:w="0" w:type="auto"/>
            <w:tcBorders>
              <w:top w:val="nil"/>
              <w:left w:val="nil"/>
              <w:bottom w:val="nil"/>
              <w:right w:val="nil"/>
            </w:tcBorders>
            <w:shd w:val="clear" w:color="auto" w:fill="auto"/>
            <w:noWrap/>
            <w:hideMark/>
          </w:tcPr>
          <w:p w14:paraId="7304B6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0.022</w:t>
            </w:r>
          </w:p>
        </w:tc>
        <w:tc>
          <w:tcPr>
            <w:tcW w:w="0" w:type="auto"/>
            <w:tcBorders>
              <w:top w:val="nil"/>
              <w:left w:val="nil"/>
              <w:bottom w:val="nil"/>
              <w:right w:val="nil"/>
            </w:tcBorders>
            <w:shd w:val="clear" w:color="auto" w:fill="auto"/>
            <w:noWrap/>
            <w:hideMark/>
          </w:tcPr>
          <w:p w14:paraId="16E4CAB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0.643</w:t>
            </w:r>
          </w:p>
        </w:tc>
        <w:tc>
          <w:tcPr>
            <w:tcW w:w="0" w:type="auto"/>
            <w:tcBorders>
              <w:top w:val="nil"/>
              <w:left w:val="nil"/>
              <w:bottom w:val="nil"/>
              <w:right w:val="nil"/>
            </w:tcBorders>
            <w:shd w:val="clear" w:color="auto" w:fill="auto"/>
            <w:noWrap/>
            <w:hideMark/>
          </w:tcPr>
          <w:p w14:paraId="62424B1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hideMark/>
          </w:tcPr>
          <w:p w14:paraId="24468A9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0.965</w:t>
            </w:r>
          </w:p>
        </w:tc>
      </w:tr>
      <w:tr w:rsidR="000A173E" w:rsidRPr="00FF6562" w14:paraId="316E493F" w14:textId="77777777" w:rsidTr="000A173E">
        <w:trPr>
          <w:gridAfter w:val="1"/>
          <w:wAfter w:w="12" w:type="dxa"/>
          <w:trHeight w:val="222"/>
        </w:trPr>
        <w:tc>
          <w:tcPr>
            <w:tcW w:w="0" w:type="auto"/>
            <w:tcBorders>
              <w:top w:val="nil"/>
              <w:left w:val="nil"/>
              <w:bottom w:val="nil"/>
              <w:right w:val="nil"/>
            </w:tcBorders>
            <w:shd w:val="clear" w:color="auto" w:fill="auto"/>
            <w:noWrap/>
            <w:hideMark/>
          </w:tcPr>
          <w:p w14:paraId="1C040D9D"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11</m:t>
                    </m:r>
                  </m:sub>
                </m:sSub>
              </m:oMath>
            </m:oMathPara>
          </w:p>
        </w:tc>
        <w:tc>
          <w:tcPr>
            <w:tcW w:w="0" w:type="auto"/>
            <w:tcBorders>
              <w:top w:val="nil"/>
              <w:left w:val="nil"/>
              <w:bottom w:val="nil"/>
              <w:right w:val="nil"/>
            </w:tcBorders>
            <w:shd w:val="clear" w:color="auto" w:fill="auto"/>
            <w:noWrap/>
            <w:hideMark/>
          </w:tcPr>
          <w:p w14:paraId="628AFD1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0" w:type="auto"/>
            <w:tcBorders>
              <w:top w:val="nil"/>
              <w:left w:val="nil"/>
              <w:bottom w:val="nil"/>
              <w:right w:val="nil"/>
            </w:tcBorders>
            <w:shd w:val="clear" w:color="auto" w:fill="auto"/>
            <w:noWrap/>
            <w:hideMark/>
          </w:tcPr>
          <w:p w14:paraId="091CA9B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0.647</w:t>
            </w:r>
          </w:p>
        </w:tc>
        <w:tc>
          <w:tcPr>
            <w:tcW w:w="0" w:type="auto"/>
            <w:tcBorders>
              <w:top w:val="nil"/>
              <w:left w:val="nil"/>
              <w:bottom w:val="nil"/>
              <w:right w:val="nil"/>
            </w:tcBorders>
            <w:shd w:val="clear" w:color="auto" w:fill="auto"/>
            <w:noWrap/>
            <w:hideMark/>
          </w:tcPr>
          <w:p w14:paraId="2BA767B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0.159</w:t>
            </w:r>
          </w:p>
        </w:tc>
        <w:tc>
          <w:tcPr>
            <w:tcW w:w="0" w:type="auto"/>
            <w:tcBorders>
              <w:top w:val="nil"/>
              <w:left w:val="nil"/>
              <w:bottom w:val="nil"/>
              <w:right w:val="nil"/>
            </w:tcBorders>
            <w:shd w:val="clear" w:color="auto" w:fill="auto"/>
            <w:noWrap/>
            <w:hideMark/>
          </w:tcPr>
          <w:p w14:paraId="50436F1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0.015</w:t>
            </w:r>
          </w:p>
        </w:tc>
        <w:tc>
          <w:tcPr>
            <w:tcW w:w="0" w:type="auto"/>
            <w:tcBorders>
              <w:top w:val="nil"/>
              <w:left w:val="nil"/>
              <w:bottom w:val="nil"/>
              <w:right w:val="nil"/>
            </w:tcBorders>
            <w:shd w:val="clear" w:color="auto" w:fill="auto"/>
            <w:noWrap/>
            <w:hideMark/>
          </w:tcPr>
          <w:p w14:paraId="460A80E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0" w:type="auto"/>
            <w:tcBorders>
              <w:top w:val="nil"/>
              <w:left w:val="nil"/>
              <w:bottom w:val="nil"/>
              <w:right w:val="nil"/>
            </w:tcBorders>
            <w:shd w:val="clear" w:color="auto" w:fill="auto"/>
            <w:noWrap/>
            <w:hideMark/>
          </w:tcPr>
          <w:p w14:paraId="1BFF0D4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0.887</w:t>
            </w:r>
          </w:p>
        </w:tc>
        <w:tc>
          <w:tcPr>
            <w:tcW w:w="0" w:type="auto"/>
            <w:tcBorders>
              <w:top w:val="nil"/>
              <w:left w:val="nil"/>
              <w:bottom w:val="nil"/>
              <w:right w:val="nil"/>
            </w:tcBorders>
            <w:shd w:val="clear" w:color="auto" w:fill="auto"/>
            <w:noWrap/>
            <w:hideMark/>
          </w:tcPr>
          <w:p w14:paraId="22AE53D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-0.022</w:t>
            </w:r>
          </w:p>
        </w:tc>
        <w:tc>
          <w:tcPr>
            <w:tcW w:w="0" w:type="auto"/>
            <w:tcBorders>
              <w:top w:val="nil"/>
              <w:left w:val="nil"/>
              <w:bottom w:val="nil"/>
              <w:right w:val="nil"/>
            </w:tcBorders>
            <w:shd w:val="clear" w:color="auto" w:fill="auto"/>
            <w:noWrap/>
            <w:hideMark/>
          </w:tcPr>
          <w:p w14:paraId="14D20A5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0.766</w:t>
            </w:r>
          </w:p>
        </w:tc>
        <w:tc>
          <w:tcPr>
            <w:tcW w:w="0" w:type="auto"/>
            <w:tcBorders>
              <w:top w:val="nil"/>
              <w:left w:val="nil"/>
              <w:bottom w:val="nil"/>
              <w:right w:val="nil"/>
            </w:tcBorders>
            <w:shd w:val="clear" w:color="auto" w:fill="auto"/>
            <w:noWrap/>
            <w:hideMark/>
          </w:tcPr>
          <w:p w14:paraId="58E257E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0.031</w:t>
            </w:r>
          </w:p>
        </w:tc>
        <w:tc>
          <w:tcPr>
            <w:tcW w:w="0" w:type="auto"/>
            <w:tcBorders>
              <w:top w:val="nil"/>
              <w:left w:val="nil"/>
              <w:bottom w:val="nil"/>
              <w:right w:val="nil"/>
            </w:tcBorders>
            <w:shd w:val="clear" w:color="auto" w:fill="auto"/>
            <w:noWrap/>
            <w:hideMark/>
          </w:tcPr>
          <w:p w14:paraId="7E54407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0.667</w:t>
            </w:r>
          </w:p>
        </w:tc>
        <w:tc>
          <w:tcPr>
            <w:tcW w:w="0" w:type="auto"/>
            <w:tcBorders>
              <w:top w:val="nil"/>
              <w:left w:val="nil"/>
              <w:bottom w:val="nil"/>
              <w:right w:val="nil"/>
            </w:tcBorders>
            <w:shd w:val="clear" w:color="auto" w:fill="auto"/>
            <w:noWrap/>
            <w:hideMark/>
          </w:tcPr>
          <w:p w14:paraId="013B055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0.105</w:t>
            </w:r>
          </w:p>
        </w:tc>
        <w:tc>
          <w:tcPr>
            <w:tcW w:w="0" w:type="auto"/>
            <w:tcBorders>
              <w:top w:val="nil"/>
              <w:left w:val="nil"/>
              <w:bottom w:val="nil"/>
              <w:right w:val="nil"/>
            </w:tcBorders>
            <w:shd w:val="clear" w:color="auto" w:fill="auto"/>
            <w:noWrap/>
            <w:hideMark/>
          </w:tcPr>
          <w:p w14:paraId="504936F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0.109</w:t>
            </w:r>
          </w:p>
        </w:tc>
        <w:tc>
          <w:tcPr>
            <w:tcW w:w="0" w:type="auto"/>
            <w:tcBorders>
              <w:top w:val="nil"/>
              <w:left w:val="nil"/>
              <w:bottom w:val="nil"/>
              <w:right w:val="nil"/>
            </w:tcBorders>
            <w:shd w:val="clear" w:color="auto" w:fill="auto"/>
            <w:noWrap/>
            <w:hideMark/>
          </w:tcPr>
          <w:p w14:paraId="23CEA9C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0.133</w:t>
            </w:r>
          </w:p>
        </w:tc>
        <w:tc>
          <w:tcPr>
            <w:tcW w:w="0" w:type="auto"/>
            <w:tcBorders>
              <w:top w:val="nil"/>
              <w:left w:val="nil"/>
              <w:bottom w:val="nil"/>
              <w:right w:val="nil"/>
            </w:tcBorders>
            <w:shd w:val="clear" w:color="auto" w:fill="auto"/>
            <w:noWrap/>
            <w:hideMark/>
          </w:tcPr>
          <w:p w14:paraId="4A54FD6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0.030</w:t>
            </w:r>
          </w:p>
        </w:tc>
        <w:tc>
          <w:tcPr>
            <w:tcW w:w="0" w:type="auto"/>
            <w:tcBorders>
              <w:top w:val="nil"/>
              <w:left w:val="nil"/>
              <w:bottom w:val="nil"/>
              <w:right w:val="nil"/>
            </w:tcBorders>
            <w:shd w:val="clear" w:color="auto" w:fill="auto"/>
            <w:noWrap/>
            <w:hideMark/>
          </w:tcPr>
          <w:p w14:paraId="39895F4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0.031</w:t>
            </w:r>
          </w:p>
        </w:tc>
        <w:tc>
          <w:tcPr>
            <w:tcW w:w="834" w:type="dxa"/>
            <w:tcBorders>
              <w:top w:val="nil"/>
              <w:left w:val="nil"/>
              <w:bottom w:val="nil"/>
              <w:right w:val="nil"/>
            </w:tcBorders>
            <w:shd w:val="clear" w:color="auto" w:fill="auto"/>
            <w:noWrap/>
            <w:hideMark/>
          </w:tcPr>
          <w:p w14:paraId="66184BD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0.640</w:t>
            </w:r>
          </w:p>
        </w:tc>
        <w:tc>
          <w:tcPr>
            <w:tcW w:w="0" w:type="auto"/>
            <w:tcBorders>
              <w:top w:val="nil"/>
              <w:left w:val="nil"/>
              <w:bottom w:val="nil"/>
              <w:right w:val="nil"/>
            </w:tcBorders>
            <w:shd w:val="clear" w:color="auto" w:fill="auto"/>
            <w:noWrap/>
            <w:hideMark/>
          </w:tcPr>
          <w:p w14:paraId="4D21F09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0.206</w:t>
            </w:r>
          </w:p>
        </w:tc>
        <w:tc>
          <w:tcPr>
            <w:tcW w:w="0" w:type="auto"/>
            <w:tcBorders>
              <w:top w:val="nil"/>
              <w:left w:val="nil"/>
              <w:bottom w:val="nil"/>
              <w:right w:val="nil"/>
            </w:tcBorders>
            <w:shd w:val="clear" w:color="auto" w:fill="auto"/>
            <w:noWrap/>
            <w:hideMark/>
          </w:tcPr>
          <w:p w14:paraId="2A178BE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645ED57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0.053</w:t>
            </w:r>
          </w:p>
        </w:tc>
        <w:tc>
          <w:tcPr>
            <w:tcW w:w="0" w:type="auto"/>
            <w:tcBorders>
              <w:top w:val="nil"/>
              <w:left w:val="nil"/>
              <w:bottom w:val="nil"/>
              <w:right w:val="nil"/>
            </w:tcBorders>
            <w:shd w:val="clear" w:color="auto" w:fill="auto"/>
            <w:noWrap/>
            <w:hideMark/>
          </w:tcPr>
          <w:p w14:paraId="2530FB9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0.376</w:t>
            </w:r>
          </w:p>
        </w:tc>
        <w:tc>
          <w:tcPr>
            <w:tcW w:w="0" w:type="auto"/>
            <w:tcBorders>
              <w:top w:val="nil"/>
              <w:left w:val="nil"/>
              <w:bottom w:val="nil"/>
              <w:right w:val="nil"/>
            </w:tcBorders>
            <w:shd w:val="clear" w:color="auto" w:fill="auto"/>
            <w:noWrap/>
            <w:hideMark/>
          </w:tcPr>
          <w:p w14:paraId="632FDDB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0.047</w:t>
            </w:r>
          </w:p>
        </w:tc>
        <w:tc>
          <w:tcPr>
            <w:tcW w:w="0" w:type="auto"/>
            <w:tcBorders>
              <w:top w:val="nil"/>
              <w:left w:val="nil"/>
              <w:bottom w:val="nil"/>
              <w:right w:val="nil"/>
            </w:tcBorders>
            <w:shd w:val="clear" w:color="auto" w:fill="auto"/>
            <w:noWrap/>
            <w:hideMark/>
          </w:tcPr>
          <w:p w14:paraId="3E5A835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0.457</w:t>
            </w:r>
          </w:p>
        </w:tc>
      </w:tr>
      <w:tr w:rsidR="000A173E" w:rsidRPr="00FF6562" w14:paraId="2D8E9751" w14:textId="77777777" w:rsidTr="000A173E">
        <w:trPr>
          <w:gridAfter w:val="1"/>
          <w:wAfter w:w="12" w:type="dxa"/>
          <w:trHeight w:val="222"/>
        </w:trPr>
        <w:tc>
          <w:tcPr>
            <w:tcW w:w="0" w:type="auto"/>
            <w:tcBorders>
              <w:top w:val="nil"/>
              <w:left w:val="nil"/>
              <w:bottom w:val="nil"/>
              <w:right w:val="nil"/>
            </w:tcBorders>
            <w:shd w:val="clear" w:color="auto" w:fill="auto"/>
            <w:noWrap/>
            <w:hideMark/>
          </w:tcPr>
          <w:p w14:paraId="6EFCD425"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12</m:t>
                    </m:r>
                  </m:sub>
                </m:sSub>
              </m:oMath>
            </m:oMathPara>
          </w:p>
        </w:tc>
        <w:tc>
          <w:tcPr>
            <w:tcW w:w="0" w:type="auto"/>
            <w:tcBorders>
              <w:top w:val="nil"/>
              <w:left w:val="nil"/>
              <w:bottom w:val="nil"/>
              <w:right w:val="nil"/>
            </w:tcBorders>
            <w:shd w:val="clear" w:color="auto" w:fill="auto"/>
            <w:noWrap/>
            <w:hideMark/>
          </w:tcPr>
          <w:p w14:paraId="74637C9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-0.882</w:t>
            </w:r>
          </w:p>
        </w:tc>
        <w:tc>
          <w:tcPr>
            <w:tcW w:w="0" w:type="auto"/>
            <w:tcBorders>
              <w:top w:val="nil"/>
              <w:left w:val="nil"/>
              <w:bottom w:val="nil"/>
              <w:right w:val="nil"/>
            </w:tcBorders>
            <w:shd w:val="clear" w:color="auto" w:fill="auto"/>
            <w:noWrap/>
            <w:hideMark/>
          </w:tcPr>
          <w:p w14:paraId="27B05F8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0.081</w:t>
            </w:r>
          </w:p>
        </w:tc>
        <w:tc>
          <w:tcPr>
            <w:tcW w:w="0" w:type="auto"/>
            <w:tcBorders>
              <w:top w:val="nil"/>
              <w:left w:val="nil"/>
              <w:bottom w:val="nil"/>
              <w:right w:val="nil"/>
            </w:tcBorders>
            <w:shd w:val="clear" w:color="auto" w:fill="auto"/>
            <w:noWrap/>
            <w:hideMark/>
          </w:tcPr>
          <w:p w14:paraId="344DF62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-1.274</w:t>
            </w:r>
          </w:p>
        </w:tc>
        <w:tc>
          <w:tcPr>
            <w:tcW w:w="0" w:type="auto"/>
            <w:tcBorders>
              <w:top w:val="nil"/>
              <w:left w:val="nil"/>
              <w:bottom w:val="nil"/>
              <w:right w:val="nil"/>
            </w:tcBorders>
            <w:shd w:val="clear" w:color="auto" w:fill="auto"/>
            <w:noWrap/>
            <w:hideMark/>
          </w:tcPr>
          <w:p w14:paraId="2DE8A81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0.024</w:t>
            </w:r>
          </w:p>
        </w:tc>
        <w:tc>
          <w:tcPr>
            <w:tcW w:w="0" w:type="auto"/>
            <w:tcBorders>
              <w:top w:val="nil"/>
              <w:left w:val="nil"/>
              <w:bottom w:val="nil"/>
              <w:right w:val="nil"/>
            </w:tcBorders>
            <w:shd w:val="clear" w:color="auto" w:fill="auto"/>
            <w:noWrap/>
            <w:hideMark/>
          </w:tcPr>
          <w:p w14:paraId="518501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0.428</w:t>
            </w:r>
          </w:p>
        </w:tc>
        <w:tc>
          <w:tcPr>
            <w:tcW w:w="0" w:type="auto"/>
            <w:tcBorders>
              <w:top w:val="nil"/>
              <w:left w:val="nil"/>
              <w:bottom w:val="nil"/>
              <w:right w:val="nil"/>
            </w:tcBorders>
            <w:shd w:val="clear" w:color="auto" w:fill="auto"/>
            <w:noWrap/>
            <w:hideMark/>
          </w:tcPr>
          <w:p w14:paraId="76A1E21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0.511</w:t>
            </w:r>
          </w:p>
        </w:tc>
        <w:tc>
          <w:tcPr>
            <w:tcW w:w="0" w:type="auto"/>
            <w:tcBorders>
              <w:top w:val="nil"/>
              <w:left w:val="nil"/>
              <w:bottom w:val="nil"/>
              <w:right w:val="nil"/>
            </w:tcBorders>
            <w:shd w:val="clear" w:color="auto" w:fill="auto"/>
            <w:noWrap/>
            <w:hideMark/>
          </w:tcPr>
          <w:p w14:paraId="3B6B926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-0.605</w:t>
            </w:r>
          </w:p>
        </w:tc>
        <w:tc>
          <w:tcPr>
            <w:tcW w:w="0" w:type="auto"/>
            <w:tcBorders>
              <w:top w:val="nil"/>
              <w:left w:val="nil"/>
              <w:bottom w:val="nil"/>
              <w:right w:val="nil"/>
            </w:tcBorders>
            <w:shd w:val="clear" w:color="auto" w:fill="auto"/>
            <w:noWrap/>
            <w:hideMark/>
          </w:tcPr>
          <w:p w14:paraId="28DC519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0.118</w:t>
            </w:r>
          </w:p>
        </w:tc>
        <w:tc>
          <w:tcPr>
            <w:tcW w:w="0" w:type="auto"/>
            <w:tcBorders>
              <w:top w:val="nil"/>
              <w:left w:val="nil"/>
              <w:bottom w:val="nil"/>
              <w:right w:val="nil"/>
            </w:tcBorders>
            <w:shd w:val="clear" w:color="auto" w:fill="auto"/>
            <w:noWrap/>
            <w:hideMark/>
          </w:tcPr>
          <w:p w14:paraId="27339F7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-0.467</w:t>
            </w:r>
          </w:p>
        </w:tc>
        <w:tc>
          <w:tcPr>
            <w:tcW w:w="0" w:type="auto"/>
            <w:tcBorders>
              <w:top w:val="nil"/>
              <w:left w:val="nil"/>
              <w:bottom w:val="nil"/>
              <w:right w:val="nil"/>
            </w:tcBorders>
            <w:shd w:val="clear" w:color="auto" w:fill="auto"/>
            <w:noWrap/>
            <w:hideMark/>
          </w:tcPr>
          <w:p w14:paraId="027A8C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0.275</w:t>
            </w:r>
          </w:p>
        </w:tc>
        <w:tc>
          <w:tcPr>
            <w:tcW w:w="0" w:type="auto"/>
            <w:tcBorders>
              <w:top w:val="nil"/>
              <w:left w:val="nil"/>
              <w:bottom w:val="nil"/>
              <w:right w:val="nil"/>
            </w:tcBorders>
            <w:shd w:val="clear" w:color="auto" w:fill="auto"/>
            <w:noWrap/>
            <w:hideMark/>
          </w:tcPr>
          <w:p w14:paraId="325D876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-0.902</w:t>
            </w:r>
          </w:p>
        </w:tc>
        <w:tc>
          <w:tcPr>
            <w:tcW w:w="0" w:type="auto"/>
            <w:tcBorders>
              <w:top w:val="nil"/>
              <w:left w:val="nil"/>
              <w:bottom w:val="nil"/>
              <w:right w:val="nil"/>
            </w:tcBorders>
            <w:shd w:val="clear" w:color="auto" w:fill="auto"/>
            <w:noWrap/>
            <w:hideMark/>
          </w:tcPr>
          <w:p w14:paraId="4921537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0.272</w:t>
            </w:r>
          </w:p>
        </w:tc>
        <w:tc>
          <w:tcPr>
            <w:tcW w:w="0" w:type="auto"/>
            <w:tcBorders>
              <w:top w:val="nil"/>
              <w:left w:val="nil"/>
              <w:bottom w:val="nil"/>
              <w:right w:val="nil"/>
            </w:tcBorders>
            <w:shd w:val="clear" w:color="auto" w:fill="auto"/>
            <w:noWrap/>
            <w:hideMark/>
          </w:tcPr>
          <w:p w14:paraId="1E8BD82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-0.606</w:t>
            </w:r>
          </w:p>
        </w:tc>
        <w:tc>
          <w:tcPr>
            <w:tcW w:w="0" w:type="auto"/>
            <w:tcBorders>
              <w:top w:val="nil"/>
              <w:left w:val="nil"/>
              <w:bottom w:val="nil"/>
              <w:right w:val="nil"/>
            </w:tcBorders>
            <w:shd w:val="clear" w:color="auto" w:fill="auto"/>
            <w:noWrap/>
            <w:hideMark/>
          </w:tcPr>
          <w:p w14:paraId="75F0BE9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0.416</w:t>
            </w:r>
          </w:p>
        </w:tc>
        <w:tc>
          <w:tcPr>
            <w:tcW w:w="0" w:type="auto"/>
            <w:tcBorders>
              <w:top w:val="nil"/>
              <w:left w:val="nil"/>
              <w:bottom w:val="nil"/>
              <w:right w:val="nil"/>
            </w:tcBorders>
            <w:shd w:val="clear" w:color="auto" w:fill="auto"/>
            <w:noWrap/>
            <w:hideMark/>
          </w:tcPr>
          <w:p w14:paraId="2FCC7FF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-0.908</w:t>
            </w:r>
          </w:p>
        </w:tc>
        <w:tc>
          <w:tcPr>
            <w:tcW w:w="834" w:type="dxa"/>
            <w:tcBorders>
              <w:top w:val="nil"/>
              <w:left w:val="nil"/>
              <w:bottom w:val="nil"/>
              <w:right w:val="nil"/>
            </w:tcBorders>
            <w:shd w:val="clear" w:color="auto" w:fill="auto"/>
            <w:noWrap/>
            <w:hideMark/>
          </w:tcPr>
          <w:p w14:paraId="53553FB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0.052</w:t>
            </w:r>
          </w:p>
        </w:tc>
        <w:tc>
          <w:tcPr>
            <w:tcW w:w="0" w:type="auto"/>
            <w:tcBorders>
              <w:top w:val="nil"/>
              <w:left w:val="nil"/>
              <w:bottom w:val="nil"/>
              <w:right w:val="nil"/>
            </w:tcBorders>
            <w:shd w:val="clear" w:color="auto" w:fill="auto"/>
            <w:noWrap/>
            <w:hideMark/>
          </w:tcPr>
          <w:p w14:paraId="0879BF9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-0.874</w:t>
            </w:r>
          </w:p>
        </w:tc>
        <w:tc>
          <w:tcPr>
            <w:tcW w:w="0" w:type="auto"/>
            <w:tcBorders>
              <w:top w:val="nil"/>
              <w:left w:val="nil"/>
              <w:bottom w:val="nil"/>
              <w:right w:val="nil"/>
            </w:tcBorders>
            <w:shd w:val="clear" w:color="auto" w:fill="auto"/>
            <w:noWrap/>
            <w:hideMark/>
          </w:tcPr>
          <w:p w14:paraId="41B816F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0.327</w:t>
            </w:r>
          </w:p>
        </w:tc>
        <w:tc>
          <w:tcPr>
            <w:tcW w:w="0" w:type="auto"/>
            <w:tcBorders>
              <w:top w:val="nil"/>
              <w:left w:val="nil"/>
              <w:bottom w:val="nil"/>
              <w:right w:val="nil"/>
            </w:tcBorders>
            <w:shd w:val="clear" w:color="auto" w:fill="auto"/>
            <w:noWrap/>
            <w:hideMark/>
          </w:tcPr>
          <w:p w14:paraId="4E54E48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-1.100</w:t>
            </w:r>
          </w:p>
        </w:tc>
        <w:tc>
          <w:tcPr>
            <w:tcW w:w="0" w:type="auto"/>
            <w:tcBorders>
              <w:top w:val="nil"/>
              <w:left w:val="nil"/>
              <w:bottom w:val="nil"/>
              <w:right w:val="nil"/>
            </w:tcBorders>
            <w:shd w:val="clear" w:color="auto" w:fill="auto"/>
            <w:noWrap/>
            <w:hideMark/>
          </w:tcPr>
          <w:p w14:paraId="29D00C1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0.040</w:t>
            </w:r>
          </w:p>
        </w:tc>
        <w:tc>
          <w:tcPr>
            <w:tcW w:w="0" w:type="auto"/>
            <w:tcBorders>
              <w:top w:val="nil"/>
              <w:left w:val="nil"/>
              <w:bottom w:val="nil"/>
              <w:right w:val="nil"/>
            </w:tcBorders>
            <w:shd w:val="clear" w:color="auto" w:fill="auto"/>
            <w:noWrap/>
            <w:hideMark/>
          </w:tcPr>
          <w:p w14:paraId="2D6CFAF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-0.645</w:t>
            </w:r>
          </w:p>
        </w:tc>
        <w:tc>
          <w:tcPr>
            <w:tcW w:w="0" w:type="auto"/>
            <w:tcBorders>
              <w:top w:val="nil"/>
              <w:left w:val="nil"/>
              <w:bottom w:val="nil"/>
              <w:right w:val="nil"/>
            </w:tcBorders>
            <w:shd w:val="clear" w:color="auto" w:fill="auto"/>
            <w:noWrap/>
            <w:hideMark/>
          </w:tcPr>
          <w:p w14:paraId="48E5A8E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0.164</w:t>
            </w:r>
          </w:p>
        </w:tc>
      </w:tr>
      <w:tr w:rsidR="000A173E" w:rsidRPr="00FF6562" w14:paraId="4F405874" w14:textId="77777777" w:rsidTr="000A173E">
        <w:trPr>
          <w:gridAfter w:val="1"/>
          <w:wAfter w:w="12" w:type="dxa"/>
          <w:trHeight w:val="222"/>
        </w:trPr>
        <w:tc>
          <w:tcPr>
            <w:tcW w:w="0" w:type="auto"/>
            <w:tcBorders>
              <w:top w:val="nil"/>
              <w:left w:val="nil"/>
              <w:bottom w:val="nil"/>
              <w:right w:val="nil"/>
            </w:tcBorders>
            <w:shd w:val="clear" w:color="auto" w:fill="auto"/>
            <w:noWrap/>
            <w:hideMark/>
          </w:tcPr>
          <w:p w14:paraId="524FC4A2"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μ</m:t>
                    </m:r>
                  </m:e>
                  <m:sub>
                    <m:r>
                      <w:rPr>
                        <w:rFonts w:ascii="Cambria Math" w:hAnsi="Cambria Math" w:cs="Times New Roman"/>
                        <w:color w:val="000000" w:themeColor="text1"/>
                        <w:sz w:val="16"/>
                        <w:szCs w:val="16"/>
                        <w:lang w:eastAsia="en-GB"/>
                      </w:rPr>
                      <m:t>2</m:t>
                    </m:r>
                  </m:sub>
                </m:sSub>
              </m:oMath>
            </m:oMathPara>
          </w:p>
        </w:tc>
        <w:tc>
          <w:tcPr>
            <w:tcW w:w="0" w:type="auto"/>
            <w:tcBorders>
              <w:top w:val="nil"/>
              <w:left w:val="nil"/>
              <w:bottom w:val="nil"/>
              <w:right w:val="nil"/>
            </w:tcBorders>
            <w:shd w:val="clear" w:color="auto" w:fill="auto"/>
            <w:noWrap/>
            <w:hideMark/>
          </w:tcPr>
          <w:p w14:paraId="59375C4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-0.528</w:t>
            </w:r>
          </w:p>
        </w:tc>
        <w:tc>
          <w:tcPr>
            <w:tcW w:w="0" w:type="auto"/>
            <w:tcBorders>
              <w:top w:val="nil"/>
              <w:left w:val="nil"/>
              <w:bottom w:val="nil"/>
              <w:right w:val="nil"/>
            </w:tcBorders>
            <w:shd w:val="clear" w:color="auto" w:fill="auto"/>
            <w:noWrap/>
            <w:hideMark/>
          </w:tcPr>
          <w:p w14:paraId="3BDB2EE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0.476</w:t>
            </w:r>
          </w:p>
        </w:tc>
        <w:tc>
          <w:tcPr>
            <w:tcW w:w="0" w:type="auto"/>
            <w:tcBorders>
              <w:top w:val="nil"/>
              <w:left w:val="nil"/>
              <w:bottom w:val="nil"/>
              <w:right w:val="nil"/>
            </w:tcBorders>
            <w:shd w:val="clear" w:color="auto" w:fill="auto"/>
            <w:noWrap/>
            <w:hideMark/>
          </w:tcPr>
          <w:p w14:paraId="62A37FC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-0.489</w:t>
            </w:r>
          </w:p>
        </w:tc>
        <w:tc>
          <w:tcPr>
            <w:tcW w:w="0" w:type="auto"/>
            <w:tcBorders>
              <w:top w:val="nil"/>
              <w:left w:val="nil"/>
              <w:bottom w:val="nil"/>
              <w:right w:val="nil"/>
            </w:tcBorders>
            <w:shd w:val="clear" w:color="auto" w:fill="auto"/>
            <w:noWrap/>
            <w:hideMark/>
          </w:tcPr>
          <w:p w14:paraId="356ACF8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0.538</w:t>
            </w:r>
          </w:p>
        </w:tc>
        <w:tc>
          <w:tcPr>
            <w:tcW w:w="0" w:type="auto"/>
            <w:tcBorders>
              <w:top w:val="nil"/>
              <w:left w:val="nil"/>
              <w:bottom w:val="nil"/>
              <w:right w:val="nil"/>
            </w:tcBorders>
            <w:shd w:val="clear" w:color="auto" w:fill="auto"/>
            <w:noWrap/>
            <w:hideMark/>
          </w:tcPr>
          <w:p w14:paraId="5DA8A27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-0.579</w:t>
            </w:r>
          </w:p>
        </w:tc>
        <w:tc>
          <w:tcPr>
            <w:tcW w:w="0" w:type="auto"/>
            <w:tcBorders>
              <w:top w:val="nil"/>
              <w:left w:val="nil"/>
              <w:bottom w:val="nil"/>
              <w:right w:val="nil"/>
            </w:tcBorders>
            <w:shd w:val="clear" w:color="auto" w:fill="auto"/>
            <w:noWrap/>
            <w:hideMark/>
          </w:tcPr>
          <w:p w14:paraId="296DBE6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0.438</w:t>
            </w:r>
          </w:p>
        </w:tc>
        <w:tc>
          <w:tcPr>
            <w:tcW w:w="0" w:type="auto"/>
            <w:tcBorders>
              <w:top w:val="nil"/>
              <w:left w:val="nil"/>
              <w:bottom w:val="nil"/>
              <w:right w:val="nil"/>
            </w:tcBorders>
            <w:shd w:val="clear" w:color="auto" w:fill="auto"/>
            <w:noWrap/>
            <w:hideMark/>
          </w:tcPr>
          <w:p w14:paraId="722EED2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-1.006</w:t>
            </w:r>
          </w:p>
        </w:tc>
        <w:tc>
          <w:tcPr>
            <w:tcW w:w="0" w:type="auto"/>
            <w:tcBorders>
              <w:top w:val="nil"/>
              <w:left w:val="nil"/>
              <w:bottom w:val="nil"/>
              <w:right w:val="nil"/>
            </w:tcBorders>
            <w:shd w:val="clear" w:color="auto" w:fill="auto"/>
            <w:noWrap/>
            <w:hideMark/>
          </w:tcPr>
          <w:p w14:paraId="0D4BF82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0.196</w:t>
            </w:r>
          </w:p>
        </w:tc>
        <w:tc>
          <w:tcPr>
            <w:tcW w:w="0" w:type="auto"/>
            <w:tcBorders>
              <w:top w:val="nil"/>
              <w:left w:val="nil"/>
              <w:bottom w:val="nil"/>
              <w:right w:val="nil"/>
            </w:tcBorders>
            <w:shd w:val="clear" w:color="auto" w:fill="auto"/>
            <w:noWrap/>
            <w:hideMark/>
          </w:tcPr>
          <w:p w14:paraId="367C096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-0.737</w:t>
            </w:r>
          </w:p>
        </w:tc>
        <w:tc>
          <w:tcPr>
            <w:tcW w:w="0" w:type="auto"/>
            <w:tcBorders>
              <w:top w:val="nil"/>
              <w:left w:val="nil"/>
              <w:bottom w:val="nil"/>
              <w:right w:val="nil"/>
            </w:tcBorders>
            <w:shd w:val="clear" w:color="auto" w:fill="auto"/>
            <w:noWrap/>
            <w:hideMark/>
          </w:tcPr>
          <w:p w14:paraId="4F8152F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0.187</w:t>
            </w:r>
          </w:p>
        </w:tc>
        <w:tc>
          <w:tcPr>
            <w:tcW w:w="0" w:type="auto"/>
            <w:tcBorders>
              <w:top w:val="nil"/>
              <w:left w:val="nil"/>
              <w:bottom w:val="nil"/>
              <w:right w:val="nil"/>
            </w:tcBorders>
            <w:shd w:val="clear" w:color="auto" w:fill="auto"/>
            <w:noWrap/>
            <w:hideMark/>
          </w:tcPr>
          <w:p w14:paraId="2F5991F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-0.583</w:t>
            </w:r>
          </w:p>
        </w:tc>
        <w:tc>
          <w:tcPr>
            <w:tcW w:w="0" w:type="auto"/>
            <w:tcBorders>
              <w:top w:val="nil"/>
              <w:left w:val="nil"/>
              <w:bottom w:val="nil"/>
              <w:right w:val="nil"/>
            </w:tcBorders>
            <w:shd w:val="clear" w:color="auto" w:fill="auto"/>
            <w:noWrap/>
            <w:hideMark/>
          </w:tcPr>
          <w:p w14:paraId="1A40C92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0.331</w:t>
            </w:r>
          </w:p>
        </w:tc>
        <w:tc>
          <w:tcPr>
            <w:tcW w:w="0" w:type="auto"/>
            <w:tcBorders>
              <w:top w:val="nil"/>
              <w:left w:val="nil"/>
              <w:bottom w:val="nil"/>
              <w:right w:val="nil"/>
            </w:tcBorders>
            <w:shd w:val="clear" w:color="auto" w:fill="auto"/>
            <w:noWrap/>
            <w:hideMark/>
          </w:tcPr>
          <w:p w14:paraId="4272C28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-0.556</w:t>
            </w:r>
          </w:p>
        </w:tc>
        <w:tc>
          <w:tcPr>
            <w:tcW w:w="0" w:type="auto"/>
            <w:tcBorders>
              <w:top w:val="nil"/>
              <w:left w:val="nil"/>
              <w:bottom w:val="nil"/>
              <w:right w:val="nil"/>
            </w:tcBorders>
            <w:shd w:val="clear" w:color="auto" w:fill="auto"/>
            <w:noWrap/>
            <w:hideMark/>
          </w:tcPr>
          <w:p w14:paraId="479C8BB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0.399</w:t>
            </w:r>
          </w:p>
        </w:tc>
        <w:tc>
          <w:tcPr>
            <w:tcW w:w="0" w:type="auto"/>
            <w:tcBorders>
              <w:top w:val="nil"/>
              <w:left w:val="nil"/>
              <w:bottom w:val="nil"/>
              <w:right w:val="nil"/>
            </w:tcBorders>
            <w:shd w:val="clear" w:color="auto" w:fill="auto"/>
            <w:noWrap/>
            <w:hideMark/>
          </w:tcPr>
          <w:p w14:paraId="5BA8651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-0.490</w:t>
            </w:r>
          </w:p>
        </w:tc>
        <w:tc>
          <w:tcPr>
            <w:tcW w:w="834" w:type="dxa"/>
            <w:tcBorders>
              <w:top w:val="nil"/>
              <w:left w:val="nil"/>
              <w:bottom w:val="nil"/>
              <w:right w:val="nil"/>
            </w:tcBorders>
            <w:shd w:val="clear" w:color="auto" w:fill="auto"/>
            <w:noWrap/>
            <w:hideMark/>
          </w:tcPr>
          <w:p w14:paraId="663BD28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0.505</w:t>
            </w:r>
          </w:p>
        </w:tc>
        <w:tc>
          <w:tcPr>
            <w:tcW w:w="0" w:type="auto"/>
            <w:tcBorders>
              <w:top w:val="nil"/>
              <w:left w:val="nil"/>
              <w:bottom w:val="nil"/>
              <w:right w:val="nil"/>
            </w:tcBorders>
            <w:shd w:val="clear" w:color="auto" w:fill="auto"/>
            <w:noWrap/>
            <w:hideMark/>
          </w:tcPr>
          <w:p w14:paraId="2007E8A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-0.655</w:t>
            </w:r>
          </w:p>
        </w:tc>
        <w:tc>
          <w:tcPr>
            <w:tcW w:w="0" w:type="auto"/>
            <w:tcBorders>
              <w:top w:val="nil"/>
              <w:left w:val="nil"/>
              <w:bottom w:val="nil"/>
              <w:right w:val="nil"/>
            </w:tcBorders>
            <w:shd w:val="clear" w:color="auto" w:fill="auto"/>
            <w:noWrap/>
            <w:hideMark/>
          </w:tcPr>
          <w:p w14:paraId="6A74E1D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0.315</w:t>
            </w:r>
          </w:p>
        </w:tc>
        <w:tc>
          <w:tcPr>
            <w:tcW w:w="0" w:type="auto"/>
            <w:tcBorders>
              <w:top w:val="nil"/>
              <w:left w:val="nil"/>
              <w:bottom w:val="nil"/>
              <w:right w:val="nil"/>
            </w:tcBorders>
            <w:shd w:val="clear" w:color="auto" w:fill="auto"/>
            <w:noWrap/>
            <w:hideMark/>
          </w:tcPr>
          <w:p w14:paraId="21092ED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-0.667</w:t>
            </w:r>
          </w:p>
        </w:tc>
        <w:tc>
          <w:tcPr>
            <w:tcW w:w="0" w:type="auto"/>
            <w:tcBorders>
              <w:top w:val="nil"/>
              <w:left w:val="nil"/>
              <w:bottom w:val="nil"/>
              <w:right w:val="nil"/>
            </w:tcBorders>
            <w:shd w:val="clear" w:color="auto" w:fill="auto"/>
            <w:noWrap/>
            <w:hideMark/>
          </w:tcPr>
          <w:p w14:paraId="7857460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0.197</w:t>
            </w:r>
          </w:p>
        </w:tc>
        <w:tc>
          <w:tcPr>
            <w:tcW w:w="0" w:type="auto"/>
            <w:tcBorders>
              <w:top w:val="nil"/>
              <w:left w:val="nil"/>
              <w:bottom w:val="nil"/>
              <w:right w:val="nil"/>
            </w:tcBorders>
            <w:shd w:val="clear" w:color="auto" w:fill="auto"/>
            <w:noWrap/>
            <w:hideMark/>
          </w:tcPr>
          <w:p w14:paraId="472726E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-0.616</w:t>
            </w:r>
          </w:p>
        </w:tc>
        <w:tc>
          <w:tcPr>
            <w:tcW w:w="0" w:type="auto"/>
            <w:tcBorders>
              <w:top w:val="nil"/>
              <w:left w:val="nil"/>
              <w:bottom w:val="nil"/>
              <w:right w:val="nil"/>
            </w:tcBorders>
            <w:shd w:val="clear" w:color="auto" w:fill="auto"/>
            <w:noWrap/>
            <w:hideMark/>
          </w:tcPr>
          <w:p w14:paraId="440D59F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0.376</w:t>
            </w:r>
          </w:p>
        </w:tc>
      </w:tr>
      <w:tr w:rsidR="000A173E" w:rsidRPr="00FF6562" w14:paraId="6F11C223" w14:textId="77777777" w:rsidTr="000A173E">
        <w:trPr>
          <w:gridAfter w:val="1"/>
          <w:wAfter w:w="12" w:type="dxa"/>
          <w:trHeight w:val="222"/>
        </w:trPr>
        <w:tc>
          <w:tcPr>
            <w:tcW w:w="0" w:type="auto"/>
            <w:tcBorders>
              <w:top w:val="nil"/>
              <w:left w:val="nil"/>
              <w:bottom w:val="nil"/>
              <w:right w:val="nil"/>
            </w:tcBorders>
            <w:shd w:val="clear" w:color="auto" w:fill="auto"/>
            <w:noWrap/>
            <w:hideMark/>
          </w:tcPr>
          <w:p w14:paraId="728E352D"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21</m:t>
                    </m:r>
                  </m:sub>
                </m:sSub>
              </m:oMath>
            </m:oMathPara>
          </w:p>
        </w:tc>
        <w:tc>
          <w:tcPr>
            <w:tcW w:w="0" w:type="auto"/>
            <w:tcBorders>
              <w:top w:val="nil"/>
              <w:left w:val="nil"/>
              <w:bottom w:val="nil"/>
              <w:right w:val="nil"/>
            </w:tcBorders>
            <w:shd w:val="clear" w:color="auto" w:fill="auto"/>
            <w:noWrap/>
            <w:hideMark/>
          </w:tcPr>
          <w:p w14:paraId="549AF3C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57874A5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0.709</w:t>
            </w:r>
          </w:p>
        </w:tc>
        <w:tc>
          <w:tcPr>
            <w:tcW w:w="0" w:type="auto"/>
            <w:tcBorders>
              <w:top w:val="nil"/>
              <w:left w:val="nil"/>
              <w:bottom w:val="nil"/>
              <w:right w:val="nil"/>
            </w:tcBorders>
            <w:shd w:val="clear" w:color="auto" w:fill="auto"/>
            <w:noWrap/>
            <w:hideMark/>
          </w:tcPr>
          <w:p w14:paraId="7C3C1A7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28D1054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0.396</w:t>
            </w:r>
          </w:p>
        </w:tc>
        <w:tc>
          <w:tcPr>
            <w:tcW w:w="0" w:type="auto"/>
            <w:tcBorders>
              <w:top w:val="nil"/>
              <w:left w:val="nil"/>
              <w:bottom w:val="nil"/>
              <w:right w:val="nil"/>
            </w:tcBorders>
            <w:shd w:val="clear" w:color="auto" w:fill="auto"/>
            <w:noWrap/>
            <w:hideMark/>
          </w:tcPr>
          <w:p w14:paraId="75C5375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29E99CD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0.865</w:t>
            </w:r>
          </w:p>
        </w:tc>
        <w:tc>
          <w:tcPr>
            <w:tcW w:w="0" w:type="auto"/>
            <w:tcBorders>
              <w:top w:val="nil"/>
              <w:left w:val="nil"/>
              <w:bottom w:val="nil"/>
              <w:right w:val="nil"/>
            </w:tcBorders>
            <w:shd w:val="clear" w:color="auto" w:fill="auto"/>
            <w:noWrap/>
            <w:hideMark/>
          </w:tcPr>
          <w:p w14:paraId="0232A47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6BDC6A8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0.427</w:t>
            </w:r>
          </w:p>
        </w:tc>
        <w:tc>
          <w:tcPr>
            <w:tcW w:w="0" w:type="auto"/>
            <w:tcBorders>
              <w:top w:val="nil"/>
              <w:left w:val="nil"/>
              <w:bottom w:val="nil"/>
              <w:right w:val="nil"/>
            </w:tcBorders>
            <w:shd w:val="clear" w:color="auto" w:fill="auto"/>
            <w:noWrap/>
            <w:hideMark/>
          </w:tcPr>
          <w:p w14:paraId="01F0B71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hideMark/>
          </w:tcPr>
          <w:p w14:paraId="0AAB936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0.099</w:t>
            </w:r>
          </w:p>
        </w:tc>
        <w:tc>
          <w:tcPr>
            <w:tcW w:w="0" w:type="auto"/>
            <w:tcBorders>
              <w:top w:val="nil"/>
              <w:left w:val="nil"/>
              <w:bottom w:val="nil"/>
              <w:right w:val="nil"/>
            </w:tcBorders>
            <w:shd w:val="clear" w:color="auto" w:fill="auto"/>
            <w:noWrap/>
            <w:hideMark/>
          </w:tcPr>
          <w:p w14:paraId="73422E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4CEFBD4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0.532</w:t>
            </w:r>
          </w:p>
        </w:tc>
        <w:tc>
          <w:tcPr>
            <w:tcW w:w="0" w:type="auto"/>
            <w:tcBorders>
              <w:top w:val="nil"/>
              <w:left w:val="nil"/>
              <w:bottom w:val="nil"/>
              <w:right w:val="nil"/>
            </w:tcBorders>
            <w:shd w:val="clear" w:color="auto" w:fill="auto"/>
            <w:noWrap/>
            <w:hideMark/>
          </w:tcPr>
          <w:p w14:paraId="243D4B0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5E74E7A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0.309</w:t>
            </w:r>
          </w:p>
        </w:tc>
        <w:tc>
          <w:tcPr>
            <w:tcW w:w="0" w:type="auto"/>
            <w:tcBorders>
              <w:top w:val="nil"/>
              <w:left w:val="nil"/>
              <w:bottom w:val="nil"/>
              <w:right w:val="nil"/>
            </w:tcBorders>
            <w:shd w:val="clear" w:color="auto" w:fill="auto"/>
            <w:noWrap/>
            <w:hideMark/>
          </w:tcPr>
          <w:p w14:paraId="45E882E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834" w:type="dxa"/>
            <w:tcBorders>
              <w:top w:val="nil"/>
              <w:left w:val="nil"/>
              <w:bottom w:val="nil"/>
              <w:right w:val="nil"/>
            </w:tcBorders>
            <w:shd w:val="clear" w:color="auto" w:fill="auto"/>
            <w:noWrap/>
            <w:hideMark/>
          </w:tcPr>
          <w:p w14:paraId="03F3CF5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0.184</w:t>
            </w:r>
          </w:p>
        </w:tc>
        <w:tc>
          <w:tcPr>
            <w:tcW w:w="0" w:type="auto"/>
            <w:tcBorders>
              <w:top w:val="nil"/>
              <w:left w:val="nil"/>
              <w:bottom w:val="nil"/>
              <w:right w:val="nil"/>
            </w:tcBorders>
            <w:shd w:val="clear" w:color="auto" w:fill="auto"/>
            <w:noWrap/>
            <w:hideMark/>
          </w:tcPr>
          <w:p w14:paraId="3B64E44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hideMark/>
          </w:tcPr>
          <w:p w14:paraId="2896B58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0.185</w:t>
            </w:r>
          </w:p>
        </w:tc>
        <w:tc>
          <w:tcPr>
            <w:tcW w:w="0" w:type="auto"/>
            <w:tcBorders>
              <w:top w:val="nil"/>
              <w:left w:val="nil"/>
              <w:bottom w:val="nil"/>
              <w:right w:val="nil"/>
            </w:tcBorders>
            <w:shd w:val="clear" w:color="auto" w:fill="auto"/>
            <w:noWrap/>
            <w:hideMark/>
          </w:tcPr>
          <w:p w14:paraId="38BE392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4A29F5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0.866</w:t>
            </w:r>
          </w:p>
        </w:tc>
        <w:tc>
          <w:tcPr>
            <w:tcW w:w="0" w:type="auto"/>
            <w:tcBorders>
              <w:top w:val="nil"/>
              <w:left w:val="nil"/>
              <w:bottom w:val="nil"/>
              <w:right w:val="nil"/>
            </w:tcBorders>
            <w:shd w:val="clear" w:color="auto" w:fill="auto"/>
            <w:noWrap/>
            <w:hideMark/>
          </w:tcPr>
          <w:p w14:paraId="1DC7020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76A690E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0.235</w:t>
            </w:r>
          </w:p>
        </w:tc>
      </w:tr>
      <w:tr w:rsidR="000A173E" w:rsidRPr="00FF6562" w14:paraId="5BC5348C" w14:textId="77777777" w:rsidTr="000A173E">
        <w:trPr>
          <w:gridAfter w:val="1"/>
          <w:wAfter w:w="12" w:type="dxa"/>
          <w:trHeight w:val="236"/>
        </w:trPr>
        <w:tc>
          <w:tcPr>
            <w:tcW w:w="0" w:type="auto"/>
            <w:tcBorders>
              <w:top w:val="nil"/>
              <w:left w:val="nil"/>
              <w:bottom w:val="nil"/>
              <w:right w:val="nil"/>
            </w:tcBorders>
            <w:shd w:val="clear" w:color="auto" w:fill="auto"/>
            <w:noWrap/>
            <w:hideMark/>
          </w:tcPr>
          <w:p w14:paraId="175198DA"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22</m:t>
                    </m:r>
                  </m:sub>
                </m:sSub>
              </m:oMath>
            </m:oMathPara>
          </w:p>
        </w:tc>
        <w:tc>
          <w:tcPr>
            <w:tcW w:w="0" w:type="auto"/>
            <w:tcBorders>
              <w:top w:val="nil"/>
              <w:left w:val="nil"/>
              <w:bottom w:val="nil"/>
              <w:right w:val="nil"/>
            </w:tcBorders>
            <w:shd w:val="clear" w:color="auto" w:fill="auto"/>
            <w:noWrap/>
            <w:hideMark/>
          </w:tcPr>
          <w:p w14:paraId="3061987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-0.407</w:t>
            </w:r>
          </w:p>
        </w:tc>
        <w:tc>
          <w:tcPr>
            <w:tcW w:w="0" w:type="auto"/>
            <w:tcBorders>
              <w:top w:val="nil"/>
              <w:left w:val="nil"/>
              <w:bottom w:val="nil"/>
              <w:right w:val="nil"/>
            </w:tcBorders>
            <w:shd w:val="clear" w:color="auto" w:fill="auto"/>
            <w:noWrap/>
            <w:hideMark/>
          </w:tcPr>
          <w:p w14:paraId="2B23130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B9EC34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-0.413</w:t>
            </w:r>
          </w:p>
        </w:tc>
        <w:tc>
          <w:tcPr>
            <w:tcW w:w="0" w:type="auto"/>
            <w:tcBorders>
              <w:top w:val="nil"/>
              <w:left w:val="nil"/>
              <w:bottom w:val="nil"/>
              <w:right w:val="nil"/>
            </w:tcBorders>
            <w:shd w:val="clear" w:color="auto" w:fill="auto"/>
            <w:noWrap/>
            <w:hideMark/>
          </w:tcPr>
          <w:p w14:paraId="14B711D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E33B5F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-0.432</w:t>
            </w:r>
          </w:p>
        </w:tc>
        <w:tc>
          <w:tcPr>
            <w:tcW w:w="0" w:type="auto"/>
            <w:tcBorders>
              <w:top w:val="nil"/>
              <w:left w:val="nil"/>
              <w:bottom w:val="nil"/>
              <w:right w:val="nil"/>
            </w:tcBorders>
            <w:shd w:val="clear" w:color="auto" w:fill="auto"/>
            <w:noWrap/>
            <w:hideMark/>
          </w:tcPr>
          <w:p w14:paraId="30D907F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111482C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-0.420</w:t>
            </w:r>
          </w:p>
        </w:tc>
        <w:tc>
          <w:tcPr>
            <w:tcW w:w="0" w:type="auto"/>
            <w:tcBorders>
              <w:top w:val="nil"/>
              <w:left w:val="nil"/>
              <w:bottom w:val="nil"/>
              <w:right w:val="nil"/>
            </w:tcBorders>
            <w:shd w:val="clear" w:color="auto" w:fill="auto"/>
            <w:noWrap/>
            <w:hideMark/>
          </w:tcPr>
          <w:p w14:paraId="5AE8D3A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310D31B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-0.377</w:t>
            </w:r>
          </w:p>
        </w:tc>
        <w:tc>
          <w:tcPr>
            <w:tcW w:w="0" w:type="auto"/>
            <w:tcBorders>
              <w:top w:val="nil"/>
              <w:left w:val="nil"/>
              <w:bottom w:val="nil"/>
              <w:right w:val="nil"/>
            </w:tcBorders>
            <w:shd w:val="clear" w:color="auto" w:fill="auto"/>
            <w:noWrap/>
            <w:hideMark/>
          </w:tcPr>
          <w:p w14:paraId="623A321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6D9FB38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-0.390</w:t>
            </w:r>
          </w:p>
        </w:tc>
        <w:tc>
          <w:tcPr>
            <w:tcW w:w="0" w:type="auto"/>
            <w:tcBorders>
              <w:top w:val="nil"/>
              <w:left w:val="nil"/>
              <w:bottom w:val="nil"/>
              <w:right w:val="nil"/>
            </w:tcBorders>
            <w:shd w:val="clear" w:color="auto" w:fill="auto"/>
            <w:noWrap/>
            <w:hideMark/>
          </w:tcPr>
          <w:p w14:paraId="22B73DD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6ACBA43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-0.420</w:t>
            </w:r>
          </w:p>
        </w:tc>
        <w:tc>
          <w:tcPr>
            <w:tcW w:w="0" w:type="auto"/>
            <w:tcBorders>
              <w:top w:val="nil"/>
              <w:left w:val="nil"/>
              <w:bottom w:val="nil"/>
              <w:right w:val="nil"/>
            </w:tcBorders>
            <w:shd w:val="clear" w:color="auto" w:fill="auto"/>
            <w:noWrap/>
            <w:hideMark/>
          </w:tcPr>
          <w:p w14:paraId="2166ABC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AD9430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-0.418</w:t>
            </w:r>
          </w:p>
        </w:tc>
        <w:tc>
          <w:tcPr>
            <w:tcW w:w="834" w:type="dxa"/>
            <w:tcBorders>
              <w:top w:val="nil"/>
              <w:left w:val="nil"/>
              <w:bottom w:val="nil"/>
              <w:right w:val="nil"/>
            </w:tcBorders>
            <w:shd w:val="clear" w:color="auto" w:fill="auto"/>
            <w:noWrap/>
            <w:hideMark/>
          </w:tcPr>
          <w:p w14:paraId="7BECDA1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877F5C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-0.418</w:t>
            </w:r>
          </w:p>
        </w:tc>
        <w:tc>
          <w:tcPr>
            <w:tcW w:w="0" w:type="auto"/>
            <w:tcBorders>
              <w:top w:val="nil"/>
              <w:left w:val="nil"/>
              <w:bottom w:val="nil"/>
              <w:right w:val="nil"/>
            </w:tcBorders>
            <w:shd w:val="clear" w:color="auto" w:fill="auto"/>
            <w:noWrap/>
            <w:hideMark/>
          </w:tcPr>
          <w:p w14:paraId="3D1CC78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141E958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-0.475</w:t>
            </w:r>
          </w:p>
        </w:tc>
        <w:tc>
          <w:tcPr>
            <w:tcW w:w="0" w:type="auto"/>
            <w:tcBorders>
              <w:top w:val="nil"/>
              <w:left w:val="nil"/>
              <w:bottom w:val="nil"/>
              <w:right w:val="nil"/>
            </w:tcBorders>
            <w:shd w:val="clear" w:color="auto" w:fill="auto"/>
            <w:noWrap/>
            <w:hideMark/>
          </w:tcPr>
          <w:p w14:paraId="745A301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2F374A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-0.410</w:t>
            </w:r>
          </w:p>
        </w:tc>
        <w:tc>
          <w:tcPr>
            <w:tcW w:w="0" w:type="auto"/>
            <w:tcBorders>
              <w:top w:val="nil"/>
              <w:left w:val="nil"/>
              <w:bottom w:val="nil"/>
              <w:right w:val="nil"/>
            </w:tcBorders>
            <w:shd w:val="clear" w:color="auto" w:fill="auto"/>
            <w:noWrap/>
            <w:hideMark/>
          </w:tcPr>
          <w:p w14:paraId="10CE775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76036" w:rsidRPr="00FF6562" w14:paraId="6F45A420" w14:textId="77777777" w:rsidTr="000A173E">
        <w:trPr>
          <w:trHeight w:val="236"/>
        </w:trPr>
        <w:tc>
          <w:tcPr>
            <w:tcW w:w="14446" w:type="dxa"/>
            <w:gridSpan w:val="24"/>
            <w:tcBorders>
              <w:top w:val="nil"/>
              <w:left w:val="nil"/>
              <w:bottom w:val="nil"/>
              <w:right w:val="nil"/>
            </w:tcBorders>
            <w:shd w:val="clear" w:color="auto" w:fill="auto"/>
            <w:noWrap/>
            <w:vAlign w:val="bottom"/>
            <w:hideMark/>
          </w:tcPr>
          <w:p w14:paraId="377DC6F0" w14:textId="77777777" w:rsidR="00476036" w:rsidRPr="00A56C42" w:rsidRDefault="00476036" w:rsidP="00875EB5">
            <w:pPr>
              <w:spacing w:after="0" w:line="240" w:lineRule="auto"/>
              <w:rPr>
                <w:rFonts w:ascii="Times New Roman" w:eastAsia="Times New Roman" w:hAnsi="Times New Roman" w:cs="Times New Roman"/>
                <w:b/>
                <w:bCs/>
                <w:sz w:val="16"/>
                <w:szCs w:val="16"/>
                <w:u w:val="single"/>
                <w:lang w:eastAsia="en-GB"/>
              </w:rPr>
            </w:pPr>
            <w:r w:rsidRPr="00A56C42">
              <w:rPr>
                <w:rFonts w:ascii="Times New Roman" w:eastAsia="Times New Roman" w:hAnsi="Times New Roman" w:cs="Times New Roman"/>
                <w:b/>
                <w:bCs/>
                <w:sz w:val="16"/>
                <w:szCs w:val="16"/>
                <w:u w:val="single"/>
                <w:lang w:eastAsia="en-GB"/>
              </w:rPr>
              <w:t>Panel B. Variance Equation</w:t>
            </w:r>
          </w:p>
        </w:tc>
      </w:tr>
      <w:tr w:rsidR="000A173E" w:rsidRPr="00FF6562" w14:paraId="54F4C2CA"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5DB64FA4"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11</m:t>
                    </m:r>
                  </m:sub>
                </m:sSub>
              </m:oMath>
            </m:oMathPara>
          </w:p>
        </w:tc>
        <w:tc>
          <w:tcPr>
            <w:tcW w:w="0" w:type="auto"/>
            <w:tcBorders>
              <w:top w:val="nil"/>
              <w:left w:val="nil"/>
              <w:bottom w:val="nil"/>
              <w:right w:val="nil"/>
            </w:tcBorders>
            <w:shd w:val="clear" w:color="auto" w:fill="auto"/>
            <w:noWrap/>
            <w:hideMark/>
          </w:tcPr>
          <w:p w14:paraId="361A35B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0.016</w:t>
            </w:r>
          </w:p>
        </w:tc>
        <w:tc>
          <w:tcPr>
            <w:tcW w:w="0" w:type="auto"/>
            <w:tcBorders>
              <w:top w:val="nil"/>
              <w:left w:val="nil"/>
              <w:bottom w:val="nil"/>
              <w:right w:val="nil"/>
            </w:tcBorders>
            <w:shd w:val="clear" w:color="auto" w:fill="auto"/>
            <w:noWrap/>
            <w:hideMark/>
          </w:tcPr>
          <w:p w14:paraId="268AD5D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0.063</w:t>
            </w:r>
          </w:p>
        </w:tc>
        <w:tc>
          <w:tcPr>
            <w:tcW w:w="0" w:type="auto"/>
            <w:tcBorders>
              <w:top w:val="nil"/>
              <w:left w:val="nil"/>
              <w:bottom w:val="nil"/>
              <w:right w:val="nil"/>
            </w:tcBorders>
            <w:shd w:val="clear" w:color="auto" w:fill="auto"/>
            <w:noWrap/>
            <w:hideMark/>
          </w:tcPr>
          <w:p w14:paraId="373978D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0.148</w:t>
            </w:r>
          </w:p>
        </w:tc>
        <w:tc>
          <w:tcPr>
            <w:tcW w:w="0" w:type="auto"/>
            <w:tcBorders>
              <w:top w:val="nil"/>
              <w:left w:val="nil"/>
              <w:bottom w:val="nil"/>
              <w:right w:val="nil"/>
            </w:tcBorders>
            <w:shd w:val="clear" w:color="auto" w:fill="auto"/>
            <w:noWrap/>
            <w:hideMark/>
          </w:tcPr>
          <w:p w14:paraId="32DD6F4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402BFD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0.030</w:t>
            </w:r>
          </w:p>
        </w:tc>
        <w:tc>
          <w:tcPr>
            <w:tcW w:w="0" w:type="auto"/>
            <w:tcBorders>
              <w:top w:val="nil"/>
              <w:left w:val="nil"/>
              <w:bottom w:val="nil"/>
              <w:right w:val="nil"/>
            </w:tcBorders>
            <w:shd w:val="clear" w:color="auto" w:fill="auto"/>
            <w:noWrap/>
            <w:hideMark/>
          </w:tcPr>
          <w:p w14:paraId="2886C57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0.123</w:t>
            </w:r>
          </w:p>
        </w:tc>
        <w:tc>
          <w:tcPr>
            <w:tcW w:w="0" w:type="auto"/>
            <w:tcBorders>
              <w:top w:val="nil"/>
              <w:left w:val="nil"/>
              <w:bottom w:val="nil"/>
              <w:right w:val="nil"/>
            </w:tcBorders>
            <w:shd w:val="clear" w:color="auto" w:fill="auto"/>
            <w:noWrap/>
            <w:hideMark/>
          </w:tcPr>
          <w:p w14:paraId="55534EB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0.061</w:t>
            </w:r>
          </w:p>
        </w:tc>
        <w:tc>
          <w:tcPr>
            <w:tcW w:w="0" w:type="auto"/>
            <w:tcBorders>
              <w:top w:val="nil"/>
              <w:left w:val="nil"/>
              <w:bottom w:val="nil"/>
              <w:right w:val="nil"/>
            </w:tcBorders>
            <w:shd w:val="clear" w:color="auto" w:fill="auto"/>
            <w:noWrap/>
            <w:hideMark/>
          </w:tcPr>
          <w:p w14:paraId="77FF711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0.405</w:t>
            </w:r>
          </w:p>
        </w:tc>
        <w:tc>
          <w:tcPr>
            <w:tcW w:w="0" w:type="auto"/>
            <w:tcBorders>
              <w:top w:val="nil"/>
              <w:left w:val="nil"/>
              <w:bottom w:val="nil"/>
              <w:right w:val="nil"/>
            </w:tcBorders>
            <w:shd w:val="clear" w:color="auto" w:fill="auto"/>
            <w:noWrap/>
            <w:hideMark/>
          </w:tcPr>
          <w:p w14:paraId="1DA2321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0.209</w:t>
            </w:r>
          </w:p>
        </w:tc>
        <w:tc>
          <w:tcPr>
            <w:tcW w:w="0" w:type="auto"/>
            <w:tcBorders>
              <w:top w:val="nil"/>
              <w:left w:val="nil"/>
              <w:bottom w:val="nil"/>
              <w:right w:val="nil"/>
            </w:tcBorders>
            <w:shd w:val="clear" w:color="auto" w:fill="auto"/>
            <w:noWrap/>
            <w:hideMark/>
          </w:tcPr>
          <w:p w14:paraId="7268286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0" w:type="auto"/>
            <w:tcBorders>
              <w:top w:val="nil"/>
              <w:left w:val="nil"/>
              <w:bottom w:val="nil"/>
              <w:right w:val="nil"/>
            </w:tcBorders>
            <w:shd w:val="clear" w:color="auto" w:fill="auto"/>
            <w:noWrap/>
            <w:hideMark/>
          </w:tcPr>
          <w:p w14:paraId="20E3741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hideMark/>
          </w:tcPr>
          <w:p w14:paraId="50E8E99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0.314</w:t>
            </w:r>
          </w:p>
        </w:tc>
        <w:tc>
          <w:tcPr>
            <w:tcW w:w="0" w:type="auto"/>
            <w:tcBorders>
              <w:top w:val="nil"/>
              <w:left w:val="nil"/>
              <w:bottom w:val="nil"/>
              <w:right w:val="nil"/>
            </w:tcBorders>
            <w:shd w:val="clear" w:color="auto" w:fill="auto"/>
            <w:noWrap/>
            <w:hideMark/>
          </w:tcPr>
          <w:p w14:paraId="1257681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0.188</w:t>
            </w:r>
          </w:p>
        </w:tc>
        <w:tc>
          <w:tcPr>
            <w:tcW w:w="0" w:type="auto"/>
            <w:tcBorders>
              <w:top w:val="nil"/>
              <w:left w:val="nil"/>
              <w:bottom w:val="nil"/>
              <w:right w:val="nil"/>
            </w:tcBorders>
            <w:shd w:val="clear" w:color="auto" w:fill="auto"/>
            <w:noWrap/>
            <w:hideMark/>
          </w:tcPr>
          <w:p w14:paraId="3E41AA8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0" w:type="auto"/>
            <w:tcBorders>
              <w:top w:val="nil"/>
              <w:left w:val="nil"/>
              <w:bottom w:val="nil"/>
              <w:right w:val="nil"/>
            </w:tcBorders>
            <w:shd w:val="clear" w:color="auto" w:fill="auto"/>
            <w:noWrap/>
            <w:hideMark/>
          </w:tcPr>
          <w:p w14:paraId="7836D06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0.232</w:t>
            </w:r>
          </w:p>
        </w:tc>
        <w:tc>
          <w:tcPr>
            <w:tcW w:w="834" w:type="dxa"/>
            <w:tcBorders>
              <w:top w:val="nil"/>
              <w:left w:val="nil"/>
              <w:bottom w:val="nil"/>
              <w:right w:val="nil"/>
            </w:tcBorders>
            <w:shd w:val="clear" w:color="auto" w:fill="auto"/>
            <w:noWrap/>
            <w:hideMark/>
          </w:tcPr>
          <w:p w14:paraId="69E612C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3A6C276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0.417</w:t>
            </w:r>
          </w:p>
        </w:tc>
        <w:tc>
          <w:tcPr>
            <w:tcW w:w="0" w:type="auto"/>
            <w:tcBorders>
              <w:top w:val="nil"/>
              <w:left w:val="nil"/>
              <w:bottom w:val="nil"/>
              <w:right w:val="nil"/>
            </w:tcBorders>
            <w:shd w:val="clear" w:color="auto" w:fill="auto"/>
            <w:noWrap/>
            <w:hideMark/>
          </w:tcPr>
          <w:p w14:paraId="6230679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6030F8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0.478</w:t>
            </w:r>
          </w:p>
        </w:tc>
        <w:tc>
          <w:tcPr>
            <w:tcW w:w="0" w:type="auto"/>
            <w:tcBorders>
              <w:top w:val="nil"/>
              <w:left w:val="nil"/>
              <w:bottom w:val="nil"/>
              <w:right w:val="nil"/>
            </w:tcBorders>
            <w:shd w:val="clear" w:color="auto" w:fill="auto"/>
            <w:noWrap/>
            <w:hideMark/>
          </w:tcPr>
          <w:p w14:paraId="6E76A72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58F81E9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0.176</w:t>
            </w:r>
          </w:p>
        </w:tc>
        <w:tc>
          <w:tcPr>
            <w:tcW w:w="0" w:type="auto"/>
            <w:tcBorders>
              <w:top w:val="nil"/>
              <w:left w:val="nil"/>
              <w:bottom w:val="nil"/>
              <w:right w:val="nil"/>
            </w:tcBorders>
            <w:shd w:val="clear" w:color="auto" w:fill="auto"/>
            <w:noWrap/>
            <w:hideMark/>
          </w:tcPr>
          <w:p w14:paraId="41BB994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0A173E" w:rsidRPr="00FF6562" w14:paraId="6B0418AA"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4CE1927A"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21</m:t>
                    </m:r>
                  </m:sub>
                </m:sSub>
              </m:oMath>
            </m:oMathPara>
          </w:p>
        </w:tc>
        <w:tc>
          <w:tcPr>
            <w:tcW w:w="0" w:type="auto"/>
            <w:tcBorders>
              <w:top w:val="nil"/>
              <w:left w:val="nil"/>
              <w:bottom w:val="nil"/>
              <w:right w:val="nil"/>
            </w:tcBorders>
            <w:shd w:val="clear" w:color="auto" w:fill="auto"/>
            <w:noWrap/>
            <w:hideMark/>
          </w:tcPr>
          <w:p w14:paraId="04BD3D0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2.845</w:t>
            </w:r>
          </w:p>
        </w:tc>
        <w:tc>
          <w:tcPr>
            <w:tcW w:w="0" w:type="auto"/>
            <w:tcBorders>
              <w:top w:val="nil"/>
              <w:left w:val="nil"/>
              <w:bottom w:val="nil"/>
              <w:right w:val="nil"/>
            </w:tcBorders>
            <w:shd w:val="clear" w:color="auto" w:fill="auto"/>
            <w:noWrap/>
            <w:hideMark/>
          </w:tcPr>
          <w:p w14:paraId="6ADAB57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0.098</w:t>
            </w:r>
          </w:p>
        </w:tc>
        <w:tc>
          <w:tcPr>
            <w:tcW w:w="0" w:type="auto"/>
            <w:tcBorders>
              <w:top w:val="nil"/>
              <w:left w:val="nil"/>
              <w:bottom w:val="nil"/>
              <w:right w:val="nil"/>
            </w:tcBorders>
            <w:shd w:val="clear" w:color="auto" w:fill="auto"/>
            <w:noWrap/>
            <w:hideMark/>
          </w:tcPr>
          <w:p w14:paraId="63708F7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-0.040</w:t>
            </w:r>
          </w:p>
        </w:tc>
        <w:tc>
          <w:tcPr>
            <w:tcW w:w="0" w:type="auto"/>
            <w:tcBorders>
              <w:top w:val="nil"/>
              <w:left w:val="nil"/>
              <w:bottom w:val="nil"/>
              <w:right w:val="nil"/>
            </w:tcBorders>
            <w:shd w:val="clear" w:color="auto" w:fill="auto"/>
            <w:noWrap/>
            <w:hideMark/>
          </w:tcPr>
          <w:p w14:paraId="703C9E2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0.865</w:t>
            </w:r>
          </w:p>
        </w:tc>
        <w:tc>
          <w:tcPr>
            <w:tcW w:w="0" w:type="auto"/>
            <w:tcBorders>
              <w:top w:val="nil"/>
              <w:left w:val="nil"/>
              <w:bottom w:val="nil"/>
              <w:right w:val="nil"/>
            </w:tcBorders>
            <w:shd w:val="clear" w:color="auto" w:fill="auto"/>
            <w:noWrap/>
            <w:hideMark/>
          </w:tcPr>
          <w:p w14:paraId="608CE4E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2.803</w:t>
            </w:r>
          </w:p>
        </w:tc>
        <w:tc>
          <w:tcPr>
            <w:tcW w:w="0" w:type="auto"/>
            <w:tcBorders>
              <w:top w:val="nil"/>
              <w:left w:val="nil"/>
              <w:bottom w:val="nil"/>
              <w:right w:val="nil"/>
            </w:tcBorders>
            <w:shd w:val="clear" w:color="auto" w:fill="auto"/>
            <w:noWrap/>
            <w:hideMark/>
          </w:tcPr>
          <w:p w14:paraId="183794D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hideMark/>
          </w:tcPr>
          <w:p w14:paraId="2755EB2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-2.763</w:t>
            </w:r>
          </w:p>
        </w:tc>
        <w:tc>
          <w:tcPr>
            <w:tcW w:w="0" w:type="auto"/>
            <w:tcBorders>
              <w:top w:val="nil"/>
              <w:left w:val="nil"/>
              <w:bottom w:val="nil"/>
              <w:right w:val="nil"/>
            </w:tcBorders>
            <w:shd w:val="clear" w:color="auto" w:fill="auto"/>
            <w:noWrap/>
            <w:hideMark/>
          </w:tcPr>
          <w:p w14:paraId="262AF1F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0.033</w:t>
            </w:r>
          </w:p>
        </w:tc>
        <w:tc>
          <w:tcPr>
            <w:tcW w:w="0" w:type="auto"/>
            <w:tcBorders>
              <w:top w:val="nil"/>
              <w:left w:val="nil"/>
              <w:bottom w:val="nil"/>
              <w:right w:val="nil"/>
            </w:tcBorders>
            <w:shd w:val="clear" w:color="auto" w:fill="auto"/>
            <w:noWrap/>
            <w:hideMark/>
          </w:tcPr>
          <w:p w14:paraId="589240F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-0.044</w:t>
            </w:r>
          </w:p>
        </w:tc>
        <w:tc>
          <w:tcPr>
            <w:tcW w:w="0" w:type="auto"/>
            <w:tcBorders>
              <w:top w:val="nil"/>
              <w:left w:val="nil"/>
              <w:bottom w:val="nil"/>
              <w:right w:val="nil"/>
            </w:tcBorders>
            <w:shd w:val="clear" w:color="auto" w:fill="auto"/>
            <w:noWrap/>
            <w:hideMark/>
          </w:tcPr>
          <w:p w14:paraId="7DD222B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0.888</w:t>
            </w:r>
          </w:p>
        </w:tc>
        <w:tc>
          <w:tcPr>
            <w:tcW w:w="0" w:type="auto"/>
            <w:tcBorders>
              <w:top w:val="nil"/>
              <w:left w:val="nil"/>
              <w:bottom w:val="nil"/>
              <w:right w:val="nil"/>
            </w:tcBorders>
            <w:shd w:val="clear" w:color="auto" w:fill="auto"/>
            <w:noWrap/>
            <w:hideMark/>
          </w:tcPr>
          <w:p w14:paraId="018A6CB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-2.847</w:t>
            </w:r>
          </w:p>
        </w:tc>
        <w:tc>
          <w:tcPr>
            <w:tcW w:w="0" w:type="auto"/>
            <w:tcBorders>
              <w:top w:val="nil"/>
              <w:left w:val="nil"/>
              <w:bottom w:val="nil"/>
              <w:right w:val="nil"/>
            </w:tcBorders>
            <w:shd w:val="clear" w:color="auto" w:fill="auto"/>
            <w:noWrap/>
            <w:hideMark/>
          </w:tcPr>
          <w:p w14:paraId="3678B4B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hideMark/>
          </w:tcPr>
          <w:p w14:paraId="4FB9B85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-0.332</w:t>
            </w:r>
          </w:p>
        </w:tc>
        <w:tc>
          <w:tcPr>
            <w:tcW w:w="0" w:type="auto"/>
            <w:tcBorders>
              <w:top w:val="nil"/>
              <w:left w:val="nil"/>
              <w:bottom w:val="nil"/>
              <w:right w:val="nil"/>
            </w:tcBorders>
            <w:shd w:val="clear" w:color="auto" w:fill="auto"/>
            <w:noWrap/>
            <w:hideMark/>
          </w:tcPr>
          <w:p w14:paraId="22E170B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0.316</w:t>
            </w:r>
          </w:p>
        </w:tc>
        <w:tc>
          <w:tcPr>
            <w:tcW w:w="0" w:type="auto"/>
            <w:tcBorders>
              <w:top w:val="nil"/>
              <w:left w:val="nil"/>
              <w:bottom w:val="nil"/>
              <w:right w:val="nil"/>
            </w:tcBorders>
            <w:shd w:val="clear" w:color="auto" w:fill="auto"/>
            <w:noWrap/>
            <w:hideMark/>
          </w:tcPr>
          <w:p w14:paraId="3DAEF70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-0.043</w:t>
            </w:r>
          </w:p>
        </w:tc>
        <w:tc>
          <w:tcPr>
            <w:tcW w:w="834" w:type="dxa"/>
            <w:tcBorders>
              <w:top w:val="nil"/>
              <w:left w:val="nil"/>
              <w:bottom w:val="nil"/>
              <w:right w:val="nil"/>
            </w:tcBorders>
            <w:shd w:val="clear" w:color="auto" w:fill="auto"/>
            <w:noWrap/>
            <w:hideMark/>
          </w:tcPr>
          <w:p w14:paraId="7C477E6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0.885</w:t>
            </w:r>
          </w:p>
        </w:tc>
        <w:tc>
          <w:tcPr>
            <w:tcW w:w="0" w:type="auto"/>
            <w:tcBorders>
              <w:top w:val="nil"/>
              <w:left w:val="nil"/>
              <w:bottom w:val="nil"/>
              <w:right w:val="nil"/>
            </w:tcBorders>
            <w:shd w:val="clear" w:color="auto" w:fill="auto"/>
            <w:noWrap/>
            <w:hideMark/>
          </w:tcPr>
          <w:p w14:paraId="5DC89AA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-0.527</w:t>
            </w:r>
          </w:p>
        </w:tc>
        <w:tc>
          <w:tcPr>
            <w:tcW w:w="0" w:type="auto"/>
            <w:tcBorders>
              <w:top w:val="nil"/>
              <w:left w:val="nil"/>
              <w:bottom w:val="nil"/>
              <w:right w:val="nil"/>
            </w:tcBorders>
            <w:shd w:val="clear" w:color="auto" w:fill="auto"/>
            <w:noWrap/>
            <w:hideMark/>
          </w:tcPr>
          <w:p w14:paraId="73E271F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0.093</w:t>
            </w:r>
          </w:p>
        </w:tc>
        <w:tc>
          <w:tcPr>
            <w:tcW w:w="0" w:type="auto"/>
            <w:tcBorders>
              <w:top w:val="nil"/>
              <w:left w:val="nil"/>
              <w:bottom w:val="nil"/>
              <w:right w:val="nil"/>
            </w:tcBorders>
            <w:shd w:val="clear" w:color="auto" w:fill="auto"/>
            <w:noWrap/>
            <w:hideMark/>
          </w:tcPr>
          <w:p w14:paraId="513A83B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-1.912</w:t>
            </w:r>
          </w:p>
        </w:tc>
        <w:tc>
          <w:tcPr>
            <w:tcW w:w="0" w:type="auto"/>
            <w:tcBorders>
              <w:top w:val="nil"/>
              <w:left w:val="nil"/>
              <w:bottom w:val="nil"/>
              <w:right w:val="nil"/>
            </w:tcBorders>
            <w:shd w:val="clear" w:color="auto" w:fill="auto"/>
            <w:noWrap/>
            <w:hideMark/>
          </w:tcPr>
          <w:p w14:paraId="4CDB066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0" w:type="auto"/>
            <w:tcBorders>
              <w:top w:val="nil"/>
              <w:left w:val="nil"/>
              <w:bottom w:val="nil"/>
              <w:right w:val="nil"/>
            </w:tcBorders>
            <w:shd w:val="clear" w:color="auto" w:fill="auto"/>
            <w:noWrap/>
            <w:hideMark/>
          </w:tcPr>
          <w:p w14:paraId="0992575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0.182</w:t>
            </w:r>
          </w:p>
        </w:tc>
        <w:tc>
          <w:tcPr>
            <w:tcW w:w="0" w:type="auto"/>
            <w:tcBorders>
              <w:top w:val="nil"/>
              <w:left w:val="nil"/>
              <w:bottom w:val="nil"/>
              <w:right w:val="nil"/>
            </w:tcBorders>
            <w:shd w:val="clear" w:color="auto" w:fill="auto"/>
            <w:noWrap/>
            <w:hideMark/>
          </w:tcPr>
          <w:p w14:paraId="4E2E8DD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0.537</w:t>
            </w:r>
          </w:p>
        </w:tc>
      </w:tr>
      <w:tr w:rsidR="000A173E" w:rsidRPr="00FF6562" w14:paraId="40D16F97"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17332E5E"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22</m:t>
                    </m:r>
                  </m:sub>
                </m:sSub>
              </m:oMath>
            </m:oMathPara>
          </w:p>
        </w:tc>
        <w:tc>
          <w:tcPr>
            <w:tcW w:w="0" w:type="auto"/>
            <w:tcBorders>
              <w:top w:val="nil"/>
              <w:left w:val="nil"/>
              <w:bottom w:val="nil"/>
              <w:right w:val="nil"/>
            </w:tcBorders>
            <w:shd w:val="clear" w:color="auto" w:fill="auto"/>
            <w:noWrap/>
            <w:hideMark/>
          </w:tcPr>
          <w:p w14:paraId="2186825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0" w:type="auto"/>
            <w:tcBorders>
              <w:top w:val="nil"/>
              <w:left w:val="nil"/>
              <w:bottom w:val="nil"/>
              <w:right w:val="nil"/>
            </w:tcBorders>
            <w:shd w:val="clear" w:color="auto" w:fill="auto"/>
            <w:noWrap/>
            <w:hideMark/>
          </w:tcPr>
          <w:p w14:paraId="40426A2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hideMark/>
          </w:tcPr>
          <w:p w14:paraId="4EEEC59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2.929</w:t>
            </w:r>
          </w:p>
        </w:tc>
        <w:tc>
          <w:tcPr>
            <w:tcW w:w="0" w:type="auto"/>
            <w:tcBorders>
              <w:top w:val="nil"/>
              <w:left w:val="nil"/>
              <w:bottom w:val="nil"/>
              <w:right w:val="nil"/>
            </w:tcBorders>
            <w:shd w:val="clear" w:color="auto" w:fill="auto"/>
            <w:noWrap/>
            <w:hideMark/>
          </w:tcPr>
          <w:p w14:paraId="391E010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hideMark/>
          </w:tcPr>
          <w:p w14:paraId="4F1A299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39BB04C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hideMark/>
          </w:tcPr>
          <w:p w14:paraId="56B2846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198F56C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hideMark/>
          </w:tcPr>
          <w:p w14:paraId="2B0058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2.761</w:t>
            </w:r>
          </w:p>
        </w:tc>
        <w:tc>
          <w:tcPr>
            <w:tcW w:w="0" w:type="auto"/>
            <w:tcBorders>
              <w:top w:val="nil"/>
              <w:left w:val="nil"/>
              <w:bottom w:val="nil"/>
              <w:right w:val="nil"/>
            </w:tcBorders>
            <w:shd w:val="clear" w:color="auto" w:fill="auto"/>
            <w:noWrap/>
            <w:hideMark/>
          </w:tcPr>
          <w:p w14:paraId="475A66E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722B07A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7D294E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hideMark/>
          </w:tcPr>
          <w:p w14:paraId="64A70A9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2.905</w:t>
            </w:r>
          </w:p>
        </w:tc>
        <w:tc>
          <w:tcPr>
            <w:tcW w:w="0" w:type="auto"/>
            <w:tcBorders>
              <w:top w:val="nil"/>
              <w:left w:val="nil"/>
              <w:bottom w:val="nil"/>
              <w:right w:val="nil"/>
            </w:tcBorders>
            <w:shd w:val="clear" w:color="auto" w:fill="auto"/>
            <w:noWrap/>
            <w:hideMark/>
          </w:tcPr>
          <w:p w14:paraId="774EA80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1F9239C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2.901</w:t>
            </w:r>
          </w:p>
        </w:tc>
        <w:tc>
          <w:tcPr>
            <w:tcW w:w="834" w:type="dxa"/>
            <w:tcBorders>
              <w:top w:val="nil"/>
              <w:left w:val="nil"/>
              <w:bottom w:val="nil"/>
              <w:right w:val="nil"/>
            </w:tcBorders>
            <w:shd w:val="clear" w:color="auto" w:fill="auto"/>
            <w:noWrap/>
            <w:hideMark/>
          </w:tcPr>
          <w:p w14:paraId="47BFDB6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265153F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2.944</w:t>
            </w:r>
          </w:p>
        </w:tc>
        <w:tc>
          <w:tcPr>
            <w:tcW w:w="0" w:type="auto"/>
            <w:tcBorders>
              <w:top w:val="nil"/>
              <w:left w:val="nil"/>
              <w:bottom w:val="nil"/>
              <w:right w:val="nil"/>
            </w:tcBorders>
            <w:shd w:val="clear" w:color="auto" w:fill="auto"/>
            <w:noWrap/>
            <w:hideMark/>
          </w:tcPr>
          <w:p w14:paraId="190EF82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hideMark/>
          </w:tcPr>
          <w:p w14:paraId="6E51FC2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5A4443A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hideMark/>
          </w:tcPr>
          <w:p w14:paraId="07E460D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2.888</w:t>
            </w:r>
          </w:p>
        </w:tc>
        <w:tc>
          <w:tcPr>
            <w:tcW w:w="0" w:type="auto"/>
            <w:tcBorders>
              <w:top w:val="nil"/>
              <w:left w:val="nil"/>
              <w:bottom w:val="nil"/>
              <w:right w:val="nil"/>
            </w:tcBorders>
            <w:shd w:val="clear" w:color="auto" w:fill="auto"/>
            <w:noWrap/>
            <w:hideMark/>
          </w:tcPr>
          <w:p w14:paraId="5F65008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r>
      <w:tr w:rsidR="000A173E" w:rsidRPr="00FF6562" w14:paraId="7EBA2909"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3DB2D111"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11</m:t>
                    </m:r>
                  </m:sub>
                </m:sSub>
              </m:oMath>
            </m:oMathPara>
          </w:p>
        </w:tc>
        <w:tc>
          <w:tcPr>
            <w:tcW w:w="0" w:type="auto"/>
            <w:tcBorders>
              <w:top w:val="nil"/>
              <w:left w:val="nil"/>
              <w:bottom w:val="nil"/>
              <w:right w:val="nil"/>
            </w:tcBorders>
            <w:shd w:val="clear" w:color="auto" w:fill="auto"/>
            <w:noWrap/>
            <w:hideMark/>
          </w:tcPr>
          <w:p w14:paraId="100B518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-0.040</w:t>
            </w:r>
          </w:p>
        </w:tc>
        <w:tc>
          <w:tcPr>
            <w:tcW w:w="0" w:type="auto"/>
            <w:tcBorders>
              <w:top w:val="nil"/>
              <w:left w:val="nil"/>
              <w:bottom w:val="nil"/>
              <w:right w:val="nil"/>
            </w:tcBorders>
            <w:shd w:val="clear" w:color="auto" w:fill="auto"/>
            <w:noWrap/>
            <w:hideMark/>
          </w:tcPr>
          <w:p w14:paraId="1D4314B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0.173</w:t>
            </w:r>
          </w:p>
        </w:tc>
        <w:tc>
          <w:tcPr>
            <w:tcW w:w="0" w:type="auto"/>
            <w:tcBorders>
              <w:top w:val="nil"/>
              <w:left w:val="nil"/>
              <w:bottom w:val="nil"/>
              <w:right w:val="nil"/>
            </w:tcBorders>
            <w:shd w:val="clear" w:color="auto" w:fill="auto"/>
            <w:noWrap/>
            <w:hideMark/>
          </w:tcPr>
          <w:p w14:paraId="317E693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3</w:t>
            </w:r>
            <w:r w:rsidRPr="00FF6562">
              <w:rPr>
                <w:rFonts w:ascii="Times New Roman" w:eastAsia="Times New Roman" w:hAnsi="Times New Roman" w:cs="Times New Roman"/>
                <w:sz w:val="16"/>
                <w:szCs w:val="16"/>
                <w:lang w:eastAsia="en-GB"/>
              </w:rPr>
              <w:t>55</w:t>
            </w:r>
          </w:p>
        </w:tc>
        <w:tc>
          <w:tcPr>
            <w:tcW w:w="0" w:type="auto"/>
            <w:tcBorders>
              <w:top w:val="nil"/>
              <w:left w:val="nil"/>
              <w:bottom w:val="nil"/>
              <w:right w:val="nil"/>
            </w:tcBorders>
            <w:shd w:val="clear" w:color="auto" w:fill="auto"/>
            <w:noWrap/>
            <w:hideMark/>
          </w:tcPr>
          <w:p w14:paraId="5996B69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19</w:t>
            </w:r>
          </w:p>
        </w:tc>
        <w:tc>
          <w:tcPr>
            <w:tcW w:w="0" w:type="auto"/>
            <w:tcBorders>
              <w:top w:val="nil"/>
              <w:left w:val="nil"/>
              <w:bottom w:val="nil"/>
              <w:right w:val="nil"/>
            </w:tcBorders>
            <w:shd w:val="clear" w:color="auto" w:fill="auto"/>
            <w:noWrap/>
            <w:hideMark/>
          </w:tcPr>
          <w:p w14:paraId="05E8DD9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-0.168</w:t>
            </w:r>
          </w:p>
        </w:tc>
        <w:tc>
          <w:tcPr>
            <w:tcW w:w="0" w:type="auto"/>
            <w:tcBorders>
              <w:top w:val="nil"/>
              <w:left w:val="nil"/>
              <w:bottom w:val="nil"/>
              <w:right w:val="nil"/>
            </w:tcBorders>
            <w:shd w:val="clear" w:color="auto" w:fill="auto"/>
            <w:noWrap/>
            <w:hideMark/>
          </w:tcPr>
          <w:p w14:paraId="5189859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hideMark/>
          </w:tcPr>
          <w:p w14:paraId="23D6608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3</w:t>
            </w:r>
            <w:r w:rsidRPr="00FF6562">
              <w:rPr>
                <w:rFonts w:ascii="Times New Roman" w:eastAsia="Times New Roman" w:hAnsi="Times New Roman" w:cs="Times New Roman"/>
                <w:sz w:val="16"/>
                <w:szCs w:val="16"/>
                <w:lang w:eastAsia="en-GB"/>
              </w:rPr>
              <w:t>25</w:t>
            </w:r>
          </w:p>
        </w:tc>
        <w:tc>
          <w:tcPr>
            <w:tcW w:w="0" w:type="auto"/>
            <w:tcBorders>
              <w:top w:val="nil"/>
              <w:left w:val="nil"/>
              <w:bottom w:val="nil"/>
              <w:right w:val="nil"/>
            </w:tcBorders>
            <w:shd w:val="clear" w:color="auto" w:fill="auto"/>
            <w:noWrap/>
            <w:hideMark/>
          </w:tcPr>
          <w:p w14:paraId="7242B64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34</w:t>
            </w:r>
          </w:p>
        </w:tc>
        <w:tc>
          <w:tcPr>
            <w:tcW w:w="0" w:type="auto"/>
            <w:tcBorders>
              <w:top w:val="nil"/>
              <w:left w:val="nil"/>
              <w:bottom w:val="nil"/>
              <w:right w:val="nil"/>
            </w:tcBorders>
            <w:shd w:val="clear" w:color="auto" w:fill="auto"/>
            <w:noWrap/>
            <w:hideMark/>
          </w:tcPr>
          <w:p w14:paraId="045765F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-0.340</w:t>
            </w:r>
          </w:p>
        </w:tc>
        <w:tc>
          <w:tcPr>
            <w:tcW w:w="0" w:type="auto"/>
            <w:tcBorders>
              <w:top w:val="nil"/>
              <w:left w:val="nil"/>
              <w:bottom w:val="nil"/>
              <w:right w:val="nil"/>
            </w:tcBorders>
            <w:shd w:val="clear" w:color="auto" w:fill="auto"/>
            <w:noWrap/>
            <w:hideMark/>
          </w:tcPr>
          <w:p w14:paraId="27F0443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7750F3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2</w:t>
            </w:r>
            <w:r w:rsidRPr="00FF6562">
              <w:rPr>
                <w:rFonts w:ascii="Times New Roman" w:eastAsia="Times New Roman" w:hAnsi="Times New Roman" w:cs="Times New Roman"/>
                <w:sz w:val="16"/>
                <w:szCs w:val="16"/>
                <w:lang w:eastAsia="en-GB"/>
              </w:rPr>
              <w:t>23</w:t>
            </w:r>
          </w:p>
        </w:tc>
        <w:tc>
          <w:tcPr>
            <w:tcW w:w="0" w:type="auto"/>
            <w:tcBorders>
              <w:top w:val="nil"/>
              <w:left w:val="nil"/>
              <w:bottom w:val="nil"/>
              <w:right w:val="nil"/>
            </w:tcBorders>
            <w:shd w:val="clear" w:color="auto" w:fill="auto"/>
            <w:noWrap/>
            <w:hideMark/>
          </w:tcPr>
          <w:p w14:paraId="70D5EE7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71</w:t>
            </w:r>
          </w:p>
        </w:tc>
        <w:tc>
          <w:tcPr>
            <w:tcW w:w="0" w:type="auto"/>
            <w:tcBorders>
              <w:top w:val="nil"/>
              <w:left w:val="nil"/>
              <w:bottom w:val="nil"/>
              <w:right w:val="nil"/>
            </w:tcBorders>
            <w:shd w:val="clear" w:color="auto" w:fill="auto"/>
            <w:noWrap/>
            <w:hideMark/>
          </w:tcPr>
          <w:p w14:paraId="5A2A7FF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-0.048</w:t>
            </w:r>
          </w:p>
        </w:tc>
        <w:tc>
          <w:tcPr>
            <w:tcW w:w="0" w:type="auto"/>
            <w:tcBorders>
              <w:top w:val="nil"/>
              <w:left w:val="nil"/>
              <w:bottom w:val="nil"/>
              <w:right w:val="nil"/>
            </w:tcBorders>
            <w:shd w:val="clear" w:color="auto" w:fill="auto"/>
            <w:noWrap/>
            <w:hideMark/>
          </w:tcPr>
          <w:p w14:paraId="2B7BB85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0.217</w:t>
            </w:r>
          </w:p>
        </w:tc>
        <w:tc>
          <w:tcPr>
            <w:tcW w:w="0" w:type="auto"/>
            <w:tcBorders>
              <w:top w:val="nil"/>
              <w:left w:val="nil"/>
              <w:bottom w:val="nil"/>
              <w:right w:val="nil"/>
            </w:tcBorders>
            <w:shd w:val="clear" w:color="auto" w:fill="auto"/>
            <w:noWrap/>
            <w:hideMark/>
          </w:tcPr>
          <w:p w14:paraId="445BAF6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-0.268</w:t>
            </w:r>
          </w:p>
        </w:tc>
        <w:tc>
          <w:tcPr>
            <w:tcW w:w="834" w:type="dxa"/>
            <w:tcBorders>
              <w:top w:val="nil"/>
              <w:left w:val="nil"/>
              <w:bottom w:val="nil"/>
              <w:right w:val="nil"/>
            </w:tcBorders>
            <w:shd w:val="clear" w:color="auto" w:fill="auto"/>
            <w:noWrap/>
            <w:hideMark/>
          </w:tcPr>
          <w:p w14:paraId="0C640AE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75034AF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-0.453</w:t>
            </w:r>
          </w:p>
        </w:tc>
        <w:tc>
          <w:tcPr>
            <w:tcW w:w="0" w:type="auto"/>
            <w:tcBorders>
              <w:top w:val="nil"/>
              <w:left w:val="nil"/>
              <w:bottom w:val="nil"/>
              <w:right w:val="nil"/>
            </w:tcBorders>
            <w:shd w:val="clear" w:color="auto" w:fill="auto"/>
            <w:noWrap/>
            <w:hideMark/>
          </w:tcPr>
          <w:p w14:paraId="1A60842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0" w:type="auto"/>
            <w:tcBorders>
              <w:top w:val="nil"/>
              <w:left w:val="nil"/>
              <w:bottom w:val="nil"/>
              <w:right w:val="nil"/>
            </w:tcBorders>
            <w:shd w:val="clear" w:color="auto" w:fill="auto"/>
            <w:noWrap/>
            <w:hideMark/>
          </w:tcPr>
          <w:p w14:paraId="03BBC27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0.373</w:t>
            </w:r>
          </w:p>
        </w:tc>
        <w:tc>
          <w:tcPr>
            <w:tcW w:w="0" w:type="auto"/>
            <w:tcBorders>
              <w:top w:val="nil"/>
              <w:left w:val="nil"/>
              <w:bottom w:val="nil"/>
              <w:right w:val="nil"/>
            </w:tcBorders>
            <w:shd w:val="clear" w:color="auto" w:fill="auto"/>
            <w:noWrap/>
            <w:hideMark/>
          </w:tcPr>
          <w:p w14:paraId="551F017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2188876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-0.041</w:t>
            </w:r>
          </w:p>
        </w:tc>
        <w:tc>
          <w:tcPr>
            <w:tcW w:w="0" w:type="auto"/>
            <w:tcBorders>
              <w:top w:val="nil"/>
              <w:left w:val="nil"/>
              <w:bottom w:val="nil"/>
              <w:right w:val="nil"/>
            </w:tcBorders>
            <w:shd w:val="clear" w:color="auto" w:fill="auto"/>
            <w:noWrap/>
            <w:hideMark/>
          </w:tcPr>
          <w:p w14:paraId="0DBF4B5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0.745</w:t>
            </w:r>
          </w:p>
        </w:tc>
      </w:tr>
      <w:tr w:rsidR="000A173E" w:rsidRPr="00FF6562" w14:paraId="3CB0F765"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46C535B5"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12</m:t>
                    </m:r>
                  </m:sub>
                </m:sSub>
              </m:oMath>
            </m:oMathPara>
          </w:p>
        </w:tc>
        <w:tc>
          <w:tcPr>
            <w:tcW w:w="0" w:type="auto"/>
            <w:tcBorders>
              <w:top w:val="nil"/>
              <w:left w:val="nil"/>
              <w:bottom w:val="nil"/>
              <w:right w:val="nil"/>
            </w:tcBorders>
            <w:shd w:val="clear" w:color="auto" w:fill="auto"/>
            <w:noWrap/>
            <w:hideMark/>
          </w:tcPr>
          <w:p w14:paraId="16AA28E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0.668</w:t>
            </w:r>
          </w:p>
        </w:tc>
        <w:tc>
          <w:tcPr>
            <w:tcW w:w="0" w:type="auto"/>
            <w:tcBorders>
              <w:top w:val="nil"/>
              <w:left w:val="nil"/>
              <w:bottom w:val="nil"/>
              <w:right w:val="nil"/>
            </w:tcBorders>
            <w:shd w:val="clear" w:color="auto" w:fill="auto"/>
            <w:noWrap/>
            <w:hideMark/>
          </w:tcPr>
          <w:p w14:paraId="18F0496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0" w:type="auto"/>
            <w:tcBorders>
              <w:top w:val="nil"/>
              <w:left w:val="nil"/>
              <w:bottom w:val="nil"/>
              <w:right w:val="nil"/>
            </w:tcBorders>
            <w:shd w:val="clear" w:color="auto" w:fill="auto"/>
            <w:noWrap/>
            <w:hideMark/>
          </w:tcPr>
          <w:p w14:paraId="553D280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0.015</w:t>
            </w:r>
          </w:p>
        </w:tc>
        <w:tc>
          <w:tcPr>
            <w:tcW w:w="0" w:type="auto"/>
            <w:tcBorders>
              <w:top w:val="nil"/>
              <w:left w:val="nil"/>
              <w:bottom w:val="nil"/>
              <w:right w:val="nil"/>
            </w:tcBorders>
            <w:shd w:val="clear" w:color="auto" w:fill="auto"/>
            <w:noWrap/>
            <w:hideMark/>
          </w:tcPr>
          <w:p w14:paraId="263530B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0.949</w:t>
            </w:r>
          </w:p>
        </w:tc>
        <w:tc>
          <w:tcPr>
            <w:tcW w:w="0" w:type="auto"/>
            <w:tcBorders>
              <w:top w:val="nil"/>
              <w:left w:val="nil"/>
              <w:bottom w:val="nil"/>
              <w:right w:val="nil"/>
            </w:tcBorders>
            <w:shd w:val="clear" w:color="auto" w:fill="auto"/>
            <w:noWrap/>
            <w:hideMark/>
          </w:tcPr>
          <w:p w14:paraId="619AC1B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0.911</w:t>
            </w:r>
          </w:p>
        </w:tc>
        <w:tc>
          <w:tcPr>
            <w:tcW w:w="0" w:type="auto"/>
            <w:tcBorders>
              <w:top w:val="nil"/>
              <w:left w:val="nil"/>
              <w:bottom w:val="nil"/>
              <w:right w:val="nil"/>
            </w:tcBorders>
            <w:shd w:val="clear" w:color="auto" w:fill="auto"/>
            <w:noWrap/>
            <w:hideMark/>
          </w:tcPr>
          <w:p w14:paraId="090625C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0.137</w:t>
            </w:r>
          </w:p>
        </w:tc>
        <w:tc>
          <w:tcPr>
            <w:tcW w:w="0" w:type="auto"/>
            <w:tcBorders>
              <w:top w:val="nil"/>
              <w:left w:val="nil"/>
              <w:bottom w:val="nil"/>
              <w:right w:val="nil"/>
            </w:tcBorders>
            <w:shd w:val="clear" w:color="auto" w:fill="auto"/>
            <w:noWrap/>
            <w:hideMark/>
          </w:tcPr>
          <w:p w14:paraId="4BE51CA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0.570</w:t>
            </w:r>
          </w:p>
        </w:tc>
        <w:tc>
          <w:tcPr>
            <w:tcW w:w="0" w:type="auto"/>
            <w:tcBorders>
              <w:top w:val="nil"/>
              <w:left w:val="nil"/>
              <w:bottom w:val="nil"/>
              <w:right w:val="nil"/>
            </w:tcBorders>
            <w:shd w:val="clear" w:color="auto" w:fill="auto"/>
            <w:noWrap/>
            <w:hideMark/>
          </w:tcPr>
          <w:p w14:paraId="2F887A0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0.022</w:t>
            </w:r>
          </w:p>
        </w:tc>
        <w:tc>
          <w:tcPr>
            <w:tcW w:w="0" w:type="auto"/>
            <w:tcBorders>
              <w:top w:val="nil"/>
              <w:left w:val="nil"/>
              <w:bottom w:val="nil"/>
              <w:right w:val="nil"/>
            </w:tcBorders>
            <w:shd w:val="clear" w:color="auto" w:fill="auto"/>
            <w:noWrap/>
            <w:hideMark/>
          </w:tcPr>
          <w:p w14:paraId="21BE05B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-0.179</w:t>
            </w:r>
          </w:p>
        </w:tc>
        <w:tc>
          <w:tcPr>
            <w:tcW w:w="0" w:type="auto"/>
            <w:tcBorders>
              <w:top w:val="nil"/>
              <w:left w:val="nil"/>
              <w:bottom w:val="nil"/>
              <w:right w:val="nil"/>
            </w:tcBorders>
            <w:shd w:val="clear" w:color="auto" w:fill="auto"/>
            <w:noWrap/>
            <w:hideMark/>
          </w:tcPr>
          <w:p w14:paraId="11EEB0B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0.401</w:t>
            </w:r>
          </w:p>
        </w:tc>
        <w:tc>
          <w:tcPr>
            <w:tcW w:w="0" w:type="auto"/>
            <w:tcBorders>
              <w:top w:val="nil"/>
              <w:left w:val="nil"/>
              <w:bottom w:val="nil"/>
              <w:right w:val="nil"/>
            </w:tcBorders>
            <w:shd w:val="clear" w:color="auto" w:fill="auto"/>
            <w:noWrap/>
            <w:hideMark/>
          </w:tcPr>
          <w:p w14:paraId="0CFD8DB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-0.185</w:t>
            </w:r>
          </w:p>
        </w:tc>
        <w:tc>
          <w:tcPr>
            <w:tcW w:w="0" w:type="auto"/>
            <w:tcBorders>
              <w:top w:val="nil"/>
              <w:left w:val="nil"/>
              <w:bottom w:val="nil"/>
              <w:right w:val="nil"/>
            </w:tcBorders>
            <w:shd w:val="clear" w:color="auto" w:fill="auto"/>
            <w:noWrap/>
            <w:hideMark/>
          </w:tcPr>
          <w:p w14:paraId="76331C7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0.613</w:t>
            </w:r>
          </w:p>
        </w:tc>
        <w:tc>
          <w:tcPr>
            <w:tcW w:w="0" w:type="auto"/>
            <w:tcBorders>
              <w:top w:val="nil"/>
              <w:left w:val="nil"/>
              <w:bottom w:val="nil"/>
              <w:right w:val="nil"/>
            </w:tcBorders>
            <w:shd w:val="clear" w:color="auto" w:fill="auto"/>
            <w:noWrap/>
            <w:hideMark/>
          </w:tcPr>
          <w:p w14:paraId="21D70F4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0.248</w:t>
            </w:r>
          </w:p>
        </w:tc>
        <w:tc>
          <w:tcPr>
            <w:tcW w:w="0" w:type="auto"/>
            <w:tcBorders>
              <w:top w:val="nil"/>
              <w:left w:val="nil"/>
              <w:bottom w:val="nil"/>
              <w:right w:val="nil"/>
            </w:tcBorders>
            <w:shd w:val="clear" w:color="auto" w:fill="auto"/>
            <w:noWrap/>
            <w:hideMark/>
          </w:tcPr>
          <w:p w14:paraId="5271730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0.344</w:t>
            </w:r>
          </w:p>
        </w:tc>
        <w:tc>
          <w:tcPr>
            <w:tcW w:w="0" w:type="auto"/>
            <w:tcBorders>
              <w:top w:val="nil"/>
              <w:left w:val="nil"/>
              <w:bottom w:val="nil"/>
              <w:right w:val="nil"/>
            </w:tcBorders>
            <w:shd w:val="clear" w:color="auto" w:fill="auto"/>
            <w:noWrap/>
            <w:hideMark/>
          </w:tcPr>
          <w:p w14:paraId="6557A14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0.570</w:t>
            </w:r>
          </w:p>
        </w:tc>
        <w:tc>
          <w:tcPr>
            <w:tcW w:w="834" w:type="dxa"/>
            <w:tcBorders>
              <w:top w:val="nil"/>
              <w:left w:val="nil"/>
              <w:bottom w:val="nil"/>
              <w:right w:val="nil"/>
            </w:tcBorders>
            <w:shd w:val="clear" w:color="auto" w:fill="auto"/>
            <w:noWrap/>
            <w:hideMark/>
          </w:tcPr>
          <w:p w14:paraId="6DD2D55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0.031</w:t>
            </w:r>
          </w:p>
        </w:tc>
        <w:tc>
          <w:tcPr>
            <w:tcW w:w="0" w:type="auto"/>
            <w:tcBorders>
              <w:top w:val="nil"/>
              <w:left w:val="nil"/>
              <w:bottom w:val="nil"/>
              <w:right w:val="nil"/>
            </w:tcBorders>
            <w:shd w:val="clear" w:color="auto" w:fill="auto"/>
            <w:noWrap/>
            <w:hideMark/>
          </w:tcPr>
          <w:p w14:paraId="4C4E6AE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1.231</w:t>
            </w:r>
          </w:p>
        </w:tc>
        <w:tc>
          <w:tcPr>
            <w:tcW w:w="0" w:type="auto"/>
            <w:tcBorders>
              <w:top w:val="nil"/>
              <w:left w:val="nil"/>
              <w:bottom w:val="nil"/>
              <w:right w:val="nil"/>
            </w:tcBorders>
            <w:shd w:val="clear" w:color="auto" w:fill="auto"/>
            <w:noWrap/>
            <w:hideMark/>
          </w:tcPr>
          <w:p w14:paraId="7768F28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0.064</w:t>
            </w:r>
          </w:p>
        </w:tc>
        <w:tc>
          <w:tcPr>
            <w:tcW w:w="0" w:type="auto"/>
            <w:tcBorders>
              <w:top w:val="nil"/>
              <w:left w:val="nil"/>
              <w:bottom w:val="nil"/>
              <w:right w:val="nil"/>
            </w:tcBorders>
            <w:shd w:val="clear" w:color="auto" w:fill="auto"/>
            <w:noWrap/>
            <w:hideMark/>
          </w:tcPr>
          <w:p w14:paraId="102CABC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1.223</w:t>
            </w:r>
          </w:p>
        </w:tc>
        <w:tc>
          <w:tcPr>
            <w:tcW w:w="0" w:type="auto"/>
            <w:tcBorders>
              <w:top w:val="nil"/>
              <w:left w:val="nil"/>
              <w:bottom w:val="nil"/>
              <w:right w:val="nil"/>
            </w:tcBorders>
            <w:shd w:val="clear" w:color="auto" w:fill="auto"/>
            <w:noWrap/>
            <w:hideMark/>
          </w:tcPr>
          <w:p w14:paraId="1CC7255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hideMark/>
          </w:tcPr>
          <w:p w14:paraId="1EF08D5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-0.126</w:t>
            </w:r>
          </w:p>
        </w:tc>
        <w:tc>
          <w:tcPr>
            <w:tcW w:w="0" w:type="auto"/>
            <w:tcBorders>
              <w:top w:val="nil"/>
              <w:left w:val="nil"/>
              <w:bottom w:val="nil"/>
              <w:right w:val="nil"/>
            </w:tcBorders>
            <w:shd w:val="clear" w:color="auto" w:fill="auto"/>
            <w:noWrap/>
            <w:hideMark/>
          </w:tcPr>
          <w:p w14:paraId="0D6A28E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0.643</w:t>
            </w:r>
          </w:p>
        </w:tc>
      </w:tr>
      <w:tr w:rsidR="000A173E" w:rsidRPr="00FF6562" w14:paraId="7EA4A74F"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6C0FBBB9"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21</m:t>
                    </m:r>
                  </m:sub>
                </m:sSub>
              </m:oMath>
            </m:oMathPara>
          </w:p>
        </w:tc>
        <w:tc>
          <w:tcPr>
            <w:tcW w:w="0" w:type="auto"/>
            <w:tcBorders>
              <w:top w:val="nil"/>
              <w:left w:val="nil"/>
              <w:bottom w:val="nil"/>
              <w:right w:val="nil"/>
            </w:tcBorders>
            <w:shd w:val="clear" w:color="auto" w:fill="auto"/>
            <w:noWrap/>
            <w:hideMark/>
          </w:tcPr>
          <w:p w14:paraId="32A1A6D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7E8A38A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0.264</w:t>
            </w:r>
          </w:p>
        </w:tc>
        <w:tc>
          <w:tcPr>
            <w:tcW w:w="0" w:type="auto"/>
            <w:tcBorders>
              <w:top w:val="nil"/>
              <w:left w:val="nil"/>
              <w:bottom w:val="nil"/>
              <w:right w:val="nil"/>
            </w:tcBorders>
            <w:shd w:val="clear" w:color="auto" w:fill="auto"/>
            <w:noWrap/>
            <w:hideMark/>
          </w:tcPr>
          <w:p w14:paraId="17AD5C5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70BCCD5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0.225</w:t>
            </w:r>
          </w:p>
        </w:tc>
        <w:tc>
          <w:tcPr>
            <w:tcW w:w="0" w:type="auto"/>
            <w:tcBorders>
              <w:top w:val="nil"/>
              <w:left w:val="nil"/>
              <w:bottom w:val="nil"/>
              <w:right w:val="nil"/>
            </w:tcBorders>
            <w:shd w:val="clear" w:color="auto" w:fill="auto"/>
            <w:noWrap/>
            <w:hideMark/>
          </w:tcPr>
          <w:p w14:paraId="161DC0D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0E7AFFD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0.220</w:t>
            </w:r>
          </w:p>
        </w:tc>
        <w:tc>
          <w:tcPr>
            <w:tcW w:w="0" w:type="auto"/>
            <w:tcBorders>
              <w:top w:val="nil"/>
              <w:left w:val="nil"/>
              <w:bottom w:val="nil"/>
              <w:right w:val="nil"/>
            </w:tcBorders>
            <w:shd w:val="clear" w:color="auto" w:fill="auto"/>
            <w:noWrap/>
            <w:hideMark/>
          </w:tcPr>
          <w:p w14:paraId="1FB5ED3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215A387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0.926</w:t>
            </w:r>
          </w:p>
        </w:tc>
        <w:tc>
          <w:tcPr>
            <w:tcW w:w="0" w:type="auto"/>
            <w:tcBorders>
              <w:top w:val="nil"/>
              <w:left w:val="nil"/>
              <w:bottom w:val="nil"/>
              <w:right w:val="nil"/>
            </w:tcBorders>
            <w:shd w:val="clear" w:color="auto" w:fill="auto"/>
            <w:noWrap/>
            <w:hideMark/>
          </w:tcPr>
          <w:p w14:paraId="1D34EC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hideMark/>
          </w:tcPr>
          <w:p w14:paraId="126C1C9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0.040</w:t>
            </w:r>
          </w:p>
        </w:tc>
        <w:tc>
          <w:tcPr>
            <w:tcW w:w="0" w:type="auto"/>
            <w:tcBorders>
              <w:top w:val="nil"/>
              <w:left w:val="nil"/>
              <w:bottom w:val="nil"/>
              <w:right w:val="nil"/>
            </w:tcBorders>
            <w:shd w:val="clear" w:color="auto" w:fill="auto"/>
            <w:noWrap/>
            <w:hideMark/>
          </w:tcPr>
          <w:p w14:paraId="5892346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7BF077C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0.317</w:t>
            </w:r>
          </w:p>
        </w:tc>
        <w:tc>
          <w:tcPr>
            <w:tcW w:w="0" w:type="auto"/>
            <w:tcBorders>
              <w:top w:val="nil"/>
              <w:left w:val="nil"/>
              <w:bottom w:val="nil"/>
              <w:right w:val="nil"/>
            </w:tcBorders>
            <w:shd w:val="clear" w:color="auto" w:fill="auto"/>
            <w:noWrap/>
            <w:hideMark/>
          </w:tcPr>
          <w:p w14:paraId="533007E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74AAFC8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0.249</w:t>
            </w:r>
          </w:p>
        </w:tc>
        <w:tc>
          <w:tcPr>
            <w:tcW w:w="0" w:type="auto"/>
            <w:tcBorders>
              <w:top w:val="nil"/>
              <w:left w:val="nil"/>
              <w:bottom w:val="nil"/>
              <w:right w:val="nil"/>
            </w:tcBorders>
            <w:shd w:val="clear" w:color="auto" w:fill="auto"/>
            <w:noWrap/>
            <w:hideMark/>
          </w:tcPr>
          <w:p w14:paraId="5EA5E2C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834" w:type="dxa"/>
            <w:tcBorders>
              <w:top w:val="nil"/>
              <w:left w:val="nil"/>
              <w:bottom w:val="nil"/>
              <w:right w:val="nil"/>
            </w:tcBorders>
            <w:shd w:val="clear" w:color="auto" w:fill="auto"/>
            <w:noWrap/>
            <w:hideMark/>
          </w:tcPr>
          <w:p w14:paraId="1CFA380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0.121</w:t>
            </w:r>
          </w:p>
        </w:tc>
        <w:tc>
          <w:tcPr>
            <w:tcW w:w="0" w:type="auto"/>
            <w:tcBorders>
              <w:top w:val="nil"/>
              <w:left w:val="nil"/>
              <w:bottom w:val="nil"/>
              <w:right w:val="nil"/>
            </w:tcBorders>
            <w:shd w:val="clear" w:color="auto" w:fill="auto"/>
            <w:noWrap/>
            <w:hideMark/>
          </w:tcPr>
          <w:p w14:paraId="4644137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0" w:type="auto"/>
            <w:tcBorders>
              <w:top w:val="nil"/>
              <w:left w:val="nil"/>
              <w:bottom w:val="nil"/>
              <w:right w:val="nil"/>
            </w:tcBorders>
            <w:shd w:val="clear" w:color="auto" w:fill="auto"/>
            <w:noWrap/>
            <w:hideMark/>
          </w:tcPr>
          <w:p w14:paraId="3CAAF16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0.185</w:t>
            </w:r>
          </w:p>
        </w:tc>
        <w:tc>
          <w:tcPr>
            <w:tcW w:w="0" w:type="auto"/>
            <w:tcBorders>
              <w:top w:val="nil"/>
              <w:left w:val="nil"/>
              <w:bottom w:val="nil"/>
              <w:right w:val="nil"/>
            </w:tcBorders>
            <w:shd w:val="clear" w:color="auto" w:fill="auto"/>
            <w:noWrap/>
            <w:hideMark/>
          </w:tcPr>
          <w:p w14:paraId="04FADE7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27357F5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0.242</w:t>
            </w:r>
          </w:p>
        </w:tc>
        <w:tc>
          <w:tcPr>
            <w:tcW w:w="0" w:type="auto"/>
            <w:tcBorders>
              <w:top w:val="nil"/>
              <w:left w:val="nil"/>
              <w:bottom w:val="nil"/>
              <w:right w:val="nil"/>
            </w:tcBorders>
            <w:shd w:val="clear" w:color="auto" w:fill="auto"/>
            <w:noWrap/>
            <w:hideMark/>
          </w:tcPr>
          <w:p w14:paraId="4A629C4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411EC5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0.705</w:t>
            </w:r>
          </w:p>
        </w:tc>
      </w:tr>
      <w:tr w:rsidR="000A173E" w:rsidRPr="00FF6562" w14:paraId="7254FA8D"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0DB37C83"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22</m:t>
                    </m:r>
                  </m:sub>
                </m:sSub>
              </m:oMath>
            </m:oMathPara>
          </w:p>
        </w:tc>
        <w:tc>
          <w:tcPr>
            <w:tcW w:w="0" w:type="auto"/>
            <w:tcBorders>
              <w:top w:val="nil"/>
              <w:left w:val="nil"/>
              <w:bottom w:val="nil"/>
              <w:right w:val="nil"/>
            </w:tcBorders>
            <w:shd w:val="clear" w:color="auto" w:fill="auto"/>
            <w:noWrap/>
            <w:hideMark/>
          </w:tcPr>
          <w:p w14:paraId="39BC55F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0.450</w:t>
            </w:r>
          </w:p>
        </w:tc>
        <w:tc>
          <w:tcPr>
            <w:tcW w:w="0" w:type="auto"/>
            <w:tcBorders>
              <w:top w:val="nil"/>
              <w:left w:val="nil"/>
              <w:bottom w:val="nil"/>
              <w:right w:val="nil"/>
            </w:tcBorders>
            <w:shd w:val="clear" w:color="auto" w:fill="auto"/>
            <w:noWrap/>
            <w:hideMark/>
          </w:tcPr>
          <w:p w14:paraId="093B2DF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3E60186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0.438</w:t>
            </w:r>
          </w:p>
        </w:tc>
        <w:tc>
          <w:tcPr>
            <w:tcW w:w="0" w:type="auto"/>
            <w:tcBorders>
              <w:top w:val="nil"/>
              <w:left w:val="nil"/>
              <w:bottom w:val="nil"/>
              <w:right w:val="nil"/>
            </w:tcBorders>
            <w:shd w:val="clear" w:color="auto" w:fill="auto"/>
            <w:noWrap/>
            <w:hideMark/>
          </w:tcPr>
          <w:p w14:paraId="07950AE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BD0E1F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0.433</w:t>
            </w:r>
          </w:p>
        </w:tc>
        <w:tc>
          <w:tcPr>
            <w:tcW w:w="0" w:type="auto"/>
            <w:tcBorders>
              <w:top w:val="nil"/>
              <w:left w:val="nil"/>
              <w:bottom w:val="nil"/>
              <w:right w:val="nil"/>
            </w:tcBorders>
            <w:shd w:val="clear" w:color="auto" w:fill="auto"/>
            <w:noWrap/>
            <w:hideMark/>
          </w:tcPr>
          <w:p w14:paraId="17799F9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2FEC3C3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0.459</w:t>
            </w:r>
          </w:p>
        </w:tc>
        <w:tc>
          <w:tcPr>
            <w:tcW w:w="0" w:type="auto"/>
            <w:tcBorders>
              <w:top w:val="nil"/>
              <w:left w:val="nil"/>
              <w:bottom w:val="nil"/>
              <w:right w:val="nil"/>
            </w:tcBorders>
            <w:shd w:val="clear" w:color="auto" w:fill="auto"/>
            <w:noWrap/>
            <w:hideMark/>
          </w:tcPr>
          <w:p w14:paraId="14CE29E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42B21D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0.404</w:t>
            </w:r>
          </w:p>
        </w:tc>
        <w:tc>
          <w:tcPr>
            <w:tcW w:w="0" w:type="auto"/>
            <w:tcBorders>
              <w:top w:val="nil"/>
              <w:left w:val="nil"/>
              <w:bottom w:val="nil"/>
              <w:right w:val="nil"/>
            </w:tcBorders>
            <w:shd w:val="clear" w:color="auto" w:fill="auto"/>
            <w:noWrap/>
            <w:hideMark/>
          </w:tcPr>
          <w:p w14:paraId="45BD3C0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hideMark/>
          </w:tcPr>
          <w:p w14:paraId="07B477A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0.413</w:t>
            </w:r>
          </w:p>
        </w:tc>
        <w:tc>
          <w:tcPr>
            <w:tcW w:w="0" w:type="auto"/>
            <w:tcBorders>
              <w:top w:val="nil"/>
              <w:left w:val="nil"/>
              <w:bottom w:val="nil"/>
              <w:right w:val="nil"/>
            </w:tcBorders>
            <w:shd w:val="clear" w:color="auto" w:fill="auto"/>
            <w:noWrap/>
            <w:hideMark/>
          </w:tcPr>
          <w:p w14:paraId="315E90A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13E0AB8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0.440</w:t>
            </w:r>
          </w:p>
        </w:tc>
        <w:tc>
          <w:tcPr>
            <w:tcW w:w="0" w:type="auto"/>
            <w:tcBorders>
              <w:top w:val="nil"/>
              <w:left w:val="nil"/>
              <w:bottom w:val="nil"/>
              <w:right w:val="nil"/>
            </w:tcBorders>
            <w:shd w:val="clear" w:color="auto" w:fill="auto"/>
            <w:noWrap/>
            <w:hideMark/>
          </w:tcPr>
          <w:p w14:paraId="2D21A88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F4BCD6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0.438</w:t>
            </w:r>
          </w:p>
        </w:tc>
        <w:tc>
          <w:tcPr>
            <w:tcW w:w="834" w:type="dxa"/>
            <w:tcBorders>
              <w:top w:val="nil"/>
              <w:left w:val="nil"/>
              <w:bottom w:val="nil"/>
              <w:right w:val="nil"/>
            </w:tcBorders>
            <w:shd w:val="clear" w:color="auto" w:fill="auto"/>
            <w:noWrap/>
            <w:hideMark/>
          </w:tcPr>
          <w:p w14:paraId="1A142B1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12C59AE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0.436</w:t>
            </w:r>
          </w:p>
        </w:tc>
        <w:tc>
          <w:tcPr>
            <w:tcW w:w="0" w:type="auto"/>
            <w:tcBorders>
              <w:top w:val="nil"/>
              <w:left w:val="nil"/>
              <w:bottom w:val="nil"/>
              <w:right w:val="nil"/>
            </w:tcBorders>
            <w:shd w:val="clear" w:color="auto" w:fill="auto"/>
            <w:noWrap/>
            <w:hideMark/>
          </w:tcPr>
          <w:p w14:paraId="41D3397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5F50B65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0.500</w:t>
            </w:r>
          </w:p>
        </w:tc>
        <w:tc>
          <w:tcPr>
            <w:tcW w:w="0" w:type="auto"/>
            <w:tcBorders>
              <w:top w:val="nil"/>
              <w:left w:val="nil"/>
              <w:bottom w:val="nil"/>
              <w:right w:val="nil"/>
            </w:tcBorders>
            <w:shd w:val="clear" w:color="auto" w:fill="auto"/>
            <w:noWrap/>
            <w:hideMark/>
          </w:tcPr>
          <w:p w14:paraId="36700A3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034494F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0.431</w:t>
            </w:r>
          </w:p>
        </w:tc>
        <w:tc>
          <w:tcPr>
            <w:tcW w:w="0" w:type="auto"/>
            <w:tcBorders>
              <w:top w:val="nil"/>
              <w:left w:val="nil"/>
              <w:bottom w:val="nil"/>
              <w:right w:val="nil"/>
            </w:tcBorders>
            <w:shd w:val="clear" w:color="auto" w:fill="auto"/>
            <w:noWrap/>
            <w:hideMark/>
          </w:tcPr>
          <w:p w14:paraId="79133E9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0A173E" w:rsidRPr="00FF6562" w14:paraId="0623970F"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411CDFF2"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11</m:t>
                    </m:r>
                  </m:sub>
                </m:sSub>
              </m:oMath>
            </m:oMathPara>
          </w:p>
        </w:tc>
        <w:tc>
          <w:tcPr>
            <w:tcW w:w="0" w:type="auto"/>
            <w:tcBorders>
              <w:top w:val="nil"/>
              <w:left w:val="nil"/>
              <w:bottom w:val="nil"/>
              <w:right w:val="nil"/>
            </w:tcBorders>
            <w:shd w:val="clear" w:color="auto" w:fill="auto"/>
            <w:noWrap/>
            <w:hideMark/>
          </w:tcPr>
          <w:p w14:paraId="0BC80FF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0.993</w:t>
            </w:r>
          </w:p>
        </w:tc>
        <w:tc>
          <w:tcPr>
            <w:tcW w:w="0" w:type="auto"/>
            <w:tcBorders>
              <w:top w:val="nil"/>
              <w:left w:val="nil"/>
              <w:bottom w:val="nil"/>
              <w:right w:val="nil"/>
            </w:tcBorders>
            <w:shd w:val="clear" w:color="auto" w:fill="auto"/>
            <w:noWrap/>
            <w:hideMark/>
          </w:tcPr>
          <w:p w14:paraId="15197AC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0D8719E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0.910</w:t>
            </w:r>
          </w:p>
        </w:tc>
        <w:tc>
          <w:tcPr>
            <w:tcW w:w="0" w:type="auto"/>
            <w:tcBorders>
              <w:top w:val="nil"/>
              <w:left w:val="nil"/>
              <w:bottom w:val="nil"/>
              <w:right w:val="nil"/>
            </w:tcBorders>
            <w:shd w:val="clear" w:color="auto" w:fill="auto"/>
            <w:noWrap/>
            <w:hideMark/>
          </w:tcPr>
          <w:p w14:paraId="12F979F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07C8409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0.967</w:t>
            </w:r>
          </w:p>
        </w:tc>
        <w:tc>
          <w:tcPr>
            <w:tcW w:w="0" w:type="auto"/>
            <w:tcBorders>
              <w:top w:val="nil"/>
              <w:left w:val="nil"/>
              <w:bottom w:val="nil"/>
              <w:right w:val="nil"/>
            </w:tcBorders>
            <w:shd w:val="clear" w:color="auto" w:fill="auto"/>
            <w:noWrap/>
            <w:hideMark/>
          </w:tcPr>
          <w:p w14:paraId="286378A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0B17E88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0.981</w:t>
            </w:r>
          </w:p>
        </w:tc>
        <w:tc>
          <w:tcPr>
            <w:tcW w:w="0" w:type="auto"/>
            <w:tcBorders>
              <w:top w:val="nil"/>
              <w:left w:val="nil"/>
              <w:bottom w:val="nil"/>
              <w:right w:val="nil"/>
            </w:tcBorders>
            <w:shd w:val="clear" w:color="auto" w:fill="auto"/>
            <w:noWrap/>
            <w:hideMark/>
          </w:tcPr>
          <w:p w14:paraId="2F3F1D7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235A231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0.921</w:t>
            </w:r>
          </w:p>
        </w:tc>
        <w:tc>
          <w:tcPr>
            <w:tcW w:w="0" w:type="auto"/>
            <w:tcBorders>
              <w:top w:val="nil"/>
              <w:left w:val="nil"/>
              <w:bottom w:val="nil"/>
              <w:right w:val="nil"/>
            </w:tcBorders>
            <w:shd w:val="clear" w:color="auto" w:fill="auto"/>
            <w:noWrap/>
            <w:hideMark/>
          </w:tcPr>
          <w:p w14:paraId="5401006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57A0B9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0.984</w:t>
            </w:r>
          </w:p>
        </w:tc>
        <w:tc>
          <w:tcPr>
            <w:tcW w:w="0" w:type="auto"/>
            <w:tcBorders>
              <w:top w:val="nil"/>
              <w:left w:val="nil"/>
              <w:bottom w:val="nil"/>
              <w:right w:val="nil"/>
            </w:tcBorders>
            <w:shd w:val="clear" w:color="auto" w:fill="auto"/>
            <w:noWrap/>
            <w:hideMark/>
          </w:tcPr>
          <w:p w14:paraId="761CAB2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4DFC41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0.904</w:t>
            </w:r>
          </w:p>
        </w:tc>
        <w:tc>
          <w:tcPr>
            <w:tcW w:w="0" w:type="auto"/>
            <w:tcBorders>
              <w:top w:val="nil"/>
              <w:left w:val="nil"/>
              <w:bottom w:val="nil"/>
              <w:right w:val="nil"/>
            </w:tcBorders>
            <w:shd w:val="clear" w:color="auto" w:fill="auto"/>
            <w:noWrap/>
            <w:hideMark/>
          </w:tcPr>
          <w:p w14:paraId="5771E7F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7DBD6A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0.855</w:t>
            </w:r>
          </w:p>
        </w:tc>
        <w:tc>
          <w:tcPr>
            <w:tcW w:w="834" w:type="dxa"/>
            <w:tcBorders>
              <w:top w:val="nil"/>
              <w:left w:val="nil"/>
              <w:bottom w:val="nil"/>
              <w:right w:val="nil"/>
            </w:tcBorders>
            <w:shd w:val="clear" w:color="auto" w:fill="auto"/>
            <w:noWrap/>
            <w:hideMark/>
          </w:tcPr>
          <w:p w14:paraId="57C59C4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530A308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0.561</w:t>
            </w:r>
          </w:p>
        </w:tc>
        <w:tc>
          <w:tcPr>
            <w:tcW w:w="0" w:type="auto"/>
            <w:tcBorders>
              <w:top w:val="nil"/>
              <w:left w:val="nil"/>
              <w:bottom w:val="nil"/>
              <w:right w:val="nil"/>
            </w:tcBorders>
            <w:shd w:val="clear" w:color="auto" w:fill="auto"/>
            <w:noWrap/>
            <w:hideMark/>
          </w:tcPr>
          <w:p w14:paraId="48F597B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0" w:type="auto"/>
            <w:tcBorders>
              <w:top w:val="nil"/>
              <w:left w:val="nil"/>
              <w:bottom w:val="nil"/>
              <w:right w:val="nil"/>
            </w:tcBorders>
            <w:shd w:val="clear" w:color="auto" w:fill="auto"/>
            <w:noWrap/>
            <w:hideMark/>
          </w:tcPr>
          <w:p w14:paraId="10CA496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0.612</w:t>
            </w:r>
          </w:p>
        </w:tc>
        <w:tc>
          <w:tcPr>
            <w:tcW w:w="0" w:type="auto"/>
            <w:tcBorders>
              <w:top w:val="nil"/>
              <w:left w:val="nil"/>
              <w:bottom w:val="nil"/>
              <w:right w:val="nil"/>
            </w:tcBorders>
            <w:shd w:val="clear" w:color="auto" w:fill="auto"/>
            <w:noWrap/>
            <w:hideMark/>
          </w:tcPr>
          <w:p w14:paraId="3B6EF34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2A778BC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0.937</w:t>
            </w:r>
          </w:p>
        </w:tc>
        <w:tc>
          <w:tcPr>
            <w:tcW w:w="0" w:type="auto"/>
            <w:tcBorders>
              <w:top w:val="nil"/>
              <w:left w:val="nil"/>
              <w:bottom w:val="nil"/>
              <w:right w:val="nil"/>
            </w:tcBorders>
            <w:shd w:val="clear" w:color="auto" w:fill="auto"/>
            <w:noWrap/>
            <w:hideMark/>
          </w:tcPr>
          <w:p w14:paraId="47398EA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0A173E" w:rsidRPr="00FF6562" w14:paraId="0F3755F5"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1E66D8DE"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12</m:t>
                    </m:r>
                  </m:sub>
                </m:sSub>
              </m:oMath>
            </m:oMathPara>
          </w:p>
        </w:tc>
        <w:tc>
          <w:tcPr>
            <w:tcW w:w="0" w:type="auto"/>
            <w:tcBorders>
              <w:top w:val="nil"/>
              <w:left w:val="nil"/>
              <w:bottom w:val="nil"/>
              <w:right w:val="nil"/>
            </w:tcBorders>
            <w:shd w:val="clear" w:color="auto" w:fill="auto"/>
            <w:noWrap/>
            <w:hideMark/>
          </w:tcPr>
          <w:p w14:paraId="6A9A7BE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-0.034</w:t>
            </w:r>
          </w:p>
        </w:tc>
        <w:tc>
          <w:tcPr>
            <w:tcW w:w="0" w:type="auto"/>
            <w:tcBorders>
              <w:top w:val="nil"/>
              <w:left w:val="nil"/>
              <w:bottom w:val="nil"/>
              <w:right w:val="nil"/>
            </w:tcBorders>
            <w:shd w:val="clear" w:color="auto" w:fill="auto"/>
            <w:noWrap/>
            <w:hideMark/>
          </w:tcPr>
          <w:p w14:paraId="438F98F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0.508</w:t>
            </w:r>
          </w:p>
        </w:tc>
        <w:tc>
          <w:tcPr>
            <w:tcW w:w="0" w:type="auto"/>
            <w:tcBorders>
              <w:top w:val="nil"/>
              <w:left w:val="nil"/>
              <w:bottom w:val="nil"/>
              <w:right w:val="nil"/>
            </w:tcBorders>
            <w:shd w:val="clear" w:color="auto" w:fill="auto"/>
            <w:noWrap/>
            <w:hideMark/>
          </w:tcPr>
          <w:p w14:paraId="76ED26D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02F79C1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0.995</w:t>
            </w:r>
          </w:p>
        </w:tc>
        <w:tc>
          <w:tcPr>
            <w:tcW w:w="0" w:type="auto"/>
            <w:tcBorders>
              <w:top w:val="nil"/>
              <w:left w:val="nil"/>
              <w:bottom w:val="nil"/>
              <w:right w:val="nil"/>
            </w:tcBorders>
            <w:shd w:val="clear" w:color="auto" w:fill="auto"/>
            <w:noWrap/>
            <w:hideMark/>
          </w:tcPr>
          <w:p w14:paraId="702ACDD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-0.113</w:t>
            </w:r>
          </w:p>
        </w:tc>
        <w:tc>
          <w:tcPr>
            <w:tcW w:w="0" w:type="auto"/>
            <w:tcBorders>
              <w:top w:val="nil"/>
              <w:left w:val="nil"/>
              <w:bottom w:val="nil"/>
              <w:right w:val="nil"/>
            </w:tcBorders>
            <w:shd w:val="clear" w:color="auto" w:fill="auto"/>
            <w:noWrap/>
            <w:hideMark/>
          </w:tcPr>
          <w:p w14:paraId="35272AD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0.350</w:t>
            </w:r>
          </w:p>
        </w:tc>
        <w:tc>
          <w:tcPr>
            <w:tcW w:w="0" w:type="auto"/>
            <w:tcBorders>
              <w:top w:val="nil"/>
              <w:left w:val="nil"/>
              <w:bottom w:val="nil"/>
              <w:right w:val="nil"/>
            </w:tcBorders>
            <w:shd w:val="clear" w:color="auto" w:fill="auto"/>
            <w:noWrap/>
            <w:hideMark/>
          </w:tcPr>
          <w:p w14:paraId="3AA2549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0.171</w:t>
            </w:r>
          </w:p>
        </w:tc>
        <w:tc>
          <w:tcPr>
            <w:tcW w:w="0" w:type="auto"/>
            <w:tcBorders>
              <w:top w:val="nil"/>
              <w:left w:val="nil"/>
              <w:bottom w:val="nil"/>
              <w:right w:val="nil"/>
            </w:tcBorders>
            <w:shd w:val="clear" w:color="auto" w:fill="auto"/>
            <w:noWrap/>
            <w:hideMark/>
          </w:tcPr>
          <w:p w14:paraId="0093F55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0.264</w:t>
            </w:r>
          </w:p>
        </w:tc>
        <w:tc>
          <w:tcPr>
            <w:tcW w:w="0" w:type="auto"/>
            <w:tcBorders>
              <w:top w:val="nil"/>
              <w:left w:val="nil"/>
              <w:bottom w:val="nil"/>
              <w:right w:val="nil"/>
            </w:tcBorders>
            <w:shd w:val="clear" w:color="auto" w:fill="auto"/>
            <w:noWrap/>
            <w:hideMark/>
          </w:tcPr>
          <w:p w14:paraId="4737748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0.211</w:t>
            </w:r>
          </w:p>
        </w:tc>
        <w:tc>
          <w:tcPr>
            <w:tcW w:w="0" w:type="auto"/>
            <w:tcBorders>
              <w:top w:val="nil"/>
              <w:left w:val="nil"/>
              <w:bottom w:val="nil"/>
              <w:right w:val="nil"/>
            </w:tcBorders>
            <w:shd w:val="clear" w:color="auto" w:fill="auto"/>
            <w:noWrap/>
            <w:hideMark/>
          </w:tcPr>
          <w:p w14:paraId="357D3C4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0.019</w:t>
            </w:r>
          </w:p>
        </w:tc>
        <w:tc>
          <w:tcPr>
            <w:tcW w:w="0" w:type="auto"/>
            <w:tcBorders>
              <w:top w:val="nil"/>
              <w:left w:val="nil"/>
              <w:bottom w:val="nil"/>
              <w:right w:val="nil"/>
            </w:tcBorders>
            <w:shd w:val="clear" w:color="auto" w:fill="auto"/>
            <w:noWrap/>
            <w:hideMark/>
          </w:tcPr>
          <w:p w14:paraId="207F273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-0.054</w:t>
            </w:r>
          </w:p>
        </w:tc>
        <w:tc>
          <w:tcPr>
            <w:tcW w:w="0" w:type="auto"/>
            <w:tcBorders>
              <w:top w:val="nil"/>
              <w:left w:val="nil"/>
              <w:bottom w:val="nil"/>
              <w:right w:val="nil"/>
            </w:tcBorders>
            <w:shd w:val="clear" w:color="auto" w:fill="auto"/>
            <w:noWrap/>
            <w:hideMark/>
          </w:tcPr>
          <w:p w14:paraId="490F7F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0.523</w:t>
            </w:r>
          </w:p>
        </w:tc>
        <w:tc>
          <w:tcPr>
            <w:tcW w:w="0" w:type="auto"/>
            <w:tcBorders>
              <w:top w:val="nil"/>
              <w:left w:val="nil"/>
              <w:bottom w:val="nil"/>
              <w:right w:val="nil"/>
            </w:tcBorders>
            <w:shd w:val="clear" w:color="auto" w:fill="auto"/>
            <w:noWrap/>
            <w:hideMark/>
          </w:tcPr>
          <w:p w14:paraId="728C15C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-0.137</w:t>
            </w:r>
          </w:p>
        </w:tc>
        <w:tc>
          <w:tcPr>
            <w:tcW w:w="0" w:type="auto"/>
            <w:tcBorders>
              <w:top w:val="nil"/>
              <w:left w:val="nil"/>
              <w:bottom w:val="nil"/>
              <w:right w:val="nil"/>
            </w:tcBorders>
            <w:shd w:val="clear" w:color="auto" w:fill="auto"/>
            <w:noWrap/>
            <w:hideMark/>
          </w:tcPr>
          <w:p w14:paraId="032BA35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0.615</w:t>
            </w:r>
          </w:p>
        </w:tc>
        <w:tc>
          <w:tcPr>
            <w:tcW w:w="0" w:type="auto"/>
            <w:tcBorders>
              <w:top w:val="nil"/>
              <w:left w:val="nil"/>
              <w:bottom w:val="nil"/>
              <w:right w:val="nil"/>
            </w:tcBorders>
            <w:shd w:val="clear" w:color="auto" w:fill="auto"/>
            <w:noWrap/>
            <w:hideMark/>
          </w:tcPr>
          <w:p w14:paraId="3C26482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0.043</w:t>
            </w:r>
          </w:p>
        </w:tc>
        <w:tc>
          <w:tcPr>
            <w:tcW w:w="834" w:type="dxa"/>
            <w:tcBorders>
              <w:top w:val="nil"/>
              <w:left w:val="nil"/>
              <w:bottom w:val="nil"/>
              <w:right w:val="nil"/>
            </w:tcBorders>
            <w:shd w:val="clear" w:color="auto" w:fill="auto"/>
            <w:noWrap/>
            <w:hideMark/>
          </w:tcPr>
          <w:p w14:paraId="23AACA3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0.685</w:t>
            </w:r>
          </w:p>
        </w:tc>
        <w:tc>
          <w:tcPr>
            <w:tcW w:w="0" w:type="auto"/>
            <w:tcBorders>
              <w:top w:val="nil"/>
              <w:left w:val="nil"/>
              <w:bottom w:val="nil"/>
              <w:right w:val="nil"/>
            </w:tcBorders>
            <w:shd w:val="clear" w:color="auto" w:fill="auto"/>
            <w:noWrap/>
            <w:hideMark/>
          </w:tcPr>
          <w:p w14:paraId="6A1BE2B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1.031</w:t>
            </w:r>
          </w:p>
        </w:tc>
        <w:tc>
          <w:tcPr>
            <w:tcW w:w="0" w:type="auto"/>
            <w:tcBorders>
              <w:top w:val="nil"/>
              <w:left w:val="nil"/>
              <w:bottom w:val="nil"/>
              <w:right w:val="nil"/>
            </w:tcBorders>
            <w:shd w:val="clear" w:color="auto" w:fill="auto"/>
            <w:noWrap/>
            <w:hideMark/>
          </w:tcPr>
          <w:p w14:paraId="4AD463D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0.186</w:t>
            </w:r>
          </w:p>
        </w:tc>
        <w:tc>
          <w:tcPr>
            <w:tcW w:w="0" w:type="auto"/>
            <w:tcBorders>
              <w:top w:val="nil"/>
              <w:left w:val="nil"/>
              <w:bottom w:val="nil"/>
              <w:right w:val="nil"/>
            </w:tcBorders>
            <w:shd w:val="clear" w:color="auto" w:fill="auto"/>
            <w:noWrap/>
            <w:hideMark/>
          </w:tcPr>
          <w:p w14:paraId="5105EF4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2.202</w:t>
            </w:r>
          </w:p>
        </w:tc>
        <w:tc>
          <w:tcPr>
            <w:tcW w:w="0" w:type="auto"/>
            <w:tcBorders>
              <w:top w:val="nil"/>
              <w:left w:val="nil"/>
              <w:bottom w:val="nil"/>
              <w:right w:val="nil"/>
            </w:tcBorders>
            <w:shd w:val="clear" w:color="auto" w:fill="auto"/>
            <w:noWrap/>
            <w:hideMark/>
          </w:tcPr>
          <w:p w14:paraId="6BB9C3B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0" w:type="auto"/>
            <w:tcBorders>
              <w:top w:val="nil"/>
              <w:left w:val="nil"/>
              <w:bottom w:val="nil"/>
              <w:right w:val="nil"/>
            </w:tcBorders>
            <w:shd w:val="clear" w:color="auto" w:fill="auto"/>
            <w:noWrap/>
            <w:hideMark/>
          </w:tcPr>
          <w:p w14:paraId="509661E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0.023</w:t>
            </w:r>
          </w:p>
        </w:tc>
        <w:tc>
          <w:tcPr>
            <w:tcW w:w="0" w:type="auto"/>
            <w:tcBorders>
              <w:top w:val="nil"/>
              <w:left w:val="nil"/>
              <w:bottom w:val="nil"/>
              <w:right w:val="nil"/>
            </w:tcBorders>
            <w:shd w:val="clear" w:color="auto" w:fill="auto"/>
            <w:noWrap/>
            <w:hideMark/>
          </w:tcPr>
          <w:p w14:paraId="3435CE4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0.871</w:t>
            </w:r>
          </w:p>
        </w:tc>
      </w:tr>
      <w:tr w:rsidR="000A173E" w:rsidRPr="00FF6562" w14:paraId="2F2F1D1D"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58E95B83"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21</m:t>
                    </m:r>
                  </m:sub>
                </m:sSub>
              </m:oMath>
            </m:oMathPara>
          </w:p>
        </w:tc>
        <w:tc>
          <w:tcPr>
            <w:tcW w:w="0" w:type="auto"/>
            <w:tcBorders>
              <w:top w:val="nil"/>
              <w:left w:val="nil"/>
              <w:bottom w:val="nil"/>
              <w:right w:val="nil"/>
            </w:tcBorders>
            <w:shd w:val="clear" w:color="auto" w:fill="auto"/>
            <w:noWrap/>
            <w:hideMark/>
          </w:tcPr>
          <w:p w14:paraId="0B68A3A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485C240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0.323</w:t>
            </w:r>
          </w:p>
        </w:tc>
        <w:tc>
          <w:tcPr>
            <w:tcW w:w="0" w:type="auto"/>
            <w:tcBorders>
              <w:top w:val="nil"/>
              <w:left w:val="nil"/>
              <w:bottom w:val="nil"/>
              <w:right w:val="nil"/>
            </w:tcBorders>
            <w:shd w:val="clear" w:color="auto" w:fill="auto"/>
            <w:noWrap/>
            <w:hideMark/>
          </w:tcPr>
          <w:p w14:paraId="11DFD86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537D741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0.158</w:t>
            </w:r>
          </w:p>
        </w:tc>
        <w:tc>
          <w:tcPr>
            <w:tcW w:w="0" w:type="auto"/>
            <w:tcBorders>
              <w:top w:val="nil"/>
              <w:left w:val="nil"/>
              <w:bottom w:val="nil"/>
              <w:right w:val="nil"/>
            </w:tcBorders>
            <w:shd w:val="clear" w:color="auto" w:fill="auto"/>
            <w:noWrap/>
            <w:hideMark/>
          </w:tcPr>
          <w:p w14:paraId="0EDB17D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062EF85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hideMark/>
          </w:tcPr>
          <w:p w14:paraId="52F8E10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30DE1D8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0.953</w:t>
            </w:r>
          </w:p>
        </w:tc>
        <w:tc>
          <w:tcPr>
            <w:tcW w:w="0" w:type="auto"/>
            <w:tcBorders>
              <w:top w:val="nil"/>
              <w:left w:val="nil"/>
              <w:bottom w:val="nil"/>
              <w:right w:val="nil"/>
            </w:tcBorders>
            <w:shd w:val="clear" w:color="auto" w:fill="auto"/>
            <w:noWrap/>
            <w:hideMark/>
          </w:tcPr>
          <w:p w14:paraId="541F257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49ED689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0" w:type="auto"/>
            <w:tcBorders>
              <w:top w:val="nil"/>
              <w:left w:val="nil"/>
              <w:bottom w:val="nil"/>
              <w:right w:val="nil"/>
            </w:tcBorders>
            <w:shd w:val="clear" w:color="auto" w:fill="auto"/>
            <w:noWrap/>
            <w:hideMark/>
          </w:tcPr>
          <w:p w14:paraId="33D2A70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335E6B2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1</w:t>
            </w:r>
            <w:r w:rsidRPr="00FF6562">
              <w:rPr>
                <w:rFonts w:ascii="Times New Roman" w:eastAsia="Times New Roman" w:hAnsi="Times New Roman" w:cs="Times New Roman"/>
                <w:sz w:val="16"/>
                <w:szCs w:val="16"/>
                <w:lang w:eastAsia="en-GB"/>
              </w:rPr>
              <w:t>89</w:t>
            </w:r>
          </w:p>
        </w:tc>
        <w:tc>
          <w:tcPr>
            <w:tcW w:w="0" w:type="auto"/>
            <w:tcBorders>
              <w:top w:val="nil"/>
              <w:left w:val="nil"/>
              <w:bottom w:val="nil"/>
              <w:right w:val="nil"/>
            </w:tcBorders>
            <w:shd w:val="clear" w:color="auto" w:fill="auto"/>
            <w:noWrap/>
            <w:hideMark/>
          </w:tcPr>
          <w:p w14:paraId="4842303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2E41189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0.167</w:t>
            </w:r>
          </w:p>
        </w:tc>
        <w:tc>
          <w:tcPr>
            <w:tcW w:w="0" w:type="auto"/>
            <w:tcBorders>
              <w:top w:val="nil"/>
              <w:left w:val="nil"/>
              <w:bottom w:val="nil"/>
              <w:right w:val="nil"/>
            </w:tcBorders>
            <w:shd w:val="clear" w:color="auto" w:fill="auto"/>
            <w:noWrap/>
            <w:hideMark/>
          </w:tcPr>
          <w:p w14:paraId="1258DB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834" w:type="dxa"/>
            <w:tcBorders>
              <w:top w:val="nil"/>
              <w:left w:val="nil"/>
              <w:bottom w:val="nil"/>
              <w:right w:val="nil"/>
            </w:tcBorders>
            <w:shd w:val="clear" w:color="auto" w:fill="auto"/>
            <w:noWrap/>
            <w:hideMark/>
          </w:tcPr>
          <w:p w14:paraId="75DA5F8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0.172</w:t>
            </w:r>
          </w:p>
        </w:tc>
        <w:tc>
          <w:tcPr>
            <w:tcW w:w="0" w:type="auto"/>
            <w:tcBorders>
              <w:top w:val="nil"/>
              <w:left w:val="nil"/>
              <w:bottom w:val="nil"/>
              <w:right w:val="nil"/>
            </w:tcBorders>
            <w:shd w:val="clear" w:color="auto" w:fill="auto"/>
            <w:noWrap/>
            <w:hideMark/>
          </w:tcPr>
          <w:p w14:paraId="558F3A7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hideMark/>
          </w:tcPr>
          <w:p w14:paraId="72C20C0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0.033</w:t>
            </w:r>
          </w:p>
        </w:tc>
        <w:tc>
          <w:tcPr>
            <w:tcW w:w="0" w:type="auto"/>
            <w:tcBorders>
              <w:top w:val="nil"/>
              <w:left w:val="nil"/>
              <w:bottom w:val="nil"/>
              <w:right w:val="nil"/>
            </w:tcBorders>
            <w:shd w:val="clear" w:color="auto" w:fill="auto"/>
            <w:noWrap/>
            <w:hideMark/>
          </w:tcPr>
          <w:p w14:paraId="1954D9A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672F165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0.816</w:t>
            </w:r>
          </w:p>
        </w:tc>
        <w:tc>
          <w:tcPr>
            <w:tcW w:w="0" w:type="auto"/>
            <w:tcBorders>
              <w:top w:val="nil"/>
              <w:left w:val="nil"/>
              <w:bottom w:val="nil"/>
              <w:right w:val="nil"/>
            </w:tcBorders>
            <w:shd w:val="clear" w:color="auto" w:fill="auto"/>
            <w:noWrap/>
            <w:hideMark/>
          </w:tcPr>
          <w:p w14:paraId="1477E6D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56DE74A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0.524</w:t>
            </w:r>
          </w:p>
        </w:tc>
      </w:tr>
      <w:tr w:rsidR="000A173E" w:rsidRPr="00FF6562" w14:paraId="44093866"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3D7CBC93"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22</m:t>
                    </m:r>
                  </m:sub>
                </m:sSub>
              </m:oMath>
            </m:oMathPara>
          </w:p>
        </w:tc>
        <w:tc>
          <w:tcPr>
            <w:tcW w:w="0" w:type="auto"/>
            <w:tcBorders>
              <w:top w:val="nil"/>
              <w:left w:val="nil"/>
              <w:bottom w:val="nil"/>
              <w:right w:val="nil"/>
            </w:tcBorders>
            <w:shd w:val="clear" w:color="auto" w:fill="auto"/>
            <w:noWrap/>
            <w:hideMark/>
          </w:tcPr>
          <w:p w14:paraId="755B217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0.891</w:t>
            </w:r>
          </w:p>
        </w:tc>
        <w:tc>
          <w:tcPr>
            <w:tcW w:w="0" w:type="auto"/>
            <w:tcBorders>
              <w:top w:val="nil"/>
              <w:left w:val="nil"/>
              <w:bottom w:val="nil"/>
              <w:right w:val="nil"/>
            </w:tcBorders>
            <w:shd w:val="clear" w:color="auto" w:fill="auto"/>
            <w:noWrap/>
            <w:hideMark/>
          </w:tcPr>
          <w:p w14:paraId="4420298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20E4E7C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0.892</w:t>
            </w:r>
          </w:p>
        </w:tc>
        <w:tc>
          <w:tcPr>
            <w:tcW w:w="0" w:type="auto"/>
            <w:tcBorders>
              <w:top w:val="nil"/>
              <w:left w:val="nil"/>
              <w:bottom w:val="nil"/>
              <w:right w:val="nil"/>
            </w:tcBorders>
            <w:shd w:val="clear" w:color="auto" w:fill="auto"/>
            <w:noWrap/>
            <w:hideMark/>
          </w:tcPr>
          <w:p w14:paraId="089D3DD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135A854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0.894</w:t>
            </w:r>
          </w:p>
        </w:tc>
        <w:tc>
          <w:tcPr>
            <w:tcW w:w="0" w:type="auto"/>
            <w:tcBorders>
              <w:top w:val="nil"/>
              <w:left w:val="nil"/>
              <w:bottom w:val="nil"/>
              <w:right w:val="nil"/>
            </w:tcBorders>
            <w:shd w:val="clear" w:color="auto" w:fill="auto"/>
            <w:noWrap/>
            <w:hideMark/>
          </w:tcPr>
          <w:p w14:paraId="12B7A74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2A99D26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0.888</w:t>
            </w:r>
          </w:p>
        </w:tc>
        <w:tc>
          <w:tcPr>
            <w:tcW w:w="0" w:type="auto"/>
            <w:tcBorders>
              <w:top w:val="nil"/>
              <w:left w:val="nil"/>
              <w:bottom w:val="nil"/>
              <w:right w:val="nil"/>
            </w:tcBorders>
            <w:shd w:val="clear" w:color="auto" w:fill="auto"/>
            <w:noWrap/>
            <w:hideMark/>
          </w:tcPr>
          <w:p w14:paraId="6A2A3B7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1385A4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0.900</w:t>
            </w:r>
          </w:p>
        </w:tc>
        <w:tc>
          <w:tcPr>
            <w:tcW w:w="0" w:type="auto"/>
            <w:tcBorders>
              <w:top w:val="nil"/>
              <w:left w:val="nil"/>
              <w:bottom w:val="nil"/>
              <w:right w:val="nil"/>
            </w:tcBorders>
            <w:shd w:val="clear" w:color="auto" w:fill="auto"/>
            <w:noWrap/>
            <w:hideMark/>
          </w:tcPr>
          <w:p w14:paraId="19ED823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7AA034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0.899</w:t>
            </w:r>
          </w:p>
        </w:tc>
        <w:tc>
          <w:tcPr>
            <w:tcW w:w="0" w:type="auto"/>
            <w:tcBorders>
              <w:top w:val="nil"/>
              <w:left w:val="nil"/>
              <w:bottom w:val="nil"/>
              <w:right w:val="nil"/>
            </w:tcBorders>
            <w:shd w:val="clear" w:color="auto" w:fill="auto"/>
            <w:noWrap/>
            <w:hideMark/>
          </w:tcPr>
          <w:p w14:paraId="604B84B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C2F51D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0.892</w:t>
            </w:r>
          </w:p>
        </w:tc>
        <w:tc>
          <w:tcPr>
            <w:tcW w:w="0" w:type="auto"/>
            <w:tcBorders>
              <w:top w:val="nil"/>
              <w:left w:val="nil"/>
              <w:bottom w:val="nil"/>
              <w:right w:val="nil"/>
            </w:tcBorders>
            <w:shd w:val="clear" w:color="auto" w:fill="auto"/>
            <w:noWrap/>
            <w:hideMark/>
          </w:tcPr>
          <w:p w14:paraId="4E63C4D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6483C2E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0.893</w:t>
            </w:r>
          </w:p>
        </w:tc>
        <w:tc>
          <w:tcPr>
            <w:tcW w:w="834" w:type="dxa"/>
            <w:tcBorders>
              <w:top w:val="nil"/>
              <w:left w:val="nil"/>
              <w:bottom w:val="nil"/>
              <w:right w:val="nil"/>
            </w:tcBorders>
            <w:shd w:val="clear" w:color="auto" w:fill="auto"/>
            <w:noWrap/>
            <w:hideMark/>
          </w:tcPr>
          <w:p w14:paraId="2DD9CED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17E2138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0.885</w:t>
            </w:r>
          </w:p>
        </w:tc>
        <w:tc>
          <w:tcPr>
            <w:tcW w:w="0" w:type="auto"/>
            <w:tcBorders>
              <w:top w:val="nil"/>
              <w:left w:val="nil"/>
              <w:bottom w:val="nil"/>
              <w:right w:val="nil"/>
            </w:tcBorders>
            <w:shd w:val="clear" w:color="auto" w:fill="auto"/>
            <w:noWrap/>
            <w:hideMark/>
          </w:tcPr>
          <w:p w14:paraId="57133B8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17E00AC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0.876</w:t>
            </w:r>
          </w:p>
        </w:tc>
        <w:tc>
          <w:tcPr>
            <w:tcW w:w="0" w:type="auto"/>
            <w:tcBorders>
              <w:top w:val="nil"/>
              <w:left w:val="nil"/>
              <w:bottom w:val="nil"/>
              <w:right w:val="nil"/>
            </w:tcBorders>
            <w:shd w:val="clear" w:color="auto" w:fill="auto"/>
            <w:noWrap/>
            <w:hideMark/>
          </w:tcPr>
          <w:p w14:paraId="09095DF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7677E8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0.896</w:t>
            </w:r>
          </w:p>
        </w:tc>
        <w:tc>
          <w:tcPr>
            <w:tcW w:w="0" w:type="auto"/>
            <w:tcBorders>
              <w:top w:val="nil"/>
              <w:left w:val="nil"/>
              <w:bottom w:val="nil"/>
              <w:right w:val="nil"/>
            </w:tcBorders>
            <w:shd w:val="clear" w:color="auto" w:fill="auto"/>
            <w:noWrap/>
            <w:hideMark/>
          </w:tcPr>
          <w:p w14:paraId="686D4BF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0A173E" w:rsidRPr="00FF6562" w14:paraId="553EB47F" w14:textId="77777777" w:rsidTr="000A173E">
        <w:trPr>
          <w:gridAfter w:val="1"/>
          <w:wAfter w:w="12" w:type="dxa"/>
          <w:trHeight w:val="222"/>
        </w:trPr>
        <w:tc>
          <w:tcPr>
            <w:tcW w:w="0" w:type="auto"/>
            <w:tcBorders>
              <w:top w:val="nil"/>
              <w:left w:val="nil"/>
              <w:bottom w:val="nil"/>
              <w:right w:val="nil"/>
            </w:tcBorders>
            <w:shd w:val="clear" w:color="auto" w:fill="auto"/>
            <w:noWrap/>
            <w:vAlign w:val="center"/>
          </w:tcPr>
          <w:p w14:paraId="30C574D3"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11</m:t>
                    </m:r>
                  </m:sub>
                </m:sSub>
              </m:oMath>
            </m:oMathPara>
          </w:p>
        </w:tc>
        <w:tc>
          <w:tcPr>
            <w:tcW w:w="0" w:type="auto"/>
            <w:tcBorders>
              <w:top w:val="nil"/>
              <w:left w:val="nil"/>
              <w:bottom w:val="nil"/>
              <w:right w:val="nil"/>
            </w:tcBorders>
            <w:shd w:val="clear" w:color="auto" w:fill="auto"/>
            <w:noWrap/>
            <w:hideMark/>
          </w:tcPr>
          <w:p w14:paraId="221F9F5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1</w:t>
            </w:r>
            <w:r w:rsidRPr="00FF6562">
              <w:rPr>
                <w:rFonts w:ascii="Times New Roman" w:eastAsia="Times New Roman" w:hAnsi="Times New Roman" w:cs="Times New Roman"/>
                <w:sz w:val="16"/>
                <w:szCs w:val="16"/>
                <w:lang w:eastAsia="en-GB"/>
              </w:rPr>
              <w:t>22</w:t>
            </w:r>
          </w:p>
        </w:tc>
        <w:tc>
          <w:tcPr>
            <w:tcW w:w="0" w:type="auto"/>
            <w:tcBorders>
              <w:top w:val="nil"/>
              <w:left w:val="nil"/>
              <w:bottom w:val="nil"/>
              <w:right w:val="nil"/>
            </w:tcBorders>
            <w:shd w:val="clear" w:color="auto" w:fill="auto"/>
            <w:noWrap/>
            <w:hideMark/>
          </w:tcPr>
          <w:p w14:paraId="32309A8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89</w:t>
            </w:r>
          </w:p>
        </w:tc>
        <w:tc>
          <w:tcPr>
            <w:tcW w:w="0" w:type="auto"/>
            <w:tcBorders>
              <w:top w:val="nil"/>
              <w:left w:val="nil"/>
              <w:bottom w:val="nil"/>
              <w:right w:val="nil"/>
            </w:tcBorders>
            <w:shd w:val="clear" w:color="auto" w:fill="auto"/>
            <w:noWrap/>
            <w:hideMark/>
          </w:tcPr>
          <w:p w14:paraId="0DA529A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0.456</w:t>
            </w:r>
          </w:p>
        </w:tc>
        <w:tc>
          <w:tcPr>
            <w:tcW w:w="0" w:type="auto"/>
            <w:tcBorders>
              <w:top w:val="nil"/>
              <w:left w:val="nil"/>
              <w:bottom w:val="nil"/>
              <w:right w:val="nil"/>
            </w:tcBorders>
            <w:shd w:val="clear" w:color="auto" w:fill="auto"/>
            <w:noWrap/>
            <w:hideMark/>
          </w:tcPr>
          <w:p w14:paraId="143BA1C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4EB9BB9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0.235</w:t>
            </w:r>
          </w:p>
        </w:tc>
        <w:tc>
          <w:tcPr>
            <w:tcW w:w="0" w:type="auto"/>
            <w:tcBorders>
              <w:top w:val="nil"/>
              <w:left w:val="nil"/>
              <w:bottom w:val="nil"/>
              <w:right w:val="nil"/>
            </w:tcBorders>
            <w:shd w:val="clear" w:color="auto" w:fill="auto"/>
            <w:noWrap/>
            <w:hideMark/>
          </w:tcPr>
          <w:p w14:paraId="465E4C1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0.027</w:t>
            </w:r>
          </w:p>
        </w:tc>
        <w:tc>
          <w:tcPr>
            <w:tcW w:w="0" w:type="auto"/>
            <w:tcBorders>
              <w:top w:val="nil"/>
              <w:left w:val="nil"/>
              <w:bottom w:val="nil"/>
              <w:right w:val="nil"/>
            </w:tcBorders>
            <w:shd w:val="clear" w:color="auto" w:fill="auto"/>
            <w:noWrap/>
            <w:hideMark/>
          </w:tcPr>
          <w:p w14:paraId="2A9A366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0.260</w:t>
            </w:r>
          </w:p>
        </w:tc>
        <w:tc>
          <w:tcPr>
            <w:tcW w:w="0" w:type="auto"/>
            <w:tcBorders>
              <w:top w:val="nil"/>
              <w:left w:val="nil"/>
              <w:bottom w:val="nil"/>
              <w:right w:val="nil"/>
            </w:tcBorders>
            <w:shd w:val="clear" w:color="auto" w:fill="auto"/>
            <w:noWrap/>
            <w:hideMark/>
          </w:tcPr>
          <w:p w14:paraId="792690D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578E9BF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0.023</w:t>
            </w:r>
          </w:p>
        </w:tc>
        <w:tc>
          <w:tcPr>
            <w:tcW w:w="0" w:type="auto"/>
            <w:tcBorders>
              <w:top w:val="nil"/>
              <w:left w:val="nil"/>
              <w:bottom w:val="nil"/>
              <w:right w:val="nil"/>
            </w:tcBorders>
            <w:shd w:val="clear" w:color="auto" w:fill="auto"/>
            <w:noWrap/>
            <w:hideMark/>
          </w:tcPr>
          <w:p w14:paraId="1502E85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0.898</w:t>
            </w:r>
          </w:p>
        </w:tc>
        <w:tc>
          <w:tcPr>
            <w:tcW w:w="0" w:type="auto"/>
            <w:tcBorders>
              <w:top w:val="nil"/>
              <w:left w:val="nil"/>
              <w:bottom w:val="nil"/>
              <w:right w:val="nil"/>
            </w:tcBorders>
            <w:shd w:val="clear" w:color="auto" w:fill="auto"/>
            <w:noWrap/>
            <w:hideMark/>
          </w:tcPr>
          <w:p w14:paraId="2B982A9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0.189</w:t>
            </w:r>
          </w:p>
        </w:tc>
        <w:tc>
          <w:tcPr>
            <w:tcW w:w="0" w:type="auto"/>
            <w:tcBorders>
              <w:top w:val="nil"/>
              <w:left w:val="nil"/>
              <w:bottom w:val="nil"/>
              <w:right w:val="nil"/>
            </w:tcBorders>
            <w:shd w:val="clear" w:color="auto" w:fill="auto"/>
            <w:noWrap/>
            <w:hideMark/>
          </w:tcPr>
          <w:p w14:paraId="07A7E78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0.039</w:t>
            </w:r>
          </w:p>
        </w:tc>
        <w:tc>
          <w:tcPr>
            <w:tcW w:w="0" w:type="auto"/>
            <w:tcBorders>
              <w:top w:val="nil"/>
              <w:left w:val="nil"/>
              <w:bottom w:val="nil"/>
              <w:right w:val="nil"/>
            </w:tcBorders>
            <w:shd w:val="clear" w:color="auto" w:fill="auto"/>
            <w:noWrap/>
            <w:hideMark/>
          </w:tcPr>
          <w:p w14:paraId="4F69469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0.436</w:t>
            </w:r>
          </w:p>
        </w:tc>
        <w:tc>
          <w:tcPr>
            <w:tcW w:w="0" w:type="auto"/>
            <w:tcBorders>
              <w:top w:val="nil"/>
              <w:left w:val="nil"/>
              <w:bottom w:val="nil"/>
              <w:right w:val="nil"/>
            </w:tcBorders>
            <w:shd w:val="clear" w:color="auto" w:fill="auto"/>
            <w:noWrap/>
            <w:hideMark/>
          </w:tcPr>
          <w:p w14:paraId="14C5B29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F6163B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0.543</w:t>
            </w:r>
          </w:p>
        </w:tc>
        <w:tc>
          <w:tcPr>
            <w:tcW w:w="834" w:type="dxa"/>
            <w:tcBorders>
              <w:top w:val="nil"/>
              <w:left w:val="nil"/>
              <w:bottom w:val="nil"/>
              <w:right w:val="nil"/>
            </w:tcBorders>
            <w:shd w:val="clear" w:color="auto" w:fill="auto"/>
            <w:noWrap/>
            <w:hideMark/>
          </w:tcPr>
          <w:p w14:paraId="563B059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3151A4C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w:t>
            </w:r>
            <w:r>
              <w:rPr>
                <w:rFonts w:ascii="Times New Roman" w:eastAsia="Times New Roman" w:hAnsi="Times New Roman" w:cs="Times New Roman"/>
                <w:sz w:val="16"/>
                <w:szCs w:val="16"/>
                <w:lang w:eastAsia="en-GB"/>
              </w:rPr>
              <w:t>9</w:t>
            </w:r>
            <w:r w:rsidRPr="00FF6562">
              <w:rPr>
                <w:rFonts w:ascii="Times New Roman" w:eastAsia="Times New Roman" w:hAnsi="Times New Roman" w:cs="Times New Roman"/>
                <w:sz w:val="16"/>
                <w:szCs w:val="16"/>
                <w:lang w:eastAsia="en-GB"/>
              </w:rPr>
              <w:t>3</w:t>
            </w:r>
          </w:p>
        </w:tc>
        <w:tc>
          <w:tcPr>
            <w:tcW w:w="0" w:type="auto"/>
            <w:tcBorders>
              <w:top w:val="nil"/>
              <w:left w:val="nil"/>
              <w:bottom w:val="nil"/>
              <w:right w:val="nil"/>
            </w:tcBorders>
            <w:shd w:val="clear" w:color="auto" w:fill="auto"/>
            <w:noWrap/>
            <w:hideMark/>
          </w:tcPr>
          <w:p w14:paraId="242A5D7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42</w:t>
            </w:r>
          </w:p>
        </w:tc>
        <w:tc>
          <w:tcPr>
            <w:tcW w:w="0" w:type="auto"/>
            <w:tcBorders>
              <w:top w:val="nil"/>
              <w:left w:val="nil"/>
              <w:bottom w:val="nil"/>
              <w:right w:val="nil"/>
            </w:tcBorders>
            <w:shd w:val="clear" w:color="auto" w:fill="auto"/>
            <w:noWrap/>
            <w:hideMark/>
          </w:tcPr>
          <w:p w14:paraId="0850D13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1F77C25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0.997</w:t>
            </w:r>
          </w:p>
        </w:tc>
        <w:tc>
          <w:tcPr>
            <w:tcW w:w="0" w:type="auto"/>
            <w:tcBorders>
              <w:top w:val="nil"/>
              <w:left w:val="nil"/>
              <w:bottom w:val="nil"/>
              <w:right w:val="nil"/>
            </w:tcBorders>
            <w:shd w:val="clear" w:color="auto" w:fill="auto"/>
            <w:noWrap/>
            <w:hideMark/>
          </w:tcPr>
          <w:p w14:paraId="506656E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0.339</w:t>
            </w:r>
          </w:p>
        </w:tc>
        <w:tc>
          <w:tcPr>
            <w:tcW w:w="0" w:type="auto"/>
            <w:tcBorders>
              <w:top w:val="nil"/>
              <w:left w:val="nil"/>
              <w:bottom w:val="nil"/>
              <w:right w:val="nil"/>
            </w:tcBorders>
            <w:shd w:val="clear" w:color="auto" w:fill="auto"/>
            <w:noWrap/>
            <w:hideMark/>
          </w:tcPr>
          <w:p w14:paraId="0120753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0A173E" w:rsidRPr="00FF6562" w14:paraId="5C88334E" w14:textId="77777777" w:rsidTr="000A173E">
        <w:trPr>
          <w:gridAfter w:val="1"/>
          <w:wAfter w:w="12" w:type="dxa"/>
          <w:trHeight w:val="222"/>
        </w:trPr>
        <w:tc>
          <w:tcPr>
            <w:tcW w:w="0" w:type="auto"/>
            <w:tcBorders>
              <w:top w:val="nil"/>
              <w:left w:val="nil"/>
              <w:bottom w:val="nil"/>
              <w:right w:val="nil"/>
            </w:tcBorders>
            <w:shd w:val="clear" w:color="auto" w:fill="auto"/>
            <w:noWrap/>
            <w:vAlign w:val="center"/>
          </w:tcPr>
          <w:p w14:paraId="619F5855"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12</m:t>
                    </m:r>
                  </m:sub>
                </m:sSub>
              </m:oMath>
            </m:oMathPara>
          </w:p>
        </w:tc>
        <w:tc>
          <w:tcPr>
            <w:tcW w:w="0" w:type="auto"/>
            <w:tcBorders>
              <w:top w:val="nil"/>
              <w:left w:val="nil"/>
              <w:bottom w:val="nil"/>
              <w:right w:val="nil"/>
            </w:tcBorders>
            <w:shd w:val="clear" w:color="auto" w:fill="auto"/>
            <w:noWrap/>
            <w:hideMark/>
          </w:tcPr>
          <w:p w14:paraId="390CA54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-0.033</w:t>
            </w:r>
          </w:p>
        </w:tc>
        <w:tc>
          <w:tcPr>
            <w:tcW w:w="0" w:type="auto"/>
            <w:tcBorders>
              <w:top w:val="nil"/>
              <w:left w:val="nil"/>
              <w:bottom w:val="nil"/>
              <w:right w:val="nil"/>
            </w:tcBorders>
            <w:shd w:val="clear" w:color="auto" w:fill="auto"/>
            <w:noWrap/>
            <w:hideMark/>
          </w:tcPr>
          <w:p w14:paraId="352D339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0.712</w:t>
            </w:r>
          </w:p>
        </w:tc>
        <w:tc>
          <w:tcPr>
            <w:tcW w:w="0" w:type="auto"/>
            <w:tcBorders>
              <w:top w:val="nil"/>
              <w:left w:val="nil"/>
              <w:bottom w:val="nil"/>
              <w:right w:val="nil"/>
            </w:tcBorders>
            <w:shd w:val="clear" w:color="auto" w:fill="auto"/>
            <w:noWrap/>
            <w:hideMark/>
          </w:tcPr>
          <w:p w14:paraId="2220F46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-0.398</w:t>
            </w:r>
          </w:p>
        </w:tc>
        <w:tc>
          <w:tcPr>
            <w:tcW w:w="0" w:type="auto"/>
            <w:tcBorders>
              <w:top w:val="nil"/>
              <w:left w:val="nil"/>
              <w:bottom w:val="nil"/>
              <w:right w:val="nil"/>
            </w:tcBorders>
            <w:shd w:val="clear" w:color="auto" w:fill="auto"/>
            <w:noWrap/>
            <w:hideMark/>
          </w:tcPr>
          <w:p w14:paraId="654E123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0.463</w:t>
            </w:r>
          </w:p>
        </w:tc>
        <w:tc>
          <w:tcPr>
            <w:tcW w:w="0" w:type="auto"/>
            <w:tcBorders>
              <w:top w:val="nil"/>
              <w:left w:val="nil"/>
              <w:bottom w:val="nil"/>
              <w:right w:val="nil"/>
            </w:tcBorders>
            <w:shd w:val="clear" w:color="auto" w:fill="auto"/>
            <w:noWrap/>
            <w:hideMark/>
          </w:tcPr>
          <w:p w14:paraId="7F1E14F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-0.351</w:t>
            </w:r>
          </w:p>
        </w:tc>
        <w:tc>
          <w:tcPr>
            <w:tcW w:w="0" w:type="auto"/>
            <w:tcBorders>
              <w:top w:val="nil"/>
              <w:left w:val="nil"/>
              <w:bottom w:val="nil"/>
              <w:right w:val="nil"/>
            </w:tcBorders>
            <w:shd w:val="clear" w:color="auto" w:fill="auto"/>
            <w:noWrap/>
            <w:hideMark/>
          </w:tcPr>
          <w:p w14:paraId="4017E03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0.498</w:t>
            </w:r>
          </w:p>
        </w:tc>
        <w:tc>
          <w:tcPr>
            <w:tcW w:w="0" w:type="auto"/>
            <w:tcBorders>
              <w:top w:val="nil"/>
              <w:left w:val="nil"/>
              <w:bottom w:val="nil"/>
              <w:right w:val="nil"/>
            </w:tcBorders>
            <w:shd w:val="clear" w:color="auto" w:fill="auto"/>
            <w:noWrap/>
            <w:hideMark/>
          </w:tcPr>
          <w:p w14:paraId="6F0066C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-0.354</w:t>
            </w:r>
          </w:p>
        </w:tc>
        <w:tc>
          <w:tcPr>
            <w:tcW w:w="0" w:type="auto"/>
            <w:tcBorders>
              <w:top w:val="nil"/>
              <w:left w:val="nil"/>
              <w:bottom w:val="nil"/>
              <w:right w:val="nil"/>
            </w:tcBorders>
            <w:shd w:val="clear" w:color="auto" w:fill="auto"/>
            <w:noWrap/>
            <w:hideMark/>
          </w:tcPr>
          <w:p w14:paraId="7D73DC3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0.253</w:t>
            </w:r>
          </w:p>
        </w:tc>
        <w:tc>
          <w:tcPr>
            <w:tcW w:w="0" w:type="auto"/>
            <w:tcBorders>
              <w:top w:val="nil"/>
              <w:left w:val="nil"/>
              <w:bottom w:val="nil"/>
              <w:right w:val="nil"/>
            </w:tcBorders>
            <w:shd w:val="clear" w:color="auto" w:fill="auto"/>
            <w:noWrap/>
            <w:hideMark/>
          </w:tcPr>
          <w:p w14:paraId="60D4615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0.109</w:t>
            </w:r>
          </w:p>
        </w:tc>
        <w:tc>
          <w:tcPr>
            <w:tcW w:w="0" w:type="auto"/>
            <w:tcBorders>
              <w:top w:val="nil"/>
              <w:left w:val="nil"/>
              <w:bottom w:val="nil"/>
              <w:right w:val="nil"/>
            </w:tcBorders>
            <w:shd w:val="clear" w:color="auto" w:fill="auto"/>
            <w:noWrap/>
            <w:hideMark/>
          </w:tcPr>
          <w:p w14:paraId="4EA6BFA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0.635</w:t>
            </w:r>
          </w:p>
        </w:tc>
        <w:tc>
          <w:tcPr>
            <w:tcW w:w="0" w:type="auto"/>
            <w:tcBorders>
              <w:top w:val="nil"/>
              <w:left w:val="nil"/>
              <w:bottom w:val="nil"/>
              <w:right w:val="nil"/>
            </w:tcBorders>
            <w:shd w:val="clear" w:color="auto" w:fill="auto"/>
            <w:noWrap/>
            <w:hideMark/>
          </w:tcPr>
          <w:p w14:paraId="6E12AE2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0.348</w:t>
            </w:r>
          </w:p>
        </w:tc>
        <w:tc>
          <w:tcPr>
            <w:tcW w:w="0" w:type="auto"/>
            <w:tcBorders>
              <w:top w:val="nil"/>
              <w:left w:val="nil"/>
              <w:bottom w:val="nil"/>
              <w:right w:val="nil"/>
            </w:tcBorders>
            <w:shd w:val="clear" w:color="auto" w:fill="auto"/>
            <w:noWrap/>
            <w:hideMark/>
          </w:tcPr>
          <w:p w14:paraId="5DB0C5A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0.304</w:t>
            </w:r>
          </w:p>
        </w:tc>
        <w:tc>
          <w:tcPr>
            <w:tcW w:w="0" w:type="auto"/>
            <w:tcBorders>
              <w:top w:val="nil"/>
              <w:left w:val="nil"/>
              <w:bottom w:val="nil"/>
              <w:right w:val="nil"/>
            </w:tcBorders>
            <w:shd w:val="clear" w:color="auto" w:fill="auto"/>
            <w:noWrap/>
            <w:hideMark/>
          </w:tcPr>
          <w:p w14:paraId="619B27E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0.174</w:t>
            </w:r>
          </w:p>
        </w:tc>
        <w:tc>
          <w:tcPr>
            <w:tcW w:w="0" w:type="auto"/>
            <w:tcBorders>
              <w:top w:val="nil"/>
              <w:left w:val="nil"/>
              <w:bottom w:val="nil"/>
              <w:right w:val="nil"/>
            </w:tcBorders>
            <w:shd w:val="clear" w:color="auto" w:fill="auto"/>
            <w:noWrap/>
            <w:hideMark/>
          </w:tcPr>
          <w:p w14:paraId="185798E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0.811</w:t>
            </w:r>
          </w:p>
        </w:tc>
        <w:tc>
          <w:tcPr>
            <w:tcW w:w="0" w:type="auto"/>
            <w:tcBorders>
              <w:top w:val="nil"/>
              <w:left w:val="nil"/>
              <w:bottom w:val="nil"/>
              <w:right w:val="nil"/>
            </w:tcBorders>
            <w:shd w:val="clear" w:color="auto" w:fill="auto"/>
            <w:noWrap/>
            <w:hideMark/>
          </w:tcPr>
          <w:p w14:paraId="7391754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-0.399</w:t>
            </w:r>
          </w:p>
        </w:tc>
        <w:tc>
          <w:tcPr>
            <w:tcW w:w="834" w:type="dxa"/>
            <w:tcBorders>
              <w:top w:val="nil"/>
              <w:left w:val="nil"/>
              <w:bottom w:val="nil"/>
              <w:right w:val="nil"/>
            </w:tcBorders>
            <w:shd w:val="clear" w:color="auto" w:fill="auto"/>
            <w:noWrap/>
            <w:hideMark/>
          </w:tcPr>
          <w:p w14:paraId="2E4E5C0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0.257</w:t>
            </w:r>
          </w:p>
        </w:tc>
        <w:tc>
          <w:tcPr>
            <w:tcW w:w="0" w:type="auto"/>
            <w:tcBorders>
              <w:top w:val="nil"/>
              <w:left w:val="nil"/>
              <w:bottom w:val="nil"/>
              <w:right w:val="nil"/>
            </w:tcBorders>
            <w:shd w:val="clear" w:color="auto" w:fill="auto"/>
            <w:noWrap/>
            <w:hideMark/>
          </w:tcPr>
          <w:p w14:paraId="0F2D23A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-0.557</w:t>
            </w:r>
          </w:p>
        </w:tc>
        <w:tc>
          <w:tcPr>
            <w:tcW w:w="0" w:type="auto"/>
            <w:tcBorders>
              <w:top w:val="nil"/>
              <w:left w:val="nil"/>
              <w:bottom w:val="nil"/>
              <w:right w:val="nil"/>
            </w:tcBorders>
            <w:shd w:val="clear" w:color="auto" w:fill="auto"/>
            <w:noWrap/>
            <w:hideMark/>
          </w:tcPr>
          <w:p w14:paraId="51BC9BF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0.612</w:t>
            </w:r>
          </w:p>
        </w:tc>
        <w:tc>
          <w:tcPr>
            <w:tcW w:w="0" w:type="auto"/>
            <w:tcBorders>
              <w:top w:val="nil"/>
              <w:left w:val="nil"/>
              <w:bottom w:val="nil"/>
              <w:right w:val="nil"/>
            </w:tcBorders>
            <w:shd w:val="clear" w:color="auto" w:fill="auto"/>
            <w:noWrap/>
            <w:hideMark/>
          </w:tcPr>
          <w:p w14:paraId="4BB87A0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7F2EE8F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0.996</w:t>
            </w:r>
          </w:p>
        </w:tc>
        <w:tc>
          <w:tcPr>
            <w:tcW w:w="0" w:type="auto"/>
            <w:tcBorders>
              <w:top w:val="nil"/>
              <w:left w:val="nil"/>
              <w:bottom w:val="nil"/>
              <w:right w:val="nil"/>
            </w:tcBorders>
            <w:shd w:val="clear" w:color="auto" w:fill="auto"/>
            <w:noWrap/>
            <w:hideMark/>
          </w:tcPr>
          <w:p w14:paraId="45AD087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0.197</w:t>
            </w:r>
          </w:p>
        </w:tc>
        <w:tc>
          <w:tcPr>
            <w:tcW w:w="0" w:type="auto"/>
            <w:tcBorders>
              <w:top w:val="nil"/>
              <w:left w:val="nil"/>
              <w:bottom w:val="nil"/>
              <w:right w:val="nil"/>
            </w:tcBorders>
            <w:shd w:val="clear" w:color="auto" w:fill="auto"/>
            <w:noWrap/>
            <w:hideMark/>
          </w:tcPr>
          <w:p w14:paraId="1A2A1C3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0.742</w:t>
            </w:r>
          </w:p>
        </w:tc>
      </w:tr>
      <w:tr w:rsidR="000A173E" w:rsidRPr="00FF6562" w14:paraId="7EE2B8D0" w14:textId="77777777" w:rsidTr="000A173E">
        <w:trPr>
          <w:gridAfter w:val="1"/>
          <w:wAfter w:w="12" w:type="dxa"/>
          <w:trHeight w:val="222"/>
        </w:trPr>
        <w:tc>
          <w:tcPr>
            <w:tcW w:w="0" w:type="auto"/>
            <w:tcBorders>
              <w:top w:val="nil"/>
              <w:left w:val="nil"/>
              <w:bottom w:val="nil"/>
              <w:right w:val="nil"/>
            </w:tcBorders>
            <w:shd w:val="clear" w:color="auto" w:fill="auto"/>
            <w:noWrap/>
            <w:vAlign w:val="center"/>
          </w:tcPr>
          <w:p w14:paraId="70251751"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21</m:t>
                    </m:r>
                  </m:sub>
                </m:sSub>
              </m:oMath>
            </m:oMathPara>
          </w:p>
        </w:tc>
        <w:tc>
          <w:tcPr>
            <w:tcW w:w="0" w:type="auto"/>
            <w:tcBorders>
              <w:top w:val="nil"/>
              <w:left w:val="nil"/>
              <w:bottom w:val="nil"/>
              <w:right w:val="nil"/>
            </w:tcBorders>
            <w:shd w:val="clear" w:color="auto" w:fill="auto"/>
            <w:noWrap/>
            <w:hideMark/>
          </w:tcPr>
          <w:p w14:paraId="59FC726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hideMark/>
          </w:tcPr>
          <w:p w14:paraId="44BE2D3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0.040</w:t>
            </w:r>
          </w:p>
        </w:tc>
        <w:tc>
          <w:tcPr>
            <w:tcW w:w="0" w:type="auto"/>
            <w:tcBorders>
              <w:top w:val="nil"/>
              <w:left w:val="nil"/>
              <w:bottom w:val="nil"/>
              <w:right w:val="nil"/>
            </w:tcBorders>
            <w:shd w:val="clear" w:color="auto" w:fill="auto"/>
            <w:noWrap/>
            <w:hideMark/>
          </w:tcPr>
          <w:p w14:paraId="4EDA6A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2C256BB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0.419</w:t>
            </w:r>
          </w:p>
        </w:tc>
        <w:tc>
          <w:tcPr>
            <w:tcW w:w="0" w:type="auto"/>
            <w:tcBorders>
              <w:top w:val="nil"/>
              <w:left w:val="nil"/>
              <w:bottom w:val="nil"/>
              <w:right w:val="nil"/>
            </w:tcBorders>
            <w:shd w:val="clear" w:color="auto" w:fill="auto"/>
            <w:noWrap/>
            <w:hideMark/>
          </w:tcPr>
          <w:p w14:paraId="32A155F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726CD24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0.311</w:t>
            </w:r>
          </w:p>
        </w:tc>
        <w:tc>
          <w:tcPr>
            <w:tcW w:w="0" w:type="auto"/>
            <w:tcBorders>
              <w:top w:val="nil"/>
              <w:left w:val="nil"/>
              <w:bottom w:val="nil"/>
              <w:right w:val="nil"/>
            </w:tcBorders>
            <w:shd w:val="clear" w:color="auto" w:fill="auto"/>
            <w:noWrap/>
            <w:hideMark/>
          </w:tcPr>
          <w:p w14:paraId="53CCDCC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hideMark/>
          </w:tcPr>
          <w:p w14:paraId="753F254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0.234</w:t>
            </w:r>
          </w:p>
        </w:tc>
        <w:tc>
          <w:tcPr>
            <w:tcW w:w="0" w:type="auto"/>
            <w:tcBorders>
              <w:top w:val="nil"/>
              <w:left w:val="nil"/>
              <w:bottom w:val="nil"/>
              <w:right w:val="nil"/>
            </w:tcBorders>
            <w:shd w:val="clear" w:color="auto" w:fill="auto"/>
            <w:noWrap/>
            <w:hideMark/>
          </w:tcPr>
          <w:p w14:paraId="1286AE6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53DC63B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0.512</w:t>
            </w:r>
          </w:p>
        </w:tc>
        <w:tc>
          <w:tcPr>
            <w:tcW w:w="0" w:type="auto"/>
            <w:tcBorders>
              <w:top w:val="nil"/>
              <w:left w:val="nil"/>
              <w:bottom w:val="nil"/>
              <w:right w:val="nil"/>
            </w:tcBorders>
            <w:shd w:val="clear" w:color="auto" w:fill="auto"/>
            <w:noWrap/>
            <w:hideMark/>
          </w:tcPr>
          <w:p w14:paraId="48EAC20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7121FF6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0.110</w:t>
            </w:r>
          </w:p>
        </w:tc>
        <w:tc>
          <w:tcPr>
            <w:tcW w:w="0" w:type="auto"/>
            <w:tcBorders>
              <w:top w:val="nil"/>
              <w:left w:val="nil"/>
              <w:bottom w:val="nil"/>
              <w:right w:val="nil"/>
            </w:tcBorders>
            <w:shd w:val="clear" w:color="auto" w:fill="auto"/>
            <w:noWrap/>
            <w:hideMark/>
          </w:tcPr>
          <w:p w14:paraId="4050C89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hideMark/>
          </w:tcPr>
          <w:p w14:paraId="762D554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0.087</w:t>
            </w:r>
          </w:p>
        </w:tc>
        <w:tc>
          <w:tcPr>
            <w:tcW w:w="0" w:type="auto"/>
            <w:tcBorders>
              <w:top w:val="nil"/>
              <w:left w:val="nil"/>
              <w:bottom w:val="nil"/>
              <w:right w:val="nil"/>
            </w:tcBorders>
            <w:shd w:val="clear" w:color="auto" w:fill="auto"/>
            <w:noWrap/>
            <w:hideMark/>
          </w:tcPr>
          <w:p w14:paraId="442E472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834" w:type="dxa"/>
            <w:tcBorders>
              <w:top w:val="nil"/>
              <w:left w:val="nil"/>
              <w:bottom w:val="nil"/>
              <w:right w:val="nil"/>
            </w:tcBorders>
            <w:shd w:val="clear" w:color="auto" w:fill="auto"/>
            <w:noWrap/>
            <w:hideMark/>
          </w:tcPr>
          <w:p w14:paraId="3E6BCD6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0.606</w:t>
            </w:r>
          </w:p>
        </w:tc>
        <w:tc>
          <w:tcPr>
            <w:tcW w:w="0" w:type="auto"/>
            <w:tcBorders>
              <w:top w:val="nil"/>
              <w:left w:val="nil"/>
              <w:bottom w:val="nil"/>
              <w:right w:val="nil"/>
            </w:tcBorders>
            <w:shd w:val="clear" w:color="auto" w:fill="auto"/>
            <w:noWrap/>
            <w:hideMark/>
          </w:tcPr>
          <w:p w14:paraId="48B2B68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0" w:type="auto"/>
            <w:tcBorders>
              <w:top w:val="nil"/>
              <w:left w:val="nil"/>
              <w:bottom w:val="nil"/>
              <w:right w:val="nil"/>
            </w:tcBorders>
            <w:shd w:val="clear" w:color="auto" w:fill="auto"/>
            <w:noWrap/>
            <w:hideMark/>
          </w:tcPr>
          <w:p w14:paraId="0B119DB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0.093</w:t>
            </w:r>
          </w:p>
        </w:tc>
        <w:tc>
          <w:tcPr>
            <w:tcW w:w="0" w:type="auto"/>
            <w:tcBorders>
              <w:top w:val="nil"/>
              <w:left w:val="nil"/>
              <w:bottom w:val="nil"/>
              <w:right w:val="nil"/>
            </w:tcBorders>
            <w:shd w:val="clear" w:color="auto" w:fill="auto"/>
            <w:noWrap/>
            <w:hideMark/>
          </w:tcPr>
          <w:p w14:paraId="3DDCE15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5DBE326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0.996</w:t>
            </w:r>
          </w:p>
        </w:tc>
        <w:tc>
          <w:tcPr>
            <w:tcW w:w="0" w:type="auto"/>
            <w:tcBorders>
              <w:top w:val="nil"/>
              <w:left w:val="nil"/>
              <w:bottom w:val="nil"/>
              <w:right w:val="nil"/>
            </w:tcBorders>
            <w:shd w:val="clear" w:color="auto" w:fill="auto"/>
            <w:noWrap/>
            <w:hideMark/>
          </w:tcPr>
          <w:p w14:paraId="64A08B2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hideMark/>
          </w:tcPr>
          <w:p w14:paraId="7E07736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0.276</w:t>
            </w:r>
          </w:p>
        </w:tc>
      </w:tr>
      <w:tr w:rsidR="000A173E" w:rsidRPr="00FF6562" w14:paraId="4791FEB9" w14:textId="77777777" w:rsidTr="000A173E">
        <w:trPr>
          <w:gridAfter w:val="1"/>
          <w:wAfter w:w="12" w:type="dxa"/>
          <w:trHeight w:val="236"/>
        </w:trPr>
        <w:tc>
          <w:tcPr>
            <w:tcW w:w="0" w:type="auto"/>
            <w:tcBorders>
              <w:top w:val="nil"/>
              <w:left w:val="nil"/>
              <w:bottom w:val="nil"/>
              <w:right w:val="nil"/>
            </w:tcBorders>
            <w:shd w:val="clear" w:color="auto" w:fill="auto"/>
            <w:noWrap/>
            <w:vAlign w:val="center"/>
          </w:tcPr>
          <w:p w14:paraId="5AD8FC92"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22</m:t>
                    </m:r>
                  </m:sub>
                </m:sSub>
              </m:oMath>
            </m:oMathPara>
          </w:p>
        </w:tc>
        <w:tc>
          <w:tcPr>
            <w:tcW w:w="0" w:type="auto"/>
            <w:tcBorders>
              <w:top w:val="nil"/>
              <w:left w:val="nil"/>
              <w:bottom w:val="nil"/>
              <w:right w:val="nil"/>
            </w:tcBorders>
            <w:shd w:val="clear" w:color="auto" w:fill="auto"/>
            <w:noWrap/>
            <w:hideMark/>
          </w:tcPr>
          <w:p w14:paraId="515E545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0.046</w:t>
            </w:r>
          </w:p>
        </w:tc>
        <w:tc>
          <w:tcPr>
            <w:tcW w:w="0" w:type="auto"/>
            <w:tcBorders>
              <w:top w:val="nil"/>
              <w:left w:val="nil"/>
              <w:bottom w:val="nil"/>
              <w:right w:val="nil"/>
            </w:tcBorders>
            <w:shd w:val="clear" w:color="auto" w:fill="auto"/>
            <w:noWrap/>
            <w:hideMark/>
          </w:tcPr>
          <w:p w14:paraId="2AD7602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0.539</w:t>
            </w:r>
          </w:p>
        </w:tc>
        <w:tc>
          <w:tcPr>
            <w:tcW w:w="0" w:type="auto"/>
            <w:tcBorders>
              <w:top w:val="nil"/>
              <w:left w:val="nil"/>
              <w:bottom w:val="nil"/>
              <w:right w:val="nil"/>
            </w:tcBorders>
            <w:shd w:val="clear" w:color="auto" w:fill="auto"/>
            <w:noWrap/>
            <w:hideMark/>
          </w:tcPr>
          <w:p w14:paraId="238FC4D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-0.093</w:t>
            </w:r>
          </w:p>
        </w:tc>
        <w:tc>
          <w:tcPr>
            <w:tcW w:w="0" w:type="auto"/>
            <w:tcBorders>
              <w:top w:val="nil"/>
              <w:left w:val="nil"/>
              <w:bottom w:val="nil"/>
              <w:right w:val="nil"/>
            </w:tcBorders>
            <w:shd w:val="clear" w:color="auto" w:fill="auto"/>
            <w:noWrap/>
            <w:hideMark/>
          </w:tcPr>
          <w:p w14:paraId="5D7FCA7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0.630</w:t>
            </w:r>
          </w:p>
        </w:tc>
        <w:tc>
          <w:tcPr>
            <w:tcW w:w="0" w:type="auto"/>
            <w:tcBorders>
              <w:top w:val="nil"/>
              <w:left w:val="nil"/>
              <w:bottom w:val="nil"/>
              <w:right w:val="nil"/>
            </w:tcBorders>
            <w:shd w:val="clear" w:color="auto" w:fill="auto"/>
            <w:noWrap/>
            <w:hideMark/>
          </w:tcPr>
          <w:p w14:paraId="0A8821D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-0.110</w:t>
            </w:r>
          </w:p>
        </w:tc>
        <w:tc>
          <w:tcPr>
            <w:tcW w:w="0" w:type="auto"/>
            <w:tcBorders>
              <w:top w:val="nil"/>
              <w:left w:val="nil"/>
              <w:bottom w:val="nil"/>
              <w:right w:val="nil"/>
            </w:tcBorders>
            <w:shd w:val="clear" w:color="auto" w:fill="auto"/>
            <w:noWrap/>
            <w:hideMark/>
          </w:tcPr>
          <w:p w14:paraId="2385DA7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0.495</w:t>
            </w:r>
          </w:p>
        </w:tc>
        <w:tc>
          <w:tcPr>
            <w:tcW w:w="0" w:type="auto"/>
            <w:tcBorders>
              <w:top w:val="nil"/>
              <w:left w:val="nil"/>
              <w:bottom w:val="nil"/>
              <w:right w:val="nil"/>
            </w:tcBorders>
            <w:shd w:val="clear" w:color="auto" w:fill="auto"/>
            <w:noWrap/>
            <w:hideMark/>
          </w:tcPr>
          <w:p w14:paraId="611AE00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-0.055</w:t>
            </w:r>
          </w:p>
        </w:tc>
        <w:tc>
          <w:tcPr>
            <w:tcW w:w="0" w:type="auto"/>
            <w:tcBorders>
              <w:top w:val="nil"/>
              <w:left w:val="nil"/>
              <w:bottom w:val="nil"/>
              <w:right w:val="nil"/>
            </w:tcBorders>
            <w:shd w:val="clear" w:color="auto" w:fill="auto"/>
            <w:noWrap/>
            <w:hideMark/>
          </w:tcPr>
          <w:p w14:paraId="5F11030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0.595</w:t>
            </w:r>
          </w:p>
        </w:tc>
        <w:tc>
          <w:tcPr>
            <w:tcW w:w="0" w:type="auto"/>
            <w:tcBorders>
              <w:top w:val="nil"/>
              <w:left w:val="nil"/>
              <w:bottom w:val="nil"/>
              <w:right w:val="nil"/>
            </w:tcBorders>
            <w:shd w:val="clear" w:color="auto" w:fill="auto"/>
            <w:noWrap/>
            <w:hideMark/>
          </w:tcPr>
          <w:p w14:paraId="2AADC38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-0.197</w:t>
            </w:r>
          </w:p>
        </w:tc>
        <w:tc>
          <w:tcPr>
            <w:tcW w:w="0" w:type="auto"/>
            <w:tcBorders>
              <w:top w:val="nil"/>
              <w:left w:val="nil"/>
              <w:bottom w:val="nil"/>
              <w:right w:val="nil"/>
            </w:tcBorders>
            <w:shd w:val="clear" w:color="auto" w:fill="auto"/>
            <w:noWrap/>
            <w:hideMark/>
          </w:tcPr>
          <w:p w14:paraId="67334E1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0.617</w:t>
            </w:r>
          </w:p>
        </w:tc>
        <w:tc>
          <w:tcPr>
            <w:tcW w:w="0" w:type="auto"/>
            <w:tcBorders>
              <w:top w:val="nil"/>
              <w:left w:val="nil"/>
              <w:bottom w:val="nil"/>
              <w:right w:val="nil"/>
            </w:tcBorders>
            <w:shd w:val="clear" w:color="auto" w:fill="auto"/>
            <w:noWrap/>
            <w:hideMark/>
          </w:tcPr>
          <w:p w14:paraId="3648853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-0.125</w:t>
            </w:r>
          </w:p>
        </w:tc>
        <w:tc>
          <w:tcPr>
            <w:tcW w:w="0" w:type="auto"/>
            <w:tcBorders>
              <w:top w:val="nil"/>
              <w:left w:val="nil"/>
              <w:bottom w:val="nil"/>
              <w:right w:val="nil"/>
            </w:tcBorders>
            <w:shd w:val="clear" w:color="auto" w:fill="auto"/>
            <w:noWrap/>
            <w:hideMark/>
          </w:tcPr>
          <w:p w14:paraId="172BE1F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0.487</w:t>
            </w:r>
          </w:p>
        </w:tc>
        <w:tc>
          <w:tcPr>
            <w:tcW w:w="0" w:type="auto"/>
            <w:tcBorders>
              <w:top w:val="nil"/>
              <w:left w:val="nil"/>
              <w:bottom w:val="nil"/>
              <w:right w:val="nil"/>
            </w:tcBorders>
            <w:shd w:val="clear" w:color="auto" w:fill="auto"/>
            <w:noWrap/>
            <w:hideMark/>
          </w:tcPr>
          <w:p w14:paraId="098920D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-0.051</w:t>
            </w:r>
          </w:p>
        </w:tc>
        <w:tc>
          <w:tcPr>
            <w:tcW w:w="0" w:type="auto"/>
            <w:tcBorders>
              <w:top w:val="nil"/>
              <w:left w:val="nil"/>
              <w:bottom w:val="nil"/>
              <w:right w:val="nil"/>
            </w:tcBorders>
            <w:shd w:val="clear" w:color="auto" w:fill="auto"/>
            <w:noWrap/>
            <w:hideMark/>
          </w:tcPr>
          <w:p w14:paraId="6CBDBCF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0.749</w:t>
            </w:r>
          </w:p>
        </w:tc>
        <w:tc>
          <w:tcPr>
            <w:tcW w:w="0" w:type="auto"/>
            <w:tcBorders>
              <w:top w:val="nil"/>
              <w:left w:val="nil"/>
              <w:bottom w:val="nil"/>
              <w:right w:val="nil"/>
            </w:tcBorders>
            <w:shd w:val="clear" w:color="auto" w:fill="auto"/>
            <w:noWrap/>
            <w:hideMark/>
          </w:tcPr>
          <w:p w14:paraId="4606EF9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-0.035</w:t>
            </w:r>
          </w:p>
        </w:tc>
        <w:tc>
          <w:tcPr>
            <w:tcW w:w="834" w:type="dxa"/>
            <w:tcBorders>
              <w:top w:val="nil"/>
              <w:left w:val="nil"/>
              <w:bottom w:val="nil"/>
              <w:right w:val="nil"/>
            </w:tcBorders>
            <w:shd w:val="clear" w:color="auto" w:fill="auto"/>
            <w:noWrap/>
            <w:hideMark/>
          </w:tcPr>
          <w:p w14:paraId="1321BBE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0.778</w:t>
            </w:r>
          </w:p>
        </w:tc>
        <w:tc>
          <w:tcPr>
            <w:tcW w:w="0" w:type="auto"/>
            <w:tcBorders>
              <w:top w:val="nil"/>
              <w:left w:val="nil"/>
              <w:bottom w:val="nil"/>
              <w:right w:val="nil"/>
            </w:tcBorders>
            <w:shd w:val="clear" w:color="auto" w:fill="auto"/>
            <w:noWrap/>
            <w:hideMark/>
          </w:tcPr>
          <w:p w14:paraId="1031B30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-0.194</w:t>
            </w:r>
          </w:p>
        </w:tc>
        <w:tc>
          <w:tcPr>
            <w:tcW w:w="0" w:type="auto"/>
            <w:tcBorders>
              <w:top w:val="nil"/>
              <w:left w:val="nil"/>
              <w:bottom w:val="nil"/>
              <w:right w:val="nil"/>
            </w:tcBorders>
            <w:shd w:val="clear" w:color="auto" w:fill="auto"/>
            <w:noWrap/>
            <w:hideMark/>
          </w:tcPr>
          <w:p w14:paraId="5DAD086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0.280</w:t>
            </w:r>
          </w:p>
        </w:tc>
        <w:tc>
          <w:tcPr>
            <w:tcW w:w="0" w:type="auto"/>
            <w:tcBorders>
              <w:top w:val="nil"/>
              <w:left w:val="nil"/>
              <w:bottom w:val="nil"/>
              <w:right w:val="nil"/>
            </w:tcBorders>
            <w:shd w:val="clear" w:color="auto" w:fill="auto"/>
            <w:noWrap/>
            <w:hideMark/>
          </w:tcPr>
          <w:p w14:paraId="5228257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hideMark/>
          </w:tcPr>
          <w:p w14:paraId="693336F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0.998</w:t>
            </w:r>
          </w:p>
        </w:tc>
        <w:tc>
          <w:tcPr>
            <w:tcW w:w="0" w:type="auto"/>
            <w:tcBorders>
              <w:top w:val="nil"/>
              <w:left w:val="nil"/>
              <w:bottom w:val="nil"/>
              <w:right w:val="nil"/>
            </w:tcBorders>
            <w:shd w:val="clear" w:color="auto" w:fill="auto"/>
            <w:noWrap/>
            <w:hideMark/>
          </w:tcPr>
          <w:p w14:paraId="6CD002D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-0.024</w:t>
            </w:r>
          </w:p>
        </w:tc>
        <w:tc>
          <w:tcPr>
            <w:tcW w:w="0" w:type="auto"/>
            <w:tcBorders>
              <w:top w:val="nil"/>
              <w:left w:val="nil"/>
              <w:bottom w:val="nil"/>
              <w:right w:val="nil"/>
            </w:tcBorders>
            <w:shd w:val="clear" w:color="auto" w:fill="auto"/>
            <w:noWrap/>
            <w:hideMark/>
          </w:tcPr>
          <w:p w14:paraId="030A920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0.925</w:t>
            </w:r>
          </w:p>
        </w:tc>
      </w:tr>
      <w:tr w:rsidR="00476036" w:rsidRPr="00FF6562" w14:paraId="7B9C2055" w14:textId="77777777" w:rsidTr="000A173E">
        <w:trPr>
          <w:trHeight w:val="236"/>
        </w:trPr>
        <w:tc>
          <w:tcPr>
            <w:tcW w:w="14446" w:type="dxa"/>
            <w:gridSpan w:val="24"/>
            <w:tcBorders>
              <w:top w:val="nil"/>
              <w:left w:val="nil"/>
              <w:bottom w:val="nil"/>
              <w:right w:val="nil"/>
            </w:tcBorders>
            <w:shd w:val="clear" w:color="auto" w:fill="auto"/>
            <w:noWrap/>
            <w:vAlign w:val="bottom"/>
            <w:hideMark/>
          </w:tcPr>
          <w:p w14:paraId="46E5DEAB" w14:textId="086D8749" w:rsidR="00476036" w:rsidRPr="00A56C42" w:rsidRDefault="00476036" w:rsidP="00875EB5">
            <w:pPr>
              <w:spacing w:after="0" w:line="240" w:lineRule="auto"/>
              <w:rPr>
                <w:rFonts w:ascii="Times New Roman" w:eastAsia="Times New Roman" w:hAnsi="Times New Roman" w:cs="Times New Roman"/>
                <w:b/>
                <w:bCs/>
                <w:sz w:val="16"/>
                <w:szCs w:val="16"/>
                <w:u w:val="single"/>
                <w:lang w:eastAsia="en-GB"/>
              </w:rPr>
            </w:pPr>
            <w:r w:rsidRPr="00A56C42">
              <w:rPr>
                <w:rFonts w:ascii="Times New Roman" w:eastAsia="Times New Roman" w:hAnsi="Times New Roman" w:cs="Times New Roman"/>
                <w:b/>
                <w:bCs/>
                <w:sz w:val="16"/>
                <w:szCs w:val="16"/>
                <w:u w:val="single"/>
                <w:lang w:eastAsia="en-GB"/>
              </w:rPr>
              <w:t xml:space="preserve">Panel </w:t>
            </w:r>
            <w:r w:rsidR="00A56C42">
              <w:rPr>
                <w:rFonts w:ascii="Times New Roman" w:eastAsia="Times New Roman" w:hAnsi="Times New Roman" w:cs="Times New Roman"/>
                <w:b/>
                <w:bCs/>
                <w:sz w:val="16"/>
                <w:szCs w:val="16"/>
                <w:u w:val="single"/>
                <w:lang w:eastAsia="en-GB"/>
              </w:rPr>
              <w:t>C</w:t>
            </w:r>
            <w:r w:rsidRPr="00A56C42">
              <w:rPr>
                <w:rFonts w:ascii="Times New Roman" w:eastAsia="Times New Roman" w:hAnsi="Times New Roman" w:cs="Times New Roman"/>
                <w:b/>
                <w:bCs/>
                <w:sz w:val="16"/>
                <w:szCs w:val="16"/>
                <w:u w:val="single"/>
                <w:lang w:eastAsia="en-GB"/>
              </w:rPr>
              <w:t>: Diagnostic Tests</w:t>
            </w:r>
          </w:p>
        </w:tc>
      </w:tr>
      <w:tr w:rsidR="000A173E" w:rsidRPr="00FF6562" w14:paraId="7403692A" w14:textId="77777777" w:rsidTr="000A173E">
        <w:trPr>
          <w:gridAfter w:val="1"/>
          <w:wAfter w:w="12" w:type="dxa"/>
          <w:trHeight w:val="222"/>
        </w:trPr>
        <w:tc>
          <w:tcPr>
            <w:tcW w:w="0" w:type="auto"/>
            <w:tcBorders>
              <w:top w:val="nil"/>
              <w:left w:val="nil"/>
              <w:bottom w:val="nil"/>
              <w:right w:val="nil"/>
            </w:tcBorders>
            <w:shd w:val="clear" w:color="auto" w:fill="auto"/>
            <w:noWrap/>
            <w:vAlign w:val="center"/>
          </w:tcPr>
          <w:p w14:paraId="442830EC" w14:textId="154B454B"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roofErr w:type="spellStart"/>
            <w:r w:rsidRPr="00A54753">
              <w:rPr>
                <w:rFonts w:ascii="Times New Roman" w:eastAsia="Times New Roman" w:hAnsi="Times New Roman" w:cs="Times New Roman"/>
                <w:color w:val="0070C0"/>
                <w:sz w:val="16"/>
                <w:szCs w:val="16"/>
                <w:lang w:eastAsia="en-GB"/>
              </w:rPr>
              <w:t>LogL</w:t>
            </w:r>
            <w:proofErr w:type="spellEnd"/>
          </w:p>
        </w:tc>
        <w:tc>
          <w:tcPr>
            <w:tcW w:w="0" w:type="auto"/>
            <w:tcBorders>
              <w:top w:val="nil"/>
              <w:left w:val="nil"/>
              <w:bottom w:val="nil"/>
              <w:right w:val="nil"/>
            </w:tcBorders>
            <w:shd w:val="clear" w:color="auto" w:fill="auto"/>
            <w:noWrap/>
            <w:vAlign w:val="center"/>
          </w:tcPr>
          <w:p w14:paraId="54E9AE04" w14:textId="1A779F5A"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-1,329</w:t>
            </w:r>
          </w:p>
        </w:tc>
        <w:tc>
          <w:tcPr>
            <w:tcW w:w="0" w:type="auto"/>
            <w:tcBorders>
              <w:top w:val="nil"/>
              <w:left w:val="nil"/>
              <w:bottom w:val="nil"/>
              <w:right w:val="nil"/>
            </w:tcBorders>
            <w:shd w:val="clear" w:color="auto" w:fill="auto"/>
            <w:noWrap/>
            <w:vAlign w:val="center"/>
          </w:tcPr>
          <w:p w14:paraId="23C5B8F4"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735538E3" w14:textId="7DDDB21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-1,232</w:t>
            </w:r>
          </w:p>
        </w:tc>
        <w:tc>
          <w:tcPr>
            <w:tcW w:w="0" w:type="auto"/>
            <w:tcBorders>
              <w:top w:val="nil"/>
              <w:left w:val="nil"/>
              <w:bottom w:val="nil"/>
              <w:right w:val="nil"/>
            </w:tcBorders>
            <w:shd w:val="clear" w:color="auto" w:fill="auto"/>
            <w:noWrap/>
            <w:vAlign w:val="center"/>
          </w:tcPr>
          <w:p w14:paraId="27744AE9"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336A9C98" w14:textId="3A26E7B9"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-1,215</w:t>
            </w:r>
          </w:p>
        </w:tc>
        <w:tc>
          <w:tcPr>
            <w:tcW w:w="0" w:type="auto"/>
            <w:tcBorders>
              <w:top w:val="nil"/>
              <w:left w:val="nil"/>
              <w:bottom w:val="nil"/>
              <w:right w:val="nil"/>
            </w:tcBorders>
            <w:shd w:val="clear" w:color="auto" w:fill="auto"/>
            <w:noWrap/>
            <w:vAlign w:val="center"/>
          </w:tcPr>
          <w:p w14:paraId="1C0645CB"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37B036AB" w14:textId="4F8696AA" w:rsidR="00C0235B" w:rsidRPr="00A54753" w:rsidRDefault="00683E23" w:rsidP="00875EB5">
            <w:pPr>
              <w:spacing w:after="0" w:line="240" w:lineRule="auto"/>
              <w:rPr>
                <w:rFonts w:ascii="Times New Roman" w:eastAsia="Times New Roman" w:hAnsi="Times New Roman" w:cs="Times New Roman"/>
                <w:color w:val="0070C0"/>
                <w:sz w:val="16"/>
                <w:szCs w:val="16"/>
                <w:lang w:eastAsia="en-GB"/>
              </w:rPr>
            </w:pPr>
            <w:r>
              <w:rPr>
                <w:rFonts w:ascii="Times New Roman" w:eastAsia="Times New Roman" w:hAnsi="Times New Roman" w:cs="Times New Roman"/>
                <w:color w:val="0070C0"/>
                <w:sz w:val="16"/>
                <w:szCs w:val="16"/>
                <w:lang w:eastAsia="en-GB"/>
              </w:rPr>
              <w:t>-</w:t>
            </w:r>
          </w:p>
        </w:tc>
        <w:tc>
          <w:tcPr>
            <w:tcW w:w="0" w:type="auto"/>
            <w:tcBorders>
              <w:top w:val="nil"/>
              <w:left w:val="nil"/>
              <w:bottom w:val="nil"/>
              <w:right w:val="nil"/>
            </w:tcBorders>
            <w:shd w:val="clear" w:color="auto" w:fill="auto"/>
            <w:noWrap/>
            <w:vAlign w:val="center"/>
          </w:tcPr>
          <w:p w14:paraId="7E2E0141"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45F3113A" w14:textId="16C46F96" w:rsidR="00C0235B"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-1,369</w:t>
            </w:r>
          </w:p>
        </w:tc>
        <w:tc>
          <w:tcPr>
            <w:tcW w:w="0" w:type="auto"/>
            <w:tcBorders>
              <w:top w:val="nil"/>
              <w:left w:val="nil"/>
              <w:bottom w:val="nil"/>
              <w:right w:val="nil"/>
            </w:tcBorders>
            <w:shd w:val="clear" w:color="auto" w:fill="auto"/>
            <w:noWrap/>
            <w:vAlign w:val="center"/>
          </w:tcPr>
          <w:p w14:paraId="18E8A63B"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303DD5D7" w14:textId="5EB1368D" w:rsidR="00C0235B"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w:t>
            </w:r>
          </w:p>
        </w:tc>
        <w:tc>
          <w:tcPr>
            <w:tcW w:w="0" w:type="auto"/>
            <w:tcBorders>
              <w:top w:val="nil"/>
              <w:left w:val="nil"/>
              <w:bottom w:val="nil"/>
              <w:right w:val="nil"/>
            </w:tcBorders>
            <w:shd w:val="clear" w:color="auto" w:fill="auto"/>
            <w:noWrap/>
            <w:vAlign w:val="center"/>
          </w:tcPr>
          <w:p w14:paraId="4F41599E"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1917EB4D" w14:textId="543F71C0" w:rsidR="00C0235B"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-1,252</w:t>
            </w:r>
          </w:p>
        </w:tc>
        <w:tc>
          <w:tcPr>
            <w:tcW w:w="0" w:type="auto"/>
            <w:tcBorders>
              <w:top w:val="nil"/>
              <w:left w:val="nil"/>
              <w:bottom w:val="nil"/>
              <w:right w:val="nil"/>
            </w:tcBorders>
            <w:shd w:val="clear" w:color="auto" w:fill="auto"/>
            <w:noWrap/>
            <w:vAlign w:val="center"/>
          </w:tcPr>
          <w:p w14:paraId="45AAA7D6"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3EF5A5CB" w14:textId="5E8A7316" w:rsidR="00C0235B"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-1,315</w:t>
            </w:r>
          </w:p>
        </w:tc>
        <w:tc>
          <w:tcPr>
            <w:tcW w:w="834" w:type="dxa"/>
            <w:tcBorders>
              <w:top w:val="nil"/>
              <w:left w:val="nil"/>
              <w:bottom w:val="nil"/>
              <w:right w:val="nil"/>
            </w:tcBorders>
            <w:shd w:val="clear" w:color="auto" w:fill="auto"/>
            <w:noWrap/>
            <w:vAlign w:val="center"/>
          </w:tcPr>
          <w:p w14:paraId="70E6298C"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48D4C0AB" w14:textId="14C7C178" w:rsidR="00C0235B"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-1,245</w:t>
            </w:r>
          </w:p>
        </w:tc>
        <w:tc>
          <w:tcPr>
            <w:tcW w:w="0" w:type="auto"/>
            <w:tcBorders>
              <w:top w:val="nil"/>
              <w:left w:val="nil"/>
              <w:bottom w:val="nil"/>
              <w:right w:val="nil"/>
            </w:tcBorders>
            <w:shd w:val="clear" w:color="auto" w:fill="auto"/>
            <w:noWrap/>
            <w:vAlign w:val="center"/>
          </w:tcPr>
          <w:p w14:paraId="24F02DAD"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2D14F940" w14:textId="5B84DE4F" w:rsidR="00C0235B"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w:t>
            </w:r>
          </w:p>
        </w:tc>
        <w:tc>
          <w:tcPr>
            <w:tcW w:w="0" w:type="auto"/>
            <w:tcBorders>
              <w:top w:val="nil"/>
              <w:left w:val="nil"/>
              <w:bottom w:val="nil"/>
              <w:right w:val="nil"/>
            </w:tcBorders>
            <w:shd w:val="clear" w:color="auto" w:fill="auto"/>
            <w:noWrap/>
            <w:vAlign w:val="center"/>
          </w:tcPr>
          <w:p w14:paraId="18AAD6F5"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6D052C26" w14:textId="0EEC07E4" w:rsidR="00C0235B"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-1,260</w:t>
            </w:r>
          </w:p>
        </w:tc>
        <w:tc>
          <w:tcPr>
            <w:tcW w:w="0" w:type="auto"/>
            <w:tcBorders>
              <w:top w:val="nil"/>
              <w:left w:val="nil"/>
              <w:bottom w:val="nil"/>
              <w:right w:val="nil"/>
            </w:tcBorders>
            <w:shd w:val="clear" w:color="auto" w:fill="auto"/>
            <w:noWrap/>
            <w:vAlign w:val="center"/>
          </w:tcPr>
          <w:p w14:paraId="7A7BA204" w14:textId="77777777" w:rsidR="00C0235B" w:rsidRPr="00A54753" w:rsidRDefault="00C0235B" w:rsidP="00875EB5">
            <w:pPr>
              <w:spacing w:after="0" w:line="240" w:lineRule="auto"/>
              <w:rPr>
                <w:rFonts w:ascii="Times New Roman" w:eastAsia="Times New Roman" w:hAnsi="Times New Roman" w:cs="Times New Roman"/>
                <w:color w:val="0070C0"/>
                <w:sz w:val="16"/>
                <w:szCs w:val="16"/>
                <w:lang w:eastAsia="en-GB"/>
              </w:rPr>
            </w:pPr>
          </w:p>
        </w:tc>
      </w:tr>
      <w:tr w:rsidR="000A173E" w:rsidRPr="00FF6562" w14:paraId="4D5EEA44"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2F915165" w14:textId="77777777" w:rsidR="00476036" w:rsidRPr="00AC2C84" w:rsidRDefault="00476036" w:rsidP="00875EB5">
            <w:pPr>
              <w:spacing w:after="0" w:line="240" w:lineRule="auto"/>
              <w:rPr>
                <w:rFonts w:ascii="Times New Roman" w:eastAsia="Times New Roman" w:hAnsi="Times New Roman" w:cs="Times New Roman"/>
                <w:sz w:val="16"/>
                <w:szCs w:val="16"/>
                <w:lang w:eastAsia="en-GB"/>
              </w:rPr>
            </w:pPr>
            <w:r w:rsidRPr="00AC2C84">
              <w:rPr>
                <w:rFonts w:ascii="Times New Roman" w:eastAsia="Times New Roman" w:hAnsi="Times New Roman" w:cs="Times New Roman"/>
                <w:color w:val="000000" w:themeColor="text1"/>
                <w:sz w:val="16"/>
                <w:szCs w:val="16"/>
                <w:lang w:eastAsia="en-GB"/>
              </w:rPr>
              <w:t>AIC</w:t>
            </w:r>
          </w:p>
        </w:tc>
        <w:tc>
          <w:tcPr>
            <w:tcW w:w="0" w:type="auto"/>
            <w:tcBorders>
              <w:top w:val="nil"/>
              <w:left w:val="nil"/>
              <w:bottom w:val="nil"/>
              <w:right w:val="nil"/>
            </w:tcBorders>
            <w:shd w:val="clear" w:color="auto" w:fill="auto"/>
            <w:noWrap/>
            <w:vAlign w:val="center"/>
            <w:hideMark/>
          </w:tcPr>
          <w:p w14:paraId="74EC548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12.75</w:t>
            </w:r>
          </w:p>
        </w:tc>
        <w:tc>
          <w:tcPr>
            <w:tcW w:w="0" w:type="auto"/>
            <w:tcBorders>
              <w:top w:val="nil"/>
              <w:left w:val="nil"/>
              <w:bottom w:val="nil"/>
              <w:right w:val="nil"/>
            </w:tcBorders>
            <w:shd w:val="clear" w:color="auto" w:fill="auto"/>
            <w:noWrap/>
            <w:vAlign w:val="center"/>
            <w:hideMark/>
          </w:tcPr>
          <w:p w14:paraId="29747C4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74D0FF6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12.08</w:t>
            </w:r>
          </w:p>
        </w:tc>
        <w:tc>
          <w:tcPr>
            <w:tcW w:w="0" w:type="auto"/>
            <w:tcBorders>
              <w:top w:val="nil"/>
              <w:left w:val="nil"/>
              <w:bottom w:val="nil"/>
              <w:right w:val="nil"/>
            </w:tcBorders>
            <w:shd w:val="clear" w:color="auto" w:fill="auto"/>
            <w:noWrap/>
            <w:vAlign w:val="center"/>
            <w:hideMark/>
          </w:tcPr>
          <w:p w14:paraId="10E3923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056D735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11.90</w:t>
            </w:r>
          </w:p>
        </w:tc>
        <w:tc>
          <w:tcPr>
            <w:tcW w:w="0" w:type="auto"/>
            <w:tcBorders>
              <w:top w:val="nil"/>
              <w:left w:val="nil"/>
              <w:bottom w:val="nil"/>
              <w:right w:val="nil"/>
            </w:tcBorders>
            <w:shd w:val="clear" w:color="auto" w:fill="auto"/>
            <w:noWrap/>
            <w:vAlign w:val="center"/>
            <w:hideMark/>
          </w:tcPr>
          <w:p w14:paraId="52EEBA4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2B6C2DC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13.07</w:t>
            </w:r>
          </w:p>
        </w:tc>
        <w:tc>
          <w:tcPr>
            <w:tcW w:w="0" w:type="auto"/>
            <w:tcBorders>
              <w:top w:val="nil"/>
              <w:left w:val="nil"/>
              <w:bottom w:val="nil"/>
              <w:right w:val="nil"/>
            </w:tcBorders>
            <w:shd w:val="clear" w:color="auto" w:fill="auto"/>
            <w:noWrap/>
            <w:vAlign w:val="center"/>
            <w:hideMark/>
          </w:tcPr>
          <w:p w14:paraId="7025D14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75DBBA9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13.13</w:t>
            </w:r>
          </w:p>
        </w:tc>
        <w:tc>
          <w:tcPr>
            <w:tcW w:w="0" w:type="auto"/>
            <w:tcBorders>
              <w:top w:val="nil"/>
              <w:left w:val="nil"/>
              <w:bottom w:val="nil"/>
              <w:right w:val="nil"/>
            </w:tcBorders>
            <w:shd w:val="clear" w:color="auto" w:fill="auto"/>
            <w:noWrap/>
            <w:vAlign w:val="center"/>
            <w:hideMark/>
          </w:tcPr>
          <w:p w14:paraId="0992D6B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61437DB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11.98</w:t>
            </w:r>
          </w:p>
        </w:tc>
        <w:tc>
          <w:tcPr>
            <w:tcW w:w="0" w:type="auto"/>
            <w:tcBorders>
              <w:top w:val="nil"/>
              <w:left w:val="nil"/>
              <w:bottom w:val="nil"/>
              <w:right w:val="nil"/>
            </w:tcBorders>
            <w:shd w:val="clear" w:color="auto" w:fill="auto"/>
            <w:noWrap/>
            <w:vAlign w:val="center"/>
            <w:hideMark/>
          </w:tcPr>
          <w:p w14:paraId="753BF7B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189B97A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12.14</w:t>
            </w:r>
          </w:p>
        </w:tc>
        <w:tc>
          <w:tcPr>
            <w:tcW w:w="0" w:type="auto"/>
            <w:tcBorders>
              <w:top w:val="nil"/>
              <w:left w:val="nil"/>
              <w:bottom w:val="nil"/>
              <w:right w:val="nil"/>
            </w:tcBorders>
            <w:shd w:val="clear" w:color="auto" w:fill="auto"/>
            <w:noWrap/>
            <w:vAlign w:val="center"/>
            <w:hideMark/>
          </w:tcPr>
          <w:p w14:paraId="2414B51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4974C0C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12.77</w:t>
            </w:r>
          </w:p>
        </w:tc>
        <w:tc>
          <w:tcPr>
            <w:tcW w:w="834" w:type="dxa"/>
            <w:tcBorders>
              <w:top w:val="nil"/>
              <w:left w:val="nil"/>
              <w:bottom w:val="nil"/>
              <w:right w:val="nil"/>
            </w:tcBorders>
            <w:shd w:val="clear" w:color="auto" w:fill="auto"/>
            <w:noWrap/>
            <w:vAlign w:val="center"/>
            <w:hideMark/>
          </w:tcPr>
          <w:p w14:paraId="1F1532D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0B4C4F0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12.00</w:t>
            </w:r>
          </w:p>
        </w:tc>
        <w:tc>
          <w:tcPr>
            <w:tcW w:w="0" w:type="auto"/>
            <w:tcBorders>
              <w:top w:val="nil"/>
              <w:left w:val="nil"/>
              <w:bottom w:val="nil"/>
              <w:right w:val="nil"/>
            </w:tcBorders>
            <w:shd w:val="clear" w:color="auto" w:fill="auto"/>
            <w:noWrap/>
            <w:vAlign w:val="center"/>
            <w:hideMark/>
          </w:tcPr>
          <w:p w14:paraId="0981839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48A2C20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12.12</w:t>
            </w:r>
          </w:p>
        </w:tc>
        <w:tc>
          <w:tcPr>
            <w:tcW w:w="0" w:type="auto"/>
            <w:tcBorders>
              <w:top w:val="nil"/>
              <w:left w:val="nil"/>
              <w:bottom w:val="nil"/>
              <w:right w:val="nil"/>
            </w:tcBorders>
            <w:shd w:val="clear" w:color="auto" w:fill="auto"/>
            <w:noWrap/>
            <w:vAlign w:val="center"/>
            <w:hideMark/>
          </w:tcPr>
          <w:p w14:paraId="26F95B0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4726245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12.29</w:t>
            </w:r>
          </w:p>
        </w:tc>
        <w:tc>
          <w:tcPr>
            <w:tcW w:w="0" w:type="auto"/>
            <w:tcBorders>
              <w:top w:val="nil"/>
              <w:left w:val="nil"/>
              <w:bottom w:val="nil"/>
              <w:right w:val="nil"/>
            </w:tcBorders>
            <w:shd w:val="clear" w:color="auto" w:fill="auto"/>
            <w:noWrap/>
            <w:vAlign w:val="center"/>
            <w:hideMark/>
          </w:tcPr>
          <w:p w14:paraId="1D4DD13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r>
      <w:tr w:rsidR="000A173E" w:rsidRPr="00FF6562" w14:paraId="4E7943EB"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4D4E05A6" w14:textId="77777777" w:rsidR="00476036" w:rsidRPr="00AC2C84" w:rsidRDefault="00476036" w:rsidP="00875EB5">
            <w:pPr>
              <w:spacing w:after="0" w:line="240" w:lineRule="auto"/>
              <w:rPr>
                <w:rFonts w:ascii="Times New Roman" w:eastAsia="Times New Roman" w:hAnsi="Times New Roman" w:cs="Times New Roman"/>
                <w:sz w:val="16"/>
                <w:szCs w:val="16"/>
                <w:lang w:eastAsia="en-GB"/>
              </w:rPr>
            </w:pPr>
            <w:r w:rsidRPr="00AC2C84">
              <w:rPr>
                <w:rFonts w:ascii="Times New Roman" w:eastAsia="Times New Roman" w:hAnsi="Times New Roman" w:cs="Times New Roman"/>
                <w:color w:val="000000" w:themeColor="text1"/>
                <w:sz w:val="16"/>
                <w:szCs w:val="16"/>
                <w:lang w:eastAsia="en-GB"/>
              </w:rPr>
              <w:t>SIC</w:t>
            </w:r>
          </w:p>
        </w:tc>
        <w:tc>
          <w:tcPr>
            <w:tcW w:w="0" w:type="auto"/>
            <w:tcBorders>
              <w:top w:val="nil"/>
              <w:left w:val="nil"/>
              <w:bottom w:val="nil"/>
              <w:right w:val="nil"/>
            </w:tcBorders>
            <w:shd w:val="clear" w:color="auto" w:fill="auto"/>
            <w:noWrap/>
            <w:vAlign w:val="center"/>
            <w:hideMark/>
          </w:tcPr>
          <w:p w14:paraId="453B8E1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13.85</w:t>
            </w:r>
          </w:p>
        </w:tc>
        <w:tc>
          <w:tcPr>
            <w:tcW w:w="0" w:type="auto"/>
            <w:tcBorders>
              <w:top w:val="nil"/>
              <w:left w:val="nil"/>
              <w:bottom w:val="nil"/>
              <w:right w:val="nil"/>
            </w:tcBorders>
            <w:shd w:val="clear" w:color="auto" w:fill="auto"/>
            <w:noWrap/>
            <w:vAlign w:val="center"/>
            <w:hideMark/>
          </w:tcPr>
          <w:p w14:paraId="18C5F71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7DA43FA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13.18</w:t>
            </w:r>
          </w:p>
        </w:tc>
        <w:tc>
          <w:tcPr>
            <w:tcW w:w="0" w:type="auto"/>
            <w:tcBorders>
              <w:top w:val="nil"/>
              <w:left w:val="nil"/>
              <w:bottom w:val="nil"/>
              <w:right w:val="nil"/>
            </w:tcBorders>
            <w:shd w:val="clear" w:color="auto" w:fill="auto"/>
            <w:noWrap/>
            <w:vAlign w:val="center"/>
            <w:hideMark/>
          </w:tcPr>
          <w:p w14:paraId="212B133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0C8D9A6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13.00</w:t>
            </w:r>
          </w:p>
        </w:tc>
        <w:tc>
          <w:tcPr>
            <w:tcW w:w="0" w:type="auto"/>
            <w:tcBorders>
              <w:top w:val="nil"/>
              <w:left w:val="nil"/>
              <w:bottom w:val="nil"/>
              <w:right w:val="nil"/>
            </w:tcBorders>
            <w:shd w:val="clear" w:color="auto" w:fill="auto"/>
            <w:noWrap/>
            <w:vAlign w:val="center"/>
            <w:hideMark/>
          </w:tcPr>
          <w:p w14:paraId="2F68037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445A5E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14.21</w:t>
            </w:r>
          </w:p>
        </w:tc>
        <w:tc>
          <w:tcPr>
            <w:tcW w:w="0" w:type="auto"/>
            <w:tcBorders>
              <w:top w:val="nil"/>
              <w:left w:val="nil"/>
              <w:bottom w:val="nil"/>
              <w:right w:val="nil"/>
            </w:tcBorders>
            <w:shd w:val="clear" w:color="auto" w:fill="auto"/>
            <w:noWrap/>
            <w:vAlign w:val="center"/>
            <w:hideMark/>
          </w:tcPr>
          <w:p w14:paraId="59F2AAA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4D89582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14.23</w:t>
            </w:r>
          </w:p>
        </w:tc>
        <w:tc>
          <w:tcPr>
            <w:tcW w:w="0" w:type="auto"/>
            <w:tcBorders>
              <w:top w:val="nil"/>
              <w:left w:val="nil"/>
              <w:bottom w:val="nil"/>
              <w:right w:val="nil"/>
            </w:tcBorders>
            <w:shd w:val="clear" w:color="auto" w:fill="auto"/>
            <w:noWrap/>
            <w:vAlign w:val="center"/>
            <w:hideMark/>
          </w:tcPr>
          <w:p w14:paraId="2908A73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4C02CB6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13.08</w:t>
            </w:r>
          </w:p>
        </w:tc>
        <w:tc>
          <w:tcPr>
            <w:tcW w:w="0" w:type="auto"/>
            <w:tcBorders>
              <w:top w:val="nil"/>
              <w:left w:val="nil"/>
              <w:bottom w:val="nil"/>
              <w:right w:val="nil"/>
            </w:tcBorders>
            <w:shd w:val="clear" w:color="auto" w:fill="auto"/>
            <w:noWrap/>
            <w:vAlign w:val="center"/>
            <w:hideMark/>
          </w:tcPr>
          <w:p w14:paraId="22422EF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6011BAC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13.24</w:t>
            </w:r>
          </w:p>
        </w:tc>
        <w:tc>
          <w:tcPr>
            <w:tcW w:w="0" w:type="auto"/>
            <w:tcBorders>
              <w:top w:val="nil"/>
              <w:left w:val="nil"/>
              <w:bottom w:val="nil"/>
              <w:right w:val="nil"/>
            </w:tcBorders>
            <w:shd w:val="clear" w:color="auto" w:fill="auto"/>
            <w:noWrap/>
            <w:vAlign w:val="center"/>
            <w:hideMark/>
          </w:tcPr>
          <w:p w14:paraId="23379C2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276EEDB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13.86</w:t>
            </w:r>
          </w:p>
        </w:tc>
        <w:tc>
          <w:tcPr>
            <w:tcW w:w="834" w:type="dxa"/>
            <w:tcBorders>
              <w:top w:val="nil"/>
              <w:left w:val="nil"/>
              <w:bottom w:val="nil"/>
              <w:right w:val="nil"/>
            </w:tcBorders>
            <w:shd w:val="clear" w:color="auto" w:fill="auto"/>
            <w:noWrap/>
            <w:vAlign w:val="center"/>
            <w:hideMark/>
          </w:tcPr>
          <w:p w14:paraId="65A28C5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27EF30B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13.10</w:t>
            </w:r>
          </w:p>
        </w:tc>
        <w:tc>
          <w:tcPr>
            <w:tcW w:w="0" w:type="auto"/>
            <w:tcBorders>
              <w:top w:val="nil"/>
              <w:left w:val="nil"/>
              <w:bottom w:val="nil"/>
              <w:right w:val="nil"/>
            </w:tcBorders>
            <w:shd w:val="clear" w:color="auto" w:fill="auto"/>
            <w:noWrap/>
            <w:vAlign w:val="center"/>
            <w:hideMark/>
          </w:tcPr>
          <w:p w14:paraId="1E2D868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538F721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13.22</w:t>
            </w:r>
          </w:p>
        </w:tc>
        <w:tc>
          <w:tcPr>
            <w:tcW w:w="0" w:type="auto"/>
            <w:tcBorders>
              <w:top w:val="nil"/>
              <w:left w:val="nil"/>
              <w:bottom w:val="nil"/>
              <w:right w:val="nil"/>
            </w:tcBorders>
            <w:shd w:val="clear" w:color="auto" w:fill="auto"/>
            <w:noWrap/>
            <w:vAlign w:val="center"/>
            <w:hideMark/>
          </w:tcPr>
          <w:p w14:paraId="4117BB6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467D7EB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13.39</w:t>
            </w:r>
          </w:p>
        </w:tc>
        <w:tc>
          <w:tcPr>
            <w:tcW w:w="0" w:type="auto"/>
            <w:tcBorders>
              <w:top w:val="nil"/>
              <w:left w:val="nil"/>
              <w:bottom w:val="nil"/>
              <w:right w:val="nil"/>
            </w:tcBorders>
            <w:shd w:val="clear" w:color="auto" w:fill="auto"/>
            <w:noWrap/>
            <w:vAlign w:val="center"/>
            <w:hideMark/>
          </w:tcPr>
          <w:p w14:paraId="5772141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r>
      <w:tr w:rsidR="000A173E" w:rsidRPr="00FF6562" w14:paraId="525B88E2"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1D2F637E"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
              <m:sSub>
                <m:sSubPr>
                  <m:ctrlPr>
                    <w:rPr>
                      <w:rFonts w:ascii="Cambria Math" w:hAnsi="Cambria Math"/>
                      <w:i/>
                      <w:color w:val="000000" w:themeColor="text1"/>
                      <w:sz w:val="16"/>
                      <w:szCs w:val="16"/>
                      <w:lang w:eastAsia="en-GB"/>
                    </w:rPr>
                  </m:ctrlPr>
                </m:sSub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1</m:t>
                  </m:r>
                </m:sub>
              </m:sSub>
            </m:oMath>
            <w:r w:rsidR="00476036" w:rsidRPr="00AC2C84">
              <w:rPr>
                <w:color w:val="000000" w:themeColor="text1"/>
                <w:sz w:val="16"/>
                <w:szCs w:val="16"/>
                <w:lang w:eastAsia="en-GB"/>
              </w:rPr>
              <w:t>[20]</w:t>
            </w:r>
          </w:p>
        </w:tc>
        <w:tc>
          <w:tcPr>
            <w:tcW w:w="0" w:type="auto"/>
            <w:tcBorders>
              <w:top w:val="nil"/>
              <w:left w:val="nil"/>
              <w:bottom w:val="nil"/>
              <w:right w:val="nil"/>
            </w:tcBorders>
            <w:shd w:val="clear" w:color="auto" w:fill="auto"/>
            <w:noWrap/>
            <w:vAlign w:val="bottom"/>
            <w:hideMark/>
          </w:tcPr>
          <w:p w14:paraId="3E08997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31.86</w:t>
            </w:r>
          </w:p>
        </w:tc>
        <w:tc>
          <w:tcPr>
            <w:tcW w:w="0" w:type="auto"/>
            <w:tcBorders>
              <w:top w:val="nil"/>
              <w:left w:val="nil"/>
              <w:bottom w:val="nil"/>
              <w:right w:val="nil"/>
            </w:tcBorders>
            <w:shd w:val="clear" w:color="auto" w:fill="auto"/>
            <w:noWrap/>
            <w:vAlign w:val="bottom"/>
            <w:hideMark/>
          </w:tcPr>
          <w:p w14:paraId="6AF32E2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w:t>
            </w:r>
          </w:p>
        </w:tc>
        <w:tc>
          <w:tcPr>
            <w:tcW w:w="0" w:type="auto"/>
            <w:tcBorders>
              <w:top w:val="nil"/>
              <w:left w:val="nil"/>
              <w:bottom w:val="nil"/>
              <w:right w:val="nil"/>
            </w:tcBorders>
            <w:shd w:val="clear" w:color="auto" w:fill="auto"/>
            <w:noWrap/>
            <w:vAlign w:val="bottom"/>
            <w:hideMark/>
          </w:tcPr>
          <w:p w14:paraId="0E3EB7E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19.49</w:t>
            </w:r>
          </w:p>
        </w:tc>
        <w:tc>
          <w:tcPr>
            <w:tcW w:w="0" w:type="auto"/>
            <w:tcBorders>
              <w:top w:val="nil"/>
              <w:left w:val="nil"/>
              <w:bottom w:val="nil"/>
              <w:right w:val="nil"/>
            </w:tcBorders>
            <w:shd w:val="clear" w:color="auto" w:fill="auto"/>
            <w:noWrap/>
            <w:vAlign w:val="bottom"/>
            <w:hideMark/>
          </w:tcPr>
          <w:p w14:paraId="17211C9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w:t>
            </w:r>
          </w:p>
        </w:tc>
        <w:tc>
          <w:tcPr>
            <w:tcW w:w="0" w:type="auto"/>
            <w:tcBorders>
              <w:top w:val="nil"/>
              <w:left w:val="nil"/>
              <w:bottom w:val="nil"/>
              <w:right w:val="nil"/>
            </w:tcBorders>
            <w:shd w:val="clear" w:color="auto" w:fill="auto"/>
            <w:noWrap/>
            <w:vAlign w:val="bottom"/>
            <w:hideMark/>
          </w:tcPr>
          <w:p w14:paraId="6C537FC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23.87</w:t>
            </w:r>
          </w:p>
        </w:tc>
        <w:tc>
          <w:tcPr>
            <w:tcW w:w="0" w:type="auto"/>
            <w:tcBorders>
              <w:top w:val="nil"/>
              <w:left w:val="nil"/>
              <w:bottom w:val="nil"/>
              <w:right w:val="nil"/>
            </w:tcBorders>
            <w:shd w:val="clear" w:color="auto" w:fill="auto"/>
            <w:noWrap/>
            <w:vAlign w:val="bottom"/>
            <w:hideMark/>
          </w:tcPr>
          <w:p w14:paraId="5A5935A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w:t>
            </w:r>
          </w:p>
        </w:tc>
        <w:tc>
          <w:tcPr>
            <w:tcW w:w="0" w:type="auto"/>
            <w:tcBorders>
              <w:top w:val="nil"/>
              <w:left w:val="nil"/>
              <w:bottom w:val="nil"/>
              <w:right w:val="nil"/>
            </w:tcBorders>
            <w:shd w:val="clear" w:color="auto" w:fill="auto"/>
            <w:noWrap/>
            <w:vAlign w:val="bottom"/>
            <w:hideMark/>
          </w:tcPr>
          <w:p w14:paraId="2B6D25F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18.70</w:t>
            </w:r>
          </w:p>
        </w:tc>
        <w:tc>
          <w:tcPr>
            <w:tcW w:w="0" w:type="auto"/>
            <w:tcBorders>
              <w:top w:val="nil"/>
              <w:left w:val="nil"/>
              <w:bottom w:val="nil"/>
              <w:right w:val="nil"/>
            </w:tcBorders>
            <w:shd w:val="clear" w:color="auto" w:fill="auto"/>
            <w:noWrap/>
            <w:vAlign w:val="bottom"/>
            <w:hideMark/>
          </w:tcPr>
          <w:p w14:paraId="1556085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0.54</w:t>
            </w:r>
          </w:p>
        </w:tc>
        <w:tc>
          <w:tcPr>
            <w:tcW w:w="0" w:type="auto"/>
            <w:tcBorders>
              <w:top w:val="nil"/>
              <w:left w:val="nil"/>
              <w:bottom w:val="nil"/>
              <w:right w:val="nil"/>
            </w:tcBorders>
            <w:shd w:val="clear" w:color="auto" w:fill="auto"/>
            <w:noWrap/>
            <w:vAlign w:val="bottom"/>
            <w:hideMark/>
          </w:tcPr>
          <w:p w14:paraId="208BA1E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23.05</w:t>
            </w:r>
          </w:p>
        </w:tc>
        <w:tc>
          <w:tcPr>
            <w:tcW w:w="0" w:type="auto"/>
            <w:tcBorders>
              <w:top w:val="nil"/>
              <w:left w:val="nil"/>
              <w:bottom w:val="nil"/>
              <w:right w:val="nil"/>
            </w:tcBorders>
            <w:shd w:val="clear" w:color="auto" w:fill="auto"/>
            <w:noWrap/>
            <w:vAlign w:val="bottom"/>
            <w:hideMark/>
          </w:tcPr>
          <w:p w14:paraId="27CE73F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w:t>
            </w:r>
          </w:p>
        </w:tc>
        <w:tc>
          <w:tcPr>
            <w:tcW w:w="0" w:type="auto"/>
            <w:tcBorders>
              <w:top w:val="nil"/>
              <w:left w:val="nil"/>
              <w:bottom w:val="nil"/>
              <w:right w:val="nil"/>
            </w:tcBorders>
            <w:shd w:val="clear" w:color="auto" w:fill="auto"/>
            <w:noWrap/>
            <w:vAlign w:val="bottom"/>
            <w:hideMark/>
          </w:tcPr>
          <w:p w14:paraId="3643467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19.59</w:t>
            </w:r>
          </w:p>
        </w:tc>
        <w:tc>
          <w:tcPr>
            <w:tcW w:w="0" w:type="auto"/>
            <w:tcBorders>
              <w:top w:val="nil"/>
              <w:left w:val="nil"/>
              <w:bottom w:val="nil"/>
              <w:right w:val="nil"/>
            </w:tcBorders>
            <w:shd w:val="clear" w:color="auto" w:fill="auto"/>
            <w:noWrap/>
            <w:vAlign w:val="bottom"/>
            <w:hideMark/>
          </w:tcPr>
          <w:p w14:paraId="4DF2E92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w:t>
            </w:r>
          </w:p>
        </w:tc>
        <w:tc>
          <w:tcPr>
            <w:tcW w:w="0" w:type="auto"/>
            <w:tcBorders>
              <w:top w:val="nil"/>
              <w:left w:val="nil"/>
              <w:bottom w:val="nil"/>
              <w:right w:val="nil"/>
            </w:tcBorders>
            <w:shd w:val="clear" w:color="auto" w:fill="auto"/>
            <w:noWrap/>
            <w:vAlign w:val="bottom"/>
            <w:hideMark/>
          </w:tcPr>
          <w:p w14:paraId="7AE706D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15.46</w:t>
            </w:r>
          </w:p>
        </w:tc>
        <w:tc>
          <w:tcPr>
            <w:tcW w:w="0" w:type="auto"/>
            <w:tcBorders>
              <w:top w:val="nil"/>
              <w:left w:val="nil"/>
              <w:bottom w:val="nil"/>
              <w:right w:val="nil"/>
            </w:tcBorders>
            <w:shd w:val="clear" w:color="auto" w:fill="auto"/>
            <w:noWrap/>
            <w:vAlign w:val="bottom"/>
            <w:hideMark/>
          </w:tcPr>
          <w:p w14:paraId="0BFE03C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0.75</w:t>
            </w:r>
          </w:p>
        </w:tc>
        <w:tc>
          <w:tcPr>
            <w:tcW w:w="0" w:type="auto"/>
            <w:tcBorders>
              <w:top w:val="nil"/>
              <w:left w:val="nil"/>
              <w:bottom w:val="nil"/>
              <w:right w:val="nil"/>
            </w:tcBorders>
            <w:shd w:val="clear" w:color="auto" w:fill="auto"/>
            <w:noWrap/>
            <w:vAlign w:val="bottom"/>
            <w:hideMark/>
          </w:tcPr>
          <w:p w14:paraId="2AE3C07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12.36</w:t>
            </w:r>
          </w:p>
        </w:tc>
        <w:tc>
          <w:tcPr>
            <w:tcW w:w="834" w:type="dxa"/>
            <w:tcBorders>
              <w:top w:val="nil"/>
              <w:left w:val="nil"/>
              <w:bottom w:val="nil"/>
              <w:right w:val="nil"/>
            </w:tcBorders>
            <w:shd w:val="clear" w:color="auto" w:fill="auto"/>
            <w:noWrap/>
            <w:vAlign w:val="bottom"/>
            <w:hideMark/>
          </w:tcPr>
          <w:p w14:paraId="7E5A45A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w:t>
            </w:r>
          </w:p>
        </w:tc>
        <w:tc>
          <w:tcPr>
            <w:tcW w:w="0" w:type="auto"/>
            <w:tcBorders>
              <w:top w:val="nil"/>
              <w:left w:val="nil"/>
              <w:bottom w:val="nil"/>
              <w:right w:val="nil"/>
            </w:tcBorders>
            <w:shd w:val="clear" w:color="auto" w:fill="auto"/>
            <w:noWrap/>
            <w:vAlign w:val="bottom"/>
            <w:hideMark/>
          </w:tcPr>
          <w:p w14:paraId="682FF88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10.46</w:t>
            </w:r>
          </w:p>
        </w:tc>
        <w:tc>
          <w:tcPr>
            <w:tcW w:w="0" w:type="auto"/>
            <w:tcBorders>
              <w:top w:val="nil"/>
              <w:left w:val="nil"/>
              <w:bottom w:val="nil"/>
              <w:right w:val="nil"/>
            </w:tcBorders>
            <w:shd w:val="clear" w:color="auto" w:fill="auto"/>
            <w:noWrap/>
            <w:vAlign w:val="bottom"/>
            <w:hideMark/>
          </w:tcPr>
          <w:p w14:paraId="135D540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w:t>
            </w:r>
          </w:p>
        </w:tc>
        <w:tc>
          <w:tcPr>
            <w:tcW w:w="0" w:type="auto"/>
            <w:tcBorders>
              <w:top w:val="nil"/>
              <w:left w:val="nil"/>
              <w:bottom w:val="nil"/>
              <w:right w:val="nil"/>
            </w:tcBorders>
            <w:shd w:val="clear" w:color="auto" w:fill="auto"/>
            <w:noWrap/>
            <w:vAlign w:val="bottom"/>
            <w:hideMark/>
          </w:tcPr>
          <w:p w14:paraId="7E6DE20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25.05</w:t>
            </w:r>
          </w:p>
        </w:tc>
        <w:tc>
          <w:tcPr>
            <w:tcW w:w="0" w:type="auto"/>
            <w:tcBorders>
              <w:top w:val="nil"/>
              <w:left w:val="nil"/>
              <w:bottom w:val="nil"/>
              <w:right w:val="nil"/>
            </w:tcBorders>
            <w:shd w:val="clear" w:color="auto" w:fill="auto"/>
            <w:noWrap/>
            <w:vAlign w:val="bottom"/>
            <w:hideMark/>
          </w:tcPr>
          <w:p w14:paraId="588594B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w:t>
            </w:r>
          </w:p>
        </w:tc>
        <w:tc>
          <w:tcPr>
            <w:tcW w:w="0" w:type="auto"/>
            <w:tcBorders>
              <w:top w:val="nil"/>
              <w:left w:val="nil"/>
              <w:bottom w:val="nil"/>
              <w:right w:val="nil"/>
            </w:tcBorders>
            <w:shd w:val="clear" w:color="auto" w:fill="auto"/>
            <w:noWrap/>
            <w:vAlign w:val="bottom"/>
            <w:hideMark/>
          </w:tcPr>
          <w:p w14:paraId="17A8014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26.15</w:t>
            </w:r>
          </w:p>
        </w:tc>
        <w:tc>
          <w:tcPr>
            <w:tcW w:w="0" w:type="auto"/>
            <w:tcBorders>
              <w:top w:val="nil"/>
              <w:left w:val="nil"/>
              <w:bottom w:val="nil"/>
              <w:right w:val="nil"/>
            </w:tcBorders>
            <w:shd w:val="clear" w:color="auto" w:fill="auto"/>
            <w:noWrap/>
            <w:vAlign w:val="bottom"/>
            <w:hideMark/>
          </w:tcPr>
          <w:p w14:paraId="2346133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w:t>
            </w:r>
          </w:p>
        </w:tc>
      </w:tr>
      <w:tr w:rsidR="000A173E" w:rsidRPr="00FF6562" w14:paraId="4102A702"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1C9F1B86"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
              <m:sSub>
                <m:sSubPr>
                  <m:ctrlPr>
                    <w:rPr>
                      <w:rFonts w:ascii="Cambria Math" w:hAnsi="Cambria Math"/>
                      <w:i/>
                      <w:color w:val="000000" w:themeColor="text1"/>
                      <w:sz w:val="16"/>
                      <w:szCs w:val="16"/>
                      <w:lang w:eastAsia="en-GB"/>
                    </w:rPr>
                  </m:ctrlPr>
                </m:sSub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2</m:t>
                  </m:r>
                </m:sub>
              </m:sSub>
            </m:oMath>
            <w:r w:rsidR="00476036" w:rsidRPr="00AC2C84">
              <w:rPr>
                <w:color w:val="000000" w:themeColor="text1"/>
                <w:sz w:val="16"/>
                <w:szCs w:val="16"/>
                <w:lang w:eastAsia="en-GB"/>
              </w:rPr>
              <w:t>[20]</w:t>
            </w:r>
          </w:p>
        </w:tc>
        <w:tc>
          <w:tcPr>
            <w:tcW w:w="0" w:type="auto"/>
            <w:tcBorders>
              <w:top w:val="nil"/>
              <w:left w:val="nil"/>
              <w:bottom w:val="nil"/>
              <w:right w:val="nil"/>
            </w:tcBorders>
            <w:shd w:val="clear" w:color="auto" w:fill="auto"/>
            <w:noWrap/>
            <w:vAlign w:val="bottom"/>
            <w:hideMark/>
          </w:tcPr>
          <w:p w14:paraId="1EEF99D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33.91</w:t>
            </w:r>
          </w:p>
        </w:tc>
        <w:tc>
          <w:tcPr>
            <w:tcW w:w="0" w:type="auto"/>
            <w:tcBorders>
              <w:top w:val="nil"/>
              <w:left w:val="nil"/>
              <w:bottom w:val="nil"/>
              <w:right w:val="nil"/>
            </w:tcBorders>
            <w:shd w:val="clear" w:color="auto" w:fill="auto"/>
            <w:noWrap/>
            <w:vAlign w:val="bottom"/>
            <w:hideMark/>
          </w:tcPr>
          <w:p w14:paraId="68EE268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w:t>
            </w:r>
          </w:p>
        </w:tc>
        <w:tc>
          <w:tcPr>
            <w:tcW w:w="0" w:type="auto"/>
            <w:tcBorders>
              <w:top w:val="nil"/>
              <w:left w:val="nil"/>
              <w:bottom w:val="nil"/>
              <w:right w:val="nil"/>
            </w:tcBorders>
            <w:shd w:val="clear" w:color="auto" w:fill="auto"/>
            <w:noWrap/>
            <w:vAlign w:val="bottom"/>
            <w:hideMark/>
          </w:tcPr>
          <w:p w14:paraId="1349A75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35.00</w:t>
            </w:r>
          </w:p>
        </w:tc>
        <w:tc>
          <w:tcPr>
            <w:tcW w:w="0" w:type="auto"/>
            <w:tcBorders>
              <w:top w:val="nil"/>
              <w:left w:val="nil"/>
              <w:bottom w:val="nil"/>
              <w:right w:val="nil"/>
            </w:tcBorders>
            <w:shd w:val="clear" w:color="auto" w:fill="auto"/>
            <w:noWrap/>
            <w:vAlign w:val="bottom"/>
            <w:hideMark/>
          </w:tcPr>
          <w:p w14:paraId="0BA5B6A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w:t>
            </w:r>
          </w:p>
        </w:tc>
        <w:tc>
          <w:tcPr>
            <w:tcW w:w="0" w:type="auto"/>
            <w:tcBorders>
              <w:top w:val="nil"/>
              <w:left w:val="nil"/>
              <w:bottom w:val="nil"/>
              <w:right w:val="nil"/>
            </w:tcBorders>
            <w:shd w:val="clear" w:color="auto" w:fill="auto"/>
            <w:noWrap/>
            <w:vAlign w:val="bottom"/>
            <w:hideMark/>
          </w:tcPr>
          <w:p w14:paraId="6F5E17A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35.94</w:t>
            </w:r>
          </w:p>
        </w:tc>
        <w:tc>
          <w:tcPr>
            <w:tcW w:w="0" w:type="auto"/>
            <w:tcBorders>
              <w:top w:val="nil"/>
              <w:left w:val="nil"/>
              <w:bottom w:val="nil"/>
              <w:right w:val="nil"/>
            </w:tcBorders>
            <w:shd w:val="clear" w:color="auto" w:fill="auto"/>
            <w:noWrap/>
            <w:vAlign w:val="bottom"/>
            <w:hideMark/>
          </w:tcPr>
          <w:p w14:paraId="07BDADA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w:t>
            </w:r>
          </w:p>
        </w:tc>
        <w:tc>
          <w:tcPr>
            <w:tcW w:w="0" w:type="auto"/>
            <w:tcBorders>
              <w:top w:val="nil"/>
              <w:left w:val="nil"/>
              <w:bottom w:val="nil"/>
              <w:right w:val="nil"/>
            </w:tcBorders>
            <w:shd w:val="clear" w:color="auto" w:fill="auto"/>
            <w:noWrap/>
            <w:vAlign w:val="bottom"/>
            <w:hideMark/>
          </w:tcPr>
          <w:p w14:paraId="12BC50D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35.55</w:t>
            </w:r>
          </w:p>
        </w:tc>
        <w:tc>
          <w:tcPr>
            <w:tcW w:w="0" w:type="auto"/>
            <w:tcBorders>
              <w:top w:val="nil"/>
              <w:left w:val="nil"/>
              <w:bottom w:val="nil"/>
              <w:right w:val="nil"/>
            </w:tcBorders>
            <w:shd w:val="clear" w:color="auto" w:fill="auto"/>
            <w:noWrap/>
            <w:vAlign w:val="bottom"/>
            <w:hideMark/>
          </w:tcPr>
          <w:p w14:paraId="5D76FCA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w:t>
            </w:r>
          </w:p>
        </w:tc>
        <w:tc>
          <w:tcPr>
            <w:tcW w:w="0" w:type="auto"/>
            <w:tcBorders>
              <w:top w:val="nil"/>
              <w:left w:val="nil"/>
              <w:bottom w:val="nil"/>
              <w:right w:val="nil"/>
            </w:tcBorders>
            <w:shd w:val="clear" w:color="auto" w:fill="auto"/>
            <w:noWrap/>
            <w:vAlign w:val="bottom"/>
            <w:hideMark/>
          </w:tcPr>
          <w:p w14:paraId="38C7B91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32.67</w:t>
            </w:r>
          </w:p>
        </w:tc>
        <w:tc>
          <w:tcPr>
            <w:tcW w:w="0" w:type="auto"/>
            <w:tcBorders>
              <w:top w:val="nil"/>
              <w:left w:val="nil"/>
              <w:bottom w:val="nil"/>
              <w:right w:val="nil"/>
            </w:tcBorders>
            <w:shd w:val="clear" w:color="auto" w:fill="auto"/>
            <w:noWrap/>
            <w:vAlign w:val="bottom"/>
            <w:hideMark/>
          </w:tcPr>
          <w:p w14:paraId="611444B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w:t>
            </w:r>
          </w:p>
        </w:tc>
        <w:tc>
          <w:tcPr>
            <w:tcW w:w="0" w:type="auto"/>
            <w:tcBorders>
              <w:top w:val="nil"/>
              <w:left w:val="nil"/>
              <w:bottom w:val="nil"/>
              <w:right w:val="nil"/>
            </w:tcBorders>
            <w:shd w:val="clear" w:color="auto" w:fill="auto"/>
            <w:noWrap/>
            <w:vAlign w:val="bottom"/>
            <w:hideMark/>
          </w:tcPr>
          <w:p w14:paraId="619D753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35.13</w:t>
            </w:r>
          </w:p>
        </w:tc>
        <w:tc>
          <w:tcPr>
            <w:tcW w:w="0" w:type="auto"/>
            <w:tcBorders>
              <w:top w:val="nil"/>
              <w:left w:val="nil"/>
              <w:bottom w:val="nil"/>
              <w:right w:val="nil"/>
            </w:tcBorders>
            <w:shd w:val="clear" w:color="auto" w:fill="auto"/>
            <w:noWrap/>
            <w:vAlign w:val="bottom"/>
            <w:hideMark/>
          </w:tcPr>
          <w:p w14:paraId="70A6195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2F27FDF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35.45</w:t>
            </w:r>
          </w:p>
        </w:tc>
        <w:tc>
          <w:tcPr>
            <w:tcW w:w="0" w:type="auto"/>
            <w:tcBorders>
              <w:top w:val="nil"/>
              <w:left w:val="nil"/>
              <w:bottom w:val="nil"/>
              <w:right w:val="nil"/>
            </w:tcBorders>
            <w:shd w:val="clear" w:color="auto" w:fill="auto"/>
            <w:noWrap/>
            <w:vAlign w:val="bottom"/>
            <w:hideMark/>
          </w:tcPr>
          <w:p w14:paraId="2C45FBD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w:t>
            </w:r>
          </w:p>
        </w:tc>
        <w:tc>
          <w:tcPr>
            <w:tcW w:w="0" w:type="auto"/>
            <w:tcBorders>
              <w:top w:val="nil"/>
              <w:left w:val="nil"/>
              <w:bottom w:val="nil"/>
              <w:right w:val="nil"/>
            </w:tcBorders>
            <w:shd w:val="clear" w:color="auto" w:fill="auto"/>
            <w:noWrap/>
            <w:vAlign w:val="bottom"/>
            <w:hideMark/>
          </w:tcPr>
          <w:p w14:paraId="13DA3EA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35.31</w:t>
            </w:r>
          </w:p>
        </w:tc>
        <w:tc>
          <w:tcPr>
            <w:tcW w:w="834" w:type="dxa"/>
            <w:tcBorders>
              <w:top w:val="nil"/>
              <w:left w:val="nil"/>
              <w:bottom w:val="nil"/>
              <w:right w:val="nil"/>
            </w:tcBorders>
            <w:shd w:val="clear" w:color="auto" w:fill="auto"/>
            <w:noWrap/>
            <w:vAlign w:val="bottom"/>
            <w:hideMark/>
          </w:tcPr>
          <w:p w14:paraId="36A2F36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w:t>
            </w:r>
          </w:p>
        </w:tc>
        <w:tc>
          <w:tcPr>
            <w:tcW w:w="0" w:type="auto"/>
            <w:tcBorders>
              <w:top w:val="nil"/>
              <w:left w:val="nil"/>
              <w:bottom w:val="nil"/>
              <w:right w:val="nil"/>
            </w:tcBorders>
            <w:shd w:val="clear" w:color="auto" w:fill="auto"/>
            <w:noWrap/>
            <w:vAlign w:val="bottom"/>
            <w:hideMark/>
          </w:tcPr>
          <w:p w14:paraId="245F67C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35.81</w:t>
            </w:r>
          </w:p>
        </w:tc>
        <w:tc>
          <w:tcPr>
            <w:tcW w:w="0" w:type="auto"/>
            <w:tcBorders>
              <w:top w:val="nil"/>
              <w:left w:val="nil"/>
              <w:bottom w:val="nil"/>
              <w:right w:val="nil"/>
            </w:tcBorders>
            <w:shd w:val="clear" w:color="auto" w:fill="auto"/>
            <w:noWrap/>
            <w:vAlign w:val="bottom"/>
            <w:hideMark/>
          </w:tcPr>
          <w:p w14:paraId="7B1CA56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w:t>
            </w:r>
          </w:p>
        </w:tc>
        <w:tc>
          <w:tcPr>
            <w:tcW w:w="0" w:type="auto"/>
            <w:tcBorders>
              <w:top w:val="nil"/>
              <w:left w:val="nil"/>
              <w:bottom w:val="nil"/>
              <w:right w:val="nil"/>
            </w:tcBorders>
            <w:shd w:val="clear" w:color="auto" w:fill="auto"/>
            <w:noWrap/>
            <w:vAlign w:val="bottom"/>
            <w:hideMark/>
          </w:tcPr>
          <w:p w14:paraId="1501C95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33.26</w:t>
            </w:r>
          </w:p>
        </w:tc>
        <w:tc>
          <w:tcPr>
            <w:tcW w:w="0" w:type="auto"/>
            <w:tcBorders>
              <w:top w:val="nil"/>
              <w:left w:val="nil"/>
              <w:bottom w:val="nil"/>
              <w:right w:val="nil"/>
            </w:tcBorders>
            <w:shd w:val="clear" w:color="auto" w:fill="auto"/>
            <w:noWrap/>
            <w:vAlign w:val="bottom"/>
            <w:hideMark/>
          </w:tcPr>
          <w:p w14:paraId="0095EA8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w:t>
            </w:r>
          </w:p>
        </w:tc>
        <w:tc>
          <w:tcPr>
            <w:tcW w:w="0" w:type="auto"/>
            <w:tcBorders>
              <w:top w:val="nil"/>
              <w:left w:val="nil"/>
              <w:bottom w:val="nil"/>
              <w:right w:val="nil"/>
            </w:tcBorders>
            <w:shd w:val="clear" w:color="auto" w:fill="auto"/>
            <w:noWrap/>
            <w:vAlign w:val="bottom"/>
            <w:hideMark/>
          </w:tcPr>
          <w:p w14:paraId="1253AB7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34.85</w:t>
            </w:r>
          </w:p>
        </w:tc>
        <w:tc>
          <w:tcPr>
            <w:tcW w:w="0" w:type="auto"/>
            <w:tcBorders>
              <w:top w:val="nil"/>
              <w:left w:val="nil"/>
              <w:bottom w:val="nil"/>
              <w:right w:val="nil"/>
            </w:tcBorders>
            <w:shd w:val="clear" w:color="auto" w:fill="auto"/>
            <w:noWrap/>
            <w:vAlign w:val="bottom"/>
            <w:hideMark/>
          </w:tcPr>
          <w:p w14:paraId="2EE5CD5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w:t>
            </w:r>
          </w:p>
        </w:tc>
      </w:tr>
      <w:tr w:rsidR="000A173E" w:rsidRPr="00FF6562" w14:paraId="4E765A47" w14:textId="77777777" w:rsidTr="000A173E">
        <w:trPr>
          <w:gridAfter w:val="1"/>
          <w:wAfter w:w="12" w:type="dxa"/>
          <w:trHeight w:val="222"/>
        </w:trPr>
        <w:tc>
          <w:tcPr>
            <w:tcW w:w="0" w:type="auto"/>
            <w:tcBorders>
              <w:top w:val="nil"/>
              <w:left w:val="nil"/>
              <w:bottom w:val="nil"/>
              <w:right w:val="nil"/>
            </w:tcBorders>
            <w:shd w:val="clear" w:color="auto" w:fill="auto"/>
            <w:noWrap/>
            <w:vAlign w:val="center"/>
            <w:hideMark/>
          </w:tcPr>
          <w:p w14:paraId="1DCDBC40"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
              <m:sSubSup>
                <m:sSubSupPr>
                  <m:ctrlPr>
                    <w:rPr>
                      <w:rFonts w:ascii="Cambria Math" w:hAnsi="Cambria Math"/>
                      <w:i/>
                      <w:color w:val="000000" w:themeColor="text1"/>
                      <w:sz w:val="16"/>
                      <w:szCs w:val="16"/>
                      <w:lang w:eastAsia="en-GB"/>
                    </w:rPr>
                  </m:ctrlPr>
                </m:sSubSup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1</m:t>
                  </m:r>
                </m:sub>
                <m:sup>
                  <m:r>
                    <w:rPr>
                      <w:rFonts w:ascii="Cambria Math" w:hAnsi="Cambria Math"/>
                      <w:color w:val="000000" w:themeColor="text1"/>
                      <w:sz w:val="16"/>
                      <w:szCs w:val="16"/>
                      <w:lang w:eastAsia="en-GB"/>
                    </w:rPr>
                    <m:t>2</m:t>
                  </m:r>
                </m:sup>
              </m:sSubSup>
            </m:oMath>
            <w:r w:rsidR="00476036" w:rsidRPr="00AC2C84">
              <w:rPr>
                <w:color w:val="000000" w:themeColor="text1"/>
                <w:sz w:val="16"/>
                <w:szCs w:val="16"/>
                <w:lang w:eastAsia="en-GB"/>
              </w:rPr>
              <w:t>[20]</w:t>
            </w:r>
          </w:p>
        </w:tc>
        <w:tc>
          <w:tcPr>
            <w:tcW w:w="0" w:type="auto"/>
            <w:tcBorders>
              <w:top w:val="nil"/>
              <w:left w:val="nil"/>
              <w:bottom w:val="nil"/>
              <w:right w:val="nil"/>
            </w:tcBorders>
            <w:shd w:val="clear" w:color="auto" w:fill="auto"/>
            <w:noWrap/>
            <w:vAlign w:val="bottom"/>
            <w:hideMark/>
          </w:tcPr>
          <w:p w14:paraId="78BBAE2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14.23</w:t>
            </w:r>
          </w:p>
        </w:tc>
        <w:tc>
          <w:tcPr>
            <w:tcW w:w="0" w:type="auto"/>
            <w:tcBorders>
              <w:top w:val="nil"/>
              <w:left w:val="nil"/>
              <w:bottom w:val="nil"/>
              <w:right w:val="nil"/>
            </w:tcBorders>
            <w:shd w:val="clear" w:color="auto" w:fill="auto"/>
            <w:noWrap/>
            <w:vAlign w:val="bottom"/>
            <w:hideMark/>
          </w:tcPr>
          <w:p w14:paraId="5315E6C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0.82</w:t>
            </w:r>
          </w:p>
        </w:tc>
        <w:tc>
          <w:tcPr>
            <w:tcW w:w="0" w:type="auto"/>
            <w:tcBorders>
              <w:top w:val="nil"/>
              <w:left w:val="nil"/>
              <w:bottom w:val="nil"/>
              <w:right w:val="nil"/>
            </w:tcBorders>
            <w:shd w:val="clear" w:color="auto" w:fill="auto"/>
            <w:noWrap/>
            <w:vAlign w:val="bottom"/>
            <w:hideMark/>
          </w:tcPr>
          <w:p w14:paraId="0A42AEC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30.60</w:t>
            </w:r>
          </w:p>
        </w:tc>
        <w:tc>
          <w:tcPr>
            <w:tcW w:w="0" w:type="auto"/>
            <w:tcBorders>
              <w:top w:val="nil"/>
              <w:left w:val="nil"/>
              <w:bottom w:val="nil"/>
              <w:right w:val="nil"/>
            </w:tcBorders>
            <w:shd w:val="clear" w:color="auto" w:fill="auto"/>
            <w:noWrap/>
            <w:vAlign w:val="bottom"/>
            <w:hideMark/>
          </w:tcPr>
          <w:p w14:paraId="3B376C9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w:t>
            </w:r>
          </w:p>
        </w:tc>
        <w:tc>
          <w:tcPr>
            <w:tcW w:w="0" w:type="auto"/>
            <w:tcBorders>
              <w:top w:val="nil"/>
              <w:left w:val="nil"/>
              <w:bottom w:val="nil"/>
              <w:right w:val="nil"/>
            </w:tcBorders>
            <w:shd w:val="clear" w:color="auto" w:fill="auto"/>
            <w:noWrap/>
            <w:vAlign w:val="bottom"/>
            <w:hideMark/>
          </w:tcPr>
          <w:p w14:paraId="584CEEE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27.09</w:t>
            </w:r>
          </w:p>
        </w:tc>
        <w:tc>
          <w:tcPr>
            <w:tcW w:w="0" w:type="auto"/>
            <w:tcBorders>
              <w:top w:val="nil"/>
              <w:left w:val="nil"/>
              <w:bottom w:val="nil"/>
              <w:right w:val="nil"/>
            </w:tcBorders>
            <w:shd w:val="clear" w:color="auto" w:fill="auto"/>
            <w:noWrap/>
            <w:vAlign w:val="bottom"/>
            <w:hideMark/>
          </w:tcPr>
          <w:p w14:paraId="1A77351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w:t>
            </w:r>
          </w:p>
        </w:tc>
        <w:tc>
          <w:tcPr>
            <w:tcW w:w="0" w:type="auto"/>
            <w:tcBorders>
              <w:top w:val="nil"/>
              <w:left w:val="nil"/>
              <w:bottom w:val="nil"/>
              <w:right w:val="nil"/>
            </w:tcBorders>
            <w:shd w:val="clear" w:color="auto" w:fill="auto"/>
            <w:noWrap/>
            <w:vAlign w:val="bottom"/>
            <w:hideMark/>
          </w:tcPr>
          <w:p w14:paraId="6A3DA81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19.36</w:t>
            </w:r>
          </w:p>
        </w:tc>
        <w:tc>
          <w:tcPr>
            <w:tcW w:w="0" w:type="auto"/>
            <w:tcBorders>
              <w:top w:val="nil"/>
              <w:left w:val="nil"/>
              <w:bottom w:val="nil"/>
              <w:right w:val="nil"/>
            </w:tcBorders>
            <w:shd w:val="clear" w:color="auto" w:fill="auto"/>
            <w:noWrap/>
            <w:vAlign w:val="bottom"/>
            <w:hideMark/>
          </w:tcPr>
          <w:p w14:paraId="5A67A08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w:t>
            </w:r>
          </w:p>
        </w:tc>
        <w:tc>
          <w:tcPr>
            <w:tcW w:w="0" w:type="auto"/>
            <w:tcBorders>
              <w:top w:val="nil"/>
              <w:left w:val="nil"/>
              <w:bottom w:val="nil"/>
              <w:right w:val="nil"/>
            </w:tcBorders>
            <w:shd w:val="clear" w:color="auto" w:fill="auto"/>
            <w:noWrap/>
            <w:vAlign w:val="bottom"/>
            <w:hideMark/>
          </w:tcPr>
          <w:p w14:paraId="5485364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14.93</w:t>
            </w:r>
          </w:p>
        </w:tc>
        <w:tc>
          <w:tcPr>
            <w:tcW w:w="0" w:type="auto"/>
            <w:tcBorders>
              <w:top w:val="nil"/>
              <w:left w:val="nil"/>
              <w:bottom w:val="nil"/>
              <w:right w:val="nil"/>
            </w:tcBorders>
            <w:shd w:val="clear" w:color="auto" w:fill="auto"/>
            <w:noWrap/>
            <w:vAlign w:val="bottom"/>
            <w:hideMark/>
          </w:tcPr>
          <w:p w14:paraId="15800B3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0.78</w:t>
            </w:r>
          </w:p>
        </w:tc>
        <w:tc>
          <w:tcPr>
            <w:tcW w:w="0" w:type="auto"/>
            <w:tcBorders>
              <w:top w:val="nil"/>
              <w:left w:val="nil"/>
              <w:bottom w:val="nil"/>
              <w:right w:val="nil"/>
            </w:tcBorders>
            <w:shd w:val="clear" w:color="auto" w:fill="auto"/>
            <w:noWrap/>
            <w:vAlign w:val="bottom"/>
            <w:hideMark/>
          </w:tcPr>
          <w:p w14:paraId="6C3B63D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25.68</w:t>
            </w:r>
          </w:p>
        </w:tc>
        <w:tc>
          <w:tcPr>
            <w:tcW w:w="0" w:type="auto"/>
            <w:tcBorders>
              <w:top w:val="nil"/>
              <w:left w:val="nil"/>
              <w:bottom w:val="nil"/>
              <w:right w:val="nil"/>
            </w:tcBorders>
            <w:shd w:val="clear" w:color="auto" w:fill="auto"/>
            <w:noWrap/>
            <w:vAlign w:val="bottom"/>
            <w:hideMark/>
          </w:tcPr>
          <w:p w14:paraId="3D72430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w:t>
            </w:r>
          </w:p>
        </w:tc>
        <w:tc>
          <w:tcPr>
            <w:tcW w:w="0" w:type="auto"/>
            <w:tcBorders>
              <w:top w:val="nil"/>
              <w:left w:val="nil"/>
              <w:bottom w:val="nil"/>
              <w:right w:val="nil"/>
            </w:tcBorders>
            <w:shd w:val="clear" w:color="auto" w:fill="auto"/>
            <w:noWrap/>
            <w:vAlign w:val="bottom"/>
            <w:hideMark/>
          </w:tcPr>
          <w:p w14:paraId="6381B98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17.61</w:t>
            </w:r>
          </w:p>
        </w:tc>
        <w:tc>
          <w:tcPr>
            <w:tcW w:w="0" w:type="auto"/>
            <w:tcBorders>
              <w:top w:val="nil"/>
              <w:left w:val="nil"/>
              <w:bottom w:val="nil"/>
              <w:right w:val="nil"/>
            </w:tcBorders>
            <w:shd w:val="clear" w:color="auto" w:fill="auto"/>
            <w:noWrap/>
            <w:vAlign w:val="bottom"/>
            <w:hideMark/>
          </w:tcPr>
          <w:p w14:paraId="02B68DE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w:t>
            </w:r>
          </w:p>
        </w:tc>
        <w:tc>
          <w:tcPr>
            <w:tcW w:w="0" w:type="auto"/>
            <w:tcBorders>
              <w:top w:val="nil"/>
              <w:left w:val="nil"/>
              <w:bottom w:val="nil"/>
              <w:right w:val="nil"/>
            </w:tcBorders>
            <w:shd w:val="clear" w:color="auto" w:fill="auto"/>
            <w:noWrap/>
            <w:vAlign w:val="bottom"/>
            <w:hideMark/>
          </w:tcPr>
          <w:p w14:paraId="306E194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20.49</w:t>
            </w:r>
          </w:p>
        </w:tc>
        <w:tc>
          <w:tcPr>
            <w:tcW w:w="834" w:type="dxa"/>
            <w:tcBorders>
              <w:top w:val="nil"/>
              <w:left w:val="nil"/>
              <w:bottom w:val="nil"/>
              <w:right w:val="nil"/>
            </w:tcBorders>
            <w:shd w:val="clear" w:color="auto" w:fill="auto"/>
            <w:noWrap/>
            <w:vAlign w:val="bottom"/>
            <w:hideMark/>
          </w:tcPr>
          <w:p w14:paraId="0ACB99A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w:t>
            </w:r>
          </w:p>
        </w:tc>
        <w:tc>
          <w:tcPr>
            <w:tcW w:w="0" w:type="auto"/>
            <w:tcBorders>
              <w:top w:val="nil"/>
              <w:left w:val="nil"/>
              <w:bottom w:val="nil"/>
              <w:right w:val="nil"/>
            </w:tcBorders>
            <w:shd w:val="clear" w:color="auto" w:fill="auto"/>
            <w:noWrap/>
            <w:vAlign w:val="bottom"/>
            <w:hideMark/>
          </w:tcPr>
          <w:p w14:paraId="3FD2474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28.50</w:t>
            </w:r>
          </w:p>
        </w:tc>
        <w:tc>
          <w:tcPr>
            <w:tcW w:w="0" w:type="auto"/>
            <w:tcBorders>
              <w:top w:val="nil"/>
              <w:left w:val="nil"/>
              <w:bottom w:val="nil"/>
              <w:right w:val="nil"/>
            </w:tcBorders>
            <w:shd w:val="clear" w:color="auto" w:fill="auto"/>
            <w:noWrap/>
            <w:vAlign w:val="bottom"/>
            <w:hideMark/>
          </w:tcPr>
          <w:p w14:paraId="01053DB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w:t>
            </w:r>
          </w:p>
        </w:tc>
        <w:tc>
          <w:tcPr>
            <w:tcW w:w="0" w:type="auto"/>
            <w:tcBorders>
              <w:top w:val="nil"/>
              <w:left w:val="nil"/>
              <w:bottom w:val="nil"/>
              <w:right w:val="nil"/>
            </w:tcBorders>
            <w:shd w:val="clear" w:color="auto" w:fill="auto"/>
            <w:noWrap/>
            <w:vAlign w:val="bottom"/>
            <w:hideMark/>
          </w:tcPr>
          <w:p w14:paraId="411C936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18.09</w:t>
            </w:r>
          </w:p>
        </w:tc>
        <w:tc>
          <w:tcPr>
            <w:tcW w:w="0" w:type="auto"/>
            <w:tcBorders>
              <w:top w:val="nil"/>
              <w:left w:val="nil"/>
              <w:bottom w:val="nil"/>
              <w:right w:val="nil"/>
            </w:tcBorders>
            <w:shd w:val="clear" w:color="auto" w:fill="auto"/>
            <w:noWrap/>
            <w:vAlign w:val="bottom"/>
            <w:hideMark/>
          </w:tcPr>
          <w:p w14:paraId="004FCA0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0.58</w:t>
            </w:r>
          </w:p>
        </w:tc>
        <w:tc>
          <w:tcPr>
            <w:tcW w:w="0" w:type="auto"/>
            <w:tcBorders>
              <w:top w:val="nil"/>
              <w:left w:val="nil"/>
              <w:bottom w:val="nil"/>
              <w:right w:val="nil"/>
            </w:tcBorders>
            <w:shd w:val="clear" w:color="auto" w:fill="auto"/>
            <w:noWrap/>
            <w:vAlign w:val="bottom"/>
            <w:hideMark/>
          </w:tcPr>
          <w:p w14:paraId="100684A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19.87</w:t>
            </w:r>
          </w:p>
        </w:tc>
        <w:tc>
          <w:tcPr>
            <w:tcW w:w="0" w:type="auto"/>
            <w:tcBorders>
              <w:top w:val="nil"/>
              <w:left w:val="nil"/>
              <w:bottom w:val="nil"/>
              <w:right w:val="nil"/>
            </w:tcBorders>
            <w:shd w:val="clear" w:color="auto" w:fill="auto"/>
            <w:noWrap/>
            <w:vAlign w:val="bottom"/>
            <w:hideMark/>
          </w:tcPr>
          <w:p w14:paraId="651AC14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w:t>
            </w:r>
          </w:p>
        </w:tc>
      </w:tr>
      <w:tr w:rsidR="000A173E" w:rsidRPr="00FF6562" w14:paraId="5E0E9B7B" w14:textId="77777777" w:rsidTr="000A173E">
        <w:trPr>
          <w:gridAfter w:val="1"/>
          <w:wAfter w:w="12" w:type="dxa"/>
          <w:trHeight w:val="236"/>
        </w:trPr>
        <w:tc>
          <w:tcPr>
            <w:tcW w:w="0" w:type="auto"/>
            <w:tcBorders>
              <w:top w:val="nil"/>
              <w:left w:val="nil"/>
              <w:bottom w:val="single" w:sz="8" w:space="0" w:color="auto"/>
              <w:right w:val="nil"/>
            </w:tcBorders>
            <w:shd w:val="clear" w:color="auto" w:fill="auto"/>
            <w:noWrap/>
            <w:vAlign w:val="center"/>
            <w:hideMark/>
          </w:tcPr>
          <w:p w14:paraId="2D7247C3" w14:textId="77777777" w:rsidR="00476036" w:rsidRPr="00AC2C84" w:rsidRDefault="00FE124F" w:rsidP="00875EB5">
            <w:pPr>
              <w:spacing w:after="0" w:line="240" w:lineRule="auto"/>
              <w:rPr>
                <w:rFonts w:ascii="Times New Roman" w:eastAsia="Times New Roman" w:hAnsi="Times New Roman" w:cs="Times New Roman"/>
                <w:sz w:val="16"/>
                <w:szCs w:val="16"/>
                <w:lang w:eastAsia="en-GB"/>
              </w:rPr>
            </w:pPr>
            <m:oMath>
              <m:sSubSup>
                <m:sSubSupPr>
                  <m:ctrlPr>
                    <w:rPr>
                      <w:rFonts w:ascii="Cambria Math" w:hAnsi="Cambria Math"/>
                      <w:i/>
                      <w:color w:val="000000" w:themeColor="text1"/>
                      <w:sz w:val="16"/>
                      <w:szCs w:val="16"/>
                      <w:lang w:eastAsia="en-GB"/>
                    </w:rPr>
                  </m:ctrlPr>
                </m:sSubSup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2</m:t>
                  </m:r>
                </m:sub>
                <m:sup>
                  <m:r>
                    <w:rPr>
                      <w:rFonts w:ascii="Cambria Math" w:hAnsi="Cambria Math"/>
                      <w:color w:val="000000" w:themeColor="text1"/>
                      <w:sz w:val="16"/>
                      <w:szCs w:val="16"/>
                      <w:lang w:eastAsia="en-GB"/>
                    </w:rPr>
                    <m:t>2</m:t>
                  </m:r>
                </m:sup>
              </m:sSubSup>
            </m:oMath>
            <w:r w:rsidR="00476036" w:rsidRPr="00AC2C84">
              <w:rPr>
                <w:color w:val="000000" w:themeColor="text1"/>
                <w:sz w:val="16"/>
                <w:szCs w:val="16"/>
                <w:lang w:eastAsia="en-GB"/>
              </w:rPr>
              <w:t>[20]</w:t>
            </w:r>
          </w:p>
        </w:tc>
        <w:tc>
          <w:tcPr>
            <w:tcW w:w="0" w:type="auto"/>
            <w:tcBorders>
              <w:top w:val="nil"/>
              <w:left w:val="nil"/>
              <w:bottom w:val="single" w:sz="8" w:space="0" w:color="auto"/>
              <w:right w:val="nil"/>
            </w:tcBorders>
            <w:shd w:val="clear" w:color="auto" w:fill="auto"/>
            <w:noWrap/>
            <w:vAlign w:val="bottom"/>
            <w:hideMark/>
          </w:tcPr>
          <w:p w14:paraId="1437C1E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1.40</w:t>
            </w:r>
          </w:p>
        </w:tc>
        <w:tc>
          <w:tcPr>
            <w:tcW w:w="0" w:type="auto"/>
            <w:tcBorders>
              <w:top w:val="nil"/>
              <w:left w:val="nil"/>
              <w:bottom w:val="single" w:sz="8" w:space="0" w:color="auto"/>
              <w:right w:val="nil"/>
            </w:tcBorders>
            <w:shd w:val="clear" w:color="auto" w:fill="auto"/>
            <w:noWrap/>
            <w:vAlign w:val="bottom"/>
            <w:hideMark/>
          </w:tcPr>
          <w:p w14:paraId="3A15BDD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0" w:type="auto"/>
            <w:tcBorders>
              <w:top w:val="nil"/>
              <w:left w:val="nil"/>
              <w:bottom w:val="single" w:sz="8" w:space="0" w:color="auto"/>
              <w:right w:val="nil"/>
            </w:tcBorders>
            <w:shd w:val="clear" w:color="auto" w:fill="auto"/>
            <w:noWrap/>
            <w:vAlign w:val="bottom"/>
            <w:hideMark/>
          </w:tcPr>
          <w:p w14:paraId="6F219B0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1.68</w:t>
            </w:r>
          </w:p>
        </w:tc>
        <w:tc>
          <w:tcPr>
            <w:tcW w:w="0" w:type="auto"/>
            <w:tcBorders>
              <w:top w:val="nil"/>
              <w:left w:val="nil"/>
              <w:bottom w:val="single" w:sz="8" w:space="0" w:color="auto"/>
              <w:right w:val="nil"/>
            </w:tcBorders>
            <w:shd w:val="clear" w:color="auto" w:fill="auto"/>
            <w:noWrap/>
            <w:vAlign w:val="bottom"/>
            <w:hideMark/>
          </w:tcPr>
          <w:p w14:paraId="774644C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bottom"/>
            <w:hideMark/>
          </w:tcPr>
          <w:p w14:paraId="5DC92DE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1.70</w:t>
            </w:r>
          </w:p>
        </w:tc>
        <w:tc>
          <w:tcPr>
            <w:tcW w:w="0" w:type="auto"/>
            <w:tcBorders>
              <w:top w:val="nil"/>
              <w:left w:val="nil"/>
              <w:bottom w:val="single" w:sz="8" w:space="0" w:color="auto"/>
              <w:right w:val="nil"/>
            </w:tcBorders>
            <w:shd w:val="clear" w:color="auto" w:fill="auto"/>
            <w:noWrap/>
            <w:vAlign w:val="bottom"/>
            <w:hideMark/>
          </w:tcPr>
          <w:p w14:paraId="09F3E0C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bottom"/>
            <w:hideMark/>
          </w:tcPr>
          <w:p w14:paraId="6C01DEB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1.63</w:t>
            </w:r>
          </w:p>
        </w:tc>
        <w:tc>
          <w:tcPr>
            <w:tcW w:w="0" w:type="auto"/>
            <w:tcBorders>
              <w:top w:val="nil"/>
              <w:left w:val="nil"/>
              <w:bottom w:val="single" w:sz="8" w:space="0" w:color="auto"/>
              <w:right w:val="nil"/>
            </w:tcBorders>
            <w:shd w:val="clear" w:color="auto" w:fill="auto"/>
            <w:noWrap/>
            <w:vAlign w:val="bottom"/>
            <w:hideMark/>
          </w:tcPr>
          <w:p w14:paraId="1EC92E4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0" w:type="auto"/>
            <w:tcBorders>
              <w:top w:val="nil"/>
              <w:left w:val="nil"/>
              <w:bottom w:val="single" w:sz="8" w:space="0" w:color="auto"/>
              <w:right w:val="nil"/>
            </w:tcBorders>
            <w:shd w:val="clear" w:color="auto" w:fill="auto"/>
            <w:noWrap/>
            <w:vAlign w:val="bottom"/>
            <w:hideMark/>
          </w:tcPr>
          <w:p w14:paraId="27021F8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1.61</w:t>
            </w:r>
          </w:p>
        </w:tc>
        <w:tc>
          <w:tcPr>
            <w:tcW w:w="0" w:type="auto"/>
            <w:tcBorders>
              <w:top w:val="nil"/>
              <w:left w:val="nil"/>
              <w:bottom w:val="single" w:sz="8" w:space="0" w:color="auto"/>
              <w:right w:val="nil"/>
            </w:tcBorders>
            <w:shd w:val="clear" w:color="auto" w:fill="auto"/>
            <w:noWrap/>
            <w:vAlign w:val="bottom"/>
            <w:hideMark/>
          </w:tcPr>
          <w:p w14:paraId="177F886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bottom"/>
            <w:hideMark/>
          </w:tcPr>
          <w:p w14:paraId="12A0D0E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1.70</w:t>
            </w:r>
          </w:p>
        </w:tc>
        <w:tc>
          <w:tcPr>
            <w:tcW w:w="0" w:type="auto"/>
            <w:tcBorders>
              <w:top w:val="nil"/>
              <w:left w:val="nil"/>
              <w:bottom w:val="single" w:sz="8" w:space="0" w:color="auto"/>
              <w:right w:val="nil"/>
            </w:tcBorders>
            <w:shd w:val="clear" w:color="auto" w:fill="auto"/>
            <w:noWrap/>
            <w:vAlign w:val="bottom"/>
            <w:hideMark/>
          </w:tcPr>
          <w:p w14:paraId="3E7A0C1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bottom"/>
            <w:hideMark/>
          </w:tcPr>
          <w:p w14:paraId="6B2E018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1.68</w:t>
            </w:r>
          </w:p>
        </w:tc>
        <w:tc>
          <w:tcPr>
            <w:tcW w:w="0" w:type="auto"/>
            <w:tcBorders>
              <w:top w:val="nil"/>
              <w:left w:val="nil"/>
              <w:bottom w:val="single" w:sz="8" w:space="0" w:color="auto"/>
              <w:right w:val="nil"/>
            </w:tcBorders>
            <w:shd w:val="clear" w:color="auto" w:fill="auto"/>
            <w:noWrap/>
            <w:vAlign w:val="bottom"/>
            <w:hideMark/>
          </w:tcPr>
          <w:p w14:paraId="5EFE777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0" w:type="auto"/>
            <w:tcBorders>
              <w:top w:val="nil"/>
              <w:left w:val="nil"/>
              <w:bottom w:val="single" w:sz="8" w:space="0" w:color="auto"/>
              <w:right w:val="nil"/>
            </w:tcBorders>
            <w:shd w:val="clear" w:color="auto" w:fill="auto"/>
            <w:noWrap/>
            <w:vAlign w:val="bottom"/>
            <w:hideMark/>
          </w:tcPr>
          <w:p w14:paraId="6339997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1.67</w:t>
            </w:r>
          </w:p>
        </w:tc>
        <w:tc>
          <w:tcPr>
            <w:tcW w:w="834" w:type="dxa"/>
            <w:tcBorders>
              <w:top w:val="nil"/>
              <w:left w:val="nil"/>
              <w:bottom w:val="single" w:sz="8" w:space="0" w:color="auto"/>
              <w:right w:val="nil"/>
            </w:tcBorders>
            <w:shd w:val="clear" w:color="auto" w:fill="auto"/>
            <w:noWrap/>
            <w:vAlign w:val="bottom"/>
            <w:hideMark/>
          </w:tcPr>
          <w:p w14:paraId="33C0915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0" w:type="auto"/>
            <w:tcBorders>
              <w:top w:val="nil"/>
              <w:left w:val="nil"/>
              <w:bottom w:val="single" w:sz="8" w:space="0" w:color="auto"/>
              <w:right w:val="nil"/>
            </w:tcBorders>
            <w:shd w:val="clear" w:color="auto" w:fill="auto"/>
            <w:noWrap/>
            <w:vAlign w:val="bottom"/>
            <w:hideMark/>
          </w:tcPr>
          <w:p w14:paraId="7D958CA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1.80</w:t>
            </w:r>
          </w:p>
        </w:tc>
        <w:tc>
          <w:tcPr>
            <w:tcW w:w="0" w:type="auto"/>
            <w:tcBorders>
              <w:top w:val="nil"/>
              <w:left w:val="nil"/>
              <w:bottom w:val="single" w:sz="8" w:space="0" w:color="auto"/>
              <w:right w:val="nil"/>
            </w:tcBorders>
            <w:shd w:val="clear" w:color="auto" w:fill="auto"/>
            <w:noWrap/>
            <w:vAlign w:val="bottom"/>
            <w:hideMark/>
          </w:tcPr>
          <w:p w14:paraId="6D41C3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0" w:type="auto"/>
            <w:tcBorders>
              <w:top w:val="nil"/>
              <w:left w:val="nil"/>
              <w:bottom w:val="single" w:sz="8" w:space="0" w:color="auto"/>
              <w:right w:val="nil"/>
            </w:tcBorders>
            <w:shd w:val="clear" w:color="auto" w:fill="auto"/>
            <w:noWrap/>
            <w:vAlign w:val="bottom"/>
            <w:hideMark/>
          </w:tcPr>
          <w:p w14:paraId="0F006C5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3.32</w:t>
            </w:r>
          </w:p>
        </w:tc>
        <w:tc>
          <w:tcPr>
            <w:tcW w:w="0" w:type="auto"/>
            <w:tcBorders>
              <w:top w:val="nil"/>
              <w:left w:val="nil"/>
              <w:bottom w:val="single" w:sz="8" w:space="0" w:color="auto"/>
              <w:right w:val="nil"/>
            </w:tcBorders>
            <w:shd w:val="clear" w:color="auto" w:fill="auto"/>
            <w:noWrap/>
            <w:vAlign w:val="bottom"/>
            <w:hideMark/>
          </w:tcPr>
          <w:p w14:paraId="1E49A86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bottom"/>
            <w:hideMark/>
          </w:tcPr>
          <w:p w14:paraId="0ACEBDA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1.65</w:t>
            </w:r>
          </w:p>
        </w:tc>
        <w:tc>
          <w:tcPr>
            <w:tcW w:w="0" w:type="auto"/>
            <w:tcBorders>
              <w:top w:val="nil"/>
              <w:left w:val="nil"/>
              <w:bottom w:val="single" w:sz="8" w:space="0" w:color="auto"/>
              <w:right w:val="nil"/>
            </w:tcBorders>
            <w:shd w:val="clear" w:color="auto" w:fill="auto"/>
            <w:noWrap/>
            <w:vAlign w:val="bottom"/>
            <w:hideMark/>
          </w:tcPr>
          <w:p w14:paraId="384F878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0.97</w:t>
            </w:r>
          </w:p>
        </w:tc>
      </w:tr>
    </w:tbl>
    <w:p w14:paraId="18A41441" w14:textId="77777777" w:rsidR="008206BE" w:rsidRDefault="008206BE" w:rsidP="00A56C42">
      <w:pPr>
        <w:jc w:val="center"/>
        <w:rPr>
          <w:rFonts w:ascii="Times New Roman" w:hAnsi="Times New Roman" w:cs="Times New Roman"/>
          <w:b/>
          <w:bCs/>
        </w:rPr>
      </w:pPr>
    </w:p>
    <w:p w14:paraId="65D78A84" w14:textId="6991C79F" w:rsidR="00476036" w:rsidRPr="00FF6562" w:rsidRDefault="00476036" w:rsidP="00A56C42">
      <w:pPr>
        <w:jc w:val="center"/>
        <w:rPr>
          <w:rFonts w:ascii="Times New Roman" w:hAnsi="Times New Roman" w:cs="Times New Roman"/>
        </w:rPr>
      </w:pPr>
      <w:r w:rsidRPr="000701D0">
        <w:rPr>
          <w:rFonts w:ascii="Times New Roman" w:hAnsi="Times New Roman" w:cs="Times New Roman"/>
          <w:b/>
          <w:bCs/>
        </w:rPr>
        <w:lastRenderedPageBreak/>
        <w:t xml:space="preserve">Table </w:t>
      </w:r>
      <w:r>
        <w:rPr>
          <w:rFonts w:ascii="Times New Roman" w:hAnsi="Times New Roman" w:cs="Times New Roman"/>
          <w:b/>
          <w:bCs/>
        </w:rPr>
        <w:t>3</w:t>
      </w:r>
      <w:r w:rsidRPr="000701D0">
        <w:rPr>
          <w:rFonts w:ascii="Times New Roman" w:hAnsi="Times New Roman" w:cs="Times New Roman"/>
          <w:b/>
          <w:bCs/>
        </w:rPr>
        <w:t>.</w:t>
      </w:r>
      <w:r w:rsidRPr="000701D0">
        <w:rPr>
          <w:rFonts w:ascii="Times New Roman" w:hAnsi="Times New Roman" w:cs="Times New Roman"/>
        </w:rPr>
        <w:t xml:space="preserve"> Estimates of VAR-BEKK-AGARCH between Islamic equity sectors </w:t>
      </w:r>
      <w:r>
        <w:rPr>
          <w:rFonts w:ascii="Times New Roman" w:hAnsi="Times New Roman" w:cs="Times New Roman"/>
        </w:rPr>
        <w:t xml:space="preserve">and </w:t>
      </w:r>
      <w:r w:rsidRPr="000701D0">
        <w:rPr>
          <w:rFonts w:ascii="Times New Roman" w:hAnsi="Times New Roman" w:cs="Times New Roman"/>
        </w:rPr>
        <w:t xml:space="preserve">Onegram during </w:t>
      </w:r>
      <w:r>
        <w:rPr>
          <w:rFonts w:ascii="Times New Roman" w:hAnsi="Times New Roman" w:cs="Times New Roman"/>
        </w:rPr>
        <w:t>the COVID-19 period.</w:t>
      </w:r>
    </w:p>
    <w:tbl>
      <w:tblPr>
        <w:tblW w:w="14245" w:type="dxa"/>
        <w:tblLook w:val="04A0" w:firstRow="1" w:lastRow="0" w:firstColumn="1" w:lastColumn="0" w:noHBand="0" w:noVBand="1"/>
      </w:tblPr>
      <w:tblGrid>
        <w:gridCol w:w="766"/>
        <w:gridCol w:w="635"/>
        <w:gridCol w:w="590"/>
        <w:gridCol w:w="660"/>
        <w:gridCol w:w="614"/>
        <w:gridCol w:w="670"/>
        <w:gridCol w:w="622"/>
        <w:gridCol w:w="635"/>
        <w:gridCol w:w="590"/>
        <w:gridCol w:w="635"/>
        <w:gridCol w:w="590"/>
        <w:gridCol w:w="635"/>
        <w:gridCol w:w="590"/>
        <w:gridCol w:w="635"/>
        <w:gridCol w:w="590"/>
        <w:gridCol w:w="762"/>
        <w:gridCol w:w="708"/>
        <w:gridCol w:w="635"/>
        <w:gridCol w:w="590"/>
        <w:gridCol w:w="635"/>
        <w:gridCol w:w="590"/>
        <w:gridCol w:w="635"/>
        <w:gridCol w:w="590"/>
      </w:tblGrid>
      <w:tr w:rsidR="00321B72" w:rsidRPr="00FF6562" w14:paraId="32FD1453" w14:textId="77777777" w:rsidTr="004664BA">
        <w:trPr>
          <w:trHeight w:val="215"/>
        </w:trPr>
        <w:tc>
          <w:tcPr>
            <w:tcW w:w="14240" w:type="dxa"/>
            <w:gridSpan w:val="23"/>
            <w:tcBorders>
              <w:top w:val="single" w:sz="4" w:space="0" w:color="auto"/>
              <w:left w:val="nil"/>
              <w:bottom w:val="single" w:sz="4" w:space="0" w:color="auto"/>
              <w:right w:val="nil"/>
            </w:tcBorders>
            <w:shd w:val="clear" w:color="auto" w:fill="auto"/>
            <w:noWrap/>
            <w:vAlign w:val="bottom"/>
          </w:tcPr>
          <w:p w14:paraId="4FDED779" w14:textId="44DCE990" w:rsidR="00321B72" w:rsidRPr="00321B72" w:rsidRDefault="00321B72" w:rsidP="00321B72">
            <w:pPr>
              <w:spacing w:after="0" w:line="240" w:lineRule="auto"/>
              <w:jc w:val="both"/>
              <w:rPr>
                <w:rFonts w:ascii="Times New Roman" w:eastAsia="Times New Roman" w:hAnsi="Times New Roman" w:cs="Times New Roman"/>
                <w:sz w:val="16"/>
                <w:szCs w:val="16"/>
                <w:lang w:eastAsia="en-GB"/>
              </w:rPr>
            </w:pPr>
            <w:r w:rsidRPr="00321B72">
              <w:rPr>
                <w:rFonts w:ascii="Times New Roman" w:eastAsia="Times New Roman" w:hAnsi="Times New Roman" w:cs="Times New Roman"/>
                <w:sz w:val="16"/>
                <w:szCs w:val="16"/>
                <w:lang w:eastAsia="en-GB"/>
              </w:rPr>
              <w:t xml:space="preserve">This table provides the estimations of return and volatility spillovers between Islamic equity sectors and Onegram during the COVID-19 period. The mean equation in Panel A provides the results of returns spillovers, whereas the variance equation in panel B provides the results of shock and volatility spillovers. Panel C presents the diagnostic tests, including log-likelihood ratio, AIC test, BIC test, and </w:t>
            </w:r>
            <w:proofErr w:type="spellStart"/>
            <w:r w:rsidRPr="00321B72">
              <w:rPr>
                <w:rFonts w:ascii="Times New Roman" w:eastAsia="Times New Roman" w:hAnsi="Times New Roman" w:cs="Times New Roman"/>
                <w:sz w:val="16"/>
                <w:szCs w:val="16"/>
                <w:lang w:eastAsia="en-GB"/>
              </w:rPr>
              <w:t>Ljung</w:t>
            </w:r>
            <w:proofErr w:type="spellEnd"/>
            <w:r w:rsidRPr="00321B72">
              <w:rPr>
                <w:rFonts w:ascii="Times New Roman" w:eastAsia="Times New Roman" w:hAnsi="Times New Roman" w:cs="Times New Roman"/>
                <w:sz w:val="16"/>
                <w:szCs w:val="16"/>
                <w:lang w:eastAsia="en-GB"/>
              </w:rPr>
              <w:t>-Box Q statistics. Following are the full forms of different acronyms used in the table:</w:t>
            </w:r>
            <w:r w:rsidRPr="00321B72">
              <w:rPr>
                <w:rFonts w:ascii="Times New Roman" w:hAnsi="Times New Roman" w:cs="Times New Roman"/>
                <w:sz w:val="16"/>
                <w:szCs w:val="16"/>
              </w:rPr>
              <w:t xml:space="preserve"> </w:t>
            </w:r>
            <w:r w:rsidRPr="00321B72">
              <w:rPr>
                <w:rFonts w:ascii="Times New Roman" w:eastAsia="Times New Roman" w:hAnsi="Times New Roman" w:cs="Times New Roman"/>
                <w:sz w:val="16"/>
                <w:szCs w:val="16"/>
                <w:lang w:eastAsia="en-GB"/>
              </w:rPr>
              <w:t xml:space="preserve">Com. services-communication services, consumer disc.-consumer discretionary, consumer </w:t>
            </w:r>
            <w:proofErr w:type="spellStart"/>
            <w:r w:rsidRPr="00321B72">
              <w:rPr>
                <w:rFonts w:ascii="Times New Roman" w:eastAsia="Times New Roman" w:hAnsi="Times New Roman" w:cs="Times New Roman"/>
                <w:sz w:val="16"/>
                <w:szCs w:val="16"/>
                <w:lang w:eastAsia="en-GB"/>
              </w:rPr>
              <w:t>stap</w:t>
            </w:r>
            <w:proofErr w:type="spellEnd"/>
            <w:r w:rsidRPr="00321B72">
              <w:rPr>
                <w:rFonts w:ascii="Times New Roman" w:eastAsia="Times New Roman" w:hAnsi="Times New Roman" w:cs="Times New Roman"/>
                <w:sz w:val="16"/>
                <w:szCs w:val="16"/>
                <w:lang w:eastAsia="en-GB"/>
              </w:rPr>
              <w:t>-consumer staples, Information tech.-Information technology. Coeff-coefficient, p-val.-p-</w:t>
            </w:r>
            <w:proofErr w:type="spellStart"/>
            <w:r w:rsidRPr="00321B72">
              <w:rPr>
                <w:rFonts w:ascii="Times New Roman" w:eastAsia="Times New Roman" w:hAnsi="Times New Roman" w:cs="Times New Roman"/>
                <w:sz w:val="16"/>
                <w:szCs w:val="16"/>
                <w:lang w:eastAsia="en-GB"/>
              </w:rPr>
              <w:t>value.AIC</w:t>
            </w:r>
            <w:proofErr w:type="spellEnd"/>
            <w:r w:rsidRPr="00321B72">
              <w:rPr>
                <w:rFonts w:ascii="Times New Roman" w:eastAsia="Times New Roman" w:hAnsi="Times New Roman" w:cs="Times New Roman"/>
                <w:sz w:val="16"/>
                <w:szCs w:val="16"/>
                <w:lang w:eastAsia="en-GB"/>
              </w:rPr>
              <w:t xml:space="preserve"> and SIC </w:t>
            </w:r>
            <w:proofErr w:type="spellStart"/>
            <w:r w:rsidRPr="00321B72">
              <w:rPr>
                <w:rFonts w:ascii="Times New Roman" w:eastAsia="Times New Roman" w:hAnsi="Times New Roman" w:cs="Times New Roman"/>
                <w:sz w:val="16"/>
                <w:szCs w:val="16"/>
                <w:lang w:eastAsia="en-GB"/>
              </w:rPr>
              <w:t>criterias</w:t>
            </w:r>
            <w:proofErr w:type="spellEnd"/>
            <w:r w:rsidRPr="00321B72">
              <w:rPr>
                <w:rFonts w:ascii="Times New Roman" w:eastAsia="Times New Roman" w:hAnsi="Times New Roman" w:cs="Times New Roman"/>
                <w:sz w:val="16"/>
                <w:szCs w:val="16"/>
                <w:lang w:eastAsia="en-GB"/>
              </w:rPr>
              <w:t xml:space="preserve"> are used for the selection of number of lags. Q (20), and Q</w:t>
            </w:r>
            <w:r w:rsidRPr="00321B72">
              <w:rPr>
                <w:rFonts w:ascii="Times New Roman" w:eastAsia="Times New Roman" w:hAnsi="Times New Roman" w:cs="Times New Roman"/>
                <w:sz w:val="16"/>
                <w:szCs w:val="16"/>
                <w:vertAlign w:val="superscript"/>
                <w:lang w:eastAsia="en-GB"/>
              </w:rPr>
              <w:t>2</w:t>
            </w:r>
            <w:r w:rsidRPr="00321B72">
              <w:rPr>
                <w:rFonts w:ascii="Times New Roman" w:eastAsia="Times New Roman" w:hAnsi="Times New Roman" w:cs="Times New Roman"/>
                <w:sz w:val="16"/>
                <w:szCs w:val="16"/>
                <w:lang w:eastAsia="en-GB"/>
              </w:rPr>
              <w:t xml:space="preserve">(20) denotes </w:t>
            </w:r>
            <w:proofErr w:type="spellStart"/>
            <w:r w:rsidRPr="00321B72">
              <w:rPr>
                <w:rFonts w:ascii="Times New Roman" w:eastAsia="Times New Roman" w:hAnsi="Times New Roman" w:cs="Times New Roman"/>
                <w:sz w:val="16"/>
                <w:szCs w:val="16"/>
                <w:lang w:eastAsia="en-GB"/>
              </w:rPr>
              <w:t>Ljung</w:t>
            </w:r>
            <w:proofErr w:type="spellEnd"/>
            <w:r w:rsidRPr="00321B72">
              <w:rPr>
                <w:rFonts w:ascii="Times New Roman" w:eastAsia="Times New Roman" w:hAnsi="Times New Roman" w:cs="Times New Roman"/>
                <w:sz w:val="16"/>
                <w:szCs w:val="16"/>
                <w:lang w:eastAsia="en-GB"/>
              </w:rPr>
              <w:t xml:space="preserve">-Box Q statistics of order 20 for autocorrelation applied to the standardized residuals and squared standardized residuals, respectively. Variable order is the Islamic sectoral equity market (1) and Onegram (2). </w:t>
            </w:r>
            <m:oMath>
              <m:sSub>
                <m:sSubPr>
                  <m:ctrlPr>
                    <w:rPr>
                      <w:rFonts w:ascii="Cambria Math" w:eastAsia="Times New Roman" w:hAnsi="Cambria Math" w:cs="Times New Roman"/>
                      <w:i/>
                      <w:sz w:val="16"/>
                      <w:szCs w:val="16"/>
                      <w:lang w:eastAsia="en-GB"/>
                    </w:rPr>
                  </m:ctrlPr>
                </m:sSubPr>
                <m:e>
                  <m:r>
                    <w:rPr>
                      <w:rFonts w:ascii="Cambria Math" w:eastAsia="Times New Roman" w:hAnsi="Cambria Math" w:cs="Times New Roman"/>
                      <w:sz w:val="16"/>
                      <w:szCs w:val="16"/>
                      <w:lang w:eastAsia="en-GB"/>
                    </w:rPr>
                    <m:t>∅</m:t>
                  </m:r>
                </m:e>
                <m:sub>
                  <m:r>
                    <w:rPr>
                      <w:rFonts w:ascii="Cambria Math" w:eastAsia="Times New Roman" w:hAnsi="Cambria Math" w:cs="Times New Roman"/>
                      <w:sz w:val="16"/>
                      <w:szCs w:val="16"/>
                      <w:lang w:eastAsia="en-GB"/>
                    </w:rPr>
                    <m:t>12</m:t>
                  </m:r>
                </m:sub>
              </m:sSub>
            </m:oMath>
            <w:r w:rsidRPr="00321B72">
              <w:rPr>
                <w:rFonts w:ascii="Times New Roman" w:eastAsia="Times New Roman" w:hAnsi="Times New Roman" w:cs="Times New Roman"/>
                <w:sz w:val="16"/>
                <w:szCs w:val="16"/>
                <w:lang w:eastAsia="en-GB"/>
              </w:rPr>
              <w:t xml:space="preserve"> denotes the returns spillover from Islamic sectoral equity market to Onegram. </w:t>
            </w:r>
            <m:oMath>
              <m:sSub>
                <m:sSubPr>
                  <m:ctrlPr>
                    <w:rPr>
                      <w:rFonts w:ascii="Cambria Math" w:eastAsia="Times New Roman" w:hAnsi="Cambria Math" w:cs="Times New Roman"/>
                      <w:i/>
                      <w:sz w:val="16"/>
                      <w:szCs w:val="16"/>
                      <w:lang w:eastAsia="en-GB"/>
                    </w:rPr>
                  </m:ctrlPr>
                </m:sSubPr>
                <m:e>
                  <m:r>
                    <w:rPr>
                      <w:rFonts w:ascii="Cambria Math" w:eastAsia="Times New Roman" w:hAnsi="Cambria Math" w:cs="Times New Roman"/>
                      <w:sz w:val="16"/>
                      <w:szCs w:val="16"/>
                      <w:lang w:eastAsia="en-GB"/>
                    </w:rPr>
                    <m:t>a</m:t>
                  </m:r>
                </m:e>
                <m:sub>
                  <m:r>
                    <m:rPr>
                      <m:sty m:val="p"/>
                    </m:rPr>
                    <w:rPr>
                      <w:rFonts w:ascii="Cambria Math" w:eastAsia="Times New Roman" w:hAnsi="Cambria Math" w:cs="Times New Roman"/>
                      <w:sz w:val="16"/>
                      <w:szCs w:val="16"/>
                      <w:lang w:eastAsia="en-GB"/>
                    </w:rPr>
                    <m:t>12</m:t>
                  </m:r>
                </m:sub>
              </m:sSub>
            </m:oMath>
            <w:r w:rsidRPr="00321B72">
              <w:rPr>
                <w:rFonts w:ascii="Times New Roman" w:eastAsia="Times New Roman" w:hAnsi="Times New Roman" w:cs="Times New Roman"/>
                <w:sz w:val="16"/>
                <w:szCs w:val="16"/>
                <w:lang w:eastAsia="en-GB"/>
              </w:rPr>
              <w:t xml:space="preserve"> means the shock spillover from Islamic sectoral equity market to Onegram. </w:t>
            </w:r>
            <m:oMath>
              <m:sSub>
                <m:sSubPr>
                  <m:ctrlPr>
                    <w:rPr>
                      <w:rFonts w:ascii="Cambria Math" w:eastAsia="Times New Roman" w:hAnsi="Cambria Math" w:cs="Times New Roman"/>
                      <w:i/>
                      <w:sz w:val="16"/>
                      <w:szCs w:val="16"/>
                      <w:lang w:eastAsia="en-GB"/>
                    </w:rPr>
                  </m:ctrlPr>
                </m:sSubPr>
                <m:e>
                  <m:r>
                    <w:rPr>
                      <w:rFonts w:ascii="Cambria Math" w:eastAsia="Times New Roman" w:hAnsi="Cambria Math" w:cs="Times New Roman"/>
                      <w:sz w:val="16"/>
                      <w:szCs w:val="16"/>
                      <w:lang w:eastAsia="en-GB"/>
                    </w:rPr>
                    <m:t>b</m:t>
                  </m:r>
                </m:e>
                <m:sub>
                  <m:r>
                    <m:rPr>
                      <m:sty m:val="p"/>
                    </m:rPr>
                    <w:rPr>
                      <w:rFonts w:ascii="Cambria Math" w:eastAsia="Times New Roman" w:hAnsi="Cambria Math" w:cs="Times New Roman"/>
                      <w:sz w:val="16"/>
                      <w:szCs w:val="16"/>
                      <w:lang w:eastAsia="en-GB"/>
                    </w:rPr>
                    <m:t>12</m:t>
                  </m:r>
                </m:sub>
              </m:sSub>
            </m:oMath>
            <w:r w:rsidRPr="00321B72">
              <w:rPr>
                <w:rFonts w:ascii="Times New Roman" w:eastAsia="Times New Roman" w:hAnsi="Times New Roman" w:cs="Times New Roman"/>
                <w:sz w:val="16"/>
                <w:szCs w:val="16"/>
                <w:lang w:eastAsia="en-GB"/>
              </w:rPr>
              <w:t xml:space="preserve"> refers to the volatility spillover from Islamic sectoral equity market to Onegram.</w:t>
            </w:r>
          </w:p>
        </w:tc>
      </w:tr>
      <w:tr w:rsidR="00476036" w:rsidRPr="00FF6562" w14:paraId="6B3402FA" w14:textId="77777777" w:rsidTr="004664BA">
        <w:trPr>
          <w:trHeight w:val="215"/>
        </w:trPr>
        <w:tc>
          <w:tcPr>
            <w:tcW w:w="760" w:type="dxa"/>
            <w:tcBorders>
              <w:top w:val="single" w:sz="4" w:space="0" w:color="auto"/>
              <w:left w:val="nil"/>
              <w:bottom w:val="single" w:sz="4" w:space="0" w:color="auto"/>
              <w:right w:val="nil"/>
            </w:tcBorders>
            <w:shd w:val="clear" w:color="auto" w:fill="auto"/>
            <w:noWrap/>
            <w:vAlign w:val="bottom"/>
            <w:hideMark/>
          </w:tcPr>
          <w:p w14:paraId="18E9D4E1" w14:textId="77777777" w:rsidR="00476036" w:rsidRPr="00FF6562" w:rsidRDefault="00476036" w:rsidP="00875EB5">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8" w:space="0" w:color="auto"/>
              <w:left w:val="nil"/>
              <w:bottom w:val="single" w:sz="8" w:space="0" w:color="auto"/>
              <w:right w:val="nil"/>
            </w:tcBorders>
            <w:shd w:val="clear" w:color="auto" w:fill="auto"/>
            <w:noWrap/>
            <w:vAlign w:val="center"/>
            <w:hideMark/>
          </w:tcPr>
          <w:p w14:paraId="5D9876EE"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Com. services</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3D177555"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Consumer disc.</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47FD14CC"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 xml:space="preserve">Consumer </w:t>
            </w:r>
            <w:proofErr w:type="spellStart"/>
            <w:r w:rsidRPr="00FF6562">
              <w:rPr>
                <w:rFonts w:ascii="Times New Roman" w:eastAsia="Times New Roman" w:hAnsi="Times New Roman" w:cs="Times New Roman"/>
                <w:b/>
                <w:bCs/>
                <w:sz w:val="16"/>
                <w:szCs w:val="16"/>
                <w:lang w:eastAsia="en-GB"/>
              </w:rPr>
              <w:t>stap</w:t>
            </w:r>
            <w:proofErr w:type="spellEnd"/>
            <w:r w:rsidRPr="00FF6562">
              <w:rPr>
                <w:rFonts w:ascii="Times New Roman" w:eastAsia="Times New Roman" w:hAnsi="Times New Roman" w:cs="Times New Roman"/>
                <w:b/>
                <w:bCs/>
                <w:sz w:val="16"/>
                <w:szCs w:val="16"/>
                <w:lang w:eastAsia="en-GB"/>
              </w:rPr>
              <w:t>.</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5313A48F"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Energy</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339CE29C"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Financials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24AE3A4A"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Health Care</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4AFEE487"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Industrials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2F91D900"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Information Tech.</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093E9332"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Materials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40A18F80"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Real Estate</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110AED08"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Utilities</w:t>
            </w:r>
          </w:p>
        </w:tc>
      </w:tr>
      <w:tr w:rsidR="004664BA" w:rsidRPr="00FF6562" w14:paraId="1BC4505B" w14:textId="77777777" w:rsidTr="004664BA">
        <w:trPr>
          <w:trHeight w:val="215"/>
        </w:trPr>
        <w:tc>
          <w:tcPr>
            <w:tcW w:w="760" w:type="dxa"/>
            <w:tcBorders>
              <w:top w:val="single" w:sz="4" w:space="0" w:color="auto"/>
              <w:left w:val="nil"/>
              <w:bottom w:val="single" w:sz="4" w:space="0" w:color="auto"/>
              <w:right w:val="nil"/>
            </w:tcBorders>
            <w:shd w:val="clear" w:color="auto" w:fill="auto"/>
            <w:noWrap/>
            <w:vAlign w:val="bottom"/>
            <w:hideMark/>
          </w:tcPr>
          <w:p w14:paraId="45631E11" w14:textId="77777777" w:rsidR="00476036" w:rsidRPr="00FF6562" w:rsidRDefault="00476036" w:rsidP="00875EB5">
            <w:pPr>
              <w:spacing w:after="0" w:line="240" w:lineRule="auto"/>
              <w:jc w:val="center"/>
              <w:rPr>
                <w:rFonts w:ascii="Times New Roman" w:eastAsia="Times New Roman" w:hAnsi="Times New Roman" w:cs="Times New Roman"/>
                <w:b/>
                <w:bCs/>
                <w:sz w:val="16"/>
                <w:szCs w:val="16"/>
                <w:lang w:eastAsia="en-GB"/>
              </w:rPr>
            </w:pPr>
          </w:p>
        </w:tc>
        <w:tc>
          <w:tcPr>
            <w:tcW w:w="0" w:type="auto"/>
            <w:tcBorders>
              <w:top w:val="nil"/>
              <w:left w:val="nil"/>
              <w:bottom w:val="single" w:sz="8" w:space="0" w:color="auto"/>
              <w:right w:val="nil"/>
            </w:tcBorders>
            <w:shd w:val="clear" w:color="auto" w:fill="auto"/>
            <w:noWrap/>
            <w:vAlign w:val="center"/>
            <w:hideMark/>
          </w:tcPr>
          <w:p w14:paraId="068545B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41D091F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797D713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5C6C86A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4A764EF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37C0509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67DFA7A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0A2FE83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6AEB8BE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6963BAB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31FE101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7ABCED0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3CDDB36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2038677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2EE6DD8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69CE84C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32C97BB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769D2EF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071FBF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67F32E9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774E86F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1A9D334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r>
      <w:tr w:rsidR="00476036" w:rsidRPr="00FF6562" w14:paraId="4D079522" w14:textId="77777777" w:rsidTr="004664BA">
        <w:trPr>
          <w:trHeight w:val="215"/>
        </w:trPr>
        <w:tc>
          <w:tcPr>
            <w:tcW w:w="14240" w:type="dxa"/>
            <w:gridSpan w:val="23"/>
            <w:tcBorders>
              <w:top w:val="nil"/>
              <w:left w:val="nil"/>
              <w:bottom w:val="nil"/>
              <w:right w:val="nil"/>
            </w:tcBorders>
            <w:shd w:val="clear" w:color="auto" w:fill="auto"/>
            <w:noWrap/>
            <w:vAlign w:val="bottom"/>
            <w:hideMark/>
          </w:tcPr>
          <w:p w14:paraId="554B83AE" w14:textId="77777777" w:rsidR="00476036" w:rsidRPr="00A56C42" w:rsidRDefault="00476036" w:rsidP="00875EB5">
            <w:pPr>
              <w:spacing w:after="0" w:line="240" w:lineRule="auto"/>
              <w:rPr>
                <w:rFonts w:ascii="Times New Roman" w:eastAsia="Times New Roman" w:hAnsi="Times New Roman" w:cs="Times New Roman"/>
                <w:b/>
                <w:bCs/>
                <w:sz w:val="20"/>
                <w:szCs w:val="20"/>
                <w:u w:val="single"/>
                <w:lang w:eastAsia="en-GB"/>
              </w:rPr>
            </w:pPr>
            <w:r w:rsidRPr="00A56C42">
              <w:rPr>
                <w:rFonts w:ascii="Times New Roman" w:eastAsia="Times New Roman" w:hAnsi="Times New Roman" w:cs="Times New Roman"/>
                <w:b/>
                <w:bCs/>
                <w:sz w:val="20"/>
                <w:szCs w:val="20"/>
                <w:u w:val="single"/>
                <w:lang w:eastAsia="en-GB"/>
              </w:rPr>
              <w:t>Panel A. Mean Equation</w:t>
            </w:r>
          </w:p>
        </w:tc>
      </w:tr>
      <w:tr w:rsidR="004664BA" w:rsidRPr="00FF6562" w14:paraId="7CB9D8F2" w14:textId="77777777" w:rsidTr="004664BA">
        <w:trPr>
          <w:trHeight w:val="203"/>
        </w:trPr>
        <w:tc>
          <w:tcPr>
            <w:tcW w:w="760" w:type="dxa"/>
            <w:tcBorders>
              <w:top w:val="nil"/>
              <w:left w:val="nil"/>
              <w:bottom w:val="nil"/>
              <w:right w:val="nil"/>
            </w:tcBorders>
            <w:shd w:val="clear" w:color="auto" w:fill="auto"/>
            <w:noWrap/>
            <w:vAlign w:val="bottom"/>
            <w:hideMark/>
          </w:tcPr>
          <w:p w14:paraId="36F11AE9" w14:textId="77777777" w:rsidR="00476036"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μ</m:t>
                    </m:r>
                  </m:e>
                  <m:sub>
                    <m:r>
                      <w:rPr>
                        <w:rFonts w:ascii="Cambria Math" w:hAnsi="Cambria Math" w:cs="Times New Roman"/>
                        <w:color w:val="000000" w:themeColor="text1"/>
                        <w:sz w:val="16"/>
                        <w:szCs w:val="16"/>
                        <w:lang w:eastAsia="en-GB"/>
                      </w:rPr>
                      <m:t>1</m:t>
                    </m:r>
                  </m:sub>
                </m:sSub>
              </m:oMath>
            </m:oMathPara>
          </w:p>
        </w:tc>
        <w:tc>
          <w:tcPr>
            <w:tcW w:w="0" w:type="auto"/>
            <w:tcBorders>
              <w:top w:val="nil"/>
              <w:left w:val="nil"/>
              <w:bottom w:val="nil"/>
              <w:right w:val="nil"/>
            </w:tcBorders>
            <w:shd w:val="clear" w:color="auto" w:fill="auto"/>
            <w:noWrap/>
            <w:vAlign w:val="bottom"/>
            <w:hideMark/>
          </w:tcPr>
          <w:p w14:paraId="5AA2232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0.068</w:t>
            </w:r>
          </w:p>
        </w:tc>
        <w:tc>
          <w:tcPr>
            <w:tcW w:w="0" w:type="auto"/>
            <w:tcBorders>
              <w:top w:val="nil"/>
              <w:left w:val="nil"/>
              <w:bottom w:val="nil"/>
              <w:right w:val="nil"/>
            </w:tcBorders>
            <w:shd w:val="clear" w:color="auto" w:fill="auto"/>
            <w:noWrap/>
            <w:vAlign w:val="bottom"/>
            <w:hideMark/>
          </w:tcPr>
          <w:p w14:paraId="192B661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0.472</w:t>
            </w:r>
          </w:p>
        </w:tc>
        <w:tc>
          <w:tcPr>
            <w:tcW w:w="0" w:type="auto"/>
            <w:tcBorders>
              <w:top w:val="nil"/>
              <w:left w:val="nil"/>
              <w:bottom w:val="nil"/>
              <w:right w:val="nil"/>
            </w:tcBorders>
            <w:shd w:val="clear" w:color="auto" w:fill="auto"/>
            <w:noWrap/>
            <w:vAlign w:val="bottom"/>
            <w:hideMark/>
          </w:tcPr>
          <w:p w14:paraId="30F8287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0.133</w:t>
            </w:r>
          </w:p>
        </w:tc>
        <w:tc>
          <w:tcPr>
            <w:tcW w:w="0" w:type="auto"/>
            <w:tcBorders>
              <w:top w:val="nil"/>
              <w:left w:val="nil"/>
              <w:bottom w:val="nil"/>
              <w:right w:val="nil"/>
            </w:tcBorders>
            <w:shd w:val="clear" w:color="auto" w:fill="auto"/>
            <w:noWrap/>
            <w:vAlign w:val="bottom"/>
            <w:hideMark/>
          </w:tcPr>
          <w:p w14:paraId="3B3457B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0.019</w:t>
            </w:r>
          </w:p>
        </w:tc>
        <w:tc>
          <w:tcPr>
            <w:tcW w:w="0" w:type="auto"/>
            <w:tcBorders>
              <w:top w:val="nil"/>
              <w:left w:val="nil"/>
              <w:bottom w:val="nil"/>
              <w:right w:val="nil"/>
            </w:tcBorders>
            <w:shd w:val="clear" w:color="auto" w:fill="auto"/>
            <w:noWrap/>
            <w:vAlign w:val="bottom"/>
            <w:hideMark/>
          </w:tcPr>
          <w:p w14:paraId="6215A0B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0" w:type="auto"/>
            <w:tcBorders>
              <w:top w:val="nil"/>
              <w:left w:val="nil"/>
              <w:bottom w:val="nil"/>
              <w:right w:val="nil"/>
            </w:tcBorders>
            <w:shd w:val="clear" w:color="auto" w:fill="auto"/>
            <w:noWrap/>
            <w:vAlign w:val="bottom"/>
            <w:hideMark/>
          </w:tcPr>
          <w:p w14:paraId="72C407F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0.939</w:t>
            </w:r>
          </w:p>
        </w:tc>
        <w:tc>
          <w:tcPr>
            <w:tcW w:w="0" w:type="auto"/>
            <w:tcBorders>
              <w:top w:val="nil"/>
              <w:left w:val="nil"/>
              <w:bottom w:val="nil"/>
              <w:right w:val="nil"/>
            </w:tcBorders>
            <w:shd w:val="clear" w:color="auto" w:fill="auto"/>
            <w:noWrap/>
            <w:vAlign w:val="bottom"/>
            <w:hideMark/>
          </w:tcPr>
          <w:p w14:paraId="6571728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0.053</w:t>
            </w:r>
          </w:p>
        </w:tc>
        <w:tc>
          <w:tcPr>
            <w:tcW w:w="0" w:type="auto"/>
            <w:tcBorders>
              <w:top w:val="nil"/>
              <w:left w:val="nil"/>
              <w:bottom w:val="nil"/>
              <w:right w:val="nil"/>
            </w:tcBorders>
            <w:shd w:val="clear" w:color="auto" w:fill="auto"/>
            <w:noWrap/>
            <w:vAlign w:val="bottom"/>
            <w:hideMark/>
          </w:tcPr>
          <w:p w14:paraId="4C42A37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0.725</w:t>
            </w:r>
          </w:p>
        </w:tc>
        <w:tc>
          <w:tcPr>
            <w:tcW w:w="0" w:type="auto"/>
            <w:tcBorders>
              <w:top w:val="nil"/>
              <w:left w:val="nil"/>
              <w:bottom w:val="nil"/>
              <w:right w:val="nil"/>
            </w:tcBorders>
            <w:shd w:val="clear" w:color="auto" w:fill="auto"/>
            <w:noWrap/>
            <w:vAlign w:val="bottom"/>
            <w:hideMark/>
          </w:tcPr>
          <w:p w14:paraId="3386F07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0" w:type="auto"/>
            <w:tcBorders>
              <w:top w:val="nil"/>
              <w:left w:val="nil"/>
              <w:bottom w:val="nil"/>
              <w:right w:val="nil"/>
            </w:tcBorders>
            <w:shd w:val="clear" w:color="auto" w:fill="auto"/>
            <w:noWrap/>
            <w:vAlign w:val="bottom"/>
            <w:hideMark/>
          </w:tcPr>
          <w:p w14:paraId="5AC2E67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0.949</w:t>
            </w:r>
          </w:p>
        </w:tc>
        <w:tc>
          <w:tcPr>
            <w:tcW w:w="0" w:type="auto"/>
            <w:tcBorders>
              <w:top w:val="nil"/>
              <w:left w:val="nil"/>
              <w:bottom w:val="nil"/>
              <w:right w:val="nil"/>
            </w:tcBorders>
            <w:shd w:val="clear" w:color="auto" w:fill="auto"/>
            <w:noWrap/>
            <w:vAlign w:val="bottom"/>
            <w:hideMark/>
          </w:tcPr>
          <w:p w14:paraId="020FF45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0.037</w:t>
            </w:r>
          </w:p>
        </w:tc>
        <w:tc>
          <w:tcPr>
            <w:tcW w:w="0" w:type="auto"/>
            <w:tcBorders>
              <w:top w:val="nil"/>
              <w:left w:val="nil"/>
              <w:bottom w:val="nil"/>
              <w:right w:val="nil"/>
            </w:tcBorders>
            <w:shd w:val="clear" w:color="auto" w:fill="auto"/>
            <w:noWrap/>
            <w:vAlign w:val="bottom"/>
            <w:hideMark/>
          </w:tcPr>
          <w:p w14:paraId="391C8AC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0.530</w:t>
            </w:r>
          </w:p>
        </w:tc>
        <w:tc>
          <w:tcPr>
            <w:tcW w:w="0" w:type="auto"/>
            <w:tcBorders>
              <w:top w:val="nil"/>
              <w:left w:val="nil"/>
              <w:bottom w:val="nil"/>
              <w:right w:val="nil"/>
            </w:tcBorders>
            <w:shd w:val="clear" w:color="auto" w:fill="auto"/>
            <w:noWrap/>
            <w:vAlign w:val="bottom"/>
            <w:hideMark/>
          </w:tcPr>
          <w:p w14:paraId="1705262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0.071</w:t>
            </w:r>
          </w:p>
        </w:tc>
        <w:tc>
          <w:tcPr>
            <w:tcW w:w="0" w:type="auto"/>
            <w:tcBorders>
              <w:top w:val="nil"/>
              <w:left w:val="nil"/>
              <w:bottom w:val="nil"/>
              <w:right w:val="nil"/>
            </w:tcBorders>
            <w:shd w:val="clear" w:color="auto" w:fill="auto"/>
            <w:noWrap/>
            <w:vAlign w:val="bottom"/>
            <w:hideMark/>
          </w:tcPr>
          <w:p w14:paraId="3B965F1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12C9FD6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0.153</w:t>
            </w:r>
          </w:p>
        </w:tc>
        <w:tc>
          <w:tcPr>
            <w:tcW w:w="0" w:type="auto"/>
            <w:tcBorders>
              <w:top w:val="nil"/>
              <w:left w:val="nil"/>
              <w:bottom w:val="nil"/>
              <w:right w:val="nil"/>
            </w:tcBorders>
            <w:shd w:val="clear" w:color="auto" w:fill="auto"/>
            <w:noWrap/>
            <w:vAlign w:val="bottom"/>
            <w:hideMark/>
          </w:tcPr>
          <w:p w14:paraId="6A0AECF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0.021</w:t>
            </w:r>
          </w:p>
        </w:tc>
        <w:tc>
          <w:tcPr>
            <w:tcW w:w="0" w:type="auto"/>
            <w:tcBorders>
              <w:top w:val="nil"/>
              <w:left w:val="nil"/>
              <w:bottom w:val="nil"/>
              <w:right w:val="nil"/>
            </w:tcBorders>
            <w:shd w:val="clear" w:color="auto" w:fill="auto"/>
            <w:noWrap/>
            <w:vAlign w:val="bottom"/>
            <w:hideMark/>
          </w:tcPr>
          <w:p w14:paraId="4030F74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0.101</w:t>
            </w:r>
          </w:p>
        </w:tc>
        <w:tc>
          <w:tcPr>
            <w:tcW w:w="0" w:type="auto"/>
            <w:tcBorders>
              <w:top w:val="nil"/>
              <w:left w:val="nil"/>
              <w:bottom w:val="nil"/>
              <w:right w:val="nil"/>
            </w:tcBorders>
            <w:shd w:val="clear" w:color="auto" w:fill="auto"/>
            <w:noWrap/>
            <w:vAlign w:val="bottom"/>
            <w:hideMark/>
          </w:tcPr>
          <w:p w14:paraId="318B1FD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0.105</w:t>
            </w:r>
          </w:p>
        </w:tc>
        <w:tc>
          <w:tcPr>
            <w:tcW w:w="0" w:type="auto"/>
            <w:tcBorders>
              <w:top w:val="nil"/>
              <w:left w:val="nil"/>
              <w:bottom w:val="nil"/>
              <w:right w:val="nil"/>
            </w:tcBorders>
            <w:shd w:val="clear" w:color="auto" w:fill="auto"/>
            <w:noWrap/>
            <w:vAlign w:val="bottom"/>
            <w:hideMark/>
          </w:tcPr>
          <w:p w14:paraId="4150FB5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-0.026</w:t>
            </w:r>
          </w:p>
        </w:tc>
        <w:tc>
          <w:tcPr>
            <w:tcW w:w="0" w:type="auto"/>
            <w:tcBorders>
              <w:top w:val="nil"/>
              <w:left w:val="nil"/>
              <w:bottom w:val="nil"/>
              <w:right w:val="nil"/>
            </w:tcBorders>
            <w:shd w:val="clear" w:color="auto" w:fill="auto"/>
            <w:noWrap/>
            <w:vAlign w:val="bottom"/>
            <w:hideMark/>
          </w:tcPr>
          <w:p w14:paraId="5AC6B44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0.663</w:t>
            </w:r>
          </w:p>
        </w:tc>
        <w:tc>
          <w:tcPr>
            <w:tcW w:w="0" w:type="auto"/>
            <w:tcBorders>
              <w:top w:val="nil"/>
              <w:left w:val="nil"/>
              <w:bottom w:val="nil"/>
              <w:right w:val="nil"/>
            </w:tcBorders>
            <w:shd w:val="clear" w:color="auto" w:fill="auto"/>
            <w:noWrap/>
            <w:vAlign w:val="bottom"/>
            <w:hideMark/>
          </w:tcPr>
          <w:p w14:paraId="13FE33A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0.044</w:t>
            </w:r>
          </w:p>
        </w:tc>
        <w:tc>
          <w:tcPr>
            <w:tcW w:w="0" w:type="auto"/>
            <w:tcBorders>
              <w:top w:val="nil"/>
              <w:left w:val="nil"/>
              <w:bottom w:val="nil"/>
              <w:right w:val="nil"/>
            </w:tcBorders>
            <w:shd w:val="clear" w:color="auto" w:fill="auto"/>
            <w:noWrap/>
            <w:vAlign w:val="bottom"/>
            <w:hideMark/>
          </w:tcPr>
          <w:p w14:paraId="1A1041D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0.504</w:t>
            </w:r>
          </w:p>
        </w:tc>
      </w:tr>
      <w:tr w:rsidR="004664BA" w:rsidRPr="00FF6562" w14:paraId="0BDD6620" w14:textId="77777777" w:rsidTr="004664BA">
        <w:trPr>
          <w:trHeight w:val="203"/>
        </w:trPr>
        <w:tc>
          <w:tcPr>
            <w:tcW w:w="760" w:type="dxa"/>
            <w:tcBorders>
              <w:top w:val="nil"/>
              <w:left w:val="nil"/>
              <w:bottom w:val="nil"/>
              <w:right w:val="nil"/>
            </w:tcBorders>
            <w:shd w:val="clear" w:color="auto" w:fill="auto"/>
            <w:noWrap/>
            <w:vAlign w:val="bottom"/>
            <w:hideMark/>
          </w:tcPr>
          <w:p w14:paraId="00C4BCF2"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11</m:t>
                    </m:r>
                  </m:sub>
                </m:sSub>
              </m:oMath>
            </m:oMathPara>
          </w:p>
        </w:tc>
        <w:tc>
          <w:tcPr>
            <w:tcW w:w="0" w:type="auto"/>
            <w:tcBorders>
              <w:top w:val="nil"/>
              <w:left w:val="nil"/>
              <w:bottom w:val="nil"/>
              <w:right w:val="nil"/>
            </w:tcBorders>
            <w:shd w:val="clear" w:color="auto" w:fill="auto"/>
            <w:noWrap/>
            <w:vAlign w:val="bottom"/>
            <w:hideMark/>
          </w:tcPr>
          <w:p w14:paraId="16913B4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0.030</w:t>
            </w:r>
          </w:p>
        </w:tc>
        <w:tc>
          <w:tcPr>
            <w:tcW w:w="0" w:type="auto"/>
            <w:tcBorders>
              <w:top w:val="nil"/>
              <w:left w:val="nil"/>
              <w:bottom w:val="nil"/>
              <w:right w:val="nil"/>
            </w:tcBorders>
            <w:shd w:val="clear" w:color="auto" w:fill="auto"/>
            <w:noWrap/>
            <w:vAlign w:val="bottom"/>
            <w:hideMark/>
          </w:tcPr>
          <w:p w14:paraId="5C9CB2F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0.684</w:t>
            </w:r>
          </w:p>
        </w:tc>
        <w:tc>
          <w:tcPr>
            <w:tcW w:w="0" w:type="auto"/>
            <w:tcBorders>
              <w:top w:val="nil"/>
              <w:left w:val="nil"/>
              <w:bottom w:val="nil"/>
              <w:right w:val="nil"/>
            </w:tcBorders>
            <w:shd w:val="clear" w:color="auto" w:fill="auto"/>
            <w:noWrap/>
            <w:vAlign w:val="bottom"/>
            <w:hideMark/>
          </w:tcPr>
          <w:p w14:paraId="028AA9B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0.068</w:t>
            </w:r>
          </w:p>
        </w:tc>
        <w:tc>
          <w:tcPr>
            <w:tcW w:w="0" w:type="auto"/>
            <w:tcBorders>
              <w:top w:val="nil"/>
              <w:left w:val="nil"/>
              <w:bottom w:val="nil"/>
              <w:right w:val="nil"/>
            </w:tcBorders>
            <w:shd w:val="clear" w:color="auto" w:fill="auto"/>
            <w:noWrap/>
            <w:vAlign w:val="bottom"/>
            <w:hideMark/>
          </w:tcPr>
          <w:p w14:paraId="1C9D12D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0.194</w:t>
            </w:r>
          </w:p>
        </w:tc>
        <w:tc>
          <w:tcPr>
            <w:tcW w:w="0" w:type="auto"/>
            <w:tcBorders>
              <w:top w:val="nil"/>
              <w:left w:val="nil"/>
              <w:bottom w:val="nil"/>
              <w:right w:val="nil"/>
            </w:tcBorders>
            <w:shd w:val="clear" w:color="auto" w:fill="auto"/>
            <w:noWrap/>
            <w:vAlign w:val="bottom"/>
            <w:hideMark/>
          </w:tcPr>
          <w:p w14:paraId="50E8A1A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-0.095</w:t>
            </w:r>
          </w:p>
        </w:tc>
        <w:tc>
          <w:tcPr>
            <w:tcW w:w="0" w:type="auto"/>
            <w:tcBorders>
              <w:top w:val="nil"/>
              <w:left w:val="nil"/>
              <w:bottom w:val="nil"/>
              <w:right w:val="nil"/>
            </w:tcBorders>
            <w:shd w:val="clear" w:color="auto" w:fill="auto"/>
            <w:noWrap/>
            <w:vAlign w:val="bottom"/>
            <w:hideMark/>
          </w:tcPr>
          <w:p w14:paraId="078DF1C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0.044</w:t>
            </w:r>
          </w:p>
        </w:tc>
        <w:tc>
          <w:tcPr>
            <w:tcW w:w="0" w:type="auto"/>
            <w:tcBorders>
              <w:top w:val="nil"/>
              <w:left w:val="nil"/>
              <w:bottom w:val="nil"/>
              <w:right w:val="nil"/>
            </w:tcBorders>
            <w:shd w:val="clear" w:color="auto" w:fill="auto"/>
            <w:noWrap/>
            <w:vAlign w:val="bottom"/>
            <w:hideMark/>
          </w:tcPr>
          <w:p w14:paraId="6B808FD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-0.010</w:t>
            </w:r>
          </w:p>
        </w:tc>
        <w:tc>
          <w:tcPr>
            <w:tcW w:w="0" w:type="auto"/>
            <w:tcBorders>
              <w:top w:val="nil"/>
              <w:left w:val="nil"/>
              <w:bottom w:val="nil"/>
              <w:right w:val="nil"/>
            </w:tcBorders>
            <w:shd w:val="clear" w:color="auto" w:fill="auto"/>
            <w:noWrap/>
            <w:vAlign w:val="bottom"/>
            <w:hideMark/>
          </w:tcPr>
          <w:p w14:paraId="3E1C232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0.880</w:t>
            </w:r>
          </w:p>
        </w:tc>
        <w:tc>
          <w:tcPr>
            <w:tcW w:w="0" w:type="auto"/>
            <w:tcBorders>
              <w:top w:val="nil"/>
              <w:left w:val="nil"/>
              <w:bottom w:val="nil"/>
              <w:right w:val="nil"/>
            </w:tcBorders>
            <w:shd w:val="clear" w:color="auto" w:fill="auto"/>
            <w:noWrap/>
            <w:vAlign w:val="bottom"/>
            <w:hideMark/>
          </w:tcPr>
          <w:p w14:paraId="587E1BA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-0.162</w:t>
            </w:r>
          </w:p>
        </w:tc>
        <w:tc>
          <w:tcPr>
            <w:tcW w:w="0" w:type="auto"/>
            <w:tcBorders>
              <w:top w:val="nil"/>
              <w:left w:val="nil"/>
              <w:bottom w:val="nil"/>
              <w:right w:val="nil"/>
            </w:tcBorders>
            <w:shd w:val="clear" w:color="auto" w:fill="auto"/>
            <w:noWrap/>
            <w:vAlign w:val="bottom"/>
            <w:hideMark/>
          </w:tcPr>
          <w:p w14:paraId="78F70F1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0.021</w:t>
            </w:r>
          </w:p>
        </w:tc>
        <w:tc>
          <w:tcPr>
            <w:tcW w:w="0" w:type="auto"/>
            <w:tcBorders>
              <w:top w:val="nil"/>
              <w:left w:val="nil"/>
              <w:bottom w:val="nil"/>
              <w:right w:val="nil"/>
            </w:tcBorders>
            <w:shd w:val="clear" w:color="auto" w:fill="auto"/>
            <w:noWrap/>
            <w:vAlign w:val="bottom"/>
            <w:hideMark/>
          </w:tcPr>
          <w:p w14:paraId="390A94C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-0.096</w:t>
            </w:r>
          </w:p>
        </w:tc>
        <w:tc>
          <w:tcPr>
            <w:tcW w:w="0" w:type="auto"/>
            <w:tcBorders>
              <w:top w:val="nil"/>
              <w:left w:val="nil"/>
              <w:bottom w:val="nil"/>
              <w:right w:val="nil"/>
            </w:tcBorders>
            <w:shd w:val="clear" w:color="auto" w:fill="auto"/>
            <w:noWrap/>
            <w:vAlign w:val="bottom"/>
            <w:hideMark/>
          </w:tcPr>
          <w:p w14:paraId="65FABC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0.134</w:t>
            </w:r>
          </w:p>
        </w:tc>
        <w:tc>
          <w:tcPr>
            <w:tcW w:w="0" w:type="auto"/>
            <w:tcBorders>
              <w:top w:val="nil"/>
              <w:left w:val="nil"/>
              <w:bottom w:val="nil"/>
              <w:right w:val="nil"/>
            </w:tcBorders>
            <w:shd w:val="clear" w:color="auto" w:fill="auto"/>
            <w:noWrap/>
            <w:vAlign w:val="bottom"/>
            <w:hideMark/>
          </w:tcPr>
          <w:p w14:paraId="5F0F56E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0.067</w:t>
            </w:r>
          </w:p>
        </w:tc>
        <w:tc>
          <w:tcPr>
            <w:tcW w:w="0" w:type="auto"/>
            <w:tcBorders>
              <w:top w:val="nil"/>
              <w:left w:val="nil"/>
              <w:bottom w:val="nil"/>
              <w:right w:val="nil"/>
            </w:tcBorders>
            <w:shd w:val="clear" w:color="auto" w:fill="auto"/>
            <w:noWrap/>
            <w:vAlign w:val="bottom"/>
            <w:hideMark/>
          </w:tcPr>
          <w:p w14:paraId="6A851EB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0.356</w:t>
            </w:r>
          </w:p>
        </w:tc>
        <w:tc>
          <w:tcPr>
            <w:tcW w:w="0" w:type="auto"/>
            <w:tcBorders>
              <w:top w:val="nil"/>
              <w:left w:val="nil"/>
              <w:bottom w:val="nil"/>
              <w:right w:val="nil"/>
            </w:tcBorders>
            <w:shd w:val="clear" w:color="auto" w:fill="auto"/>
            <w:noWrap/>
            <w:vAlign w:val="bottom"/>
            <w:hideMark/>
          </w:tcPr>
          <w:p w14:paraId="0FF7A9D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-0.201</w:t>
            </w:r>
          </w:p>
        </w:tc>
        <w:tc>
          <w:tcPr>
            <w:tcW w:w="0" w:type="auto"/>
            <w:tcBorders>
              <w:top w:val="nil"/>
              <w:left w:val="nil"/>
              <w:bottom w:val="nil"/>
              <w:right w:val="nil"/>
            </w:tcBorders>
            <w:shd w:val="clear" w:color="auto" w:fill="auto"/>
            <w:noWrap/>
            <w:vAlign w:val="bottom"/>
            <w:hideMark/>
          </w:tcPr>
          <w:p w14:paraId="2B3C989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4EB7BF9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0.042</w:t>
            </w:r>
          </w:p>
        </w:tc>
        <w:tc>
          <w:tcPr>
            <w:tcW w:w="0" w:type="auto"/>
            <w:tcBorders>
              <w:top w:val="nil"/>
              <w:left w:val="nil"/>
              <w:bottom w:val="nil"/>
              <w:right w:val="nil"/>
            </w:tcBorders>
            <w:shd w:val="clear" w:color="auto" w:fill="auto"/>
            <w:noWrap/>
            <w:vAlign w:val="bottom"/>
            <w:hideMark/>
          </w:tcPr>
          <w:p w14:paraId="7A3EB82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0.477</w:t>
            </w:r>
          </w:p>
        </w:tc>
        <w:tc>
          <w:tcPr>
            <w:tcW w:w="0" w:type="auto"/>
            <w:tcBorders>
              <w:top w:val="nil"/>
              <w:left w:val="nil"/>
              <w:bottom w:val="nil"/>
              <w:right w:val="nil"/>
            </w:tcBorders>
            <w:shd w:val="clear" w:color="auto" w:fill="auto"/>
            <w:noWrap/>
            <w:vAlign w:val="bottom"/>
            <w:hideMark/>
          </w:tcPr>
          <w:p w14:paraId="532CCE3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-0.111</w:t>
            </w:r>
          </w:p>
        </w:tc>
        <w:tc>
          <w:tcPr>
            <w:tcW w:w="0" w:type="auto"/>
            <w:tcBorders>
              <w:top w:val="nil"/>
              <w:left w:val="nil"/>
              <w:bottom w:val="nil"/>
              <w:right w:val="nil"/>
            </w:tcBorders>
            <w:shd w:val="clear" w:color="auto" w:fill="auto"/>
            <w:noWrap/>
            <w:vAlign w:val="bottom"/>
            <w:hideMark/>
          </w:tcPr>
          <w:p w14:paraId="78F030F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0.019</w:t>
            </w:r>
          </w:p>
        </w:tc>
        <w:tc>
          <w:tcPr>
            <w:tcW w:w="0" w:type="auto"/>
            <w:tcBorders>
              <w:top w:val="nil"/>
              <w:left w:val="nil"/>
              <w:bottom w:val="nil"/>
              <w:right w:val="nil"/>
            </w:tcBorders>
            <w:shd w:val="clear" w:color="auto" w:fill="auto"/>
            <w:noWrap/>
            <w:vAlign w:val="bottom"/>
            <w:hideMark/>
          </w:tcPr>
          <w:p w14:paraId="3192EF1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-0.016</w:t>
            </w:r>
          </w:p>
        </w:tc>
        <w:tc>
          <w:tcPr>
            <w:tcW w:w="0" w:type="auto"/>
            <w:tcBorders>
              <w:top w:val="nil"/>
              <w:left w:val="nil"/>
              <w:bottom w:val="nil"/>
              <w:right w:val="nil"/>
            </w:tcBorders>
            <w:shd w:val="clear" w:color="auto" w:fill="auto"/>
            <w:noWrap/>
            <w:vAlign w:val="bottom"/>
            <w:hideMark/>
          </w:tcPr>
          <w:p w14:paraId="6CEAEEF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0.807</w:t>
            </w:r>
          </w:p>
        </w:tc>
      </w:tr>
      <w:tr w:rsidR="004664BA" w:rsidRPr="00FF6562" w14:paraId="16A3A2FC" w14:textId="77777777" w:rsidTr="004664BA">
        <w:trPr>
          <w:trHeight w:val="203"/>
        </w:trPr>
        <w:tc>
          <w:tcPr>
            <w:tcW w:w="760" w:type="dxa"/>
            <w:tcBorders>
              <w:top w:val="nil"/>
              <w:left w:val="nil"/>
              <w:bottom w:val="nil"/>
              <w:right w:val="nil"/>
            </w:tcBorders>
            <w:shd w:val="clear" w:color="auto" w:fill="auto"/>
            <w:noWrap/>
            <w:vAlign w:val="bottom"/>
            <w:hideMark/>
          </w:tcPr>
          <w:p w14:paraId="47A393B2"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12</m:t>
                    </m:r>
                  </m:sub>
                </m:sSub>
              </m:oMath>
            </m:oMathPara>
          </w:p>
        </w:tc>
        <w:tc>
          <w:tcPr>
            <w:tcW w:w="0" w:type="auto"/>
            <w:tcBorders>
              <w:top w:val="nil"/>
              <w:left w:val="nil"/>
              <w:bottom w:val="nil"/>
              <w:right w:val="nil"/>
            </w:tcBorders>
            <w:shd w:val="clear" w:color="auto" w:fill="auto"/>
            <w:noWrap/>
            <w:vAlign w:val="bottom"/>
            <w:hideMark/>
          </w:tcPr>
          <w:p w14:paraId="6965E4B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-0.157</w:t>
            </w:r>
          </w:p>
        </w:tc>
        <w:tc>
          <w:tcPr>
            <w:tcW w:w="0" w:type="auto"/>
            <w:tcBorders>
              <w:top w:val="nil"/>
              <w:left w:val="nil"/>
              <w:bottom w:val="nil"/>
              <w:right w:val="nil"/>
            </w:tcBorders>
            <w:shd w:val="clear" w:color="auto" w:fill="auto"/>
            <w:noWrap/>
            <w:vAlign w:val="bottom"/>
            <w:hideMark/>
          </w:tcPr>
          <w:p w14:paraId="0504EEA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0.373</w:t>
            </w:r>
          </w:p>
        </w:tc>
        <w:tc>
          <w:tcPr>
            <w:tcW w:w="0" w:type="auto"/>
            <w:tcBorders>
              <w:top w:val="nil"/>
              <w:left w:val="nil"/>
              <w:bottom w:val="nil"/>
              <w:right w:val="nil"/>
            </w:tcBorders>
            <w:shd w:val="clear" w:color="auto" w:fill="auto"/>
            <w:noWrap/>
            <w:vAlign w:val="bottom"/>
            <w:hideMark/>
          </w:tcPr>
          <w:p w14:paraId="2944DEF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-0.161</w:t>
            </w:r>
          </w:p>
        </w:tc>
        <w:tc>
          <w:tcPr>
            <w:tcW w:w="0" w:type="auto"/>
            <w:tcBorders>
              <w:top w:val="nil"/>
              <w:left w:val="nil"/>
              <w:bottom w:val="nil"/>
              <w:right w:val="nil"/>
            </w:tcBorders>
            <w:shd w:val="clear" w:color="auto" w:fill="auto"/>
            <w:noWrap/>
            <w:vAlign w:val="bottom"/>
            <w:hideMark/>
          </w:tcPr>
          <w:p w14:paraId="5229FF6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0.131</w:t>
            </w:r>
          </w:p>
        </w:tc>
        <w:tc>
          <w:tcPr>
            <w:tcW w:w="0" w:type="auto"/>
            <w:tcBorders>
              <w:top w:val="nil"/>
              <w:left w:val="nil"/>
              <w:bottom w:val="nil"/>
              <w:right w:val="nil"/>
            </w:tcBorders>
            <w:shd w:val="clear" w:color="auto" w:fill="auto"/>
            <w:noWrap/>
            <w:vAlign w:val="bottom"/>
            <w:hideMark/>
          </w:tcPr>
          <w:p w14:paraId="3037ADD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bottom"/>
            <w:hideMark/>
          </w:tcPr>
          <w:p w14:paraId="6314FD6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0.996</w:t>
            </w:r>
          </w:p>
        </w:tc>
        <w:tc>
          <w:tcPr>
            <w:tcW w:w="0" w:type="auto"/>
            <w:tcBorders>
              <w:top w:val="nil"/>
              <w:left w:val="nil"/>
              <w:bottom w:val="nil"/>
              <w:right w:val="nil"/>
            </w:tcBorders>
            <w:shd w:val="clear" w:color="auto" w:fill="auto"/>
            <w:noWrap/>
            <w:vAlign w:val="bottom"/>
            <w:hideMark/>
          </w:tcPr>
          <w:p w14:paraId="374937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-0.087</w:t>
            </w:r>
          </w:p>
        </w:tc>
        <w:tc>
          <w:tcPr>
            <w:tcW w:w="0" w:type="auto"/>
            <w:tcBorders>
              <w:top w:val="nil"/>
              <w:left w:val="nil"/>
              <w:bottom w:val="nil"/>
              <w:right w:val="nil"/>
            </w:tcBorders>
            <w:shd w:val="clear" w:color="auto" w:fill="auto"/>
            <w:noWrap/>
            <w:vAlign w:val="bottom"/>
            <w:hideMark/>
          </w:tcPr>
          <w:p w14:paraId="0EED6FF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0.319</w:t>
            </w:r>
          </w:p>
        </w:tc>
        <w:tc>
          <w:tcPr>
            <w:tcW w:w="0" w:type="auto"/>
            <w:tcBorders>
              <w:top w:val="nil"/>
              <w:left w:val="nil"/>
              <w:bottom w:val="nil"/>
              <w:right w:val="nil"/>
            </w:tcBorders>
            <w:shd w:val="clear" w:color="auto" w:fill="auto"/>
            <w:noWrap/>
            <w:vAlign w:val="bottom"/>
            <w:hideMark/>
          </w:tcPr>
          <w:p w14:paraId="45EDF43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-0.265</w:t>
            </w:r>
          </w:p>
        </w:tc>
        <w:tc>
          <w:tcPr>
            <w:tcW w:w="0" w:type="auto"/>
            <w:tcBorders>
              <w:top w:val="nil"/>
              <w:left w:val="nil"/>
              <w:bottom w:val="nil"/>
              <w:right w:val="nil"/>
            </w:tcBorders>
            <w:shd w:val="clear" w:color="auto" w:fill="auto"/>
            <w:noWrap/>
            <w:vAlign w:val="bottom"/>
            <w:hideMark/>
          </w:tcPr>
          <w:p w14:paraId="54BE710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0" w:type="auto"/>
            <w:tcBorders>
              <w:top w:val="nil"/>
              <w:left w:val="nil"/>
              <w:bottom w:val="nil"/>
              <w:right w:val="nil"/>
            </w:tcBorders>
            <w:shd w:val="clear" w:color="auto" w:fill="auto"/>
            <w:noWrap/>
            <w:vAlign w:val="bottom"/>
            <w:hideMark/>
          </w:tcPr>
          <w:p w14:paraId="29037A0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-0.160</w:t>
            </w:r>
          </w:p>
        </w:tc>
        <w:tc>
          <w:tcPr>
            <w:tcW w:w="0" w:type="auto"/>
            <w:tcBorders>
              <w:top w:val="nil"/>
              <w:left w:val="nil"/>
              <w:bottom w:val="nil"/>
              <w:right w:val="nil"/>
            </w:tcBorders>
            <w:shd w:val="clear" w:color="auto" w:fill="auto"/>
            <w:noWrap/>
            <w:vAlign w:val="bottom"/>
            <w:hideMark/>
          </w:tcPr>
          <w:p w14:paraId="056D3FE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0.195</w:t>
            </w:r>
          </w:p>
        </w:tc>
        <w:tc>
          <w:tcPr>
            <w:tcW w:w="0" w:type="auto"/>
            <w:tcBorders>
              <w:top w:val="nil"/>
              <w:left w:val="nil"/>
              <w:bottom w:val="nil"/>
              <w:right w:val="nil"/>
            </w:tcBorders>
            <w:shd w:val="clear" w:color="auto" w:fill="auto"/>
            <w:noWrap/>
            <w:vAlign w:val="bottom"/>
            <w:hideMark/>
          </w:tcPr>
          <w:p w14:paraId="4B384C5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-0.176</w:t>
            </w:r>
          </w:p>
        </w:tc>
        <w:tc>
          <w:tcPr>
            <w:tcW w:w="0" w:type="auto"/>
            <w:tcBorders>
              <w:top w:val="nil"/>
              <w:left w:val="nil"/>
              <w:bottom w:val="nil"/>
              <w:right w:val="nil"/>
            </w:tcBorders>
            <w:shd w:val="clear" w:color="auto" w:fill="auto"/>
            <w:noWrap/>
            <w:vAlign w:val="bottom"/>
            <w:hideMark/>
          </w:tcPr>
          <w:p w14:paraId="49D588E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0.055</w:t>
            </w:r>
          </w:p>
        </w:tc>
        <w:tc>
          <w:tcPr>
            <w:tcW w:w="0" w:type="auto"/>
            <w:tcBorders>
              <w:top w:val="nil"/>
              <w:left w:val="nil"/>
              <w:bottom w:val="nil"/>
              <w:right w:val="nil"/>
            </w:tcBorders>
            <w:shd w:val="clear" w:color="auto" w:fill="auto"/>
            <w:noWrap/>
            <w:vAlign w:val="bottom"/>
            <w:hideMark/>
          </w:tcPr>
          <w:p w14:paraId="1FF139C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-0.122</w:t>
            </w:r>
          </w:p>
        </w:tc>
        <w:tc>
          <w:tcPr>
            <w:tcW w:w="0" w:type="auto"/>
            <w:tcBorders>
              <w:top w:val="nil"/>
              <w:left w:val="nil"/>
              <w:bottom w:val="nil"/>
              <w:right w:val="nil"/>
            </w:tcBorders>
            <w:shd w:val="clear" w:color="auto" w:fill="auto"/>
            <w:noWrap/>
            <w:vAlign w:val="bottom"/>
            <w:hideMark/>
          </w:tcPr>
          <w:p w14:paraId="0442E59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156F426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-0.276</w:t>
            </w:r>
          </w:p>
        </w:tc>
        <w:tc>
          <w:tcPr>
            <w:tcW w:w="0" w:type="auto"/>
            <w:tcBorders>
              <w:top w:val="nil"/>
              <w:left w:val="nil"/>
              <w:bottom w:val="nil"/>
              <w:right w:val="nil"/>
            </w:tcBorders>
            <w:shd w:val="clear" w:color="auto" w:fill="auto"/>
            <w:noWrap/>
            <w:vAlign w:val="bottom"/>
            <w:hideMark/>
          </w:tcPr>
          <w:p w14:paraId="6852394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0.027</w:t>
            </w:r>
          </w:p>
        </w:tc>
        <w:tc>
          <w:tcPr>
            <w:tcW w:w="0" w:type="auto"/>
            <w:tcBorders>
              <w:top w:val="nil"/>
              <w:left w:val="nil"/>
              <w:bottom w:val="nil"/>
              <w:right w:val="nil"/>
            </w:tcBorders>
            <w:shd w:val="clear" w:color="auto" w:fill="auto"/>
            <w:noWrap/>
            <w:vAlign w:val="bottom"/>
            <w:hideMark/>
          </w:tcPr>
          <w:p w14:paraId="356B97C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-0.223</w:t>
            </w:r>
          </w:p>
        </w:tc>
        <w:tc>
          <w:tcPr>
            <w:tcW w:w="0" w:type="auto"/>
            <w:tcBorders>
              <w:top w:val="nil"/>
              <w:left w:val="nil"/>
              <w:bottom w:val="nil"/>
              <w:right w:val="nil"/>
            </w:tcBorders>
            <w:shd w:val="clear" w:color="auto" w:fill="auto"/>
            <w:noWrap/>
            <w:vAlign w:val="bottom"/>
            <w:hideMark/>
          </w:tcPr>
          <w:p w14:paraId="7BA9ADD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377EEC1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-0.138</w:t>
            </w:r>
          </w:p>
        </w:tc>
        <w:tc>
          <w:tcPr>
            <w:tcW w:w="0" w:type="auto"/>
            <w:tcBorders>
              <w:top w:val="nil"/>
              <w:left w:val="nil"/>
              <w:bottom w:val="nil"/>
              <w:right w:val="nil"/>
            </w:tcBorders>
            <w:shd w:val="clear" w:color="auto" w:fill="auto"/>
            <w:noWrap/>
            <w:vAlign w:val="bottom"/>
            <w:hideMark/>
          </w:tcPr>
          <w:p w14:paraId="1B3335C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0.469</w:t>
            </w:r>
          </w:p>
        </w:tc>
      </w:tr>
      <w:tr w:rsidR="004664BA" w:rsidRPr="00FF6562" w14:paraId="2A980085" w14:textId="77777777" w:rsidTr="004664BA">
        <w:trPr>
          <w:trHeight w:val="203"/>
        </w:trPr>
        <w:tc>
          <w:tcPr>
            <w:tcW w:w="760" w:type="dxa"/>
            <w:tcBorders>
              <w:top w:val="nil"/>
              <w:left w:val="nil"/>
              <w:bottom w:val="nil"/>
              <w:right w:val="nil"/>
            </w:tcBorders>
            <w:shd w:val="clear" w:color="auto" w:fill="auto"/>
            <w:noWrap/>
            <w:vAlign w:val="bottom"/>
            <w:hideMark/>
          </w:tcPr>
          <w:p w14:paraId="1EB06927"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μ</m:t>
                    </m:r>
                  </m:e>
                  <m:sub>
                    <m:r>
                      <w:rPr>
                        <w:rFonts w:ascii="Cambria Math" w:hAnsi="Cambria Math" w:cs="Times New Roman"/>
                        <w:color w:val="000000" w:themeColor="text1"/>
                        <w:sz w:val="16"/>
                        <w:szCs w:val="16"/>
                        <w:lang w:eastAsia="en-GB"/>
                      </w:rPr>
                      <m:t>2</m:t>
                    </m:r>
                  </m:sub>
                </m:sSub>
              </m:oMath>
            </m:oMathPara>
          </w:p>
        </w:tc>
        <w:tc>
          <w:tcPr>
            <w:tcW w:w="0" w:type="auto"/>
            <w:tcBorders>
              <w:top w:val="nil"/>
              <w:left w:val="nil"/>
              <w:bottom w:val="nil"/>
              <w:right w:val="nil"/>
            </w:tcBorders>
            <w:shd w:val="clear" w:color="auto" w:fill="auto"/>
            <w:noWrap/>
            <w:vAlign w:val="bottom"/>
            <w:hideMark/>
          </w:tcPr>
          <w:p w14:paraId="70BEBB3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0.161</w:t>
            </w:r>
          </w:p>
        </w:tc>
        <w:tc>
          <w:tcPr>
            <w:tcW w:w="0" w:type="auto"/>
            <w:tcBorders>
              <w:top w:val="nil"/>
              <w:left w:val="nil"/>
              <w:bottom w:val="nil"/>
              <w:right w:val="nil"/>
            </w:tcBorders>
            <w:shd w:val="clear" w:color="auto" w:fill="auto"/>
            <w:noWrap/>
            <w:vAlign w:val="bottom"/>
            <w:hideMark/>
          </w:tcPr>
          <w:p w14:paraId="6020C96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0.508</w:t>
            </w:r>
          </w:p>
        </w:tc>
        <w:tc>
          <w:tcPr>
            <w:tcW w:w="0" w:type="auto"/>
            <w:tcBorders>
              <w:top w:val="nil"/>
              <w:left w:val="nil"/>
              <w:bottom w:val="nil"/>
              <w:right w:val="nil"/>
            </w:tcBorders>
            <w:shd w:val="clear" w:color="auto" w:fill="auto"/>
            <w:noWrap/>
            <w:vAlign w:val="bottom"/>
            <w:hideMark/>
          </w:tcPr>
          <w:p w14:paraId="64DA621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-0.157</w:t>
            </w:r>
          </w:p>
        </w:tc>
        <w:tc>
          <w:tcPr>
            <w:tcW w:w="0" w:type="auto"/>
            <w:tcBorders>
              <w:top w:val="nil"/>
              <w:left w:val="nil"/>
              <w:bottom w:val="nil"/>
              <w:right w:val="nil"/>
            </w:tcBorders>
            <w:shd w:val="clear" w:color="auto" w:fill="auto"/>
            <w:noWrap/>
            <w:vAlign w:val="bottom"/>
            <w:hideMark/>
          </w:tcPr>
          <w:p w14:paraId="28F1A34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0.524</w:t>
            </w:r>
          </w:p>
        </w:tc>
        <w:tc>
          <w:tcPr>
            <w:tcW w:w="0" w:type="auto"/>
            <w:tcBorders>
              <w:top w:val="nil"/>
              <w:left w:val="nil"/>
              <w:bottom w:val="nil"/>
              <w:right w:val="nil"/>
            </w:tcBorders>
            <w:shd w:val="clear" w:color="auto" w:fill="auto"/>
            <w:noWrap/>
            <w:vAlign w:val="bottom"/>
            <w:hideMark/>
          </w:tcPr>
          <w:p w14:paraId="5911F15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0.112</w:t>
            </w:r>
          </w:p>
        </w:tc>
        <w:tc>
          <w:tcPr>
            <w:tcW w:w="0" w:type="auto"/>
            <w:tcBorders>
              <w:top w:val="nil"/>
              <w:left w:val="nil"/>
              <w:bottom w:val="nil"/>
              <w:right w:val="nil"/>
            </w:tcBorders>
            <w:shd w:val="clear" w:color="auto" w:fill="auto"/>
            <w:noWrap/>
            <w:vAlign w:val="bottom"/>
            <w:hideMark/>
          </w:tcPr>
          <w:p w14:paraId="2063D3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0.703</w:t>
            </w:r>
          </w:p>
        </w:tc>
        <w:tc>
          <w:tcPr>
            <w:tcW w:w="0" w:type="auto"/>
            <w:tcBorders>
              <w:top w:val="nil"/>
              <w:left w:val="nil"/>
              <w:bottom w:val="nil"/>
              <w:right w:val="nil"/>
            </w:tcBorders>
            <w:shd w:val="clear" w:color="auto" w:fill="auto"/>
            <w:noWrap/>
            <w:vAlign w:val="bottom"/>
            <w:hideMark/>
          </w:tcPr>
          <w:p w14:paraId="30C0058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-0.072</w:t>
            </w:r>
          </w:p>
        </w:tc>
        <w:tc>
          <w:tcPr>
            <w:tcW w:w="0" w:type="auto"/>
            <w:tcBorders>
              <w:top w:val="nil"/>
              <w:left w:val="nil"/>
              <w:bottom w:val="nil"/>
              <w:right w:val="nil"/>
            </w:tcBorders>
            <w:shd w:val="clear" w:color="auto" w:fill="auto"/>
            <w:noWrap/>
            <w:vAlign w:val="bottom"/>
            <w:hideMark/>
          </w:tcPr>
          <w:p w14:paraId="51A0170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0.794</w:t>
            </w:r>
          </w:p>
        </w:tc>
        <w:tc>
          <w:tcPr>
            <w:tcW w:w="0" w:type="auto"/>
            <w:tcBorders>
              <w:top w:val="nil"/>
              <w:left w:val="nil"/>
              <w:bottom w:val="nil"/>
              <w:right w:val="nil"/>
            </w:tcBorders>
            <w:shd w:val="clear" w:color="auto" w:fill="auto"/>
            <w:noWrap/>
            <w:vAlign w:val="bottom"/>
            <w:hideMark/>
          </w:tcPr>
          <w:p w14:paraId="059F65D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0.035</w:t>
            </w:r>
          </w:p>
        </w:tc>
        <w:tc>
          <w:tcPr>
            <w:tcW w:w="0" w:type="auto"/>
            <w:tcBorders>
              <w:top w:val="nil"/>
              <w:left w:val="nil"/>
              <w:bottom w:val="nil"/>
              <w:right w:val="nil"/>
            </w:tcBorders>
            <w:shd w:val="clear" w:color="auto" w:fill="auto"/>
            <w:noWrap/>
            <w:vAlign w:val="bottom"/>
            <w:hideMark/>
          </w:tcPr>
          <w:p w14:paraId="4F12D93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0.881</w:t>
            </w:r>
          </w:p>
        </w:tc>
        <w:tc>
          <w:tcPr>
            <w:tcW w:w="0" w:type="auto"/>
            <w:tcBorders>
              <w:top w:val="nil"/>
              <w:left w:val="nil"/>
              <w:bottom w:val="nil"/>
              <w:right w:val="nil"/>
            </w:tcBorders>
            <w:shd w:val="clear" w:color="auto" w:fill="auto"/>
            <w:noWrap/>
            <w:vAlign w:val="bottom"/>
            <w:hideMark/>
          </w:tcPr>
          <w:p w14:paraId="2123492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-0.010</w:t>
            </w:r>
          </w:p>
        </w:tc>
        <w:tc>
          <w:tcPr>
            <w:tcW w:w="0" w:type="auto"/>
            <w:tcBorders>
              <w:top w:val="nil"/>
              <w:left w:val="nil"/>
              <w:bottom w:val="nil"/>
              <w:right w:val="nil"/>
            </w:tcBorders>
            <w:shd w:val="clear" w:color="auto" w:fill="auto"/>
            <w:noWrap/>
            <w:vAlign w:val="bottom"/>
            <w:hideMark/>
          </w:tcPr>
          <w:p w14:paraId="61BB206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0.968</w:t>
            </w:r>
          </w:p>
        </w:tc>
        <w:tc>
          <w:tcPr>
            <w:tcW w:w="0" w:type="auto"/>
            <w:tcBorders>
              <w:top w:val="nil"/>
              <w:left w:val="nil"/>
              <w:bottom w:val="nil"/>
              <w:right w:val="nil"/>
            </w:tcBorders>
            <w:shd w:val="clear" w:color="auto" w:fill="auto"/>
            <w:noWrap/>
            <w:vAlign w:val="bottom"/>
            <w:hideMark/>
          </w:tcPr>
          <w:p w14:paraId="62D7268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-0.123</w:t>
            </w:r>
          </w:p>
        </w:tc>
        <w:tc>
          <w:tcPr>
            <w:tcW w:w="0" w:type="auto"/>
            <w:tcBorders>
              <w:top w:val="nil"/>
              <w:left w:val="nil"/>
              <w:bottom w:val="nil"/>
              <w:right w:val="nil"/>
            </w:tcBorders>
            <w:shd w:val="clear" w:color="auto" w:fill="auto"/>
            <w:noWrap/>
            <w:vAlign w:val="bottom"/>
            <w:hideMark/>
          </w:tcPr>
          <w:p w14:paraId="72EEB0D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0.643</w:t>
            </w:r>
          </w:p>
        </w:tc>
        <w:tc>
          <w:tcPr>
            <w:tcW w:w="0" w:type="auto"/>
            <w:tcBorders>
              <w:top w:val="nil"/>
              <w:left w:val="nil"/>
              <w:bottom w:val="nil"/>
              <w:right w:val="nil"/>
            </w:tcBorders>
            <w:shd w:val="clear" w:color="auto" w:fill="auto"/>
            <w:noWrap/>
            <w:vAlign w:val="bottom"/>
            <w:hideMark/>
          </w:tcPr>
          <w:p w14:paraId="4A03C64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0.083</w:t>
            </w:r>
          </w:p>
        </w:tc>
        <w:tc>
          <w:tcPr>
            <w:tcW w:w="0" w:type="auto"/>
            <w:tcBorders>
              <w:top w:val="nil"/>
              <w:left w:val="nil"/>
              <w:bottom w:val="nil"/>
              <w:right w:val="nil"/>
            </w:tcBorders>
            <w:shd w:val="clear" w:color="auto" w:fill="auto"/>
            <w:noWrap/>
            <w:vAlign w:val="bottom"/>
            <w:hideMark/>
          </w:tcPr>
          <w:p w14:paraId="0DD99FD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70D5574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-0.059</w:t>
            </w:r>
          </w:p>
        </w:tc>
        <w:tc>
          <w:tcPr>
            <w:tcW w:w="0" w:type="auto"/>
            <w:tcBorders>
              <w:top w:val="nil"/>
              <w:left w:val="nil"/>
              <w:bottom w:val="nil"/>
              <w:right w:val="nil"/>
            </w:tcBorders>
            <w:shd w:val="clear" w:color="auto" w:fill="auto"/>
            <w:noWrap/>
            <w:vAlign w:val="bottom"/>
            <w:hideMark/>
          </w:tcPr>
          <w:p w14:paraId="4382927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0.774</w:t>
            </w:r>
          </w:p>
        </w:tc>
        <w:tc>
          <w:tcPr>
            <w:tcW w:w="0" w:type="auto"/>
            <w:tcBorders>
              <w:top w:val="nil"/>
              <w:left w:val="nil"/>
              <w:bottom w:val="nil"/>
              <w:right w:val="nil"/>
            </w:tcBorders>
            <w:shd w:val="clear" w:color="auto" w:fill="auto"/>
            <w:noWrap/>
            <w:vAlign w:val="bottom"/>
            <w:hideMark/>
          </w:tcPr>
          <w:p w14:paraId="0339BE5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bottom"/>
            <w:hideMark/>
          </w:tcPr>
          <w:p w14:paraId="5946F02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0.996</w:t>
            </w:r>
          </w:p>
        </w:tc>
        <w:tc>
          <w:tcPr>
            <w:tcW w:w="0" w:type="auto"/>
            <w:tcBorders>
              <w:top w:val="nil"/>
              <w:left w:val="nil"/>
              <w:bottom w:val="nil"/>
              <w:right w:val="nil"/>
            </w:tcBorders>
            <w:shd w:val="clear" w:color="auto" w:fill="auto"/>
            <w:noWrap/>
            <w:vAlign w:val="bottom"/>
            <w:hideMark/>
          </w:tcPr>
          <w:p w14:paraId="11781A5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0.027</w:t>
            </w:r>
          </w:p>
        </w:tc>
        <w:tc>
          <w:tcPr>
            <w:tcW w:w="0" w:type="auto"/>
            <w:tcBorders>
              <w:top w:val="nil"/>
              <w:left w:val="nil"/>
              <w:bottom w:val="nil"/>
              <w:right w:val="nil"/>
            </w:tcBorders>
            <w:shd w:val="clear" w:color="auto" w:fill="auto"/>
            <w:noWrap/>
            <w:vAlign w:val="bottom"/>
            <w:hideMark/>
          </w:tcPr>
          <w:p w14:paraId="4797EE2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0.899</w:t>
            </w:r>
          </w:p>
        </w:tc>
      </w:tr>
      <w:tr w:rsidR="004664BA" w:rsidRPr="00FF6562" w14:paraId="05EF437D" w14:textId="77777777" w:rsidTr="004664BA">
        <w:trPr>
          <w:trHeight w:val="203"/>
        </w:trPr>
        <w:tc>
          <w:tcPr>
            <w:tcW w:w="760" w:type="dxa"/>
            <w:tcBorders>
              <w:top w:val="nil"/>
              <w:left w:val="nil"/>
              <w:bottom w:val="nil"/>
              <w:right w:val="nil"/>
            </w:tcBorders>
            <w:shd w:val="clear" w:color="auto" w:fill="auto"/>
            <w:noWrap/>
            <w:vAlign w:val="bottom"/>
            <w:hideMark/>
          </w:tcPr>
          <w:p w14:paraId="2458CA8E"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21</m:t>
                    </m:r>
                  </m:sub>
                </m:sSub>
              </m:oMath>
            </m:oMathPara>
          </w:p>
        </w:tc>
        <w:tc>
          <w:tcPr>
            <w:tcW w:w="0" w:type="auto"/>
            <w:tcBorders>
              <w:top w:val="nil"/>
              <w:left w:val="nil"/>
              <w:bottom w:val="nil"/>
              <w:right w:val="nil"/>
            </w:tcBorders>
            <w:shd w:val="clear" w:color="auto" w:fill="auto"/>
            <w:noWrap/>
            <w:vAlign w:val="bottom"/>
            <w:hideMark/>
          </w:tcPr>
          <w:p w14:paraId="7D5F741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0" w:type="auto"/>
            <w:tcBorders>
              <w:top w:val="nil"/>
              <w:left w:val="nil"/>
              <w:bottom w:val="nil"/>
              <w:right w:val="nil"/>
            </w:tcBorders>
            <w:shd w:val="clear" w:color="auto" w:fill="auto"/>
            <w:noWrap/>
            <w:vAlign w:val="bottom"/>
            <w:hideMark/>
          </w:tcPr>
          <w:p w14:paraId="51F478C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0.664</w:t>
            </w:r>
          </w:p>
        </w:tc>
        <w:tc>
          <w:tcPr>
            <w:tcW w:w="0" w:type="auto"/>
            <w:tcBorders>
              <w:top w:val="nil"/>
              <w:left w:val="nil"/>
              <w:bottom w:val="nil"/>
              <w:right w:val="nil"/>
            </w:tcBorders>
            <w:shd w:val="clear" w:color="auto" w:fill="auto"/>
            <w:noWrap/>
            <w:vAlign w:val="bottom"/>
            <w:hideMark/>
          </w:tcPr>
          <w:p w14:paraId="2ACA6AF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32759B0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0.980</w:t>
            </w:r>
          </w:p>
        </w:tc>
        <w:tc>
          <w:tcPr>
            <w:tcW w:w="0" w:type="auto"/>
            <w:tcBorders>
              <w:top w:val="nil"/>
              <w:left w:val="nil"/>
              <w:bottom w:val="nil"/>
              <w:right w:val="nil"/>
            </w:tcBorders>
            <w:shd w:val="clear" w:color="auto" w:fill="auto"/>
            <w:noWrap/>
            <w:vAlign w:val="bottom"/>
            <w:hideMark/>
          </w:tcPr>
          <w:p w14:paraId="64C968E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bottom"/>
            <w:hideMark/>
          </w:tcPr>
          <w:p w14:paraId="1DCB694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0.744</w:t>
            </w:r>
          </w:p>
        </w:tc>
        <w:tc>
          <w:tcPr>
            <w:tcW w:w="0" w:type="auto"/>
            <w:tcBorders>
              <w:top w:val="nil"/>
              <w:left w:val="nil"/>
              <w:bottom w:val="nil"/>
              <w:right w:val="nil"/>
            </w:tcBorders>
            <w:shd w:val="clear" w:color="auto" w:fill="auto"/>
            <w:noWrap/>
            <w:vAlign w:val="bottom"/>
            <w:hideMark/>
          </w:tcPr>
          <w:p w14:paraId="1F93659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-0.040</w:t>
            </w:r>
          </w:p>
        </w:tc>
        <w:tc>
          <w:tcPr>
            <w:tcW w:w="0" w:type="auto"/>
            <w:tcBorders>
              <w:top w:val="nil"/>
              <w:left w:val="nil"/>
              <w:bottom w:val="nil"/>
              <w:right w:val="nil"/>
            </w:tcBorders>
            <w:shd w:val="clear" w:color="auto" w:fill="auto"/>
            <w:noWrap/>
            <w:vAlign w:val="bottom"/>
            <w:hideMark/>
          </w:tcPr>
          <w:p w14:paraId="74AD620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0.269</w:t>
            </w:r>
          </w:p>
        </w:tc>
        <w:tc>
          <w:tcPr>
            <w:tcW w:w="0" w:type="auto"/>
            <w:tcBorders>
              <w:top w:val="nil"/>
              <w:left w:val="nil"/>
              <w:bottom w:val="nil"/>
              <w:right w:val="nil"/>
            </w:tcBorders>
            <w:shd w:val="clear" w:color="auto" w:fill="auto"/>
            <w:noWrap/>
            <w:vAlign w:val="bottom"/>
            <w:hideMark/>
          </w:tcPr>
          <w:p w14:paraId="3A961F9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0" w:type="auto"/>
            <w:tcBorders>
              <w:top w:val="nil"/>
              <w:left w:val="nil"/>
              <w:bottom w:val="nil"/>
              <w:right w:val="nil"/>
            </w:tcBorders>
            <w:shd w:val="clear" w:color="auto" w:fill="auto"/>
            <w:noWrap/>
            <w:vAlign w:val="bottom"/>
            <w:hideMark/>
          </w:tcPr>
          <w:p w14:paraId="2C46287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0.257</w:t>
            </w:r>
          </w:p>
        </w:tc>
        <w:tc>
          <w:tcPr>
            <w:tcW w:w="0" w:type="auto"/>
            <w:tcBorders>
              <w:top w:val="nil"/>
              <w:left w:val="nil"/>
              <w:bottom w:val="nil"/>
              <w:right w:val="nil"/>
            </w:tcBorders>
            <w:shd w:val="clear" w:color="auto" w:fill="auto"/>
            <w:noWrap/>
            <w:vAlign w:val="bottom"/>
            <w:hideMark/>
          </w:tcPr>
          <w:p w14:paraId="1A8A28F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0" w:type="auto"/>
            <w:tcBorders>
              <w:top w:val="nil"/>
              <w:left w:val="nil"/>
              <w:bottom w:val="nil"/>
              <w:right w:val="nil"/>
            </w:tcBorders>
            <w:shd w:val="clear" w:color="auto" w:fill="auto"/>
            <w:noWrap/>
            <w:vAlign w:val="bottom"/>
            <w:hideMark/>
          </w:tcPr>
          <w:p w14:paraId="4151F16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0.696</w:t>
            </w:r>
          </w:p>
        </w:tc>
        <w:tc>
          <w:tcPr>
            <w:tcW w:w="0" w:type="auto"/>
            <w:tcBorders>
              <w:top w:val="nil"/>
              <w:left w:val="nil"/>
              <w:bottom w:val="nil"/>
              <w:right w:val="nil"/>
            </w:tcBorders>
            <w:shd w:val="clear" w:color="auto" w:fill="auto"/>
            <w:noWrap/>
            <w:vAlign w:val="bottom"/>
            <w:hideMark/>
          </w:tcPr>
          <w:p w14:paraId="7FA7EC2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0" w:type="auto"/>
            <w:tcBorders>
              <w:top w:val="nil"/>
              <w:left w:val="nil"/>
              <w:bottom w:val="nil"/>
              <w:right w:val="nil"/>
            </w:tcBorders>
            <w:shd w:val="clear" w:color="auto" w:fill="auto"/>
            <w:noWrap/>
            <w:vAlign w:val="bottom"/>
            <w:hideMark/>
          </w:tcPr>
          <w:p w14:paraId="681BF3F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0.383</w:t>
            </w:r>
          </w:p>
        </w:tc>
        <w:tc>
          <w:tcPr>
            <w:tcW w:w="0" w:type="auto"/>
            <w:tcBorders>
              <w:top w:val="nil"/>
              <w:left w:val="nil"/>
              <w:bottom w:val="nil"/>
              <w:right w:val="nil"/>
            </w:tcBorders>
            <w:shd w:val="clear" w:color="auto" w:fill="auto"/>
            <w:noWrap/>
            <w:vAlign w:val="bottom"/>
            <w:hideMark/>
          </w:tcPr>
          <w:p w14:paraId="136BAD3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bottom"/>
            <w:hideMark/>
          </w:tcPr>
          <w:p w14:paraId="24E1DAD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0.872</w:t>
            </w:r>
          </w:p>
        </w:tc>
        <w:tc>
          <w:tcPr>
            <w:tcW w:w="0" w:type="auto"/>
            <w:tcBorders>
              <w:top w:val="nil"/>
              <w:left w:val="nil"/>
              <w:bottom w:val="nil"/>
              <w:right w:val="nil"/>
            </w:tcBorders>
            <w:shd w:val="clear" w:color="auto" w:fill="auto"/>
            <w:noWrap/>
            <w:vAlign w:val="bottom"/>
            <w:hideMark/>
          </w:tcPr>
          <w:p w14:paraId="0794861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bottom"/>
            <w:hideMark/>
          </w:tcPr>
          <w:p w14:paraId="67E8744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0.652</w:t>
            </w:r>
          </w:p>
        </w:tc>
        <w:tc>
          <w:tcPr>
            <w:tcW w:w="0" w:type="auto"/>
            <w:tcBorders>
              <w:top w:val="nil"/>
              <w:left w:val="nil"/>
              <w:bottom w:val="nil"/>
              <w:right w:val="nil"/>
            </w:tcBorders>
            <w:shd w:val="clear" w:color="auto" w:fill="auto"/>
            <w:noWrap/>
            <w:vAlign w:val="bottom"/>
            <w:hideMark/>
          </w:tcPr>
          <w:p w14:paraId="5BC268F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bottom"/>
            <w:hideMark/>
          </w:tcPr>
          <w:p w14:paraId="4C40BD8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0.916</w:t>
            </w:r>
          </w:p>
        </w:tc>
        <w:tc>
          <w:tcPr>
            <w:tcW w:w="0" w:type="auto"/>
            <w:tcBorders>
              <w:top w:val="nil"/>
              <w:left w:val="nil"/>
              <w:bottom w:val="nil"/>
              <w:right w:val="nil"/>
            </w:tcBorders>
            <w:shd w:val="clear" w:color="auto" w:fill="auto"/>
            <w:noWrap/>
            <w:vAlign w:val="bottom"/>
            <w:hideMark/>
          </w:tcPr>
          <w:p w14:paraId="6AB3543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0" w:type="auto"/>
            <w:tcBorders>
              <w:top w:val="nil"/>
              <w:left w:val="nil"/>
              <w:bottom w:val="nil"/>
              <w:right w:val="nil"/>
            </w:tcBorders>
            <w:shd w:val="clear" w:color="auto" w:fill="auto"/>
            <w:noWrap/>
            <w:vAlign w:val="bottom"/>
            <w:hideMark/>
          </w:tcPr>
          <w:p w14:paraId="7CB34F1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0.475</w:t>
            </w:r>
          </w:p>
        </w:tc>
      </w:tr>
      <w:tr w:rsidR="004664BA" w:rsidRPr="00FF6562" w14:paraId="7A8C616B" w14:textId="77777777" w:rsidTr="004664BA">
        <w:trPr>
          <w:trHeight w:val="215"/>
        </w:trPr>
        <w:tc>
          <w:tcPr>
            <w:tcW w:w="760" w:type="dxa"/>
            <w:tcBorders>
              <w:top w:val="nil"/>
              <w:left w:val="nil"/>
              <w:bottom w:val="nil"/>
              <w:right w:val="nil"/>
            </w:tcBorders>
            <w:shd w:val="clear" w:color="auto" w:fill="auto"/>
            <w:noWrap/>
            <w:vAlign w:val="bottom"/>
            <w:hideMark/>
          </w:tcPr>
          <w:p w14:paraId="46FCC330"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22</m:t>
                    </m:r>
                  </m:sub>
                </m:sSub>
              </m:oMath>
            </m:oMathPara>
          </w:p>
        </w:tc>
        <w:tc>
          <w:tcPr>
            <w:tcW w:w="0" w:type="auto"/>
            <w:tcBorders>
              <w:top w:val="nil"/>
              <w:left w:val="nil"/>
              <w:bottom w:val="nil"/>
              <w:right w:val="nil"/>
            </w:tcBorders>
            <w:shd w:val="clear" w:color="auto" w:fill="auto"/>
            <w:noWrap/>
            <w:vAlign w:val="bottom"/>
            <w:hideMark/>
          </w:tcPr>
          <w:p w14:paraId="69D8EBC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-0.358</w:t>
            </w:r>
          </w:p>
        </w:tc>
        <w:tc>
          <w:tcPr>
            <w:tcW w:w="0" w:type="auto"/>
            <w:tcBorders>
              <w:top w:val="nil"/>
              <w:left w:val="nil"/>
              <w:bottom w:val="nil"/>
              <w:right w:val="nil"/>
            </w:tcBorders>
            <w:shd w:val="clear" w:color="auto" w:fill="auto"/>
            <w:noWrap/>
            <w:vAlign w:val="bottom"/>
            <w:hideMark/>
          </w:tcPr>
          <w:p w14:paraId="41DA9F0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7B1429B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-0.415</w:t>
            </w:r>
          </w:p>
        </w:tc>
        <w:tc>
          <w:tcPr>
            <w:tcW w:w="0" w:type="auto"/>
            <w:tcBorders>
              <w:top w:val="nil"/>
              <w:left w:val="nil"/>
              <w:bottom w:val="nil"/>
              <w:right w:val="nil"/>
            </w:tcBorders>
            <w:shd w:val="clear" w:color="auto" w:fill="auto"/>
            <w:noWrap/>
            <w:vAlign w:val="bottom"/>
            <w:hideMark/>
          </w:tcPr>
          <w:p w14:paraId="4F91E8B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2B9A739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-0.366</w:t>
            </w:r>
          </w:p>
        </w:tc>
        <w:tc>
          <w:tcPr>
            <w:tcW w:w="0" w:type="auto"/>
            <w:tcBorders>
              <w:top w:val="nil"/>
              <w:left w:val="nil"/>
              <w:bottom w:val="nil"/>
              <w:right w:val="nil"/>
            </w:tcBorders>
            <w:shd w:val="clear" w:color="auto" w:fill="auto"/>
            <w:noWrap/>
            <w:vAlign w:val="bottom"/>
            <w:hideMark/>
          </w:tcPr>
          <w:p w14:paraId="5F51A5B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5A4F8EA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-0.379</w:t>
            </w:r>
          </w:p>
        </w:tc>
        <w:tc>
          <w:tcPr>
            <w:tcW w:w="0" w:type="auto"/>
            <w:tcBorders>
              <w:top w:val="nil"/>
              <w:left w:val="nil"/>
              <w:bottom w:val="nil"/>
              <w:right w:val="nil"/>
            </w:tcBorders>
            <w:shd w:val="clear" w:color="auto" w:fill="auto"/>
            <w:noWrap/>
            <w:vAlign w:val="bottom"/>
            <w:hideMark/>
          </w:tcPr>
          <w:p w14:paraId="3921BFA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5EC2D2C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-0.391</w:t>
            </w:r>
          </w:p>
        </w:tc>
        <w:tc>
          <w:tcPr>
            <w:tcW w:w="0" w:type="auto"/>
            <w:tcBorders>
              <w:top w:val="nil"/>
              <w:left w:val="nil"/>
              <w:bottom w:val="nil"/>
              <w:right w:val="nil"/>
            </w:tcBorders>
            <w:shd w:val="clear" w:color="auto" w:fill="auto"/>
            <w:noWrap/>
            <w:vAlign w:val="bottom"/>
            <w:hideMark/>
          </w:tcPr>
          <w:p w14:paraId="731CACA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2E1766E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-0.340</w:t>
            </w:r>
          </w:p>
        </w:tc>
        <w:tc>
          <w:tcPr>
            <w:tcW w:w="0" w:type="auto"/>
            <w:tcBorders>
              <w:top w:val="nil"/>
              <w:left w:val="nil"/>
              <w:bottom w:val="nil"/>
              <w:right w:val="nil"/>
            </w:tcBorders>
            <w:shd w:val="clear" w:color="auto" w:fill="auto"/>
            <w:noWrap/>
            <w:vAlign w:val="bottom"/>
            <w:hideMark/>
          </w:tcPr>
          <w:p w14:paraId="52D320E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08A2233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-0.400</w:t>
            </w:r>
          </w:p>
        </w:tc>
        <w:tc>
          <w:tcPr>
            <w:tcW w:w="0" w:type="auto"/>
            <w:tcBorders>
              <w:top w:val="nil"/>
              <w:left w:val="nil"/>
              <w:bottom w:val="nil"/>
              <w:right w:val="nil"/>
            </w:tcBorders>
            <w:shd w:val="clear" w:color="auto" w:fill="auto"/>
            <w:noWrap/>
            <w:vAlign w:val="bottom"/>
            <w:hideMark/>
          </w:tcPr>
          <w:p w14:paraId="4F2E0B5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3476B77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-0.311</w:t>
            </w:r>
          </w:p>
        </w:tc>
        <w:tc>
          <w:tcPr>
            <w:tcW w:w="0" w:type="auto"/>
            <w:tcBorders>
              <w:top w:val="nil"/>
              <w:left w:val="nil"/>
              <w:bottom w:val="nil"/>
              <w:right w:val="nil"/>
            </w:tcBorders>
            <w:shd w:val="clear" w:color="auto" w:fill="auto"/>
            <w:noWrap/>
            <w:vAlign w:val="bottom"/>
            <w:hideMark/>
          </w:tcPr>
          <w:p w14:paraId="4969316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6399798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-0.391</w:t>
            </w:r>
          </w:p>
        </w:tc>
        <w:tc>
          <w:tcPr>
            <w:tcW w:w="0" w:type="auto"/>
            <w:tcBorders>
              <w:top w:val="nil"/>
              <w:left w:val="nil"/>
              <w:bottom w:val="nil"/>
              <w:right w:val="nil"/>
            </w:tcBorders>
            <w:shd w:val="clear" w:color="auto" w:fill="auto"/>
            <w:noWrap/>
            <w:vAlign w:val="bottom"/>
            <w:hideMark/>
          </w:tcPr>
          <w:p w14:paraId="11D8684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3625D1D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-0.404</w:t>
            </w:r>
          </w:p>
        </w:tc>
        <w:tc>
          <w:tcPr>
            <w:tcW w:w="0" w:type="auto"/>
            <w:tcBorders>
              <w:top w:val="nil"/>
              <w:left w:val="nil"/>
              <w:bottom w:val="nil"/>
              <w:right w:val="nil"/>
            </w:tcBorders>
            <w:shd w:val="clear" w:color="auto" w:fill="auto"/>
            <w:noWrap/>
            <w:vAlign w:val="bottom"/>
            <w:hideMark/>
          </w:tcPr>
          <w:p w14:paraId="63EF578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6FFEBC7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-0.400</w:t>
            </w:r>
          </w:p>
        </w:tc>
        <w:tc>
          <w:tcPr>
            <w:tcW w:w="0" w:type="auto"/>
            <w:tcBorders>
              <w:top w:val="nil"/>
              <w:left w:val="nil"/>
              <w:bottom w:val="nil"/>
              <w:right w:val="nil"/>
            </w:tcBorders>
            <w:shd w:val="clear" w:color="auto" w:fill="auto"/>
            <w:noWrap/>
            <w:vAlign w:val="bottom"/>
            <w:hideMark/>
          </w:tcPr>
          <w:p w14:paraId="1A92532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76036" w:rsidRPr="00FF6562" w14:paraId="7E234018" w14:textId="77777777" w:rsidTr="004664BA">
        <w:trPr>
          <w:trHeight w:val="215"/>
        </w:trPr>
        <w:tc>
          <w:tcPr>
            <w:tcW w:w="14240" w:type="dxa"/>
            <w:gridSpan w:val="23"/>
            <w:tcBorders>
              <w:top w:val="nil"/>
              <w:left w:val="nil"/>
              <w:bottom w:val="nil"/>
              <w:right w:val="nil"/>
            </w:tcBorders>
            <w:shd w:val="clear" w:color="auto" w:fill="auto"/>
            <w:noWrap/>
            <w:vAlign w:val="bottom"/>
            <w:hideMark/>
          </w:tcPr>
          <w:p w14:paraId="768241CD" w14:textId="77777777" w:rsidR="00476036" w:rsidRPr="00A56C42" w:rsidRDefault="00476036" w:rsidP="00875EB5">
            <w:pPr>
              <w:spacing w:after="0" w:line="240" w:lineRule="auto"/>
              <w:rPr>
                <w:rFonts w:ascii="Times New Roman" w:eastAsia="Times New Roman" w:hAnsi="Times New Roman" w:cs="Times New Roman"/>
                <w:b/>
                <w:bCs/>
                <w:sz w:val="20"/>
                <w:szCs w:val="20"/>
                <w:u w:val="single"/>
                <w:lang w:eastAsia="en-GB"/>
              </w:rPr>
            </w:pPr>
            <w:r w:rsidRPr="00A56C42">
              <w:rPr>
                <w:rFonts w:ascii="Times New Roman" w:eastAsia="Times New Roman" w:hAnsi="Times New Roman" w:cs="Times New Roman"/>
                <w:b/>
                <w:bCs/>
                <w:sz w:val="20"/>
                <w:szCs w:val="20"/>
                <w:u w:val="single"/>
                <w:lang w:eastAsia="en-GB"/>
              </w:rPr>
              <w:t>Panel B. Variance Equation</w:t>
            </w:r>
          </w:p>
        </w:tc>
      </w:tr>
      <w:tr w:rsidR="004664BA" w:rsidRPr="00FF6562" w14:paraId="4293F4F3" w14:textId="77777777" w:rsidTr="004664BA">
        <w:trPr>
          <w:trHeight w:val="203"/>
        </w:trPr>
        <w:tc>
          <w:tcPr>
            <w:tcW w:w="760" w:type="dxa"/>
            <w:tcBorders>
              <w:top w:val="nil"/>
              <w:left w:val="nil"/>
              <w:bottom w:val="nil"/>
              <w:right w:val="nil"/>
            </w:tcBorders>
            <w:shd w:val="clear" w:color="auto" w:fill="auto"/>
            <w:noWrap/>
            <w:vAlign w:val="bottom"/>
            <w:hideMark/>
          </w:tcPr>
          <w:p w14:paraId="295EC4D8" w14:textId="77777777" w:rsidR="00476036"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11</m:t>
                    </m:r>
                  </m:sub>
                </m:sSub>
              </m:oMath>
            </m:oMathPara>
          </w:p>
        </w:tc>
        <w:tc>
          <w:tcPr>
            <w:tcW w:w="0" w:type="auto"/>
            <w:tcBorders>
              <w:top w:val="nil"/>
              <w:left w:val="nil"/>
              <w:bottom w:val="nil"/>
              <w:right w:val="nil"/>
            </w:tcBorders>
            <w:shd w:val="clear" w:color="auto" w:fill="auto"/>
            <w:noWrap/>
            <w:vAlign w:val="bottom"/>
            <w:hideMark/>
          </w:tcPr>
          <w:p w14:paraId="33B24A2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0.491</w:t>
            </w:r>
          </w:p>
        </w:tc>
        <w:tc>
          <w:tcPr>
            <w:tcW w:w="0" w:type="auto"/>
            <w:tcBorders>
              <w:top w:val="nil"/>
              <w:left w:val="nil"/>
              <w:bottom w:val="nil"/>
              <w:right w:val="nil"/>
            </w:tcBorders>
            <w:shd w:val="clear" w:color="auto" w:fill="auto"/>
            <w:noWrap/>
            <w:vAlign w:val="bottom"/>
            <w:hideMark/>
          </w:tcPr>
          <w:p w14:paraId="59D31F5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13664BC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0.132</w:t>
            </w:r>
          </w:p>
        </w:tc>
        <w:tc>
          <w:tcPr>
            <w:tcW w:w="0" w:type="auto"/>
            <w:tcBorders>
              <w:top w:val="nil"/>
              <w:left w:val="nil"/>
              <w:bottom w:val="nil"/>
              <w:right w:val="nil"/>
            </w:tcBorders>
            <w:shd w:val="clear" w:color="auto" w:fill="auto"/>
            <w:noWrap/>
            <w:vAlign w:val="bottom"/>
            <w:hideMark/>
          </w:tcPr>
          <w:p w14:paraId="567534A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0.081</w:t>
            </w:r>
          </w:p>
        </w:tc>
        <w:tc>
          <w:tcPr>
            <w:tcW w:w="0" w:type="auto"/>
            <w:tcBorders>
              <w:top w:val="nil"/>
              <w:left w:val="nil"/>
              <w:bottom w:val="nil"/>
              <w:right w:val="nil"/>
            </w:tcBorders>
            <w:shd w:val="clear" w:color="auto" w:fill="auto"/>
            <w:noWrap/>
            <w:vAlign w:val="bottom"/>
            <w:hideMark/>
          </w:tcPr>
          <w:p w14:paraId="6972E3E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0.245</w:t>
            </w:r>
          </w:p>
        </w:tc>
        <w:tc>
          <w:tcPr>
            <w:tcW w:w="0" w:type="auto"/>
            <w:tcBorders>
              <w:top w:val="nil"/>
              <w:left w:val="nil"/>
              <w:bottom w:val="nil"/>
              <w:right w:val="nil"/>
            </w:tcBorders>
            <w:shd w:val="clear" w:color="auto" w:fill="auto"/>
            <w:noWrap/>
            <w:vAlign w:val="bottom"/>
            <w:hideMark/>
          </w:tcPr>
          <w:p w14:paraId="779F10C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0.510</w:t>
            </w:r>
          </w:p>
        </w:tc>
        <w:tc>
          <w:tcPr>
            <w:tcW w:w="0" w:type="auto"/>
            <w:tcBorders>
              <w:top w:val="nil"/>
              <w:left w:val="nil"/>
              <w:bottom w:val="nil"/>
              <w:right w:val="nil"/>
            </w:tcBorders>
            <w:shd w:val="clear" w:color="auto" w:fill="auto"/>
            <w:noWrap/>
            <w:vAlign w:val="bottom"/>
            <w:hideMark/>
          </w:tcPr>
          <w:p w14:paraId="2C54858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0.703</w:t>
            </w:r>
          </w:p>
        </w:tc>
        <w:tc>
          <w:tcPr>
            <w:tcW w:w="0" w:type="auto"/>
            <w:tcBorders>
              <w:top w:val="nil"/>
              <w:left w:val="nil"/>
              <w:bottom w:val="nil"/>
              <w:right w:val="nil"/>
            </w:tcBorders>
            <w:shd w:val="clear" w:color="auto" w:fill="auto"/>
            <w:noWrap/>
            <w:vAlign w:val="bottom"/>
            <w:hideMark/>
          </w:tcPr>
          <w:p w14:paraId="41936C0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0.065</w:t>
            </w:r>
          </w:p>
        </w:tc>
        <w:tc>
          <w:tcPr>
            <w:tcW w:w="0" w:type="auto"/>
            <w:tcBorders>
              <w:top w:val="nil"/>
              <w:left w:val="nil"/>
              <w:bottom w:val="nil"/>
              <w:right w:val="nil"/>
            </w:tcBorders>
            <w:shd w:val="clear" w:color="auto" w:fill="auto"/>
            <w:noWrap/>
            <w:vAlign w:val="bottom"/>
            <w:hideMark/>
          </w:tcPr>
          <w:p w14:paraId="4FA4162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0.266</w:t>
            </w:r>
          </w:p>
        </w:tc>
        <w:tc>
          <w:tcPr>
            <w:tcW w:w="0" w:type="auto"/>
            <w:tcBorders>
              <w:top w:val="nil"/>
              <w:left w:val="nil"/>
              <w:bottom w:val="nil"/>
              <w:right w:val="nil"/>
            </w:tcBorders>
            <w:shd w:val="clear" w:color="auto" w:fill="auto"/>
            <w:noWrap/>
            <w:vAlign w:val="bottom"/>
            <w:hideMark/>
          </w:tcPr>
          <w:p w14:paraId="64F3505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0.475</w:t>
            </w:r>
          </w:p>
        </w:tc>
        <w:tc>
          <w:tcPr>
            <w:tcW w:w="0" w:type="auto"/>
            <w:tcBorders>
              <w:top w:val="nil"/>
              <w:left w:val="nil"/>
              <w:bottom w:val="nil"/>
              <w:right w:val="nil"/>
            </w:tcBorders>
            <w:shd w:val="clear" w:color="auto" w:fill="auto"/>
            <w:noWrap/>
            <w:vAlign w:val="bottom"/>
            <w:hideMark/>
          </w:tcPr>
          <w:p w14:paraId="655E79A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0.239</w:t>
            </w:r>
          </w:p>
        </w:tc>
        <w:tc>
          <w:tcPr>
            <w:tcW w:w="0" w:type="auto"/>
            <w:tcBorders>
              <w:top w:val="nil"/>
              <w:left w:val="nil"/>
              <w:bottom w:val="nil"/>
              <w:right w:val="nil"/>
            </w:tcBorders>
            <w:shd w:val="clear" w:color="auto" w:fill="auto"/>
            <w:noWrap/>
            <w:vAlign w:val="bottom"/>
            <w:hideMark/>
          </w:tcPr>
          <w:p w14:paraId="746D667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bottom"/>
            <w:hideMark/>
          </w:tcPr>
          <w:p w14:paraId="2400AD9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0.178</w:t>
            </w:r>
          </w:p>
        </w:tc>
        <w:tc>
          <w:tcPr>
            <w:tcW w:w="0" w:type="auto"/>
            <w:tcBorders>
              <w:top w:val="nil"/>
              <w:left w:val="nil"/>
              <w:bottom w:val="nil"/>
              <w:right w:val="nil"/>
            </w:tcBorders>
            <w:shd w:val="clear" w:color="auto" w:fill="auto"/>
            <w:noWrap/>
            <w:vAlign w:val="bottom"/>
            <w:hideMark/>
          </w:tcPr>
          <w:p w14:paraId="490F27F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0.055</w:t>
            </w:r>
          </w:p>
        </w:tc>
        <w:tc>
          <w:tcPr>
            <w:tcW w:w="0" w:type="auto"/>
            <w:tcBorders>
              <w:top w:val="nil"/>
              <w:left w:val="nil"/>
              <w:bottom w:val="nil"/>
              <w:right w:val="nil"/>
            </w:tcBorders>
            <w:shd w:val="clear" w:color="auto" w:fill="auto"/>
            <w:noWrap/>
            <w:vAlign w:val="bottom"/>
            <w:hideMark/>
          </w:tcPr>
          <w:p w14:paraId="657DAAA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0.457</w:t>
            </w:r>
          </w:p>
        </w:tc>
        <w:tc>
          <w:tcPr>
            <w:tcW w:w="0" w:type="auto"/>
            <w:tcBorders>
              <w:top w:val="nil"/>
              <w:left w:val="nil"/>
              <w:bottom w:val="nil"/>
              <w:right w:val="nil"/>
            </w:tcBorders>
            <w:shd w:val="clear" w:color="auto" w:fill="auto"/>
            <w:noWrap/>
            <w:vAlign w:val="bottom"/>
            <w:hideMark/>
          </w:tcPr>
          <w:p w14:paraId="210822F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5032C30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0.057</w:t>
            </w:r>
          </w:p>
        </w:tc>
        <w:tc>
          <w:tcPr>
            <w:tcW w:w="0" w:type="auto"/>
            <w:tcBorders>
              <w:top w:val="nil"/>
              <w:left w:val="nil"/>
              <w:bottom w:val="nil"/>
              <w:right w:val="nil"/>
            </w:tcBorders>
            <w:shd w:val="clear" w:color="auto" w:fill="auto"/>
            <w:noWrap/>
            <w:vAlign w:val="bottom"/>
            <w:hideMark/>
          </w:tcPr>
          <w:p w14:paraId="46701D0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0.419</w:t>
            </w:r>
          </w:p>
        </w:tc>
        <w:tc>
          <w:tcPr>
            <w:tcW w:w="0" w:type="auto"/>
            <w:tcBorders>
              <w:top w:val="nil"/>
              <w:left w:val="nil"/>
              <w:bottom w:val="nil"/>
              <w:right w:val="nil"/>
            </w:tcBorders>
            <w:shd w:val="clear" w:color="auto" w:fill="auto"/>
            <w:noWrap/>
            <w:vAlign w:val="bottom"/>
            <w:hideMark/>
          </w:tcPr>
          <w:p w14:paraId="5616BF0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0.293</w:t>
            </w:r>
          </w:p>
        </w:tc>
        <w:tc>
          <w:tcPr>
            <w:tcW w:w="0" w:type="auto"/>
            <w:tcBorders>
              <w:top w:val="nil"/>
              <w:left w:val="nil"/>
              <w:bottom w:val="nil"/>
              <w:right w:val="nil"/>
            </w:tcBorders>
            <w:shd w:val="clear" w:color="auto" w:fill="auto"/>
            <w:noWrap/>
            <w:vAlign w:val="bottom"/>
            <w:hideMark/>
          </w:tcPr>
          <w:p w14:paraId="41AB6AC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682D0C9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0.251</w:t>
            </w:r>
          </w:p>
        </w:tc>
        <w:tc>
          <w:tcPr>
            <w:tcW w:w="0" w:type="auto"/>
            <w:tcBorders>
              <w:top w:val="nil"/>
              <w:left w:val="nil"/>
              <w:bottom w:val="nil"/>
              <w:right w:val="nil"/>
            </w:tcBorders>
            <w:shd w:val="clear" w:color="auto" w:fill="auto"/>
            <w:noWrap/>
            <w:vAlign w:val="bottom"/>
            <w:hideMark/>
          </w:tcPr>
          <w:p w14:paraId="2349000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0.188</w:t>
            </w:r>
          </w:p>
        </w:tc>
      </w:tr>
      <w:tr w:rsidR="004664BA" w:rsidRPr="00FF6562" w14:paraId="6EB9FE8B" w14:textId="77777777" w:rsidTr="004664BA">
        <w:trPr>
          <w:trHeight w:val="203"/>
        </w:trPr>
        <w:tc>
          <w:tcPr>
            <w:tcW w:w="760" w:type="dxa"/>
            <w:tcBorders>
              <w:top w:val="nil"/>
              <w:left w:val="nil"/>
              <w:bottom w:val="nil"/>
              <w:right w:val="nil"/>
            </w:tcBorders>
            <w:shd w:val="clear" w:color="auto" w:fill="auto"/>
            <w:noWrap/>
            <w:vAlign w:val="bottom"/>
            <w:hideMark/>
          </w:tcPr>
          <w:p w14:paraId="4128DC47"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21</m:t>
                    </m:r>
                  </m:sub>
                </m:sSub>
              </m:oMath>
            </m:oMathPara>
          </w:p>
        </w:tc>
        <w:tc>
          <w:tcPr>
            <w:tcW w:w="0" w:type="auto"/>
            <w:tcBorders>
              <w:top w:val="nil"/>
              <w:left w:val="nil"/>
              <w:bottom w:val="nil"/>
              <w:right w:val="nil"/>
            </w:tcBorders>
            <w:shd w:val="clear" w:color="auto" w:fill="auto"/>
            <w:noWrap/>
            <w:vAlign w:val="bottom"/>
            <w:hideMark/>
          </w:tcPr>
          <w:p w14:paraId="57976D0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-0.233</w:t>
            </w:r>
          </w:p>
        </w:tc>
        <w:tc>
          <w:tcPr>
            <w:tcW w:w="0" w:type="auto"/>
            <w:tcBorders>
              <w:top w:val="nil"/>
              <w:left w:val="nil"/>
              <w:bottom w:val="nil"/>
              <w:right w:val="nil"/>
            </w:tcBorders>
            <w:shd w:val="clear" w:color="auto" w:fill="auto"/>
            <w:noWrap/>
            <w:vAlign w:val="bottom"/>
            <w:hideMark/>
          </w:tcPr>
          <w:p w14:paraId="673D97B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0.787</w:t>
            </w:r>
          </w:p>
        </w:tc>
        <w:tc>
          <w:tcPr>
            <w:tcW w:w="0" w:type="auto"/>
            <w:tcBorders>
              <w:top w:val="nil"/>
              <w:left w:val="nil"/>
              <w:bottom w:val="nil"/>
              <w:right w:val="nil"/>
            </w:tcBorders>
            <w:shd w:val="clear" w:color="auto" w:fill="auto"/>
            <w:noWrap/>
            <w:vAlign w:val="bottom"/>
            <w:hideMark/>
          </w:tcPr>
          <w:p w14:paraId="40F1B42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-1.779</w:t>
            </w:r>
          </w:p>
        </w:tc>
        <w:tc>
          <w:tcPr>
            <w:tcW w:w="0" w:type="auto"/>
            <w:tcBorders>
              <w:top w:val="nil"/>
              <w:left w:val="nil"/>
              <w:bottom w:val="nil"/>
              <w:right w:val="nil"/>
            </w:tcBorders>
            <w:shd w:val="clear" w:color="auto" w:fill="auto"/>
            <w:noWrap/>
            <w:vAlign w:val="bottom"/>
            <w:hideMark/>
          </w:tcPr>
          <w:p w14:paraId="1398F4E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6DF7958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1.531</w:t>
            </w:r>
          </w:p>
        </w:tc>
        <w:tc>
          <w:tcPr>
            <w:tcW w:w="0" w:type="auto"/>
            <w:tcBorders>
              <w:top w:val="nil"/>
              <w:left w:val="nil"/>
              <w:bottom w:val="nil"/>
              <w:right w:val="nil"/>
            </w:tcBorders>
            <w:shd w:val="clear" w:color="auto" w:fill="auto"/>
            <w:noWrap/>
            <w:vAlign w:val="bottom"/>
            <w:hideMark/>
          </w:tcPr>
          <w:p w14:paraId="4E317AC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0.020</w:t>
            </w:r>
          </w:p>
        </w:tc>
        <w:tc>
          <w:tcPr>
            <w:tcW w:w="0" w:type="auto"/>
            <w:tcBorders>
              <w:top w:val="nil"/>
              <w:left w:val="nil"/>
              <w:bottom w:val="nil"/>
              <w:right w:val="nil"/>
            </w:tcBorders>
            <w:shd w:val="clear" w:color="auto" w:fill="auto"/>
            <w:noWrap/>
            <w:vAlign w:val="bottom"/>
            <w:hideMark/>
          </w:tcPr>
          <w:p w14:paraId="5B3FC01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-1.226</w:t>
            </w:r>
          </w:p>
        </w:tc>
        <w:tc>
          <w:tcPr>
            <w:tcW w:w="0" w:type="auto"/>
            <w:tcBorders>
              <w:top w:val="nil"/>
              <w:left w:val="nil"/>
              <w:bottom w:val="nil"/>
              <w:right w:val="nil"/>
            </w:tcBorders>
            <w:shd w:val="clear" w:color="auto" w:fill="auto"/>
            <w:noWrap/>
            <w:vAlign w:val="bottom"/>
            <w:hideMark/>
          </w:tcPr>
          <w:p w14:paraId="37B91B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0.203</w:t>
            </w:r>
          </w:p>
        </w:tc>
        <w:tc>
          <w:tcPr>
            <w:tcW w:w="0" w:type="auto"/>
            <w:tcBorders>
              <w:top w:val="nil"/>
              <w:left w:val="nil"/>
              <w:bottom w:val="nil"/>
              <w:right w:val="nil"/>
            </w:tcBorders>
            <w:shd w:val="clear" w:color="auto" w:fill="auto"/>
            <w:noWrap/>
            <w:vAlign w:val="bottom"/>
            <w:hideMark/>
          </w:tcPr>
          <w:p w14:paraId="5351B21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-1.230</w:t>
            </w:r>
          </w:p>
        </w:tc>
        <w:tc>
          <w:tcPr>
            <w:tcW w:w="0" w:type="auto"/>
            <w:tcBorders>
              <w:top w:val="nil"/>
              <w:left w:val="nil"/>
              <w:bottom w:val="nil"/>
              <w:right w:val="nil"/>
            </w:tcBorders>
            <w:shd w:val="clear" w:color="auto" w:fill="auto"/>
            <w:noWrap/>
            <w:vAlign w:val="bottom"/>
            <w:hideMark/>
          </w:tcPr>
          <w:p w14:paraId="002A5A6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0.653</w:t>
            </w:r>
          </w:p>
        </w:tc>
        <w:tc>
          <w:tcPr>
            <w:tcW w:w="0" w:type="auto"/>
            <w:tcBorders>
              <w:top w:val="nil"/>
              <w:left w:val="nil"/>
              <w:bottom w:val="nil"/>
              <w:right w:val="nil"/>
            </w:tcBorders>
            <w:shd w:val="clear" w:color="auto" w:fill="auto"/>
            <w:noWrap/>
            <w:vAlign w:val="bottom"/>
            <w:hideMark/>
          </w:tcPr>
          <w:p w14:paraId="73D9E0E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-0.322</w:t>
            </w:r>
          </w:p>
        </w:tc>
        <w:tc>
          <w:tcPr>
            <w:tcW w:w="0" w:type="auto"/>
            <w:tcBorders>
              <w:top w:val="nil"/>
              <w:left w:val="nil"/>
              <w:bottom w:val="nil"/>
              <w:right w:val="nil"/>
            </w:tcBorders>
            <w:shd w:val="clear" w:color="auto" w:fill="auto"/>
            <w:noWrap/>
            <w:vAlign w:val="bottom"/>
            <w:hideMark/>
          </w:tcPr>
          <w:p w14:paraId="0896CBF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0.657</w:t>
            </w:r>
          </w:p>
        </w:tc>
        <w:tc>
          <w:tcPr>
            <w:tcW w:w="0" w:type="auto"/>
            <w:tcBorders>
              <w:top w:val="nil"/>
              <w:left w:val="nil"/>
              <w:bottom w:val="nil"/>
              <w:right w:val="nil"/>
            </w:tcBorders>
            <w:shd w:val="clear" w:color="auto" w:fill="auto"/>
            <w:noWrap/>
            <w:vAlign w:val="bottom"/>
            <w:hideMark/>
          </w:tcPr>
          <w:p w14:paraId="1C1B081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-0.498</w:t>
            </w:r>
          </w:p>
        </w:tc>
        <w:tc>
          <w:tcPr>
            <w:tcW w:w="0" w:type="auto"/>
            <w:tcBorders>
              <w:top w:val="nil"/>
              <w:left w:val="nil"/>
              <w:bottom w:val="nil"/>
              <w:right w:val="nil"/>
            </w:tcBorders>
            <w:shd w:val="clear" w:color="auto" w:fill="auto"/>
            <w:noWrap/>
            <w:vAlign w:val="bottom"/>
            <w:hideMark/>
          </w:tcPr>
          <w:p w14:paraId="54111F0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0.534</w:t>
            </w:r>
          </w:p>
        </w:tc>
        <w:tc>
          <w:tcPr>
            <w:tcW w:w="0" w:type="auto"/>
            <w:tcBorders>
              <w:top w:val="nil"/>
              <w:left w:val="nil"/>
              <w:bottom w:val="nil"/>
              <w:right w:val="nil"/>
            </w:tcBorders>
            <w:shd w:val="clear" w:color="auto" w:fill="auto"/>
            <w:noWrap/>
            <w:vAlign w:val="bottom"/>
            <w:hideMark/>
          </w:tcPr>
          <w:p w14:paraId="2FE0723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-0.034</w:t>
            </w:r>
          </w:p>
        </w:tc>
        <w:tc>
          <w:tcPr>
            <w:tcW w:w="0" w:type="auto"/>
            <w:tcBorders>
              <w:top w:val="nil"/>
              <w:left w:val="nil"/>
              <w:bottom w:val="nil"/>
              <w:right w:val="nil"/>
            </w:tcBorders>
            <w:shd w:val="clear" w:color="auto" w:fill="auto"/>
            <w:noWrap/>
            <w:vAlign w:val="bottom"/>
            <w:hideMark/>
          </w:tcPr>
          <w:p w14:paraId="508A689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0.946</w:t>
            </w:r>
          </w:p>
        </w:tc>
        <w:tc>
          <w:tcPr>
            <w:tcW w:w="0" w:type="auto"/>
            <w:tcBorders>
              <w:top w:val="nil"/>
              <w:left w:val="nil"/>
              <w:bottom w:val="nil"/>
              <w:right w:val="nil"/>
            </w:tcBorders>
            <w:shd w:val="clear" w:color="auto" w:fill="auto"/>
            <w:noWrap/>
            <w:vAlign w:val="bottom"/>
            <w:hideMark/>
          </w:tcPr>
          <w:p w14:paraId="68DA728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1.817</w:t>
            </w:r>
          </w:p>
        </w:tc>
        <w:tc>
          <w:tcPr>
            <w:tcW w:w="0" w:type="auto"/>
            <w:tcBorders>
              <w:top w:val="nil"/>
              <w:left w:val="nil"/>
              <w:bottom w:val="nil"/>
              <w:right w:val="nil"/>
            </w:tcBorders>
            <w:shd w:val="clear" w:color="auto" w:fill="auto"/>
            <w:noWrap/>
            <w:vAlign w:val="bottom"/>
            <w:hideMark/>
          </w:tcPr>
          <w:p w14:paraId="1F691F9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1EEE405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0.271</w:t>
            </w:r>
          </w:p>
        </w:tc>
        <w:tc>
          <w:tcPr>
            <w:tcW w:w="0" w:type="auto"/>
            <w:tcBorders>
              <w:top w:val="nil"/>
              <w:left w:val="nil"/>
              <w:bottom w:val="nil"/>
              <w:right w:val="nil"/>
            </w:tcBorders>
            <w:shd w:val="clear" w:color="auto" w:fill="auto"/>
            <w:noWrap/>
            <w:vAlign w:val="bottom"/>
            <w:hideMark/>
          </w:tcPr>
          <w:p w14:paraId="352845C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0.611</w:t>
            </w:r>
          </w:p>
        </w:tc>
        <w:tc>
          <w:tcPr>
            <w:tcW w:w="0" w:type="auto"/>
            <w:tcBorders>
              <w:top w:val="nil"/>
              <w:left w:val="nil"/>
              <w:bottom w:val="nil"/>
              <w:right w:val="nil"/>
            </w:tcBorders>
            <w:shd w:val="clear" w:color="auto" w:fill="auto"/>
            <w:noWrap/>
            <w:vAlign w:val="bottom"/>
            <w:hideMark/>
          </w:tcPr>
          <w:p w14:paraId="650A48F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0.351</w:t>
            </w:r>
          </w:p>
        </w:tc>
        <w:tc>
          <w:tcPr>
            <w:tcW w:w="0" w:type="auto"/>
            <w:tcBorders>
              <w:top w:val="nil"/>
              <w:left w:val="nil"/>
              <w:bottom w:val="nil"/>
              <w:right w:val="nil"/>
            </w:tcBorders>
            <w:shd w:val="clear" w:color="auto" w:fill="auto"/>
            <w:noWrap/>
            <w:vAlign w:val="bottom"/>
            <w:hideMark/>
          </w:tcPr>
          <w:p w14:paraId="569D61B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0.793</w:t>
            </w:r>
          </w:p>
        </w:tc>
      </w:tr>
      <w:tr w:rsidR="004664BA" w:rsidRPr="00FF6562" w14:paraId="6461C65F" w14:textId="77777777" w:rsidTr="004664BA">
        <w:trPr>
          <w:trHeight w:val="203"/>
        </w:trPr>
        <w:tc>
          <w:tcPr>
            <w:tcW w:w="760" w:type="dxa"/>
            <w:tcBorders>
              <w:top w:val="nil"/>
              <w:left w:val="nil"/>
              <w:bottom w:val="nil"/>
              <w:right w:val="nil"/>
            </w:tcBorders>
            <w:shd w:val="clear" w:color="auto" w:fill="auto"/>
            <w:noWrap/>
            <w:vAlign w:val="bottom"/>
            <w:hideMark/>
          </w:tcPr>
          <w:p w14:paraId="706717A0"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22</m:t>
                    </m:r>
                  </m:sub>
                </m:sSub>
              </m:oMath>
            </m:oMathPara>
          </w:p>
        </w:tc>
        <w:tc>
          <w:tcPr>
            <w:tcW w:w="0" w:type="auto"/>
            <w:tcBorders>
              <w:top w:val="nil"/>
              <w:left w:val="nil"/>
              <w:bottom w:val="nil"/>
              <w:right w:val="nil"/>
            </w:tcBorders>
            <w:shd w:val="clear" w:color="auto" w:fill="auto"/>
            <w:noWrap/>
            <w:vAlign w:val="bottom"/>
            <w:hideMark/>
          </w:tcPr>
          <w:p w14:paraId="3E023C2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2.562</w:t>
            </w:r>
          </w:p>
        </w:tc>
        <w:tc>
          <w:tcPr>
            <w:tcW w:w="0" w:type="auto"/>
            <w:tcBorders>
              <w:top w:val="nil"/>
              <w:left w:val="nil"/>
              <w:bottom w:val="nil"/>
              <w:right w:val="nil"/>
            </w:tcBorders>
            <w:shd w:val="clear" w:color="auto" w:fill="auto"/>
            <w:noWrap/>
            <w:vAlign w:val="bottom"/>
            <w:hideMark/>
          </w:tcPr>
          <w:p w14:paraId="76CA74B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4FEC746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3D3BAC2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vAlign w:val="bottom"/>
            <w:hideMark/>
          </w:tcPr>
          <w:p w14:paraId="3548283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2.336</w:t>
            </w:r>
          </w:p>
        </w:tc>
        <w:tc>
          <w:tcPr>
            <w:tcW w:w="0" w:type="auto"/>
            <w:tcBorders>
              <w:top w:val="nil"/>
              <w:left w:val="nil"/>
              <w:bottom w:val="nil"/>
              <w:right w:val="nil"/>
            </w:tcBorders>
            <w:shd w:val="clear" w:color="auto" w:fill="auto"/>
            <w:noWrap/>
            <w:vAlign w:val="bottom"/>
            <w:hideMark/>
          </w:tcPr>
          <w:p w14:paraId="2C3C7E5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0.021</w:t>
            </w:r>
          </w:p>
        </w:tc>
        <w:tc>
          <w:tcPr>
            <w:tcW w:w="0" w:type="auto"/>
            <w:tcBorders>
              <w:top w:val="nil"/>
              <w:left w:val="nil"/>
              <w:bottom w:val="nil"/>
              <w:right w:val="nil"/>
            </w:tcBorders>
            <w:shd w:val="clear" w:color="auto" w:fill="auto"/>
            <w:noWrap/>
            <w:vAlign w:val="bottom"/>
            <w:hideMark/>
          </w:tcPr>
          <w:p w14:paraId="27C84CD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1.108</w:t>
            </w:r>
          </w:p>
        </w:tc>
        <w:tc>
          <w:tcPr>
            <w:tcW w:w="0" w:type="auto"/>
            <w:tcBorders>
              <w:top w:val="nil"/>
              <w:left w:val="nil"/>
              <w:bottom w:val="nil"/>
              <w:right w:val="nil"/>
            </w:tcBorders>
            <w:shd w:val="clear" w:color="auto" w:fill="auto"/>
            <w:noWrap/>
            <w:vAlign w:val="bottom"/>
            <w:hideMark/>
          </w:tcPr>
          <w:p w14:paraId="4A39920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0.350</w:t>
            </w:r>
          </w:p>
        </w:tc>
        <w:tc>
          <w:tcPr>
            <w:tcW w:w="0" w:type="auto"/>
            <w:tcBorders>
              <w:top w:val="nil"/>
              <w:left w:val="nil"/>
              <w:bottom w:val="nil"/>
              <w:right w:val="nil"/>
            </w:tcBorders>
            <w:shd w:val="clear" w:color="auto" w:fill="auto"/>
            <w:noWrap/>
            <w:vAlign w:val="bottom"/>
            <w:hideMark/>
          </w:tcPr>
          <w:p w14:paraId="1DA3E4E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1.906</w:t>
            </w:r>
          </w:p>
        </w:tc>
        <w:tc>
          <w:tcPr>
            <w:tcW w:w="0" w:type="auto"/>
            <w:tcBorders>
              <w:top w:val="nil"/>
              <w:left w:val="nil"/>
              <w:bottom w:val="nil"/>
              <w:right w:val="nil"/>
            </w:tcBorders>
            <w:shd w:val="clear" w:color="auto" w:fill="auto"/>
            <w:noWrap/>
            <w:vAlign w:val="bottom"/>
            <w:hideMark/>
          </w:tcPr>
          <w:p w14:paraId="3391E51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0.221</w:t>
            </w:r>
          </w:p>
        </w:tc>
        <w:tc>
          <w:tcPr>
            <w:tcW w:w="0" w:type="auto"/>
            <w:tcBorders>
              <w:top w:val="nil"/>
              <w:left w:val="nil"/>
              <w:bottom w:val="nil"/>
              <w:right w:val="nil"/>
            </w:tcBorders>
            <w:shd w:val="clear" w:color="auto" w:fill="auto"/>
            <w:noWrap/>
            <w:vAlign w:val="bottom"/>
            <w:hideMark/>
          </w:tcPr>
          <w:p w14:paraId="7F0D5A8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1.844</w:t>
            </w:r>
          </w:p>
        </w:tc>
        <w:tc>
          <w:tcPr>
            <w:tcW w:w="0" w:type="auto"/>
            <w:tcBorders>
              <w:top w:val="nil"/>
              <w:left w:val="nil"/>
              <w:bottom w:val="nil"/>
              <w:right w:val="nil"/>
            </w:tcBorders>
            <w:shd w:val="clear" w:color="auto" w:fill="auto"/>
            <w:noWrap/>
            <w:vAlign w:val="bottom"/>
            <w:hideMark/>
          </w:tcPr>
          <w:p w14:paraId="3E578E7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4002455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1.654</w:t>
            </w:r>
          </w:p>
        </w:tc>
        <w:tc>
          <w:tcPr>
            <w:tcW w:w="0" w:type="auto"/>
            <w:tcBorders>
              <w:top w:val="nil"/>
              <w:left w:val="nil"/>
              <w:bottom w:val="nil"/>
              <w:right w:val="nil"/>
            </w:tcBorders>
            <w:shd w:val="clear" w:color="auto" w:fill="auto"/>
            <w:noWrap/>
            <w:vAlign w:val="bottom"/>
            <w:hideMark/>
          </w:tcPr>
          <w:p w14:paraId="322A5AE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bottom"/>
            <w:hideMark/>
          </w:tcPr>
          <w:p w14:paraId="1DEEB41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1.914</w:t>
            </w:r>
          </w:p>
        </w:tc>
        <w:tc>
          <w:tcPr>
            <w:tcW w:w="0" w:type="auto"/>
            <w:tcBorders>
              <w:top w:val="nil"/>
              <w:left w:val="nil"/>
              <w:bottom w:val="nil"/>
              <w:right w:val="nil"/>
            </w:tcBorders>
            <w:shd w:val="clear" w:color="auto" w:fill="auto"/>
            <w:noWrap/>
            <w:vAlign w:val="bottom"/>
            <w:hideMark/>
          </w:tcPr>
          <w:p w14:paraId="697F1A6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4C25225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47A3F2B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vAlign w:val="bottom"/>
            <w:hideMark/>
          </w:tcPr>
          <w:p w14:paraId="77A2773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1.808</w:t>
            </w:r>
          </w:p>
        </w:tc>
        <w:tc>
          <w:tcPr>
            <w:tcW w:w="0" w:type="auto"/>
            <w:tcBorders>
              <w:top w:val="nil"/>
              <w:left w:val="nil"/>
              <w:bottom w:val="nil"/>
              <w:right w:val="nil"/>
            </w:tcBorders>
            <w:shd w:val="clear" w:color="auto" w:fill="auto"/>
            <w:noWrap/>
            <w:vAlign w:val="bottom"/>
            <w:hideMark/>
          </w:tcPr>
          <w:p w14:paraId="2EC58AE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6B6E595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1.589</w:t>
            </w:r>
          </w:p>
        </w:tc>
        <w:tc>
          <w:tcPr>
            <w:tcW w:w="0" w:type="auto"/>
            <w:tcBorders>
              <w:top w:val="nil"/>
              <w:left w:val="nil"/>
              <w:bottom w:val="nil"/>
              <w:right w:val="nil"/>
            </w:tcBorders>
            <w:shd w:val="clear" w:color="auto" w:fill="auto"/>
            <w:noWrap/>
            <w:vAlign w:val="bottom"/>
            <w:hideMark/>
          </w:tcPr>
          <w:p w14:paraId="0365685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664BA" w:rsidRPr="00FF6562" w14:paraId="0F73CF25" w14:textId="77777777" w:rsidTr="004664BA">
        <w:trPr>
          <w:trHeight w:val="203"/>
        </w:trPr>
        <w:tc>
          <w:tcPr>
            <w:tcW w:w="760" w:type="dxa"/>
            <w:tcBorders>
              <w:top w:val="nil"/>
              <w:left w:val="nil"/>
              <w:bottom w:val="nil"/>
              <w:right w:val="nil"/>
            </w:tcBorders>
            <w:shd w:val="clear" w:color="auto" w:fill="auto"/>
            <w:noWrap/>
            <w:vAlign w:val="bottom"/>
            <w:hideMark/>
          </w:tcPr>
          <w:p w14:paraId="16041DC1"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11</m:t>
                    </m:r>
                  </m:sub>
                </m:sSub>
              </m:oMath>
            </m:oMathPara>
          </w:p>
        </w:tc>
        <w:tc>
          <w:tcPr>
            <w:tcW w:w="0" w:type="auto"/>
            <w:tcBorders>
              <w:top w:val="nil"/>
              <w:left w:val="nil"/>
              <w:bottom w:val="nil"/>
              <w:right w:val="nil"/>
            </w:tcBorders>
            <w:shd w:val="clear" w:color="auto" w:fill="auto"/>
            <w:noWrap/>
            <w:vAlign w:val="bottom"/>
            <w:hideMark/>
          </w:tcPr>
          <w:p w14:paraId="36F6368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0.319</w:t>
            </w:r>
          </w:p>
        </w:tc>
        <w:tc>
          <w:tcPr>
            <w:tcW w:w="0" w:type="auto"/>
            <w:tcBorders>
              <w:top w:val="nil"/>
              <w:left w:val="nil"/>
              <w:bottom w:val="nil"/>
              <w:right w:val="nil"/>
            </w:tcBorders>
            <w:shd w:val="clear" w:color="auto" w:fill="auto"/>
            <w:noWrap/>
            <w:vAlign w:val="bottom"/>
            <w:hideMark/>
          </w:tcPr>
          <w:p w14:paraId="1E96A27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0.095</w:t>
            </w:r>
          </w:p>
        </w:tc>
        <w:tc>
          <w:tcPr>
            <w:tcW w:w="0" w:type="auto"/>
            <w:tcBorders>
              <w:top w:val="nil"/>
              <w:left w:val="nil"/>
              <w:bottom w:val="nil"/>
              <w:right w:val="nil"/>
            </w:tcBorders>
            <w:shd w:val="clear" w:color="auto" w:fill="auto"/>
            <w:noWrap/>
            <w:vAlign w:val="bottom"/>
            <w:hideMark/>
          </w:tcPr>
          <w:p w14:paraId="13E3D61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0.281</w:t>
            </w:r>
          </w:p>
        </w:tc>
        <w:tc>
          <w:tcPr>
            <w:tcW w:w="0" w:type="auto"/>
            <w:tcBorders>
              <w:top w:val="nil"/>
              <w:left w:val="nil"/>
              <w:bottom w:val="nil"/>
              <w:right w:val="nil"/>
            </w:tcBorders>
            <w:shd w:val="clear" w:color="auto" w:fill="auto"/>
            <w:noWrap/>
            <w:vAlign w:val="bottom"/>
            <w:hideMark/>
          </w:tcPr>
          <w:p w14:paraId="2699444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bottom"/>
            <w:hideMark/>
          </w:tcPr>
          <w:p w14:paraId="60DCAD9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2</w:t>
            </w:r>
            <w:r w:rsidRPr="00FF6562">
              <w:rPr>
                <w:rFonts w:ascii="Times New Roman" w:eastAsia="Times New Roman" w:hAnsi="Times New Roman" w:cs="Times New Roman"/>
                <w:sz w:val="16"/>
                <w:szCs w:val="16"/>
                <w:lang w:eastAsia="en-GB"/>
              </w:rPr>
              <w:t>19</w:t>
            </w:r>
          </w:p>
        </w:tc>
        <w:tc>
          <w:tcPr>
            <w:tcW w:w="0" w:type="auto"/>
            <w:tcBorders>
              <w:top w:val="nil"/>
              <w:left w:val="nil"/>
              <w:bottom w:val="nil"/>
              <w:right w:val="nil"/>
            </w:tcBorders>
            <w:shd w:val="clear" w:color="auto" w:fill="auto"/>
            <w:noWrap/>
            <w:vAlign w:val="bottom"/>
            <w:hideMark/>
          </w:tcPr>
          <w:p w14:paraId="0CFD096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74</w:t>
            </w:r>
          </w:p>
        </w:tc>
        <w:tc>
          <w:tcPr>
            <w:tcW w:w="0" w:type="auto"/>
            <w:tcBorders>
              <w:top w:val="nil"/>
              <w:left w:val="nil"/>
              <w:bottom w:val="nil"/>
              <w:right w:val="nil"/>
            </w:tcBorders>
            <w:shd w:val="clear" w:color="auto" w:fill="auto"/>
            <w:noWrap/>
            <w:vAlign w:val="bottom"/>
            <w:hideMark/>
          </w:tcPr>
          <w:p w14:paraId="625E4BB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0.216</w:t>
            </w:r>
          </w:p>
        </w:tc>
        <w:tc>
          <w:tcPr>
            <w:tcW w:w="0" w:type="auto"/>
            <w:tcBorders>
              <w:top w:val="nil"/>
              <w:left w:val="nil"/>
              <w:bottom w:val="nil"/>
              <w:right w:val="nil"/>
            </w:tcBorders>
            <w:shd w:val="clear" w:color="auto" w:fill="auto"/>
            <w:noWrap/>
            <w:vAlign w:val="bottom"/>
            <w:hideMark/>
          </w:tcPr>
          <w:p w14:paraId="568BBE7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0" w:type="auto"/>
            <w:tcBorders>
              <w:top w:val="nil"/>
              <w:left w:val="nil"/>
              <w:bottom w:val="nil"/>
              <w:right w:val="nil"/>
            </w:tcBorders>
            <w:shd w:val="clear" w:color="auto" w:fill="auto"/>
            <w:noWrap/>
            <w:vAlign w:val="bottom"/>
            <w:hideMark/>
          </w:tcPr>
          <w:p w14:paraId="4A17A9C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0.451</w:t>
            </w:r>
          </w:p>
        </w:tc>
        <w:tc>
          <w:tcPr>
            <w:tcW w:w="0" w:type="auto"/>
            <w:tcBorders>
              <w:top w:val="nil"/>
              <w:left w:val="nil"/>
              <w:bottom w:val="nil"/>
              <w:right w:val="nil"/>
            </w:tcBorders>
            <w:shd w:val="clear" w:color="auto" w:fill="auto"/>
            <w:noWrap/>
            <w:vAlign w:val="bottom"/>
            <w:hideMark/>
          </w:tcPr>
          <w:p w14:paraId="08D95ED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1617F0E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0.253</w:t>
            </w:r>
          </w:p>
        </w:tc>
        <w:tc>
          <w:tcPr>
            <w:tcW w:w="0" w:type="auto"/>
            <w:tcBorders>
              <w:top w:val="nil"/>
              <w:left w:val="nil"/>
              <w:bottom w:val="nil"/>
              <w:right w:val="nil"/>
            </w:tcBorders>
            <w:shd w:val="clear" w:color="auto" w:fill="auto"/>
            <w:noWrap/>
            <w:vAlign w:val="bottom"/>
            <w:hideMark/>
          </w:tcPr>
          <w:p w14:paraId="2F820B3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0.010</w:t>
            </w:r>
          </w:p>
        </w:tc>
        <w:tc>
          <w:tcPr>
            <w:tcW w:w="0" w:type="auto"/>
            <w:tcBorders>
              <w:top w:val="nil"/>
              <w:left w:val="nil"/>
              <w:bottom w:val="nil"/>
              <w:right w:val="nil"/>
            </w:tcBorders>
            <w:shd w:val="clear" w:color="auto" w:fill="auto"/>
            <w:noWrap/>
            <w:vAlign w:val="bottom"/>
            <w:hideMark/>
          </w:tcPr>
          <w:p w14:paraId="2AF4038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0.311</w:t>
            </w:r>
          </w:p>
        </w:tc>
        <w:tc>
          <w:tcPr>
            <w:tcW w:w="0" w:type="auto"/>
            <w:tcBorders>
              <w:top w:val="nil"/>
              <w:left w:val="nil"/>
              <w:bottom w:val="nil"/>
              <w:right w:val="nil"/>
            </w:tcBorders>
            <w:shd w:val="clear" w:color="auto" w:fill="auto"/>
            <w:noWrap/>
            <w:vAlign w:val="bottom"/>
            <w:hideMark/>
          </w:tcPr>
          <w:p w14:paraId="6E38631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043ECF7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0.329</w:t>
            </w:r>
          </w:p>
        </w:tc>
        <w:tc>
          <w:tcPr>
            <w:tcW w:w="0" w:type="auto"/>
            <w:tcBorders>
              <w:top w:val="nil"/>
              <w:left w:val="nil"/>
              <w:bottom w:val="nil"/>
              <w:right w:val="nil"/>
            </w:tcBorders>
            <w:shd w:val="clear" w:color="auto" w:fill="auto"/>
            <w:noWrap/>
            <w:vAlign w:val="bottom"/>
            <w:hideMark/>
          </w:tcPr>
          <w:p w14:paraId="78A9B4C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218A6C5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-0.192</w:t>
            </w:r>
          </w:p>
        </w:tc>
        <w:tc>
          <w:tcPr>
            <w:tcW w:w="0" w:type="auto"/>
            <w:tcBorders>
              <w:top w:val="nil"/>
              <w:left w:val="nil"/>
              <w:bottom w:val="nil"/>
              <w:right w:val="nil"/>
            </w:tcBorders>
            <w:shd w:val="clear" w:color="auto" w:fill="auto"/>
            <w:noWrap/>
            <w:vAlign w:val="bottom"/>
            <w:hideMark/>
          </w:tcPr>
          <w:p w14:paraId="566A813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0.062</w:t>
            </w:r>
          </w:p>
        </w:tc>
        <w:tc>
          <w:tcPr>
            <w:tcW w:w="0" w:type="auto"/>
            <w:tcBorders>
              <w:top w:val="nil"/>
              <w:left w:val="nil"/>
              <w:bottom w:val="nil"/>
              <w:right w:val="nil"/>
            </w:tcBorders>
            <w:shd w:val="clear" w:color="auto" w:fill="auto"/>
            <w:noWrap/>
            <w:vAlign w:val="bottom"/>
            <w:hideMark/>
          </w:tcPr>
          <w:p w14:paraId="4EEB3B3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0.388</w:t>
            </w:r>
          </w:p>
        </w:tc>
        <w:tc>
          <w:tcPr>
            <w:tcW w:w="0" w:type="auto"/>
            <w:tcBorders>
              <w:top w:val="nil"/>
              <w:left w:val="nil"/>
              <w:bottom w:val="nil"/>
              <w:right w:val="nil"/>
            </w:tcBorders>
            <w:shd w:val="clear" w:color="auto" w:fill="auto"/>
            <w:noWrap/>
            <w:vAlign w:val="bottom"/>
            <w:hideMark/>
          </w:tcPr>
          <w:p w14:paraId="314BCE4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44363C9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0.226</w:t>
            </w:r>
          </w:p>
        </w:tc>
        <w:tc>
          <w:tcPr>
            <w:tcW w:w="0" w:type="auto"/>
            <w:tcBorders>
              <w:top w:val="nil"/>
              <w:left w:val="nil"/>
              <w:bottom w:val="nil"/>
              <w:right w:val="nil"/>
            </w:tcBorders>
            <w:shd w:val="clear" w:color="auto" w:fill="auto"/>
            <w:noWrap/>
            <w:vAlign w:val="bottom"/>
            <w:hideMark/>
          </w:tcPr>
          <w:p w14:paraId="6FBF0D7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r>
      <w:tr w:rsidR="004664BA" w:rsidRPr="00FF6562" w14:paraId="731C7A11" w14:textId="77777777" w:rsidTr="004664BA">
        <w:trPr>
          <w:trHeight w:val="203"/>
        </w:trPr>
        <w:tc>
          <w:tcPr>
            <w:tcW w:w="760" w:type="dxa"/>
            <w:tcBorders>
              <w:top w:val="nil"/>
              <w:left w:val="nil"/>
              <w:bottom w:val="nil"/>
              <w:right w:val="nil"/>
            </w:tcBorders>
            <w:shd w:val="clear" w:color="auto" w:fill="auto"/>
            <w:noWrap/>
            <w:vAlign w:val="bottom"/>
            <w:hideMark/>
          </w:tcPr>
          <w:p w14:paraId="68DE7450"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12</m:t>
                    </m:r>
                  </m:sub>
                </m:sSub>
              </m:oMath>
            </m:oMathPara>
          </w:p>
        </w:tc>
        <w:tc>
          <w:tcPr>
            <w:tcW w:w="0" w:type="auto"/>
            <w:tcBorders>
              <w:top w:val="nil"/>
              <w:left w:val="nil"/>
              <w:bottom w:val="nil"/>
              <w:right w:val="nil"/>
            </w:tcBorders>
            <w:shd w:val="clear" w:color="auto" w:fill="auto"/>
            <w:noWrap/>
            <w:vAlign w:val="bottom"/>
            <w:hideMark/>
          </w:tcPr>
          <w:p w14:paraId="392111E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1.033</w:t>
            </w:r>
          </w:p>
        </w:tc>
        <w:tc>
          <w:tcPr>
            <w:tcW w:w="0" w:type="auto"/>
            <w:tcBorders>
              <w:top w:val="nil"/>
              <w:left w:val="nil"/>
              <w:bottom w:val="nil"/>
              <w:right w:val="nil"/>
            </w:tcBorders>
            <w:shd w:val="clear" w:color="auto" w:fill="auto"/>
            <w:noWrap/>
            <w:vAlign w:val="bottom"/>
            <w:hideMark/>
          </w:tcPr>
          <w:p w14:paraId="44B8B9E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7DC013A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0.105</w:t>
            </w:r>
          </w:p>
        </w:tc>
        <w:tc>
          <w:tcPr>
            <w:tcW w:w="0" w:type="auto"/>
            <w:tcBorders>
              <w:top w:val="nil"/>
              <w:left w:val="nil"/>
              <w:bottom w:val="nil"/>
              <w:right w:val="nil"/>
            </w:tcBorders>
            <w:shd w:val="clear" w:color="auto" w:fill="auto"/>
            <w:noWrap/>
            <w:vAlign w:val="bottom"/>
            <w:hideMark/>
          </w:tcPr>
          <w:p w14:paraId="4CBFC85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0.563</w:t>
            </w:r>
          </w:p>
        </w:tc>
        <w:tc>
          <w:tcPr>
            <w:tcW w:w="0" w:type="auto"/>
            <w:tcBorders>
              <w:top w:val="nil"/>
              <w:left w:val="nil"/>
              <w:bottom w:val="nil"/>
              <w:right w:val="nil"/>
            </w:tcBorders>
            <w:shd w:val="clear" w:color="auto" w:fill="auto"/>
            <w:noWrap/>
            <w:vAlign w:val="bottom"/>
            <w:hideMark/>
          </w:tcPr>
          <w:p w14:paraId="74765CA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-0.023</w:t>
            </w:r>
          </w:p>
        </w:tc>
        <w:tc>
          <w:tcPr>
            <w:tcW w:w="0" w:type="auto"/>
            <w:tcBorders>
              <w:top w:val="nil"/>
              <w:left w:val="nil"/>
              <w:bottom w:val="nil"/>
              <w:right w:val="nil"/>
            </w:tcBorders>
            <w:shd w:val="clear" w:color="auto" w:fill="auto"/>
            <w:noWrap/>
            <w:vAlign w:val="bottom"/>
            <w:hideMark/>
          </w:tcPr>
          <w:p w14:paraId="7BCCFD0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0.963</w:t>
            </w:r>
          </w:p>
        </w:tc>
        <w:tc>
          <w:tcPr>
            <w:tcW w:w="0" w:type="auto"/>
            <w:tcBorders>
              <w:top w:val="nil"/>
              <w:left w:val="nil"/>
              <w:bottom w:val="nil"/>
              <w:right w:val="nil"/>
            </w:tcBorders>
            <w:shd w:val="clear" w:color="auto" w:fill="auto"/>
            <w:noWrap/>
            <w:vAlign w:val="bottom"/>
            <w:hideMark/>
          </w:tcPr>
          <w:p w14:paraId="0213124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0.208</w:t>
            </w:r>
          </w:p>
        </w:tc>
        <w:tc>
          <w:tcPr>
            <w:tcW w:w="0" w:type="auto"/>
            <w:tcBorders>
              <w:top w:val="nil"/>
              <w:left w:val="nil"/>
              <w:bottom w:val="nil"/>
              <w:right w:val="nil"/>
            </w:tcBorders>
            <w:shd w:val="clear" w:color="auto" w:fill="auto"/>
            <w:noWrap/>
            <w:vAlign w:val="bottom"/>
            <w:hideMark/>
          </w:tcPr>
          <w:p w14:paraId="30B07AC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0.131</w:t>
            </w:r>
          </w:p>
        </w:tc>
        <w:tc>
          <w:tcPr>
            <w:tcW w:w="0" w:type="auto"/>
            <w:tcBorders>
              <w:top w:val="nil"/>
              <w:left w:val="nil"/>
              <w:bottom w:val="nil"/>
              <w:right w:val="nil"/>
            </w:tcBorders>
            <w:shd w:val="clear" w:color="auto" w:fill="auto"/>
            <w:noWrap/>
            <w:vAlign w:val="bottom"/>
            <w:hideMark/>
          </w:tcPr>
          <w:p w14:paraId="7D6296A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0.290</w:t>
            </w:r>
          </w:p>
        </w:tc>
        <w:tc>
          <w:tcPr>
            <w:tcW w:w="0" w:type="auto"/>
            <w:tcBorders>
              <w:top w:val="nil"/>
              <w:left w:val="nil"/>
              <w:bottom w:val="nil"/>
              <w:right w:val="nil"/>
            </w:tcBorders>
            <w:shd w:val="clear" w:color="auto" w:fill="auto"/>
            <w:noWrap/>
            <w:vAlign w:val="bottom"/>
            <w:hideMark/>
          </w:tcPr>
          <w:p w14:paraId="4A3A99A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0.086</w:t>
            </w:r>
          </w:p>
        </w:tc>
        <w:tc>
          <w:tcPr>
            <w:tcW w:w="0" w:type="auto"/>
            <w:tcBorders>
              <w:top w:val="nil"/>
              <w:left w:val="nil"/>
              <w:bottom w:val="nil"/>
              <w:right w:val="nil"/>
            </w:tcBorders>
            <w:shd w:val="clear" w:color="auto" w:fill="auto"/>
            <w:noWrap/>
            <w:vAlign w:val="bottom"/>
            <w:hideMark/>
          </w:tcPr>
          <w:p w14:paraId="45246CD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0.291</w:t>
            </w:r>
          </w:p>
        </w:tc>
        <w:tc>
          <w:tcPr>
            <w:tcW w:w="0" w:type="auto"/>
            <w:tcBorders>
              <w:top w:val="nil"/>
              <w:left w:val="nil"/>
              <w:bottom w:val="nil"/>
              <w:right w:val="nil"/>
            </w:tcBorders>
            <w:shd w:val="clear" w:color="auto" w:fill="auto"/>
            <w:noWrap/>
            <w:vAlign w:val="bottom"/>
            <w:hideMark/>
          </w:tcPr>
          <w:p w14:paraId="217116A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0.226</w:t>
            </w:r>
          </w:p>
        </w:tc>
        <w:tc>
          <w:tcPr>
            <w:tcW w:w="0" w:type="auto"/>
            <w:tcBorders>
              <w:top w:val="nil"/>
              <w:left w:val="nil"/>
              <w:bottom w:val="nil"/>
              <w:right w:val="nil"/>
            </w:tcBorders>
            <w:shd w:val="clear" w:color="auto" w:fill="auto"/>
            <w:noWrap/>
            <w:vAlign w:val="bottom"/>
            <w:hideMark/>
          </w:tcPr>
          <w:p w14:paraId="0A7FD42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0" w:type="auto"/>
            <w:tcBorders>
              <w:top w:val="nil"/>
              <w:left w:val="nil"/>
              <w:bottom w:val="nil"/>
              <w:right w:val="nil"/>
            </w:tcBorders>
            <w:shd w:val="clear" w:color="auto" w:fill="auto"/>
            <w:noWrap/>
            <w:vAlign w:val="bottom"/>
            <w:hideMark/>
          </w:tcPr>
          <w:p w14:paraId="64F98AF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0.851</w:t>
            </w:r>
          </w:p>
        </w:tc>
        <w:tc>
          <w:tcPr>
            <w:tcW w:w="0" w:type="auto"/>
            <w:tcBorders>
              <w:top w:val="nil"/>
              <w:left w:val="nil"/>
              <w:bottom w:val="nil"/>
              <w:right w:val="nil"/>
            </w:tcBorders>
            <w:shd w:val="clear" w:color="auto" w:fill="auto"/>
            <w:noWrap/>
            <w:vAlign w:val="bottom"/>
            <w:hideMark/>
          </w:tcPr>
          <w:p w14:paraId="5455208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0.057</w:t>
            </w:r>
          </w:p>
        </w:tc>
        <w:tc>
          <w:tcPr>
            <w:tcW w:w="0" w:type="auto"/>
            <w:tcBorders>
              <w:top w:val="nil"/>
              <w:left w:val="nil"/>
              <w:bottom w:val="nil"/>
              <w:right w:val="nil"/>
            </w:tcBorders>
            <w:shd w:val="clear" w:color="auto" w:fill="auto"/>
            <w:noWrap/>
            <w:vAlign w:val="bottom"/>
            <w:hideMark/>
          </w:tcPr>
          <w:p w14:paraId="60CE1CC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0.600</w:t>
            </w:r>
          </w:p>
        </w:tc>
        <w:tc>
          <w:tcPr>
            <w:tcW w:w="0" w:type="auto"/>
            <w:tcBorders>
              <w:top w:val="nil"/>
              <w:left w:val="nil"/>
              <w:bottom w:val="nil"/>
              <w:right w:val="nil"/>
            </w:tcBorders>
            <w:shd w:val="clear" w:color="auto" w:fill="auto"/>
            <w:noWrap/>
            <w:vAlign w:val="bottom"/>
            <w:hideMark/>
          </w:tcPr>
          <w:p w14:paraId="5E34006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0.011</w:t>
            </w:r>
          </w:p>
        </w:tc>
        <w:tc>
          <w:tcPr>
            <w:tcW w:w="0" w:type="auto"/>
            <w:tcBorders>
              <w:top w:val="nil"/>
              <w:left w:val="nil"/>
              <w:bottom w:val="nil"/>
              <w:right w:val="nil"/>
            </w:tcBorders>
            <w:shd w:val="clear" w:color="auto" w:fill="auto"/>
            <w:noWrap/>
            <w:vAlign w:val="bottom"/>
            <w:hideMark/>
          </w:tcPr>
          <w:p w14:paraId="0C0022A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0.949</w:t>
            </w:r>
          </w:p>
        </w:tc>
        <w:tc>
          <w:tcPr>
            <w:tcW w:w="0" w:type="auto"/>
            <w:tcBorders>
              <w:top w:val="nil"/>
              <w:left w:val="nil"/>
              <w:bottom w:val="nil"/>
              <w:right w:val="nil"/>
            </w:tcBorders>
            <w:shd w:val="clear" w:color="auto" w:fill="auto"/>
            <w:noWrap/>
            <w:vAlign w:val="bottom"/>
            <w:hideMark/>
          </w:tcPr>
          <w:p w14:paraId="7C3EDD3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-0.041</w:t>
            </w:r>
          </w:p>
        </w:tc>
        <w:tc>
          <w:tcPr>
            <w:tcW w:w="0" w:type="auto"/>
            <w:tcBorders>
              <w:top w:val="nil"/>
              <w:left w:val="nil"/>
              <w:bottom w:val="nil"/>
              <w:right w:val="nil"/>
            </w:tcBorders>
            <w:shd w:val="clear" w:color="auto" w:fill="auto"/>
            <w:noWrap/>
            <w:vAlign w:val="bottom"/>
            <w:hideMark/>
          </w:tcPr>
          <w:p w14:paraId="12BAC60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0.735</w:t>
            </w:r>
          </w:p>
        </w:tc>
        <w:tc>
          <w:tcPr>
            <w:tcW w:w="0" w:type="auto"/>
            <w:tcBorders>
              <w:top w:val="nil"/>
              <w:left w:val="nil"/>
              <w:bottom w:val="nil"/>
              <w:right w:val="nil"/>
            </w:tcBorders>
            <w:shd w:val="clear" w:color="auto" w:fill="auto"/>
            <w:noWrap/>
            <w:vAlign w:val="bottom"/>
            <w:hideMark/>
          </w:tcPr>
          <w:p w14:paraId="224AE19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-0.387</w:t>
            </w:r>
          </w:p>
        </w:tc>
        <w:tc>
          <w:tcPr>
            <w:tcW w:w="0" w:type="auto"/>
            <w:tcBorders>
              <w:top w:val="nil"/>
              <w:left w:val="nil"/>
              <w:bottom w:val="nil"/>
              <w:right w:val="nil"/>
            </w:tcBorders>
            <w:shd w:val="clear" w:color="auto" w:fill="auto"/>
            <w:noWrap/>
            <w:vAlign w:val="bottom"/>
            <w:hideMark/>
          </w:tcPr>
          <w:p w14:paraId="2DBE284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0.064</w:t>
            </w:r>
          </w:p>
        </w:tc>
      </w:tr>
      <w:tr w:rsidR="004664BA" w:rsidRPr="00FF6562" w14:paraId="25B49BA3" w14:textId="77777777" w:rsidTr="004664BA">
        <w:trPr>
          <w:trHeight w:val="203"/>
        </w:trPr>
        <w:tc>
          <w:tcPr>
            <w:tcW w:w="760" w:type="dxa"/>
            <w:tcBorders>
              <w:top w:val="nil"/>
              <w:left w:val="nil"/>
              <w:bottom w:val="nil"/>
              <w:right w:val="nil"/>
            </w:tcBorders>
            <w:shd w:val="clear" w:color="auto" w:fill="auto"/>
            <w:noWrap/>
            <w:vAlign w:val="bottom"/>
            <w:hideMark/>
          </w:tcPr>
          <w:p w14:paraId="2683E08E"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21</m:t>
                    </m:r>
                  </m:sub>
                </m:sSub>
              </m:oMath>
            </m:oMathPara>
          </w:p>
        </w:tc>
        <w:tc>
          <w:tcPr>
            <w:tcW w:w="0" w:type="auto"/>
            <w:tcBorders>
              <w:top w:val="nil"/>
              <w:left w:val="nil"/>
              <w:bottom w:val="nil"/>
              <w:right w:val="nil"/>
            </w:tcBorders>
            <w:shd w:val="clear" w:color="auto" w:fill="auto"/>
            <w:noWrap/>
            <w:vAlign w:val="bottom"/>
            <w:hideMark/>
          </w:tcPr>
          <w:p w14:paraId="2C4A5D2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-0.038</w:t>
            </w:r>
          </w:p>
        </w:tc>
        <w:tc>
          <w:tcPr>
            <w:tcW w:w="0" w:type="auto"/>
            <w:tcBorders>
              <w:top w:val="nil"/>
              <w:left w:val="nil"/>
              <w:bottom w:val="nil"/>
              <w:right w:val="nil"/>
            </w:tcBorders>
            <w:shd w:val="clear" w:color="auto" w:fill="auto"/>
            <w:noWrap/>
            <w:vAlign w:val="bottom"/>
            <w:hideMark/>
          </w:tcPr>
          <w:p w14:paraId="3BE4C2D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0.352</w:t>
            </w:r>
          </w:p>
        </w:tc>
        <w:tc>
          <w:tcPr>
            <w:tcW w:w="0" w:type="auto"/>
            <w:tcBorders>
              <w:top w:val="nil"/>
              <w:left w:val="nil"/>
              <w:bottom w:val="nil"/>
              <w:right w:val="nil"/>
            </w:tcBorders>
            <w:shd w:val="clear" w:color="auto" w:fill="auto"/>
            <w:noWrap/>
            <w:vAlign w:val="bottom"/>
            <w:hideMark/>
          </w:tcPr>
          <w:p w14:paraId="5214716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-0.075</w:t>
            </w:r>
          </w:p>
        </w:tc>
        <w:tc>
          <w:tcPr>
            <w:tcW w:w="0" w:type="auto"/>
            <w:tcBorders>
              <w:top w:val="nil"/>
              <w:left w:val="nil"/>
              <w:bottom w:val="nil"/>
              <w:right w:val="nil"/>
            </w:tcBorders>
            <w:shd w:val="clear" w:color="auto" w:fill="auto"/>
            <w:noWrap/>
            <w:vAlign w:val="bottom"/>
            <w:hideMark/>
          </w:tcPr>
          <w:p w14:paraId="754E489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5743A51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bottom"/>
            <w:hideMark/>
          </w:tcPr>
          <w:p w14:paraId="5921544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0.913</w:t>
            </w:r>
          </w:p>
        </w:tc>
        <w:tc>
          <w:tcPr>
            <w:tcW w:w="0" w:type="auto"/>
            <w:tcBorders>
              <w:top w:val="nil"/>
              <w:left w:val="nil"/>
              <w:bottom w:val="nil"/>
              <w:right w:val="nil"/>
            </w:tcBorders>
            <w:shd w:val="clear" w:color="auto" w:fill="auto"/>
            <w:noWrap/>
            <w:vAlign w:val="bottom"/>
            <w:hideMark/>
          </w:tcPr>
          <w:p w14:paraId="6EAAD10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-0.069</w:t>
            </w:r>
          </w:p>
        </w:tc>
        <w:tc>
          <w:tcPr>
            <w:tcW w:w="0" w:type="auto"/>
            <w:tcBorders>
              <w:top w:val="nil"/>
              <w:left w:val="nil"/>
              <w:bottom w:val="nil"/>
              <w:right w:val="nil"/>
            </w:tcBorders>
            <w:shd w:val="clear" w:color="auto" w:fill="auto"/>
            <w:noWrap/>
            <w:vAlign w:val="bottom"/>
            <w:hideMark/>
          </w:tcPr>
          <w:p w14:paraId="2A20E97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0.345</w:t>
            </w:r>
          </w:p>
        </w:tc>
        <w:tc>
          <w:tcPr>
            <w:tcW w:w="0" w:type="auto"/>
            <w:tcBorders>
              <w:top w:val="nil"/>
              <w:left w:val="nil"/>
              <w:bottom w:val="nil"/>
              <w:right w:val="nil"/>
            </w:tcBorders>
            <w:shd w:val="clear" w:color="auto" w:fill="auto"/>
            <w:noWrap/>
            <w:vAlign w:val="bottom"/>
            <w:hideMark/>
          </w:tcPr>
          <w:p w14:paraId="4BA8FC1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0.035</w:t>
            </w:r>
          </w:p>
        </w:tc>
        <w:tc>
          <w:tcPr>
            <w:tcW w:w="0" w:type="auto"/>
            <w:tcBorders>
              <w:top w:val="nil"/>
              <w:left w:val="nil"/>
              <w:bottom w:val="nil"/>
              <w:right w:val="nil"/>
            </w:tcBorders>
            <w:shd w:val="clear" w:color="auto" w:fill="auto"/>
            <w:noWrap/>
            <w:vAlign w:val="bottom"/>
            <w:hideMark/>
          </w:tcPr>
          <w:p w14:paraId="2CDC600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0.294</w:t>
            </w:r>
          </w:p>
        </w:tc>
        <w:tc>
          <w:tcPr>
            <w:tcW w:w="0" w:type="auto"/>
            <w:tcBorders>
              <w:top w:val="nil"/>
              <w:left w:val="nil"/>
              <w:bottom w:val="nil"/>
              <w:right w:val="nil"/>
            </w:tcBorders>
            <w:shd w:val="clear" w:color="auto" w:fill="auto"/>
            <w:noWrap/>
            <w:vAlign w:val="bottom"/>
            <w:hideMark/>
          </w:tcPr>
          <w:p w14:paraId="1D5D3D5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0.017</w:t>
            </w:r>
          </w:p>
        </w:tc>
        <w:tc>
          <w:tcPr>
            <w:tcW w:w="0" w:type="auto"/>
            <w:tcBorders>
              <w:top w:val="nil"/>
              <w:left w:val="nil"/>
              <w:bottom w:val="nil"/>
              <w:right w:val="nil"/>
            </w:tcBorders>
            <w:shd w:val="clear" w:color="auto" w:fill="auto"/>
            <w:noWrap/>
            <w:vAlign w:val="bottom"/>
            <w:hideMark/>
          </w:tcPr>
          <w:p w14:paraId="1D0821E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0.393</w:t>
            </w:r>
          </w:p>
        </w:tc>
        <w:tc>
          <w:tcPr>
            <w:tcW w:w="0" w:type="auto"/>
            <w:tcBorders>
              <w:top w:val="nil"/>
              <w:left w:val="nil"/>
              <w:bottom w:val="nil"/>
              <w:right w:val="nil"/>
            </w:tcBorders>
            <w:shd w:val="clear" w:color="auto" w:fill="auto"/>
            <w:noWrap/>
            <w:vAlign w:val="bottom"/>
            <w:hideMark/>
          </w:tcPr>
          <w:p w14:paraId="5C09843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-0.033</w:t>
            </w:r>
          </w:p>
        </w:tc>
        <w:tc>
          <w:tcPr>
            <w:tcW w:w="0" w:type="auto"/>
            <w:tcBorders>
              <w:top w:val="nil"/>
              <w:left w:val="nil"/>
              <w:bottom w:val="nil"/>
              <w:right w:val="nil"/>
            </w:tcBorders>
            <w:shd w:val="clear" w:color="auto" w:fill="auto"/>
            <w:noWrap/>
            <w:vAlign w:val="bottom"/>
            <w:hideMark/>
          </w:tcPr>
          <w:p w14:paraId="74212D8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0.068</w:t>
            </w:r>
          </w:p>
        </w:tc>
        <w:tc>
          <w:tcPr>
            <w:tcW w:w="0" w:type="auto"/>
            <w:tcBorders>
              <w:top w:val="nil"/>
              <w:left w:val="nil"/>
              <w:bottom w:val="nil"/>
              <w:right w:val="nil"/>
            </w:tcBorders>
            <w:shd w:val="clear" w:color="auto" w:fill="auto"/>
            <w:noWrap/>
            <w:vAlign w:val="bottom"/>
            <w:hideMark/>
          </w:tcPr>
          <w:p w14:paraId="37DBA8A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-0.028</w:t>
            </w:r>
          </w:p>
        </w:tc>
        <w:tc>
          <w:tcPr>
            <w:tcW w:w="0" w:type="auto"/>
            <w:tcBorders>
              <w:top w:val="nil"/>
              <w:left w:val="nil"/>
              <w:bottom w:val="nil"/>
              <w:right w:val="nil"/>
            </w:tcBorders>
            <w:shd w:val="clear" w:color="auto" w:fill="auto"/>
            <w:noWrap/>
            <w:vAlign w:val="bottom"/>
            <w:hideMark/>
          </w:tcPr>
          <w:p w14:paraId="00E29D3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0.120</w:t>
            </w:r>
          </w:p>
        </w:tc>
        <w:tc>
          <w:tcPr>
            <w:tcW w:w="0" w:type="auto"/>
            <w:tcBorders>
              <w:top w:val="nil"/>
              <w:left w:val="nil"/>
              <w:bottom w:val="nil"/>
              <w:right w:val="nil"/>
            </w:tcBorders>
            <w:shd w:val="clear" w:color="auto" w:fill="auto"/>
            <w:noWrap/>
            <w:vAlign w:val="bottom"/>
            <w:hideMark/>
          </w:tcPr>
          <w:p w14:paraId="10B6DCF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0.049</w:t>
            </w:r>
          </w:p>
        </w:tc>
        <w:tc>
          <w:tcPr>
            <w:tcW w:w="0" w:type="auto"/>
            <w:tcBorders>
              <w:top w:val="nil"/>
              <w:left w:val="nil"/>
              <w:bottom w:val="nil"/>
              <w:right w:val="nil"/>
            </w:tcBorders>
            <w:shd w:val="clear" w:color="auto" w:fill="auto"/>
            <w:noWrap/>
            <w:vAlign w:val="bottom"/>
            <w:hideMark/>
          </w:tcPr>
          <w:p w14:paraId="5247C53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bottom"/>
            <w:hideMark/>
          </w:tcPr>
          <w:p w14:paraId="26660AB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0.024</w:t>
            </w:r>
          </w:p>
        </w:tc>
        <w:tc>
          <w:tcPr>
            <w:tcW w:w="0" w:type="auto"/>
            <w:tcBorders>
              <w:top w:val="nil"/>
              <w:left w:val="nil"/>
              <w:bottom w:val="nil"/>
              <w:right w:val="nil"/>
            </w:tcBorders>
            <w:shd w:val="clear" w:color="auto" w:fill="auto"/>
            <w:noWrap/>
            <w:vAlign w:val="bottom"/>
            <w:hideMark/>
          </w:tcPr>
          <w:p w14:paraId="33B5D8F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1</w:t>
            </w:r>
            <w:r w:rsidRPr="00FF6562">
              <w:rPr>
                <w:rFonts w:ascii="Times New Roman" w:eastAsia="Times New Roman" w:hAnsi="Times New Roman" w:cs="Times New Roman"/>
                <w:sz w:val="16"/>
                <w:szCs w:val="16"/>
                <w:lang w:eastAsia="en-GB"/>
              </w:rPr>
              <w:t>52</w:t>
            </w:r>
          </w:p>
        </w:tc>
        <w:tc>
          <w:tcPr>
            <w:tcW w:w="0" w:type="auto"/>
            <w:tcBorders>
              <w:top w:val="nil"/>
              <w:left w:val="nil"/>
              <w:bottom w:val="nil"/>
              <w:right w:val="nil"/>
            </w:tcBorders>
            <w:shd w:val="clear" w:color="auto" w:fill="auto"/>
            <w:noWrap/>
            <w:vAlign w:val="bottom"/>
            <w:hideMark/>
          </w:tcPr>
          <w:p w14:paraId="62511DF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0" w:type="auto"/>
            <w:tcBorders>
              <w:top w:val="nil"/>
              <w:left w:val="nil"/>
              <w:bottom w:val="nil"/>
              <w:right w:val="nil"/>
            </w:tcBorders>
            <w:shd w:val="clear" w:color="auto" w:fill="auto"/>
            <w:noWrap/>
            <w:vAlign w:val="bottom"/>
            <w:hideMark/>
          </w:tcPr>
          <w:p w14:paraId="5CF7B3A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0.472</w:t>
            </w:r>
          </w:p>
        </w:tc>
      </w:tr>
      <w:tr w:rsidR="004664BA" w:rsidRPr="00FF6562" w14:paraId="3486C5B4" w14:textId="77777777" w:rsidTr="004664BA">
        <w:trPr>
          <w:trHeight w:val="203"/>
        </w:trPr>
        <w:tc>
          <w:tcPr>
            <w:tcW w:w="760" w:type="dxa"/>
            <w:tcBorders>
              <w:top w:val="nil"/>
              <w:left w:val="nil"/>
              <w:bottom w:val="nil"/>
              <w:right w:val="nil"/>
            </w:tcBorders>
            <w:shd w:val="clear" w:color="auto" w:fill="auto"/>
            <w:noWrap/>
            <w:vAlign w:val="bottom"/>
            <w:hideMark/>
          </w:tcPr>
          <w:p w14:paraId="1CC38100"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22</m:t>
                    </m:r>
                  </m:sub>
                </m:sSub>
              </m:oMath>
            </m:oMathPara>
          </w:p>
        </w:tc>
        <w:tc>
          <w:tcPr>
            <w:tcW w:w="0" w:type="auto"/>
            <w:tcBorders>
              <w:top w:val="nil"/>
              <w:left w:val="nil"/>
              <w:bottom w:val="nil"/>
              <w:right w:val="nil"/>
            </w:tcBorders>
            <w:shd w:val="clear" w:color="auto" w:fill="auto"/>
            <w:noWrap/>
            <w:vAlign w:val="bottom"/>
            <w:hideMark/>
          </w:tcPr>
          <w:p w14:paraId="1338AD1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0.337</w:t>
            </w:r>
          </w:p>
        </w:tc>
        <w:tc>
          <w:tcPr>
            <w:tcW w:w="0" w:type="auto"/>
            <w:tcBorders>
              <w:top w:val="nil"/>
              <w:left w:val="nil"/>
              <w:bottom w:val="nil"/>
              <w:right w:val="nil"/>
            </w:tcBorders>
            <w:shd w:val="clear" w:color="auto" w:fill="auto"/>
            <w:noWrap/>
            <w:vAlign w:val="bottom"/>
            <w:hideMark/>
          </w:tcPr>
          <w:p w14:paraId="0055789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bottom"/>
            <w:hideMark/>
          </w:tcPr>
          <w:p w14:paraId="6A0010E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0.161</w:t>
            </w:r>
          </w:p>
        </w:tc>
        <w:tc>
          <w:tcPr>
            <w:tcW w:w="0" w:type="auto"/>
            <w:tcBorders>
              <w:top w:val="nil"/>
              <w:left w:val="nil"/>
              <w:bottom w:val="nil"/>
              <w:right w:val="nil"/>
            </w:tcBorders>
            <w:shd w:val="clear" w:color="auto" w:fill="auto"/>
            <w:noWrap/>
            <w:vAlign w:val="bottom"/>
            <w:hideMark/>
          </w:tcPr>
          <w:p w14:paraId="1F950B7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0.088</w:t>
            </w:r>
          </w:p>
        </w:tc>
        <w:tc>
          <w:tcPr>
            <w:tcW w:w="0" w:type="auto"/>
            <w:tcBorders>
              <w:top w:val="nil"/>
              <w:left w:val="nil"/>
              <w:bottom w:val="nil"/>
              <w:right w:val="nil"/>
            </w:tcBorders>
            <w:shd w:val="clear" w:color="auto" w:fill="auto"/>
            <w:noWrap/>
            <w:vAlign w:val="bottom"/>
            <w:hideMark/>
          </w:tcPr>
          <w:p w14:paraId="33E4C5A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0.358</w:t>
            </w:r>
          </w:p>
        </w:tc>
        <w:tc>
          <w:tcPr>
            <w:tcW w:w="0" w:type="auto"/>
            <w:tcBorders>
              <w:top w:val="nil"/>
              <w:left w:val="nil"/>
              <w:bottom w:val="nil"/>
              <w:right w:val="nil"/>
            </w:tcBorders>
            <w:shd w:val="clear" w:color="auto" w:fill="auto"/>
            <w:noWrap/>
            <w:vAlign w:val="bottom"/>
            <w:hideMark/>
          </w:tcPr>
          <w:p w14:paraId="6A7F0B6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0.044</w:t>
            </w:r>
          </w:p>
        </w:tc>
        <w:tc>
          <w:tcPr>
            <w:tcW w:w="0" w:type="auto"/>
            <w:tcBorders>
              <w:top w:val="nil"/>
              <w:left w:val="nil"/>
              <w:bottom w:val="nil"/>
              <w:right w:val="nil"/>
            </w:tcBorders>
            <w:shd w:val="clear" w:color="auto" w:fill="auto"/>
            <w:noWrap/>
            <w:vAlign w:val="bottom"/>
            <w:hideMark/>
          </w:tcPr>
          <w:p w14:paraId="26E46A2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-0.191</w:t>
            </w:r>
          </w:p>
        </w:tc>
        <w:tc>
          <w:tcPr>
            <w:tcW w:w="0" w:type="auto"/>
            <w:tcBorders>
              <w:top w:val="nil"/>
              <w:left w:val="nil"/>
              <w:bottom w:val="nil"/>
              <w:right w:val="nil"/>
            </w:tcBorders>
            <w:shd w:val="clear" w:color="auto" w:fill="auto"/>
            <w:noWrap/>
            <w:vAlign w:val="bottom"/>
            <w:hideMark/>
          </w:tcPr>
          <w:p w14:paraId="23C9DCF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0.303</w:t>
            </w:r>
          </w:p>
        </w:tc>
        <w:tc>
          <w:tcPr>
            <w:tcW w:w="0" w:type="auto"/>
            <w:tcBorders>
              <w:top w:val="nil"/>
              <w:left w:val="nil"/>
              <w:bottom w:val="nil"/>
              <w:right w:val="nil"/>
            </w:tcBorders>
            <w:shd w:val="clear" w:color="auto" w:fill="auto"/>
            <w:noWrap/>
            <w:vAlign w:val="bottom"/>
            <w:hideMark/>
          </w:tcPr>
          <w:p w14:paraId="122EFE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-0.238</w:t>
            </w:r>
          </w:p>
        </w:tc>
        <w:tc>
          <w:tcPr>
            <w:tcW w:w="0" w:type="auto"/>
            <w:tcBorders>
              <w:top w:val="nil"/>
              <w:left w:val="nil"/>
              <w:bottom w:val="nil"/>
              <w:right w:val="nil"/>
            </w:tcBorders>
            <w:shd w:val="clear" w:color="auto" w:fill="auto"/>
            <w:noWrap/>
            <w:vAlign w:val="bottom"/>
            <w:hideMark/>
          </w:tcPr>
          <w:p w14:paraId="2FF09BE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0.049</w:t>
            </w:r>
          </w:p>
        </w:tc>
        <w:tc>
          <w:tcPr>
            <w:tcW w:w="0" w:type="auto"/>
            <w:tcBorders>
              <w:top w:val="nil"/>
              <w:left w:val="nil"/>
              <w:bottom w:val="nil"/>
              <w:right w:val="nil"/>
            </w:tcBorders>
            <w:shd w:val="clear" w:color="auto" w:fill="auto"/>
            <w:noWrap/>
            <w:vAlign w:val="bottom"/>
            <w:hideMark/>
          </w:tcPr>
          <w:p w14:paraId="3C9948E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-0.337</w:t>
            </w:r>
          </w:p>
        </w:tc>
        <w:tc>
          <w:tcPr>
            <w:tcW w:w="0" w:type="auto"/>
            <w:tcBorders>
              <w:top w:val="nil"/>
              <w:left w:val="nil"/>
              <w:bottom w:val="nil"/>
              <w:right w:val="nil"/>
            </w:tcBorders>
            <w:shd w:val="clear" w:color="auto" w:fill="auto"/>
            <w:noWrap/>
            <w:vAlign w:val="bottom"/>
            <w:hideMark/>
          </w:tcPr>
          <w:p w14:paraId="5F8DAB6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58F5ECE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0.173</w:t>
            </w:r>
          </w:p>
        </w:tc>
        <w:tc>
          <w:tcPr>
            <w:tcW w:w="0" w:type="auto"/>
            <w:tcBorders>
              <w:top w:val="nil"/>
              <w:left w:val="nil"/>
              <w:bottom w:val="nil"/>
              <w:right w:val="nil"/>
            </w:tcBorders>
            <w:shd w:val="clear" w:color="auto" w:fill="auto"/>
            <w:noWrap/>
            <w:vAlign w:val="bottom"/>
            <w:hideMark/>
          </w:tcPr>
          <w:p w14:paraId="6D8D58B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0.053</w:t>
            </w:r>
          </w:p>
        </w:tc>
        <w:tc>
          <w:tcPr>
            <w:tcW w:w="0" w:type="auto"/>
            <w:tcBorders>
              <w:top w:val="nil"/>
              <w:left w:val="nil"/>
              <w:bottom w:val="nil"/>
              <w:right w:val="nil"/>
            </w:tcBorders>
            <w:shd w:val="clear" w:color="auto" w:fill="auto"/>
            <w:noWrap/>
            <w:vAlign w:val="bottom"/>
            <w:hideMark/>
          </w:tcPr>
          <w:p w14:paraId="6292452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-0.315</w:t>
            </w:r>
          </w:p>
        </w:tc>
        <w:tc>
          <w:tcPr>
            <w:tcW w:w="0" w:type="auto"/>
            <w:tcBorders>
              <w:top w:val="nil"/>
              <w:left w:val="nil"/>
              <w:bottom w:val="nil"/>
              <w:right w:val="nil"/>
            </w:tcBorders>
            <w:shd w:val="clear" w:color="auto" w:fill="auto"/>
            <w:noWrap/>
            <w:vAlign w:val="bottom"/>
            <w:hideMark/>
          </w:tcPr>
          <w:p w14:paraId="20745BD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bottom"/>
            <w:hideMark/>
          </w:tcPr>
          <w:p w14:paraId="2AF4ED9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-0.205</w:t>
            </w:r>
          </w:p>
        </w:tc>
        <w:tc>
          <w:tcPr>
            <w:tcW w:w="0" w:type="auto"/>
            <w:tcBorders>
              <w:top w:val="nil"/>
              <w:left w:val="nil"/>
              <w:bottom w:val="nil"/>
              <w:right w:val="nil"/>
            </w:tcBorders>
            <w:shd w:val="clear" w:color="auto" w:fill="auto"/>
            <w:noWrap/>
            <w:vAlign w:val="bottom"/>
            <w:hideMark/>
          </w:tcPr>
          <w:p w14:paraId="114AF46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0.015</w:t>
            </w:r>
          </w:p>
        </w:tc>
        <w:tc>
          <w:tcPr>
            <w:tcW w:w="0" w:type="auto"/>
            <w:tcBorders>
              <w:top w:val="nil"/>
              <w:left w:val="nil"/>
              <w:bottom w:val="nil"/>
              <w:right w:val="nil"/>
            </w:tcBorders>
            <w:shd w:val="clear" w:color="auto" w:fill="auto"/>
            <w:noWrap/>
            <w:vAlign w:val="bottom"/>
            <w:hideMark/>
          </w:tcPr>
          <w:p w14:paraId="038EB84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-0.143</w:t>
            </w:r>
          </w:p>
        </w:tc>
        <w:tc>
          <w:tcPr>
            <w:tcW w:w="0" w:type="auto"/>
            <w:tcBorders>
              <w:top w:val="nil"/>
              <w:left w:val="nil"/>
              <w:bottom w:val="nil"/>
              <w:right w:val="nil"/>
            </w:tcBorders>
            <w:shd w:val="clear" w:color="auto" w:fill="auto"/>
            <w:noWrap/>
            <w:vAlign w:val="bottom"/>
            <w:hideMark/>
          </w:tcPr>
          <w:p w14:paraId="15408A1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0.053</w:t>
            </w:r>
          </w:p>
        </w:tc>
        <w:tc>
          <w:tcPr>
            <w:tcW w:w="0" w:type="auto"/>
            <w:tcBorders>
              <w:top w:val="nil"/>
              <w:left w:val="nil"/>
              <w:bottom w:val="nil"/>
              <w:right w:val="nil"/>
            </w:tcBorders>
            <w:shd w:val="clear" w:color="auto" w:fill="auto"/>
            <w:noWrap/>
            <w:vAlign w:val="bottom"/>
            <w:hideMark/>
          </w:tcPr>
          <w:p w14:paraId="67FE1EF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-0.158</w:t>
            </w:r>
          </w:p>
        </w:tc>
        <w:tc>
          <w:tcPr>
            <w:tcW w:w="0" w:type="auto"/>
            <w:tcBorders>
              <w:top w:val="nil"/>
              <w:left w:val="nil"/>
              <w:bottom w:val="nil"/>
              <w:right w:val="nil"/>
            </w:tcBorders>
            <w:shd w:val="clear" w:color="auto" w:fill="auto"/>
            <w:noWrap/>
            <w:vAlign w:val="bottom"/>
            <w:hideMark/>
          </w:tcPr>
          <w:p w14:paraId="1AF7EE8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7</w:t>
            </w:r>
          </w:p>
        </w:tc>
      </w:tr>
      <w:tr w:rsidR="004664BA" w:rsidRPr="00FF6562" w14:paraId="077A98D7" w14:textId="77777777" w:rsidTr="004664BA">
        <w:trPr>
          <w:trHeight w:val="203"/>
        </w:trPr>
        <w:tc>
          <w:tcPr>
            <w:tcW w:w="760" w:type="dxa"/>
            <w:tcBorders>
              <w:top w:val="nil"/>
              <w:left w:val="nil"/>
              <w:bottom w:val="nil"/>
              <w:right w:val="nil"/>
            </w:tcBorders>
            <w:shd w:val="clear" w:color="auto" w:fill="auto"/>
            <w:noWrap/>
            <w:vAlign w:val="bottom"/>
            <w:hideMark/>
          </w:tcPr>
          <w:p w14:paraId="315B4C41"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11</m:t>
                    </m:r>
                  </m:sub>
                </m:sSub>
              </m:oMath>
            </m:oMathPara>
          </w:p>
        </w:tc>
        <w:tc>
          <w:tcPr>
            <w:tcW w:w="0" w:type="auto"/>
            <w:tcBorders>
              <w:top w:val="nil"/>
              <w:left w:val="nil"/>
              <w:bottom w:val="nil"/>
              <w:right w:val="nil"/>
            </w:tcBorders>
            <w:shd w:val="clear" w:color="auto" w:fill="auto"/>
            <w:noWrap/>
            <w:vAlign w:val="bottom"/>
            <w:hideMark/>
          </w:tcPr>
          <w:p w14:paraId="1689267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0.843</w:t>
            </w:r>
          </w:p>
        </w:tc>
        <w:tc>
          <w:tcPr>
            <w:tcW w:w="0" w:type="auto"/>
            <w:tcBorders>
              <w:top w:val="nil"/>
              <w:left w:val="nil"/>
              <w:bottom w:val="nil"/>
              <w:right w:val="nil"/>
            </w:tcBorders>
            <w:shd w:val="clear" w:color="auto" w:fill="auto"/>
            <w:noWrap/>
            <w:vAlign w:val="bottom"/>
            <w:hideMark/>
          </w:tcPr>
          <w:p w14:paraId="2696713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748107D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0.865</w:t>
            </w:r>
          </w:p>
        </w:tc>
        <w:tc>
          <w:tcPr>
            <w:tcW w:w="0" w:type="auto"/>
            <w:tcBorders>
              <w:top w:val="nil"/>
              <w:left w:val="nil"/>
              <w:bottom w:val="nil"/>
              <w:right w:val="nil"/>
            </w:tcBorders>
            <w:shd w:val="clear" w:color="auto" w:fill="auto"/>
            <w:noWrap/>
            <w:vAlign w:val="bottom"/>
            <w:hideMark/>
          </w:tcPr>
          <w:p w14:paraId="1517A9C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47D971A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0.886</w:t>
            </w:r>
          </w:p>
        </w:tc>
        <w:tc>
          <w:tcPr>
            <w:tcW w:w="0" w:type="auto"/>
            <w:tcBorders>
              <w:top w:val="nil"/>
              <w:left w:val="nil"/>
              <w:bottom w:val="nil"/>
              <w:right w:val="nil"/>
            </w:tcBorders>
            <w:shd w:val="clear" w:color="auto" w:fill="auto"/>
            <w:noWrap/>
            <w:vAlign w:val="bottom"/>
            <w:hideMark/>
          </w:tcPr>
          <w:p w14:paraId="7BE9707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458BDDB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0.893</w:t>
            </w:r>
          </w:p>
        </w:tc>
        <w:tc>
          <w:tcPr>
            <w:tcW w:w="0" w:type="auto"/>
            <w:tcBorders>
              <w:top w:val="nil"/>
              <w:left w:val="nil"/>
              <w:bottom w:val="nil"/>
              <w:right w:val="nil"/>
            </w:tcBorders>
            <w:shd w:val="clear" w:color="auto" w:fill="auto"/>
            <w:noWrap/>
            <w:vAlign w:val="bottom"/>
            <w:hideMark/>
          </w:tcPr>
          <w:p w14:paraId="21C6A68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5CEE6C9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0.833</w:t>
            </w:r>
          </w:p>
        </w:tc>
        <w:tc>
          <w:tcPr>
            <w:tcW w:w="0" w:type="auto"/>
            <w:tcBorders>
              <w:top w:val="nil"/>
              <w:left w:val="nil"/>
              <w:bottom w:val="nil"/>
              <w:right w:val="nil"/>
            </w:tcBorders>
            <w:shd w:val="clear" w:color="auto" w:fill="auto"/>
            <w:noWrap/>
            <w:vAlign w:val="bottom"/>
            <w:hideMark/>
          </w:tcPr>
          <w:p w14:paraId="41C8D2D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504E6BB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0.885</w:t>
            </w:r>
          </w:p>
        </w:tc>
        <w:tc>
          <w:tcPr>
            <w:tcW w:w="0" w:type="auto"/>
            <w:tcBorders>
              <w:top w:val="nil"/>
              <w:left w:val="nil"/>
              <w:bottom w:val="nil"/>
              <w:right w:val="nil"/>
            </w:tcBorders>
            <w:shd w:val="clear" w:color="auto" w:fill="auto"/>
            <w:noWrap/>
            <w:vAlign w:val="bottom"/>
            <w:hideMark/>
          </w:tcPr>
          <w:p w14:paraId="6B86EF8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329FA95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0.883</w:t>
            </w:r>
          </w:p>
        </w:tc>
        <w:tc>
          <w:tcPr>
            <w:tcW w:w="0" w:type="auto"/>
            <w:tcBorders>
              <w:top w:val="nil"/>
              <w:left w:val="nil"/>
              <w:bottom w:val="nil"/>
              <w:right w:val="nil"/>
            </w:tcBorders>
            <w:shd w:val="clear" w:color="auto" w:fill="auto"/>
            <w:noWrap/>
            <w:vAlign w:val="bottom"/>
            <w:hideMark/>
          </w:tcPr>
          <w:p w14:paraId="322F66C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5F86149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0.878</w:t>
            </w:r>
          </w:p>
        </w:tc>
        <w:tc>
          <w:tcPr>
            <w:tcW w:w="0" w:type="auto"/>
            <w:tcBorders>
              <w:top w:val="nil"/>
              <w:left w:val="nil"/>
              <w:bottom w:val="nil"/>
              <w:right w:val="nil"/>
            </w:tcBorders>
            <w:shd w:val="clear" w:color="auto" w:fill="auto"/>
            <w:noWrap/>
            <w:vAlign w:val="bottom"/>
            <w:hideMark/>
          </w:tcPr>
          <w:p w14:paraId="35D1B9B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49CE131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0.928</w:t>
            </w:r>
          </w:p>
        </w:tc>
        <w:tc>
          <w:tcPr>
            <w:tcW w:w="0" w:type="auto"/>
            <w:tcBorders>
              <w:top w:val="nil"/>
              <w:left w:val="nil"/>
              <w:bottom w:val="nil"/>
              <w:right w:val="nil"/>
            </w:tcBorders>
            <w:shd w:val="clear" w:color="auto" w:fill="auto"/>
            <w:noWrap/>
            <w:vAlign w:val="bottom"/>
            <w:hideMark/>
          </w:tcPr>
          <w:p w14:paraId="01BF5E5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25938C5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0.878</w:t>
            </w:r>
          </w:p>
        </w:tc>
        <w:tc>
          <w:tcPr>
            <w:tcW w:w="0" w:type="auto"/>
            <w:tcBorders>
              <w:top w:val="nil"/>
              <w:left w:val="nil"/>
              <w:bottom w:val="nil"/>
              <w:right w:val="nil"/>
            </w:tcBorders>
            <w:shd w:val="clear" w:color="auto" w:fill="auto"/>
            <w:noWrap/>
            <w:vAlign w:val="bottom"/>
            <w:hideMark/>
          </w:tcPr>
          <w:p w14:paraId="287BEA2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34D2D76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0.905</w:t>
            </w:r>
          </w:p>
        </w:tc>
        <w:tc>
          <w:tcPr>
            <w:tcW w:w="0" w:type="auto"/>
            <w:tcBorders>
              <w:top w:val="nil"/>
              <w:left w:val="nil"/>
              <w:bottom w:val="nil"/>
              <w:right w:val="nil"/>
            </w:tcBorders>
            <w:shd w:val="clear" w:color="auto" w:fill="auto"/>
            <w:noWrap/>
            <w:vAlign w:val="bottom"/>
            <w:hideMark/>
          </w:tcPr>
          <w:p w14:paraId="179D455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664BA" w:rsidRPr="00FF6562" w14:paraId="6D097AAA" w14:textId="77777777" w:rsidTr="004664BA">
        <w:trPr>
          <w:trHeight w:val="203"/>
        </w:trPr>
        <w:tc>
          <w:tcPr>
            <w:tcW w:w="760" w:type="dxa"/>
            <w:tcBorders>
              <w:top w:val="nil"/>
              <w:left w:val="nil"/>
              <w:bottom w:val="nil"/>
              <w:right w:val="nil"/>
            </w:tcBorders>
            <w:shd w:val="clear" w:color="auto" w:fill="auto"/>
            <w:noWrap/>
            <w:vAlign w:val="bottom"/>
            <w:hideMark/>
          </w:tcPr>
          <w:p w14:paraId="05462F59"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12</m:t>
                    </m:r>
                  </m:sub>
                </m:sSub>
              </m:oMath>
            </m:oMathPara>
          </w:p>
        </w:tc>
        <w:tc>
          <w:tcPr>
            <w:tcW w:w="0" w:type="auto"/>
            <w:tcBorders>
              <w:top w:val="nil"/>
              <w:left w:val="nil"/>
              <w:bottom w:val="nil"/>
              <w:right w:val="nil"/>
            </w:tcBorders>
            <w:shd w:val="clear" w:color="auto" w:fill="auto"/>
            <w:noWrap/>
            <w:vAlign w:val="bottom"/>
            <w:hideMark/>
          </w:tcPr>
          <w:p w14:paraId="7093287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-0.069</w:t>
            </w:r>
          </w:p>
        </w:tc>
        <w:tc>
          <w:tcPr>
            <w:tcW w:w="0" w:type="auto"/>
            <w:tcBorders>
              <w:top w:val="nil"/>
              <w:left w:val="nil"/>
              <w:bottom w:val="nil"/>
              <w:right w:val="nil"/>
            </w:tcBorders>
            <w:shd w:val="clear" w:color="auto" w:fill="auto"/>
            <w:noWrap/>
            <w:vAlign w:val="bottom"/>
            <w:hideMark/>
          </w:tcPr>
          <w:p w14:paraId="58856EB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0.489</w:t>
            </w:r>
          </w:p>
        </w:tc>
        <w:tc>
          <w:tcPr>
            <w:tcW w:w="0" w:type="auto"/>
            <w:tcBorders>
              <w:top w:val="nil"/>
              <w:left w:val="nil"/>
              <w:bottom w:val="nil"/>
              <w:right w:val="nil"/>
            </w:tcBorders>
            <w:shd w:val="clear" w:color="auto" w:fill="auto"/>
            <w:noWrap/>
            <w:vAlign w:val="bottom"/>
            <w:hideMark/>
          </w:tcPr>
          <w:p w14:paraId="11F4857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-0.109</w:t>
            </w:r>
          </w:p>
        </w:tc>
        <w:tc>
          <w:tcPr>
            <w:tcW w:w="0" w:type="auto"/>
            <w:tcBorders>
              <w:top w:val="nil"/>
              <w:left w:val="nil"/>
              <w:bottom w:val="nil"/>
              <w:right w:val="nil"/>
            </w:tcBorders>
            <w:shd w:val="clear" w:color="auto" w:fill="auto"/>
            <w:noWrap/>
            <w:vAlign w:val="bottom"/>
            <w:hideMark/>
          </w:tcPr>
          <w:p w14:paraId="6CB2230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0.055</w:t>
            </w:r>
          </w:p>
        </w:tc>
        <w:tc>
          <w:tcPr>
            <w:tcW w:w="0" w:type="auto"/>
            <w:tcBorders>
              <w:top w:val="nil"/>
              <w:left w:val="nil"/>
              <w:bottom w:val="nil"/>
              <w:right w:val="nil"/>
            </w:tcBorders>
            <w:shd w:val="clear" w:color="auto" w:fill="auto"/>
            <w:noWrap/>
            <w:vAlign w:val="bottom"/>
            <w:hideMark/>
          </w:tcPr>
          <w:p w14:paraId="08F62E0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-0.300</w:t>
            </w:r>
          </w:p>
        </w:tc>
        <w:tc>
          <w:tcPr>
            <w:tcW w:w="0" w:type="auto"/>
            <w:tcBorders>
              <w:top w:val="nil"/>
              <w:left w:val="nil"/>
              <w:bottom w:val="nil"/>
              <w:right w:val="nil"/>
            </w:tcBorders>
            <w:shd w:val="clear" w:color="auto" w:fill="auto"/>
            <w:noWrap/>
            <w:vAlign w:val="bottom"/>
            <w:hideMark/>
          </w:tcPr>
          <w:p w14:paraId="67510A8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0.224</w:t>
            </w:r>
          </w:p>
        </w:tc>
        <w:tc>
          <w:tcPr>
            <w:tcW w:w="0" w:type="auto"/>
            <w:tcBorders>
              <w:top w:val="nil"/>
              <w:left w:val="nil"/>
              <w:bottom w:val="nil"/>
              <w:right w:val="nil"/>
            </w:tcBorders>
            <w:shd w:val="clear" w:color="auto" w:fill="auto"/>
            <w:noWrap/>
            <w:vAlign w:val="bottom"/>
            <w:hideMark/>
          </w:tcPr>
          <w:p w14:paraId="2B0DAF2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-0.013</w:t>
            </w:r>
          </w:p>
        </w:tc>
        <w:tc>
          <w:tcPr>
            <w:tcW w:w="0" w:type="auto"/>
            <w:tcBorders>
              <w:top w:val="nil"/>
              <w:left w:val="nil"/>
              <w:bottom w:val="nil"/>
              <w:right w:val="nil"/>
            </w:tcBorders>
            <w:shd w:val="clear" w:color="auto" w:fill="auto"/>
            <w:noWrap/>
            <w:vAlign w:val="bottom"/>
            <w:hideMark/>
          </w:tcPr>
          <w:p w14:paraId="4705BB1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0.786</w:t>
            </w:r>
          </w:p>
        </w:tc>
        <w:tc>
          <w:tcPr>
            <w:tcW w:w="0" w:type="auto"/>
            <w:tcBorders>
              <w:top w:val="nil"/>
              <w:left w:val="nil"/>
              <w:bottom w:val="nil"/>
              <w:right w:val="nil"/>
            </w:tcBorders>
            <w:shd w:val="clear" w:color="auto" w:fill="auto"/>
            <w:noWrap/>
            <w:vAlign w:val="bottom"/>
            <w:hideMark/>
          </w:tcPr>
          <w:p w14:paraId="41E7639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-0.108</w:t>
            </w:r>
          </w:p>
        </w:tc>
        <w:tc>
          <w:tcPr>
            <w:tcW w:w="0" w:type="auto"/>
            <w:tcBorders>
              <w:top w:val="nil"/>
              <w:left w:val="nil"/>
              <w:bottom w:val="nil"/>
              <w:right w:val="nil"/>
            </w:tcBorders>
            <w:shd w:val="clear" w:color="auto" w:fill="auto"/>
            <w:noWrap/>
            <w:vAlign w:val="bottom"/>
            <w:hideMark/>
          </w:tcPr>
          <w:p w14:paraId="64E4192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0.078</w:t>
            </w:r>
          </w:p>
        </w:tc>
        <w:tc>
          <w:tcPr>
            <w:tcW w:w="0" w:type="auto"/>
            <w:tcBorders>
              <w:top w:val="nil"/>
              <w:left w:val="nil"/>
              <w:bottom w:val="nil"/>
              <w:right w:val="nil"/>
            </w:tcBorders>
            <w:shd w:val="clear" w:color="auto" w:fill="auto"/>
            <w:noWrap/>
            <w:vAlign w:val="bottom"/>
            <w:hideMark/>
          </w:tcPr>
          <w:p w14:paraId="1DA4E43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-0.202</w:t>
            </w:r>
          </w:p>
        </w:tc>
        <w:tc>
          <w:tcPr>
            <w:tcW w:w="0" w:type="auto"/>
            <w:tcBorders>
              <w:top w:val="nil"/>
              <w:left w:val="nil"/>
              <w:bottom w:val="nil"/>
              <w:right w:val="nil"/>
            </w:tcBorders>
            <w:shd w:val="clear" w:color="auto" w:fill="auto"/>
            <w:noWrap/>
            <w:vAlign w:val="bottom"/>
            <w:hideMark/>
          </w:tcPr>
          <w:p w14:paraId="59D350D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0.059</w:t>
            </w:r>
          </w:p>
        </w:tc>
        <w:tc>
          <w:tcPr>
            <w:tcW w:w="0" w:type="auto"/>
            <w:tcBorders>
              <w:top w:val="nil"/>
              <w:left w:val="nil"/>
              <w:bottom w:val="nil"/>
              <w:right w:val="nil"/>
            </w:tcBorders>
            <w:shd w:val="clear" w:color="auto" w:fill="auto"/>
            <w:noWrap/>
            <w:vAlign w:val="bottom"/>
            <w:hideMark/>
          </w:tcPr>
          <w:p w14:paraId="1AD2346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-0.073</w:t>
            </w:r>
          </w:p>
        </w:tc>
        <w:tc>
          <w:tcPr>
            <w:tcW w:w="0" w:type="auto"/>
            <w:tcBorders>
              <w:top w:val="nil"/>
              <w:left w:val="nil"/>
              <w:bottom w:val="nil"/>
              <w:right w:val="nil"/>
            </w:tcBorders>
            <w:shd w:val="clear" w:color="auto" w:fill="auto"/>
            <w:noWrap/>
            <w:vAlign w:val="bottom"/>
            <w:hideMark/>
          </w:tcPr>
          <w:p w14:paraId="0D3158D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0.156</w:t>
            </w:r>
          </w:p>
        </w:tc>
        <w:tc>
          <w:tcPr>
            <w:tcW w:w="0" w:type="auto"/>
            <w:tcBorders>
              <w:top w:val="nil"/>
              <w:left w:val="nil"/>
              <w:bottom w:val="nil"/>
              <w:right w:val="nil"/>
            </w:tcBorders>
            <w:shd w:val="clear" w:color="auto" w:fill="auto"/>
            <w:noWrap/>
            <w:vAlign w:val="bottom"/>
            <w:hideMark/>
          </w:tcPr>
          <w:p w14:paraId="392B036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-0.089</w:t>
            </w:r>
          </w:p>
        </w:tc>
        <w:tc>
          <w:tcPr>
            <w:tcW w:w="0" w:type="auto"/>
            <w:tcBorders>
              <w:top w:val="nil"/>
              <w:left w:val="nil"/>
              <w:bottom w:val="nil"/>
              <w:right w:val="nil"/>
            </w:tcBorders>
            <w:shd w:val="clear" w:color="auto" w:fill="auto"/>
            <w:noWrap/>
            <w:vAlign w:val="bottom"/>
            <w:hideMark/>
          </w:tcPr>
          <w:p w14:paraId="422D8C0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0.051</w:t>
            </w:r>
          </w:p>
        </w:tc>
        <w:tc>
          <w:tcPr>
            <w:tcW w:w="0" w:type="auto"/>
            <w:tcBorders>
              <w:top w:val="nil"/>
              <w:left w:val="nil"/>
              <w:bottom w:val="nil"/>
              <w:right w:val="nil"/>
            </w:tcBorders>
            <w:shd w:val="clear" w:color="auto" w:fill="auto"/>
            <w:noWrap/>
            <w:vAlign w:val="bottom"/>
            <w:hideMark/>
          </w:tcPr>
          <w:p w14:paraId="686303E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-0.088</w:t>
            </w:r>
          </w:p>
        </w:tc>
        <w:tc>
          <w:tcPr>
            <w:tcW w:w="0" w:type="auto"/>
            <w:tcBorders>
              <w:top w:val="nil"/>
              <w:left w:val="nil"/>
              <w:bottom w:val="nil"/>
              <w:right w:val="nil"/>
            </w:tcBorders>
            <w:shd w:val="clear" w:color="auto" w:fill="auto"/>
            <w:noWrap/>
            <w:vAlign w:val="bottom"/>
            <w:hideMark/>
          </w:tcPr>
          <w:p w14:paraId="3999705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0.163</w:t>
            </w:r>
          </w:p>
        </w:tc>
        <w:tc>
          <w:tcPr>
            <w:tcW w:w="0" w:type="auto"/>
            <w:tcBorders>
              <w:top w:val="nil"/>
              <w:left w:val="nil"/>
              <w:bottom w:val="nil"/>
              <w:right w:val="nil"/>
            </w:tcBorders>
            <w:shd w:val="clear" w:color="auto" w:fill="auto"/>
            <w:noWrap/>
            <w:vAlign w:val="bottom"/>
            <w:hideMark/>
          </w:tcPr>
          <w:p w14:paraId="4E776EA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-0.024</w:t>
            </w:r>
          </w:p>
        </w:tc>
        <w:tc>
          <w:tcPr>
            <w:tcW w:w="0" w:type="auto"/>
            <w:tcBorders>
              <w:top w:val="nil"/>
              <w:left w:val="nil"/>
              <w:bottom w:val="nil"/>
              <w:right w:val="nil"/>
            </w:tcBorders>
            <w:shd w:val="clear" w:color="auto" w:fill="auto"/>
            <w:noWrap/>
            <w:vAlign w:val="bottom"/>
            <w:hideMark/>
          </w:tcPr>
          <w:p w14:paraId="56DCED9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0.632</w:t>
            </w:r>
          </w:p>
        </w:tc>
        <w:tc>
          <w:tcPr>
            <w:tcW w:w="0" w:type="auto"/>
            <w:tcBorders>
              <w:top w:val="nil"/>
              <w:left w:val="nil"/>
              <w:bottom w:val="nil"/>
              <w:right w:val="nil"/>
            </w:tcBorders>
            <w:shd w:val="clear" w:color="auto" w:fill="auto"/>
            <w:noWrap/>
            <w:vAlign w:val="bottom"/>
            <w:hideMark/>
          </w:tcPr>
          <w:p w14:paraId="7493631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0.442</w:t>
            </w:r>
          </w:p>
        </w:tc>
        <w:tc>
          <w:tcPr>
            <w:tcW w:w="0" w:type="auto"/>
            <w:tcBorders>
              <w:top w:val="nil"/>
              <w:left w:val="nil"/>
              <w:bottom w:val="nil"/>
              <w:right w:val="nil"/>
            </w:tcBorders>
            <w:shd w:val="clear" w:color="auto" w:fill="auto"/>
            <w:noWrap/>
            <w:vAlign w:val="bottom"/>
            <w:hideMark/>
          </w:tcPr>
          <w:p w14:paraId="554C594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0.158</w:t>
            </w:r>
          </w:p>
        </w:tc>
      </w:tr>
      <w:tr w:rsidR="004664BA" w:rsidRPr="00FF6562" w14:paraId="3374C5FA" w14:textId="77777777" w:rsidTr="004664BA">
        <w:trPr>
          <w:trHeight w:val="203"/>
        </w:trPr>
        <w:tc>
          <w:tcPr>
            <w:tcW w:w="760" w:type="dxa"/>
            <w:tcBorders>
              <w:top w:val="nil"/>
              <w:left w:val="nil"/>
              <w:bottom w:val="nil"/>
              <w:right w:val="nil"/>
            </w:tcBorders>
            <w:shd w:val="clear" w:color="auto" w:fill="auto"/>
            <w:noWrap/>
            <w:vAlign w:val="bottom"/>
            <w:hideMark/>
          </w:tcPr>
          <w:p w14:paraId="1FB3BA5B"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21</m:t>
                    </m:r>
                  </m:sub>
                </m:sSub>
              </m:oMath>
            </m:oMathPara>
          </w:p>
        </w:tc>
        <w:tc>
          <w:tcPr>
            <w:tcW w:w="0" w:type="auto"/>
            <w:tcBorders>
              <w:top w:val="nil"/>
              <w:left w:val="nil"/>
              <w:bottom w:val="nil"/>
              <w:right w:val="nil"/>
            </w:tcBorders>
            <w:shd w:val="clear" w:color="auto" w:fill="auto"/>
            <w:noWrap/>
            <w:vAlign w:val="bottom"/>
            <w:hideMark/>
          </w:tcPr>
          <w:p w14:paraId="4D00EC6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0.015</w:t>
            </w:r>
          </w:p>
        </w:tc>
        <w:tc>
          <w:tcPr>
            <w:tcW w:w="0" w:type="auto"/>
            <w:tcBorders>
              <w:top w:val="nil"/>
              <w:left w:val="nil"/>
              <w:bottom w:val="nil"/>
              <w:right w:val="nil"/>
            </w:tcBorders>
            <w:shd w:val="clear" w:color="auto" w:fill="auto"/>
            <w:noWrap/>
            <w:vAlign w:val="bottom"/>
            <w:hideMark/>
          </w:tcPr>
          <w:p w14:paraId="377B1AB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0.838</w:t>
            </w:r>
          </w:p>
        </w:tc>
        <w:tc>
          <w:tcPr>
            <w:tcW w:w="0" w:type="auto"/>
            <w:tcBorders>
              <w:top w:val="nil"/>
              <w:left w:val="nil"/>
              <w:bottom w:val="nil"/>
              <w:right w:val="nil"/>
            </w:tcBorders>
            <w:shd w:val="clear" w:color="auto" w:fill="auto"/>
            <w:noWrap/>
            <w:vAlign w:val="bottom"/>
            <w:hideMark/>
          </w:tcPr>
          <w:p w14:paraId="08BCC7C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0.045</w:t>
            </w:r>
          </w:p>
        </w:tc>
        <w:tc>
          <w:tcPr>
            <w:tcW w:w="0" w:type="auto"/>
            <w:tcBorders>
              <w:top w:val="nil"/>
              <w:left w:val="nil"/>
              <w:bottom w:val="nil"/>
              <w:right w:val="nil"/>
            </w:tcBorders>
            <w:shd w:val="clear" w:color="auto" w:fill="auto"/>
            <w:noWrap/>
            <w:vAlign w:val="bottom"/>
            <w:hideMark/>
          </w:tcPr>
          <w:p w14:paraId="4D4818D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61ED04B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bottom"/>
            <w:hideMark/>
          </w:tcPr>
          <w:p w14:paraId="5CDB6EF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0.975</w:t>
            </w:r>
          </w:p>
        </w:tc>
        <w:tc>
          <w:tcPr>
            <w:tcW w:w="0" w:type="auto"/>
            <w:tcBorders>
              <w:top w:val="nil"/>
              <w:left w:val="nil"/>
              <w:bottom w:val="nil"/>
              <w:right w:val="nil"/>
            </w:tcBorders>
            <w:shd w:val="clear" w:color="auto" w:fill="auto"/>
            <w:noWrap/>
            <w:vAlign w:val="bottom"/>
            <w:hideMark/>
          </w:tcPr>
          <w:p w14:paraId="693D15A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0.066</w:t>
            </w:r>
          </w:p>
        </w:tc>
        <w:tc>
          <w:tcPr>
            <w:tcW w:w="0" w:type="auto"/>
            <w:tcBorders>
              <w:top w:val="nil"/>
              <w:left w:val="nil"/>
              <w:bottom w:val="nil"/>
              <w:right w:val="nil"/>
            </w:tcBorders>
            <w:shd w:val="clear" w:color="auto" w:fill="auto"/>
            <w:noWrap/>
            <w:vAlign w:val="bottom"/>
            <w:hideMark/>
          </w:tcPr>
          <w:p w14:paraId="6774A7A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0.160</w:t>
            </w:r>
          </w:p>
        </w:tc>
        <w:tc>
          <w:tcPr>
            <w:tcW w:w="0" w:type="auto"/>
            <w:tcBorders>
              <w:top w:val="nil"/>
              <w:left w:val="nil"/>
              <w:bottom w:val="nil"/>
              <w:right w:val="nil"/>
            </w:tcBorders>
            <w:shd w:val="clear" w:color="auto" w:fill="auto"/>
            <w:noWrap/>
            <w:vAlign w:val="bottom"/>
            <w:hideMark/>
          </w:tcPr>
          <w:p w14:paraId="0150481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0.089</w:t>
            </w:r>
          </w:p>
        </w:tc>
        <w:tc>
          <w:tcPr>
            <w:tcW w:w="0" w:type="auto"/>
            <w:tcBorders>
              <w:top w:val="nil"/>
              <w:left w:val="nil"/>
              <w:bottom w:val="nil"/>
              <w:right w:val="nil"/>
            </w:tcBorders>
            <w:shd w:val="clear" w:color="auto" w:fill="auto"/>
            <w:noWrap/>
            <w:vAlign w:val="bottom"/>
            <w:hideMark/>
          </w:tcPr>
          <w:p w14:paraId="7FE9C04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0.054</w:t>
            </w:r>
          </w:p>
        </w:tc>
        <w:tc>
          <w:tcPr>
            <w:tcW w:w="0" w:type="auto"/>
            <w:tcBorders>
              <w:top w:val="nil"/>
              <w:left w:val="nil"/>
              <w:bottom w:val="nil"/>
              <w:right w:val="nil"/>
            </w:tcBorders>
            <w:shd w:val="clear" w:color="auto" w:fill="auto"/>
            <w:noWrap/>
            <w:vAlign w:val="bottom"/>
            <w:hideMark/>
          </w:tcPr>
          <w:p w14:paraId="4582CA5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0.031</w:t>
            </w:r>
          </w:p>
        </w:tc>
        <w:tc>
          <w:tcPr>
            <w:tcW w:w="0" w:type="auto"/>
            <w:tcBorders>
              <w:top w:val="nil"/>
              <w:left w:val="nil"/>
              <w:bottom w:val="nil"/>
              <w:right w:val="nil"/>
            </w:tcBorders>
            <w:shd w:val="clear" w:color="auto" w:fill="auto"/>
            <w:noWrap/>
            <w:vAlign w:val="bottom"/>
            <w:hideMark/>
          </w:tcPr>
          <w:p w14:paraId="45999A4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0.140</w:t>
            </w:r>
          </w:p>
        </w:tc>
        <w:tc>
          <w:tcPr>
            <w:tcW w:w="0" w:type="auto"/>
            <w:tcBorders>
              <w:top w:val="nil"/>
              <w:left w:val="nil"/>
              <w:bottom w:val="nil"/>
              <w:right w:val="nil"/>
            </w:tcBorders>
            <w:shd w:val="clear" w:color="auto" w:fill="auto"/>
            <w:noWrap/>
            <w:vAlign w:val="bottom"/>
            <w:hideMark/>
          </w:tcPr>
          <w:p w14:paraId="30BFE5B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0.023</w:t>
            </w:r>
          </w:p>
        </w:tc>
        <w:tc>
          <w:tcPr>
            <w:tcW w:w="0" w:type="auto"/>
            <w:tcBorders>
              <w:top w:val="nil"/>
              <w:left w:val="nil"/>
              <w:bottom w:val="nil"/>
              <w:right w:val="nil"/>
            </w:tcBorders>
            <w:shd w:val="clear" w:color="auto" w:fill="auto"/>
            <w:noWrap/>
            <w:vAlign w:val="bottom"/>
            <w:hideMark/>
          </w:tcPr>
          <w:p w14:paraId="4CDB799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0.028</w:t>
            </w:r>
          </w:p>
        </w:tc>
        <w:tc>
          <w:tcPr>
            <w:tcW w:w="0" w:type="auto"/>
            <w:tcBorders>
              <w:top w:val="nil"/>
              <w:left w:val="nil"/>
              <w:bottom w:val="nil"/>
              <w:right w:val="nil"/>
            </w:tcBorders>
            <w:shd w:val="clear" w:color="auto" w:fill="auto"/>
            <w:noWrap/>
            <w:vAlign w:val="bottom"/>
            <w:hideMark/>
          </w:tcPr>
          <w:p w14:paraId="1AD54C5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0.013</w:t>
            </w:r>
          </w:p>
        </w:tc>
        <w:tc>
          <w:tcPr>
            <w:tcW w:w="0" w:type="auto"/>
            <w:tcBorders>
              <w:top w:val="nil"/>
              <w:left w:val="nil"/>
              <w:bottom w:val="nil"/>
              <w:right w:val="nil"/>
            </w:tcBorders>
            <w:shd w:val="clear" w:color="auto" w:fill="auto"/>
            <w:noWrap/>
            <w:vAlign w:val="bottom"/>
            <w:hideMark/>
          </w:tcPr>
          <w:p w14:paraId="03DF347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0.455</w:t>
            </w:r>
          </w:p>
        </w:tc>
        <w:tc>
          <w:tcPr>
            <w:tcW w:w="0" w:type="auto"/>
            <w:tcBorders>
              <w:top w:val="nil"/>
              <w:left w:val="nil"/>
              <w:bottom w:val="nil"/>
              <w:right w:val="nil"/>
            </w:tcBorders>
            <w:shd w:val="clear" w:color="auto" w:fill="auto"/>
            <w:noWrap/>
            <w:vAlign w:val="bottom"/>
            <w:hideMark/>
          </w:tcPr>
          <w:p w14:paraId="24ECD1A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0.026</w:t>
            </w:r>
          </w:p>
        </w:tc>
        <w:tc>
          <w:tcPr>
            <w:tcW w:w="0" w:type="auto"/>
            <w:tcBorders>
              <w:top w:val="nil"/>
              <w:left w:val="nil"/>
              <w:bottom w:val="nil"/>
              <w:right w:val="nil"/>
            </w:tcBorders>
            <w:shd w:val="clear" w:color="auto" w:fill="auto"/>
            <w:noWrap/>
            <w:vAlign w:val="bottom"/>
            <w:hideMark/>
          </w:tcPr>
          <w:p w14:paraId="2C331F3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0.032</w:t>
            </w:r>
          </w:p>
        </w:tc>
        <w:tc>
          <w:tcPr>
            <w:tcW w:w="0" w:type="auto"/>
            <w:tcBorders>
              <w:top w:val="nil"/>
              <w:left w:val="nil"/>
              <w:bottom w:val="nil"/>
              <w:right w:val="nil"/>
            </w:tcBorders>
            <w:shd w:val="clear" w:color="auto" w:fill="auto"/>
            <w:noWrap/>
            <w:vAlign w:val="bottom"/>
            <w:hideMark/>
          </w:tcPr>
          <w:p w14:paraId="4041B2B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0.022</w:t>
            </w:r>
          </w:p>
        </w:tc>
        <w:tc>
          <w:tcPr>
            <w:tcW w:w="0" w:type="auto"/>
            <w:tcBorders>
              <w:top w:val="nil"/>
              <w:left w:val="nil"/>
              <w:bottom w:val="nil"/>
              <w:right w:val="nil"/>
            </w:tcBorders>
            <w:shd w:val="clear" w:color="auto" w:fill="auto"/>
            <w:noWrap/>
            <w:vAlign w:val="bottom"/>
            <w:hideMark/>
          </w:tcPr>
          <w:p w14:paraId="3371C44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0.060</w:t>
            </w:r>
          </w:p>
        </w:tc>
        <w:tc>
          <w:tcPr>
            <w:tcW w:w="0" w:type="auto"/>
            <w:tcBorders>
              <w:top w:val="nil"/>
              <w:left w:val="nil"/>
              <w:bottom w:val="nil"/>
              <w:right w:val="nil"/>
            </w:tcBorders>
            <w:shd w:val="clear" w:color="auto" w:fill="auto"/>
            <w:noWrap/>
            <w:vAlign w:val="bottom"/>
            <w:hideMark/>
          </w:tcPr>
          <w:p w14:paraId="2E83178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-0.050</w:t>
            </w:r>
          </w:p>
        </w:tc>
        <w:tc>
          <w:tcPr>
            <w:tcW w:w="0" w:type="auto"/>
            <w:tcBorders>
              <w:top w:val="nil"/>
              <w:left w:val="nil"/>
              <w:bottom w:val="nil"/>
              <w:right w:val="nil"/>
            </w:tcBorders>
            <w:shd w:val="clear" w:color="auto" w:fill="auto"/>
            <w:noWrap/>
            <w:vAlign w:val="bottom"/>
            <w:hideMark/>
          </w:tcPr>
          <w:p w14:paraId="76298F8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664BA" w:rsidRPr="00FF6562" w14:paraId="76613E3E" w14:textId="77777777" w:rsidTr="004664BA">
        <w:trPr>
          <w:trHeight w:val="203"/>
        </w:trPr>
        <w:tc>
          <w:tcPr>
            <w:tcW w:w="760" w:type="dxa"/>
            <w:tcBorders>
              <w:top w:val="nil"/>
              <w:left w:val="nil"/>
              <w:bottom w:val="nil"/>
              <w:right w:val="nil"/>
            </w:tcBorders>
            <w:shd w:val="clear" w:color="auto" w:fill="auto"/>
            <w:noWrap/>
            <w:vAlign w:val="bottom"/>
            <w:hideMark/>
          </w:tcPr>
          <w:p w14:paraId="21DBD2AD" w14:textId="77777777" w:rsidR="00476036"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22</m:t>
                    </m:r>
                  </m:sub>
                </m:sSub>
              </m:oMath>
            </m:oMathPara>
          </w:p>
        </w:tc>
        <w:tc>
          <w:tcPr>
            <w:tcW w:w="0" w:type="auto"/>
            <w:tcBorders>
              <w:top w:val="nil"/>
              <w:left w:val="nil"/>
              <w:bottom w:val="nil"/>
              <w:right w:val="nil"/>
            </w:tcBorders>
            <w:shd w:val="clear" w:color="auto" w:fill="auto"/>
            <w:noWrap/>
            <w:vAlign w:val="bottom"/>
            <w:hideMark/>
          </w:tcPr>
          <w:p w14:paraId="092DFBE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0.556</w:t>
            </w:r>
          </w:p>
        </w:tc>
        <w:tc>
          <w:tcPr>
            <w:tcW w:w="0" w:type="auto"/>
            <w:tcBorders>
              <w:top w:val="nil"/>
              <w:left w:val="nil"/>
              <w:bottom w:val="nil"/>
              <w:right w:val="nil"/>
            </w:tcBorders>
            <w:shd w:val="clear" w:color="auto" w:fill="auto"/>
            <w:noWrap/>
            <w:vAlign w:val="bottom"/>
            <w:hideMark/>
          </w:tcPr>
          <w:p w14:paraId="4426C56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bottom"/>
            <w:hideMark/>
          </w:tcPr>
          <w:p w14:paraId="1E71035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0.817</w:t>
            </w:r>
          </w:p>
        </w:tc>
        <w:tc>
          <w:tcPr>
            <w:tcW w:w="0" w:type="auto"/>
            <w:tcBorders>
              <w:top w:val="nil"/>
              <w:left w:val="nil"/>
              <w:bottom w:val="nil"/>
              <w:right w:val="nil"/>
            </w:tcBorders>
            <w:shd w:val="clear" w:color="auto" w:fill="auto"/>
            <w:noWrap/>
            <w:vAlign w:val="bottom"/>
            <w:hideMark/>
          </w:tcPr>
          <w:p w14:paraId="709A46D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699DB52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0.576</w:t>
            </w:r>
          </w:p>
        </w:tc>
        <w:tc>
          <w:tcPr>
            <w:tcW w:w="0" w:type="auto"/>
            <w:tcBorders>
              <w:top w:val="nil"/>
              <w:left w:val="nil"/>
              <w:bottom w:val="nil"/>
              <w:right w:val="nil"/>
            </w:tcBorders>
            <w:shd w:val="clear" w:color="auto" w:fill="auto"/>
            <w:noWrap/>
            <w:vAlign w:val="bottom"/>
            <w:hideMark/>
          </w:tcPr>
          <w:p w14:paraId="623C430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bottom"/>
            <w:hideMark/>
          </w:tcPr>
          <w:p w14:paraId="3CE37E6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0.847</w:t>
            </w:r>
          </w:p>
        </w:tc>
        <w:tc>
          <w:tcPr>
            <w:tcW w:w="0" w:type="auto"/>
            <w:tcBorders>
              <w:top w:val="nil"/>
              <w:left w:val="nil"/>
              <w:bottom w:val="nil"/>
              <w:right w:val="nil"/>
            </w:tcBorders>
            <w:shd w:val="clear" w:color="auto" w:fill="auto"/>
            <w:noWrap/>
            <w:vAlign w:val="bottom"/>
            <w:hideMark/>
          </w:tcPr>
          <w:p w14:paraId="7E7493E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595BBD8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0.731</w:t>
            </w:r>
          </w:p>
        </w:tc>
        <w:tc>
          <w:tcPr>
            <w:tcW w:w="0" w:type="auto"/>
            <w:tcBorders>
              <w:top w:val="nil"/>
              <w:left w:val="nil"/>
              <w:bottom w:val="nil"/>
              <w:right w:val="nil"/>
            </w:tcBorders>
            <w:shd w:val="clear" w:color="auto" w:fill="auto"/>
            <w:noWrap/>
            <w:vAlign w:val="bottom"/>
            <w:hideMark/>
          </w:tcPr>
          <w:p w14:paraId="2F8269A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391C6A2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0.762</w:t>
            </w:r>
          </w:p>
        </w:tc>
        <w:tc>
          <w:tcPr>
            <w:tcW w:w="0" w:type="auto"/>
            <w:tcBorders>
              <w:top w:val="nil"/>
              <w:left w:val="nil"/>
              <w:bottom w:val="nil"/>
              <w:right w:val="nil"/>
            </w:tcBorders>
            <w:shd w:val="clear" w:color="auto" w:fill="auto"/>
            <w:noWrap/>
            <w:vAlign w:val="bottom"/>
            <w:hideMark/>
          </w:tcPr>
          <w:p w14:paraId="1220903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06495D1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0.827</w:t>
            </w:r>
          </w:p>
        </w:tc>
        <w:tc>
          <w:tcPr>
            <w:tcW w:w="0" w:type="auto"/>
            <w:tcBorders>
              <w:top w:val="nil"/>
              <w:left w:val="nil"/>
              <w:bottom w:val="nil"/>
              <w:right w:val="nil"/>
            </w:tcBorders>
            <w:shd w:val="clear" w:color="auto" w:fill="auto"/>
            <w:noWrap/>
            <w:vAlign w:val="bottom"/>
            <w:hideMark/>
          </w:tcPr>
          <w:p w14:paraId="4785A77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6D75F46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0.763</w:t>
            </w:r>
          </w:p>
        </w:tc>
        <w:tc>
          <w:tcPr>
            <w:tcW w:w="0" w:type="auto"/>
            <w:tcBorders>
              <w:top w:val="nil"/>
              <w:left w:val="nil"/>
              <w:bottom w:val="nil"/>
              <w:right w:val="nil"/>
            </w:tcBorders>
            <w:shd w:val="clear" w:color="auto" w:fill="auto"/>
            <w:noWrap/>
            <w:vAlign w:val="bottom"/>
            <w:hideMark/>
          </w:tcPr>
          <w:p w14:paraId="612D85B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2A6F417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0.812</w:t>
            </w:r>
          </w:p>
        </w:tc>
        <w:tc>
          <w:tcPr>
            <w:tcW w:w="0" w:type="auto"/>
            <w:tcBorders>
              <w:top w:val="nil"/>
              <w:left w:val="nil"/>
              <w:bottom w:val="nil"/>
              <w:right w:val="nil"/>
            </w:tcBorders>
            <w:shd w:val="clear" w:color="auto" w:fill="auto"/>
            <w:noWrap/>
            <w:vAlign w:val="bottom"/>
            <w:hideMark/>
          </w:tcPr>
          <w:p w14:paraId="092ECAA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6321DF8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0.818</w:t>
            </w:r>
          </w:p>
        </w:tc>
        <w:tc>
          <w:tcPr>
            <w:tcW w:w="0" w:type="auto"/>
            <w:tcBorders>
              <w:top w:val="nil"/>
              <w:left w:val="nil"/>
              <w:bottom w:val="nil"/>
              <w:right w:val="nil"/>
            </w:tcBorders>
            <w:shd w:val="clear" w:color="auto" w:fill="auto"/>
            <w:noWrap/>
            <w:vAlign w:val="bottom"/>
            <w:hideMark/>
          </w:tcPr>
          <w:p w14:paraId="258A37D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428CB9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0.820</w:t>
            </w:r>
          </w:p>
        </w:tc>
        <w:tc>
          <w:tcPr>
            <w:tcW w:w="0" w:type="auto"/>
            <w:tcBorders>
              <w:top w:val="nil"/>
              <w:left w:val="nil"/>
              <w:bottom w:val="nil"/>
              <w:right w:val="nil"/>
            </w:tcBorders>
            <w:shd w:val="clear" w:color="auto" w:fill="auto"/>
            <w:noWrap/>
            <w:vAlign w:val="bottom"/>
            <w:hideMark/>
          </w:tcPr>
          <w:p w14:paraId="2BBFC12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664BA" w:rsidRPr="00FF6562" w14:paraId="313E68D5" w14:textId="77777777" w:rsidTr="004664BA">
        <w:trPr>
          <w:trHeight w:val="203"/>
        </w:trPr>
        <w:tc>
          <w:tcPr>
            <w:tcW w:w="760" w:type="dxa"/>
            <w:tcBorders>
              <w:top w:val="nil"/>
              <w:left w:val="nil"/>
              <w:bottom w:val="nil"/>
              <w:right w:val="nil"/>
            </w:tcBorders>
            <w:shd w:val="clear" w:color="auto" w:fill="auto"/>
            <w:noWrap/>
            <w:vAlign w:val="bottom"/>
            <w:hideMark/>
          </w:tcPr>
          <w:p w14:paraId="0B9DCB42" w14:textId="77777777" w:rsidR="00476036"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11</m:t>
                    </m:r>
                  </m:sub>
                </m:sSub>
              </m:oMath>
            </m:oMathPara>
          </w:p>
        </w:tc>
        <w:tc>
          <w:tcPr>
            <w:tcW w:w="0" w:type="auto"/>
            <w:tcBorders>
              <w:top w:val="nil"/>
              <w:left w:val="nil"/>
              <w:bottom w:val="nil"/>
              <w:right w:val="nil"/>
            </w:tcBorders>
            <w:shd w:val="clear" w:color="auto" w:fill="auto"/>
            <w:noWrap/>
            <w:vAlign w:val="bottom"/>
            <w:hideMark/>
          </w:tcPr>
          <w:p w14:paraId="3F8B6AD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0.436</w:t>
            </w:r>
          </w:p>
        </w:tc>
        <w:tc>
          <w:tcPr>
            <w:tcW w:w="0" w:type="auto"/>
            <w:tcBorders>
              <w:top w:val="nil"/>
              <w:left w:val="nil"/>
              <w:bottom w:val="nil"/>
              <w:right w:val="nil"/>
            </w:tcBorders>
            <w:shd w:val="clear" w:color="auto" w:fill="auto"/>
            <w:noWrap/>
            <w:vAlign w:val="bottom"/>
            <w:hideMark/>
          </w:tcPr>
          <w:p w14:paraId="628E4EA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0" w:type="auto"/>
            <w:tcBorders>
              <w:top w:val="nil"/>
              <w:left w:val="nil"/>
              <w:bottom w:val="nil"/>
              <w:right w:val="nil"/>
            </w:tcBorders>
            <w:shd w:val="clear" w:color="auto" w:fill="auto"/>
            <w:noWrap/>
            <w:vAlign w:val="bottom"/>
            <w:hideMark/>
          </w:tcPr>
          <w:p w14:paraId="086B943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0.444</w:t>
            </w:r>
          </w:p>
        </w:tc>
        <w:tc>
          <w:tcPr>
            <w:tcW w:w="0" w:type="auto"/>
            <w:tcBorders>
              <w:top w:val="nil"/>
              <w:left w:val="nil"/>
              <w:bottom w:val="nil"/>
              <w:right w:val="nil"/>
            </w:tcBorders>
            <w:shd w:val="clear" w:color="auto" w:fill="auto"/>
            <w:noWrap/>
            <w:vAlign w:val="bottom"/>
            <w:hideMark/>
          </w:tcPr>
          <w:p w14:paraId="2221C30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044363C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0.579</w:t>
            </w:r>
          </w:p>
        </w:tc>
        <w:tc>
          <w:tcPr>
            <w:tcW w:w="0" w:type="auto"/>
            <w:tcBorders>
              <w:top w:val="nil"/>
              <w:left w:val="nil"/>
              <w:bottom w:val="nil"/>
              <w:right w:val="nil"/>
            </w:tcBorders>
            <w:shd w:val="clear" w:color="auto" w:fill="auto"/>
            <w:noWrap/>
            <w:vAlign w:val="bottom"/>
            <w:hideMark/>
          </w:tcPr>
          <w:p w14:paraId="285744F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0" w:type="auto"/>
            <w:tcBorders>
              <w:top w:val="nil"/>
              <w:left w:val="nil"/>
              <w:bottom w:val="nil"/>
              <w:right w:val="nil"/>
            </w:tcBorders>
            <w:shd w:val="clear" w:color="auto" w:fill="auto"/>
            <w:noWrap/>
            <w:vAlign w:val="bottom"/>
            <w:hideMark/>
          </w:tcPr>
          <w:p w14:paraId="36FCE39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0.424</w:t>
            </w:r>
          </w:p>
        </w:tc>
        <w:tc>
          <w:tcPr>
            <w:tcW w:w="0" w:type="auto"/>
            <w:tcBorders>
              <w:top w:val="nil"/>
              <w:left w:val="nil"/>
              <w:bottom w:val="nil"/>
              <w:right w:val="nil"/>
            </w:tcBorders>
            <w:shd w:val="clear" w:color="auto" w:fill="auto"/>
            <w:noWrap/>
            <w:vAlign w:val="bottom"/>
            <w:hideMark/>
          </w:tcPr>
          <w:p w14:paraId="1EB3CC0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0.049</w:t>
            </w:r>
          </w:p>
        </w:tc>
        <w:tc>
          <w:tcPr>
            <w:tcW w:w="0" w:type="auto"/>
            <w:tcBorders>
              <w:top w:val="nil"/>
              <w:left w:val="nil"/>
              <w:bottom w:val="nil"/>
              <w:right w:val="nil"/>
            </w:tcBorders>
            <w:shd w:val="clear" w:color="auto" w:fill="auto"/>
            <w:noWrap/>
            <w:vAlign w:val="bottom"/>
            <w:hideMark/>
          </w:tcPr>
          <w:p w14:paraId="72A62C6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-0.259</w:t>
            </w:r>
          </w:p>
        </w:tc>
        <w:tc>
          <w:tcPr>
            <w:tcW w:w="0" w:type="auto"/>
            <w:tcBorders>
              <w:top w:val="nil"/>
              <w:left w:val="nil"/>
              <w:bottom w:val="nil"/>
              <w:right w:val="nil"/>
            </w:tcBorders>
            <w:shd w:val="clear" w:color="auto" w:fill="auto"/>
            <w:noWrap/>
            <w:vAlign w:val="bottom"/>
            <w:hideMark/>
          </w:tcPr>
          <w:p w14:paraId="6C01ACA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0.335</w:t>
            </w:r>
          </w:p>
        </w:tc>
        <w:tc>
          <w:tcPr>
            <w:tcW w:w="0" w:type="auto"/>
            <w:tcBorders>
              <w:top w:val="nil"/>
              <w:left w:val="nil"/>
              <w:bottom w:val="nil"/>
              <w:right w:val="nil"/>
            </w:tcBorders>
            <w:shd w:val="clear" w:color="auto" w:fill="auto"/>
            <w:noWrap/>
            <w:vAlign w:val="bottom"/>
            <w:hideMark/>
          </w:tcPr>
          <w:p w14:paraId="17486E3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0.368</w:t>
            </w:r>
          </w:p>
        </w:tc>
        <w:tc>
          <w:tcPr>
            <w:tcW w:w="0" w:type="auto"/>
            <w:tcBorders>
              <w:top w:val="nil"/>
              <w:left w:val="nil"/>
              <w:bottom w:val="nil"/>
              <w:right w:val="nil"/>
            </w:tcBorders>
            <w:shd w:val="clear" w:color="auto" w:fill="auto"/>
            <w:noWrap/>
            <w:vAlign w:val="bottom"/>
            <w:hideMark/>
          </w:tcPr>
          <w:p w14:paraId="50B9D43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040FAC8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0.471</w:t>
            </w:r>
          </w:p>
        </w:tc>
        <w:tc>
          <w:tcPr>
            <w:tcW w:w="0" w:type="auto"/>
            <w:tcBorders>
              <w:top w:val="nil"/>
              <w:left w:val="nil"/>
              <w:bottom w:val="nil"/>
              <w:right w:val="nil"/>
            </w:tcBorders>
            <w:shd w:val="clear" w:color="auto" w:fill="auto"/>
            <w:noWrap/>
            <w:vAlign w:val="bottom"/>
            <w:hideMark/>
          </w:tcPr>
          <w:p w14:paraId="6859BF3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560A29A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0.339</w:t>
            </w:r>
          </w:p>
        </w:tc>
        <w:tc>
          <w:tcPr>
            <w:tcW w:w="0" w:type="auto"/>
            <w:tcBorders>
              <w:top w:val="nil"/>
              <w:left w:val="nil"/>
              <w:bottom w:val="nil"/>
              <w:right w:val="nil"/>
            </w:tcBorders>
            <w:shd w:val="clear" w:color="auto" w:fill="auto"/>
            <w:noWrap/>
            <w:vAlign w:val="bottom"/>
            <w:hideMark/>
          </w:tcPr>
          <w:p w14:paraId="5EEBCE3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175408A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0.333</w:t>
            </w:r>
          </w:p>
        </w:tc>
        <w:tc>
          <w:tcPr>
            <w:tcW w:w="0" w:type="auto"/>
            <w:tcBorders>
              <w:top w:val="nil"/>
              <w:left w:val="nil"/>
              <w:bottom w:val="nil"/>
              <w:right w:val="nil"/>
            </w:tcBorders>
            <w:shd w:val="clear" w:color="auto" w:fill="auto"/>
            <w:noWrap/>
            <w:vAlign w:val="bottom"/>
            <w:hideMark/>
          </w:tcPr>
          <w:p w14:paraId="0DDD9AC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0986CA0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0.184</w:t>
            </w:r>
          </w:p>
        </w:tc>
        <w:tc>
          <w:tcPr>
            <w:tcW w:w="0" w:type="auto"/>
            <w:tcBorders>
              <w:top w:val="nil"/>
              <w:left w:val="nil"/>
              <w:bottom w:val="nil"/>
              <w:right w:val="nil"/>
            </w:tcBorders>
            <w:shd w:val="clear" w:color="auto" w:fill="auto"/>
            <w:noWrap/>
            <w:vAlign w:val="bottom"/>
            <w:hideMark/>
          </w:tcPr>
          <w:p w14:paraId="13009E2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0.295</w:t>
            </w:r>
          </w:p>
        </w:tc>
        <w:tc>
          <w:tcPr>
            <w:tcW w:w="0" w:type="auto"/>
            <w:tcBorders>
              <w:top w:val="nil"/>
              <w:left w:val="nil"/>
              <w:bottom w:val="nil"/>
              <w:right w:val="nil"/>
            </w:tcBorders>
            <w:shd w:val="clear" w:color="auto" w:fill="auto"/>
            <w:noWrap/>
            <w:vAlign w:val="bottom"/>
            <w:hideMark/>
          </w:tcPr>
          <w:p w14:paraId="19BFCF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0.407</w:t>
            </w:r>
          </w:p>
        </w:tc>
        <w:tc>
          <w:tcPr>
            <w:tcW w:w="0" w:type="auto"/>
            <w:tcBorders>
              <w:top w:val="nil"/>
              <w:left w:val="nil"/>
              <w:bottom w:val="nil"/>
              <w:right w:val="nil"/>
            </w:tcBorders>
            <w:shd w:val="clear" w:color="auto" w:fill="auto"/>
            <w:noWrap/>
            <w:vAlign w:val="bottom"/>
            <w:hideMark/>
          </w:tcPr>
          <w:p w14:paraId="6E78F43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r>
      <w:tr w:rsidR="004664BA" w:rsidRPr="00FF6562" w14:paraId="1843226E" w14:textId="77777777" w:rsidTr="004664BA">
        <w:trPr>
          <w:trHeight w:val="203"/>
        </w:trPr>
        <w:tc>
          <w:tcPr>
            <w:tcW w:w="760" w:type="dxa"/>
            <w:tcBorders>
              <w:top w:val="nil"/>
              <w:left w:val="nil"/>
              <w:bottom w:val="nil"/>
              <w:right w:val="nil"/>
            </w:tcBorders>
            <w:shd w:val="clear" w:color="auto" w:fill="auto"/>
            <w:noWrap/>
            <w:vAlign w:val="bottom"/>
            <w:hideMark/>
          </w:tcPr>
          <w:p w14:paraId="42486E59" w14:textId="77777777" w:rsidR="00476036"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12</m:t>
                    </m:r>
                  </m:sub>
                </m:sSub>
              </m:oMath>
            </m:oMathPara>
          </w:p>
        </w:tc>
        <w:tc>
          <w:tcPr>
            <w:tcW w:w="0" w:type="auto"/>
            <w:tcBorders>
              <w:top w:val="nil"/>
              <w:left w:val="nil"/>
              <w:bottom w:val="nil"/>
              <w:right w:val="nil"/>
            </w:tcBorders>
            <w:shd w:val="clear" w:color="auto" w:fill="auto"/>
            <w:noWrap/>
            <w:vAlign w:val="bottom"/>
            <w:hideMark/>
          </w:tcPr>
          <w:p w14:paraId="6FBE244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0" w:type="auto"/>
            <w:tcBorders>
              <w:top w:val="nil"/>
              <w:left w:val="nil"/>
              <w:bottom w:val="nil"/>
              <w:right w:val="nil"/>
            </w:tcBorders>
            <w:shd w:val="clear" w:color="auto" w:fill="auto"/>
            <w:noWrap/>
            <w:vAlign w:val="bottom"/>
            <w:hideMark/>
          </w:tcPr>
          <w:p w14:paraId="6C835AE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0.976</w:t>
            </w:r>
          </w:p>
        </w:tc>
        <w:tc>
          <w:tcPr>
            <w:tcW w:w="0" w:type="auto"/>
            <w:tcBorders>
              <w:top w:val="nil"/>
              <w:left w:val="nil"/>
              <w:bottom w:val="nil"/>
              <w:right w:val="nil"/>
            </w:tcBorders>
            <w:shd w:val="clear" w:color="auto" w:fill="auto"/>
            <w:noWrap/>
            <w:vAlign w:val="bottom"/>
            <w:hideMark/>
          </w:tcPr>
          <w:p w14:paraId="0642AA3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0.780</w:t>
            </w:r>
          </w:p>
        </w:tc>
        <w:tc>
          <w:tcPr>
            <w:tcW w:w="0" w:type="auto"/>
            <w:tcBorders>
              <w:top w:val="nil"/>
              <w:left w:val="nil"/>
              <w:bottom w:val="nil"/>
              <w:right w:val="nil"/>
            </w:tcBorders>
            <w:shd w:val="clear" w:color="auto" w:fill="auto"/>
            <w:noWrap/>
            <w:vAlign w:val="bottom"/>
            <w:hideMark/>
          </w:tcPr>
          <w:p w14:paraId="4689655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0" w:type="auto"/>
            <w:tcBorders>
              <w:top w:val="nil"/>
              <w:left w:val="nil"/>
              <w:bottom w:val="nil"/>
              <w:right w:val="nil"/>
            </w:tcBorders>
            <w:shd w:val="clear" w:color="auto" w:fill="auto"/>
            <w:noWrap/>
            <w:vAlign w:val="bottom"/>
            <w:hideMark/>
          </w:tcPr>
          <w:p w14:paraId="20016E2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1.271</w:t>
            </w:r>
          </w:p>
        </w:tc>
        <w:tc>
          <w:tcPr>
            <w:tcW w:w="0" w:type="auto"/>
            <w:tcBorders>
              <w:top w:val="nil"/>
              <w:left w:val="nil"/>
              <w:bottom w:val="nil"/>
              <w:right w:val="nil"/>
            </w:tcBorders>
            <w:shd w:val="clear" w:color="auto" w:fill="auto"/>
            <w:noWrap/>
            <w:vAlign w:val="bottom"/>
            <w:hideMark/>
          </w:tcPr>
          <w:p w14:paraId="71EBCD2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0.045</w:t>
            </w:r>
          </w:p>
        </w:tc>
        <w:tc>
          <w:tcPr>
            <w:tcW w:w="0" w:type="auto"/>
            <w:tcBorders>
              <w:top w:val="nil"/>
              <w:left w:val="nil"/>
              <w:bottom w:val="nil"/>
              <w:right w:val="nil"/>
            </w:tcBorders>
            <w:shd w:val="clear" w:color="auto" w:fill="auto"/>
            <w:noWrap/>
            <w:vAlign w:val="bottom"/>
            <w:hideMark/>
          </w:tcPr>
          <w:p w14:paraId="7E2AE64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-0.022</w:t>
            </w:r>
          </w:p>
        </w:tc>
        <w:tc>
          <w:tcPr>
            <w:tcW w:w="0" w:type="auto"/>
            <w:tcBorders>
              <w:top w:val="nil"/>
              <w:left w:val="nil"/>
              <w:bottom w:val="nil"/>
              <w:right w:val="nil"/>
            </w:tcBorders>
            <w:shd w:val="clear" w:color="auto" w:fill="auto"/>
            <w:noWrap/>
            <w:vAlign w:val="bottom"/>
            <w:hideMark/>
          </w:tcPr>
          <w:p w14:paraId="4ED01A5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0.912</w:t>
            </w:r>
          </w:p>
        </w:tc>
        <w:tc>
          <w:tcPr>
            <w:tcW w:w="0" w:type="auto"/>
            <w:tcBorders>
              <w:top w:val="nil"/>
              <w:left w:val="nil"/>
              <w:bottom w:val="nil"/>
              <w:right w:val="nil"/>
            </w:tcBorders>
            <w:shd w:val="clear" w:color="auto" w:fill="auto"/>
            <w:noWrap/>
            <w:vAlign w:val="bottom"/>
            <w:hideMark/>
          </w:tcPr>
          <w:p w14:paraId="2090380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0.433</w:t>
            </w:r>
          </w:p>
        </w:tc>
        <w:tc>
          <w:tcPr>
            <w:tcW w:w="0" w:type="auto"/>
            <w:tcBorders>
              <w:top w:val="nil"/>
              <w:left w:val="nil"/>
              <w:bottom w:val="nil"/>
              <w:right w:val="nil"/>
            </w:tcBorders>
            <w:shd w:val="clear" w:color="auto" w:fill="auto"/>
            <w:noWrap/>
            <w:vAlign w:val="bottom"/>
            <w:hideMark/>
          </w:tcPr>
          <w:p w14:paraId="57C2410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0.309</w:t>
            </w:r>
          </w:p>
        </w:tc>
        <w:tc>
          <w:tcPr>
            <w:tcW w:w="0" w:type="auto"/>
            <w:tcBorders>
              <w:top w:val="nil"/>
              <w:left w:val="nil"/>
              <w:bottom w:val="nil"/>
              <w:right w:val="nil"/>
            </w:tcBorders>
            <w:shd w:val="clear" w:color="auto" w:fill="auto"/>
            <w:noWrap/>
            <w:vAlign w:val="bottom"/>
            <w:hideMark/>
          </w:tcPr>
          <w:p w14:paraId="5244A2B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1.312</w:t>
            </w:r>
          </w:p>
        </w:tc>
        <w:tc>
          <w:tcPr>
            <w:tcW w:w="0" w:type="auto"/>
            <w:tcBorders>
              <w:top w:val="nil"/>
              <w:left w:val="nil"/>
              <w:bottom w:val="nil"/>
              <w:right w:val="nil"/>
            </w:tcBorders>
            <w:shd w:val="clear" w:color="auto" w:fill="auto"/>
            <w:noWrap/>
            <w:vAlign w:val="bottom"/>
            <w:hideMark/>
          </w:tcPr>
          <w:p w14:paraId="2E245BF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0.033</w:t>
            </w:r>
          </w:p>
        </w:tc>
        <w:tc>
          <w:tcPr>
            <w:tcW w:w="0" w:type="auto"/>
            <w:tcBorders>
              <w:top w:val="nil"/>
              <w:left w:val="nil"/>
              <w:bottom w:val="nil"/>
              <w:right w:val="nil"/>
            </w:tcBorders>
            <w:shd w:val="clear" w:color="auto" w:fill="auto"/>
            <w:noWrap/>
            <w:vAlign w:val="bottom"/>
            <w:hideMark/>
          </w:tcPr>
          <w:p w14:paraId="43E9FA9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0.719</w:t>
            </w:r>
          </w:p>
        </w:tc>
        <w:tc>
          <w:tcPr>
            <w:tcW w:w="0" w:type="auto"/>
            <w:tcBorders>
              <w:top w:val="nil"/>
              <w:left w:val="nil"/>
              <w:bottom w:val="nil"/>
              <w:right w:val="nil"/>
            </w:tcBorders>
            <w:shd w:val="clear" w:color="auto" w:fill="auto"/>
            <w:noWrap/>
            <w:vAlign w:val="bottom"/>
            <w:hideMark/>
          </w:tcPr>
          <w:p w14:paraId="02401CA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0.035</w:t>
            </w:r>
          </w:p>
        </w:tc>
        <w:tc>
          <w:tcPr>
            <w:tcW w:w="0" w:type="auto"/>
            <w:tcBorders>
              <w:top w:val="nil"/>
              <w:left w:val="nil"/>
              <w:bottom w:val="nil"/>
              <w:right w:val="nil"/>
            </w:tcBorders>
            <w:shd w:val="clear" w:color="auto" w:fill="auto"/>
            <w:noWrap/>
            <w:vAlign w:val="bottom"/>
            <w:hideMark/>
          </w:tcPr>
          <w:p w14:paraId="7096D37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0.926</w:t>
            </w:r>
          </w:p>
        </w:tc>
        <w:tc>
          <w:tcPr>
            <w:tcW w:w="0" w:type="auto"/>
            <w:tcBorders>
              <w:top w:val="nil"/>
              <w:left w:val="nil"/>
              <w:bottom w:val="nil"/>
              <w:right w:val="nil"/>
            </w:tcBorders>
            <w:shd w:val="clear" w:color="auto" w:fill="auto"/>
            <w:noWrap/>
            <w:vAlign w:val="bottom"/>
            <w:hideMark/>
          </w:tcPr>
          <w:p w14:paraId="653B053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0" w:type="auto"/>
            <w:tcBorders>
              <w:top w:val="nil"/>
              <w:left w:val="nil"/>
              <w:bottom w:val="nil"/>
              <w:right w:val="nil"/>
            </w:tcBorders>
            <w:shd w:val="clear" w:color="auto" w:fill="auto"/>
            <w:noWrap/>
            <w:vAlign w:val="bottom"/>
            <w:hideMark/>
          </w:tcPr>
          <w:p w14:paraId="244444D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0.730</w:t>
            </w:r>
          </w:p>
        </w:tc>
        <w:tc>
          <w:tcPr>
            <w:tcW w:w="0" w:type="auto"/>
            <w:tcBorders>
              <w:top w:val="nil"/>
              <w:left w:val="nil"/>
              <w:bottom w:val="nil"/>
              <w:right w:val="nil"/>
            </w:tcBorders>
            <w:shd w:val="clear" w:color="auto" w:fill="auto"/>
            <w:noWrap/>
            <w:vAlign w:val="bottom"/>
            <w:hideMark/>
          </w:tcPr>
          <w:p w14:paraId="6A11732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0.058</w:t>
            </w:r>
          </w:p>
        </w:tc>
        <w:tc>
          <w:tcPr>
            <w:tcW w:w="0" w:type="auto"/>
            <w:tcBorders>
              <w:top w:val="nil"/>
              <w:left w:val="nil"/>
              <w:bottom w:val="nil"/>
              <w:right w:val="nil"/>
            </w:tcBorders>
            <w:shd w:val="clear" w:color="auto" w:fill="auto"/>
            <w:noWrap/>
            <w:vAlign w:val="bottom"/>
            <w:hideMark/>
          </w:tcPr>
          <w:p w14:paraId="3A7B557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-0.679</w:t>
            </w:r>
          </w:p>
        </w:tc>
        <w:tc>
          <w:tcPr>
            <w:tcW w:w="0" w:type="auto"/>
            <w:tcBorders>
              <w:top w:val="nil"/>
              <w:left w:val="nil"/>
              <w:bottom w:val="nil"/>
              <w:right w:val="nil"/>
            </w:tcBorders>
            <w:shd w:val="clear" w:color="auto" w:fill="auto"/>
            <w:noWrap/>
            <w:vAlign w:val="bottom"/>
            <w:hideMark/>
          </w:tcPr>
          <w:p w14:paraId="288B90B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0.072</w:t>
            </w:r>
          </w:p>
        </w:tc>
        <w:tc>
          <w:tcPr>
            <w:tcW w:w="0" w:type="auto"/>
            <w:tcBorders>
              <w:top w:val="nil"/>
              <w:left w:val="nil"/>
              <w:bottom w:val="nil"/>
              <w:right w:val="nil"/>
            </w:tcBorders>
            <w:shd w:val="clear" w:color="auto" w:fill="auto"/>
            <w:noWrap/>
            <w:vAlign w:val="bottom"/>
            <w:hideMark/>
          </w:tcPr>
          <w:p w14:paraId="0D3AF94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1.346</w:t>
            </w:r>
          </w:p>
        </w:tc>
        <w:tc>
          <w:tcPr>
            <w:tcW w:w="0" w:type="auto"/>
            <w:tcBorders>
              <w:top w:val="nil"/>
              <w:left w:val="nil"/>
              <w:bottom w:val="nil"/>
              <w:right w:val="nil"/>
            </w:tcBorders>
            <w:shd w:val="clear" w:color="auto" w:fill="auto"/>
            <w:noWrap/>
            <w:vAlign w:val="bottom"/>
            <w:hideMark/>
          </w:tcPr>
          <w:p w14:paraId="2A79A88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0.056</w:t>
            </w:r>
          </w:p>
        </w:tc>
      </w:tr>
      <w:tr w:rsidR="004664BA" w:rsidRPr="00FF6562" w14:paraId="6793F721" w14:textId="77777777" w:rsidTr="004664BA">
        <w:trPr>
          <w:trHeight w:val="203"/>
        </w:trPr>
        <w:tc>
          <w:tcPr>
            <w:tcW w:w="760" w:type="dxa"/>
            <w:tcBorders>
              <w:top w:val="nil"/>
              <w:left w:val="nil"/>
              <w:bottom w:val="nil"/>
              <w:right w:val="nil"/>
            </w:tcBorders>
            <w:shd w:val="clear" w:color="auto" w:fill="auto"/>
            <w:noWrap/>
            <w:vAlign w:val="bottom"/>
            <w:hideMark/>
          </w:tcPr>
          <w:p w14:paraId="628C9234" w14:textId="77777777" w:rsidR="00476036"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21</m:t>
                    </m:r>
                  </m:sub>
                </m:sSub>
              </m:oMath>
            </m:oMathPara>
          </w:p>
        </w:tc>
        <w:tc>
          <w:tcPr>
            <w:tcW w:w="0" w:type="auto"/>
            <w:tcBorders>
              <w:top w:val="nil"/>
              <w:left w:val="nil"/>
              <w:bottom w:val="nil"/>
              <w:right w:val="nil"/>
            </w:tcBorders>
            <w:shd w:val="clear" w:color="auto" w:fill="auto"/>
            <w:noWrap/>
            <w:vAlign w:val="bottom"/>
            <w:hideMark/>
          </w:tcPr>
          <w:p w14:paraId="45D1B03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-0.030</w:t>
            </w:r>
          </w:p>
        </w:tc>
        <w:tc>
          <w:tcPr>
            <w:tcW w:w="0" w:type="auto"/>
            <w:tcBorders>
              <w:top w:val="nil"/>
              <w:left w:val="nil"/>
              <w:bottom w:val="nil"/>
              <w:right w:val="nil"/>
            </w:tcBorders>
            <w:shd w:val="clear" w:color="auto" w:fill="auto"/>
            <w:noWrap/>
            <w:vAlign w:val="bottom"/>
            <w:hideMark/>
          </w:tcPr>
          <w:p w14:paraId="18628B0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0.541</w:t>
            </w:r>
          </w:p>
        </w:tc>
        <w:tc>
          <w:tcPr>
            <w:tcW w:w="0" w:type="auto"/>
            <w:tcBorders>
              <w:top w:val="nil"/>
              <w:left w:val="nil"/>
              <w:bottom w:val="nil"/>
              <w:right w:val="nil"/>
            </w:tcBorders>
            <w:shd w:val="clear" w:color="auto" w:fill="auto"/>
            <w:noWrap/>
            <w:vAlign w:val="bottom"/>
            <w:hideMark/>
          </w:tcPr>
          <w:p w14:paraId="177C128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-0.017</w:t>
            </w:r>
          </w:p>
        </w:tc>
        <w:tc>
          <w:tcPr>
            <w:tcW w:w="0" w:type="auto"/>
            <w:tcBorders>
              <w:top w:val="nil"/>
              <w:left w:val="nil"/>
              <w:bottom w:val="nil"/>
              <w:right w:val="nil"/>
            </w:tcBorders>
            <w:shd w:val="clear" w:color="auto" w:fill="auto"/>
            <w:noWrap/>
            <w:vAlign w:val="bottom"/>
            <w:hideMark/>
          </w:tcPr>
          <w:p w14:paraId="0DDF015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0.705</w:t>
            </w:r>
          </w:p>
        </w:tc>
        <w:tc>
          <w:tcPr>
            <w:tcW w:w="0" w:type="auto"/>
            <w:tcBorders>
              <w:top w:val="nil"/>
              <w:left w:val="nil"/>
              <w:bottom w:val="nil"/>
              <w:right w:val="nil"/>
            </w:tcBorders>
            <w:shd w:val="clear" w:color="auto" w:fill="auto"/>
            <w:noWrap/>
            <w:vAlign w:val="bottom"/>
            <w:hideMark/>
          </w:tcPr>
          <w:p w14:paraId="3F4205B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-0.065</w:t>
            </w:r>
          </w:p>
        </w:tc>
        <w:tc>
          <w:tcPr>
            <w:tcW w:w="0" w:type="auto"/>
            <w:tcBorders>
              <w:top w:val="nil"/>
              <w:left w:val="nil"/>
              <w:bottom w:val="nil"/>
              <w:right w:val="nil"/>
            </w:tcBorders>
            <w:shd w:val="clear" w:color="auto" w:fill="auto"/>
            <w:noWrap/>
            <w:vAlign w:val="bottom"/>
            <w:hideMark/>
          </w:tcPr>
          <w:p w14:paraId="62E3464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0.256</w:t>
            </w:r>
          </w:p>
        </w:tc>
        <w:tc>
          <w:tcPr>
            <w:tcW w:w="0" w:type="auto"/>
            <w:tcBorders>
              <w:top w:val="nil"/>
              <w:left w:val="nil"/>
              <w:bottom w:val="nil"/>
              <w:right w:val="nil"/>
            </w:tcBorders>
            <w:shd w:val="clear" w:color="auto" w:fill="auto"/>
            <w:noWrap/>
            <w:vAlign w:val="bottom"/>
            <w:hideMark/>
          </w:tcPr>
          <w:p w14:paraId="440B0B9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vAlign w:val="bottom"/>
            <w:hideMark/>
          </w:tcPr>
          <w:p w14:paraId="76C8BA3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0.895</w:t>
            </w:r>
          </w:p>
        </w:tc>
        <w:tc>
          <w:tcPr>
            <w:tcW w:w="0" w:type="auto"/>
            <w:tcBorders>
              <w:top w:val="nil"/>
              <w:left w:val="nil"/>
              <w:bottom w:val="nil"/>
              <w:right w:val="nil"/>
            </w:tcBorders>
            <w:shd w:val="clear" w:color="auto" w:fill="auto"/>
            <w:noWrap/>
            <w:vAlign w:val="bottom"/>
            <w:hideMark/>
          </w:tcPr>
          <w:p w14:paraId="0D9C63F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0.020</w:t>
            </w:r>
          </w:p>
        </w:tc>
        <w:tc>
          <w:tcPr>
            <w:tcW w:w="0" w:type="auto"/>
            <w:tcBorders>
              <w:top w:val="nil"/>
              <w:left w:val="nil"/>
              <w:bottom w:val="nil"/>
              <w:right w:val="nil"/>
            </w:tcBorders>
            <w:shd w:val="clear" w:color="auto" w:fill="auto"/>
            <w:noWrap/>
            <w:vAlign w:val="bottom"/>
            <w:hideMark/>
          </w:tcPr>
          <w:p w14:paraId="43B4A79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0.761</w:t>
            </w:r>
          </w:p>
        </w:tc>
        <w:tc>
          <w:tcPr>
            <w:tcW w:w="0" w:type="auto"/>
            <w:tcBorders>
              <w:top w:val="nil"/>
              <w:left w:val="nil"/>
              <w:bottom w:val="nil"/>
              <w:right w:val="nil"/>
            </w:tcBorders>
            <w:shd w:val="clear" w:color="auto" w:fill="auto"/>
            <w:noWrap/>
            <w:vAlign w:val="bottom"/>
            <w:hideMark/>
          </w:tcPr>
          <w:p w14:paraId="048D4A8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-0.024</w:t>
            </w:r>
          </w:p>
        </w:tc>
        <w:tc>
          <w:tcPr>
            <w:tcW w:w="0" w:type="auto"/>
            <w:tcBorders>
              <w:top w:val="nil"/>
              <w:left w:val="nil"/>
              <w:bottom w:val="nil"/>
              <w:right w:val="nil"/>
            </w:tcBorders>
            <w:shd w:val="clear" w:color="auto" w:fill="auto"/>
            <w:noWrap/>
            <w:vAlign w:val="bottom"/>
            <w:hideMark/>
          </w:tcPr>
          <w:p w14:paraId="3B71099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0.269</w:t>
            </w:r>
          </w:p>
        </w:tc>
        <w:tc>
          <w:tcPr>
            <w:tcW w:w="0" w:type="auto"/>
            <w:tcBorders>
              <w:top w:val="nil"/>
              <w:left w:val="nil"/>
              <w:bottom w:val="nil"/>
              <w:right w:val="nil"/>
            </w:tcBorders>
            <w:shd w:val="clear" w:color="auto" w:fill="auto"/>
            <w:noWrap/>
            <w:vAlign w:val="bottom"/>
            <w:hideMark/>
          </w:tcPr>
          <w:p w14:paraId="7A8AAD7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-0.016</w:t>
            </w:r>
          </w:p>
        </w:tc>
        <w:tc>
          <w:tcPr>
            <w:tcW w:w="0" w:type="auto"/>
            <w:tcBorders>
              <w:top w:val="nil"/>
              <w:left w:val="nil"/>
              <w:bottom w:val="nil"/>
              <w:right w:val="nil"/>
            </w:tcBorders>
            <w:shd w:val="clear" w:color="auto" w:fill="auto"/>
            <w:noWrap/>
            <w:vAlign w:val="bottom"/>
            <w:hideMark/>
          </w:tcPr>
          <w:p w14:paraId="352CA6F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0.618</w:t>
            </w:r>
          </w:p>
        </w:tc>
        <w:tc>
          <w:tcPr>
            <w:tcW w:w="0" w:type="auto"/>
            <w:tcBorders>
              <w:top w:val="nil"/>
              <w:left w:val="nil"/>
              <w:bottom w:val="nil"/>
              <w:right w:val="nil"/>
            </w:tcBorders>
            <w:shd w:val="clear" w:color="auto" w:fill="auto"/>
            <w:noWrap/>
            <w:vAlign w:val="bottom"/>
            <w:hideMark/>
          </w:tcPr>
          <w:p w14:paraId="0D0EF0C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-0.041</w:t>
            </w:r>
          </w:p>
        </w:tc>
        <w:tc>
          <w:tcPr>
            <w:tcW w:w="0" w:type="auto"/>
            <w:tcBorders>
              <w:top w:val="nil"/>
              <w:left w:val="nil"/>
              <w:bottom w:val="nil"/>
              <w:right w:val="nil"/>
            </w:tcBorders>
            <w:shd w:val="clear" w:color="auto" w:fill="auto"/>
            <w:noWrap/>
            <w:vAlign w:val="bottom"/>
            <w:hideMark/>
          </w:tcPr>
          <w:p w14:paraId="1137FD5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0.106</w:t>
            </w:r>
          </w:p>
        </w:tc>
        <w:tc>
          <w:tcPr>
            <w:tcW w:w="0" w:type="auto"/>
            <w:tcBorders>
              <w:top w:val="nil"/>
              <w:left w:val="nil"/>
              <w:bottom w:val="nil"/>
              <w:right w:val="nil"/>
            </w:tcBorders>
            <w:shd w:val="clear" w:color="auto" w:fill="auto"/>
            <w:noWrap/>
            <w:vAlign w:val="bottom"/>
            <w:hideMark/>
          </w:tcPr>
          <w:p w14:paraId="2BFE3CB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-0.026</w:t>
            </w:r>
          </w:p>
        </w:tc>
        <w:tc>
          <w:tcPr>
            <w:tcW w:w="0" w:type="auto"/>
            <w:tcBorders>
              <w:top w:val="nil"/>
              <w:left w:val="nil"/>
              <w:bottom w:val="nil"/>
              <w:right w:val="nil"/>
            </w:tcBorders>
            <w:shd w:val="clear" w:color="auto" w:fill="auto"/>
            <w:noWrap/>
            <w:vAlign w:val="bottom"/>
            <w:hideMark/>
          </w:tcPr>
          <w:p w14:paraId="536CBB2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0.434</w:t>
            </w:r>
          </w:p>
        </w:tc>
        <w:tc>
          <w:tcPr>
            <w:tcW w:w="0" w:type="auto"/>
            <w:tcBorders>
              <w:top w:val="nil"/>
              <w:left w:val="nil"/>
              <w:bottom w:val="nil"/>
              <w:right w:val="nil"/>
            </w:tcBorders>
            <w:shd w:val="clear" w:color="auto" w:fill="auto"/>
            <w:noWrap/>
            <w:vAlign w:val="bottom"/>
            <w:hideMark/>
          </w:tcPr>
          <w:p w14:paraId="0D53E21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-0.018</w:t>
            </w:r>
          </w:p>
        </w:tc>
        <w:tc>
          <w:tcPr>
            <w:tcW w:w="0" w:type="auto"/>
            <w:tcBorders>
              <w:top w:val="nil"/>
              <w:left w:val="nil"/>
              <w:bottom w:val="nil"/>
              <w:right w:val="nil"/>
            </w:tcBorders>
            <w:shd w:val="clear" w:color="auto" w:fill="auto"/>
            <w:noWrap/>
            <w:vAlign w:val="bottom"/>
            <w:hideMark/>
          </w:tcPr>
          <w:p w14:paraId="661564E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0.632</w:t>
            </w:r>
          </w:p>
        </w:tc>
        <w:tc>
          <w:tcPr>
            <w:tcW w:w="0" w:type="auto"/>
            <w:tcBorders>
              <w:top w:val="nil"/>
              <w:left w:val="nil"/>
              <w:bottom w:val="nil"/>
              <w:right w:val="nil"/>
            </w:tcBorders>
            <w:shd w:val="clear" w:color="auto" w:fill="auto"/>
            <w:noWrap/>
            <w:vAlign w:val="bottom"/>
            <w:hideMark/>
          </w:tcPr>
          <w:p w14:paraId="5DCD800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-0.113</w:t>
            </w:r>
          </w:p>
        </w:tc>
        <w:tc>
          <w:tcPr>
            <w:tcW w:w="0" w:type="auto"/>
            <w:tcBorders>
              <w:top w:val="nil"/>
              <w:left w:val="nil"/>
              <w:bottom w:val="nil"/>
              <w:right w:val="nil"/>
            </w:tcBorders>
            <w:shd w:val="clear" w:color="auto" w:fill="auto"/>
            <w:noWrap/>
            <w:vAlign w:val="bottom"/>
            <w:hideMark/>
          </w:tcPr>
          <w:p w14:paraId="2FB5ABF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r>
      <w:tr w:rsidR="004664BA" w:rsidRPr="00FF6562" w14:paraId="1D182488" w14:textId="77777777" w:rsidTr="004664BA">
        <w:trPr>
          <w:trHeight w:val="215"/>
        </w:trPr>
        <w:tc>
          <w:tcPr>
            <w:tcW w:w="760" w:type="dxa"/>
            <w:tcBorders>
              <w:top w:val="nil"/>
              <w:left w:val="nil"/>
              <w:bottom w:val="nil"/>
              <w:right w:val="nil"/>
            </w:tcBorders>
            <w:shd w:val="clear" w:color="auto" w:fill="auto"/>
            <w:noWrap/>
            <w:vAlign w:val="bottom"/>
            <w:hideMark/>
          </w:tcPr>
          <w:p w14:paraId="327C8E3F" w14:textId="77777777" w:rsidR="00476036"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22</m:t>
                    </m:r>
                  </m:sub>
                </m:sSub>
              </m:oMath>
            </m:oMathPara>
          </w:p>
        </w:tc>
        <w:tc>
          <w:tcPr>
            <w:tcW w:w="0" w:type="auto"/>
            <w:tcBorders>
              <w:top w:val="nil"/>
              <w:left w:val="nil"/>
              <w:bottom w:val="nil"/>
              <w:right w:val="nil"/>
            </w:tcBorders>
            <w:shd w:val="clear" w:color="auto" w:fill="auto"/>
            <w:noWrap/>
            <w:vAlign w:val="bottom"/>
            <w:hideMark/>
          </w:tcPr>
          <w:p w14:paraId="6F69D7E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3</w:t>
            </w:r>
            <w:r w:rsidRPr="00FF6562">
              <w:rPr>
                <w:rFonts w:ascii="Times New Roman" w:eastAsia="Times New Roman" w:hAnsi="Times New Roman" w:cs="Times New Roman"/>
                <w:sz w:val="16"/>
                <w:szCs w:val="16"/>
                <w:lang w:eastAsia="en-GB"/>
              </w:rPr>
              <w:t>68</w:t>
            </w:r>
          </w:p>
        </w:tc>
        <w:tc>
          <w:tcPr>
            <w:tcW w:w="0" w:type="auto"/>
            <w:tcBorders>
              <w:top w:val="nil"/>
              <w:left w:val="nil"/>
              <w:bottom w:val="nil"/>
              <w:right w:val="nil"/>
            </w:tcBorders>
            <w:shd w:val="clear" w:color="auto" w:fill="auto"/>
            <w:noWrap/>
            <w:vAlign w:val="bottom"/>
            <w:hideMark/>
          </w:tcPr>
          <w:p w14:paraId="4A8BE08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14</w:t>
            </w:r>
          </w:p>
        </w:tc>
        <w:tc>
          <w:tcPr>
            <w:tcW w:w="0" w:type="auto"/>
            <w:tcBorders>
              <w:top w:val="nil"/>
              <w:left w:val="nil"/>
              <w:bottom w:val="nil"/>
              <w:right w:val="nil"/>
            </w:tcBorders>
            <w:shd w:val="clear" w:color="auto" w:fill="auto"/>
            <w:noWrap/>
            <w:vAlign w:val="bottom"/>
            <w:hideMark/>
          </w:tcPr>
          <w:p w14:paraId="733081D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0.599</w:t>
            </w:r>
          </w:p>
        </w:tc>
        <w:tc>
          <w:tcPr>
            <w:tcW w:w="0" w:type="auto"/>
            <w:tcBorders>
              <w:top w:val="nil"/>
              <w:left w:val="nil"/>
              <w:bottom w:val="nil"/>
              <w:right w:val="nil"/>
            </w:tcBorders>
            <w:shd w:val="clear" w:color="auto" w:fill="auto"/>
            <w:noWrap/>
            <w:vAlign w:val="bottom"/>
            <w:hideMark/>
          </w:tcPr>
          <w:p w14:paraId="26F0F74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bottom"/>
            <w:hideMark/>
          </w:tcPr>
          <w:p w14:paraId="054C572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0.176</w:t>
            </w:r>
          </w:p>
        </w:tc>
        <w:tc>
          <w:tcPr>
            <w:tcW w:w="0" w:type="auto"/>
            <w:tcBorders>
              <w:top w:val="nil"/>
              <w:left w:val="nil"/>
              <w:bottom w:val="nil"/>
              <w:right w:val="nil"/>
            </w:tcBorders>
            <w:shd w:val="clear" w:color="auto" w:fill="auto"/>
            <w:noWrap/>
            <w:vAlign w:val="bottom"/>
            <w:hideMark/>
          </w:tcPr>
          <w:p w14:paraId="5CB881F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0.868</w:t>
            </w:r>
          </w:p>
        </w:tc>
        <w:tc>
          <w:tcPr>
            <w:tcW w:w="0" w:type="auto"/>
            <w:tcBorders>
              <w:top w:val="nil"/>
              <w:left w:val="nil"/>
              <w:bottom w:val="nil"/>
              <w:right w:val="nil"/>
            </w:tcBorders>
            <w:shd w:val="clear" w:color="auto" w:fill="auto"/>
            <w:noWrap/>
            <w:vAlign w:val="bottom"/>
            <w:hideMark/>
          </w:tcPr>
          <w:p w14:paraId="2D5F5BF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0.387</w:t>
            </w:r>
          </w:p>
        </w:tc>
        <w:tc>
          <w:tcPr>
            <w:tcW w:w="0" w:type="auto"/>
            <w:tcBorders>
              <w:top w:val="nil"/>
              <w:left w:val="nil"/>
              <w:bottom w:val="nil"/>
              <w:right w:val="nil"/>
            </w:tcBorders>
            <w:shd w:val="clear" w:color="auto" w:fill="auto"/>
            <w:noWrap/>
            <w:vAlign w:val="bottom"/>
            <w:hideMark/>
          </w:tcPr>
          <w:p w14:paraId="3E57EE2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bottom"/>
            <w:hideMark/>
          </w:tcPr>
          <w:p w14:paraId="4E57CBF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4</w:t>
            </w:r>
            <w:r w:rsidRPr="00FF6562">
              <w:rPr>
                <w:rFonts w:ascii="Times New Roman" w:eastAsia="Times New Roman" w:hAnsi="Times New Roman" w:cs="Times New Roman"/>
                <w:sz w:val="16"/>
                <w:szCs w:val="16"/>
                <w:lang w:eastAsia="en-GB"/>
              </w:rPr>
              <w:t>74</w:t>
            </w:r>
          </w:p>
        </w:tc>
        <w:tc>
          <w:tcPr>
            <w:tcW w:w="0" w:type="auto"/>
            <w:tcBorders>
              <w:top w:val="nil"/>
              <w:left w:val="nil"/>
              <w:bottom w:val="nil"/>
              <w:right w:val="nil"/>
            </w:tcBorders>
            <w:shd w:val="clear" w:color="auto" w:fill="auto"/>
            <w:noWrap/>
            <w:vAlign w:val="bottom"/>
            <w:hideMark/>
          </w:tcPr>
          <w:p w14:paraId="1939C53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6</w:t>
            </w:r>
            <w:r>
              <w:rPr>
                <w:rFonts w:ascii="Times New Roman" w:eastAsia="Times New Roman" w:hAnsi="Times New Roman" w:cs="Times New Roman"/>
                <w:sz w:val="16"/>
                <w:szCs w:val="16"/>
                <w:lang w:eastAsia="en-GB"/>
              </w:rPr>
              <w:t>2</w:t>
            </w:r>
          </w:p>
        </w:tc>
        <w:tc>
          <w:tcPr>
            <w:tcW w:w="0" w:type="auto"/>
            <w:tcBorders>
              <w:top w:val="nil"/>
              <w:left w:val="nil"/>
              <w:bottom w:val="nil"/>
              <w:right w:val="nil"/>
            </w:tcBorders>
            <w:shd w:val="clear" w:color="auto" w:fill="auto"/>
            <w:noWrap/>
            <w:vAlign w:val="bottom"/>
            <w:hideMark/>
          </w:tcPr>
          <w:p w14:paraId="584F7EB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0.537</w:t>
            </w:r>
          </w:p>
        </w:tc>
        <w:tc>
          <w:tcPr>
            <w:tcW w:w="0" w:type="auto"/>
            <w:tcBorders>
              <w:top w:val="nil"/>
              <w:left w:val="nil"/>
              <w:bottom w:val="nil"/>
              <w:right w:val="nil"/>
            </w:tcBorders>
            <w:shd w:val="clear" w:color="auto" w:fill="auto"/>
            <w:noWrap/>
            <w:vAlign w:val="bottom"/>
            <w:hideMark/>
          </w:tcPr>
          <w:p w14:paraId="7CBCDAA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vAlign w:val="bottom"/>
            <w:hideMark/>
          </w:tcPr>
          <w:p w14:paraId="741CAD3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0.552</w:t>
            </w:r>
          </w:p>
        </w:tc>
        <w:tc>
          <w:tcPr>
            <w:tcW w:w="0" w:type="auto"/>
            <w:tcBorders>
              <w:top w:val="nil"/>
              <w:left w:val="nil"/>
              <w:bottom w:val="nil"/>
              <w:right w:val="nil"/>
            </w:tcBorders>
            <w:shd w:val="clear" w:color="auto" w:fill="auto"/>
            <w:noWrap/>
            <w:vAlign w:val="bottom"/>
            <w:hideMark/>
          </w:tcPr>
          <w:p w14:paraId="0B2D85D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bottom"/>
            <w:hideMark/>
          </w:tcPr>
          <w:p w14:paraId="6C73B2B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0.497</w:t>
            </w:r>
          </w:p>
        </w:tc>
        <w:tc>
          <w:tcPr>
            <w:tcW w:w="0" w:type="auto"/>
            <w:tcBorders>
              <w:top w:val="nil"/>
              <w:left w:val="nil"/>
              <w:bottom w:val="nil"/>
              <w:right w:val="nil"/>
            </w:tcBorders>
            <w:shd w:val="clear" w:color="auto" w:fill="auto"/>
            <w:noWrap/>
            <w:vAlign w:val="bottom"/>
            <w:hideMark/>
          </w:tcPr>
          <w:p w14:paraId="2D9BDFC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0" w:type="auto"/>
            <w:tcBorders>
              <w:top w:val="nil"/>
              <w:left w:val="nil"/>
              <w:bottom w:val="nil"/>
              <w:right w:val="nil"/>
            </w:tcBorders>
            <w:shd w:val="clear" w:color="auto" w:fill="auto"/>
            <w:noWrap/>
            <w:vAlign w:val="bottom"/>
            <w:hideMark/>
          </w:tcPr>
          <w:p w14:paraId="4FE4083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0.573</w:t>
            </w:r>
          </w:p>
        </w:tc>
        <w:tc>
          <w:tcPr>
            <w:tcW w:w="0" w:type="auto"/>
            <w:tcBorders>
              <w:top w:val="nil"/>
              <w:left w:val="nil"/>
              <w:bottom w:val="nil"/>
              <w:right w:val="nil"/>
            </w:tcBorders>
            <w:shd w:val="clear" w:color="auto" w:fill="auto"/>
            <w:noWrap/>
            <w:vAlign w:val="bottom"/>
            <w:hideMark/>
          </w:tcPr>
          <w:p w14:paraId="7A1B1D2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bottom"/>
            <w:hideMark/>
          </w:tcPr>
          <w:p w14:paraId="7D3A942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0.517</w:t>
            </w:r>
          </w:p>
        </w:tc>
        <w:tc>
          <w:tcPr>
            <w:tcW w:w="0" w:type="auto"/>
            <w:tcBorders>
              <w:top w:val="nil"/>
              <w:left w:val="nil"/>
              <w:bottom w:val="nil"/>
              <w:right w:val="nil"/>
            </w:tcBorders>
            <w:shd w:val="clear" w:color="auto" w:fill="auto"/>
            <w:noWrap/>
            <w:vAlign w:val="bottom"/>
            <w:hideMark/>
          </w:tcPr>
          <w:p w14:paraId="4B53339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bottom"/>
            <w:hideMark/>
          </w:tcPr>
          <w:p w14:paraId="51EE754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0.074</w:t>
            </w:r>
          </w:p>
        </w:tc>
        <w:tc>
          <w:tcPr>
            <w:tcW w:w="0" w:type="auto"/>
            <w:tcBorders>
              <w:top w:val="nil"/>
              <w:left w:val="nil"/>
              <w:bottom w:val="nil"/>
              <w:right w:val="nil"/>
            </w:tcBorders>
            <w:shd w:val="clear" w:color="auto" w:fill="auto"/>
            <w:noWrap/>
            <w:vAlign w:val="bottom"/>
            <w:hideMark/>
          </w:tcPr>
          <w:p w14:paraId="44160DB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0.781</w:t>
            </w:r>
          </w:p>
        </w:tc>
      </w:tr>
      <w:tr w:rsidR="00476036" w:rsidRPr="00FF6562" w14:paraId="67FABD85" w14:textId="77777777" w:rsidTr="004664BA">
        <w:trPr>
          <w:trHeight w:val="215"/>
        </w:trPr>
        <w:tc>
          <w:tcPr>
            <w:tcW w:w="14240" w:type="dxa"/>
            <w:gridSpan w:val="23"/>
            <w:tcBorders>
              <w:top w:val="nil"/>
              <w:left w:val="nil"/>
              <w:bottom w:val="nil"/>
              <w:right w:val="nil"/>
            </w:tcBorders>
            <w:shd w:val="clear" w:color="auto" w:fill="auto"/>
            <w:noWrap/>
            <w:vAlign w:val="bottom"/>
            <w:hideMark/>
          </w:tcPr>
          <w:p w14:paraId="423E3818" w14:textId="27BC68C9" w:rsidR="00476036" w:rsidRPr="00A56C42" w:rsidRDefault="00476036" w:rsidP="00875EB5">
            <w:pPr>
              <w:spacing w:after="0" w:line="240" w:lineRule="auto"/>
              <w:rPr>
                <w:rFonts w:ascii="Times New Roman" w:eastAsia="Times New Roman" w:hAnsi="Times New Roman" w:cs="Times New Roman"/>
                <w:b/>
                <w:bCs/>
                <w:sz w:val="20"/>
                <w:szCs w:val="20"/>
                <w:u w:val="single"/>
                <w:lang w:eastAsia="en-GB"/>
              </w:rPr>
            </w:pPr>
            <w:r w:rsidRPr="00A56C42">
              <w:rPr>
                <w:rFonts w:ascii="Times New Roman" w:eastAsia="Times New Roman" w:hAnsi="Times New Roman" w:cs="Times New Roman"/>
                <w:b/>
                <w:bCs/>
                <w:sz w:val="20"/>
                <w:szCs w:val="20"/>
                <w:u w:val="single"/>
                <w:lang w:eastAsia="en-GB"/>
              </w:rPr>
              <w:t xml:space="preserve">Panel </w:t>
            </w:r>
            <w:r w:rsidR="00A56C42">
              <w:rPr>
                <w:rFonts w:ascii="Times New Roman" w:eastAsia="Times New Roman" w:hAnsi="Times New Roman" w:cs="Times New Roman"/>
                <w:b/>
                <w:bCs/>
                <w:sz w:val="20"/>
                <w:szCs w:val="20"/>
                <w:u w:val="single"/>
                <w:lang w:eastAsia="en-GB"/>
              </w:rPr>
              <w:t>C</w:t>
            </w:r>
            <w:r w:rsidRPr="00A56C42">
              <w:rPr>
                <w:rFonts w:ascii="Times New Roman" w:eastAsia="Times New Roman" w:hAnsi="Times New Roman" w:cs="Times New Roman"/>
                <w:b/>
                <w:bCs/>
                <w:sz w:val="20"/>
                <w:szCs w:val="20"/>
                <w:u w:val="single"/>
                <w:lang w:eastAsia="en-GB"/>
              </w:rPr>
              <w:t>: Diagnostic Tests</w:t>
            </w:r>
          </w:p>
        </w:tc>
      </w:tr>
      <w:tr w:rsidR="004664BA" w:rsidRPr="00FF6562" w14:paraId="1EAE006A" w14:textId="77777777" w:rsidTr="004664BA">
        <w:trPr>
          <w:trHeight w:val="203"/>
        </w:trPr>
        <w:tc>
          <w:tcPr>
            <w:tcW w:w="760" w:type="dxa"/>
            <w:tcBorders>
              <w:top w:val="nil"/>
              <w:left w:val="nil"/>
              <w:bottom w:val="nil"/>
              <w:right w:val="nil"/>
            </w:tcBorders>
            <w:shd w:val="clear" w:color="auto" w:fill="auto"/>
            <w:noWrap/>
            <w:vAlign w:val="center"/>
          </w:tcPr>
          <w:p w14:paraId="14FD8098" w14:textId="3AA53149"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roofErr w:type="spellStart"/>
            <w:r w:rsidRPr="00A54753">
              <w:rPr>
                <w:rFonts w:ascii="Times New Roman" w:eastAsia="Times New Roman" w:hAnsi="Times New Roman" w:cs="Times New Roman"/>
                <w:color w:val="0070C0"/>
                <w:sz w:val="16"/>
                <w:szCs w:val="16"/>
                <w:lang w:eastAsia="en-GB"/>
              </w:rPr>
              <w:t>LogL</w:t>
            </w:r>
            <w:proofErr w:type="spellEnd"/>
          </w:p>
        </w:tc>
        <w:tc>
          <w:tcPr>
            <w:tcW w:w="0" w:type="auto"/>
            <w:tcBorders>
              <w:top w:val="nil"/>
              <w:left w:val="nil"/>
              <w:bottom w:val="nil"/>
              <w:right w:val="nil"/>
            </w:tcBorders>
            <w:shd w:val="clear" w:color="auto" w:fill="auto"/>
            <w:noWrap/>
            <w:vAlign w:val="center"/>
          </w:tcPr>
          <w:p w14:paraId="5C3B021C" w14:textId="36BC27BD"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-1,338</w:t>
            </w:r>
          </w:p>
        </w:tc>
        <w:tc>
          <w:tcPr>
            <w:tcW w:w="0" w:type="auto"/>
            <w:tcBorders>
              <w:top w:val="nil"/>
              <w:left w:val="nil"/>
              <w:bottom w:val="nil"/>
              <w:right w:val="nil"/>
            </w:tcBorders>
            <w:shd w:val="clear" w:color="auto" w:fill="auto"/>
            <w:noWrap/>
            <w:vAlign w:val="center"/>
          </w:tcPr>
          <w:p w14:paraId="5ECCE388"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7541BFCE" w14:textId="1284F82E"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-1,277</w:t>
            </w:r>
          </w:p>
        </w:tc>
        <w:tc>
          <w:tcPr>
            <w:tcW w:w="0" w:type="auto"/>
            <w:tcBorders>
              <w:top w:val="nil"/>
              <w:left w:val="nil"/>
              <w:bottom w:val="nil"/>
              <w:right w:val="nil"/>
            </w:tcBorders>
            <w:shd w:val="clear" w:color="auto" w:fill="auto"/>
            <w:noWrap/>
            <w:vAlign w:val="center"/>
          </w:tcPr>
          <w:p w14:paraId="76683526"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16CBE1A0" w14:textId="1436EED1"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-1,186</w:t>
            </w:r>
          </w:p>
        </w:tc>
        <w:tc>
          <w:tcPr>
            <w:tcW w:w="0" w:type="auto"/>
            <w:tcBorders>
              <w:top w:val="nil"/>
              <w:left w:val="nil"/>
              <w:bottom w:val="nil"/>
              <w:right w:val="nil"/>
            </w:tcBorders>
            <w:shd w:val="clear" w:color="auto" w:fill="auto"/>
            <w:noWrap/>
            <w:vAlign w:val="center"/>
          </w:tcPr>
          <w:p w14:paraId="269B837B"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370FBCAF" w14:textId="06AF3392"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-1,512</w:t>
            </w:r>
          </w:p>
        </w:tc>
        <w:tc>
          <w:tcPr>
            <w:tcW w:w="0" w:type="auto"/>
            <w:tcBorders>
              <w:top w:val="nil"/>
              <w:left w:val="nil"/>
              <w:bottom w:val="nil"/>
              <w:right w:val="nil"/>
            </w:tcBorders>
            <w:shd w:val="clear" w:color="auto" w:fill="auto"/>
            <w:noWrap/>
            <w:vAlign w:val="center"/>
          </w:tcPr>
          <w:p w14:paraId="71C6457C"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5E64A3ED" w14:textId="351B5295"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-1,385</w:t>
            </w:r>
          </w:p>
        </w:tc>
        <w:tc>
          <w:tcPr>
            <w:tcW w:w="0" w:type="auto"/>
            <w:tcBorders>
              <w:top w:val="nil"/>
              <w:left w:val="nil"/>
              <w:bottom w:val="nil"/>
              <w:right w:val="nil"/>
            </w:tcBorders>
            <w:shd w:val="clear" w:color="auto" w:fill="auto"/>
            <w:noWrap/>
            <w:vAlign w:val="center"/>
          </w:tcPr>
          <w:p w14:paraId="55F19AEE"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30D18284" w14:textId="53251429"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-1,220</w:t>
            </w:r>
          </w:p>
        </w:tc>
        <w:tc>
          <w:tcPr>
            <w:tcW w:w="0" w:type="auto"/>
            <w:tcBorders>
              <w:top w:val="nil"/>
              <w:left w:val="nil"/>
              <w:bottom w:val="nil"/>
              <w:right w:val="nil"/>
            </w:tcBorders>
            <w:shd w:val="clear" w:color="auto" w:fill="auto"/>
            <w:noWrap/>
            <w:vAlign w:val="center"/>
          </w:tcPr>
          <w:p w14:paraId="7088C490"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49E9B482" w14:textId="0D4C2A4B"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-1,278</w:t>
            </w:r>
          </w:p>
        </w:tc>
        <w:tc>
          <w:tcPr>
            <w:tcW w:w="0" w:type="auto"/>
            <w:tcBorders>
              <w:top w:val="nil"/>
              <w:left w:val="nil"/>
              <w:bottom w:val="nil"/>
              <w:right w:val="nil"/>
            </w:tcBorders>
            <w:shd w:val="clear" w:color="auto" w:fill="auto"/>
            <w:noWrap/>
            <w:vAlign w:val="center"/>
          </w:tcPr>
          <w:p w14:paraId="25BEC428"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2277FFB6" w14:textId="2A81A280"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-1,349</w:t>
            </w:r>
          </w:p>
        </w:tc>
        <w:tc>
          <w:tcPr>
            <w:tcW w:w="0" w:type="auto"/>
            <w:tcBorders>
              <w:top w:val="nil"/>
              <w:left w:val="nil"/>
              <w:bottom w:val="nil"/>
              <w:right w:val="nil"/>
            </w:tcBorders>
            <w:shd w:val="clear" w:color="auto" w:fill="auto"/>
            <w:noWrap/>
            <w:vAlign w:val="center"/>
          </w:tcPr>
          <w:p w14:paraId="7099A009"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509D7EF1" w14:textId="0393C1B9"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-1,267</w:t>
            </w:r>
          </w:p>
        </w:tc>
        <w:tc>
          <w:tcPr>
            <w:tcW w:w="0" w:type="auto"/>
            <w:tcBorders>
              <w:top w:val="nil"/>
              <w:left w:val="nil"/>
              <w:bottom w:val="nil"/>
              <w:right w:val="nil"/>
            </w:tcBorders>
            <w:shd w:val="clear" w:color="auto" w:fill="auto"/>
            <w:noWrap/>
            <w:vAlign w:val="center"/>
          </w:tcPr>
          <w:p w14:paraId="451BBF30"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548273E5" w14:textId="104FF58F"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-1,306</w:t>
            </w:r>
          </w:p>
        </w:tc>
        <w:tc>
          <w:tcPr>
            <w:tcW w:w="0" w:type="auto"/>
            <w:tcBorders>
              <w:top w:val="nil"/>
              <w:left w:val="nil"/>
              <w:bottom w:val="nil"/>
              <w:right w:val="nil"/>
            </w:tcBorders>
            <w:shd w:val="clear" w:color="auto" w:fill="auto"/>
            <w:noWrap/>
            <w:vAlign w:val="center"/>
          </w:tcPr>
          <w:p w14:paraId="2BA501C4"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7441936B" w14:textId="7EAF974F"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r w:rsidRPr="00A54753">
              <w:rPr>
                <w:rFonts w:ascii="Times New Roman" w:eastAsia="Times New Roman" w:hAnsi="Times New Roman" w:cs="Times New Roman"/>
                <w:color w:val="0070C0"/>
                <w:sz w:val="16"/>
                <w:szCs w:val="16"/>
                <w:lang w:eastAsia="en-GB"/>
              </w:rPr>
              <w:t>-1,247</w:t>
            </w:r>
          </w:p>
        </w:tc>
        <w:tc>
          <w:tcPr>
            <w:tcW w:w="0" w:type="auto"/>
            <w:tcBorders>
              <w:top w:val="nil"/>
              <w:left w:val="nil"/>
              <w:bottom w:val="nil"/>
              <w:right w:val="nil"/>
            </w:tcBorders>
            <w:shd w:val="clear" w:color="auto" w:fill="auto"/>
            <w:noWrap/>
            <w:vAlign w:val="center"/>
          </w:tcPr>
          <w:p w14:paraId="12C15A33" w14:textId="77777777" w:rsidR="00A54753" w:rsidRPr="00A54753" w:rsidRDefault="00A54753" w:rsidP="00875EB5">
            <w:pPr>
              <w:spacing w:after="0" w:line="240" w:lineRule="auto"/>
              <w:rPr>
                <w:rFonts w:ascii="Times New Roman" w:eastAsia="Times New Roman" w:hAnsi="Times New Roman" w:cs="Times New Roman"/>
                <w:color w:val="0070C0"/>
                <w:sz w:val="16"/>
                <w:szCs w:val="16"/>
                <w:lang w:eastAsia="en-GB"/>
              </w:rPr>
            </w:pPr>
          </w:p>
        </w:tc>
      </w:tr>
      <w:tr w:rsidR="004664BA" w:rsidRPr="00FF6562" w14:paraId="260B86CE" w14:textId="77777777" w:rsidTr="004664BA">
        <w:trPr>
          <w:trHeight w:val="203"/>
        </w:trPr>
        <w:tc>
          <w:tcPr>
            <w:tcW w:w="760" w:type="dxa"/>
            <w:tcBorders>
              <w:top w:val="nil"/>
              <w:left w:val="nil"/>
              <w:bottom w:val="nil"/>
              <w:right w:val="nil"/>
            </w:tcBorders>
            <w:shd w:val="clear" w:color="auto" w:fill="auto"/>
            <w:noWrap/>
            <w:vAlign w:val="center"/>
            <w:hideMark/>
          </w:tcPr>
          <w:p w14:paraId="19457820" w14:textId="77777777" w:rsidR="00476036" w:rsidRPr="00FF6562" w:rsidRDefault="00476036" w:rsidP="00875EB5">
            <w:pPr>
              <w:spacing w:after="0" w:line="240" w:lineRule="auto"/>
              <w:rPr>
                <w:rFonts w:ascii="Times New Roman" w:eastAsia="Times New Roman" w:hAnsi="Times New Roman" w:cs="Times New Roman"/>
                <w:sz w:val="20"/>
                <w:szCs w:val="20"/>
                <w:lang w:eastAsia="en-GB"/>
              </w:rPr>
            </w:pPr>
            <w:r w:rsidRPr="00AC2C84">
              <w:rPr>
                <w:rFonts w:ascii="Times New Roman" w:eastAsia="Times New Roman" w:hAnsi="Times New Roman" w:cs="Times New Roman"/>
                <w:color w:val="000000" w:themeColor="text1"/>
                <w:sz w:val="16"/>
                <w:szCs w:val="16"/>
                <w:lang w:eastAsia="en-GB"/>
              </w:rPr>
              <w:t>AIC</w:t>
            </w:r>
          </w:p>
        </w:tc>
        <w:tc>
          <w:tcPr>
            <w:tcW w:w="0" w:type="auto"/>
            <w:tcBorders>
              <w:top w:val="nil"/>
              <w:left w:val="nil"/>
              <w:bottom w:val="nil"/>
              <w:right w:val="nil"/>
            </w:tcBorders>
            <w:shd w:val="clear" w:color="auto" w:fill="auto"/>
            <w:noWrap/>
            <w:vAlign w:val="center"/>
            <w:hideMark/>
          </w:tcPr>
          <w:p w14:paraId="191E312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9.98</w:t>
            </w:r>
          </w:p>
        </w:tc>
        <w:tc>
          <w:tcPr>
            <w:tcW w:w="0" w:type="auto"/>
            <w:tcBorders>
              <w:top w:val="nil"/>
              <w:left w:val="nil"/>
              <w:bottom w:val="nil"/>
              <w:right w:val="nil"/>
            </w:tcBorders>
            <w:shd w:val="clear" w:color="auto" w:fill="auto"/>
            <w:noWrap/>
            <w:vAlign w:val="center"/>
            <w:hideMark/>
          </w:tcPr>
          <w:p w14:paraId="3651651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6BA0D43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9.94</w:t>
            </w:r>
          </w:p>
        </w:tc>
        <w:tc>
          <w:tcPr>
            <w:tcW w:w="0" w:type="auto"/>
            <w:tcBorders>
              <w:top w:val="nil"/>
              <w:left w:val="nil"/>
              <w:bottom w:val="nil"/>
              <w:right w:val="nil"/>
            </w:tcBorders>
            <w:shd w:val="clear" w:color="auto" w:fill="auto"/>
            <w:noWrap/>
            <w:vAlign w:val="center"/>
            <w:hideMark/>
          </w:tcPr>
          <w:p w14:paraId="13FB05A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2015655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9.22</w:t>
            </w:r>
          </w:p>
        </w:tc>
        <w:tc>
          <w:tcPr>
            <w:tcW w:w="0" w:type="auto"/>
            <w:tcBorders>
              <w:top w:val="nil"/>
              <w:left w:val="nil"/>
              <w:bottom w:val="nil"/>
              <w:right w:val="nil"/>
            </w:tcBorders>
            <w:shd w:val="clear" w:color="auto" w:fill="auto"/>
            <w:noWrap/>
            <w:vAlign w:val="center"/>
            <w:hideMark/>
          </w:tcPr>
          <w:p w14:paraId="6FDD638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1B3F9F8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11.16</w:t>
            </w:r>
          </w:p>
        </w:tc>
        <w:tc>
          <w:tcPr>
            <w:tcW w:w="0" w:type="auto"/>
            <w:tcBorders>
              <w:top w:val="nil"/>
              <w:left w:val="nil"/>
              <w:bottom w:val="nil"/>
              <w:right w:val="nil"/>
            </w:tcBorders>
            <w:shd w:val="clear" w:color="auto" w:fill="auto"/>
            <w:noWrap/>
            <w:vAlign w:val="center"/>
            <w:hideMark/>
          </w:tcPr>
          <w:p w14:paraId="72D829D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69CA7D4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10.57</w:t>
            </w:r>
          </w:p>
        </w:tc>
        <w:tc>
          <w:tcPr>
            <w:tcW w:w="0" w:type="auto"/>
            <w:tcBorders>
              <w:top w:val="nil"/>
              <w:left w:val="nil"/>
              <w:bottom w:val="nil"/>
              <w:right w:val="nil"/>
            </w:tcBorders>
            <w:shd w:val="clear" w:color="auto" w:fill="auto"/>
            <w:noWrap/>
            <w:vAlign w:val="center"/>
            <w:hideMark/>
          </w:tcPr>
          <w:p w14:paraId="18356BB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5471C0D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9.35</w:t>
            </w:r>
          </w:p>
        </w:tc>
        <w:tc>
          <w:tcPr>
            <w:tcW w:w="0" w:type="auto"/>
            <w:tcBorders>
              <w:top w:val="nil"/>
              <w:left w:val="nil"/>
              <w:bottom w:val="nil"/>
              <w:right w:val="nil"/>
            </w:tcBorders>
            <w:shd w:val="clear" w:color="auto" w:fill="auto"/>
            <w:noWrap/>
            <w:vAlign w:val="center"/>
            <w:hideMark/>
          </w:tcPr>
          <w:p w14:paraId="2AFFD9E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3456B4E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10.09</w:t>
            </w:r>
          </w:p>
        </w:tc>
        <w:tc>
          <w:tcPr>
            <w:tcW w:w="0" w:type="auto"/>
            <w:tcBorders>
              <w:top w:val="nil"/>
              <w:left w:val="nil"/>
              <w:bottom w:val="nil"/>
              <w:right w:val="nil"/>
            </w:tcBorders>
            <w:shd w:val="clear" w:color="auto" w:fill="auto"/>
            <w:noWrap/>
            <w:vAlign w:val="center"/>
            <w:hideMark/>
          </w:tcPr>
          <w:p w14:paraId="7D65E64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49409AD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10.15</w:t>
            </w:r>
          </w:p>
        </w:tc>
        <w:tc>
          <w:tcPr>
            <w:tcW w:w="0" w:type="auto"/>
            <w:tcBorders>
              <w:top w:val="nil"/>
              <w:left w:val="nil"/>
              <w:bottom w:val="nil"/>
              <w:right w:val="nil"/>
            </w:tcBorders>
            <w:shd w:val="clear" w:color="auto" w:fill="auto"/>
            <w:noWrap/>
            <w:vAlign w:val="center"/>
            <w:hideMark/>
          </w:tcPr>
          <w:p w14:paraId="4E80408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29387DD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9.66</w:t>
            </w:r>
          </w:p>
        </w:tc>
        <w:tc>
          <w:tcPr>
            <w:tcW w:w="0" w:type="auto"/>
            <w:tcBorders>
              <w:top w:val="nil"/>
              <w:left w:val="nil"/>
              <w:bottom w:val="nil"/>
              <w:right w:val="nil"/>
            </w:tcBorders>
            <w:shd w:val="clear" w:color="auto" w:fill="auto"/>
            <w:noWrap/>
            <w:vAlign w:val="center"/>
            <w:hideMark/>
          </w:tcPr>
          <w:p w14:paraId="77418D0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28CC4E8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10.15</w:t>
            </w:r>
          </w:p>
        </w:tc>
        <w:tc>
          <w:tcPr>
            <w:tcW w:w="0" w:type="auto"/>
            <w:tcBorders>
              <w:top w:val="nil"/>
              <w:left w:val="nil"/>
              <w:bottom w:val="nil"/>
              <w:right w:val="nil"/>
            </w:tcBorders>
            <w:shd w:val="clear" w:color="auto" w:fill="auto"/>
            <w:noWrap/>
            <w:vAlign w:val="center"/>
            <w:hideMark/>
          </w:tcPr>
          <w:p w14:paraId="40ECD2E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5864B80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9.37</w:t>
            </w:r>
          </w:p>
        </w:tc>
        <w:tc>
          <w:tcPr>
            <w:tcW w:w="0" w:type="auto"/>
            <w:tcBorders>
              <w:top w:val="nil"/>
              <w:left w:val="nil"/>
              <w:bottom w:val="nil"/>
              <w:right w:val="nil"/>
            </w:tcBorders>
            <w:shd w:val="clear" w:color="auto" w:fill="auto"/>
            <w:noWrap/>
            <w:vAlign w:val="center"/>
            <w:hideMark/>
          </w:tcPr>
          <w:p w14:paraId="2AF5780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r>
      <w:tr w:rsidR="004664BA" w:rsidRPr="00FF6562" w14:paraId="5E14B939" w14:textId="77777777" w:rsidTr="004664BA">
        <w:trPr>
          <w:trHeight w:val="203"/>
        </w:trPr>
        <w:tc>
          <w:tcPr>
            <w:tcW w:w="760" w:type="dxa"/>
            <w:tcBorders>
              <w:top w:val="nil"/>
              <w:left w:val="nil"/>
              <w:bottom w:val="nil"/>
              <w:right w:val="nil"/>
            </w:tcBorders>
            <w:shd w:val="clear" w:color="auto" w:fill="auto"/>
            <w:noWrap/>
            <w:vAlign w:val="center"/>
            <w:hideMark/>
          </w:tcPr>
          <w:p w14:paraId="233F5EE2" w14:textId="77777777" w:rsidR="00476036" w:rsidRPr="00FF6562" w:rsidRDefault="00476036" w:rsidP="00875EB5">
            <w:pPr>
              <w:spacing w:after="0" w:line="240" w:lineRule="auto"/>
              <w:rPr>
                <w:rFonts w:ascii="Times New Roman" w:eastAsia="Times New Roman" w:hAnsi="Times New Roman" w:cs="Times New Roman"/>
                <w:sz w:val="20"/>
                <w:szCs w:val="20"/>
                <w:lang w:eastAsia="en-GB"/>
              </w:rPr>
            </w:pPr>
            <w:r w:rsidRPr="00AC2C84">
              <w:rPr>
                <w:rFonts w:ascii="Times New Roman" w:eastAsia="Times New Roman" w:hAnsi="Times New Roman" w:cs="Times New Roman"/>
                <w:color w:val="000000" w:themeColor="text1"/>
                <w:sz w:val="16"/>
                <w:szCs w:val="16"/>
                <w:lang w:eastAsia="en-GB"/>
              </w:rPr>
              <w:t>SIC</w:t>
            </w:r>
          </w:p>
        </w:tc>
        <w:tc>
          <w:tcPr>
            <w:tcW w:w="0" w:type="auto"/>
            <w:tcBorders>
              <w:top w:val="nil"/>
              <w:left w:val="nil"/>
              <w:bottom w:val="nil"/>
              <w:right w:val="nil"/>
            </w:tcBorders>
            <w:shd w:val="clear" w:color="auto" w:fill="auto"/>
            <w:noWrap/>
            <w:vAlign w:val="center"/>
            <w:hideMark/>
          </w:tcPr>
          <w:p w14:paraId="5127D9F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11.02</w:t>
            </w:r>
          </w:p>
        </w:tc>
        <w:tc>
          <w:tcPr>
            <w:tcW w:w="0" w:type="auto"/>
            <w:tcBorders>
              <w:top w:val="nil"/>
              <w:left w:val="nil"/>
              <w:bottom w:val="nil"/>
              <w:right w:val="nil"/>
            </w:tcBorders>
            <w:shd w:val="clear" w:color="auto" w:fill="auto"/>
            <w:noWrap/>
            <w:vAlign w:val="center"/>
            <w:hideMark/>
          </w:tcPr>
          <w:p w14:paraId="00E1DF1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7437CFE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10.98</w:t>
            </w:r>
          </w:p>
        </w:tc>
        <w:tc>
          <w:tcPr>
            <w:tcW w:w="0" w:type="auto"/>
            <w:tcBorders>
              <w:top w:val="nil"/>
              <w:left w:val="nil"/>
              <w:bottom w:val="nil"/>
              <w:right w:val="nil"/>
            </w:tcBorders>
            <w:shd w:val="clear" w:color="auto" w:fill="auto"/>
            <w:noWrap/>
            <w:vAlign w:val="center"/>
            <w:hideMark/>
          </w:tcPr>
          <w:p w14:paraId="1C2F3E9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5B7FEC8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10.21</w:t>
            </w:r>
          </w:p>
        </w:tc>
        <w:tc>
          <w:tcPr>
            <w:tcW w:w="0" w:type="auto"/>
            <w:tcBorders>
              <w:top w:val="nil"/>
              <w:left w:val="nil"/>
              <w:bottom w:val="nil"/>
              <w:right w:val="nil"/>
            </w:tcBorders>
            <w:shd w:val="clear" w:color="auto" w:fill="auto"/>
            <w:noWrap/>
            <w:vAlign w:val="center"/>
            <w:hideMark/>
          </w:tcPr>
          <w:p w14:paraId="55A11B0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2096D9A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12.16</w:t>
            </w:r>
          </w:p>
        </w:tc>
        <w:tc>
          <w:tcPr>
            <w:tcW w:w="0" w:type="auto"/>
            <w:tcBorders>
              <w:top w:val="nil"/>
              <w:left w:val="nil"/>
              <w:bottom w:val="nil"/>
              <w:right w:val="nil"/>
            </w:tcBorders>
            <w:shd w:val="clear" w:color="auto" w:fill="auto"/>
            <w:noWrap/>
            <w:vAlign w:val="center"/>
            <w:hideMark/>
          </w:tcPr>
          <w:p w14:paraId="562883A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6B5083E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11.57</w:t>
            </w:r>
          </w:p>
        </w:tc>
        <w:tc>
          <w:tcPr>
            <w:tcW w:w="0" w:type="auto"/>
            <w:tcBorders>
              <w:top w:val="nil"/>
              <w:left w:val="nil"/>
              <w:bottom w:val="nil"/>
              <w:right w:val="nil"/>
            </w:tcBorders>
            <w:shd w:val="clear" w:color="auto" w:fill="auto"/>
            <w:noWrap/>
            <w:vAlign w:val="center"/>
            <w:hideMark/>
          </w:tcPr>
          <w:p w14:paraId="0AE0F8A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73B0004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10.34</w:t>
            </w:r>
          </w:p>
        </w:tc>
        <w:tc>
          <w:tcPr>
            <w:tcW w:w="0" w:type="auto"/>
            <w:tcBorders>
              <w:top w:val="nil"/>
              <w:left w:val="nil"/>
              <w:bottom w:val="nil"/>
              <w:right w:val="nil"/>
            </w:tcBorders>
            <w:shd w:val="clear" w:color="auto" w:fill="auto"/>
            <w:noWrap/>
            <w:vAlign w:val="center"/>
            <w:hideMark/>
          </w:tcPr>
          <w:p w14:paraId="4208577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550FA9B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11.01</w:t>
            </w:r>
          </w:p>
        </w:tc>
        <w:tc>
          <w:tcPr>
            <w:tcW w:w="0" w:type="auto"/>
            <w:tcBorders>
              <w:top w:val="nil"/>
              <w:left w:val="nil"/>
              <w:bottom w:val="nil"/>
              <w:right w:val="nil"/>
            </w:tcBorders>
            <w:shd w:val="clear" w:color="auto" w:fill="auto"/>
            <w:noWrap/>
            <w:vAlign w:val="center"/>
            <w:hideMark/>
          </w:tcPr>
          <w:p w14:paraId="54EEFAF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6F1ED0F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11.15</w:t>
            </w:r>
          </w:p>
        </w:tc>
        <w:tc>
          <w:tcPr>
            <w:tcW w:w="0" w:type="auto"/>
            <w:tcBorders>
              <w:top w:val="nil"/>
              <w:left w:val="nil"/>
              <w:bottom w:val="nil"/>
              <w:right w:val="nil"/>
            </w:tcBorders>
            <w:shd w:val="clear" w:color="auto" w:fill="auto"/>
            <w:noWrap/>
            <w:vAlign w:val="center"/>
            <w:hideMark/>
          </w:tcPr>
          <w:p w14:paraId="0C444C0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3325ABB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10.66</w:t>
            </w:r>
          </w:p>
        </w:tc>
        <w:tc>
          <w:tcPr>
            <w:tcW w:w="0" w:type="auto"/>
            <w:tcBorders>
              <w:top w:val="nil"/>
              <w:left w:val="nil"/>
              <w:bottom w:val="nil"/>
              <w:right w:val="nil"/>
            </w:tcBorders>
            <w:shd w:val="clear" w:color="auto" w:fill="auto"/>
            <w:noWrap/>
            <w:vAlign w:val="center"/>
            <w:hideMark/>
          </w:tcPr>
          <w:p w14:paraId="473A73E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287C997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11.14</w:t>
            </w:r>
          </w:p>
        </w:tc>
        <w:tc>
          <w:tcPr>
            <w:tcW w:w="0" w:type="auto"/>
            <w:tcBorders>
              <w:top w:val="nil"/>
              <w:left w:val="nil"/>
              <w:bottom w:val="nil"/>
              <w:right w:val="nil"/>
            </w:tcBorders>
            <w:shd w:val="clear" w:color="auto" w:fill="auto"/>
            <w:noWrap/>
            <w:vAlign w:val="center"/>
            <w:hideMark/>
          </w:tcPr>
          <w:p w14:paraId="4F18477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7179926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10.36</w:t>
            </w:r>
          </w:p>
        </w:tc>
        <w:tc>
          <w:tcPr>
            <w:tcW w:w="0" w:type="auto"/>
            <w:tcBorders>
              <w:top w:val="nil"/>
              <w:left w:val="nil"/>
              <w:bottom w:val="nil"/>
              <w:right w:val="nil"/>
            </w:tcBorders>
            <w:shd w:val="clear" w:color="auto" w:fill="auto"/>
            <w:noWrap/>
            <w:vAlign w:val="center"/>
            <w:hideMark/>
          </w:tcPr>
          <w:p w14:paraId="5FF1E61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p>
        </w:tc>
      </w:tr>
      <w:tr w:rsidR="004664BA" w:rsidRPr="00FF6562" w14:paraId="7F0B6956" w14:textId="77777777" w:rsidTr="004664BA">
        <w:trPr>
          <w:trHeight w:val="203"/>
        </w:trPr>
        <w:tc>
          <w:tcPr>
            <w:tcW w:w="760" w:type="dxa"/>
            <w:tcBorders>
              <w:top w:val="nil"/>
              <w:left w:val="nil"/>
              <w:bottom w:val="nil"/>
              <w:right w:val="nil"/>
            </w:tcBorders>
            <w:shd w:val="clear" w:color="auto" w:fill="auto"/>
            <w:noWrap/>
            <w:vAlign w:val="center"/>
            <w:hideMark/>
          </w:tcPr>
          <w:p w14:paraId="5C12BABD" w14:textId="77777777" w:rsidR="00476036" w:rsidRPr="00FF6562" w:rsidRDefault="00FE124F" w:rsidP="00875EB5">
            <w:pPr>
              <w:spacing w:after="0" w:line="240" w:lineRule="auto"/>
              <w:rPr>
                <w:rFonts w:ascii="Times New Roman" w:eastAsia="Times New Roman" w:hAnsi="Times New Roman" w:cs="Times New Roman"/>
                <w:sz w:val="20"/>
                <w:szCs w:val="20"/>
                <w:lang w:eastAsia="en-GB"/>
              </w:rPr>
            </w:pPr>
            <m:oMath>
              <m:sSub>
                <m:sSubPr>
                  <m:ctrlPr>
                    <w:rPr>
                      <w:rFonts w:ascii="Cambria Math" w:hAnsi="Cambria Math"/>
                      <w:i/>
                      <w:color w:val="000000" w:themeColor="text1"/>
                      <w:sz w:val="16"/>
                      <w:szCs w:val="16"/>
                      <w:lang w:eastAsia="en-GB"/>
                    </w:rPr>
                  </m:ctrlPr>
                </m:sSub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1</m:t>
                  </m:r>
                </m:sub>
              </m:sSub>
            </m:oMath>
            <w:r w:rsidR="00476036" w:rsidRPr="00AC2C84">
              <w:rPr>
                <w:color w:val="000000" w:themeColor="text1"/>
                <w:sz w:val="16"/>
                <w:szCs w:val="16"/>
                <w:lang w:eastAsia="en-GB"/>
              </w:rPr>
              <w:t>[20]</w:t>
            </w:r>
          </w:p>
        </w:tc>
        <w:tc>
          <w:tcPr>
            <w:tcW w:w="0" w:type="auto"/>
            <w:tcBorders>
              <w:top w:val="nil"/>
              <w:left w:val="nil"/>
              <w:bottom w:val="nil"/>
              <w:right w:val="nil"/>
            </w:tcBorders>
            <w:shd w:val="clear" w:color="auto" w:fill="auto"/>
            <w:noWrap/>
            <w:vAlign w:val="bottom"/>
            <w:hideMark/>
          </w:tcPr>
          <w:p w14:paraId="5592C83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28.75</w:t>
            </w:r>
          </w:p>
        </w:tc>
        <w:tc>
          <w:tcPr>
            <w:tcW w:w="0" w:type="auto"/>
            <w:tcBorders>
              <w:top w:val="nil"/>
              <w:left w:val="nil"/>
              <w:bottom w:val="nil"/>
              <w:right w:val="nil"/>
            </w:tcBorders>
            <w:shd w:val="clear" w:color="auto" w:fill="auto"/>
            <w:noWrap/>
            <w:vAlign w:val="bottom"/>
            <w:hideMark/>
          </w:tcPr>
          <w:p w14:paraId="7B18B55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w:t>
            </w:r>
          </w:p>
        </w:tc>
        <w:tc>
          <w:tcPr>
            <w:tcW w:w="0" w:type="auto"/>
            <w:tcBorders>
              <w:top w:val="nil"/>
              <w:left w:val="nil"/>
              <w:bottom w:val="nil"/>
              <w:right w:val="nil"/>
            </w:tcBorders>
            <w:shd w:val="clear" w:color="auto" w:fill="auto"/>
            <w:noWrap/>
            <w:vAlign w:val="bottom"/>
            <w:hideMark/>
          </w:tcPr>
          <w:p w14:paraId="7DF2652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33.12</w:t>
            </w:r>
          </w:p>
        </w:tc>
        <w:tc>
          <w:tcPr>
            <w:tcW w:w="0" w:type="auto"/>
            <w:tcBorders>
              <w:top w:val="nil"/>
              <w:left w:val="nil"/>
              <w:bottom w:val="nil"/>
              <w:right w:val="nil"/>
            </w:tcBorders>
            <w:shd w:val="clear" w:color="auto" w:fill="auto"/>
            <w:noWrap/>
            <w:vAlign w:val="bottom"/>
            <w:hideMark/>
          </w:tcPr>
          <w:p w14:paraId="571FAE8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w:t>
            </w:r>
          </w:p>
        </w:tc>
        <w:tc>
          <w:tcPr>
            <w:tcW w:w="0" w:type="auto"/>
            <w:tcBorders>
              <w:top w:val="nil"/>
              <w:left w:val="nil"/>
              <w:bottom w:val="nil"/>
              <w:right w:val="nil"/>
            </w:tcBorders>
            <w:shd w:val="clear" w:color="auto" w:fill="auto"/>
            <w:noWrap/>
            <w:vAlign w:val="bottom"/>
            <w:hideMark/>
          </w:tcPr>
          <w:p w14:paraId="7577931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38.24</w:t>
            </w:r>
          </w:p>
        </w:tc>
        <w:tc>
          <w:tcPr>
            <w:tcW w:w="0" w:type="auto"/>
            <w:tcBorders>
              <w:top w:val="nil"/>
              <w:left w:val="nil"/>
              <w:bottom w:val="nil"/>
              <w:right w:val="nil"/>
            </w:tcBorders>
            <w:shd w:val="clear" w:color="auto" w:fill="auto"/>
            <w:noWrap/>
            <w:vAlign w:val="bottom"/>
            <w:hideMark/>
          </w:tcPr>
          <w:p w14:paraId="075395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w:t>
            </w:r>
          </w:p>
        </w:tc>
        <w:tc>
          <w:tcPr>
            <w:tcW w:w="0" w:type="auto"/>
            <w:tcBorders>
              <w:top w:val="nil"/>
              <w:left w:val="nil"/>
              <w:bottom w:val="nil"/>
              <w:right w:val="nil"/>
            </w:tcBorders>
            <w:shd w:val="clear" w:color="auto" w:fill="auto"/>
            <w:noWrap/>
            <w:vAlign w:val="bottom"/>
            <w:hideMark/>
          </w:tcPr>
          <w:p w14:paraId="2C8BF11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11.31</w:t>
            </w:r>
          </w:p>
        </w:tc>
        <w:tc>
          <w:tcPr>
            <w:tcW w:w="0" w:type="auto"/>
            <w:tcBorders>
              <w:top w:val="nil"/>
              <w:left w:val="nil"/>
              <w:bottom w:val="nil"/>
              <w:right w:val="nil"/>
            </w:tcBorders>
            <w:shd w:val="clear" w:color="auto" w:fill="auto"/>
            <w:noWrap/>
            <w:vAlign w:val="bottom"/>
            <w:hideMark/>
          </w:tcPr>
          <w:p w14:paraId="0FAC053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0.94</w:t>
            </w:r>
          </w:p>
        </w:tc>
        <w:tc>
          <w:tcPr>
            <w:tcW w:w="0" w:type="auto"/>
            <w:tcBorders>
              <w:top w:val="nil"/>
              <w:left w:val="nil"/>
              <w:bottom w:val="nil"/>
              <w:right w:val="nil"/>
            </w:tcBorders>
            <w:shd w:val="clear" w:color="auto" w:fill="auto"/>
            <w:noWrap/>
            <w:vAlign w:val="bottom"/>
            <w:hideMark/>
          </w:tcPr>
          <w:p w14:paraId="555132B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38.97</w:t>
            </w:r>
          </w:p>
        </w:tc>
        <w:tc>
          <w:tcPr>
            <w:tcW w:w="0" w:type="auto"/>
            <w:tcBorders>
              <w:top w:val="nil"/>
              <w:left w:val="nil"/>
              <w:bottom w:val="nil"/>
              <w:right w:val="nil"/>
            </w:tcBorders>
            <w:shd w:val="clear" w:color="auto" w:fill="auto"/>
            <w:noWrap/>
            <w:vAlign w:val="bottom"/>
            <w:hideMark/>
          </w:tcPr>
          <w:p w14:paraId="2712D27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w:t>
            </w:r>
          </w:p>
        </w:tc>
        <w:tc>
          <w:tcPr>
            <w:tcW w:w="0" w:type="auto"/>
            <w:tcBorders>
              <w:top w:val="nil"/>
              <w:left w:val="nil"/>
              <w:bottom w:val="nil"/>
              <w:right w:val="nil"/>
            </w:tcBorders>
            <w:shd w:val="clear" w:color="auto" w:fill="auto"/>
            <w:noWrap/>
            <w:vAlign w:val="bottom"/>
            <w:hideMark/>
          </w:tcPr>
          <w:p w14:paraId="18203BF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39.31</w:t>
            </w:r>
          </w:p>
        </w:tc>
        <w:tc>
          <w:tcPr>
            <w:tcW w:w="0" w:type="auto"/>
            <w:tcBorders>
              <w:top w:val="nil"/>
              <w:left w:val="nil"/>
              <w:bottom w:val="nil"/>
              <w:right w:val="nil"/>
            </w:tcBorders>
            <w:shd w:val="clear" w:color="auto" w:fill="auto"/>
            <w:noWrap/>
            <w:vAlign w:val="bottom"/>
            <w:hideMark/>
          </w:tcPr>
          <w:p w14:paraId="27A8BFA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w:t>
            </w:r>
          </w:p>
        </w:tc>
        <w:tc>
          <w:tcPr>
            <w:tcW w:w="0" w:type="auto"/>
            <w:tcBorders>
              <w:top w:val="nil"/>
              <w:left w:val="nil"/>
              <w:bottom w:val="nil"/>
              <w:right w:val="nil"/>
            </w:tcBorders>
            <w:shd w:val="clear" w:color="auto" w:fill="auto"/>
            <w:noWrap/>
            <w:vAlign w:val="bottom"/>
            <w:hideMark/>
          </w:tcPr>
          <w:p w14:paraId="0FCC61F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26.86</w:t>
            </w:r>
          </w:p>
        </w:tc>
        <w:tc>
          <w:tcPr>
            <w:tcW w:w="0" w:type="auto"/>
            <w:tcBorders>
              <w:top w:val="nil"/>
              <w:left w:val="nil"/>
              <w:bottom w:val="nil"/>
              <w:right w:val="nil"/>
            </w:tcBorders>
            <w:shd w:val="clear" w:color="auto" w:fill="auto"/>
            <w:noWrap/>
            <w:vAlign w:val="bottom"/>
            <w:hideMark/>
          </w:tcPr>
          <w:p w14:paraId="2ED7692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0.14</w:t>
            </w:r>
          </w:p>
        </w:tc>
        <w:tc>
          <w:tcPr>
            <w:tcW w:w="0" w:type="auto"/>
            <w:tcBorders>
              <w:top w:val="nil"/>
              <w:left w:val="nil"/>
              <w:bottom w:val="nil"/>
              <w:right w:val="nil"/>
            </w:tcBorders>
            <w:shd w:val="clear" w:color="auto" w:fill="auto"/>
            <w:noWrap/>
            <w:vAlign w:val="bottom"/>
            <w:hideMark/>
          </w:tcPr>
          <w:p w14:paraId="18EA7D0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33.24</w:t>
            </w:r>
          </w:p>
        </w:tc>
        <w:tc>
          <w:tcPr>
            <w:tcW w:w="0" w:type="auto"/>
            <w:tcBorders>
              <w:top w:val="nil"/>
              <w:left w:val="nil"/>
              <w:bottom w:val="nil"/>
              <w:right w:val="nil"/>
            </w:tcBorders>
            <w:shd w:val="clear" w:color="auto" w:fill="auto"/>
            <w:noWrap/>
            <w:vAlign w:val="bottom"/>
            <w:hideMark/>
          </w:tcPr>
          <w:p w14:paraId="76CC1AC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w:t>
            </w:r>
          </w:p>
        </w:tc>
        <w:tc>
          <w:tcPr>
            <w:tcW w:w="0" w:type="auto"/>
            <w:tcBorders>
              <w:top w:val="nil"/>
              <w:left w:val="nil"/>
              <w:bottom w:val="nil"/>
              <w:right w:val="nil"/>
            </w:tcBorders>
            <w:shd w:val="clear" w:color="auto" w:fill="auto"/>
            <w:noWrap/>
            <w:vAlign w:val="bottom"/>
            <w:hideMark/>
          </w:tcPr>
          <w:p w14:paraId="0F2D752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32.00</w:t>
            </w:r>
          </w:p>
        </w:tc>
        <w:tc>
          <w:tcPr>
            <w:tcW w:w="0" w:type="auto"/>
            <w:tcBorders>
              <w:top w:val="nil"/>
              <w:left w:val="nil"/>
              <w:bottom w:val="nil"/>
              <w:right w:val="nil"/>
            </w:tcBorders>
            <w:shd w:val="clear" w:color="auto" w:fill="auto"/>
            <w:noWrap/>
            <w:vAlign w:val="bottom"/>
            <w:hideMark/>
          </w:tcPr>
          <w:p w14:paraId="5DF4400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w:t>
            </w:r>
          </w:p>
        </w:tc>
        <w:tc>
          <w:tcPr>
            <w:tcW w:w="0" w:type="auto"/>
            <w:tcBorders>
              <w:top w:val="nil"/>
              <w:left w:val="nil"/>
              <w:bottom w:val="nil"/>
              <w:right w:val="nil"/>
            </w:tcBorders>
            <w:shd w:val="clear" w:color="auto" w:fill="auto"/>
            <w:noWrap/>
            <w:vAlign w:val="bottom"/>
            <w:hideMark/>
          </w:tcPr>
          <w:p w14:paraId="7E49CEE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26.82</w:t>
            </w:r>
          </w:p>
        </w:tc>
        <w:tc>
          <w:tcPr>
            <w:tcW w:w="0" w:type="auto"/>
            <w:tcBorders>
              <w:top w:val="nil"/>
              <w:left w:val="nil"/>
              <w:bottom w:val="nil"/>
              <w:right w:val="nil"/>
            </w:tcBorders>
            <w:shd w:val="clear" w:color="auto" w:fill="auto"/>
            <w:noWrap/>
            <w:vAlign w:val="bottom"/>
            <w:hideMark/>
          </w:tcPr>
          <w:p w14:paraId="70930C6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0.14</w:t>
            </w:r>
          </w:p>
        </w:tc>
        <w:tc>
          <w:tcPr>
            <w:tcW w:w="0" w:type="auto"/>
            <w:tcBorders>
              <w:top w:val="nil"/>
              <w:left w:val="nil"/>
              <w:bottom w:val="nil"/>
              <w:right w:val="nil"/>
            </w:tcBorders>
            <w:shd w:val="clear" w:color="auto" w:fill="auto"/>
            <w:noWrap/>
            <w:vAlign w:val="bottom"/>
            <w:hideMark/>
          </w:tcPr>
          <w:p w14:paraId="54504DF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15.07</w:t>
            </w:r>
          </w:p>
        </w:tc>
        <w:tc>
          <w:tcPr>
            <w:tcW w:w="0" w:type="auto"/>
            <w:tcBorders>
              <w:top w:val="nil"/>
              <w:left w:val="nil"/>
              <w:bottom w:val="nil"/>
              <w:right w:val="nil"/>
            </w:tcBorders>
            <w:shd w:val="clear" w:color="auto" w:fill="auto"/>
            <w:noWrap/>
            <w:vAlign w:val="bottom"/>
            <w:hideMark/>
          </w:tcPr>
          <w:p w14:paraId="27CD037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0.77</w:t>
            </w:r>
          </w:p>
        </w:tc>
      </w:tr>
      <w:tr w:rsidR="004664BA" w:rsidRPr="00FF6562" w14:paraId="4C4932DC" w14:textId="77777777" w:rsidTr="004664BA">
        <w:trPr>
          <w:trHeight w:val="203"/>
        </w:trPr>
        <w:tc>
          <w:tcPr>
            <w:tcW w:w="760" w:type="dxa"/>
            <w:tcBorders>
              <w:top w:val="nil"/>
              <w:left w:val="nil"/>
              <w:bottom w:val="nil"/>
              <w:right w:val="nil"/>
            </w:tcBorders>
            <w:shd w:val="clear" w:color="auto" w:fill="auto"/>
            <w:noWrap/>
            <w:vAlign w:val="center"/>
            <w:hideMark/>
          </w:tcPr>
          <w:p w14:paraId="73D4F868" w14:textId="77777777" w:rsidR="00476036" w:rsidRPr="00FF6562" w:rsidRDefault="00FE124F" w:rsidP="00875EB5">
            <w:pPr>
              <w:spacing w:after="0" w:line="240" w:lineRule="auto"/>
              <w:rPr>
                <w:rFonts w:ascii="Times New Roman" w:eastAsia="Times New Roman" w:hAnsi="Times New Roman" w:cs="Times New Roman"/>
                <w:sz w:val="20"/>
                <w:szCs w:val="20"/>
                <w:lang w:eastAsia="en-GB"/>
              </w:rPr>
            </w:pPr>
            <m:oMath>
              <m:sSub>
                <m:sSubPr>
                  <m:ctrlPr>
                    <w:rPr>
                      <w:rFonts w:ascii="Cambria Math" w:hAnsi="Cambria Math"/>
                      <w:i/>
                      <w:color w:val="000000" w:themeColor="text1"/>
                      <w:sz w:val="16"/>
                      <w:szCs w:val="16"/>
                      <w:lang w:eastAsia="en-GB"/>
                    </w:rPr>
                  </m:ctrlPr>
                </m:sSub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2</m:t>
                  </m:r>
                </m:sub>
              </m:sSub>
            </m:oMath>
            <w:r w:rsidR="00476036" w:rsidRPr="00AC2C84">
              <w:rPr>
                <w:color w:val="000000" w:themeColor="text1"/>
                <w:sz w:val="16"/>
                <w:szCs w:val="16"/>
                <w:lang w:eastAsia="en-GB"/>
              </w:rPr>
              <w:t>[20]</w:t>
            </w:r>
          </w:p>
        </w:tc>
        <w:tc>
          <w:tcPr>
            <w:tcW w:w="0" w:type="auto"/>
            <w:tcBorders>
              <w:top w:val="nil"/>
              <w:left w:val="nil"/>
              <w:bottom w:val="nil"/>
              <w:right w:val="nil"/>
            </w:tcBorders>
            <w:shd w:val="clear" w:color="auto" w:fill="auto"/>
            <w:noWrap/>
            <w:vAlign w:val="bottom"/>
            <w:hideMark/>
          </w:tcPr>
          <w:p w14:paraId="4C4AAAD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46.17</w:t>
            </w:r>
          </w:p>
        </w:tc>
        <w:tc>
          <w:tcPr>
            <w:tcW w:w="0" w:type="auto"/>
            <w:tcBorders>
              <w:top w:val="nil"/>
              <w:left w:val="nil"/>
              <w:bottom w:val="nil"/>
              <w:right w:val="nil"/>
            </w:tcBorders>
            <w:shd w:val="clear" w:color="auto" w:fill="auto"/>
            <w:noWrap/>
            <w:vAlign w:val="bottom"/>
            <w:hideMark/>
          </w:tcPr>
          <w:p w14:paraId="6788B3B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0263B43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47.42</w:t>
            </w:r>
          </w:p>
        </w:tc>
        <w:tc>
          <w:tcPr>
            <w:tcW w:w="0" w:type="auto"/>
            <w:tcBorders>
              <w:top w:val="nil"/>
              <w:left w:val="nil"/>
              <w:bottom w:val="nil"/>
              <w:right w:val="nil"/>
            </w:tcBorders>
            <w:shd w:val="clear" w:color="auto" w:fill="auto"/>
            <w:noWrap/>
            <w:vAlign w:val="bottom"/>
            <w:hideMark/>
          </w:tcPr>
          <w:p w14:paraId="4604C2E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3FB5B82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46.41</w:t>
            </w:r>
          </w:p>
        </w:tc>
        <w:tc>
          <w:tcPr>
            <w:tcW w:w="0" w:type="auto"/>
            <w:tcBorders>
              <w:top w:val="nil"/>
              <w:left w:val="nil"/>
              <w:bottom w:val="nil"/>
              <w:right w:val="nil"/>
            </w:tcBorders>
            <w:shd w:val="clear" w:color="auto" w:fill="auto"/>
            <w:noWrap/>
            <w:vAlign w:val="bottom"/>
            <w:hideMark/>
          </w:tcPr>
          <w:p w14:paraId="39660B9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1AD7FA9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48.30</w:t>
            </w:r>
          </w:p>
        </w:tc>
        <w:tc>
          <w:tcPr>
            <w:tcW w:w="0" w:type="auto"/>
            <w:tcBorders>
              <w:top w:val="nil"/>
              <w:left w:val="nil"/>
              <w:bottom w:val="nil"/>
              <w:right w:val="nil"/>
            </w:tcBorders>
            <w:shd w:val="clear" w:color="auto" w:fill="auto"/>
            <w:noWrap/>
            <w:vAlign w:val="bottom"/>
            <w:hideMark/>
          </w:tcPr>
          <w:p w14:paraId="6AB494E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2CC0F79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47.95</w:t>
            </w:r>
          </w:p>
        </w:tc>
        <w:tc>
          <w:tcPr>
            <w:tcW w:w="0" w:type="auto"/>
            <w:tcBorders>
              <w:top w:val="nil"/>
              <w:left w:val="nil"/>
              <w:bottom w:val="nil"/>
              <w:right w:val="nil"/>
            </w:tcBorders>
            <w:shd w:val="clear" w:color="auto" w:fill="auto"/>
            <w:noWrap/>
            <w:vAlign w:val="bottom"/>
            <w:hideMark/>
          </w:tcPr>
          <w:p w14:paraId="01E688D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041C49B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43.60</w:t>
            </w:r>
          </w:p>
        </w:tc>
        <w:tc>
          <w:tcPr>
            <w:tcW w:w="0" w:type="auto"/>
            <w:tcBorders>
              <w:top w:val="nil"/>
              <w:left w:val="nil"/>
              <w:bottom w:val="nil"/>
              <w:right w:val="nil"/>
            </w:tcBorders>
            <w:shd w:val="clear" w:color="auto" w:fill="auto"/>
            <w:noWrap/>
            <w:vAlign w:val="bottom"/>
            <w:hideMark/>
          </w:tcPr>
          <w:p w14:paraId="4C43DDE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62A3AB4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48.37</w:t>
            </w:r>
          </w:p>
        </w:tc>
        <w:tc>
          <w:tcPr>
            <w:tcW w:w="0" w:type="auto"/>
            <w:tcBorders>
              <w:top w:val="nil"/>
              <w:left w:val="nil"/>
              <w:bottom w:val="nil"/>
              <w:right w:val="nil"/>
            </w:tcBorders>
            <w:shd w:val="clear" w:color="auto" w:fill="auto"/>
            <w:noWrap/>
            <w:vAlign w:val="bottom"/>
            <w:hideMark/>
          </w:tcPr>
          <w:p w14:paraId="3BEF070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5BED8CE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45.00</w:t>
            </w:r>
          </w:p>
        </w:tc>
        <w:tc>
          <w:tcPr>
            <w:tcW w:w="0" w:type="auto"/>
            <w:tcBorders>
              <w:top w:val="nil"/>
              <w:left w:val="nil"/>
              <w:bottom w:val="nil"/>
              <w:right w:val="nil"/>
            </w:tcBorders>
            <w:shd w:val="clear" w:color="auto" w:fill="auto"/>
            <w:noWrap/>
            <w:vAlign w:val="bottom"/>
            <w:hideMark/>
          </w:tcPr>
          <w:p w14:paraId="43427ED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6907BAB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48.16</w:t>
            </w:r>
          </w:p>
        </w:tc>
        <w:tc>
          <w:tcPr>
            <w:tcW w:w="0" w:type="auto"/>
            <w:tcBorders>
              <w:top w:val="nil"/>
              <w:left w:val="nil"/>
              <w:bottom w:val="nil"/>
              <w:right w:val="nil"/>
            </w:tcBorders>
            <w:shd w:val="clear" w:color="auto" w:fill="auto"/>
            <w:noWrap/>
            <w:vAlign w:val="bottom"/>
            <w:hideMark/>
          </w:tcPr>
          <w:p w14:paraId="6891FCE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43A10E2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49.52</w:t>
            </w:r>
          </w:p>
        </w:tc>
        <w:tc>
          <w:tcPr>
            <w:tcW w:w="0" w:type="auto"/>
            <w:tcBorders>
              <w:top w:val="nil"/>
              <w:left w:val="nil"/>
              <w:bottom w:val="nil"/>
              <w:right w:val="nil"/>
            </w:tcBorders>
            <w:shd w:val="clear" w:color="auto" w:fill="auto"/>
            <w:noWrap/>
            <w:vAlign w:val="bottom"/>
            <w:hideMark/>
          </w:tcPr>
          <w:p w14:paraId="14A7CF6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bottom"/>
            <w:hideMark/>
          </w:tcPr>
          <w:p w14:paraId="04CC338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52.63</w:t>
            </w:r>
          </w:p>
        </w:tc>
        <w:tc>
          <w:tcPr>
            <w:tcW w:w="0" w:type="auto"/>
            <w:tcBorders>
              <w:top w:val="nil"/>
              <w:left w:val="nil"/>
              <w:bottom w:val="nil"/>
              <w:right w:val="nil"/>
            </w:tcBorders>
            <w:shd w:val="clear" w:color="auto" w:fill="auto"/>
            <w:noWrap/>
            <w:vAlign w:val="bottom"/>
            <w:hideMark/>
          </w:tcPr>
          <w:p w14:paraId="28E09F3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r>
      <w:tr w:rsidR="004664BA" w:rsidRPr="00FF6562" w14:paraId="1A449E1F" w14:textId="77777777" w:rsidTr="004664BA">
        <w:trPr>
          <w:trHeight w:val="203"/>
        </w:trPr>
        <w:tc>
          <w:tcPr>
            <w:tcW w:w="760" w:type="dxa"/>
            <w:tcBorders>
              <w:top w:val="nil"/>
              <w:left w:val="nil"/>
              <w:bottom w:val="nil"/>
              <w:right w:val="nil"/>
            </w:tcBorders>
            <w:shd w:val="clear" w:color="auto" w:fill="auto"/>
            <w:noWrap/>
            <w:vAlign w:val="center"/>
            <w:hideMark/>
          </w:tcPr>
          <w:p w14:paraId="2F310401" w14:textId="77777777" w:rsidR="00476036" w:rsidRPr="00FF6562" w:rsidRDefault="00FE124F" w:rsidP="00875EB5">
            <w:pPr>
              <w:spacing w:after="0" w:line="240" w:lineRule="auto"/>
              <w:rPr>
                <w:rFonts w:ascii="Times New Roman" w:eastAsia="Times New Roman" w:hAnsi="Times New Roman" w:cs="Times New Roman"/>
                <w:sz w:val="20"/>
                <w:szCs w:val="20"/>
                <w:lang w:eastAsia="en-GB"/>
              </w:rPr>
            </w:pPr>
            <m:oMath>
              <m:sSubSup>
                <m:sSubSupPr>
                  <m:ctrlPr>
                    <w:rPr>
                      <w:rFonts w:ascii="Cambria Math" w:hAnsi="Cambria Math"/>
                      <w:i/>
                      <w:color w:val="000000" w:themeColor="text1"/>
                      <w:sz w:val="16"/>
                      <w:szCs w:val="16"/>
                      <w:lang w:eastAsia="en-GB"/>
                    </w:rPr>
                  </m:ctrlPr>
                </m:sSubSup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1</m:t>
                  </m:r>
                </m:sub>
                <m:sup>
                  <m:r>
                    <w:rPr>
                      <w:rFonts w:ascii="Cambria Math" w:hAnsi="Cambria Math"/>
                      <w:color w:val="000000" w:themeColor="text1"/>
                      <w:sz w:val="16"/>
                      <w:szCs w:val="16"/>
                      <w:lang w:eastAsia="en-GB"/>
                    </w:rPr>
                    <m:t>2</m:t>
                  </m:r>
                </m:sup>
              </m:sSubSup>
            </m:oMath>
            <w:r w:rsidR="00476036" w:rsidRPr="00AC2C84">
              <w:rPr>
                <w:color w:val="000000" w:themeColor="text1"/>
                <w:sz w:val="16"/>
                <w:szCs w:val="16"/>
                <w:lang w:eastAsia="en-GB"/>
              </w:rPr>
              <w:t>[20]</w:t>
            </w:r>
          </w:p>
        </w:tc>
        <w:tc>
          <w:tcPr>
            <w:tcW w:w="0" w:type="auto"/>
            <w:tcBorders>
              <w:top w:val="nil"/>
              <w:left w:val="nil"/>
              <w:bottom w:val="nil"/>
              <w:right w:val="nil"/>
            </w:tcBorders>
            <w:shd w:val="clear" w:color="auto" w:fill="auto"/>
            <w:noWrap/>
            <w:vAlign w:val="bottom"/>
            <w:hideMark/>
          </w:tcPr>
          <w:p w14:paraId="06736B4A"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20.52</w:t>
            </w:r>
          </w:p>
        </w:tc>
        <w:tc>
          <w:tcPr>
            <w:tcW w:w="0" w:type="auto"/>
            <w:tcBorders>
              <w:top w:val="nil"/>
              <w:left w:val="nil"/>
              <w:bottom w:val="nil"/>
              <w:right w:val="nil"/>
            </w:tcBorders>
            <w:shd w:val="clear" w:color="auto" w:fill="auto"/>
            <w:noWrap/>
            <w:vAlign w:val="bottom"/>
            <w:hideMark/>
          </w:tcPr>
          <w:p w14:paraId="14E7AFF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w:t>
            </w:r>
          </w:p>
        </w:tc>
        <w:tc>
          <w:tcPr>
            <w:tcW w:w="0" w:type="auto"/>
            <w:tcBorders>
              <w:top w:val="nil"/>
              <w:left w:val="nil"/>
              <w:bottom w:val="nil"/>
              <w:right w:val="nil"/>
            </w:tcBorders>
            <w:shd w:val="clear" w:color="auto" w:fill="auto"/>
            <w:noWrap/>
            <w:vAlign w:val="bottom"/>
            <w:hideMark/>
          </w:tcPr>
          <w:p w14:paraId="1755F4B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23.79</w:t>
            </w:r>
          </w:p>
        </w:tc>
        <w:tc>
          <w:tcPr>
            <w:tcW w:w="0" w:type="auto"/>
            <w:tcBorders>
              <w:top w:val="nil"/>
              <w:left w:val="nil"/>
              <w:bottom w:val="nil"/>
              <w:right w:val="nil"/>
            </w:tcBorders>
            <w:shd w:val="clear" w:color="auto" w:fill="auto"/>
            <w:noWrap/>
            <w:vAlign w:val="bottom"/>
            <w:hideMark/>
          </w:tcPr>
          <w:p w14:paraId="5799D87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w:t>
            </w:r>
          </w:p>
        </w:tc>
        <w:tc>
          <w:tcPr>
            <w:tcW w:w="0" w:type="auto"/>
            <w:tcBorders>
              <w:top w:val="nil"/>
              <w:left w:val="nil"/>
              <w:bottom w:val="nil"/>
              <w:right w:val="nil"/>
            </w:tcBorders>
            <w:shd w:val="clear" w:color="auto" w:fill="auto"/>
            <w:noWrap/>
            <w:vAlign w:val="bottom"/>
            <w:hideMark/>
          </w:tcPr>
          <w:p w14:paraId="4412FC3E"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12.69</w:t>
            </w:r>
          </w:p>
        </w:tc>
        <w:tc>
          <w:tcPr>
            <w:tcW w:w="0" w:type="auto"/>
            <w:tcBorders>
              <w:top w:val="nil"/>
              <w:left w:val="nil"/>
              <w:bottom w:val="nil"/>
              <w:right w:val="nil"/>
            </w:tcBorders>
            <w:shd w:val="clear" w:color="auto" w:fill="auto"/>
            <w:noWrap/>
            <w:vAlign w:val="bottom"/>
            <w:hideMark/>
          </w:tcPr>
          <w:p w14:paraId="27639F4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w:t>
            </w:r>
          </w:p>
        </w:tc>
        <w:tc>
          <w:tcPr>
            <w:tcW w:w="0" w:type="auto"/>
            <w:tcBorders>
              <w:top w:val="nil"/>
              <w:left w:val="nil"/>
              <w:bottom w:val="nil"/>
              <w:right w:val="nil"/>
            </w:tcBorders>
            <w:shd w:val="clear" w:color="auto" w:fill="auto"/>
            <w:noWrap/>
            <w:vAlign w:val="bottom"/>
            <w:hideMark/>
          </w:tcPr>
          <w:p w14:paraId="33E24EF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13.11</w:t>
            </w:r>
          </w:p>
        </w:tc>
        <w:tc>
          <w:tcPr>
            <w:tcW w:w="0" w:type="auto"/>
            <w:tcBorders>
              <w:top w:val="nil"/>
              <w:left w:val="nil"/>
              <w:bottom w:val="nil"/>
              <w:right w:val="nil"/>
            </w:tcBorders>
            <w:shd w:val="clear" w:color="auto" w:fill="auto"/>
            <w:noWrap/>
            <w:vAlign w:val="bottom"/>
            <w:hideMark/>
          </w:tcPr>
          <w:p w14:paraId="0BFB5FD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w:t>
            </w:r>
          </w:p>
        </w:tc>
        <w:tc>
          <w:tcPr>
            <w:tcW w:w="0" w:type="auto"/>
            <w:tcBorders>
              <w:top w:val="nil"/>
              <w:left w:val="nil"/>
              <w:bottom w:val="nil"/>
              <w:right w:val="nil"/>
            </w:tcBorders>
            <w:shd w:val="clear" w:color="auto" w:fill="auto"/>
            <w:noWrap/>
            <w:vAlign w:val="bottom"/>
            <w:hideMark/>
          </w:tcPr>
          <w:p w14:paraId="4597E73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11.45</w:t>
            </w:r>
          </w:p>
        </w:tc>
        <w:tc>
          <w:tcPr>
            <w:tcW w:w="0" w:type="auto"/>
            <w:tcBorders>
              <w:top w:val="nil"/>
              <w:left w:val="nil"/>
              <w:bottom w:val="nil"/>
              <w:right w:val="nil"/>
            </w:tcBorders>
            <w:shd w:val="clear" w:color="auto" w:fill="auto"/>
            <w:noWrap/>
            <w:vAlign w:val="bottom"/>
            <w:hideMark/>
          </w:tcPr>
          <w:p w14:paraId="6F8CE57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0.93</w:t>
            </w:r>
          </w:p>
        </w:tc>
        <w:tc>
          <w:tcPr>
            <w:tcW w:w="0" w:type="auto"/>
            <w:tcBorders>
              <w:top w:val="nil"/>
              <w:left w:val="nil"/>
              <w:bottom w:val="nil"/>
              <w:right w:val="nil"/>
            </w:tcBorders>
            <w:shd w:val="clear" w:color="auto" w:fill="auto"/>
            <w:noWrap/>
            <w:vAlign w:val="bottom"/>
            <w:hideMark/>
          </w:tcPr>
          <w:p w14:paraId="0B4CF07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18.06</w:t>
            </w:r>
          </w:p>
        </w:tc>
        <w:tc>
          <w:tcPr>
            <w:tcW w:w="0" w:type="auto"/>
            <w:tcBorders>
              <w:top w:val="nil"/>
              <w:left w:val="nil"/>
              <w:bottom w:val="nil"/>
              <w:right w:val="nil"/>
            </w:tcBorders>
            <w:shd w:val="clear" w:color="auto" w:fill="auto"/>
            <w:noWrap/>
            <w:vAlign w:val="bottom"/>
            <w:hideMark/>
          </w:tcPr>
          <w:p w14:paraId="21B0AE4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0.58</w:t>
            </w:r>
          </w:p>
        </w:tc>
        <w:tc>
          <w:tcPr>
            <w:tcW w:w="0" w:type="auto"/>
            <w:tcBorders>
              <w:top w:val="nil"/>
              <w:left w:val="nil"/>
              <w:bottom w:val="nil"/>
              <w:right w:val="nil"/>
            </w:tcBorders>
            <w:shd w:val="clear" w:color="auto" w:fill="auto"/>
            <w:noWrap/>
            <w:vAlign w:val="bottom"/>
            <w:hideMark/>
          </w:tcPr>
          <w:p w14:paraId="121A155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22.45</w:t>
            </w:r>
          </w:p>
        </w:tc>
        <w:tc>
          <w:tcPr>
            <w:tcW w:w="0" w:type="auto"/>
            <w:tcBorders>
              <w:top w:val="nil"/>
              <w:left w:val="nil"/>
              <w:bottom w:val="nil"/>
              <w:right w:val="nil"/>
            </w:tcBorders>
            <w:shd w:val="clear" w:color="auto" w:fill="auto"/>
            <w:noWrap/>
            <w:vAlign w:val="bottom"/>
            <w:hideMark/>
          </w:tcPr>
          <w:p w14:paraId="0DB050C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w:t>
            </w:r>
          </w:p>
        </w:tc>
        <w:tc>
          <w:tcPr>
            <w:tcW w:w="0" w:type="auto"/>
            <w:tcBorders>
              <w:top w:val="nil"/>
              <w:left w:val="nil"/>
              <w:bottom w:val="nil"/>
              <w:right w:val="nil"/>
            </w:tcBorders>
            <w:shd w:val="clear" w:color="auto" w:fill="auto"/>
            <w:noWrap/>
            <w:vAlign w:val="bottom"/>
            <w:hideMark/>
          </w:tcPr>
          <w:p w14:paraId="40182E1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7.60</w:t>
            </w:r>
          </w:p>
        </w:tc>
        <w:tc>
          <w:tcPr>
            <w:tcW w:w="0" w:type="auto"/>
            <w:tcBorders>
              <w:top w:val="nil"/>
              <w:left w:val="nil"/>
              <w:bottom w:val="nil"/>
              <w:right w:val="nil"/>
            </w:tcBorders>
            <w:shd w:val="clear" w:color="auto" w:fill="auto"/>
            <w:noWrap/>
            <w:vAlign w:val="bottom"/>
            <w:hideMark/>
          </w:tcPr>
          <w:p w14:paraId="7AAD515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nil"/>
              <w:right w:val="nil"/>
            </w:tcBorders>
            <w:shd w:val="clear" w:color="auto" w:fill="auto"/>
            <w:noWrap/>
            <w:vAlign w:val="bottom"/>
            <w:hideMark/>
          </w:tcPr>
          <w:p w14:paraId="66158144"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9.82</w:t>
            </w:r>
          </w:p>
        </w:tc>
        <w:tc>
          <w:tcPr>
            <w:tcW w:w="0" w:type="auto"/>
            <w:tcBorders>
              <w:top w:val="nil"/>
              <w:left w:val="nil"/>
              <w:bottom w:val="nil"/>
              <w:right w:val="nil"/>
            </w:tcBorders>
            <w:shd w:val="clear" w:color="auto" w:fill="auto"/>
            <w:noWrap/>
            <w:vAlign w:val="bottom"/>
            <w:hideMark/>
          </w:tcPr>
          <w:p w14:paraId="620CFCD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0.97</w:t>
            </w:r>
          </w:p>
        </w:tc>
        <w:tc>
          <w:tcPr>
            <w:tcW w:w="0" w:type="auto"/>
            <w:tcBorders>
              <w:top w:val="nil"/>
              <w:left w:val="nil"/>
              <w:bottom w:val="nil"/>
              <w:right w:val="nil"/>
            </w:tcBorders>
            <w:shd w:val="clear" w:color="auto" w:fill="auto"/>
            <w:noWrap/>
            <w:vAlign w:val="bottom"/>
            <w:hideMark/>
          </w:tcPr>
          <w:p w14:paraId="274BEC7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18.80</w:t>
            </w:r>
          </w:p>
        </w:tc>
        <w:tc>
          <w:tcPr>
            <w:tcW w:w="0" w:type="auto"/>
            <w:tcBorders>
              <w:top w:val="nil"/>
              <w:left w:val="nil"/>
              <w:bottom w:val="nil"/>
              <w:right w:val="nil"/>
            </w:tcBorders>
            <w:shd w:val="clear" w:color="auto" w:fill="auto"/>
            <w:noWrap/>
            <w:vAlign w:val="bottom"/>
            <w:hideMark/>
          </w:tcPr>
          <w:p w14:paraId="26BA70F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w:t>
            </w:r>
          </w:p>
        </w:tc>
        <w:tc>
          <w:tcPr>
            <w:tcW w:w="0" w:type="auto"/>
            <w:tcBorders>
              <w:top w:val="nil"/>
              <w:left w:val="nil"/>
              <w:bottom w:val="nil"/>
              <w:right w:val="nil"/>
            </w:tcBorders>
            <w:shd w:val="clear" w:color="auto" w:fill="auto"/>
            <w:noWrap/>
            <w:vAlign w:val="bottom"/>
            <w:hideMark/>
          </w:tcPr>
          <w:p w14:paraId="598C52E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24.90</w:t>
            </w:r>
          </w:p>
        </w:tc>
        <w:tc>
          <w:tcPr>
            <w:tcW w:w="0" w:type="auto"/>
            <w:tcBorders>
              <w:top w:val="nil"/>
              <w:left w:val="nil"/>
              <w:bottom w:val="nil"/>
              <w:right w:val="nil"/>
            </w:tcBorders>
            <w:shd w:val="clear" w:color="auto" w:fill="auto"/>
            <w:noWrap/>
            <w:vAlign w:val="bottom"/>
            <w:hideMark/>
          </w:tcPr>
          <w:p w14:paraId="775530F8"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w:t>
            </w:r>
          </w:p>
        </w:tc>
      </w:tr>
      <w:tr w:rsidR="004664BA" w:rsidRPr="00FF6562" w14:paraId="469C7355" w14:textId="77777777" w:rsidTr="004664BA">
        <w:trPr>
          <w:trHeight w:val="215"/>
        </w:trPr>
        <w:tc>
          <w:tcPr>
            <w:tcW w:w="760" w:type="dxa"/>
            <w:tcBorders>
              <w:top w:val="nil"/>
              <w:left w:val="nil"/>
              <w:bottom w:val="single" w:sz="8" w:space="0" w:color="auto"/>
              <w:right w:val="nil"/>
            </w:tcBorders>
            <w:shd w:val="clear" w:color="auto" w:fill="auto"/>
            <w:noWrap/>
            <w:vAlign w:val="center"/>
            <w:hideMark/>
          </w:tcPr>
          <w:p w14:paraId="5572C0D6" w14:textId="77777777" w:rsidR="00476036" w:rsidRPr="00FF6562" w:rsidRDefault="00FE124F" w:rsidP="00875EB5">
            <w:pPr>
              <w:spacing w:after="0" w:line="240" w:lineRule="auto"/>
              <w:rPr>
                <w:rFonts w:ascii="Times New Roman" w:eastAsia="Times New Roman" w:hAnsi="Times New Roman" w:cs="Times New Roman"/>
                <w:sz w:val="20"/>
                <w:szCs w:val="20"/>
                <w:lang w:eastAsia="en-GB"/>
              </w:rPr>
            </w:pPr>
            <m:oMath>
              <m:sSubSup>
                <m:sSubSupPr>
                  <m:ctrlPr>
                    <w:rPr>
                      <w:rFonts w:ascii="Cambria Math" w:hAnsi="Cambria Math"/>
                      <w:i/>
                      <w:color w:val="000000" w:themeColor="text1"/>
                      <w:sz w:val="16"/>
                      <w:szCs w:val="16"/>
                      <w:lang w:eastAsia="en-GB"/>
                    </w:rPr>
                  </m:ctrlPr>
                </m:sSubSup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2</m:t>
                  </m:r>
                </m:sub>
                <m:sup>
                  <m:r>
                    <w:rPr>
                      <w:rFonts w:ascii="Cambria Math" w:hAnsi="Cambria Math"/>
                      <w:color w:val="000000" w:themeColor="text1"/>
                      <w:sz w:val="16"/>
                      <w:szCs w:val="16"/>
                      <w:lang w:eastAsia="en-GB"/>
                    </w:rPr>
                    <m:t>2</m:t>
                  </m:r>
                </m:sup>
              </m:sSubSup>
            </m:oMath>
            <w:r w:rsidR="00476036" w:rsidRPr="00AC2C84">
              <w:rPr>
                <w:color w:val="000000" w:themeColor="text1"/>
                <w:sz w:val="16"/>
                <w:szCs w:val="16"/>
                <w:lang w:eastAsia="en-GB"/>
              </w:rPr>
              <w:t>[20]</w:t>
            </w:r>
          </w:p>
        </w:tc>
        <w:tc>
          <w:tcPr>
            <w:tcW w:w="0" w:type="auto"/>
            <w:tcBorders>
              <w:top w:val="nil"/>
              <w:left w:val="nil"/>
              <w:bottom w:val="single" w:sz="8" w:space="0" w:color="auto"/>
              <w:right w:val="nil"/>
            </w:tcBorders>
            <w:shd w:val="clear" w:color="auto" w:fill="auto"/>
            <w:noWrap/>
            <w:vAlign w:val="bottom"/>
            <w:hideMark/>
          </w:tcPr>
          <w:p w14:paraId="2E5CA6B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13.48</w:t>
            </w:r>
          </w:p>
        </w:tc>
        <w:tc>
          <w:tcPr>
            <w:tcW w:w="0" w:type="auto"/>
            <w:tcBorders>
              <w:top w:val="nil"/>
              <w:left w:val="nil"/>
              <w:bottom w:val="single" w:sz="8" w:space="0" w:color="auto"/>
              <w:right w:val="nil"/>
            </w:tcBorders>
            <w:shd w:val="clear" w:color="auto" w:fill="auto"/>
            <w:noWrap/>
            <w:vAlign w:val="bottom"/>
            <w:hideMark/>
          </w:tcPr>
          <w:p w14:paraId="33746D3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0.86</w:t>
            </w:r>
          </w:p>
        </w:tc>
        <w:tc>
          <w:tcPr>
            <w:tcW w:w="0" w:type="auto"/>
            <w:tcBorders>
              <w:top w:val="nil"/>
              <w:left w:val="nil"/>
              <w:bottom w:val="single" w:sz="8" w:space="0" w:color="auto"/>
              <w:right w:val="nil"/>
            </w:tcBorders>
            <w:shd w:val="clear" w:color="auto" w:fill="auto"/>
            <w:noWrap/>
            <w:vAlign w:val="bottom"/>
            <w:hideMark/>
          </w:tcPr>
          <w:p w14:paraId="148E62F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12.88</w:t>
            </w:r>
          </w:p>
        </w:tc>
        <w:tc>
          <w:tcPr>
            <w:tcW w:w="0" w:type="auto"/>
            <w:tcBorders>
              <w:top w:val="nil"/>
              <w:left w:val="nil"/>
              <w:bottom w:val="single" w:sz="8" w:space="0" w:color="auto"/>
              <w:right w:val="nil"/>
            </w:tcBorders>
            <w:shd w:val="clear" w:color="auto" w:fill="auto"/>
            <w:noWrap/>
            <w:vAlign w:val="bottom"/>
            <w:hideMark/>
          </w:tcPr>
          <w:p w14:paraId="3577A055"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w:t>
            </w:r>
          </w:p>
        </w:tc>
        <w:tc>
          <w:tcPr>
            <w:tcW w:w="0" w:type="auto"/>
            <w:tcBorders>
              <w:top w:val="nil"/>
              <w:left w:val="nil"/>
              <w:bottom w:val="single" w:sz="8" w:space="0" w:color="auto"/>
              <w:right w:val="nil"/>
            </w:tcBorders>
            <w:shd w:val="clear" w:color="auto" w:fill="auto"/>
            <w:noWrap/>
            <w:vAlign w:val="bottom"/>
            <w:hideMark/>
          </w:tcPr>
          <w:p w14:paraId="494EA75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18.75</w:t>
            </w:r>
          </w:p>
        </w:tc>
        <w:tc>
          <w:tcPr>
            <w:tcW w:w="0" w:type="auto"/>
            <w:tcBorders>
              <w:top w:val="nil"/>
              <w:left w:val="nil"/>
              <w:bottom w:val="single" w:sz="8" w:space="0" w:color="auto"/>
              <w:right w:val="nil"/>
            </w:tcBorders>
            <w:shd w:val="clear" w:color="auto" w:fill="auto"/>
            <w:noWrap/>
            <w:vAlign w:val="bottom"/>
            <w:hideMark/>
          </w:tcPr>
          <w:p w14:paraId="69773D0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0.54</w:t>
            </w:r>
          </w:p>
        </w:tc>
        <w:tc>
          <w:tcPr>
            <w:tcW w:w="0" w:type="auto"/>
            <w:tcBorders>
              <w:top w:val="nil"/>
              <w:left w:val="nil"/>
              <w:bottom w:val="single" w:sz="8" w:space="0" w:color="auto"/>
              <w:right w:val="nil"/>
            </w:tcBorders>
            <w:shd w:val="clear" w:color="auto" w:fill="auto"/>
            <w:noWrap/>
            <w:vAlign w:val="bottom"/>
            <w:hideMark/>
          </w:tcPr>
          <w:p w14:paraId="1E6D0FC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14.92</w:t>
            </w:r>
          </w:p>
        </w:tc>
        <w:tc>
          <w:tcPr>
            <w:tcW w:w="0" w:type="auto"/>
            <w:tcBorders>
              <w:top w:val="nil"/>
              <w:left w:val="nil"/>
              <w:bottom w:val="single" w:sz="8" w:space="0" w:color="auto"/>
              <w:right w:val="nil"/>
            </w:tcBorders>
            <w:shd w:val="clear" w:color="auto" w:fill="auto"/>
            <w:noWrap/>
            <w:vAlign w:val="bottom"/>
            <w:hideMark/>
          </w:tcPr>
          <w:p w14:paraId="590253A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0.78</w:t>
            </w:r>
          </w:p>
        </w:tc>
        <w:tc>
          <w:tcPr>
            <w:tcW w:w="0" w:type="auto"/>
            <w:tcBorders>
              <w:top w:val="nil"/>
              <w:left w:val="nil"/>
              <w:bottom w:val="single" w:sz="8" w:space="0" w:color="auto"/>
              <w:right w:val="nil"/>
            </w:tcBorders>
            <w:shd w:val="clear" w:color="auto" w:fill="auto"/>
            <w:noWrap/>
            <w:vAlign w:val="bottom"/>
            <w:hideMark/>
          </w:tcPr>
          <w:p w14:paraId="494F0C4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18.65</w:t>
            </w:r>
          </w:p>
        </w:tc>
        <w:tc>
          <w:tcPr>
            <w:tcW w:w="0" w:type="auto"/>
            <w:tcBorders>
              <w:top w:val="nil"/>
              <w:left w:val="nil"/>
              <w:bottom w:val="single" w:sz="8" w:space="0" w:color="auto"/>
              <w:right w:val="nil"/>
            </w:tcBorders>
            <w:shd w:val="clear" w:color="auto" w:fill="auto"/>
            <w:noWrap/>
            <w:vAlign w:val="bottom"/>
            <w:hideMark/>
          </w:tcPr>
          <w:p w14:paraId="7896A986"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0.54</w:t>
            </w:r>
          </w:p>
        </w:tc>
        <w:tc>
          <w:tcPr>
            <w:tcW w:w="0" w:type="auto"/>
            <w:tcBorders>
              <w:top w:val="nil"/>
              <w:left w:val="nil"/>
              <w:bottom w:val="single" w:sz="8" w:space="0" w:color="auto"/>
              <w:right w:val="nil"/>
            </w:tcBorders>
            <w:shd w:val="clear" w:color="auto" w:fill="auto"/>
            <w:noWrap/>
            <w:vAlign w:val="bottom"/>
            <w:hideMark/>
          </w:tcPr>
          <w:p w14:paraId="46F2808D"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15.41</w:t>
            </w:r>
          </w:p>
        </w:tc>
        <w:tc>
          <w:tcPr>
            <w:tcW w:w="0" w:type="auto"/>
            <w:tcBorders>
              <w:top w:val="nil"/>
              <w:left w:val="nil"/>
              <w:bottom w:val="single" w:sz="8" w:space="0" w:color="auto"/>
              <w:right w:val="nil"/>
            </w:tcBorders>
            <w:shd w:val="clear" w:color="auto" w:fill="auto"/>
            <w:noWrap/>
            <w:vAlign w:val="bottom"/>
            <w:hideMark/>
          </w:tcPr>
          <w:p w14:paraId="603A794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0.75</w:t>
            </w:r>
          </w:p>
        </w:tc>
        <w:tc>
          <w:tcPr>
            <w:tcW w:w="0" w:type="auto"/>
            <w:tcBorders>
              <w:top w:val="nil"/>
              <w:left w:val="nil"/>
              <w:bottom w:val="single" w:sz="8" w:space="0" w:color="auto"/>
              <w:right w:val="nil"/>
            </w:tcBorders>
            <w:shd w:val="clear" w:color="auto" w:fill="auto"/>
            <w:noWrap/>
            <w:vAlign w:val="bottom"/>
            <w:hideMark/>
          </w:tcPr>
          <w:p w14:paraId="3E4AE997"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13.46</w:t>
            </w:r>
          </w:p>
        </w:tc>
        <w:tc>
          <w:tcPr>
            <w:tcW w:w="0" w:type="auto"/>
            <w:tcBorders>
              <w:top w:val="nil"/>
              <w:left w:val="nil"/>
              <w:bottom w:val="single" w:sz="8" w:space="0" w:color="auto"/>
              <w:right w:val="nil"/>
            </w:tcBorders>
            <w:shd w:val="clear" w:color="auto" w:fill="auto"/>
            <w:noWrap/>
            <w:vAlign w:val="bottom"/>
            <w:hideMark/>
          </w:tcPr>
          <w:p w14:paraId="5AF00F0F"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0.86</w:t>
            </w:r>
          </w:p>
        </w:tc>
        <w:tc>
          <w:tcPr>
            <w:tcW w:w="0" w:type="auto"/>
            <w:tcBorders>
              <w:top w:val="nil"/>
              <w:left w:val="nil"/>
              <w:bottom w:val="single" w:sz="8" w:space="0" w:color="auto"/>
              <w:right w:val="nil"/>
            </w:tcBorders>
            <w:shd w:val="clear" w:color="auto" w:fill="auto"/>
            <w:noWrap/>
            <w:vAlign w:val="bottom"/>
            <w:hideMark/>
          </w:tcPr>
          <w:p w14:paraId="467E9E0C"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18.42</w:t>
            </w:r>
          </w:p>
        </w:tc>
        <w:tc>
          <w:tcPr>
            <w:tcW w:w="0" w:type="auto"/>
            <w:tcBorders>
              <w:top w:val="nil"/>
              <w:left w:val="nil"/>
              <w:bottom w:val="single" w:sz="8" w:space="0" w:color="auto"/>
              <w:right w:val="nil"/>
            </w:tcBorders>
            <w:shd w:val="clear" w:color="auto" w:fill="auto"/>
            <w:noWrap/>
            <w:vAlign w:val="bottom"/>
            <w:hideMark/>
          </w:tcPr>
          <w:p w14:paraId="028205E9"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w:t>
            </w:r>
          </w:p>
        </w:tc>
        <w:tc>
          <w:tcPr>
            <w:tcW w:w="0" w:type="auto"/>
            <w:tcBorders>
              <w:top w:val="nil"/>
              <w:left w:val="nil"/>
              <w:bottom w:val="single" w:sz="8" w:space="0" w:color="auto"/>
              <w:right w:val="nil"/>
            </w:tcBorders>
            <w:shd w:val="clear" w:color="auto" w:fill="auto"/>
            <w:noWrap/>
            <w:vAlign w:val="bottom"/>
            <w:hideMark/>
          </w:tcPr>
          <w:p w14:paraId="51295D10"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13.69</w:t>
            </w:r>
          </w:p>
        </w:tc>
        <w:tc>
          <w:tcPr>
            <w:tcW w:w="0" w:type="auto"/>
            <w:tcBorders>
              <w:top w:val="nil"/>
              <w:left w:val="nil"/>
              <w:bottom w:val="single" w:sz="8" w:space="0" w:color="auto"/>
              <w:right w:val="nil"/>
            </w:tcBorders>
            <w:shd w:val="clear" w:color="auto" w:fill="auto"/>
            <w:noWrap/>
            <w:vAlign w:val="bottom"/>
            <w:hideMark/>
          </w:tcPr>
          <w:p w14:paraId="3AE4091B"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0.85</w:t>
            </w:r>
          </w:p>
        </w:tc>
        <w:tc>
          <w:tcPr>
            <w:tcW w:w="0" w:type="auto"/>
            <w:tcBorders>
              <w:top w:val="nil"/>
              <w:left w:val="nil"/>
              <w:bottom w:val="single" w:sz="8" w:space="0" w:color="auto"/>
              <w:right w:val="nil"/>
            </w:tcBorders>
            <w:shd w:val="clear" w:color="auto" w:fill="auto"/>
            <w:noWrap/>
            <w:vAlign w:val="bottom"/>
            <w:hideMark/>
          </w:tcPr>
          <w:p w14:paraId="593E169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15.06</w:t>
            </w:r>
          </w:p>
        </w:tc>
        <w:tc>
          <w:tcPr>
            <w:tcW w:w="0" w:type="auto"/>
            <w:tcBorders>
              <w:top w:val="nil"/>
              <w:left w:val="nil"/>
              <w:bottom w:val="single" w:sz="8" w:space="0" w:color="auto"/>
              <w:right w:val="nil"/>
            </w:tcBorders>
            <w:shd w:val="clear" w:color="auto" w:fill="auto"/>
            <w:noWrap/>
            <w:vAlign w:val="bottom"/>
            <w:hideMark/>
          </w:tcPr>
          <w:p w14:paraId="3DF496A3"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0.77</w:t>
            </w:r>
          </w:p>
        </w:tc>
        <w:tc>
          <w:tcPr>
            <w:tcW w:w="0" w:type="auto"/>
            <w:tcBorders>
              <w:top w:val="nil"/>
              <w:left w:val="nil"/>
              <w:bottom w:val="single" w:sz="8" w:space="0" w:color="auto"/>
              <w:right w:val="nil"/>
            </w:tcBorders>
            <w:shd w:val="clear" w:color="auto" w:fill="auto"/>
            <w:noWrap/>
            <w:vAlign w:val="bottom"/>
            <w:hideMark/>
          </w:tcPr>
          <w:p w14:paraId="6B43BC82"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13.61</w:t>
            </w:r>
          </w:p>
        </w:tc>
        <w:tc>
          <w:tcPr>
            <w:tcW w:w="0" w:type="auto"/>
            <w:tcBorders>
              <w:top w:val="nil"/>
              <w:left w:val="nil"/>
              <w:bottom w:val="single" w:sz="8" w:space="0" w:color="auto"/>
              <w:right w:val="nil"/>
            </w:tcBorders>
            <w:shd w:val="clear" w:color="auto" w:fill="auto"/>
            <w:noWrap/>
            <w:vAlign w:val="bottom"/>
            <w:hideMark/>
          </w:tcPr>
          <w:p w14:paraId="20A3CA81" w14:textId="77777777" w:rsidR="00476036" w:rsidRPr="00FF6562" w:rsidRDefault="00476036"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0.85</w:t>
            </w:r>
          </w:p>
        </w:tc>
      </w:tr>
    </w:tbl>
    <w:p w14:paraId="7B014DC1" w14:textId="6001FC33" w:rsidR="00476036" w:rsidRDefault="00476036" w:rsidP="00476036">
      <w:pPr>
        <w:spacing w:after="0"/>
        <w:jc w:val="both"/>
        <w:rPr>
          <w:rFonts w:ascii="Times New Roman" w:eastAsiaTheme="minorEastAsia" w:hAnsi="Times New Roman" w:cs="Times New Roman"/>
          <w:color w:val="000000" w:themeColor="text1"/>
          <w:sz w:val="16"/>
          <w:szCs w:val="16"/>
          <w:lang w:eastAsia="en-GB"/>
        </w:rPr>
      </w:pPr>
      <w:r>
        <w:rPr>
          <w:rFonts w:ascii="Times New Roman" w:eastAsiaTheme="minorEastAsia" w:hAnsi="Times New Roman" w:cs="Times New Roman"/>
          <w:color w:val="000000" w:themeColor="text1"/>
          <w:sz w:val="16"/>
          <w:szCs w:val="16"/>
          <w:lang w:eastAsia="en-GB"/>
        </w:rPr>
        <w:t xml:space="preserve"> </w:t>
      </w:r>
    </w:p>
    <w:p w14:paraId="56AAA71F" w14:textId="77777777" w:rsidR="004664BA" w:rsidRDefault="004664BA" w:rsidP="00F92754">
      <w:pPr>
        <w:rPr>
          <w:rFonts w:ascii="Times New Roman" w:hAnsi="Times New Roman" w:cs="Times New Roman"/>
          <w:b/>
          <w:bCs/>
        </w:rPr>
      </w:pPr>
    </w:p>
    <w:p w14:paraId="1FD01AA0" w14:textId="77777777" w:rsidR="004D4704" w:rsidRDefault="004D4704" w:rsidP="00F92754">
      <w:pPr>
        <w:rPr>
          <w:rFonts w:ascii="Times New Roman" w:hAnsi="Times New Roman" w:cs="Times New Roman"/>
          <w:b/>
          <w:bCs/>
        </w:rPr>
      </w:pPr>
    </w:p>
    <w:p w14:paraId="127A9922" w14:textId="1EC8FE4A" w:rsidR="00F92754" w:rsidRPr="00FF6562" w:rsidRDefault="00F92754" w:rsidP="00F92754">
      <w:pPr>
        <w:rPr>
          <w:rFonts w:ascii="Times New Roman" w:hAnsi="Times New Roman" w:cs="Times New Roman"/>
        </w:rPr>
      </w:pPr>
      <w:r w:rsidRPr="00F12F6B">
        <w:rPr>
          <w:rFonts w:ascii="Times New Roman" w:hAnsi="Times New Roman" w:cs="Times New Roman"/>
          <w:b/>
          <w:bCs/>
        </w:rPr>
        <w:lastRenderedPageBreak/>
        <w:t xml:space="preserve">Table </w:t>
      </w:r>
      <w:r>
        <w:rPr>
          <w:rFonts w:ascii="Times New Roman" w:hAnsi="Times New Roman" w:cs="Times New Roman"/>
          <w:b/>
          <w:bCs/>
        </w:rPr>
        <w:t>4</w:t>
      </w:r>
      <w:r w:rsidRPr="00F12F6B">
        <w:rPr>
          <w:rFonts w:ascii="Times New Roman" w:hAnsi="Times New Roman" w:cs="Times New Roman"/>
          <w:b/>
          <w:bCs/>
        </w:rPr>
        <w:t>.</w:t>
      </w:r>
      <w:r w:rsidRPr="00F12F6B">
        <w:rPr>
          <w:rFonts w:ascii="Times New Roman" w:hAnsi="Times New Roman" w:cs="Times New Roman"/>
        </w:rPr>
        <w:t xml:space="preserve"> Estimates of VAR-BEKK-AGARCH between Islamic equity sectors </w:t>
      </w:r>
      <w:r>
        <w:rPr>
          <w:rFonts w:ascii="Times New Roman" w:hAnsi="Times New Roman" w:cs="Times New Roman"/>
        </w:rPr>
        <w:t xml:space="preserve">and X8X </w:t>
      </w:r>
      <w:r w:rsidRPr="00F12F6B">
        <w:rPr>
          <w:rFonts w:ascii="Times New Roman" w:hAnsi="Times New Roman" w:cs="Times New Roman"/>
        </w:rPr>
        <w:t xml:space="preserve">during </w:t>
      </w:r>
      <w:r w:rsidR="00C014AF" w:rsidRPr="00943B04">
        <w:rPr>
          <w:rFonts w:ascii="Times New Roman" w:hAnsi="Times New Roman" w:cs="Times New Roman"/>
          <w:color w:val="0070C0"/>
        </w:rPr>
        <w:t>pre-COVID-19 crisis</w:t>
      </w:r>
      <w:r w:rsidRPr="00943B04">
        <w:rPr>
          <w:rFonts w:ascii="Times New Roman" w:hAnsi="Times New Roman" w:cs="Times New Roman"/>
          <w:color w:val="0070C0"/>
        </w:rPr>
        <w:t>.</w:t>
      </w:r>
    </w:p>
    <w:tbl>
      <w:tblPr>
        <w:tblW w:w="14222" w:type="dxa"/>
        <w:tblLook w:val="04A0" w:firstRow="1" w:lastRow="0" w:firstColumn="1" w:lastColumn="0" w:noHBand="0" w:noVBand="1"/>
      </w:tblPr>
      <w:tblGrid>
        <w:gridCol w:w="663"/>
        <w:gridCol w:w="713"/>
        <w:gridCol w:w="589"/>
        <w:gridCol w:w="661"/>
        <w:gridCol w:w="613"/>
        <w:gridCol w:w="670"/>
        <w:gridCol w:w="622"/>
        <w:gridCol w:w="633"/>
        <w:gridCol w:w="587"/>
        <w:gridCol w:w="633"/>
        <w:gridCol w:w="587"/>
        <w:gridCol w:w="659"/>
        <w:gridCol w:w="587"/>
        <w:gridCol w:w="633"/>
        <w:gridCol w:w="587"/>
        <w:gridCol w:w="763"/>
        <w:gridCol w:w="707"/>
        <w:gridCol w:w="633"/>
        <w:gridCol w:w="587"/>
        <w:gridCol w:w="659"/>
        <w:gridCol w:w="587"/>
        <w:gridCol w:w="633"/>
        <w:gridCol w:w="587"/>
      </w:tblGrid>
      <w:tr w:rsidR="004418B0" w:rsidRPr="00FF6562" w14:paraId="57332E3C" w14:textId="77777777" w:rsidTr="004D4704">
        <w:trPr>
          <w:trHeight w:val="200"/>
        </w:trPr>
        <w:tc>
          <w:tcPr>
            <w:tcW w:w="14217" w:type="dxa"/>
            <w:gridSpan w:val="23"/>
            <w:tcBorders>
              <w:top w:val="single" w:sz="4" w:space="0" w:color="auto"/>
              <w:left w:val="nil"/>
              <w:bottom w:val="single" w:sz="4" w:space="0" w:color="auto"/>
              <w:right w:val="nil"/>
            </w:tcBorders>
            <w:shd w:val="clear" w:color="auto" w:fill="auto"/>
            <w:noWrap/>
            <w:vAlign w:val="center"/>
          </w:tcPr>
          <w:p w14:paraId="19FE98A8" w14:textId="72E7AC6F" w:rsidR="004418B0" w:rsidRPr="00FF6562" w:rsidRDefault="004418B0" w:rsidP="004D4704">
            <w:pPr>
              <w:spacing w:after="0" w:line="240" w:lineRule="auto"/>
              <w:jc w:val="both"/>
              <w:rPr>
                <w:rFonts w:ascii="Times New Roman" w:eastAsia="Times New Roman" w:hAnsi="Times New Roman" w:cs="Times New Roman"/>
                <w:b/>
                <w:bCs/>
                <w:sz w:val="16"/>
                <w:szCs w:val="16"/>
                <w:lang w:eastAsia="en-GB"/>
              </w:rPr>
            </w:pPr>
            <w:r w:rsidRPr="004418B0">
              <w:rPr>
                <w:rFonts w:ascii="Times New Roman" w:eastAsia="Times New Roman" w:hAnsi="Times New Roman" w:cs="Times New Roman"/>
                <w:sz w:val="16"/>
                <w:szCs w:val="16"/>
                <w:lang w:eastAsia="en-GB"/>
              </w:rPr>
              <w:t>This table provides the estimations of return and volatility spillovers between Islamic equity sectors and</w:t>
            </w:r>
            <w:r>
              <w:rPr>
                <w:rFonts w:ascii="Times New Roman" w:eastAsia="Times New Roman" w:hAnsi="Times New Roman" w:cs="Times New Roman"/>
                <w:sz w:val="16"/>
                <w:szCs w:val="16"/>
                <w:lang w:eastAsia="en-GB"/>
              </w:rPr>
              <w:t xml:space="preserve"> X8X</w:t>
            </w:r>
            <w:r w:rsidRPr="004418B0">
              <w:rPr>
                <w:rFonts w:ascii="Times New Roman" w:eastAsia="Times New Roman" w:hAnsi="Times New Roman" w:cs="Times New Roman"/>
                <w:sz w:val="16"/>
                <w:szCs w:val="16"/>
                <w:lang w:eastAsia="en-GB"/>
              </w:rPr>
              <w:t xml:space="preserve"> during the </w:t>
            </w:r>
            <w:r>
              <w:rPr>
                <w:rFonts w:ascii="Times New Roman" w:eastAsia="Times New Roman" w:hAnsi="Times New Roman" w:cs="Times New Roman"/>
                <w:sz w:val="16"/>
                <w:szCs w:val="16"/>
                <w:lang w:eastAsia="en-GB"/>
              </w:rPr>
              <w:t>pre-</w:t>
            </w:r>
            <w:r w:rsidRPr="004418B0">
              <w:rPr>
                <w:rFonts w:ascii="Times New Roman" w:eastAsia="Times New Roman" w:hAnsi="Times New Roman" w:cs="Times New Roman"/>
                <w:sz w:val="16"/>
                <w:szCs w:val="16"/>
                <w:lang w:eastAsia="en-GB"/>
              </w:rPr>
              <w:t xml:space="preserve">COVID-19 period. The mean equation in Panel A provides the results of returns spillovers, whereas the variance equation in panel B provides the results of shock and volatility spillovers. Panel C presents the diagnostic tests, including log-likelihood ratio, AIC test, BIC test, and </w:t>
            </w:r>
            <w:proofErr w:type="spellStart"/>
            <w:r w:rsidRPr="004418B0">
              <w:rPr>
                <w:rFonts w:ascii="Times New Roman" w:eastAsia="Times New Roman" w:hAnsi="Times New Roman" w:cs="Times New Roman"/>
                <w:sz w:val="16"/>
                <w:szCs w:val="16"/>
                <w:lang w:eastAsia="en-GB"/>
              </w:rPr>
              <w:t>Ljung</w:t>
            </w:r>
            <w:proofErr w:type="spellEnd"/>
            <w:r w:rsidRPr="004418B0">
              <w:rPr>
                <w:rFonts w:ascii="Times New Roman" w:eastAsia="Times New Roman" w:hAnsi="Times New Roman" w:cs="Times New Roman"/>
                <w:sz w:val="16"/>
                <w:szCs w:val="16"/>
                <w:lang w:eastAsia="en-GB"/>
              </w:rPr>
              <w:t>-Box Q statistics. Following are the full forms of different acronyms used in the table:</w:t>
            </w:r>
            <w:r w:rsidRPr="004418B0">
              <w:rPr>
                <w:rFonts w:ascii="Times New Roman" w:hAnsi="Times New Roman" w:cs="Times New Roman"/>
                <w:sz w:val="16"/>
                <w:szCs w:val="16"/>
              </w:rPr>
              <w:t xml:space="preserve"> </w:t>
            </w:r>
            <w:r w:rsidRPr="004418B0">
              <w:rPr>
                <w:rFonts w:ascii="Times New Roman" w:eastAsia="Times New Roman" w:hAnsi="Times New Roman" w:cs="Times New Roman"/>
                <w:sz w:val="16"/>
                <w:szCs w:val="16"/>
                <w:lang w:eastAsia="en-GB"/>
              </w:rPr>
              <w:t xml:space="preserve">Com. services-communication services, consumer disc.-consumer discretionary, consumer </w:t>
            </w:r>
            <w:proofErr w:type="spellStart"/>
            <w:r w:rsidRPr="004418B0">
              <w:rPr>
                <w:rFonts w:ascii="Times New Roman" w:eastAsia="Times New Roman" w:hAnsi="Times New Roman" w:cs="Times New Roman"/>
                <w:sz w:val="16"/>
                <w:szCs w:val="16"/>
                <w:lang w:eastAsia="en-GB"/>
              </w:rPr>
              <w:t>stap</w:t>
            </w:r>
            <w:proofErr w:type="spellEnd"/>
            <w:r w:rsidRPr="004418B0">
              <w:rPr>
                <w:rFonts w:ascii="Times New Roman" w:eastAsia="Times New Roman" w:hAnsi="Times New Roman" w:cs="Times New Roman"/>
                <w:sz w:val="16"/>
                <w:szCs w:val="16"/>
                <w:lang w:eastAsia="en-GB"/>
              </w:rPr>
              <w:t>-consumer staples, Information tech.-Information technology. Coeff-coefficient, p-val.-p-</w:t>
            </w:r>
            <w:proofErr w:type="spellStart"/>
            <w:r w:rsidRPr="004418B0">
              <w:rPr>
                <w:rFonts w:ascii="Times New Roman" w:eastAsia="Times New Roman" w:hAnsi="Times New Roman" w:cs="Times New Roman"/>
                <w:sz w:val="16"/>
                <w:szCs w:val="16"/>
                <w:lang w:eastAsia="en-GB"/>
              </w:rPr>
              <w:t>value.AIC</w:t>
            </w:r>
            <w:proofErr w:type="spellEnd"/>
            <w:r w:rsidRPr="004418B0">
              <w:rPr>
                <w:rFonts w:ascii="Times New Roman" w:eastAsia="Times New Roman" w:hAnsi="Times New Roman" w:cs="Times New Roman"/>
                <w:sz w:val="16"/>
                <w:szCs w:val="16"/>
                <w:lang w:eastAsia="en-GB"/>
              </w:rPr>
              <w:t xml:space="preserve"> and SIC </w:t>
            </w:r>
            <w:proofErr w:type="spellStart"/>
            <w:r w:rsidRPr="004418B0">
              <w:rPr>
                <w:rFonts w:ascii="Times New Roman" w:eastAsia="Times New Roman" w:hAnsi="Times New Roman" w:cs="Times New Roman"/>
                <w:sz w:val="16"/>
                <w:szCs w:val="16"/>
                <w:lang w:eastAsia="en-GB"/>
              </w:rPr>
              <w:t>criterias</w:t>
            </w:r>
            <w:proofErr w:type="spellEnd"/>
            <w:r w:rsidRPr="004418B0">
              <w:rPr>
                <w:rFonts w:ascii="Times New Roman" w:eastAsia="Times New Roman" w:hAnsi="Times New Roman" w:cs="Times New Roman"/>
                <w:sz w:val="16"/>
                <w:szCs w:val="16"/>
                <w:lang w:eastAsia="en-GB"/>
              </w:rPr>
              <w:t xml:space="preserve"> are used for the selection of number of lags. Q (20), and Q</w:t>
            </w:r>
            <w:r w:rsidRPr="004418B0">
              <w:rPr>
                <w:rFonts w:ascii="Times New Roman" w:eastAsia="Times New Roman" w:hAnsi="Times New Roman" w:cs="Times New Roman"/>
                <w:sz w:val="16"/>
                <w:szCs w:val="16"/>
                <w:vertAlign w:val="superscript"/>
                <w:lang w:eastAsia="en-GB"/>
              </w:rPr>
              <w:t>2</w:t>
            </w:r>
            <w:r w:rsidRPr="004418B0">
              <w:rPr>
                <w:rFonts w:ascii="Times New Roman" w:eastAsia="Times New Roman" w:hAnsi="Times New Roman" w:cs="Times New Roman"/>
                <w:sz w:val="16"/>
                <w:szCs w:val="16"/>
                <w:lang w:eastAsia="en-GB"/>
              </w:rPr>
              <w:t xml:space="preserve">(20) denotes </w:t>
            </w:r>
            <w:proofErr w:type="spellStart"/>
            <w:r w:rsidRPr="004418B0">
              <w:rPr>
                <w:rFonts w:ascii="Times New Roman" w:eastAsia="Times New Roman" w:hAnsi="Times New Roman" w:cs="Times New Roman"/>
                <w:sz w:val="16"/>
                <w:szCs w:val="16"/>
                <w:lang w:eastAsia="en-GB"/>
              </w:rPr>
              <w:t>Ljung</w:t>
            </w:r>
            <w:proofErr w:type="spellEnd"/>
            <w:r w:rsidRPr="004418B0">
              <w:rPr>
                <w:rFonts w:ascii="Times New Roman" w:eastAsia="Times New Roman" w:hAnsi="Times New Roman" w:cs="Times New Roman"/>
                <w:sz w:val="16"/>
                <w:szCs w:val="16"/>
                <w:lang w:eastAsia="en-GB"/>
              </w:rPr>
              <w:t xml:space="preserve">-Box Q statistics of order 20 for autocorrelation applied to the standardized residuals and squared standardized residuals, respectively. Variable order is the Islamic sectoral equity market (1) and X8X (2). </w:t>
            </w:r>
            <m:oMath>
              <m:sSub>
                <m:sSubPr>
                  <m:ctrlPr>
                    <w:rPr>
                      <w:rFonts w:ascii="Cambria Math" w:eastAsia="Times New Roman" w:hAnsi="Cambria Math" w:cs="Times New Roman"/>
                      <w:i/>
                      <w:sz w:val="16"/>
                      <w:szCs w:val="16"/>
                      <w:lang w:eastAsia="en-GB"/>
                    </w:rPr>
                  </m:ctrlPr>
                </m:sSubPr>
                <m:e>
                  <m:r>
                    <w:rPr>
                      <w:rFonts w:ascii="Cambria Math" w:eastAsia="Times New Roman" w:hAnsi="Cambria Math" w:cs="Times New Roman"/>
                      <w:sz w:val="16"/>
                      <w:szCs w:val="16"/>
                      <w:lang w:eastAsia="en-GB"/>
                    </w:rPr>
                    <m:t>∅</m:t>
                  </m:r>
                </m:e>
                <m:sub>
                  <m:r>
                    <w:rPr>
                      <w:rFonts w:ascii="Cambria Math" w:eastAsia="Times New Roman" w:hAnsi="Cambria Math" w:cs="Times New Roman"/>
                      <w:sz w:val="16"/>
                      <w:szCs w:val="16"/>
                      <w:lang w:eastAsia="en-GB"/>
                    </w:rPr>
                    <m:t>12</m:t>
                  </m:r>
                </m:sub>
              </m:sSub>
            </m:oMath>
            <w:r w:rsidRPr="004418B0">
              <w:rPr>
                <w:rFonts w:ascii="Times New Roman" w:eastAsia="Times New Roman" w:hAnsi="Times New Roman" w:cs="Times New Roman"/>
                <w:sz w:val="16"/>
                <w:szCs w:val="16"/>
                <w:lang w:eastAsia="en-GB"/>
              </w:rPr>
              <w:t xml:space="preserve"> denotes the returns spillover from Islamic sectoral equity market to X8X. </w:t>
            </w:r>
            <m:oMath>
              <m:sSub>
                <m:sSubPr>
                  <m:ctrlPr>
                    <w:rPr>
                      <w:rFonts w:ascii="Cambria Math" w:eastAsia="Times New Roman" w:hAnsi="Cambria Math" w:cs="Times New Roman"/>
                      <w:i/>
                      <w:sz w:val="16"/>
                      <w:szCs w:val="16"/>
                      <w:lang w:eastAsia="en-GB"/>
                    </w:rPr>
                  </m:ctrlPr>
                </m:sSubPr>
                <m:e>
                  <m:r>
                    <w:rPr>
                      <w:rFonts w:ascii="Cambria Math" w:eastAsia="Times New Roman" w:hAnsi="Cambria Math" w:cs="Times New Roman"/>
                      <w:sz w:val="16"/>
                      <w:szCs w:val="16"/>
                      <w:lang w:eastAsia="en-GB"/>
                    </w:rPr>
                    <m:t>a</m:t>
                  </m:r>
                </m:e>
                <m:sub>
                  <m:r>
                    <m:rPr>
                      <m:sty m:val="p"/>
                    </m:rPr>
                    <w:rPr>
                      <w:rFonts w:ascii="Cambria Math" w:eastAsia="Times New Roman" w:hAnsi="Cambria Math" w:cs="Times New Roman"/>
                      <w:sz w:val="16"/>
                      <w:szCs w:val="16"/>
                      <w:lang w:eastAsia="en-GB"/>
                    </w:rPr>
                    <m:t>12</m:t>
                  </m:r>
                </m:sub>
              </m:sSub>
            </m:oMath>
            <w:r w:rsidRPr="004418B0">
              <w:rPr>
                <w:rFonts w:ascii="Times New Roman" w:eastAsia="Times New Roman" w:hAnsi="Times New Roman" w:cs="Times New Roman"/>
                <w:sz w:val="16"/>
                <w:szCs w:val="16"/>
                <w:lang w:eastAsia="en-GB"/>
              </w:rPr>
              <w:t xml:space="preserve"> means the shock spillover from Islamic sectoral equity market to X8X. </w:t>
            </w:r>
            <m:oMath>
              <m:sSub>
                <m:sSubPr>
                  <m:ctrlPr>
                    <w:rPr>
                      <w:rFonts w:ascii="Cambria Math" w:eastAsia="Times New Roman" w:hAnsi="Cambria Math" w:cs="Times New Roman"/>
                      <w:i/>
                      <w:sz w:val="16"/>
                      <w:szCs w:val="16"/>
                      <w:lang w:eastAsia="en-GB"/>
                    </w:rPr>
                  </m:ctrlPr>
                </m:sSubPr>
                <m:e>
                  <m:r>
                    <w:rPr>
                      <w:rFonts w:ascii="Cambria Math" w:eastAsia="Times New Roman" w:hAnsi="Cambria Math" w:cs="Times New Roman"/>
                      <w:sz w:val="16"/>
                      <w:szCs w:val="16"/>
                      <w:lang w:eastAsia="en-GB"/>
                    </w:rPr>
                    <m:t>b</m:t>
                  </m:r>
                </m:e>
                <m:sub>
                  <m:r>
                    <m:rPr>
                      <m:sty m:val="p"/>
                    </m:rPr>
                    <w:rPr>
                      <w:rFonts w:ascii="Cambria Math" w:eastAsia="Times New Roman" w:hAnsi="Cambria Math" w:cs="Times New Roman"/>
                      <w:sz w:val="16"/>
                      <w:szCs w:val="16"/>
                      <w:lang w:eastAsia="en-GB"/>
                    </w:rPr>
                    <m:t>12</m:t>
                  </m:r>
                </m:sub>
              </m:sSub>
            </m:oMath>
            <w:r w:rsidRPr="004418B0">
              <w:rPr>
                <w:rFonts w:ascii="Times New Roman" w:eastAsia="Times New Roman" w:hAnsi="Times New Roman" w:cs="Times New Roman"/>
                <w:sz w:val="16"/>
                <w:szCs w:val="16"/>
                <w:lang w:eastAsia="en-GB"/>
              </w:rPr>
              <w:t xml:space="preserve"> refers to the volatility spillover from Islamic sectoral equity market to X8X Onegram. </w:t>
            </w:r>
          </w:p>
        </w:tc>
      </w:tr>
      <w:tr w:rsidR="004D4704" w:rsidRPr="00FF6562" w14:paraId="36735F7A" w14:textId="77777777" w:rsidTr="004D4704">
        <w:trPr>
          <w:trHeight w:val="200"/>
        </w:trPr>
        <w:tc>
          <w:tcPr>
            <w:tcW w:w="0" w:type="auto"/>
            <w:tcBorders>
              <w:top w:val="single" w:sz="4" w:space="0" w:color="auto"/>
              <w:left w:val="nil"/>
              <w:bottom w:val="single" w:sz="4" w:space="0" w:color="auto"/>
              <w:right w:val="nil"/>
            </w:tcBorders>
            <w:shd w:val="clear" w:color="auto" w:fill="auto"/>
            <w:noWrap/>
            <w:vAlign w:val="center"/>
            <w:hideMark/>
          </w:tcPr>
          <w:p w14:paraId="04517B6E" w14:textId="77777777" w:rsidR="00F92754" w:rsidRPr="00FF6562" w:rsidRDefault="00F92754" w:rsidP="00875EB5">
            <w:pPr>
              <w:spacing w:after="0" w:line="240" w:lineRule="auto"/>
              <w:rPr>
                <w:rFonts w:ascii="Times New Roman" w:eastAsia="Times New Roman" w:hAnsi="Times New Roman" w:cs="Times New Roman"/>
                <w:sz w:val="24"/>
                <w:szCs w:val="24"/>
                <w:lang w:eastAsia="en-GB"/>
              </w:rPr>
            </w:pPr>
          </w:p>
        </w:tc>
        <w:tc>
          <w:tcPr>
            <w:tcW w:w="1298" w:type="dxa"/>
            <w:gridSpan w:val="2"/>
            <w:tcBorders>
              <w:top w:val="single" w:sz="8" w:space="0" w:color="auto"/>
              <w:left w:val="nil"/>
              <w:bottom w:val="single" w:sz="8" w:space="0" w:color="auto"/>
              <w:right w:val="nil"/>
            </w:tcBorders>
            <w:shd w:val="clear" w:color="auto" w:fill="auto"/>
            <w:noWrap/>
            <w:vAlign w:val="center"/>
            <w:hideMark/>
          </w:tcPr>
          <w:p w14:paraId="44F8E8C7"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Com. services</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1C06EE84"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Consumer disc.</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50F8F7B9"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 xml:space="preserve">Consumer </w:t>
            </w:r>
            <w:proofErr w:type="spellStart"/>
            <w:r w:rsidRPr="00FF6562">
              <w:rPr>
                <w:rFonts w:ascii="Times New Roman" w:eastAsia="Times New Roman" w:hAnsi="Times New Roman" w:cs="Times New Roman"/>
                <w:b/>
                <w:bCs/>
                <w:sz w:val="16"/>
                <w:szCs w:val="16"/>
                <w:lang w:eastAsia="en-GB"/>
              </w:rPr>
              <w:t>stap</w:t>
            </w:r>
            <w:proofErr w:type="spellEnd"/>
            <w:r w:rsidRPr="00FF6562">
              <w:rPr>
                <w:rFonts w:ascii="Times New Roman" w:eastAsia="Times New Roman" w:hAnsi="Times New Roman" w:cs="Times New Roman"/>
                <w:b/>
                <w:bCs/>
                <w:sz w:val="16"/>
                <w:szCs w:val="16"/>
                <w:lang w:eastAsia="en-GB"/>
              </w:rPr>
              <w:t>.</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7A444FC4"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Energy</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29B5110F"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Financials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225C33DC"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Health Care</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463E365E"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Industrials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5BB89DDF"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Information Tech.</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548D592A"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Materials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4DA28257"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Real Estate</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6E6F1487"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Utilities</w:t>
            </w:r>
          </w:p>
        </w:tc>
      </w:tr>
      <w:tr w:rsidR="004D4704" w:rsidRPr="00FF6562" w14:paraId="0BA38682" w14:textId="77777777" w:rsidTr="004D4704">
        <w:trPr>
          <w:trHeight w:val="200"/>
        </w:trPr>
        <w:tc>
          <w:tcPr>
            <w:tcW w:w="0" w:type="auto"/>
            <w:tcBorders>
              <w:top w:val="single" w:sz="4" w:space="0" w:color="auto"/>
              <w:left w:val="nil"/>
              <w:bottom w:val="single" w:sz="4" w:space="0" w:color="auto"/>
              <w:right w:val="nil"/>
            </w:tcBorders>
            <w:shd w:val="clear" w:color="auto" w:fill="auto"/>
            <w:noWrap/>
            <w:vAlign w:val="center"/>
            <w:hideMark/>
          </w:tcPr>
          <w:p w14:paraId="03229C79"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p>
        </w:tc>
        <w:tc>
          <w:tcPr>
            <w:tcW w:w="710" w:type="dxa"/>
            <w:tcBorders>
              <w:top w:val="nil"/>
              <w:left w:val="nil"/>
              <w:bottom w:val="single" w:sz="8" w:space="0" w:color="auto"/>
              <w:right w:val="nil"/>
            </w:tcBorders>
            <w:shd w:val="clear" w:color="auto" w:fill="auto"/>
            <w:noWrap/>
            <w:vAlign w:val="center"/>
            <w:hideMark/>
          </w:tcPr>
          <w:p w14:paraId="61D9769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6EA683C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05193CE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344185B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50B4831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3816FF7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65539C2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539B2E4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034C5CE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2393BE7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75FF955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6910B92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419B7D3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051F400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1AE759D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386DF05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6CA9D04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49A941F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7D545D7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2893B6E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0" w:type="auto"/>
            <w:tcBorders>
              <w:top w:val="nil"/>
              <w:left w:val="nil"/>
              <w:bottom w:val="single" w:sz="8" w:space="0" w:color="auto"/>
              <w:right w:val="nil"/>
            </w:tcBorders>
            <w:shd w:val="clear" w:color="auto" w:fill="auto"/>
            <w:noWrap/>
            <w:vAlign w:val="center"/>
            <w:hideMark/>
          </w:tcPr>
          <w:p w14:paraId="45DC161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0" w:type="auto"/>
            <w:tcBorders>
              <w:top w:val="nil"/>
              <w:left w:val="nil"/>
              <w:bottom w:val="single" w:sz="8" w:space="0" w:color="auto"/>
              <w:right w:val="nil"/>
            </w:tcBorders>
            <w:shd w:val="clear" w:color="auto" w:fill="auto"/>
            <w:noWrap/>
            <w:vAlign w:val="center"/>
            <w:hideMark/>
          </w:tcPr>
          <w:p w14:paraId="2747E18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r>
      <w:tr w:rsidR="00F92754" w:rsidRPr="00FF6562" w14:paraId="14521351" w14:textId="77777777" w:rsidTr="004D4704">
        <w:trPr>
          <w:trHeight w:val="166"/>
        </w:trPr>
        <w:tc>
          <w:tcPr>
            <w:tcW w:w="14217" w:type="dxa"/>
            <w:gridSpan w:val="23"/>
            <w:tcBorders>
              <w:top w:val="nil"/>
              <w:left w:val="nil"/>
              <w:bottom w:val="nil"/>
              <w:right w:val="nil"/>
            </w:tcBorders>
            <w:shd w:val="clear" w:color="auto" w:fill="auto"/>
            <w:noWrap/>
            <w:vAlign w:val="center"/>
            <w:hideMark/>
          </w:tcPr>
          <w:p w14:paraId="1B6BDEE1" w14:textId="77777777" w:rsidR="00F92754" w:rsidRPr="00A56C42" w:rsidRDefault="00F92754" w:rsidP="00875EB5">
            <w:pPr>
              <w:spacing w:after="0" w:line="240" w:lineRule="auto"/>
              <w:rPr>
                <w:rFonts w:ascii="Times New Roman" w:eastAsia="Times New Roman" w:hAnsi="Times New Roman" w:cs="Times New Roman"/>
                <w:b/>
                <w:bCs/>
                <w:sz w:val="20"/>
                <w:szCs w:val="20"/>
                <w:u w:val="single"/>
                <w:lang w:eastAsia="en-GB"/>
              </w:rPr>
            </w:pPr>
            <w:r w:rsidRPr="00A56C42">
              <w:rPr>
                <w:rFonts w:ascii="Times New Roman" w:eastAsia="Times New Roman" w:hAnsi="Times New Roman" w:cs="Times New Roman"/>
                <w:b/>
                <w:bCs/>
                <w:sz w:val="20"/>
                <w:szCs w:val="20"/>
                <w:u w:val="single"/>
                <w:lang w:eastAsia="en-GB"/>
              </w:rPr>
              <w:t>Panel A. Mean Equation</w:t>
            </w:r>
          </w:p>
        </w:tc>
      </w:tr>
      <w:tr w:rsidR="004D4704" w:rsidRPr="00FF6562" w14:paraId="08D080FD" w14:textId="77777777" w:rsidTr="004D4704">
        <w:trPr>
          <w:trHeight w:val="100"/>
        </w:trPr>
        <w:tc>
          <w:tcPr>
            <w:tcW w:w="0" w:type="auto"/>
            <w:tcBorders>
              <w:top w:val="nil"/>
              <w:left w:val="nil"/>
              <w:bottom w:val="nil"/>
              <w:right w:val="nil"/>
            </w:tcBorders>
            <w:shd w:val="clear" w:color="auto" w:fill="auto"/>
            <w:noWrap/>
            <w:vAlign w:val="center"/>
            <w:hideMark/>
          </w:tcPr>
          <w:p w14:paraId="2BBBB908"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μ</m:t>
                    </m:r>
                  </m:e>
                  <m:sub>
                    <m:r>
                      <w:rPr>
                        <w:rFonts w:ascii="Cambria Math" w:hAnsi="Cambria Math" w:cs="Times New Roman"/>
                        <w:color w:val="000000" w:themeColor="text1"/>
                        <w:sz w:val="16"/>
                        <w:szCs w:val="16"/>
                        <w:lang w:eastAsia="en-GB"/>
                      </w:rPr>
                      <m:t>1</m:t>
                    </m:r>
                  </m:sub>
                </m:sSub>
              </m:oMath>
            </m:oMathPara>
          </w:p>
        </w:tc>
        <w:tc>
          <w:tcPr>
            <w:tcW w:w="710" w:type="dxa"/>
            <w:tcBorders>
              <w:top w:val="nil"/>
              <w:left w:val="nil"/>
              <w:bottom w:val="nil"/>
              <w:right w:val="nil"/>
            </w:tcBorders>
            <w:shd w:val="clear" w:color="auto" w:fill="auto"/>
            <w:noWrap/>
            <w:vAlign w:val="center"/>
            <w:hideMark/>
          </w:tcPr>
          <w:p w14:paraId="5BB640F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0.158</w:t>
            </w:r>
          </w:p>
        </w:tc>
        <w:tc>
          <w:tcPr>
            <w:tcW w:w="0" w:type="auto"/>
            <w:tcBorders>
              <w:top w:val="nil"/>
              <w:left w:val="nil"/>
              <w:bottom w:val="nil"/>
              <w:right w:val="nil"/>
            </w:tcBorders>
            <w:shd w:val="clear" w:color="auto" w:fill="auto"/>
            <w:noWrap/>
            <w:vAlign w:val="center"/>
            <w:hideMark/>
          </w:tcPr>
          <w:p w14:paraId="79E84F5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center"/>
            <w:hideMark/>
          </w:tcPr>
          <w:p w14:paraId="60390BE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0.037</w:t>
            </w:r>
          </w:p>
        </w:tc>
        <w:tc>
          <w:tcPr>
            <w:tcW w:w="0" w:type="auto"/>
            <w:tcBorders>
              <w:top w:val="nil"/>
              <w:left w:val="nil"/>
              <w:bottom w:val="nil"/>
              <w:right w:val="nil"/>
            </w:tcBorders>
            <w:shd w:val="clear" w:color="auto" w:fill="auto"/>
            <w:noWrap/>
            <w:vAlign w:val="center"/>
            <w:hideMark/>
          </w:tcPr>
          <w:p w14:paraId="078B9A6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0.309</w:t>
            </w:r>
          </w:p>
        </w:tc>
        <w:tc>
          <w:tcPr>
            <w:tcW w:w="0" w:type="auto"/>
            <w:tcBorders>
              <w:top w:val="nil"/>
              <w:left w:val="nil"/>
              <w:bottom w:val="nil"/>
              <w:right w:val="nil"/>
            </w:tcBorders>
            <w:shd w:val="clear" w:color="auto" w:fill="auto"/>
            <w:noWrap/>
            <w:vAlign w:val="center"/>
            <w:hideMark/>
          </w:tcPr>
          <w:p w14:paraId="11AE4AD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0.078</w:t>
            </w:r>
          </w:p>
        </w:tc>
        <w:tc>
          <w:tcPr>
            <w:tcW w:w="0" w:type="auto"/>
            <w:tcBorders>
              <w:top w:val="nil"/>
              <w:left w:val="nil"/>
              <w:bottom w:val="nil"/>
              <w:right w:val="nil"/>
            </w:tcBorders>
            <w:shd w:val="clear" w:color="auto" w:fill="auto"/>
            <w:noWrap/>
            <w:vAlign w:val="center"/>
            <w:hideMark/>
          </w:tcPr>
          <w:p w14:paraId="6678E3A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0.033</w:t>
            </w:r>
          </w:p>
        </w:tc>
        <w:tc>
          <w:tcPr>
            <w:tcW w:w="0" w:type="auto"/>
            <w:tcBorders>
              <w:top w:val="nil"/>
              <w:left w:val="nil"/>
              <w:bottom w:val="nil"/>
              <w:right w:val="nil"/>
            </w:tcBorders>
            <w:shd w:val="clear" w:color="auto" w:fill="auto"/>
            <w:noWrap/>
            <w:vAlign w:val="center"/>
            <w:hideMark/>
          </w:tcPr>
          <w:p w14:paraId="46C2728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-0.042</w:t>
            </w:r>
          </w:p>
        </w:tc>
        <w:tc>
          <w:tcPr>
            <w:tcW w:w="0" w:type="auto"/>
            <w:tcBorders>
              <w:top w:val="nil"/>
              <w:left w:val="nil"/>
              <w:bottom w:val="nil"/>
              <w:right w:val="nil"/>
            </w:tcBorders>
            <w:shd w:val="clear" w:color="auto" w:fill="auto"/>
            <w:noWrap/>
            <w:vAlign w:val="center"/>
            <w:hideMark/>
          </w:tcPr>
          <w:p w14:paraId="2CB1993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0.561</w:t>
            </w:r>
          </w:p>
        </w:tc>
        <w:tc>
          <w:tcPr>
            <w:tcW w:w="0" w:type="auto"/>
            <w:tcBorders>
              <w:top w:val="nil"/>
              <w:left w:val="nil"/>
              <w:bottom w:val="nil"/>
              <w:right w:val="nil"/>
            </w:tcBorders>
            <w:shd w:val="clear" w:color="auto" w:fill="auto"/>
            <w:noWrap/>
            <w:vAlign w:val="center"/>
            <w:hideMark/>
          </w:tcPr>
          <w:p w14:paraId="344F8E7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0.203</w:t>
            </w:r>
          </w:p>
        </w:tc>
        <w:tc>
          <w:tcPr>
            <w:tcW w:w="0" w:type="auto"/>
            <w:tcBorders>
              <w:top w:val="nil"/>
              <w:left w:val="nil"/>
              <w:bottom w:val="nil"/>
              <w:right w:val="nil"/>
            </w:tcBorders>
            <w:shd w:val="clear" w:color="auto" w:fill="auto"/>
            <w:noWrap/>
            <w:vAlign w:val="center"/>
            <w:hideMark/>
          </w:tcPr>
          <w:p w14:paraId="6B199A5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center"/>
            <w:hideMark/>
          </w:tcPr>
          <w:p w14:paraId="5042C20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0.049</w:t>
            </w:r>
          </w:p>
        </w:tc>
        <w:tc>
          <w:tcPr>
            <w:tcW w:w="0" w:type="auto"/>
            <w:tcBorders>
              <w:top w:val="nil"/>
              <w:left w:val="nil"/>
              <w:bottom w:val="nil"/>
              <w:right w:val="nil"/>
            </w:tcBorders>
            <w:shd w:val="clear" w:color="auto" w:fill="auto"/>
            <w:noWrap/>
            <w:vAlign w:val="center"/>
            <w:hideMark/>
          </w:tcPr>
          <w:p w14:paraId="2C1AC99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0.257</w:t>
            </w:r>
          </w:p>
        </w:tc>
        <w:tc>
          <w:tcPr>
            <w:tcW w:w="0" w:type="auto"/>
            <w:tcBorders>
              <w:top w:val="nil"/>
              <w:left w:val="nil"/>
              <w:bottom w:val="nil"/>
              <w:right w:val="nil"/>
            </w:tcBorders>
            <w:shd w:val="clear" w:color="auto" w:fill="auto"/>
            <w:noWrap/>
            <w:vAlign w:val="center"/>
            <w:hideMark/>
          </w:tcPr>
          <w:p w14:paraId="1AB42BB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0.041</w:t>
            </w:r>
          </w:p>
        </w:tc>
        <w:tc>
          <w:tcPr>
            <w:tcW w:w="0" w:type="auto"/>
            <w:tcBorders>
              <w:top w:val="nil"/>
              <w:left w:val="nil"/>
              <w:bottom w:val="nil"/>
              <w:right w:val="nil"/>
            </w:tcBorders>
            <w:shd w:val="clear" w:color="auto" w:fill="auto"/>
            <w:noWrap/>
            <w:vAlign w:val="center"/>
            <w:hideMark/>
          </w:tcPr>
          <w:p w14:paraId="0CFD525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0.344</w:t>
            </w:r>
          </w:p>
        </w:tc>
        <w:tc>
          <w:tcPr>
            <w:tcW w:w="0" w:type="auto"/>
            <w:tcBorders>
              <w:top w:val="nil"/>
              <w:left w:val="nil"/>
              <w:bottom w:val="nil"/>
              <w:right w:val="nil"/>
            </w:tcBorders>
            <w:shd w:val="clear" w:color="auto" w:fill="auto"/>
            <w:noWrap/>
            <w:vAlign w:val="center"/>
            <w:hideMark/>
          </w:tcPr>
          <w:p w14:paraId="6D4B8A3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0.174</w:t>
            </w:r>
          </w:p>
        </w:tc>
        <w:tc>
          <w:tcPr>
            <w:tcW w:w="0" w:type="auto"/>
            <w:tcBorders>
              <w:top w:val="nil"/>
              <w:left w:val="nil"/>
              <w:bottom w:val="nil"/>
              <w:right w:val="nil"/>
            </w:tcBorders>
            <w:shd w:val="clear" w:color="auto" w:fill="auto"/>
            <w:noWrap/>
            <w:vAlign w:val="center"/>
            <w:hideMark/>
          </w:tcPr>
          <w:p w14:paraId="060196C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0602187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0.019</w:t>
            </w:r>
          </w:p>
        </w:tc>
        <w:tc>
          <w:tcPr>
            <w:tcW w:w="0" w:type="auto"/>
            <w:tcBorders>
              <w:top w:val="nil"/>
              <w:left w:val="nil"/>
              <w:bottom w:val="nil"/>
              <w:right w:val="nil"/>
            </w:tcBorders>
            <w:shd w:val="clear" w:color="auto" w:fill="auto"/>
            <w:noWrap/>
            <w:vAlign w:val="center"/>
            <w:hideMark/>
          </w:tcPr>
          <w:p w14:paraId="1970CA8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0.635</w:t>
            </w:r>
          </w:p>
        </w:tc>
        <w:tc>
          <w:tcPr>
            <w:tcW w:w="0" w:type="auto"/>
            <w:tcBorders>
              <w:top w:val="nil"/>
              <w:left w:val="nil"/>
              <w:bottom w:val="nil"/>
              <w:right w:val="nil"/>
            </w:tcBorders>
            <w:shd w:val="clear" w:color="auto" w:fill="auto"/>
            <w:noWrap/>
            <w:vAlign w:val="center"/>
            <w:hideMark/>
          </w:tcPr>
          <w:p w14:paraId="17171D6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0.035</w:t>
            </w:r>
          </w:p>
        </w:tc>
        <w:tc>
          <w:tcPr>
            <w:tcW w:w="0" w:type="auto"/>
            <w:tcBorders>
              <w:top w:val="nil"/>
              <w:left w:val="nil"/>
              <w:bottom w:val="nil"/>
              <w:right w:val="nil"/>
            </w:tcBorders>
            <w:shd w:val="clear" w:color="auto" w:fill="auto"/>
            <w:noWrap/>
            <w:vAlign w:val="center"/>
            <w:hideMark/>
          </w:tcPr>
          <w:p w14:paraId="6CCEAE6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0.378</w:t>
            </w:r>
          </w:p>
        </w:tc>
        <w:tc>
          <w:tcPr>
            <w:tcW w:w="0" w:type="auto"/>
            <w:tcBorders>
              <w:top w:val="nil"/>
              <w:left w:val="nil"/>
              <w:bottom w:val="nil"/>
              <w:right w:val="nil"/>
            </w:tcBorders>
            <w:shd w:val="clear" w:color="auto" w:fill="auto"/>
            <w:noWrap/>
            <w:vAlign w:val="center"/>
            <w:hideMark/>
          </w:tcPr>
          <w:p w14:paraId="5005D75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0" w:type="auto"/>
            <w:tcBorders>
              <w:top w:val="nil"/>
              <w:left w:val="nil"/>
              <w:bottom w:val="nil"/>
              <w:right w:val="nil"/>
            </w:tcBorders>
            <w:shd w:val="clear" w:color="auto" w:fill="auto"/>
            <w:noWrap/>
            <w:vAlign w:val="center"/>
            <w:hideMark/>
          </w:tcPr>
          <w:p w14:paraId="0B2440A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0.718</w:t>
            </w:r>
          </w:p>
        </w:tc>
      </w:tr>
      <w:tr w:rsidR="004D4704" w:rsidRPr="00FF6562" w14:paraId="63C2B88C" w14:textId="77777777" w:rsidTr="004D4704">
        <w:trPr>
          <w:trHeight w:val="72"/>
        </w:trPr>
        <w:tc>
          <w:tcPr>
            <w:tcW w:w="0" w:type="auto"/>
            <w:tcBorders>
              <w:top w:val="nil"/>
              <w:left w:val="nil"/>
              <w:bottom w:val="nil"/>
              <w:right w:val="nil"/>
            </w:tcBorders>
            <w:shd w:val="clear" w:color="auto" w:fill="auto"/>
            <w:noWrap/>
            <w:vAlign w:val="center"/>
            <w:hideMark/>
          </w:tcPr>
          <w:p w14:paraId="41F1203C"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11</m:t>
                    </m:r>
                  </m:sub>
                </m:sSub>
              </m:oMath>
            </m:oMathPara>
          </w:p>
        </w:tc>
        <w:tc>
          <w:tcPr>
            <w:tcW w:w="710" w:type="dxa"/>
            <w:tcBorders>
              <w:top w:val="nil"/>
              <w:left w:val="nil"/>
              <w:bottom w:val="nil"/>
              <w:right w:val="nil"/>
            </w:tcBorders>
            <w:shd w:val="clear" w:color="auto" w:fill="auto"/>
            <w:noWrap/>
            <w:vAlign w:val="center"/>
            <w:hideMark/>
          </w:tcPr>
          <w:p w14:paraId="5A6E6BB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0.085</w:t>
            </w:r>
          </w:p>
        </w:tc>
        <w:tc>
          <w:tcPr>
            <w:tcW w:w="0" w:type="auto"/>
            <w:tcBorders>
              <w:top w:val="nil"/>
              <w:left w:val="nil"/>
              <w:bottom w:val="nil"/>
              <w:right w:val="nil"/>
            </w:tcBorders>
            <w:shd w:val="clear" w:color="auto" w:fill="auto"/>
            <w:noWrap/>
            <w:vAlign w:val="center"/>
            <w:hideMark/>
          </w:tcPr>
          <w:p w14:paraId="59276E7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0.233</w:t>
            </w:r>
          </w:p>
        </w:tc>
        <w:tc>
          <w:tcPr>
            <w:tcW w:w="0" w:type="auto"/>
            <w:tcBorders>
              <w:top w:val="nil"/>
              <w:left w:val="nil"/>
              <w:bottom w:val="nil"/>
              <w:right w:val="nil"/>
            </w:tcBorders>
            <w:shd w:val="clear" w:color="auto" w:fill="auto"/>
            <w:noWrap/>
            <w:vAlign w:val="center"/>
            <w:hideMark/>
          </w:tcPr>
          <w:p w14:paraId="58C50E3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0.160</w:t>
            </w:r>
          </w:p>
        </w:tc>
        <w:tc>
          <w:tcPr>
            <w:tcW w:w="0" w:type="auto"/>
            <w:tcBorders>
              <w:top w:val="nil"/>
              <w:left w:val="nil"/>
              <w:bottom w:val="nil"/>
              <w:right w:val="nil"/>
            </w:tcBorders>
            <w:shd w:val="clear" w:color="auto" w:fill="auto"/>
            <w:noWrap/>
            <w:vAlign w:val="center"/>
            <w:hideMark/>
          </w:tcPr>
          <w:p w14:paraId="1AC0198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0.025</w:t>
            </w:r>
          </w:p>
        </w:tc>
        <w:tc>
          <w:tcPr>
            <w:tcW w:w="0" w:type="auto"/>
            <w:tcBorders>
              <w:top w:val="nil"/>
              <w:left w:val="nil"/>
              <w:bottom w:val="nil"/>
              <w:right w:val="nil"/>
            </w:tcBorders>
            <w:shd w:val="clear" w:color="auto" w:fill="auto"/>
            <w:noWrap/>
            <w:vAlign w:val="center"/>
            <w:hideMark/>
          </w:tcPr>
          <w:p w14:paraId="56A0CC1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0" w:type="auto"/>
            <w:tcBorders>
              <w:top w:val="nil"/>
              <w:left w:val="nil"/>
              <w:bottom w:val="nil"/>
              <w:right w:val="nil"/>
            </w:tcBorders>
            <w:shd w:val="clear" w:color="auto" w:fill="auto"/>
            <w:noWrap/>
            <w:vAlign w:val="center"/>
            <w:hideMark/>
          </w:tcPr>
          <w:p w14:paraId="71C2DCC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0.879</w:t>
            </w:r>
          </w:p>
        </w:tc>
        <w:tc>
          <w:tcPr>
            <w:tcW w:w="0" w:type="auto"/>
            <w:tcBorders>
              <w:top w:val="nil"/>
              <w:left w:val="nil"/>
              <w:bottom w:val="nil"/>
              <w:right w:val="nil"/>
            </w:tcBorders>
            <w:shd w:val="clear" w:color="auto" w:fill="auto"/>
            <w:noWrap/>
            <w:vAlign w:val="center"/>
            <w:hideMark/>
          </w:tcPr>
          <w:p w14:paraId="5B9CCE9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0" w:type="auto"/>
            <w:tcBorders>
              <w:top w:val="nil"/>
              <w:left w:val="nil"/>
              <w:bottom w:val="nil"/>
              <w:right w:val="nil"/>
            </w:tcBorders>
            <w:shd w:val="clear" w:color="auto" w:fill="auto"/>
            <w:noWrap/>
            <w:vAlign w:val="center"/>
            <w:hideMark/>
          </w:tcPr>
          <w:p w14:paraId="29AEE42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0.665</w:t>
            </w:r>
          </w:p>
        </w:tc>
        <w:tc>
          <w:tcPr>
            <w:tcW w:w="0" w:type="auto"/>
            <w:tcBorders>
              <w:top w:val="nil"/>
              <w:left w:val="nil"/>
              <w:bottom w:val="nil"/>
              <w:right w:val="nil"/>
            </w:tcBorders>
            <w:shd w:val="clear" w:color="auto" w:fill="auto"/>
            <w:noWrap/>
            <w:vAlign w:val="center"/>
            <w:hideMark/>
          </w:tcPr>
          <w:p w14:paraId="35738FD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0" w:type="auto"/>
            <w:tcBorders>
              <w:top w:val="nil"/>
              <w:left w:val="nil"/>
              <w:bottom w:val="nil"/>
              <w:right w:val="nil"/>
            </w:tcBorders>
            <w:shd w:val="clear" w:color="auto" w:fill="auto"/>
            <w:noWrap/>
            <w:vAlign w:val="center"/>
            <w:hideMark/>
          </w:tcPr>
          <w:p w14:paraId="2D615B7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0.717</w:t>
            </w:r>
          </w:p>
        </w:tc>
        <w:tc>
          <w:tcPr>
            <w:tcW w:w="0" w:type="auto"/>
            <w:tcBorders>
              <w:top w:val="nil"/>
              <w:left w:val="nil"/>
              <w:bottom w:val="nil"/>
              <w:right w:val="nil"/>
            </w:tcBorders>
            <w:shd w:val="clear" w:color="auto" w:fill="auto"/>
            <w:noWrap/>
            <w:vAlign w:val="center"/>
            <w:hideMark/>
          </w:tcPr>
          <w:p w14:paraId="0AFE6E2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0.238</w:t>
            </w:r>
          </w:p>
        </w:tc>
        <w:tc>
          <w:tcPr>
            <w:tcW w:w="0" w:type="auto"/>
            <w:tcBorders>
              <w:top w:val="nil"/>
              <w:left w:val="nil"/>
              <w:bottom w:val="nil"/>
              <w:right w:val="nil"/>
            </w:tcBorders>
            <w:shd w:val="clear" w:color="auto" w:fill="auto"/>
            <w:noWrap/>
            <w:vAlign w:val="center"/>
            <w:hideMark/>
          </w:tcPr>
          <w:p w14:paraId="5DD3743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center"/>
            <w:hideMark/>
          </w:tcPr>
          <w:p w14:paraId="141DB9A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0.156</w:t>
            </w:r>
          </w:p>
        </w:tc>
        <w:tc>
          <w:tcPr>
            <w:tcW w:w="0" w:type="auto"/>
            <w:tcBorders>
              <w:top w:val="nil"/>
              <w:left w:val="nil"/>
              <w:bottom w:val="nil"/>
              <w:right w:val="nil"/>
            </w:tcBorders>
            <w:shd w:val="clear" w:color="auto" w:fill="auto"/>
            <w:noWrap/>
            <w:vAlign w:val="center"/>
            <w:hideMark/>
          </w:tcPr>
          <w:p w14:paraId="5368B99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0.055</w:t>
            </w:r>
          </w:p>
        </w:tc>
        <w:tc>
          <w:tcPr>
            <w:tcW w:w="0" w:type="auto"/>
            <w:tcBorders>
              <w:top w:val="nil"/>
              <w:left w:val="nil"/>
              <w:bottom w:val="nil"/>
              <w:right w:val="nil"/>
            </w:tcBorders>
            <w:shd w:val="clear" w:color="auto" w:fill="auto"/>
            <w:noWrap/>
            <w:vAlign w:val="center"/>
            <w:hideMark/>
          </w:tcPr>
          <w:p w14:paraId="73A512A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0.062</w:t>
            </w:r>
          </w:p>
        </w:tc>
        <w:tc>
          <w:tcPr>
            <w:tcW w:w="0" w:type="auto"/>
            <w:tcBorders>
              <w:top w:val="nil"/>
              <w:left w:val="nil"/>
              <w:bottom w:val="nil"/>
              <w:right w:val="nil"/>
            </w:tcBorders>
            <w:shd w:val="clear" w:color="auto" w:fill="auto"/>
            <w:noWrap/>
            <w:vAlign w:val="center"/>
            <w:hideMark/>
          </w:tcPr>
          <w:p w14:paraId="1ECA46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0.312</w:t>
            </w:r>
          </w:p>
        </w:tc>
        <w:tc>
          <w:tcPr>
            <w:tcW w:w="0" w:type="auto"/>
            <w:tcBorders>
              <w:top w:val="nil"/>
              <w:left w:val="nil"/>
              <w:bottom w:val="nil"/>
              <w:right w:val="nil"/>
            </w:tcBorders>
            <w:shd w:val="clear" w:color="auto" w:fill="auto"/>
            <w:noWrap/>
            <w:vAlign w:val="center"/>
            <w:hideMark/>
          </w:tcPr>
          <w:p w14:paraId="50FF534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0.186</w:t>
            </w:r>
          </w:p>
        </w:tc>
        <w:tc>
          <w:tcPr>
            <w:tcW w:w="0" w:type="auto"/>
            <w:tcBorders>
              <w:top w:val="nil"/>
              <w:left w:val="nil"/>
              <w:bottom w:val="nil"/>
              <w:right w:val="nil"/>
            </w:tcBorders>
            <w:shd w:val="clear" w:color="auto" w:fill="auto"/>
            <w:noWrap/>
            <w:vAlign w:val="center"/>
            <w:hideMark/>
          </w:tcPr>
          <w:p w14:paraId="6E2A75C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center"/>
            <w:hideMark/>
          </w:tcPr>
          <w:p w14:paraId="6DF61D5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0.060</w:t>
            </w:r>
          </w:p>
        </w:tc>
        <w:tc>
          <w:tcPr>
            <w:tcW w:w="0" w:type="auto"/>
            <w:tcBorders>
              <w:top w:val="nil"/>
              <w:left w:val="nil"/>
              <w:bottom w:val="nil"/>
              <w:right w:val="nil"/>
            </w:tcBorders>
            <w:shd w:val="clear" w:color="auto" w:fill="auto"/>
            <w:noWrap/>
            <w:vAlign w:val="center"/>
            <w:hideMark/>
          </w:tcPr>
          <w:p w14:paraId="15D0E47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0.304</w:t>
            </w:r>
          </w:p>
        </w:tc>
        <w:tc>
          <w:tcPr>
            <w:tcW w:w="0" w:type="auto"/>
            <w:tcBorders>
              <w:top w:val="nil"/>
              <w:left w:val="nil"/>
              <w:bottom w:val="nil"/>
              <w:right w:val="nil"/>
            </w:tcBorders>
            <w:shd w:val="clear" w:color="auto" w:fill="auto"/>
            <w:noWrap/>
            <w:vAlign w:val="center"/>
            <w:hideMark/>
          </w:tcPr>
          <w:p w14:paraId="09DA13F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0.045</w:t>
            </w:r>
          </w:p>
        </w:tc>
        <w:tc>
          <w:tcPr>
            <w:tcW w:w="0" w:type="auto"/>
            <w:tcBorders>
              <w:top w:val="nil"/>
              <w:left w:val="nil"/>
              <w:bottom w:val="nil"/>
              <w:right w:val="nil"/>
            </w:tcBorders>
            <w:shd w:val="clear" w:color="auto" w:fill="auto"/>
            <w:noWrap/>
            <w:vAlign w:val="center"/>
            <w:hideMark/>
          </w:tcPr>
          <w:p w14:paraId="0E3D611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0.549</w:t>
            </w:r>
          </w:p>
        </w:tc>
      </w:tr>
      <w:tr w:rsidR="004D4704" w:rsidRPr="00FF6562" w14:paraId="03E797CB" w14:textId="77777777" w:rsidTr="004D4704">
        <w:trPr>
          <w:trHeight w:val="135"/>
        </w:trPr>
        <w:tc>
          <w:tcPr>
            <w:tcW w:w="0" w:type="auto"/>
            <w:tcBorders>
              <w:top w:val="nil"/>
              <w:left w:val="nil"/>
              <w:bottom w:val="nil"/>
              <w:right w:val="nil"/>
            </w:tcBorders>
            <w:shd w:val="clear" w:color="auto" w:fill="auto"/>
            <w:noWrap/>
            <w:vAlign w:val="center"/>
            <w:hideMark/>
          </w:tcPr>
          <w:p w14:paraId="402EC31A"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12</m:t>
                    </m:r>
                  </m:sub>
                </m:sSub>
              </m:oMath>
            </m:oMathPara>
          </w:p>
        </w:tc>
        <w:tc>
          <w:tcPr>
            <w:tcW w:w="710" w:type="dxa"/>
            <w:tcBorders>
              <w:top w:val="nil"/>
              <w:left w:val="nil"/>
              <w:bottom w:val="nil"/>
              <w:right w:val="nil"/>
            </w:tcBorders>
            <w:shd w:val="clear" w:color="auto" w:fill="auto"/>
            <w:noWrap/>
            <w:vAlign w:val="center"/>
            <w:hideMark/>
          </w:tcPr>
          <w:p w14:paraId="5CFF9A0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-0.851</w:t>
            </w:r>
          </w:p>
        </w:tc>
        <w:tc>
          <w:tcPr>
            <w:tcW w:w="0" w:type="auto"/>
            <w:tcBorders>
              <w:top w:val="nil"/>
              <w:left w:val="nil"/>
              <w:bottom w:val="nil"/>
              <w:right w:val="nil"/>
            </w:tcBorders>
            <w:shd w:val="clear" w:color="auto" w:fill="auto"/>
            <w:noWrap/>
            <w:vAlign w:val="center"/>
            <w:hideMark/>
          </w:tcPr>
          <w:p w14:paraId="54C4F9B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0.297</w:t>
            </w:r>
          </w:p>
        </w:tc>
        <w:tc>
          <w:tcPr>
            <w:tcW w:w="0" w:type="auto"/>
            <w:tcBorders>
              <w:top w:val="nil"/>
              <w:left w:val="nil"/>
              <w:bottom w:val="nil"/>
              <w:right w:val="nil"/>
            </w:tcBorders>
            <w:shd w:val="clear" w:color="auto" w:fill="auto"/>
            <w:noWrap/>
            <w:vAlign w:val="center"/>
            <w:hideMark/>
          </w:tcPr>
          <w:p w14:paraId="23AD1FB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1.055</w:t>
            </w:r>
          </w:p>
        </w:tc>
        <w:tc>
          <w:tcPr>
            <w:tcW w:w="0" w:type="auto"/>
            <w:tcBorders>
              <w:top w:val="nil"/>
              <w:left w:val="nil"/>
              <w:bottom w:val="nil"/>
              <w:right w:val="nil"/>
            </w:tcBorders>
            <w:shd w:val="clear" w:color="auto" w:fill="auto"/>
            <w:noWrap/>
            <w:vAlign w:val="center"/>
            <w:hideMark/>
          </w:tcPr>
          <w:p w14:paraId="43A6DD2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0.502</w:t>
            </w:r>
          </w:p>
        </w:tc>
        <w:tc>
          <w:tcPr>
            <w:tcW w:w="0" w:type="auto"/>
            <w:tcBorders>
              <w:top w:val="nil"/>
              <w:left w:val="nil"/>
              <w:bottom w:val="nil"/>
              <w:right w:val="nil"/>
            </w:tcBorders>
            <w:shd w:val="clear" w:color="auto" w:fill="auto"/>
            <w:noWrap/>
            <w:vAlign w:val="center"/>
            <w:hideMark/>
          </w:tcPr>
          <w:p w14:paraId="737F6FB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-0.870</w:t>
            </w:r>
          </w:p>
        </w:tc>
        <w:tc>
          <w:tcPr>
            <w:tcW w:w="0" w:type="auto"/>
            <w:tcBorders>
              <w:top w:val="nil"/>
              <w:left w:val="nil"/>
              <w:bottom w:val="nil"/>
              <w:right w:val="nil"/>
            </w:tcBorders>
            <w:shd w:val="clear" w:color="auto" w:fill="auto"/>
            <w:noWrap/>
            <w:vAlign w:val="center"/>
            <w:hideMark/>
          </w:tcPr>
          <w:p w14:paraId="7AEEC3E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0.677</w:t>
            </w:r>
          </w:p>
        </w:tc>
        <w:tc>
          <w:tcPr>
            <w:tcW w:w="0" w:type="auto"/>
            <w:tcBorders>
              <w:top w:val="nil"/>
              <w:left w:val="nil"/>
              <w:bottom w:val="nil"/>
              <w:right w:val="nil"/>
            </w:tcBorders>
            <w:shd w:val="clear" w:color="auto" w:fill="auto"/>
            <w:noWrap/>
            <w:vAlign w:val="center"/>
            <w:hideMark/>
          </w:tcPr>
          <w:p w14:paraId="34DE8D1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-0.735</w:t>
            </w:r>
          </w:p>
        </w:tc>
        <w:tc>
          <w:tcPr>
            <w:tcW w:w="0" w:type="auto"/>
            <w:tcBorders>
              <w:top w:val="nil"/>
              <w:left w:val="nil"/>
              <w:bottom w:val="nil"/>
              <w:right w:val="nil"/>
            </w:tcBorders>
            <w:shd w:val="clear" w:color="auto" w:fill="auto"/>
            <w:noWrap/>
            <w:vAlign w:val="center"/>
            <w:hideMark/>
          </w:tcPr>
          <w:p w14:paraId="58D7CE9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0.190</w:t>
            </w:r>
          </w:p>
        </w:tc>
        <w:tc>
          <w:tcPr>
            <w:tcW w:w="0" w:type="auto"/>
            <w:tcBorders>
              <w:top w:val="nil"/>
              <w:left w:val="nil"/>
              <w:bottom w:val="nil"/>
              <w:right w:val="nil"/>
            </w:tcBorders>
            <w:shd w:val="clear" w:color="auto" w:fill="auto"/>
            <w:noWrap/>
            <w:vAlign w:val="center"/>
            <w:hideMark/>
          </w:tcPr>
          <w:p w14:paraId="6A1EA21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-1.412</w:t>
            </w:r>
          </w:p>
        </w:tc>
        <w:tc>
          <w:tcPr>
            <w:tcW w:w="0" w:type="auto"/>
            <w:tcBorders>
              <w:top w:val="nil"/>
              <w:left w:val="nil"/>
              <w:bottom w:val="nil"/>
              <w:right w:val="nil"/>
            </w:tcBorders>
            <w:shd w:val="clear" w:color="auto" w:fill="auto"/>
            <w:noWrap/>
            <w:vAlign w:val="center"/>
            <w:hideMark/>
          </w:tcPr>
          <w:p w14:paraId="343D67F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0.059</w:t>
            </w:r>
          </w:p>
        </w:tc>
        <w:tc>
          <w:tcPr>
            <w:tcW w:w="0" w:type="auto"/>
            <w:tcBorders>
              <w:top w:val="nil"/>
              <w:left w:val="nil"/>
              <w:bottom w:val="nil"/>
              <w:right w:val="nil"/>
            </w:tcBorders>
            <w:shd w:val="clear" w:color="auto" w:fill="auto"/>
            <w:noWrap/>
            <w:vAlign w:val="center"/>
            <w:hideMark/>
          </w:tcPr>
          <w:p w14:paraId="32CAEC4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-0.638</w:t>
            </w:r>
          </w:p>
        </w:tc>
        <w:tc>
          <w:tcPr>
            <w:tcW w:w="0" w:type="auto"/>
            <w:tcBorders>
              <w:top w:val="nil"/>
              <w:left w:val="nil"/>
              <w:bottom w:val="nil"/>
              <w:right w:val="nil"/>
            </w:tcBorders>
            <w:shd w:val="clear" w:color="auto" w:fill="auto"/>
            <w:noWrap/>
            <w:vAlign w:val="center"/>
            <w:hideMark/>
          </w:tcPr>
          <w:p w14:paraId="2DD7A02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0.729</w:t>
            </w:r>
          </w:p>
        </w:tc>
        <w:tc>
          <w:tcPr>
            <w:tcW w:w="0" w:type="auto"/>
            <w:tcBorders>
              <w:top w:val="nil"/>
              <w:left w:val="nil"/>
              <w:bottom w:val="nil"/>
              <w:right w:val="nil"/>
            </w:tcBorders>
            <w:shd w:val="clear" w:color="auto" w:fill="auto"/>
            <w:noWrap/>
            <w:vAlign w:val="center"/>
            <w:hideMark/>
          </w:tcPr>
          <w:p w14:paraId="44271C9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1.685</w:t>
            </w:r>
          </w:p>
        </w:tc>
        <w:tc>
          <w:tcPr>
            <w:tcW w:w="0" w:type="auto"/>
            <w:tcBorders>
              <w:top w:val="nil"/>
              <w:left w:val="nil"/>
              <w:bottom w:val="nil"/>
              <w:right w:val="nil"/>
            </w:tcBorders>
            <w:shd w:val="clear" w:color="auto" w:fill="auto"/>
            <w:noWrap/>
            <w:vAlign w:val="center"/>
            <w:hideMark/>
          </w:tcPr>
          <w:p w14:paraId="2B81417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0.302</w:t>
            </w:r>
          </w:p>
        </w:tc>
        <w:tc>
          <w:tcPr>
            <w:tcW w:w="0" w:type="auto"/>
            <w:tcBorders>
              <w:top w:val="nil"/>
              <w:left w:val="nil"/>
              <w:bottom w:val="nil"/>
              <w:right w:val="nil"/>
            </w:tcBorders>
            <w:shd w:val="clear" w:color="auto" w:fill="auto"/>
            <w:noWrap/>
            <w:vAlign w:val="center"/>
            <w:hideMark/>
          </w:tcPr>
          <w:p w14:paraId="18BA812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-0.688</w:t>
            </w:r>
          </w:p>
        </w:tc>
        <w:tc>
          <w:tcPr>
            <w:tcW w:w="0" w:type="auto"/>
            <w:tcBorders>
              <w:top w:val="nil"/>
              <w:left w:val="nil"/>
              <w:bottom w:val="nil"/>
              <w:right w:val="nil"/>
            </w:tcBorders>
            <w:shd w:val="clear" w:color="auto" w:fill="auto"/>
            <w:noWrap/>
            <w:vAlign w:val="center"/>
            <w:hideMark/>
          </w:tcPr>
          <w:p w14:paraId="45F96AB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0.460</w:t>
            </w:r>
          </w:p>
        </w:tc>
        <w:tc>
          <w:tcPr>
            <w:tcW w:w="0" w:type="auto"/>
            <w:tcBorders>
              <w:top w:val="nil"/>
              <w:left w:val="nil"/>
              <w:bottom w:val="nil"/>
              <w:right w:val="nil"/>
            </w:tcBorders>
            <w:shd w:val="clear" w:color="auto" w:fill="auto"/>
            <w:noWrap/>
            <w:vAlign w:val="center"/>
            <w:hideMark/>
          </w:tcPr>
          <w:p w14:paraId="0C80CFF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-2.111</w:t>
            </w:r>
          </w:p>
        </w:tc>
        <w:tc>
          <w:tcPr>
            <w:tcW w:w="0" w:type="auto"/>
            <w:tcBorders>
              <w:top w:val="nil"/>
              <w:left w:val="nil"/>
              <w:bottom w:val="nil"/>
              <w:right w:val="nil"/>
            </w:tcBorders>
            <w:shd w:val="clear" w:color="auto" w:fill="auto"/>
            <w:noWrap/>
            <w:vAlign w:val="center"/>
            <w:hideMark/>
          </w:tcPr>
          <w:p w14:paraId="44B81C5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0.056</w:t>
            </w:r>
          </w:p>
        </w:tc>
        <w:tc>
          <w:tcPr>
            <w:tcW w:w="0" w:type="auto"/>
            <w:tcBorders>
              <w:top w:val="nil"/>
              <w:left w:val="nil"/>
              <w:bottom w:val="nil"/>
              <w:right w:val="nil"/>
            </w:tcBorders>
            <w:shd w:val="clear" w:color="auto" w:fill="auto"/>
            <w:noWrap/>
            <w:vAlign w:val="center"/>
            <w:hideMark/>
          </w:tcPr>
          <w:p w14:paraId="6624F4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0.335</w:t>
            </w:r>
          </w:p>
        </w:tc>
        <w:tc>
          <w:tcPr>
            <w:tcW w:w="0" w:type="auto"/>
            <w:tcBorders>
              <w:top w:val="nil"/>
              <w:left w:val="nil"/>
              <w:bottom w:val="nil"/>
              <w:right w:val="nil"/>
            </w:tcBorders>
            <w:shd w:val="clear" w:color="auto" w:fill="auto"/>
            <w:noWrap/>
            <w:vAlign w:val="center"/>
            <w:hideMark/>
          </w:tcPr>
          <w:p w14:paraId="32C4AEB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0.748</w:t>
            </w:r>
          </w:p>
        </w:tc>
        <w:tc>
          <w:tcPr>
            <w:tcW w:w="0" w:type="auto"/>
            <w:tcBorders>
              <w:top w:val="nil"/>
              <w:left w:val="nil"/>
              <w:bottom w:val="nil"/>
              <w:right w:val="nil"/>
            </w:tcBorders>
            <w:shd w:val="clear" w:color="auto" w:fill="auto"/>
            <w:noWrap/>
            <w:vAlign w:val="center"/>
            <w:hideMark/>
          </w:tcPr>
          <w:p w14:paraId="3E70532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1.357</w:t>
            </w:r>
          </w:p>
        </w:tc>
        <w:tc>
          <w:tcPr>
            <w:tcW w:w="0" w:type="auto"/>
            <w:tcBorders>
              <w:top w:val="nil"/>
              <w:left w:val="nil"/>
              <w:bottom w:val="nil"/>
              <w:right w:val="nil"/>
            </w:tcBorders>
            <w:shd w:val="clear" w:color="auto" w:fill="auto"/>
            <w:noWrap/>
            <w:vAlign w:val="center"/>
            <w:hideMark/>
          </w:tcPr>
          <w:p w14:paraId="763254A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D4704" w:rsidRPr="00FF6562" w14:paraId="0108E3C4" w14:textId="77777777" w:rsidTr="004D4704">
        <w:trPr>
          <w:trHeight w:val="96"/>
        </w:trPr>
        <w:tc>
          <w:tcPr>
            <w:tcW w:w="0" w:type="auto"/>
            <w:tcBorders>
              <w:top w:val="nil"/>
              <w:left w:val="nil"/>
              <w:bottom w:val="nil"/>
              <w:right w:val="nil"/>
            </w:tcBorders>
            <w:shd w:val="clear" w:color="auto" w:fill="auto"/>
            <w:noWrap/>
            <w:vAlign w:val="center"/>
            <w:hideMark/>
          </w:tcPr>
          <w:p w14:paraId="66B6EE88"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μ</m:t>
                    </m:r>
                  </m:e>
                  <m:sub>
                    <m:r>
                      <w:rPr>
                        <w:rFonts w:ascii="Cambria Math" w:hAnsi="Cambria Math" w:cs="Times New Roman"/>
                        <w:color w:val="000000" w:themeColor="text1"/>
                        <w:sz w:val="16"/>
                        <w:szCs w:val="16"/>
                        <w:lang w:eastAsia="en-GB"/>
                      </w:rPr>
                      <m:t>2</m:t>
                    </m:r>
                  </m:sub>
                </m:sSub>
              </m:oMath>
            </m:oMathPara>
          </w:p>
        </w:tc>
        <w:tc>
          <w:tcPr>
            <w:tcW w:w="710" w:type="dxa"/>
            <w:tcBorders>
              <w:top w:val="nil"/>
              <w:left w:val="nil"/>
              <w:bottom w:val="nil"/>
              <w:right w:val="nil"/>
            </w:tcBorders>
            <w:shd w:val="clear" w:color="auto" w:fill="auto"/>
            <w:noWrap/>
            <w:vAlign w:val="center"/>
            <w:hideMark/>
          </w:tcPr>
          <w:p w14:paraId="12E9C28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-0.592</w:t>
            </w:r>
          </w:p>
        </w:tc>
        <w:tc>
          <w:tcPr>
            <w:tcW w:w="0" w:type="auto"/>
            <w:tcBorders>
              <w:top w:val="nil"/>
              <w:left w:val="nil"/>
              <w:bottom w:val="nil"/>
              <w:right w:val="nil"/>
            </w:tcBorders>
            <w:shd w:val="clear" w:color="auto" w:fill="auto"/>
            <w:noWrap/>
            <w:vAlign w:val="center"/>
            <w:hideMark/>
          </w:tcPr>
          <w:p w14:paraId="2CD991B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0.426</w:t>
            </w:r>
          </w:p>
        </w:tc>
        <w:tc>
          <w:tcPr>
            <w:tcW w:w="0" w:type="auto"/>
            <w:tcBorders>
              <w:top w:val="nil"/>
              <w:left w:val="nil"/>
              <w:bottom w:val="nil"/>
              <w:right w:val="nil"/>
            </w:tcBorders>
            <w:shd w:val="clear" w:color="auto" w:fill="auto"/>
            <w:noWrap/>
            <w:vAlign w:val="center"/>
            <w:hideMark/>
          </w:tcPr>
          <w:p w14:paraId="31B6C71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-0.820</w:t>
            </w:r>
          </w:p>
        </w:tc>
        <w:tc>
          <w:tcPr>
            <w:tcW w:w="0" w:type="auto"/>
            <w:tcBorders>
              <w:top w:val="nil"/>
              <w:left w:val="nil"/>
              <w:bottom w:val="nil"/>
              <w:right w:val="nil"/>
            </w:tcBorders>
            <w:shd w:val="clear" w:color="auto" w:fill="auto"/>
            <w:noWrap/>
            <w:vAlign w:val="center"/>
            <w:hideMark/>
          </w:tcPr>
          <w:p w14:paraId="4C0048A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0.237</w:t>
            </w:r>
          </w:p>
        </w:tc>
        <w:tc>
          <w:tcPr>
            <w:tcW w:w="0" w:type="auto"/>
            <w:tcBorders>
              <w:top w:val="nil"/>
              <w:left w:val="nil"/>
              <w:bottom w:val="nil"/>
              <w:right w:val="nil"/>
            </w:tcBorders>
            <w:shd w:val="clear" w:color="auto" w:fill="auto"/>
            <w:noWrap/>
            <w:vAlign w:val="center"/>
            <w:hideMark/>
          </w:tcPr>
          <w:p w14:paraId="41F0B25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-0.501</w:t>
            </w:r>
          </w:p>
        </w:tc>
        <w:tc>
          <w:tcPr>
            <w:tcW w:w="0" w:type="auto"/>
            <w:tcBorders>
              <w:top w:val="nil"/>
              <w:left w:val="nil"/>
              <w:bottom w:val="nil"/>
              <w:right w:val="nil"/>
            </w:tcBorders>
            <w:shd w:val="clear" w:color="auto" w:fill="auto"/>
            <w:noWrap/>
            <w:vAlign w:val="center"/>
            <w:hideMark/>
          </w:tcPr>
          <w:p w14:paraId="49F7AFB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0.708</w:t>
            </w:r>
          </w:p>
        </w:tc>
        <w:tc>
          <w:tcPr>
            <w:tcW w:w="0" w:type="auto"/>
            <w:tcBorders>
              <w:top w:val="nil"/>
              <w:left w:val="nil"/>
              <w:bottom w:val="nil"/>
              <w:right w:val="nil"/>
            </w:tcBorders>
            <w:shd w:val="clear" w:color="auto" w:fill="auto"/>
            <w:noWrap/>
            <w:vAlign w:val="center"/>
            <w:hideMark/>
          </w:tcPr>
          <w:p w14:paraId="3E1CEB1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-0.795</w:t>
            </w:r>
          </w:p>
        </w:tc>
        <w:tc>
          <w:tcPr>
            <w:tcW w:w="0" w:type="auto"/>
            <w:tcBorders>
              <w:top w:val="nil"/>
              <w:left w:val="nil"/>
              <w:bottom w:val="nil"/>
              <w:right w:val="nil"/>
            </w:tcBorders>
            <w:shd w:val="clear" w:color="auto" w:fill="auto"/>
            <w:noWrap/>
            <w:vAlign w:val="center"/>
            <w:hideMark/>
          </w:tcPr>
          <w:p w14:paraId="767331C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0.252</w:t>
            </w:r>
          </w:p>
        </w:tc>
        <w:tc>
          <w:tcPr>
            <w:tcW w:w="0" w:type="auto"/>
            <w:tcBorders>
              <w:top w:val="nil"/>
              <w:left w:val="nil"/>
              <w:bottom w:val="nil"/>
              <w:right w:val="nil"/>
            </w:tcBorders>
            <w:shd w:val="clear" w:color="auto" w:fill="auto"/>
            <w:noWrap/>
            <w:vAlign w:val="center"/>
            <w:hideMark/>
          </w:tcPr>
          <w:p w14:paraId="3C4AC05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-0.407</w:t>
            </w:r>
          </w:p>
        </w:tc>
        <w:tc>
          <w:tcPr>
            <w:tcW w:w="0" w:type="auto"/>
            <w:tcBorders>
              <w:top w:val="nil"/>
              <w:left w:val="nil"/>
              <w:bottom w:val="nil"/>
              <w:right w:val="nil"/>
            </w:tcBorders>
            <w:shd w:val="clear" w:color="auto" w:fill="auto"/>
            <w:noWrap/>
            <w:vAlign w:val="center"/>
            <w:hideMark/>
          </w:tcPr>
          <w:p w14:paraId="1AC1CA6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0.554</w:t>
            </w:r>
          </w:p>
        </w:tc>
        <w:tc>
          <w:tcPr>
            <w:tcW w:w="0" w:type="auto"/>
            <w:tcBorders>
              <w:top w:val="nil"/>
              <w:left w:val="nil"/>
              <w:bottom w:val="nil"/>
              <w:right w:val="nil"/>
            </w:tcBorders>
            <w:shd w:val="clear" w:color="auto" w:fill="auto"/>
            <w:noWrap/>
            <w:vAlign w:val="center"/>
            <w:hideMark/>
          </w:tcPr>
          <w:p w14:paraId="177EDAD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-0.501</w:t>
            </w:r>
          </w:p>
        </w:tc>
        <w:tc>
          <w:tcPr>
            <w:tcW w:w="0" w:type="auto"/>
            <w:tcBorders>
              <w:top w:val="nil"/>
              <w:left w:val="nil"/>
              <w:bottom w:val="nil"/>
              <w:right w:val="nil"/>
            </w:tcBorders>
            <w:shd w:val="clear" w:color="auto" w:fill="auto"/>
            <w:noWrap/>
            <w:vAlign w:val="center"/>
            <w:hideMark/>
          </w:tcPr>
          <w:p w14:paraId="789E228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0.500</w:t>
            </w:r>
          </w:p>
        </w:tc>
        <w:tc>
          <w:tcPr>
            <w:tcW w:w="0" w:type="auto"/>
            <w:tcBorders>
              <w:top w:val="nil"/>
              <w:left w:val="nil"/>
              <w:bottom w:val="nil"/>
              <w:right w:val="nil"/>
            </w:tcBorders>
            <w:shd w:val="clear" w:color="auto" w:fill="auto"/>
            <w:noWrap/>
            <w:vAlign w:val="center"/>
            <w:hideMark/>
          </w:tcPr>
          <w:p w14:paraId="659F664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-0.594</w:t>
            </w:r>
          </w:p>
        </w:tc>
        <w:tc>
          <w:tcPr>
            <w:tcW w:w="0" w:type="auto"/>
            <w:tcBorders>
              <w:top w:val="nil"/>
              <w:left w:val="nil"/>
              <w:bottom w:val="nil"/>
              <w:right w:val="nil"/>
            </w:tcBorders>
            <w:shd w:val="clear" w:color="auto" w:fill="auto"/>
            <w:noWrap/>
            <w:vAlign w:val="center"/>
            <w:hideMark/>
          </w:tcPr>
          <w:p w14:paraId="2F2314A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0.415</w:t>
            </w:r>
          </w:p>
        </w:tc>
        <w:tc>
          <w:tcPr>
            <w:tcW w:w="0" w:type="auto"/>
            <w:tcBorders>
              <w:top w:val="nil"/>
              <w:left w:val="nil"/>
              <w:bottom w:val="nil"/>
              <w:right w:val="nil"/>
            </w:tcBorders>
            <w:shd w:val="clear" w:color="auto" w:fill="auto"/>
            <w:noWrap/>
            <w:vAlign w:val="center"/>
            <w:hideMark/>
          </w:tcPr>
          <w:p w14:paraId="6FDBE4E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-0.453</w:t>
            </w:r>
          </w:p>
        </w:tc>
        <w:tc>
          <w:tcPr>
            <w:tcW w:w="0" w:type="auto"/>
            <w:tcBorders>
              <w:top w:val="nil"/>
              <w:left w:val="nil"/>
              <w:bottom w:val="nil"/>
              <w:right w:val="nil"/>
            </w:tcBorders>
            <w:shd w:val="clear" w:color="auto" w:fill="auto"/>
            <w:noWrap/>
            <w:vAlign w:val="center"/>
            <w:hideMark/>
          </w:tcPr>
          <w:p w14:paraId="61E8EEB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0.508</w:t>
            </w:r>
          </w:p>
        </w:tc>
        <w:tc>
          <w:tcPr>
            <w:tcW w:w="0" w:type="auto"/>
            <w:tcBorders>
              <w:top w:val="nil"/>
              <w:left w:val="nil"/>
              <w:bottom w:val="nil"/>
              <w:right w:val="nil"/>
            </w:tcBorders>
            <w:shd w:val="clear" w:color="auto" w:fill="auto"/>
            <w:noWrap/>
            <w:vAlign w:val="center"/>
            <w:hideMark/>
          </w:tcPr>
          <w:p w14:paraId="401A03D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-0.557</w:t>
            </w:r>
          </w:p>
        </w:tc>
        <w:tc>
          <w:tcPr>
            <w:tcW w:w="0" w:type="auto"/>
            <w:tcBorders>
              <w:top w:val="nil"/>
              <w:left w:val="nil"/>
              <w:bottom w:val="nil"/>
              <w:right w:val="nil"/>
            </w:tcBorders>
            <w:shd w:val="clear" w:color="auto" w:fill="auto"/>
            <w:noWrap/>
            <w:vAlign w:val="center"/>
            <w:hideMark/>
          </w:tcPr>
          <w:p w14:paraId="411265D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0.294</w:t>
            </w:r>
          </w:p>
        </w:tc>
        <w:tc>
          <w:tcPr>
            <w:tcW w:w="0" w:type="auto"/>
            <w:tcBorders>
              <w:top w:val="nil"/>
              <w:left w:val="nil"/>
              <w:bottom w:val="nil"/>
              <w:right w:val="nil"/>
            </w:tcBorders>
            <w:shd w:val="clear" w:color="auto" w:fill="auto"/>
            <w:noWrap/>
            <w:vAlign w:val="center"/>
            <w:hideMark/>
          </w:tcPr>
          <w:p w14:paraId="79DA947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-1.040</w:t>
            </w:r>
          </w:p>
        </w:tc>
        <w:tc>
          <w:tcPr>
            <w:tcW w:w="0" w:type="auto"/>
            <w:tcBorders>
              <w:top w:val="nil"/>
              <w:left w:val="nil"/>
              <w:bottom w:val="nil"/>
              <w:right w:val="nil"/>
            </w:tcBorders>
            <w:shd w:val="clear" w:color="auto" w:fill="auto"/>
            <w:noWrap/>
            <w:vAlign w:val="center"/>
            <w:hideMark/>
          </w:tcPr>
          <w:p w14:paraId="517DA5F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0.172</w:t>
            </w:r>
          </w:p>
        </w:tc>
        <w:tc>
          <w:tcPr>
            <w:tcW w:w="0" w:type="auto"/>
            <w:tcBorders>
              <w:top w:val="nil"/>
              <w:left w:val="nil"/>
              <w:bottom w:val="nil"/>
              <w:right w:val="nil"/>
            </w:tcBorders>
            <w:shd w:val="clear" w:color="auto" w:fill="auto"/>
            <w:noWrap/>
            <w:vAlign w:val="center"/>
            <w:hideMark/>
          </w:tcPr>
          <w:p w14:paraId="5C55CD5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-0.683</w:t>
            </w:r>
          </w:p>
        </w:tc>
        <w:tc>
          <w:tcPr>
            <w:tcW w:w="0" w:type="auto"/>
            <w:tcBorders>
              <w:top w:val="nil"/>
              <w:left w:val="nil"/>
              <w:bottom w:val="nil"/>
              <w:right w:val="nil"/>
            </w:tcBorders>
            <w:shd w:val="clear" w:color="auto" w:fill="auto"/>
            <w:noWrap/>
            <w:vAlign w:val="center"/>
            <w:hideMark/>
          </w:tcPr>
          <w:p w14:paraId="62B2D10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D4704" w:rsidRPr="00FF6562" w14:paraId="5F863684" w14:textId="77777777" w:rsidTr="004D4704">
        <w:trPr>
          <w:trHeight w:val="78"/>
        </w:trPr>
        <w:tc>
          <w:tcPr>
            <w:tcW w:w="0" w:type="auto"/>
            <w:tcBorders>
              <w:top w:val="nil"/>
              <w:left w:val="nil"/>
              <w:bottom w:val="nil"/>
              <w:right w:val="nil"/>
            </w:tcBorders>
            <w:shd w:val="clear" w:color="auto" w:fill="auto"/>
            <w:noWrap/>
            <w:vAlign w:val="center"/>
            <w:hideMark/>
          </w:tcPr>
          <w:p w14:paraId="4D1685DB"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21</m:t>
                    </m:r>
                  </m:sub>
                </m:sSub>
              </m:oMath>
            </m:oMathPara>
          </w:p>
        </w:tc>
        <w:tc>
          <w:tcPr>
            <w:tcW w:w="710" w:type="dxa"/>
            <w:tcBorders>
              <w:top w:val="nil"/>
              <w:left w:val="nil"/>
              <w:bottom w:val="nil"/>
              <w:right w:val="nil"/>
            </w:tcBorders>
            <w:shd w:val="clear" w:color="auto" w:fill="auto"/>
            <w:noWrap/>
            <w:vAlign w:val="center"/>
            <w:hideMark/>
          </w:tcPr>
          <w:p w14:paraId="741A107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0" w:type="auto"/>
            <w:tcBorders>
              <w:top w:val="nil"/>
              <w:left w:val="nil"/>
              <w:bottom w:val="nil"/>
              <w:right w:val="nil"/>
            </w:tcBorders>
            <w:shd w:val="clear" w:color="auto" w:fill="auto"/>
            <w:noWrap/>
            <w:vAlign w:val="center"/>
            <w:hideMark/>
          </w:tcPr>
          <w:p w14:paraId="26F70F8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0.248</w:t>
            </w:r>
          </w:p>
        </w:tc>
        <w:tc>
          <w:tcPr>
            <w:tcW w:w="0" w:type="auto"/>
            <w:tcBorders>
              <w:top w:val="nil"/>
              <w:left w:val="nil"/>
              <w:bottom w:val="nil"/>
              <w:right w:val="nil"/>
            </w:tcBorders>
            <w:shd w:val="clear" w:color="auto" w:fill="auto"/>
            <w:noWrap/>
            <w:vAlign w:val="center"/>
            <w:hideMark/>
          </w:tcPr>
          <w:p w14:paraId="6F1BADF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0" w:type="auto"/>
            <w:tcBorders>
              <w:top w:val="nil"/>
              <w:left w:val="nil"/>
              <w:bottom w:val="nil"/>
              <w:right w:val="nil"/>
            </w:tcBorders>
            <w:shd w:val="clear" w:color="auto" w:fill="auto"/>
            <w:noWrap/>
            <w:vAlign w:val="center"/>
            <w:hideMark/>
          </w:tcPr>
          <w:p w14:paraId="13ECF91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051C37E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269A59C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0.398</w:t>
            </w:r>
          </w:p>
        </w:tc>
        <w:tc>
          <w:tcPr>
            <w:tcW w:w="0" w:type="auto"/>
            <w:tcBorders>
              <w:top w:val="nil"/>
              <w:left w:val="nil"/>
              <w:bottom w:val="nil"/>
              <w:right w:val="nil"/>
            </w:tcBorders>
            <w:shd w:val="clear" w:color="auto" w:fill="auto"/>
            <w:noWrap/>
            <w:vAlign w:val="center"/>
            <w:hideMark/>
          </w:tcPr>
          <w:p w14:paraId="0A725F7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center"/>
            <w:hideMark/>
          </w:tcPr>
          <w:p w14:paraId="60C41E1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0.866</w:t>
            </w:r>
          </w:p>
        </w:tc>
        <w:tc>
          <w:tcPr>
            <w:tcW w:w="0" w:type="auto"/>
            <w:tcBorders>
              <w:top w:val="nil"/>
              <w:left w:val="nil"/>
              <w:bottom w:val="nil"/>
              <w:right w:val="nil"/>
            </w:tcBorders>
            <w:shd w:val="clear" w:color="auto" w:fill="auto"/>
            <w:noWrap/>
            <w:vAlign w:val="center"/>
            <w:hideMark/>
          </w:tcPr>
          <w:p w14:paraId="5EC3EA8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0" w:type="auto"/>
            <w:tcBorders>
              <w:top w:val="nil"/>
              <w:left w:val="nil"/>
              <w:bottom w:val="nil"/>
              <w:right w:val="nil"/>
            </w:tcBorders>
            <w:shd w:val="clear" w:color="auto" w:fill="auto"/>
            <w:noWrap/>
            <w:vAlign w:val="center"/>
            <w:hideMark/>
          </w:tcPr>
          <w:p w14:paraId="1D08BBB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0.482</w:t>
            </w:r>
          </w:p>
        </w:tc>
        <w:tc>
          <w:tcPr>
            <w:tcW w:w="0" w:type="auto"/>
            <w:tcBorders>
              <w:top w:val="nil"/>
              <w:left w:val="nil"/>
              <w:bottom w:val="nil"/>
              <w:right w:val="nil"/>
            </w:tcBorders>
            <w:shd w:val="clear" w:color="auto" w:fill="auto"/>
            <w:noWrap/>
            <w:vAlign w:val="center"/>
            <w:hideMark/>
          </w:tcPr>
          <w:p w14:paraId="73156B2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17BCF96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0.969</w:t>
            </w:r>
          </w:p>
        </w:tc>
        <w:tc>
          <w:tcPr>
            <w:tcW w:w="0" w:type="auto"/>
            <w:tcBorders>
              <w:top w:val="nil"/>
              <w:left w:val="nil"/>
              <w:bottom w:val="nil"/>
              <w:right w:val="nil"/>
            </w:tcBorders>
            <w:shd w:val="clear" w:color="auto" w:fill="auto"/>
            <w:noWrap/>
            <w:vAlign w:val="center"/>
            <w:hideMark/>
          </w:tcPr>
          <w:p w14:paraId="47B7F73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vAlign w:val="center"/>
            <w:hideMark/>
          </w:tcPr>
          <w:p w14:paraId="7795132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0.013</w:t>
            </w:r>
          </w:p>
        </w:tc>
        <w:tc>
          <w:tcPr>
            <w:tcW w:w="0" w:type="auto"/>
            <w:tcBorders>
              <w:top w:val="nil"/>
              <w:left w:val="nil"/>
              <w:bottom w:val="nil"/>
              <w:right w:val="nil"/>
            </w:tcBorders>
            <w:shd w:val="clear" w:color="auto" w:fill="auto"/>
            <w:noWrap/>
            <w:vAlign w:val="center"/>
            <w:hideMark/>
          </w:tcPr>
          <w:p w14:paraId="2D0C0B1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center"/>
            <w:hideMark/>
          </w:tcPr>
          <w:p w14:paraId="4212686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0.683</w:t>
            </w:r>
          </w:p>
        </w:tc>
        <w:tc>
          <w:tcPr>
            <w:tcW w:w="0" w:type="auto"/>
            <w:tcBorders>
              <w:top w:val="nil"/>
              <w:left w:val="nil"/>
              <w:bottom w:val="nil"/>
              <w:right w:val="nil"/>
            </w:tcBorders>
            <w:shd w:val="clear" w:color="auto" w:fill="auto"/>
            <w:noWrap/>
            <w:vAlign w:val="center"/>
            <w:hideMark/>
          </w:tcPr>
          <w:p w14:paraId="573C9C6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center"/>
            <w:hideMark/>
          </w:tcPr>
          <w:p w14:paraId="4B48D27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0.565</w:t>
            </w:r>
          </w:p>
        </w:tc>
        <w:tc>
          <w:tcPr>
            <w:tcW w:w="0" w:type="auto"/>
            <w:tcBorders>
              <w:top w:val="nil"/>
              <w:left w:val="nil"/>
              <w:bottom w:val="nil"/>
              <w:right w:val="nil"/>
            </w:tcBorders>
            <w:shd w:val="clear" w:color="auto" w:fill="auto"/>
            <w:noWrap/>
            <w:vAlign w:val="center"/>
            <w:hideMark/>
          </w:tcPr>
          <w:p w14:paraId="43BFF2A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0" w:type="auto"/>
            <w:tcBorders>
              <w:top w:val="nil"/>
              <w:left w:val="nil"/>
              <w:bottom w:val="nil"/>
              <w:right w:val="nil"/>
            </w:tcBorders>
            <w:shd w:val="clear" w:color="auto" w:fill="auto"/>
            <w:noWrap/>
            <w:vAlign w:val="center"/>
            <w:hideMark/>
          </w:tcPr>
          <w:p w14:paraId="35CCEA6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0.155</w:t>
            </w:r>
          </w:p>
        </w:tc>
        <w:tc>
          <w:tcPr>
            <w:tcW w:w="0" w:type="auto"/>
            <w:tcBorders>
              <w:top w:val="nil"/>
              <w:left w:val="nil"/>
              <w:bottom w:val="nil"/>
              <w:right w:val="nil"/>
            </w:tcBorders>
            <w:shd w:val="clear" w:color="auto" w:fill="auto"/>
            <w:noWrap/>
            <w:vAlign w:val="center"/>
            <w:hideMark/>
          </w:tcPr>
          <w:p w14:paraId="114A37C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r>
              <w:rPr>
                <w:rFonts w:ascii="Times New Roman" w:eastAsia="Times New Roman" w:hAnsi="Times New Roman" w:cs="Times New Roman"/>
                <w:sz w:val="16"/>
                <w:szCs w:val="16"/>
                <w:lang w:eastAsia="en-GB"/>
              </w:rPr>
              <w:t>4</w:t>
            </w:r>
          </w:p>
        </w:tc>
        <w:tc>
          <w:tcPr>
            <w:tcW w:w="0" w:type="auto"/>
            <w:tcBorders>
              <w:top w:val="nil"/>
              <w:left w:val="nil"/>
              <w:bottom w:val="nil"/>
              <w:right w:val="nil"/>
            </w:tcBorders>
            <w:shd w:val="clear" w:color="auto" w:fill="auto"/>
            <w:noWrap/>
            <w:vAlign w:val="center"/>
            <w:hideMark/>
          </w:tcPr>
          <w:p w14:paraId="674BBC5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1</w:t>
            </w:r>
            <w:r w:rsidRPr="00FF6562">
              <w:rPr>
                <w:rFonts w:ascii="Times New Roman" w:eastAsia="Times New Roman" w:hAnsi="Times New Roman" w:cs="Times New Roman"/>
                <w:sz w:val="16"/>
                <w:szCs w:val="16"/>
                <w:lang w:eastAsia="en-GB"/>
              </w:rPr>
              <w:t>06</w:t>
            </w:r>
          </w:p>
        </w:tc>
      </w:tr>
      <w:tr w:rsidR="004D4704" w:rsidRPr="00FF6562" w14:paraId="0CEE11C5" w14:textId="77777777" w:rsidTr="004D4704">
        <w:trPr>
          <w:trHeight w:val="141"/>
        </w:trPr>
        <w:tc>
          <w:tcPr>
            <w:tcW w:w="0" w:type="auto"/>
            <w:tcBorders>
              <w:top w:val="nil"/>
              <w:left w:val="nil"/>
              <w:bottom w:val="nil"/>
              <w:right w:val="nil"/>
            </w:tcBorders>
            <w:shd w:val="clear" w:color="auto" w:fill="auto"/>
            <w:noWrap/>
            <w:vAlign w:val="center"/>
            <w:hideMark/>
          </w:tcPr>
          <w:p w14:paraId="3AE65406"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22</m:t>
                    </m:r>
                  </m:sub>
                </m:sSub>
              </m:oMath>
            </m:oMathPara>
          </w:p>
        </w:tc>
        <w:tc>
          <w:tcPr>
            <w:tcW w:w="710" w:type="dxa"/>
            <w:tcBorders>
              <w:top w:val="nil"/>
              <w:left w:val="nil"/>
              <w:bottom w:val="nil"/>
              <w:right w:val="nil"/>
            </w:tcBorders>
            <w:shd w:val="clear" w:color="auto" w:fill="auto"/>
            <w:noWrap/>
            <w:vAlign w:val="center"/>
            <w:hideMark/>
          </w:tcPr>
          <w:p w14:paraId="31323D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-0.234</w:t>
            </w:r>
          </w:p>
        </w:tc>
        <w:tc>
          <w:tcPr>
            <w:tcW w:w="0" w:type="auto"/>
            <w:tcBorders>
              <w:top w:val="nil"/>
              <w:left w:val="nil"/>
              <w:bottom w:val="nil"/>
              <w:right w:val="nil"/>
            </w:tcBorders>
            <w:shd w:val="clear" w:color="auto" w:fill="auto"/>
            <w:noWrap/>
            <w:vAlign w:val="center"/>
            <w:hideMark/>
          </w:tcPr>
          <w:p w14:paraId="6F6E30B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7150A94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-0.278</w:t>
            </w:r>
          </w:p>
        </w:tc>
        <w:tc>
          <w:tcPr>
            <w:tcW w:w="0" w:type="auto"/>
            <w:tcBorders>
              <w:top w:val="nil"/>
              <w:left w:val="nil"/>
              <w:bottom w:val="nil"/>
              <w:right w:val="nil"/>
            </w:tcBorders>
            <w:shd w:val="clear" w:color="auto" w:fill="auto"/>
            <w:noWrap/>
            <w:vAlign w:val="center"/>
            <w:hideMark/>
          </w:tcPr>
          <w:p w14:paraId="3E7C363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3E38687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-0.348</w:t>
            </w:r>
          </w:p>
        </w:tc>
        <w:tc>
          <w:tcPr>
            <w:tcW w:w="0" w:type="auto"/>
            <w:tcBorders>
              <w:top w:val="nil"/>
              <w:left w:val="nil"/>
              <w:bottom w:val="nil"/>
              <w:right w:val="nil"/>
            </w:tcBorders>
            <w:shd w:val="clear" w:color="auto" w:fill="auto"/>
            <w:noWrap/>
            <w:vAlign w:val="center"/>
            <w:hideMark/>
          </w:tcPr>
          <w:p w14:paraId="150D906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0.065</w:t>
            </w:r>
          </w:p>
        </w:tc>
        <w:tc>
          <w:tcPr>
            <w:tcW w:w="0" w:type="auto"/>
            <w:tcBorders>
              <w:top w:val="nil"/>
              <w:left w:val="nil"/>
              <w:bottom w:val="nil"/>
              <w:right w:val="nil"/>
            </w:tcBorders>
            <w:shd w:val="clear" w:color="auto" w:fill="auto"/>
            <w:noWrap/>
            <w:vAlign w:val="center"/>
            <w:hideMark/>
          </w:tcPr>
          <w:p w14:paraId="446A799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-0.317</w:t>
            </w:r>
          </w:p>
        </w:tc>
        <w:tc>
          <w:tcPr>
            <w:tcW w:w="0" w:type="auto"/>
            <w:tcBorders>
              <w:top w:val="nil"/>
              <w:left w:val="nil"/>
              <w:bottom w:val="nil"/>
              <w:right w:val="nil"/>
            </w:tcBorders>
            <w:shd w:val="clear" w:color="auto" w:fill="auto"/>
            <w:noWrap/>
            <w:vAlign w:val="center"/>
            <w:hideMark/>
          </w:tcPr>
          <w:p w14:paraId="43C7877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58A4085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-0.297</w:t>
            </w:r>
          </w:p>
        </w:tc>
        <w:tc>
          <w:tcPr>
            <w:tcW w:w="0" w:type="auto"/>
            <w:tcBorders>
              <w:top w:val="nil"/>
              <w:left w:val="nil"/>
              <w:bottom w:val="nil"/>
              <w:right w:val="nil"/>
            </w:tcBorders>
            <w:shd w:val="clear" w:color="auto" w:fill="auto"/>
            <w:noWrap/>
            <w:vAlign w:val="center"/>
            <w:hideMark/>
          </w:tcPr>
          <w:p w14:paraId="27E0C8F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758ACA5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-0.293</w:t>
            </w:r>
          </w:p>
        </w:tc>
        <w:tc>
          <w:tcPr>
            <w:tcW w:w="0" w:type="auto"/>
            <w:tcBorders>
              <w:top w:val="nil"/>
              <w:left w:val="nil"/>
              <w:bottom w:val="nil"/>
              <w:right w:val="nil"/>
            </w:tcBorders>
            <w:shd w:val="clear" w:color="auto" w:fill="auto"/>
            <w:noWrap/>
            <w:vAlign w:val="center"/>
            <w:hideMark/>
          </w:tcPr>
          <w:p w14:paraId="6881CCF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56A1EE2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-0.275</w:t>
            </w:r>
          </w:p>
        </w:tc>
        <w:tc>
          <w:tcPr>
            <w:tcW w:w="0" w:type="auto"/>
            <w:tcBorders>
              <w:top w:val="nil"/>
              <w:left w:val="nil"/>
              <w:bottom w:val="nil"/>
              <w:right w:val="nil"/>
            </w:tcBorders>
            <w:shd w:val="clear" w:color="auto" w:fill="auto"/>
            <w:noWrap/>
            <w:vAlign w:val="center"/>
            <w:hideMark/>
          </w:tcPr>
          <w:p w14:paraId="1D39819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422D65A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-0.301</w:t>
            </w:r>
          </w:p>
        </w:tc>
        <w:tc>
          <w:tcPr>
            <w:tcW w:w="0" w:type="auto"/>
            <w:tcBorders>
              <w:top w:val="nil"/>
              <w:left w:val="nil"/>
              <w:bottom w:val="nil"/>
              <w:right w:val="nil"/>
            </w:tcBorders>
            <w:shd w:val="clear" w:color="auto" w:fill="auto"/>
            <w:noWrap/>
            <w:vAlign w:val="center"/>
            <w:hideMark/>
          </w:tcPr>
          <w:p w14:paraId="62A0C14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4C23C14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-0.323</w:t>
            </w:r>
          </w:p>
        </w:tc>
        <w:tc>
          <w:tcPr>
            <w:tcW w:w="0" w:type="auto"/>
            <w:tcBorders>
              <w:top w:val="nil"/>
              <w:left w:val="nil"/>
              <w:bottom w:val="nil"/>
              <w:right w:val="nil"/>
            </w:tcBorders>
            <w:shd w:val="clear" w:color="auto" w:fill="auto"/>
            <w:noWrap/>
            <w:vAlign w:val="center"/>
            <w:hideMark/>
          </w:tcPr>
          <w:p w14:paraId="12BB47C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35BDFFA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-0.280</w:t>
            </w:r>
          </w:p>
        </w:tc>
        <w:tc>
          <w:tcPr>
            <w:tcW w:w="0" w:type="auto"/>
            <w:tcBorders>
              <w:top w:val="nil"/>
              <w:left w:val="nil"/>
              <w:bottom w:val="nil"/>
              <w:right w:val="nil"/>
            </w:tcBorders>
            <w:shd w:val="clear" w:color="auto" w:fill="auto"/>
            <w:noWrap/>
            <w:vAlign w:val="center"/>
            <w:hideMark/>
          </w:tcPr>
          <w:p w14:paraId="5505796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4E0ED55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-0.322</w:t>
            </w:r>
          </w:p>
        </w:tc>
        <w:tc>
          <w:tcPr>
            <w:tcW w:w="0" w:type="auto"/>
            <w:tcBorders>
              <w:top w:val="nil"/>
              <w:left w:val="nil"/>
              <w:bottom w:val="nil"/>
              <w:right w:val="nil"/>
            </w:tcBorders>
            <w:shd w:val="clear" w:color="auto" w:fill="auto"/>
            <w:noWrap/>
            <w:vAlign w:val="center"/>
            <w:hideMark/>
          </w:tcPr>
          <w:p w14:paraId="2A1BF0B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F92754" w:rsidRPr="00FF6562" w14:paraId="5678E3FC" w14:textId="77777777" w:rsidTr="004D4704">
        <w:trPr>
          <w:trHeight w:val="200"/>
        </w:trPr>
        <w:tc>
          <w:tcPr>
            <w:tcW w:w="14217" w:type="dxa"/>
            <w:gridSpan w:val="23"/>
            <w:tcBorders>
              <w:top w:val="nil"/>
              <w:left w:val="nil"/>
              <w:bottom w:val="nil"/>
              <w:right w:val="nil"/>
            </w:tcBorders>
            <w:shd w:val="clear" w:color="auto" w:fill="auto"/>
            <w:noWrap/>
            <w:vAlign w:val="center"/>
            <w:hideMark/>
          </w:tcPr>
          <w:p w14:paraId="242C6705" w14:textId="77777777" w:rsidR="00F92754" w:rsidRPr="00A56C42" w:rsidRDefault="00F92754" w:rsidP="00875EB5">
            <w:pPr>
              <w:spacing w:after="0" w:line="240" w:lineRule="auto"/>
              <w:rPr>
                <w:rFonts w:ascii="Times New Roman" w:eastAsia="Times New Roman" w:hAnsi="Times New Roman" w:cs="Times New Roman"/>
                <w:b/>
                <w:bCs/>
                <w:sz w:val="20"/>
                <w:szCs w:val="20"/>
                <w:u w:val="single"/>
                <w:lang w:eastAsia="en-GB"/>
              </w:rPr>
            </w:pPr>
            <w:r w:rsidRPr="00A56C42">
              <w:rPr>
                <w:rFonts w:ascii="Times New Roman" w:eastAsia="Times New Roman" w:hAnsi="Times New Roman" w:cs="Times New Roman"/>
                <w:b/>
                <w:bCs/>
                <w:sz w:val="20"/>
                <w:szCs w:val="20"/>
                <w:u w:val="single"/>
                <w:lang w:eastAsia="en-GB"/>
              </w:rPr>
              <w:t>Panel B. Variance Equation</w:t>
            </w:r>
          </w:p>
        </w:tc>
      </w:tr>
      <w:tr w:rsidR="004D4704" w:rsidRPr="00FF6562" w14:paraId="7E9B4FEE" w14:textId="77777777" w:rsidTr="004D4704">
        <w:trPr>
          <w:trHeight w:val="105"/>
        </w:trPr>
        <w:tc>
          <w:tcPr>
            <w:tcW w:w="0" w:type="auto"/>
            <w:tcBorders>
              <w:top w:val="nil"/>
              <w:left w:val="nil"/>
              <w:bottom w:val="nil"/>
              <w:right w:val="nil"/>
            </w:tcBorders>
            <w:shd w:val="clear" w:color="auto" w:fill="auto"/>
            <w:noWrap/>
            <w:vAlign w:val="center"/>
            <w:hideMark/>
          </w:tcPr>
          <w:p w14:paraId="76CF2B16"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11</m:t>
                    </m:r>
                  </m:sub>
                </m:sSub>
              </m:oMath>
            </m:oMathPara>
          </w:p>
        </w:tc>
        <w:tc>
          <w:tcPr>
            <w:tcW w:w="710" w:type="dxa"/>
            <w:tcBorders>
              <w:top w:val="nil"/>
              <w:left w:val="nil"/>
              <w:bottom w:val="nil"/>
              <w:right w:val="nil"/>
            </w:tcBorders>
            <w:shd w:val="clear" w:color="auto" w:fill="auto"/>
            <w:noWrap/>
            <w:vAlign w:val="center"/>
            <w:hideMark/>
          </w:tcPr>
          <w:p w14:paraId="04B4E47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0.124</w:t>
            </w:r>
          </w:p>
        </w:tc>
        <w:tc>
          <w:tcPr>
            <w:tcW w:w="0" w:type="auto"/>
            <w:tcBorders>
              <w:top w:val="nil"/>
              <w:left w:val="nil"/>
              <w:bottom w:val="nil"/>
              <w:right w:val="nil"/>
            </w:tcBorders>
            <w:shd w:val="clear" w:color="auto" w:fill="auto"/>
            <w:noWrap/>
            <w:vAlign w:val="center"/>
            <w:hideMark/>
          </w:tcPr>
          <w:p w14:paraId="2AACFA8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0.324</w:t>
            </w:r>
          </w:p>
        </w:tc>
        <w:tc>
          <w:tcPr>
            <w:tcW w:w="0" w:type="auto"/>
            <w:tcBorders>
              <w:top w:val="nil"/>
              <w:left w:val="nil"/>
              <w:bottom w:val="nil"/>
              <w:right w:val="nil"/>
            </w:tcBorders>
            <w:shd w:val="clear" w:color="auto" w:fill="auto"/>
            <w:noWrap/>
            <w:vAlign w:val="center"/>
            <w:hideMark/>
          </w:tcPr>
          <w:p w14:paraId="4914C6D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0.149</w:t>
            </w:r>
          </w:p>
        </w:tc>
        <w:tc>
          <w:tcPr>
            <w:tcW w:w="0" w:type="auto"/>
            <w:tcBorders>
              <w:top w:val="nil"/>
              <w:left w:val="nil"/>
              <w:bottom w:val="nil"/>
              <w:right w:val="nil"/>
            </w:tcBorders>
            <w:shd w:val="clear" w:color="auto" w:fill="auto"/>
            <w:noWrap/>
            <w:vAlign w:val="center"/>
            <w:hideMark/>
          </w:tcPr>
          <w:p w14:paraId="3D1D1B3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0.027</w:t>
            </w:r>
          </w:p>
        </w:tc>
        <w:tc>
          <w:tcPr>
            <w:tcW w:w="0" w:type="auto"/>
            <w:tcBorders>
              <w:top w:val="nil"/>
              <w:left w:val="nil"/>
              <w:bottom w:val="nil"/>
              <w:right w:val="nil"/>
            </w:tcBorders>
            <w:shd w:val="clear" w:color="auto" w:fill="auto"/>
            <w:noWrap/>
            <w:vAlign w:val="center"/>
            <w:hideMark/>
          </w:tcPr>
          <w:p w14:paraId="20AA098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0.158</w:t>
            </w:r>
          </w:p>
        </w:tc>
        <w:tc>
          <w:tcPr>
            <w:tcW w:w="0" w:type="auto"/>
            <w:tcBorders>
              <w:top w:val="nil"/>
              <w:left w:val="nil"/>
              <w:bottom w:val="nil"/>
              <w:right w:val="nil"/>
            </w:tcBorders>
            <w:shd w:val="clear" w:color="auto" w:fill="auto"/>
            <w:noWrap/>
            <w:vAlign w:val="center"/>
            <w:hideMark/>
          </w:tcPr>
          <w:p w14:paraId="363BBC1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0.850</w:t>
            </w:r>
          </w:p>
        </w:tc>
        <w:tc>
          <w:tcPr>
            <w:tcW w:w="0" w:type="auto"/>
            <w:tcBorders>
              <w:top w:val="nil"/>
              <w:left w:val="nil"/>
              <w:bottom w:val="nil"/>
              <w:right w:val="nil"/>
            </w:tcBorders>
            <w:shd w:val="clear" w:color="auto" w:fill="auto"/>
            <w:noWrap/>
            <w:vAlign w:val="center"/>
            <w:hideMark/>
          </w:tcPr>
          <w:p w14:paraId="2CAB552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0.095</w:t>
            </w:r>
          </w:p>
        </w:tc>
        <w:tc>
          <w:tcPr>
            <w:tcW w:w="0" w:type="auto"/>
            <w:tcBorders>
              <w:top w:val="nil"/>
              <w:left w:val="nil"/>
              <w:bottom w:val="nil"/>
              <w:right w:val="nil"/>
            </w:tcBorders>
            <w:shd w:val="clear" w:color="auto" w:fill="auto"/>
            <w:noWrap/>
            <w:vAlign w:val="center"/>
            <w:hideMark/>
          </w:tcPr>
          <w:p w14:paraId="43EDDB9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0.152</w:t>
            </w:r>
          </w:p>
        </w:tc>
        <w:tc>
          <w:tcPr>
            <w:tcW w:w="0" w:type="auto"/>
            <w:tcBorders>
              <w:top w:val="nil"/>
              <w:left w:val="nil"/>
              <w:bottom w:val="nil"/>
              <w:right w:val="nil"/>
            </w:tcBorders>
            <w:shd w:val="clear" w:color="auto" w:fill="auto"/>
            <w:noWrap/>
            <w:vAlign w:val="center"/>
            <w:hideMark/>
          </w:tcPr>
          <w:p w14:paraId="170DC1F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0.243</w:t>
            </w:r>
          </w:p>
        </w:tc>
        <w:tc>
          <w:tcPr>
            <w:tcW w:w="0" w:type="auto"/>
            <w:tcBorders>
              <w:top w:val="nil"/>
              <w:left w:val="nil"/>
              <w:bottom w:val="nil"/>
              <w:right w:val="nil"/>
            </w:tcBorders>
            <w:shd w:val="clear" w:color="auto" w:fill="auto"/>
            <w:noWrap/>
            <w:vAlign w:val="center"/>
            <w:hideMark/>
          </w:tcPr>
          <w:p w14:paraId="05D7DF1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0.071</w:t>
            </w:r>
          </w:p>
        </w:tc>
        <w:tc>
          <w:tcPr>
            <w:tcW w:w="0" w:type="auto"/>
            <w:tcBorders>
              <w:top w:val="nil"/>
              <w:left w:val="nil"/>
              <w:bottom w:val="nil"/>
              <w:right w:val="nil"/>
            </w:tcBorders>
            <w:shd w:val="clear" w:color="auto" w:fill="auto"/>
            <w:noWrap/>
            <w:vAlign w:val="center"/>
            <w:hideMark/>
          </w:tcPr>
          <w:p w14:paraId="4596BA4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0.322</w:t>
            </w:r>
          </w:p>
        </w:tc>
        <w:tc>
          <w:tcPr>
            <w:tcW w:w="0" w:type="auto"/>
            <w:tcBorders>
              <w:top w:val="nil"/>
              <w:left w:val="nil"/>
              <w:bottom w:val="nil"/>
              <w:right w:val="nil"/>
            </w:tcBorders>
            <w:shd w:val="clear" w:color="auto" w:fill="auto"/>
            <w:noWrap/>
            <w:vAlign w:val="center"/>
            <w:hideMark/>
          </w:tcPr>
          <w:p w14:paraId="4274AA0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0.057</w:t>
            </w:r>
          </w:p>
        </w:tc>
        <w:tc>
          <w:tcPr>
            <w:tcW w:w="0" w:type="auto"/>
            <w:tcBorders>
              <w:top w:val="nil"/>
              <w:left w:val="nil"/>
              <w:bottom w:val="nil"/>
              <w:right w:val="nil"/>
            </w:tcBorders>
            <w:shd w:val="clear" w:color="auto" w:fill="auto"/>
            <w:noWrap/>
            <w:vAlign w:val="center"/>
            <w:hideMark/>
          </w:tcPr>
          <w:p w14:paraId="10ABBAE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0.210</w:t>
            </w:r>
          </w:p>
        </w:tc>
        <w:tc>
          <w:tcPr>
            <w:tcW w:w="0" w:type="auto"/>
            <w:tcBorders>
              <w:top w:val="nil"/>
              <w:left w:val="nil"/>
              <w:bottom w:val="nil"/>
              <w:right w:val="nil"/>
            </w:tcBorders>
            <w:shd w:val="clear" w:color="auto" w:fill="auto"/>
            <w:noWrap/>
            <w:vAlign w:val="center"/>
            <w:hideMark/>
          </w:tcPr>
          <w:p w14:paraId="272D895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0" w:type="auto"/>
            <w:tcBorders>
              <w:top w:val="nil"/>
              <w:left w:val="nil"/>
              <w:bottom w:val="nil"/>
              <w:right w:val="nil"/>
            </w:tcBorders>
            <w:shd w:val="clear" w:color="auto" w:fill="auto"/>
            <w:noWrap/>
            <w:vAlign w:val="center"/>
            <w:hideMark/>
          </w:tcPr>
          <w:p w14:paraId="18FA46D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0.211</w:t>
            </w:r>
          </w:p>
        </w:tc>
        <w:tc>
          <w:tcPr>
            <w:tcW w:w="0" w:type="auto"/>
            <w:tcBorders>
              <w:top w:val="nil"/>
              <w:left w:val="nil"/>
              <w:bottom w:val="nil"/>
              <w:right w:val="nil"/>
            </w:tcBorders>
            <w:shd w:val="clear" w:color="auto" w:fill="auto"/>
            <w:noWrap/>
            <w:vAlign w:val="center"/>
            <w:hideMark/>
          </w:tcPr>
          <w:p w14:paraId="547B779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0" w:type="auto"/>
            <w:tcBorders>
              <w:top w:val="nil"/>
              <w:left w:val="nil"/>
              <w:bottom w:val="nil"/>
              <w:right w:val="nil"/>
            </w:tcBorders>
            <w:shd w:val="clear" w:color="auto" w:fill="auto"/>
            <w:noWrap/>
            <w:vAlign w:val="center"/>
            <w:hideMark/>
          </w:tcPr>
          <w:p w14:paraId="1FA800D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0.022</w:t>
            </w:r>
          </w:p>
        </w:tc>
        <w:tc>
          <w:tcPr>
            <w:tcW w:w="0" w:type="auto"/>
            <w:tcBorders>
              <w:top w:val="nil"/>
              <w:left w:val="nil"/>
              <w:bottom w:val="nil"/>
              <w:right w:val="nil"/>
            </w:tcBorders>
            <w:shd w:val="clear" w:color="auto" w:fill="auto"/>
            <w:noWrap/>
            <w:vAlign w:val="center"/>
            <w:hideMark/>
          </w:tcPr>
          <w:p w14:paraId="0B355DA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0.218</w:t>
            </w:r>
          </w:p>
        </w:tc>
        <w:tc>
          <w:tcPr>
            <w:tcW w:w="0" w:type="auto"/>
            <w:tcBorders>
              <w:top w:val="nil"/>
              <w:left w:val="nil"/>
              <w:bottom w:val="nil"/>
              <w:right w:val="nil"/>
            </w:tcBorders>
            <w:shd w:val="clear" w:color="auto" w:fill="auto"/>
            <w:noWrap/>
            <w:vAlign w:val="center"/>
            <w:hideMark/>
          </w:tcPr>
          <w:p w14:paraId="19557FF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0.626</w:t>
            </w:r>
          </w:p>
        </w:tc>
        <w:tc>
          <w:tcPr>
            <w:tcW w:w="0" w:type="auto"/>
            <w:tcBorders>
              <w:top w:val="nil"/>
              <w:left w:val="nil"/>
              <w:bottom w:val="nil"/>
              <w:right w:val="nil"/>
            </w:tcBorders>
            <w:shd w:val="clear" w:color="auto" w:fill="auto"/>
            <w:noWrap/>
            <w:vAlign w:val="center"/>
            <w:hideMark/>
          </w:tcPr>
          <w:p w14:paraId="001B137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29C6121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0.045</w:t>
            </w:r>
          </w:p>
        </w:tc>
        <w:tc>
          <w:tcPr>
            <w:tcW w:w="0" w:type="auto"/>
            <w:tcBorders>
              <w:top w:val="nil"/>
              <w:left w:val="nil"/>
              <w:bottom w:val="nil"/>
              <w:right w:val="nil"/>
            </w:tcBorders>
            <w:shd w:val="clear" w:color="auto" w:fill="auto"/>
            <w:noWrap/>
            <w:vAlign w:val="center"/>
            <w:hideMark/>
          </w:tcPr>
          <w:p w14:paraId="2EB205F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0.537</w:t>
            </w:r>
          </w:p>
        </w:tc>
      </w:tr>
      <w:tr w:rsidR="004D4704" w:rsidRPr="00FF6562" w14:paraId="3664F0BD" w14:textId="77777777" w:rsidTr="004D4704">
        <w:trPr>
          <w:trHeight w:val="75"/>
        </w:trPr>
        <w:tc>
          <w:tcPr>
            <w:tcW w:w="0" w:type="auto"/>
            <w:tcBorders>
              <w:top w:val="nil"/>
              <w:left w:val="nil"/>
              <w:bottom w:val="nil"/>
              <w:right w:val="nil"/>
            </w:tcBorders>
            <w:shd w:val="clear" w:color="auto" w:fill="auto"/>
            <w:noWrap/>
            <w:vAlign w:val="center"/>
            <w:hideMark/>
          </w:tcPr>
          <w:p w14:paraId="27566C0D"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21</m:t>
                    </m:r>
                  </m:sub>
                </m:sSub>
              </m:oMath>
            </m:oMathPara>
          </w:p>
        </w:tc>
        <w:tc>
          <w:tcPr>
            <w:tcW w:w="710" w:type="dxa"/>
            <w:tcBorders>
              <w:top w:val="nil"/>
              <w:left w:val="nil"/>
              <w:bottom w:val="nil"/>
              <w:right w:val="nil"/>
            </w:tcBorders>
            <w:shd w:val="clear" w:color="auto" w:fill="auto"/>
            <w:noWrap/>
            <w:vAlign w:val="center"/>
            <w:hideMark/>
          </w:tcPr>
          <w:p w14:paraId="397BFBA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-7.113</w:t>
            </w:r>
          </w:p>
        </w:tc>
        <w:tc>
          <w:tcPr>
            <w:tcW w:w="0" w:type="auto"/>
            <w:tcBorders>
              <w:top w:val="nil"/>
              <w:left w:val="nil"/>
              <w:bottom w:val="nil"/>
              <w:right w:val="nil"/>
            </w:tcBorders>
            <w:shd w:val="clear" w:color="auto" w:fill="auto"/>
            <w:noWrap/>
            <w:vAlign w:val="center"/>
            <w:hideMark/>
          </w:tcPr>
          <w:p w14:paraId="6472E43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26AA70B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-4.217</w:t>
            </w:r>
          </w:p>
        </w:tc>
        <w:tc>
          <w:tcPr>
            <w:tcW w:w="0" w:type="auto"/>
            <w:tcBorders>
              <w:top w:val="nil"/>
              <w:left w:val="nil"/>
              <w:bottom w:val="nil"/>
              <w:right w:val="nil"/>
            </w:tcBorders>
            <w:shd w:val="clear" w:color="auto" w:fill="auto"/>
            <w:noWrap/>
            <w:vAlign w:val="center"/>
            <w:hideMark/>
          </w:tcPr>
          <w:p w14:paraId="73B4038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0.127</w:t>
            </w:r>
          </w:p>
        </w:tc>
        <w:tc>
          <w:tcPr>
            <w:tcW w:w="0" w:type="auto"/>
            <w:tcBorders>
              <w:top w:val="nil"/>
              <w:left w:val="nil"/>
              <w:bottom w:val="nil"/>
              <w:right w:val="nil"/>
            </w:tcBorders>
            <w:shd w:val="clear" w:color="auto" w:fill="auto"/>
            <w:noWrap/>
            <w:vAlign w:val="center"/>
            <w:hideMark/>
          </w:tcPr>
          <w:p w14:paraId="5BF888C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-3.284</w:t>
            </w:r>
          </w:p>
        </w:tc>
        <w:tc>
          <w:tcPr>
            <w:tcW w:w="0" w:type="auto"/>
            <w:tcBorders>
              <w:top w:val="nil"/>
              <w:left w:val="nil"/>
              <w:bottom w:val="nil"/>
              <w:right w:val="nil"/>
            </w:tcBorders>
            <w:shd w:val="clear" w:color="auto" w:fill="auto"/>
            <w:noWrap/>
            <w:vAlign w:val="center"/>
            <w:hideMark/>
          </w:tcPr>
          <w:p w14:paraId="68A4AE7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0.924</w:t>
            </w:r>
          </w:p>
        </w:tc>
        <w:tc>
          <w:tcPr>
            <w:tcW w:w="0" w:type="auto"/>
            <w:tcBorders>
              <w:top w:val="nil"/>
              <w:left w:val="nil"/>
              <w:bottom w:val="nil"/>
              <w:right w:val="nil"/>
            </w:tcBorders>
            <w:shd w:val="clear" w:color="auto" w:fill="auto"/>
            <w:noWrap/>
            <w:vAlign w:val="center"/>
            <w:hideMark/>
          </w:tcPr>
          <w:p w14:paraId="10C6A39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-5.747</w:t>
            </w:r>
          </w:p>
        </w:tc>
        <w:tc>
          <w:tcPr>
            <w:tcW w:w="0" w:type="auto"/>
            <w:tcBorders>
              <w:top w:val="nil"/>
              <w:left w:val="nil"/>
              <w:bottom w:val="nil"/>
              <w:right w:val="nil"/>
            </w:tcBorders>
            <w:shd w:val="clear" w:color="auto" w:fill="auto"/>
            <w:noWrap/>
            <w:vAlign w:val="center"/>
            <w:hideMark/>
          </w:tcPr>
          <w:p w14:paraId="2F7F8C5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4B3791F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-0.970</w:t>
            </w:r>
          </w:p>
        </w:tc>
        <w:tc>
          <w:tcPr>
            <w:tcW w:w="0" w:type="auto"/>
            <w:tcBorders>
              <w:top w:val="nil"/>
              <w:left w:val="nil"/>
              <w:bottom w:val="nil"/>
              <w:right w:val="nil"/>
            </w:tcBorders>
            <w:shd w:val="clear" w:color="auto" w:fill="auto"/>
            <w:noWrap/>
            <w:vAlign w:val="center"/>
            <w:hideMark/>
          </w:tcPr>
          <w:p w14:paraId="2DE7789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0.752</w:t>
            </w:r>
          </w:p>
        </w:tc>
        <w:tc>
          <w:tcPr>
            <w:tcW w:w="0" w:type="auto"/>
            <w:tcBorders>
              <w:top w:val="nil"/>
              <w:left w:val="nil"/>
              <w:bottom w:val="nil"/>
              <w:right w:val="nil"/>
            </w:tcBorders>
            <w:shd w:val="clear" w:color="auto" w:fill="auto"/>
            <w:noWrap/>
            <w:vAlign w:val="center"/>
            <w:hideMark/>
          </w:tcPr>
          <w:p w14:paraId="2409F3C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5.121</w:t>
            </w:r>
          </w:p>
        </w:tc>
        <w:tc>
          <w:tcPr>
            <w:tcW w:w="0" w:type="auto"/>
            <w:tcBorders>
              <w:top w:val="nil"/>
              <w:left w:val="nil"/>
              <w:bottom w:val="nil"/>
              <w:right w:val="nil"/>
            </w:tcBorders>
            <w:shd w:val="clear" w:color="auto" w:fill="auto"/>
            <w:noWrap/>
            <w:vAlign w:val="center"/>
            <w:hideMark/>
          </w:tcPr>
          <w:p w14:paraId="2CD8DDC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center"/>
            <w:hideMark/>
          </w:tcPr>
          <w:p w14:paraId="16BFCFC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-1.571</w:t>
            </w:r>
          </w:p>
        </w:tc>
        <w:tc>
          <w:tcPr>
            <w:tcW w:w="0" w:type="auto"/>
            <w:tcBorders>
              <w:top w:val="nil"/>
              <w:left w:val="nil"/>
              <w:bottom w:val="nil"/>
              <w:right w:val="nil"/>
            </w:tcBorders>
            <w:shd w:val="clear" w:color="auto" w:fill="auto"/>
            <w:noWrap/>
            <w:vAlign w:val="center"/>
            <w:hideMark/>
          </w:tcPr>
          <w:p w14:paraId="5793455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0.620</w:t>
            </w:r>
          </w:p>
        </w:tc>
        <w:tc>
          <w:tcPr>
            <w:tcW w:w="0" w:type="auto"/>
            <w:tcBorders>
              <w:top w:val="nil"/>
              <w:left w:val="nil"/>
              <w:bottom w:val="nil"/>
              <w:right w:val="nil"/>
            </w:tcBorders>
            <w:shd w:val="clear" w:color="auto" w:fill="auto"/>
            <w:noWrap/>
            <w:vAlign w:val="center"/>
            <w:hideMark/>
          </w:tcPr>
          <w:p w14:paraId="47D7BC9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-3.863</w:t>
            </w:r>
          </w:p>
        </w:tc>
        <w:tc>
          <w:tcPr>
            <w:tcW w:w="0" w:type="auto"/>
            <w:tcBorders>
              <w:top w:val="nil"/>
              <w:left w:val="nil"/>
              <w:bottom w:val="nil"/>
              <w:right w:val="nil"/>
            </w:tcBorders>
            <w:shd w:val="clear" w:color="auto" w:fill="auto"/>
            <w:noWrap/>
            <w:vAlign w:val="center"/>
            <w:hideMark/>
          </w:tcPr>
          <w:p w14:paraId="3A6C0B6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0.210</w:t>
            </w:r>
          </w:p>
        </w:tc>
        <w:tc>
          <w:tcPr>
            <w:tcW w:w="0" w:type="auto"/>
            <w:tcBorders>
              <w:top w:val="nil"/>
              <w:left w:val="nil"/>
              <w:bottom w:val="nil"/>
              <w:right w:val="nil"/>
            </w:tcBorders>
            <w:shd w:val="clear" w:color="auto" w:fill="auto"/>
            <w:noWrap/>
            <w:vAlign w:val="center"/>
            <w:hideMark/>
          </w:tcPr>
          <w:p w14:paraId="5DFF7BD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-7.890</w:t>
            </w:r>
          </w:p>
        </w:tc>
        <w:tc>
          <w:tcPr>
            <w:tcW w:w="0" w:type="auto"/>
            <w:tcBorders>
              <w:top w:val="nil"/>
              <w:left w:val="nil"/>
              <w:bottom w:val="nil"/>
              <w:right w:val="nil"/>
            </w:tcBorders>
            <w:shd w:val="clear" w:color="auto" w:fill="auto"/>
            <w:noWrap/>
            <w:vAlign w:val="center"/>
            <w:hideMark/>
          </w:tcPr>
          <w:p w14:paraId="2D3EAAC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5829FBD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0.550</w:t>
            </w:r>
          </w:p>
        </w:tc>
        <w:tc>
          <w:tcPr>
            <w:tcW w:w="0" w:type="auto"/>
            <w:tcBorders>
              <w:top w:val="nil"/>
              <w:left w:val="nil"/>
              <w:bottom w:val="nil"/>
              <w:right w:val="nil"/>
            </w:tcBorders>
            <w:shd w:val="clear" w:color="auto" w:fill="auto"/>
            <w:noWrap/>
            <w:vAlign w:val="center"/>
            <w:hideMark/>
          </w:tcPr>
          <w:p w14:paraId="5DB0453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0.643</w:t>
            </w:r>
          </w:p>
        </w:tc>
        <w:tc>
          <w:tcPr>
            <w:tcW w:w="0" w:type="auto"/>
            <w:tcBorders>
              <w:top w:val="nil"/>
              <w:left w:val="nil"/>
              <w:bottom w:val="nil"/>
              <w:right w:val="nil"/>
            </w:tcBorders>
            <w:shd w:val="clear" w:color="auto" w:fill="auto"/>
            <w:noWrap/>
            <w:vAlign w:val="center"/>
            <w:hideMark/>
          </w:tcPr>
          <w:p w14:paraId="4E5D544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-6.758</w:t>
            </w:r>
          </w:p>
        </w:tc>
        <w:tc>
          <w:tcPr>
            <w:tcW w:w="0" w:type="auto"/>
            <w:tcBorders>
              <w:top w:val="nil"/>
              <w:left w:val="nil"/>
              <w:bottom w:val="nil"/>
              <w:right w:val="nil"/>
            </w:tcBorders>
            <w:shd w:val="clear" w:color="auto" w:fill="auto"/>
            <w:noWrap/>
            <w:vAlign w:val="center"/>
            <w:hideMark/>
          </w:tcPr>
          <w:p w14:paraId="6D782D0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D4704" w:rsidRPr="00FF6562" w14:paraId="6C729A6B" w14:textId="77777777" w:rsidTr="004D4704">
        <w:trPr>
          <w:trHeight w:val="52"/>
        </w:trPr>
        <w:tc>
          <w:tcPr>
            <w:tcW w:w="0" w:type="auto"/>
            <w:tcBorders>
              <w:top w:val="nil"/>
              <w:left w:val="nil"/>
              <w:bottom w:val="nil"/>
              <w:right w:val="nil"/>
            </w:tcBorders>
            <w:shd w:val="clear" w:color="auto" w:fill="auto"/>
            <w:noWrap/>
            <w:vAlign w:val="center"/>
            <w:hideMark/>
          </w:tcPr>
          <w:p w14:paraId="5974524F"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22</m:t>
                    </m:r>
                  </m:sub>
                </m:sSub>
              </m:oMath>
            </m:oMathPara>
          </w:p>
        </w:tc>
        <w:tc>
          <w:tcPr>
            <w:tcW w:w="710" w:type="dxa"/>
            <w:tcBorders>
              <w:top w:val="nil"/>
              <w:left w:val="nil"/>
              <w:bottom w:val="nil"/>
              <w:right w:val="nil"/>
            </w:tcBorders>
            <w:shd w:val="clear" w:color="auto" w:fill="auto"/>
            <w:noWrap/>
            <w:vAlign w:val="center"/>
            <w:hideMark/>
          </w:tcPr>
          <w:p w14:paraId="5E867DC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68936C3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vAlign w:val="center"/>
            <w:hideMark/>
          </w:tcPr>
          <w:p w14:paraId="7AAC6E8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7.489</w:t>
            </w:r>
          </w:p>
        </w:tc>
        <w:tc>
          <w:tcPr>
            <w:tcW w:w="0" w:type="auto"/>
            <w:tcBorders>
              <w:top w:val="nil"/>
              <w:left w:val="nil"/>
              <w:bottom w:val="nil"/>
              <w:right w:val="nil"/>
            </w:tcBorders>
            <w:shd w:val="clear" w:color="auto" w:fill="auto"/>
            <w:noWrap/>
            <w:vAlign w:val="center"/>
            <w:hideMark/>
          </w:tcPr>
          <w:p w14:paraId="4418E90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0AB00C4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8.138</w:t>
            </w:r>
          </w:p>
        </w:tc>
        <w:tc>
          <w:tcPr>
            <w:tcW w:w="0" w:type="auto"/>
            <w:tcBorders>
              <w:top w:val="nil"/>
              <w:left w:val="nil"/>
              <w:bottom w:val="nil"/>
              <w:right w:val="nil"/>
            </w:tcBorders>
            <w:shd w:val="clear" w:color="auto" w:fill="auto"/>
            <w:noWrap/>
            <w:vAlign w:val="center"/>
            <w:hideMark/>
          </w:tcPr>
          <w:p w14:paraId="1ED4DB9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0.623</w:t>
            </w:r>
          </w:p>
        </w:tc>
        <w:tc>
          <w:tcPr>
            <w:tcW w:w="0" w:type="auto"/>
            <w:tcBorders>
              <w:top w:val="nil"/>
              <w:left w:val="nil"/>
              <w:bottom w:val="nil"/>
              <w:right w:val="nil"/>
            </w:tcBorders>
            <w:shd w:val="clear" w:color="auto" w:fill="auto"/>
            <w:noWrap/>
            <w:vAlign w:val="center"/>
            <w:hideMark/>
          </w:tcPr>
          <w:p w14:paraId="66F9D04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18B72CA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vAlign w:val="center"/>
            <w:hideMark/>
          </w:tcPr>
          <w:p w14:paraId="4637B5E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6.785</w:t>
            </w:r>
          </w:p>
        </w:tc>
        <w:tc>
          <w:tcPr>
            <w:tcW w:w="0" w:type="auto"/>
            <w:tcBorders>
              <w:top w:val="nil"/>
              <w:left w:val="nil"/>
              <w:bottom w:val="nil"/>
              <w:right w:val="nil"/>
            </w:tcBorders>
            <w:shd w:val="clear" w:color="auto" w:fill="auto"/>
            <w:noWrap/>
            <w:vAlign w:val="center"/>
            <w:hideMark/>
          </w:tcPr>
          <w:p w14:paraId="6249B56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40C13ED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50953CD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vAlign w:val="center"/>
            <w:hideMark/>
          </w:tcPr>
          <w:p w14:paraId="084CB3F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6.874</w:t>
            </w:r>
          </w:p>
        </w:tc>
        <w:tc>
          <w:tcPr>
            <w:tcW w:w="0" w:type="auto"/>
            <w:tcBorders>
              <w:top w:val="nil"/>
              <w:left w:val="nil"/>
              <w:bottom w:val="nil"/>
              <w:right w:val="nil"/>
            </w:tcBorders>
            <w:shd w:val="clear" w:color="auto" w:fill="auto"/>
            <w:noWrap/>
            <w:vAlign w:val="center"/>
            <w:hideMark/>
          </w:tcPr>
          <w:p w14:paraId="019FED3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6F5CD19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5.371</w:t>
            </w:r>
          </w:p>
        </w:tc>
        <w:tc>
          <w:tcPr>
            <w:tcW w:w="0" w:type="auto"/>
            <w:tcBorders>
              <w:top w:val="nil"/>
              <w:left w:val="nil"/>
              <w:bottom w:val="nil"/>
              <w:right w:val="nil"/>
            </w:tcBorders>
            <w:shd w:val="clear" w:color="auto" w:fill="auto"/>
            <w:noWrap/>
            <w:vAlign w:val="center"/>
            <w:hideMark/>
          </w:tcPr>
          <w:p w14:paraId="56E2646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0" w:type="auto"/>
            <w:tcBorders>
              <w:top w:val="nil"/>
              <w:left w:val="nil"/>
              <w:bottom w:val="nil"/>
              <w:right w:val="nil"/>
            </w:tcBorders>
            <w:shd w:val="clear" w:color="auto" w:fill="auto"/>
            <w:noWrap/>
            <w:vAlign w:val="center"/>
            <w:hideMark/>
          </w:tcPr>
          <w:p w14:paraId="4633A0A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45A73EE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vAlign w:val="center"/>
            <w:hideMark/>
          </w:tcPr>
          <w:p w14:paraId="3C25C12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0F707BD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0" w:type="auto"/>
            <w:tcBorders>
              <w:top w:val="nil"/>
              <w:left w:val="nil"/>
              <w:bottom w:val="nil"/>
              <w:right w:val="nil"/>
            </w:tcBorders>
            <w:shd w:val="clear" w:color="auto" w:fill="auto"/>
            <w:noWrap/>
            <w:vAlign w:val="center"/>
            <w:hideMark/>
          </w:tcPr>
          <w:p w14:paraId="694CC70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4.420</w:t>
            </w:r>
          </w:p>
        </w:tc>
        <w:tc>
          <w:tcPr>
            <w:tcW w:w="0" w:type="auto"/>
            <w:tcBorders>
              <w:top w:val="nil"/>
              <w:left w:val="nil"/>
              <w:bottom w:val="nil"/>
              <w:right w:val="nil"/>
            </w:tcBorders>
            <w:shd w:val="clear" w:color="auto" w:fill="auto"/>
            <w:noWrap/>
            <w:vAlign w:val="center"/>
            <w:hideMark/>
          </w:tcPr>
          <w:p w14:paraId="417CD13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r>
      <w:tr w:rsidR="004D4704" w:rsidRPr="00FF6562" w14:paraId="3F79D70F" w14:textId="77777777" w:rsidTr="004D4704">
        <w:trPr>
          <w:trHeight w:val="111"/>
        </w:trPr>
        <w:tc>
          <w:tcPr>
            <w:tcW w:w="0" w:type="auto"/>
            <w:tcBorders>
              <w:top w:val="nil"/>
              <w:left w:val="nil"/>
              <w:bottom w:val="nil"/>
              <w:right w:val="nil"/>
            </w:tcBorders>
            <w:shd w:val="clear" w:color="auto" w:fill="auto"/>
            <w:noWrap/>
            <w:vAlign w:val="center"/>
            <w:hideMark/>
          </w:tcPr>
          <w:p w14:paraId="039AF59C"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11</m:t>
                    </m:r>
                  </m:sub>
                </m:sSub>
              </m:oMath>
            </m:oMathPara>
          </w:p>
        </w:tc>
        <w:tc>
          <w:tcPr>
            <w:tcW w:w="710" w:type="dxa"/>
            <w:tcBorders>
              <w:top w:val="nil"/>
              <w:left w:val="nil"/>
              <w:bottom w:val="nil"/>
              <w:right w:val="nil"/>
            </w:tcBorders>
            <w:shd w:val="clear" w:color="auto" w:fill="auto"/>
            <w:noWrap/>
            <w:vAlign w:val="center"/>
            <w:hideMark/>
          </w:tcPr>
          <w:p w14:paraId="6ACD032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0.347</w:t>
            </w:r>
          </w:p>
        </w:tc>
        <w:tc>
          <w:tcPr>
            <w:tcW w:w="0" w:type="auto"/>
            <w:tcBorders>
              <w:top w:val="nil"/>
              <w:left w:val="nil"/>
              <w:bottom w:val="nil"/>
              <w:right w:val="nil"/>
            </w:tcBorders>
            <w:shd w:val="clear" w:color="auto" w:fill="auto"/>
            <w:noWrap/>
            <w:vAlign w:val="center"/>
            <w:hideMark/>
          </w:tcPr>
          <w:p w14:paraId="55FF438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center"/>
            <w:hideMark/>
          </w:tcPr>
          <w:p w14:paraId="3CCDF01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-0.030</w:t>
            </w:r>
          </w:p>
        </w:tc>
        <w:tc>
          <w:tcPr>
            <w:tcW w:w="0" w:type="auto"/>
            <w:tcBorders>
              <w:top w:val="nil"/>
              <w:left w:val="nil"/>
              <w:bottom w:val="nil"/>
              <w:right w:val="nil"/>
            </w:tcBorders>
            <w:shd w:val="clear" w:color="auto" w:fill="auto"/>
            <w:noWrap/>
            <w:vAlign w:val="center"/>
            <w:hideMark/>
          </w:tcPr>
          <w:p w14:paraId="4380E46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0.715</w:t>
            </w:r>
          </w:p>
        </w:tc>
        <w:tc>
          <w:tcPr>
            <w:tcW w:w="0" w:type="auto"/>
            <w:tcBorders>
              <w:top w:val="nil"/>
              <w:left w:val="nil"/>
              <w:bottom w:val="nil"/>
              <w:right w:val="nil"/>
            </w:tcBorders>
            <w:shd w:val="clear" w:color="auto" w:fill="auto"/>
            <w:noWrap/>
            <w:vAlign w:val="center"/>
            <w:hideMark/>
          </w:tcPr>
          <w:p w14:paraId="42C7C7F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0.241</w:t>
            </w:r>
          </w:p>
        </w:tc>
        <w:tc>
          <w:tcPr>
            <w:tcW w:w="0" w:type="auto"/>
            <w:tcBorders>
              <w:top w:val="nil"/>
              <w:left w:val="nil"/>
              <w:bottom w:val="nil"/>
              <w:right w:val="nil"/>
            </w:tcBorders>
            <w:shd w:val="clear" w:color="auto" w:fill="auto"/>
            <w:noWrap/>
            <w:vAlign w:val="center"/>
            <w:hideMark/>
          </w:tcPr>
          <w:p w14:paraId="054E580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0.171</w:t>
            </w:r>
          </w:p>
        </w:tc>
        <w:tc>
          <w:tcPr>
            <w:tcW w:w="0" w:type="auto"/>
            <w:tcBorders>
              <w:top w:val="nil"/>
              <w:left w:val="nil"/>
              <w:bottom w:val="nil"/>
              <w:right w:val="nil"/>
            </w:tcBorders>
            <w:shd w:val="clear" w:color="auto" w:fill="auto"/>
            <w:noWrap/>
            <w:vAlign w:val="center"/>
            <w:hideMark/>
          </w:tcPr>
          <w:p w14:paraId="299482A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center"/>
            <w:hideMark/>
          </w:tcPr>
          <w:p w14:paraId="41640BC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0.987</w:t>
            </w:r>
          </w:p>
        </w:tc>
        <w:tc>
          <w:tcPr>
            <w:tcW w:w="0" w:type="auto"/>
            <w:tcBorders>
              <w:top w:val="nil"/>
              <w:left w:val="nil"/>
              <w:bottom w:val="nil"/>
              <w:right w:val="nil"/>
            </w:tcBorders>
            <w:shd w:val="clear" w:color="auto" w:fill="auto"/>
            <w:noWrap/>
            <w:vAlign w:val="center"/>
            <w:hideMark/>
          </w:tcPr>
          <w:p w14:paraId="3625322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0.362</w:t>
            </w:r>
          </w:p>
        </w:tc>
        <w:tc>
          <w:tcPr>
            <w:tcW w:w="0" w:type="auto"/>
            <w:tcBorders>
              <w:top w:val="nil"/>
              <w:left w:val="nil"/>
              <w:bottom w:val="nil"/>
              <w:right w:val="nil"/>
            </w:tcBorders>
            <w:shd w:val="clear" w:color="auto" w:fill="auto"/>
            <w:noWrap/>
            <w:vAlign w:val="center"/>
            <w:hideMark/>
          </w:tcPr>
          <w:p w14:paraId="4C01DFF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7EFA638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0.097</w:t>
            </w:r>
          </w:p>
        </w:tc>
        <w:tc>
          <w:tcPr>
            <w:tcW w:w="0" w:type="auto"/>
            <w:tcBorders>
              <w:top w:val="nil"/>
              <w:left w:val="nil"/>
              <w:bottom w:val="nil"/>
              <w:right w:val="nil"/>
            </w:tcBorders>
            <w:shd w:val="clear" w:color="auto" w:fill="auto"/>
            <w:noWrap/>
            <w:vAlign w:val="center"/>
            <w:hideMark/>
          </w:tcPr>
          <w:p w14:paraId="66C9B0A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0.179</w:t>
            </w:r>
          </w:p>
        </w:tc>
        <w:tc>
          <w:tcPr>
            <w:tcW w:w="0" w:type="auto"/>
            <w:tcBorders>
              <w:top w:val="nil"/>
              <w:left w:val="nil"/>
              <w:bottom w:val="nil"/>
              <w:right w:val="nil"/>
            </w:tcBorders>
            <w:shd w:val="clear" w:color="auto" w:fill="auto"/>
            <w:noWrap/>
            <w:vAlign w:val="center"/>
            <w:hideMark/>
          </w:tcPr>
          <w:p w14:paraId="628AB28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0.086</w:t>
            </w:r>
          </w:p>
        </w:tc>
        <w:tc>
          <w:tcPr>
            <w:tcW w:w="0" w:type="auto"/>
            <w:tcBorders>
              <w:top w:val="nil"/>
              <w:left w:val="nil"/>
              <w:bottom w:val="nil"/>
              <w:right w:val="nil"/>
            </w:tcBorders>
            <w:shd w:val="clear" w:color="auto" w:fill="auto"/>
            <w:noWrap/>
            <w:vAlign w:val="center"/>
            <w:hideMark/>
          </w:tcPr>
          <w:p w14:paraId="7DF010A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0.624</w:t>
            </w:r>
          </w:p>
        </w:tc>
        <w:tc>
          <w:tcPr>
            <w:tcW w:w="0" w:type="auto"/>
            <w:tcBorders>
              <w:top w:val="nil"/>
              <w:left w:val="nil"/>
              <w:bottom w:val="nil"/>
              <w:right w:val="nil"/>
            </w:tcBorders>
            <w:shd w:val="clear" w:color="auto" w:fill="auto"/>
            <w:noWrap/>
            <w:vAlign w:val="center"/>
            <w:hideMark/>
          </w:tcPr>
          <w:p w14:paraId="7DBAC8A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0.405</w:t>
            </w:r>
          </w:p>
        </w:tc>
        <w:tc>
          <w:tcPr>
            <w:tcW w:w="0" w:type="auto"/>
            <w:tcBorders>
              <w:top w:val="nil"/>
              <w:left w:val="nil"/>
              <w:bottom w:val="nil"/>
              <w:right w:val="nil"/>
            </w:tcBorders>
            <w:shd w:val="clear" w:color="auto" w:fill="auto"/>
            <w:noWrap/>
            <w:vAlign w:val="center"/>
            <w:hideMark/>
          </w:tcPr>
          <w:p w14:paraId="01B18D1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0" w:type="auto"/>
            <w:tcBorders>
              <w:top w:val="nil"/>
              <w:left w:val="nil"/>
              <w:bottom w:val="nil"/>
              <w:right w:val="nil"/>
            </w:tcBorders>
            <w:shd w:val="clear" w:color="auto" w:fill="auto"/>
            <w:noWrap/>
            <w:vAlign w:val="center"/>
            <w:hideMark/>
          </w:tcPr>
          <w:p w14:paraId="137F332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-0.070</w:t>
            </w:r>
          </w:p>
        </w:tc>
        <w:tc>
          <w:tcPr>
            <w:tcW w:w="0" w:type="auto"/>
            <w:tcBorders>
              <w:top w:val="nil"/>
              <w:left w:val="nil"/>
              <w:bottom w:val="nil"/>
              <w:right w:val="nil"/>
            </w:tcBorders>
            <w:shd w:val="clear" w:color="auto" w:fill="auto"/>
            <w:noWrap/>
            <w:vAlign w:val="center"/>
            <w:hideMark/>
          </w:tcPr>
          <w:p w14:paraId="11DB348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0.118</w:t>
            </w:r>
          </w:p>
        </w:tc>
        <w:tc>
          <w:tcPr>
            <w:tcW w:w="0" w:type="auto"/>
            <w:tcBorders>
              <w:top w:val="nil"/>
              <w:left w:val="nil"/>
              <w:bottom w:val="nil"/>
              <w:right w:val="nil"/>
            </w:tcBorders>
            <w:shd w:val="clear" w:color="auto" w:fill="auto"/>
            <w:noWrap/>
            <w:vAlign w:val="center"/>
            <w:hideMark/>
          </w:tcPr>
          <w:p w14:paraId="217B984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0.315</w:t>
            </w:r>
          </w:p>
        </w:tc>
        <w:tc>
          <w:tcPr>
            <w:tcW w:w="0" w:type="auto"/>
            <w:tcBorders>
              <w:top w:val="nil"/>
              <w:left w:val="nil"/>
              <w:bottom w:val="nil"/>
              <w:right w:val="nil"/>
            </w:tcBorders>
            <w:shd w:val="clear" w:color="auto" w:fill="auto"/>
            <w:noWrap/>
            <w:vAlign w:val="center"/>
            <w:hideMark/>
          </w:tcPr>
          <w:p w14:paraId="1D8CD4B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0" w:type="auto"/>
            <w:tcBorders>
              <w:top w:val="nil"/>
              <w:left w:val="nil"/>
              <w:bottom w:val="nil"/>
              <w:right w:val="nil"/>
            </w:tcBorders>
            <w:shd w:val="clear" w:color="auto" w:fill="auto"/>
            <w:noWrap/>
            <w:vAlign w:val="center"/>
            <w:hideMark/>
          </w:tcPr>
          <w:p w14:paraId="3EC89DC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-0.151</w:t>
            </w:r>
          </w:p>
        </w:tc>
        <w:tc>
          <w:tcPr>
            <w:tcW w:w="0" w:type="auto"/>
            <w:tcBorders>
              <w:top w:val="nil"/>
              <w:left w:val="nil"/>
              <w:bottom w:val="nil"/>
              <w:right w:val="nil"/>
            </w:tcBorders>
            <w:shd w:val="clear" w:color="auto" w:fill="auto"/>
            <w:noWrap/>
            <w:vAlign w:val="center"/>
            <w:hideMark/>
          </w:tcPr>
          <w:p w14:paraId="3159074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r>
      <w:tr w:rsidR="004D4704" w:rsidRPr="00FF6562" w14:paraId="21EF2236" w14:textId="77777777" w:rsidTr="004D4704">
        <w:trPr>
          <w:trHeight w:val="81"/>
        </w:trPr>
        <w:tc>
          <w:tcPr>
            <w:tcW w:w="0" w:type="auto"/>
            <w:tcBorders>
              <w:top w:val="nil"/>
              <w:left w:val="nil"/>
              <w:bottom w:val="nil"/>
              <w:right w:val="nil"/>
            </w:tcBorders>
            <w:shd w:val="clear" w:color="auto" w:fill="auto"/>
            <w:noWrap/>
            <w:vAlign w:val="center"/>
            <w:hideMark/>
          </w:tcPr>
          <w:p w14:paraId="403C3C3B"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12</m:t>
                    </m:r>
                  </m:sub>
                </m:sSub>
              </m:oMath>
            </m:oMathPara>
          </w:p>
        </w:tc>
        <w:tc>
          <w:tcPr>
            <w:tcW w:w="710" w:type="dxa"/>
            <w:tcBorders>
              <w:top w:val="nil"/>
              <w:left w:val="nil"/>
              <w:bottom w:val="nil"/>
              <w:right w:val="nil"/>
            </w:tcBorders>
            <w:shd w:val="clear" w:color="auto" w:fill="auto"/>
            <w:noWrap/>
            <w:vAlign w:val="center"/>
            <w:hideMark/>
          </w:tcPr>
          <w:p w14:paraId="61DF7ED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1.374</w:t>
            </w:r>
          </w:p>
        </w:tc>
        <w:tc>
          <w:tcPr>
            <w:tcW w:w="0" w:type="auto"/>
            <w:tcBorders>
              <w:top w:val="nil"/>
              <w:left w:val="nil"/>
              <w:bottom w:val="nil"/>
              <w:right w:val="nil"/>
            </w:tcBorders>
            <w:shd w:val="clear" w:color="auto" w:fill="auto"/>
            <w:noWrap/>
            <w:vAlign w:val="center"/>
            <w:hideMark/>
          </w:tcPr>
          <w:p w14:paraId="5612156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0.155</w:t>
            </w:r>
          </w:p>
        </w:tc>
        <w:tc>
          <w:tcPr>
            <w:tcW w:w="0" w:type="auto"/>
            <w:tcBorders>
              <w:top w:val="nil"/>
              <w:left w:val="nil"/>
              <w:bottom w:val="nil"/>
              <w:right w:val="nil"/>
            </w:tcBorders>
            <w:shd w:val="clear" w:color="auto" w:fill="auto"/>
            <w:noWrap/>
            <w:vAlign w:val="center"/>
            <w:hideMark/>
          </w:tcPr>
          <w:p w14:paraId="0ECB468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6.068</w:t>
            </w:r>
          </w:p>
        </w:tc>
        <w:tc>
          <w:tcPr>
            <w:tcW w:w="0" w:type="auto"/>
            <w:tcBorders>
              <w:top w:val="nil"/>
              <w:left w:val="nil"/>
              <w:bottom w:val="nil"/>
              <w:right w:val="nil"/>
            </w:tcBorders>
            <w:shd w:val="clear" w:color="auto" w:fill="auto"/>
            <w:noWrap/>
            <w:vAlign w:val="center"/>
            <w:hideMark/>
          </w:tcPr>
          <w:p w14:paraId="275DF23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vAlign w:val="center"/>
            <w:hideMark/>
          </w:tcPr>
          <w:p w14:paraId="5A22699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3.913</w:t>
            </w:r>
          </w:p>
        </w:tc>
        <w:tc>
          <w:tcPr>
            <w:tcW w:w="0" w:type="auto"/>
            <w:tcBorders>
              <w:top w:val="nil"/>
              <w:left w:val="nil"/>
              <w:bottom w:val="nil"/>
              <w:right w:val="nil"/>
            </w:tcBorders>
            <w:shd w:val="clear" w:color="auto" w:fill="auto"/>
            <w:noWrap/>
            <w:vAlign w:val="center"/>
            <w:hideMark/>
          </w:tcPr>
          <w:p w14:paraId="7539D3D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0.556</w:t>
            </w:r>
          </w:p>
        </w:tc>
        <w:tc>
          <w:tcPr>
            <w:tcW w:w="0" w:type="auto"/>
            <w:tcBorders>
              <w:top w:val="nil"/>
              <w:left w:val="nil"/>
              <w:bottom w:val="nil"/>
              <w:right w:val="nil"/>
            </w:tcBorders>
            <w:shd w:val="clear" w:color="auto" w:fill="auto"/>
            <w:noWrap/>
            <w:vAlign w:val="center"/>
            <w:hideMark/>
          </w:tcPr>
          <w:p w14:paraId="4680E75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3.642</w:t>
            </w:r>
          </w:p>
        </w:tc>
        <w:tc>
          <w:tcPr>
            <w:tcW w:w="0" w:type="auto"/>
            <w:tcBorders>
              <w:top w:val="nil"/>
              <w:left w:val="nil"/>
              <w:bottom w:val="nil"/>
              <w:right w:val="nil"/>
            </w:tcBorders>
            <w:shd w:val="clear" w:color="auto" w:fill="auto"/>
            <w:noWrap/>
            <w:vAlign w:val="center"/>
            <w:hideMark/>
          </w:tcPr>
          <w:p w14:paraId="5A373DA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center"/>
            <w:hideMark/>
          </w:tcPr>
          <w:p w14:paraId="144636F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2.006</w:t>
            </w:r>
          </w:p>
        </w:tc>
        <w:tc>
          <w:tcPr>
            <w:tcW w:w="0" w:type="auto"/>
            <w:tcBorders>
              <w:top w:val="nil"/>
              <w:left w:val="nil"/>
              <w:bottom w:val="nil"/>
              <w:right w:val="nil"/>
            </w:tcBorders>
            <w:shd w:val="clear" w:color="auto" w:fill="auto"/>
            <w:noWrap/>
            <w:vAlign w:val="center"/>
            <w:hideMark/>
          </w:tcPr>
          <w:p w14:paraId="64B6A99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0.110</w:t>
            </w:r>
          </w:p>
        </w:tc>
        <w:tc>
          <w:tcPr>
            <w:tcW w:w="0" w:type="auto"/>
            <w:tcBorders>
              <w:top w:val="nil"/>
              <w:left w:val="nil"/>
              <w:bottom w:val="nil"/>
              <w:right w:val="nil"/>
            </w:tcBorders>
            <w:shd w:val="clear" w:color="auto" w:fill="auto"/>
            <w:noWrap/>
            <w:vAlign w:val="center"/>
            <w:hideMark/>
          </w:tcPr>
          <w:p w14:paraId="4E960C1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10.570</w:t>
            </w:r>
          </w:p>
        </w:tc>
        <w:tc>
          <w:tcPr>
            <w:tcW w:w="0" w:type="auto"/>
            <w:tcBorders>
              <w:top w:val="nil"/>
              <w:left w:val="nil"/>
              <w:bottom w:val="nil"/>
              <w:right w:val="nil"/>
            </w:tcBorders>
            <w:shd w:val="clear" w:color="auto" w:fill="auto"/>
            <w:noWrap/>
            <w:vAlign w:val="center"/>
            <w:hideMark/>
          </w:tcPr>
          <w:p w14:paraId="6D5A5AD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3E5CDD4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8.299</w:t>
            </w:r>
          </w:p>
        </w:tc>
        <w:tc>
          <w:tcPr>
            <w:tcW w:w="0" w:type="auto"/>
            <w:tcBorders>
              <w:top w:val="nil"/>
              <w:left w:val="nil"/>
              <w:bottom w:val="nil"/>
              <w:right w:val="nil"/>
            </w:tcBorders>
            <w:shd w:val="clear" w:color="auto" w:fill="auto"/>
            <w:noWrap/>
            <w:vAlign w:val="center"/>
            <w:hideMark/>
          </w:tcPr>
          <w:p w14:paraId="0BA2A71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79F2030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4.896</w:t>
            </w:r>
          </w:p>
        </w:tc>
        <w:tc>
          <w:tcPr>
            <w:tcW w:w="0" w:type="auto"/>
            <w:tcBorders>
              <w:top w:val="nil"/>
              <w:left w:val="nil"/>
              <w:bottom w:val="nil"/>
              <w:right w:val="nil"/>
            </w:tcBorders>
            <w:shd w:val="clear" w:color="auto" w:fill="auto"/>
            <w:noWrap/>
            <w:vAlign w:val="center"/>
            <w:hideMark/>
          </w:tcPr>
          <w:p w14:paraId="546C5C7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0.026</w:t>
            </w:r>
          </w:p>
        </w:tc>
        <w:tc>
          <w:tcPr>
            <w:tcW w:w="0" w:type="auto"/>
            <w:tcBorders>
              <w:top w:val="nil"/>
              <w:left w:val="nil"/>
              <w:bottom w:val="nil"/>
              <w:right w:val="nil"/>
            </w:tcBorders>
            <w:shd w:val="clear" w:color="auto" w:fill="auto"/>
            <w:noWrap/>
            <w:vAlign w:val="center"/>
            <w:hideMark/>
          </w:tcPr>
          <w:p w14:paraId="5C254C5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3.034</w:t>
            </w:r>
          </w:p>
        </w:tc>
        <w:tc>
          <w:tcPr>
            <w:tcW w:w="0" w:type="auto"/>
            <w:tcBorders>
              <w:top w:val="nil"/>
              <w:left w:val="nil"/>
              <w:bottom w:val="nil"/>
              <w:right w:val="nil"/>
            </w:tcBorders>
            <w:shd w:val="clear" w:color="auto" w:fill="auto"/>
            <w:noWrap/>
            <w:vAlign w:val="center"/>
            <w:hideMark/>
          </w:tcPr>
          <w:p w14:paraId="1DEE045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0.103</w:t>
            </w:r>
          </w:p>
        </w:tc>
        <w:tc>
          <w:tcPr>
            <w:tcW w:w="0" w:type="auto"/>
            <w:tcBorders>
              <w:top w:val="nil"/>
              <w:left w:val="nil"/>
              <w:bottom w:val="nil"/>
              <w:right w:val="nil"/>
            </w:tcBorders>
            <w:shd w:val="clear" w:color="auto" w:fill="auto"/>
            <w:noWrap/>
            <w:vAlign w:val="center"/>
            <w:hideMark/>
          </w:tcPr>
          <w:p w14:paraId="4F293E9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2.829</w:t>
            </w:r>
          </w:p>
        </w:tc>
        <w:tc>
          <w:tcPr>
            <w:tcW w:w="0" w:type="auto"/>
            <w:tcBorders>
              <w:top w:val="nil"/>
              <w:left w:val="nil"/>
              <w:bottom w:val="nil"/>
              <w:right w:val="nil"/>
            </w:tcBorders>
            <w:shd w:val="clear" w:color="auto" w:fill="auto"/>
            <w:noWrap/>
            <w:vAlign w:val="center"/>
            <w:hideMark/>
          </w:tcPr>
          <w:p w14:paraId="7C522D0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0" w:type="auto"/>
            <w:tcBorders>
              <w:top w:val="nil"/>
              <w:left w:val="nil"/>
              <w:bottom w:val="nil"/>
              <w:right w:val="nil"/>
            </w:tcBorders>
            <w:shd w:val="clear" w:color="auto" w:fill="auto"/>
            <w:noWrap/>
            <w:vAlign w:val="center"/>
            <w:hideMark/>
          </w:tcPr>
          <w:p w14:paraId="77960BA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3.002</w:t>
            </w:r>
          </w:p>
        </w:tc>
        <w:tc>
          <w:tcPr>
            <w:tcW w:w="0" w:type="auto"/>
            <w:tcBorders>
              <w:top w:val="nil"/>
              <w:left w:val="nil"/>
              <w:bottom w:val="nil"/>
              <w:right w:val="nil"/>
            </w:tcBorders>
            <w:shd w:val="clear" w:color="auto" w:fill="auto"/>
            <w:noWrap/>
            <w:vAlign w:val="center"/>
            <w:hideMark/>
          </w:tcPr>
          <w:p w14:paraId="524AFD9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0.117</w:t>
            </w:r>
          </w:p>
        </w:tc>
      </w:tr>
      <w:tr w:rsidR="004D4704" w:rsidRPr="00FF6562" w14:paraId="7AE6991E" w14:textId="77777777" w:rsidTr="004D4704">
        <w:trPr>
          <w:trHeight w:val="145"/>
        </w:trPr>
        <w:tc>
          <w:tcPr>
            <w:tcW w:w="0" w:type="auto"/>
            <w:tcBorders>
              <w:top w:val="nil"/>
              <w:left w:val="nil"/>
              <w:bottom w:val="nil"/>
              <w:right w:val="nil"/>
            </w:tcBorders>
            <w:shd w:val="clear" w:color="auto" w:fill="auto"/>
            <w:noWrap/>
            <w:vAlign w:val="center"/>
            <w:hideMark/>
          </w:tcPr>
          <w:p w14:paraId="6E00265D"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21</m:t>
                    </m:r>
                  </m:sub>
                </m:sSub>
              </m:oMath>
            </m:oMathPara>
          </w:p>
        </w:tc>
        <w:tc>
          <w:tcPr>
            <w:tcW w:w="710" w:type="dxa"/>
            <w:tcBorders>
              <w:top w:val="nil"/>
              <w:left w:val="nil"/>
              <w:bottom w:val="nil"/>
              <w:right w:val="nil"/>
            </w:tcBorders>
            <w:shd w:val="clear" w:color="auto" w:fill="auto"/>
            <w:noWrap/>
            <w:vAlign w:val="center"/>
            <w:hideMark/>
          </w:tcPr>
          <w:p w14:paraId="16CCB93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vAlign w:val="center"/>
            <w:hideMark/>
          </w:tcPr>
          <w:p w14:paraId="46E96CE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0.356</w:t>
            </w:r>
          </w:p>
        </w:tc>
        <w:tc>
          <w:tcPr>
            <w:tcW w:w="0" w:type="auto"/>
            <w:tcBorders>
              <w:top w:val="nil"/>
              <w:left w:val="nil"/>
              <w:bottom w:val="nil"/>
              <w:right w:val="nil"/>
            </w:tcBorders>
            <w:shd w:val="clear" w:color="auto" w:fill="auto"/>
            <w:noWrap/>
            <w:vAlign w:val="center"/>
            <w:hideMark/>
          </w:tcPr>
          <w:p w14:paraId="0404E86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-0.010</w:t>
            </w:r>
          </w:p>
        </w:tc>
        <w:tc>
          <w:tcPr>
            <w:tcW w:w="0" w:type="auto"/>
            <w:tcBorders>
              <w:top w:val="nil"/>
              <w:left w:val="nil"/>
              <w:bottom w:val="nil"/>
              <w:right w:val="nil"/>
            </w:tcBorders>
            <w:shd w:val="clear" w:color="auto" w:fill="auto"/>
            <w:noWrap/>
            <w:vAlign w:val="center"/>
            <w:hideMark/>
          </w:tcPr>
          <w:p w14:paraId="4B53F67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center"/>
            <w:hideMark/>
          </w:tcPr>
          <w:p w14:paraId="6F22ADD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0" w:type="auto"/>
            <w:tcBorders>
              <w:top w:val="nil"/>
              <w:left w:val="nil"/>
              <w:bottom w:val="nil"/>
              <w:right w:val="nil"/>
            </w:tcBorders>
            <w:shd w:val="clear" w:color="auto" w:fill="auto"/>
            <w:noWrap/>
            <w:vAlign w:val="center"/>
            <w:hideMark/>
          </w:tcPr>
          <w:p w14:paraId="2073C19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0.291</w:t>
            </w:r>
          </w:p>
        </w:tc>
        <w:tc>
          <w:tcPr>
            <w:tcW w:w="0" w:type="auto"/>
            <w:tcBorders>
              <w:top w:val="nil"/>
              <w:left w:val="nil"/>
              <w:bottom w:val="nil"/>
              <w:right w:val="nil"/>
            </w:tcBorders>
            <w:shd w:val="clear" w:color="auto" w:fill="auto"/>
            <w:noWrap/>
            <w:vAlign w:val="center"/>
            <w:hideMark/>
          </w:tcPr>
          <w:p w14:paraId="13D65F0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0" w:type="auto"/>
            <w:tcBorders>
              <w:top w:val="nil"/>
              <w:left w:val="nil"/>
              <w:bottom w:val="nil"/>
              <w:right w:val="nil"/>
            </w:tcBorders>
            <w:shd w:val="clear" w:color="auto" w:fill="auto"/>
            <w:noWrap/>
            <w:vAlign w:val="center"/>
            <w:hideMark/>
          </w:tcPr>
          <w:p w14:paraId="22093B1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0.632</w:t>
            </w:r>
          </w:p>
        </w:tc>
        <w:tc>
          <w:tcPr>
            <w:tcW w:w="0" w:type="auto"/>
            <w:tcBorders>
              <w:top w:val="nil"/>
              <w:left w:val="nil"/>
              <w:bottom w:val="nil"/>
              <w:right w:val="nil"/>
            </w:tcBorders>
            <w:shd w:val="clear" w:color="auto" w:fill="auto"/>
            <w:noWrap/>
            <w:vAlign w:val="center"/>
            <w:hideMark/>
          </w:tcPr>
          <w:p w14:paraId="572D5C4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023A68C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0.775</w:t>
            </w:r>
          </w:p>
        </w:tc>
        <w:tc>
          <w:tcPr>
            <w:tcW w:w="0" w:type="auto"/>
            <w:tcBorders>
              <w:top w:val="nil"/>
              <w:left w:val="nil"/>
              <w:bottom w:val="nil"/>
              <w:right w:val="nil"/>
            </w:tcBorders>
            <w:shd w:val="clear" w:color="auto" w:fill="auto"/>
            <w:noWrap/>
            <w:vAlign w:val="center"/>
            <w:hideMark/>
          </w:tcPr>
          <w:p w14:paraId="15D2C20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center"/>
            <w:hideMark/>
          </w:tcPr>
          <w:p w14:paraId="516B878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0.273</w:t>
            </w:r>
          </w:p>
        </w:tc>
        <w:tc>
          <w:tcPr>
            <w:tcW w:w="0" w:type="auto"/>
            <w:tcBorders>
              <w:top w:val="nil"/>
              <w:left w:val="nil"/>
              <w:bottom w:val="nil"/>
              <w:right w:val="nil"/>
            </w:tcBorders>
            <w:shd w:val="clear" w:color="auto" w:fill="auto"/>
            <w:noWrap/>
            <w:vAlign w:val="center"/>
            <w:hideMark/>
          </w:tcPr>
          <w:p w14:paraId="253B1AD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0" w:type="auto"/>
            <w:tcBorders>
              <w:top w:val="nil"/>
              <w:left w:val="nil"/>
              <w:bottom w:val="nil"/>
              <w:right w:val="nil"/>
            </w:tcBorders>
            <w:shd w:val="clear" w:color="auto" w:fill="auto"/>
            <w:noWrap/>
            <w:vAlign w:val="center"/>
            <w:hideMark/>
          </w:tcPr>
          <w:p w14:paraId="67825B7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0.604</w:t>
            </w:r>
          </w:p>
        </w:tc>
        <w:tc>
          <w:tcPr>
            <w:tcW w:w="0" w:type="auto"/>
            <w:tcBorders>
              <w:top w:val="nil"/>
              <w:left w:val="nil"/>
              <w:bottom w:val="nil"/>
              <w:right w:val="nil"/>
            </w:tcBorders>
            <w:shd w:val="clear" w:color="auto" w:fill="auto"/>
            <w:noWrap/>
            <w:vAlign w:val="center"/>
            <w:hideMark/>
          </w:tcPr>
          <w:p w14:paraId="0EFAB8A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438A6D6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0.668</w:t>
            </w:r>
          </w:p>
        </w:tc>
        <w:tc>
          <w:tcPr>
            <w:tcW w:w="0" w:type="auto"/>
            <w:tcBorders>
              <w:top w:val="nil"/>
              <w:left w:val="nil"/>
              <w:bottom w:val="nil"/>
              <w:right w:val="nil"/>
            </w:tcBorders>
            <w:shd w:val="clear" w:color="auto" w:fill="auto"/>
            <w:noWrap/>
            <w:vAlign w:val="center"/>
            <w:hideMark/>
          </w:tcPr>
          <w:p w14:paraId="3094E67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vAlign w:val="center"/>
            <w:hideMark/>
          </w:tcPr>
          <w:p w14:paraId="5B5AEE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0.011</w:t>
            </w:r>
          </w:p>
        </w:tc>
        <w:tc>
          <w:tcPr>
            <w:tcW w:w="0" w:type="auto"/>
            <w:tcBorders>
              <w:top w:val="nil"/>
              <w:left w:val="nil"/>
              <w:bottom w:val="nil"/>
              <w:right w:val="nil"/>
            </w:tcBorders>
            <w:shd w:val="clear" w:color="auto" w:fill="auto"/>
            <w:noWrap/>
            <w:vAlign w:val="center"/>
            <w:hideMark/>
          </w:tcPr>
          <w:p w14:paraId="4A7C7AF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2486471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0.645</w:t>
            </w:r>
          </w:p>
        </w:tc>
        <w:tc>
          <w:tcPr>
            <w:tcW w:w="0" w:type="auto"/>
            <w:tcBorders>
              <w:top w:val="nil"/>
              <w:left w:val="nil"/>
              <w:bottom w:val="nil"/>
              <w:right w:val="nil"/>
            </w:tcBorders>
            <w:shd w:val="clear" w:color="auto" w:fill="auto"/>
            <w:noWrap/>
            <w:vAlign w:val="center"/>
            <w:hideMark/>
          </w:tcPr>
          <w:p w14:paraId="4E625D1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center"/>
            <w:hideMark/>
          </w:tcPr>
          <w:p w14:paraId="2E9A922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0.538</w:t>
            </w:r>
          </w:p>
        </w:tc>
      </w:tr>
      <w:tr w:rsidR="004D4704" w:rsidRPr="00FF6562" w14:paraId="55D414C4" w14:textId="77777777" w:rsidTr="004D4704">
        <w:trPr>
          <w:trHeight w:val="97"/>
        </w:trPr>
        <w:tc>
          <w:tcPr>
            <w:tcW w:w="0" w:type="auto"/>
            <w:tcBorders>
              <w:top w:val="nil"/>
              <w:left w:val="nil"/>
              <w:bottom w:val="nil"/>
              <w:right w:val="nil"/>
            </w:tcBorders>
            <w:shd w:val="clear" w:color="auto" w:fill="auto"/>
            <w:noWrap/>
            <w:vAlign w:val="center"/>
            <w:hideMark/>
          </w:tcPr>
          <w:p w14:paraId="7B8D0CC1"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22</m:t>
                    </m:r>
                  </m:sub>
                </m:sSub>
              </m:oMath>
            </m:oMathPara>
          </w:p>
        </w:tc>
        <w:tc>
          <w:tcPr>
            <w:tcW w:w="710" w:type="dxa"/>
            <w:tcBorders>
              <w:top w:val="nil"/>
              <w:left w:val="nil"/>
              <w:bottom w:val="nil"/>
              <w:right w:val="nil"/>
            </w:tcBorders>
            <w:shd w:val="clear" w:color="auto" w:fill="auto"/>
            <w:noWrap/>
            <w:vAlign w:val="center"/>
            <w:hideMark/>
          </w:tcPr>
          <w:p w14:paraId="6D2F47D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0.334</w:t>
            </w:r>
          </w:p>
        </w:tc>
        <w:tc>
          <w:tcPr>
            <w:tcW w:w="0" w:type="auto"/>
            <w:tcBorders>
              <w:top w:val="nil"/>
              <w:left w:val="nil"/>
              <w:bottom w:val="nil"/>
              <w:right w:val="nil"/>
            </w:tcBorders>
            <w:shd w:val="clear" w:color="auto" w:fill="auto"/>
            <w:noWrap/>
            <w:vAlign w:val="center"/>
            <w:hideMark/>
          </w:tcPr>
          <w:p w14:paraId="49E4DDF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0.089</w:t>
            </w:r>
          </w:p>
        </w:tc>
        <w:tc>
          <w:tcPr>
            <w:tcW w:w="0" w:type="auto"/>
            <w:tcBorders>
              <w:top w:val="nil"/>
              <w:left w:val="nil"/>
              <w:bottom w:val="nil"/>
              <w:right w:val="nil"/>
            </w:tcBorders>
            <w:shd w:val="clear" w:color="auto" w:fill="auto"/>
            <w:noWrap/>
            <w:vAlign w:val="center"/>
            <w:hideMark/>
          </w:tcPr>
          <w:p w14:paraId="6C23861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0.466</w:t>
            </w:r>
          </w:p>
        </w:tc>
        <w:tc>
          <w:tcPr>
            <w:tcW w:w="0" w:type="auto"/>
            <w:tcBorders>
              <w:top w:val="nil"/>
              <w:left w:val="nil"/>
              <w:bottom w:val="nil"/>
              <w:right w:val="nil"/>
            </w:tcBorders>
            <w:shd w:val="clear" w:color="auto" w:fill="auto"/>
            <w:noWrap/>
            <w:vAlign w:val="center"/>
            <w:hideMark/>
          </w:tcPr>
          <w:p w14:paraId="29DB55B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5E749DB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0.300</w:t>
            </w:r>
          </w:p>
        </w:tc>
        <w:tc>
          <w:tcPr>
            <w:tcW w:w="0" w:type="auto"/>
            <w:tcBorders>
              <w:top w:val="nil"/>
              <w:left w:val="nil"/>
              <w:bottom w:val="nil"/>
              <w:right w:val="nil"/>
            </w:tcBorders>
            <w:shd w:val="clear" w:color="auto" w:fill="auto"/>
            <w:noWrap/>
            <w:vAlign w:val="center"/>
            <w:hideMark/>
          </w:tcPr>
          <w:p w14:paraId="3AD2FA2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0" w:type="auto"/>
            <w:tcBorders>
              <w:top w:val="nil"/>
              <w:left w:val="nil"/>
              <w:bottom w:val="nil"/>
              <w:right w:val="nil"/>
            </w:tcBorders>
            <w:shd w:val="clear" w:color="auto" w:fill="auto"/>
            <w:noWrap/>
            <w:vAlign w:val="center"/>
            <w:hideMark/>
          </w:tcPr>
          <w:p w14:paraId="4AD2818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0.356</w:t>
            </w:r>
          </w:p>
        </w:tc>
        <w:tc>
          <w:tcPr>
            <w:tcW w:w="0" w:type="auto"/>
            <w:tcBorders>
              <w:top w:val="nil"/>
              <w:left w:val="nil"/>
              <w:bottom w:val="nil"/>
              <w:right w:val="nil"/>
            </w:tcBorders>
            <w:shd w:val="clear" w:color="auto" w:fill="auto"/>
            <w:noWrap/>
            <w:vAlign w:val="center"/>
            <w:hideMark/>
          </w:tcPr>
          <w:p w14:paraId="08BF109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24EBA1A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0.321</w:t>
            </w:r>
          </w:p>
        </w:tc>
        <w:tc>
          <w:tcPr>
            <w:tcW w:w="0" w:type="auto"/>
            <w:tcBorders>
              <w:top w:val="nil"/>
              <w:left w:val="nil"/>
              <w:bottom w:val="nil"/>
              <w:right w:val="nil"/>
            </w:tcBorders>
            <w:shd w:val="clear" w:color="auto" w:fill="auto"/>
            <w:noWrap/>
            <w:vAlign w:val="center"/>
            <w:hideMark/>
          </w:tcPr>
          <w:p w14:paraId="7EA5841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0.056</w:t>
            </w:r>
          </w:p>
        </w:tc>
        <w:tc>
          <w:tcPr>
            <w:tcW w:w="0" w:type="auto"/>
            <w:tcBorders>
              <w:top w:val="nil"/>
              <w:left w:val="nil"/>
              <w:bottom w:val="nil"/>
              <w:right w:val="nil"/>
            </w:tcBorders>
            <w:shd w:val="clear" w:color="auto" w:fill="auto"/>
            <w:noWrap/>
            <w:vAlign w:val="center"/>
            <w:hideMark/>
          </w:tcPr>
          <w:p w14:paraId="2EC9734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0.570</w:t>
            </w:r>
          </w:p>
        </w:tc>
        <w:tc>
          <w:tcPr>
            <w:tcW w:w="0" w:type="auto"/>
            <w:tcBorders>
              <w:top w:val="nil"/>
              <w:left w:val="nil"/>
              <w:bottom w:val="nil"/>
              <w:right w:val="nil"/>
            </w:tcBorders>
            <w:shd w:val="clear" w:color="auto" w:fill="auto"/>
            <w:noWrap/>
            <w:vAlign w:val="center"/>
            <w:hideMark/>
          </w:tcPr>
          <w:p w14:paraId="0158F7B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center"/>
            <w:hideMark/>
          </w:tcPr>
          <w:p w14:paraId="4D23D76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0.569</w:t>
            </w:r>
          </w:p>
        </w:tc>
        <w:tc>
          <w:tcPr>
            <w:tcW w:w="0" w:type="auto"/>
            <w:tcBorders>
              <w:top w:val="nil"/>
              <w:left w:val="nil"/>
              <w:bottom w:val="nil"/>
              <w:right w:val="nil"/>
            </w:tcBorders>
            <w:shd w:val="clear" w:color="auto" w:fill="auto"/>
            <w:noWrap/>
            <w:vAlign w:val="center"/>
            <w:hideMark/>
          </w:tcPr>
          <w:p w14:paraId="730CA0C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0.057</w:t>
            </w:r>
          </w:p>
        </w:tc>
        <w:tc>
          <w:tcPr>
            <w:tcW w:w="0" w:type="auto"/>
            <w:tcBorders>
              <w:top w:val="nil"/>
              <w:left w:val="nil"/>
              <w:bottom w:val="nil"/>
              <w:right w:val="nil"/>
            </w:tcBorders>
            <w:shd w:val="clear" w:color="auto" w:fill="auto"/>
            <w:noWrap/>
            <w:vAlign w:val="center"/>
            <w:hideMark/>
          </w:tcPr>
          <w:p w14:paraId="467FF2D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0.494</w:t>
            </w:r>
          </w:p>
        </w:tc>
        <w:tc>
          <w:tcPr>
            <w:tcW w:w="0" w:type="auto"/>
            <w:tcBorders>
              <w:top w:val="nil"/>
              <w:left w:val="nil"/>
              <w:bottom w:val="nil"/>
              <w:right w:val="nil"/>
            </w:tcBorders>
            <w:shd w:val="clear" w:color="auto" w:fill="auto"/>
            <w:noWrap/>
            <w:vAlign w:val="center"/>
            <w:hideMark/>
          </w:tcPr>
          <w:p w14:paraId="3593FD2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0963428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0.338</w:t>
            </w:r>
          </w:p>
        </w:tc>
        <w:tc>
          <w:tcPr>
            <w:tcW w:w="0" w:type="auto"/>
            <w:tcBorders>
              <w:top w:val="nil"/>
              <w:left w:val="nil"/>
              <w:bottom w:val="nil"/>
              <w:right w:val="nil"/>
            </w:tcBorders>
            <w:shd w:val="clear" w:color="auto" w:fill="auto"/>
            <w:noWrap/>
            <w:vAlign w:val="center"/>
            <w:hideMark/>
          </w:tcPr>
          <w:p w14:paraId="3FFBA62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34213A9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0.263</w:t>
            </w:r>
          </w:p>
        </w:tc>
        <w:tc>
          <w:tcPr>
            <w:tcW w:w="0" w:type="auto"/>
            <w:tcBorders>
              <w:top w:val="nil"/>
              <w:left w:val="nil"/>
              <w:bottom w:val="nil"/>
              <w:right w:val="nil"/>
            </w:tcBorders>
            <w:shd w:val="clear" w:color="auto" w:fill="auto"/>
            <w:noWrap/>
            <w:vAlign w:val="center"/>
            <w:hideMark/>
          </w:tcPr>
          <w:p w14:paraId="79D0D32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0.144</w:t>
            </w:r>
          </w:p>
        </w:tc>
        <w:tc>
          <w:tcPr>
            <w:tcW w:w="0" w:type="auto"/>
            <w:tcBorders>
              <w:top w:val="nil"/>
              <w:left w:val="nil"/>
              <w:bottom w:val="nil"/>
              <w:right w:val="nil"/>
            </w:tcBorders>
            <w:shd w:val="clear" w:color="auto" w:fill="auto"/>
            <w:noWrap/>
            <w:vAlign w:val="center"/>
            <w:hideMark/>
          </w:tcPr>
          <w:p w14:paraId="5B421A8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0.378</w:t>
            </w:r>
          </w:p>
        </w:tc>
        <w:tc>
          <w:tcPr>
            <w:tcW w:w="0" w:type="auto"/>
            <w:tcBorders>
              <w:top w:val="nil"/>
              <w:left w:val="nil"/>
              <w:bottom w:val="nil"/>
              <w:right w:val="nil"/>
            </w:tcBorders>
            <w:shd w:val="clear" w:color="auto" w:fill="auto"/>
            <w:noWrap/>
            <w:vAlign w:val="center"/>
            <w:hideMark/>
          </w:tcPr>
          <w:p w14:paraId="1201458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D4704" w:rsidRPr="00FF6562" w14:paraId="17E7A021" w14:textId="77777777" w:rsidTr="004D4704">
        <w:trPr>
          <w:trHeight w:val="66"/>
        </w:trPr>
        <w:tc>
          <w:tcPr>
            <w:tcW w:w="0" w:type="auto"/>
            <w:tcBorders>
              <w:top w:val="nil"/>
              <w:left w:val="nil"/>
              <w:bottom w:val="nil"/>
              <w:right w:val="nil"/>
            </w:tcBorders>
            <w:shd w:val="clear" w:color="auto" w:fill="auto"/>
            <w:noWrap/>
            <w:vAlign w:val="center"/>
            <w:hideMark/>
          </w:tcPr>
          <w:p w14:paraId="442D982B"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11</m:t>
                    </m:r>
                  </m:sub>
                </m:sSub>
              </m:oMath>
            </m:oMathPara>
          </w:p>
        </w:tc>
        <w:tc>
          <w:tcPr>
            <w:tcW w:w="710" w:type="dxa"/>
            <w:tcBorders>
              <w:top w:val="nil"/>
              <w:left w:val="nil"/>
              <w:bottom w:val="nil"/>
              <w:right w:val="nil"/>
            </w:tcBorders>
            <w:shd w:val="clear" w:color="auto" w:fill="auto"/>
            <w:noWrap/>
            <w:vAlign w:val="center"/>
            <w:hideMark/>
          </w:tcPr>
          <w:p w14:paraId="243371D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0.908</w:t>
            </w:r>
          </w:p>
        </w:tc>
        <w:tc>
          <w:tcPr>
            <w:tcW w:w="0" w:type="auto"/>
            <w:tcBorders>
              <w:top w:val="nil"/>
              <w:left w:val="nil"/>
              <w:bottom w:val="nil"/>
              <w:right w:val="nil"/>
            </w:tcBorders>
            <w:shd w:val="clear" w:color="auto" w:fill="auto"/>
            <w:noWrap/>
            <w:vAlign w:val="center"/>
            <w:hideMark/>
          </w:tcPr>
          <w:p w14:paraId="64A395E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72BBAE3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0.912</w:t>
            </w:r>
          </w:p>
        </w:tc>
        <w:tc>
          <w:tcPr>
            <w:tcW w:w="0" w:type="auto"/>
            <w:tcBorders>
              <w:top w:val="nil"/>
              <w:left w:val="nil"/>
              <w:bottom w:val="nil"/>
              <w:right w:val="nil"/>
            </w:tcBorders>
            <w:shd w:val="clear" w:color="auto" w:fill="auto"/>
            <w:noWrap/>
            <w:vAlign w:val="center"/>
            <w:hideMark/>
          </w:tcPr>
          <w:p w14:paraId="25175D4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0C61686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0.857</w:t>
            </w:r>
          </w:p>
        </w:tc>
        <w:tc>
          <w:tcPr>
            <w:tcW w:w="0" w:type="auto"/>
            <w:tcBorders>
              <w:top w:val="nil"/>
              <w:left w:val="nil"/>
              <w:bottom w:val="nil"/>
              <w:right w:val="nil"/>
            </w:tcBorders>
            <w:shd w:val="clear" w:color="auto" w:fill="auto"/>
            <w:noWrap/>
            <w:vAlign w:val="center"/>
            <w:hideMark/>
          </w:tcPr>
          <w:p w14:paraId="0FEEC61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5632C45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0.973</w:t>
            </w:r>
          </w:p>
        </w:tc>
        <w:tc>
          <w:tcPr>
            <w:tcW w:w="0" w:type="auto"/>
            <w:tcBorders>
              <w:top w:val="nil"/>
              <w:left w:val="nil"/>
              <w:bottom w:val="nil"/>
              <w:right w:val="nil"/>
            </w:tcBorders>
            <w:shd w:val="clear" w:color="auto" w:fill="auto"/>
            <w:noWrap/>
            <w:vAlign w:val="center"/>
            <w:hideMark/>
          </w:tcPr>
          <w:p w14:paraId="74A3F35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50BBE68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0.903</w:t>
            </w:r>
          </w:p>
        </w:tc>
        <w:tc>
          <w:tcPr>
            <w:tcW w:w="0" w:type="auto"/>
            <w:tcBorders>
              <w:top w:val="nil"/>
              <w:left w:val="nil"/>
              <w:bottom w:val="nil"/>
              <w:right w:val="nil"/>
            </w:tcBorders>
            <w:shd w:val="clear" w:color="auto" w:fill="auto"/>
            <w:noWrap/>
            <w:vAlign w:val="center"/>
            <w:hideMark/>
          </w:tcPr>
          <w:p w14:paraId="5387248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029223D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0.815</w:t>
            </w:r>
          </w:p>
        </w:tc>
        <w:tc>
          <w:tcPr>
            <w:tcW w:w="0" w:type="auto"/>
            <w:tcBorders>
              <w:top w:val="nil"/>
              <w:left w:val="nil"/>
              <w:bottom w:val="nil"/>
              <w:right w:val="nil"/>
            </w:tcBorders>
            <w:shd w:val="clear" w:color="auto" w:fill="auto"/>
            <w:noWrap/>
            <w:vAlign w:val="center"/>
            <w:hideMark/>
          </w:tcPr>
          <w:p w14:paraId="3B74E6A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0EC1C42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0.891</w:t>
            </w:r>
          </w:p>
        </w:tc>
        <w:tc>
          <w:tcPr>
            <w:tcW w:w="0" w:type="auto"/>
            <w:tcBorders>
              <w:top w:val="nil"/>
              <w:left w:val="nil"/>
              <w:bottom w:val="nil"/>
              <w:right w:val="nil"/>
            </w:tcBorders>
            <w:shd w:val="clear" w:color="auto" w:fill="auto"/>
            <w:noWrap/>
            <w:vAlign w:val="center"/>
            <w:hideMark/>
          </w:tcPr>
          <w:p w14:paraId="3A8EE61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171D8C4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0.847</w:t>
            </w:r>
          </w:p>
        </w:tc>
        <w:tc>
          <w:tcPr>
            <w:tcW w:w="0" w:type="auto"/>
            <w:tcBorders>
              <w:top w:val="nil"/>
              <w:left w:val="nil"/>
              <w:bottom w:val="nil"/>
              <w:right w:val="nil"/>
            </w:tcBorders>
            <w:shd w:val="clear" w:color="auto" w:fill="auto"/>
            <w:noWrap/>
            <w:vAlign w:val="center"/>
            <w:hideMark/>
          </w:tcPr>
          <w:p w14:paraId="639B085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4D9B99D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0.967</w:t>
            </w:r>
          </w:p>
        </w:tc>
        <w:tc>
          <w:tcPr>
            <w:tcW w:w="0" w:type="auto"/>
            <w:tcBorders>
              <w:top w:val="nil"/>
              <w:left w:val="nil"/>
              <w:bottom w:val="nil"/>
              <w:right w:val="nil"/>
            </w:tcBorders>
            <w:shd w:val="clear" w:color="auto" w:fill="auto"/>
            <w:noWrap/>
            <w:vAlign w:val="center"/>
            <w:hideMark/>
          </w:tcPr>
          <w:p w14:paraId="6569BBB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24529FC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-0.058</w:t>
            </w:r>
          </w:p>
        </w:tc>
        <w:tc>
          <w:tcPr>
            <w:tcW w:w="0" w:type="auto"/>
            <w:tcBorders>
              <w:top w:val="nil"/>
              <w:left w:val="nil"/>
              <w:bottom w:val="nil"/>
              <w:right w:val="nil"/>
            </w:tcBorders>
            <w:shd w:val="clear" w:color="auto" w:fill="auto"/>
            <w:noWrap/>
            <w:vAlign w:val="center"/>
            <w:hideMark/>
          </w:tcPr>
          <w:p w14:paraId="10C7DE9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0.618</w:t>
            </w:r>
          </w:p>
        </w:tc>
        <w:tc>
          <w:tcPr>
            <w:tcW w:w="0" w:type="auto"/>
            <w:tcBorders>
              <w:top w:val="nil"/>
              <w:left w:val="nil"/>
              <w:bottom w:val="nil"/>
              <w:right w:val="nil"/>
            </w:tcBorders>
            <w:shd w:val="clear" w:color="auto" w:fill="auto"/>
            <w:noWrap/>
            <w:vAlign w:val="center"/>
            <w:hideMark/>
          </w:tcPr>
          <w:p w14:paraId="5EB3567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0.936</w:t>
            </w:r>
          </w:p>
        </w:tc>
        <w:tc>
          <w:tcPr>
            <w:tcW w:w="0" w:type="auto"/>
            <w:tcBorders>
              <w:top w:val="nil"/>
              <w:left w:val="nil"/>
              <w:bottom w:val="nil"/>
              <w:right w:val="nil"/>
            </w:tcBorders>
            <w:shd w:val="clear" w:color="auto" w:fill="auto"/>
            <w:noWrap/>
            <w:vAlign w:val="center"/>
            <w:hideMark/>
          </w:tcPr>
          <w:p w14:paraId="210A017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D4704" w:rsidRPr="00FF6562" w14:paraId="67B0F9E4" w14:textId="77777777" w:rsidTr="004D4704">
        <w:trPr>
          <w:trHeight w:val="141"/>
        </w:trPr>
        <w:tc>
          <w:tcPr>
            <w:tcW w:w="0" w:type="auto"/>
            <w:tcBorders>
              <w:top w:val="nil"/>
              <w:left w:val="nil"/>
              <w:bottom w:val="nil"/>
              <w:right w:val="nil"/>
            </w:tcBorders>
            <w:shd w:val="clear" w:color="auto" w:fill="auto"/>
            <w:noWrap/>
            <w:vAlign w:val="center"/>
            <w:hideMark/>
          </w:tcPr>
          <w:p w14:paraId="2BF6E0AA"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12</m:t>
                    </m:r>
                  </m:sub>
                </m:sSub>
              </m:oMath>
            </m:oMathPara>
          </w:p>
        </w:tc>
        <w:tc>
          <w:tcPr>
            <w:tcW w:w="710" w:type="dxa"/>
            <w:tcBorders>
              <w:top w:val="nil"/>
              <w:left w:val="nil"/>
              <w:bottom w:val="nil"/>
              <w:right w:val="nil"/>
            </w:tcBorders>
            <w:shd w:val="clear" w:color="auto" w:fill="auto"/>
            <w:noWrap/>
            <w:vAlign w:val="center"/>
            <w:hideMark/>
          </w:tcPr>
          <w:p w14:paraId="3915A8F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0.835</w:t>
            </w:r>
          </w:p>
        </w:tc>
        <w:tc>
          <w:tcPr>
            <w:tcW w:w="0" w:type="auto"/>
            <w:tcBorders>
              <w:top w:val="nil"/>
              <w:left w:val="nil"/>
              <w:bottom w:val="nil"/>
              <w:right w:val="nil"/>
            </w:tcBorders>
            <w:shd w:val="clear" w:color="auto" w:fill="auto"/>
            <w:noWrap/>
            <w:vAlign w:val="center"/>
            <w:hideMark/>
          </w:tcPr>
          <w:p w14:paraId="0EFF989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0.264</w:t>
            </w:r>
          </w:p>
        </w:tc>
        <w:tc>
          <w:tcPr>
            <w:tcW w:w="0" w:type="auto"/>
            <w:tcBorders>
              <w:top w:val="nil"/>
              <w:left w:val="nil"/>
              <w:bottom w:val="nil"/>
              <w:right w:val="nil"/>
            </w:tcBorders>
            <w:shd w:val="clear" w:color="auto" w:fill="auto"/>
            <w:noWrap/>
            <w:vAlign w:val="center"/>
            <w:hideMark/>
          </w:tcPr>
          <w:p w14:paraId="7E8EC88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-0.200</w:t>
            </w:r>
          </w:p>
        </w:tc>
        <w:tc>
          <w:tcPr>
            <w:tcW w:w="0" w:type="auto"/>
            <w:tcBorders>
              <w:top w:val="nil"/>
              <w:left w:val="nil"/>
              <w:bottom w:val="nil"/>
              <w:right w:val="nil"/>
            </w:tcBorders>
            <w:shd w:val="clear" w:color="auto" w:fill="auto"/>
            <w:noWrap/>
            <w:vAlign w:val="center"/>
            <w:hideMark/>
          </w:tcPr>
          <w:p w14:paraId="46AFC8C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0.790</w:t>
            </w:r>
          </w:p>
        </w:tc>
        <w:tc>
          <w:tcPr>
            <w:tcW w:w="0" w:type="auto"/>
            <w:tcBorders>
              <w:top w:val="nil"/>
              <w:left w:val="nil"/>
              <w:bottom w:val="nil"/>
              <w:right w:val="nil"/>
            </w:tcBorders>
            <w:shd w:val="clear" w:color="auto" w:fill="auto"/>
            <w:noWrap/>
            <w:vAlign w:val="center"/>
            <w:hideMark/>
          </w:tcPr>
          <w:p w14:paraId="60B7075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68A238A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w:t>
            </w:r>
            <w:r>
              <w:rPr>
                <w:rFonts w:ascii="Times New Roman" w:eastAsia="Times New Roman" w:hAnsi="Times New Roman" w:cs="Times New Roman"/>
                <w:sz w:val="16"/>
                <w:szCs w:val="16"/>
                <w:lang w:eastAsia="en-GB"/>
              </w:rPr>
              <w:t>98</w:t>
            </w:r>
            <w:r w:rsidRPr="00FF6562">
              <w:rPr>
                <w:rFonts w:ascii="Times New Roman" w:eastAsia="Times New Roman" w:hAnsi="Times New Roman" w:cs="Times New Roman"/>
                <w:sz w:val="16"/>
                <w:szCs w:val="16"/>
                <w:lang w:eastAsia="en-GB"/>
              </w:rPr>
              <w:t>0</w:t>
            </w:r>
          </w:p>
        </w:tc>
        <w:tc>
          <w:tcPr>
            <w:tcW w:w="0" w:type="auto"/>
            <w:tcBorders>
              <w:top w:val="nil"/>
              <w:left w:val="nil"/>
              <w:bottom w:val="nil"/>
              <w:right w:val="nil"/>
            </w:tcBorders>
            <w:shd w:val="clear" w:color="auto" w:fill="auto"/>
            <w:noWrap/>
            <w:vAlign w:val="center"/>
            <w:hideMark/>
          </w:tcPr>
          <w:p w14:paraId="3265200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-0.365</w:t>
            </w:r>
          </w:p>
        </w:tc>
        <w:tc>
          <w:tcPr>
            <w:tcW w:w="0" w:type="auto"/>
            <w:tcBorders>
              <w:top w:val="nil"/>
              <w:left w:val="nil"/>
              <w:bottom w:val="nil"/>
              <w:right w:val="nil"/>
            </w:tcBorders>
            <w:shd w:val="clear" w:color="auto" w:fill="auto"/>
            <w:noWrap/>
            <w:vAlign w:val="center"/>
            <w:hideMark/>
          </w:tcPr>
          <w:p w14:paraId="6C8AD54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0.273</w:t>
            </w:r>
          </w:p>
        </w:tc>
        <w:tc>
          <w:tcPr>
            <w:tcW w:w="0" w:type="auto"/>
            <w:tcBorders>
              <w:top w:val="nil"/>
              <w:left w:val="nil"/>
              <w:bottom w:val="nil"/>
              <w:right w:val="nil"/>
            </w:tcBorders>
            <w:shd w:val="clear" w:color="auto" w:fill="auto"/>
            <w:noWrap/>
            <w:vAlign w:val="center"/>
            <w:hideMark/>
          </w:tcPr>
          <w:p w14:paraId="2525071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-0.354</w:t>
            </w:r>
          </w:p>
        </w:tc>
        <w:tc>
          <w:tcPr>
            <w:tcW w:w="0" w:type="auto"/>
            <w:tcBorders>
              <w:top w:val="nil"/>
              <w:left w:val="nil"/>
              <w:bottom w:val="nil"/>
              <w:right w:val="nil"/>
            </w:tcBorders>
            <w:shd w:val="clear" w:color="auto" w:fill="auto"/>
            <w:noWrap/>
            <w:vAlign w:val="center"/>
            <w:hideMark/>
          </w:tcPr>
          <w:p w14:paraId="188DF8C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0.464</w:t>
            </w:r>
          </w:p>
        </w:tc>
        <w:tc>
          <w:tcPr>
            <w:tcW w:w="0" w:type="auto"/>
            <w:tcBorders>
              <w:top w:val="nil"/>
              <w:left w:val="nil"/>
              <w:bottom w:val="nil"/>
              <w:right w:val="nil"/>
            </w:tcBorders>
            <w:shd w:val="clear" w:color="auto" w:fill="auto"/>
            <w:noWrap/>
            <w:vAlign w:val="center"/>
            <w:hideMark/>
          </w:tcPr>
          <w:p w14:paraId="198D30E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6.254</w:t>
            </w:r>
          </w:p>
        </w:tc>
        <w:tc>
          <w:tcPr>
            <w:tcW w:w="0" w:type="auto"/>
            <w:tcBorders>
              <w:top w:val="nil"/>
              <w:left w:val="nil"/>
              <w:bottom w:val="nil"/>
              <w:right w:val="nil"/>
            </w:tcBorders>
            <w:shd w:val="clear" w:color="auto" w:fill="auto"/>
            <w:noWrap/>
            <w:vAlign w:val="center"/>
            <w:hideMark/>
          </w:tcPr>
          <w:p w14:paraId="5899BC2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0.033</w:t>
            </w:r>
          </w:p>
        </w:tc>
        <w:tc>
          <w:tcPr>
            <w:tcW w:w="0" w:type="auto"/>
            <w:tcBorders>
              <w:top w:val="nil"/>
              <w:left w:val="nil"/>
              <w:bottom w:val="nil"/>
              <w:right w:val="nil"/>
            </w:tcBorders>
            <w:shd w:val="clear" w:color="auto" w:fill="auto"/>
            <w:noWrap/>
            <w:vAlign w:val="center"/>
            <w:hideMark/>
          </w:tcPr>
          <w:p w14:paraId="1CD3DA6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-0.252</w:t>
            </w:r>
          </w:p>
        </w:tc>
        <w:tc>
          <w:tcPr>
            <w:tcW w:w="0" w:type="auto"/>
            <w:tcBorders>
              <w:top w:val="nil"/>
              <w:left w:val="nil"/>
              <w:bottom w:val="nil"/>
              <w:right w:val="nil"/>
            </w:tcBorders>
            <w:shd w:val="clear" w:color="auto" w:fill="auto"/>
            <w:noWrap/>
            <w:vAlign w:val="center"/>
            <w:hideMark/>
          </w:tcPr>
          <w:p w14:paraId="066F01D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0.848</w:t>
            </w:r>
          </w:p>
        </w:tc>
        <w:tc>
          <w:tcPr>
            <w:tcW w:w="0" w:type="auto"/>
            <w:tcBorders>
              <w:top w:val="nil"/>
              <w:left w:val="nil"/>
              <w:bottom w:val="nil"/>
              <w:right w:val="nil"/>
            </w:tcBorders>
            <w:shd w:val="clear" w:color="auto" w:fill="auto"/>
            <w:noWrap/>
            <w:vAlign w:val="center"/>
            <w:hideMark/>
          </w:tcPr>
          <w:p w14:paraId="6BA5FC6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-0.305</w:t>
            </w:r>
          </w:p>
        </w:tc>
        <w:tc>
          <w:tcPr>
            <w:tcW w:w="0" w:type="auto"/>
            <w:tcBorders>
              <w:top w:val="nil"/>
              <w:left w:val="nil"/>
              <w:bottom w:val="nil"/>
              <w:right w:val="nil"/>
            </w:tcBorders>
            <w:shd w:val="clear" w:color="auto" w:fill="auto"/>
            <w:noWrap/>
            <w:vAlign w:val="center"/>
            <w:hideMark/>
          </w:tcPr>
          <w:p w14:paraId="59CFF15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0.700</w:t>
            </w:r>
          </w:p>
        </w:tc>
        <w:tc>
          <w:tcPr>
            <w:tcW w:w="0" w:type="auto"/>
            <w:tcBorders>
              <w:top w:val="nil"/>
              <w:left w:val="nil"/>
              <w:bottom w:val="nil"/>
              <w:right w:val="nil"/>
            </w:tcBorders>
            <w:shd w:val="clear" w:color="auto" w:fill="auto"/>
            <w:noWrap/>
            <w:vAlign w:val="center"/>
            <w:hideMark/>
          </w:tcPr>
          <w:p w14:paraId="1969E02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-0.192</w:t>
            </w:r>
          </w:p>
        </w:tc>
        <w:tc>
          <w:tcPr>
            <w:tcW w:w="0" w:type="auto"/>
            <w:tcBorders>
              <w:top w:val="nil"/>
              <w:left w:val="nil"/>
              <w:bottom w:val="nil"/>
              <w:right w:val="nil"/>
            </w:tcBorders>
            <w:shd w:val="clear" w:color="auto" w:fill="auto"/>
            <w:noWrap/>
            <w:vAlign w:val="center"/>
            <w:hideMark/>
          </w:tcPr>
          <w:p w14:paraId="0DC8502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0.753</w:t>
            </w:r>
          </w:p>
        </w:tc>
        <w:tc>
          <w:tcPr>
            <w:tcW w:w="0" w:type="auto"/>
            <w:tcBorders>
              <w:top w:val="nil"/>
              <w:left w:val="nil"/>
              <w:bottom w:val="nil"/>
              <w:right w:val="nil"/>
            </w:tcBorders>
            <w:shd w:val="clear" w:color="auto" w:fill="auto"/>
            <w:noWrap/>
            <w:vAlign w:val="center"/>
            <w:hideMark/>
          </w:tcPr>
          <w:p w14:paraId="58B856F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13.347</w:t>
            </w:r>
          </w:p>
        </w:tc>
        <w:tc>
          <w:tcPr>
            <w:tcW w:w="0" w:type="auto"/>
            <w:tcBorders>
              <w:top w:val="nil"/>
              <w:left w:val="nil"/>
              <w:bottom w:val="nil"/>
              <w:right w:val="nil"/>
            </w:tcBorders>
            <w:shd w:val="clear" w:color="auto" w:fill="auto"/>
            <w:noWrap/>
            <w:vAlign w:val="center"/>
            <w:hideMark/>
          </w:tcPr>
          <w:p w14:paraId="32ED174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4CA3A91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0.354</w:t>
            </w:r>
          </w:p>
        </w:tc>
        <w:tc>
          <w:tcPr>
            <w:tcW w:w="0" w:type="auto"/>
            <w:tcBorders>
              <w:top w:val="nil"/>
              <w:left w:val="nil"/>
              <w:bottom w:val="nil"/>
              <w:right w:val="nil"/>
            </w:tcBorders>
            <w:shd w:val="clear" w:color="auto" w:fill="auto"/>
            <w:noWrap/>
            <w:vAlign w:val="center"/>
            <w:hideMark/>
          </w:tcPr>
          <w:p w14:paraId="3D9A68B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0.663</w:t>
            </w:r>
          </w:p>
        </w:tc>
      </w:tr>
      <w:tr w:rsidR="004D4704" w:rsidRPr="00FF6562" w14:paraId="1AF2243F" w14:textId="77777777" w:rsidTr="004D4704">
        <w:trPr>
          <w:trHeight w:val="102"/>
        </w:trPr>
        <w:tc>
          <w:tcPr>
            <w:tcW w:w="0" w:type="auto"/>
            <w:tcBorders>
              <w:top w:val="nil"/>
              <w:left w:val="nil"/>
              <w:bottom w:val="nil"/>
              <w:right w:val="nil"/>
            </w:tcBorders>
            <w:shd w:val="clear" w:color="auto" w:fill="auto"/>
            <w:noWrap/>
            <w:vAlign w:val="center"/>
            <w:hideMark/>
          </w:tcPr>
          <w:p w14:paraId="0B6F9ADD"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21</m:t>
                    </m:r>
                  </m:sub>
                </m:sSub>
              </m:oMath>
            </m:oMathPara>
          </w:p>
        </w:tc>
        <w:tc>
          <w:tcPr>
            <w:tcW w:w="710" w:type="dxa"/>
            <w:tcBorders>
              <w:top w:val="nil"/>
              <w:left w:val="nil"/>
              <w:bottom w:val="nil"/>
              <w:right w:val="nil"/>
            </w:tcBorders>
            <w:shd w:val="clear" w:color="auto" w:fill="auto"/>
            <w:noWrap/>
            <w:vAlign w:val="center"/>
            <w:hideMark/>
          </w:tcPr>
          <w:p w14:paraId="5394CD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0E9C90B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0.846</w:t>
            </w:r>
          </w:p>
        </w:tc>
        <w:tc>
          <w:tcPr>
            <w:tcW w:w="0" w:type="auto"/>
            <w:tcBorders>
              <w:top w:val="nil"/>
              <w:left w:val="nil"/>
              <w:bottom w:val="nil"/>
              <w:right w:val="nil"/>
            </w:tcBorders>
            <w:shd w:val="clear" w:color="auto" w:fill="auto"/>
            <w:noWrap/>
            <w:vAlign w:val="center"/>
            <w:hideMark/>
          </w:tcPr>
          <w:p w14:paraId="2767FDC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0.010</w:t>
            </w:r>
          </w:p>
        </w:tc>
        <w:tc>
          <w:tcPr>
            <w:tcW w:w="0" w:type="auto"/>
            <w:tcBorders>
              <w:top w:val="nil"/>
              <w:left w:val="nil"/>
              <w:bottom w:val="nil"/>
              <w:right w:val="nil"/>
            </w:tcBorders>
            <w:shd w:val="clear" w:color="auto" w:fill="auto"/>
            <w:noWrap/>
            <w:vAlign w:val="center"/>
            <w:hideMark/>
          </w:tcPr>
          <w:p w14:paraId="5B7F20C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0.239</w:t>
            </w:r>
          </w:p>
        </w:tc>
        <w:tc>
          <w:tcPr>
            <w:tcW w:w="0" w:type="auto"/>
            <w:tcBorders>
              <w:top w:val="nil"/>
              <w:left w:val="nil"/>
              <w:bottom w:val="nil"/>
              <w:right w:val="nil"/>
            </w:tcBorders>
            <w:shd w:val="clear" w:color="auto" w:fill="auto"/>
            <w:noWrap/>
            <w:vAlign w:val="center"/>
            <w:hideMark/>
          </w:tcPr>
          <w:p w14:paraId="3718F3D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0.011</w:t>
            </w:r>
          </w:p>
        </w:tc>
        <w:tc>
          <w:tcPr>
            <w:tcW w:w="0" w:type="auto"/>
            <w:tcBorders>
              <w:top w:val="nil"/>
              <w:left w:val="nil"/>
              <w:bottom w:val="nil"/>
              <w:right w:val="nil"/>
            </w:tcBorders>
            <w:shd w:val="clear" w:color="auto" w:fill="auto"/>
            <w:noWrap/>
            <w:vAlign w:val="center"/>
            <w:hideMark/>
          </w:tcPr>
          <w:p w14:paraId="53505E5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0.854</w:t>
            </w:r>
          </w:p>
        </w:tc>
        <w:tc>
          <w:tcPr>
            <w:tcW w:w="0" w:type="auto"/>
            <w:tcBorders>
              <w:top w:val="nil"/>
              <w:left w:val="nil"/>
              <w:bottom w:val="nil"/>
              <w:right w:val="nil"/>
            </w:tcBorders>
            <w:shd w:val="clear" w:color="auto" w:fill="auto"/>
            <w:noWrap/>
            <w:vAlign w:val="center"/>
            <w:hideMark/>
          </w:tcPr>
          <w:p w14:paraId="4D412A5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0" w:type="auto"/>
            <w:tcBorders>
              <w:top w:val="nil"/>
              <w:left w:val="nil"/>
              <w:bottom w:val="nil"/>
              <w:right w:val="nil"/>
            </w:tcBorders>
            <w:shd w:val="clear" w:color="auto" w:fill="auto"/>
            <w:noWrap/>
            <w:vAlign w:val="center"/>
            <w:hideMark/>
          </w:tcPr>
          <w:p w14:paraId="5803396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0.010</w:t>
            </w:r>
          </w:p>
        </w:tc>
        <w:tc>
          <w:tcPr>
            <w:tcW w:w="0" w:type="auto"/>
            <w:tcBorders>
              <w:top w:val="nil"/>
              <w:left w:val="nil"/>
              <w:bottom w:val="nil"/>
              <w:right w:val="nil"/>
            </w:tcBorders>
            <w:shd w:val="clear" w:color="auto" w:fill="auto"/>
            <w:noWrap/>
            <w:vAlign w:val="center"/>
            <w:hideMark/>
          </w:tcPr>
          <w:p w14:paraId="0EBE1BC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center"/>
            <w:hideMark/>
          </w:tcPr>
          <w:p w14:paraId="2E3C88B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0.904</w:t>
            </w:r>
          </w:p>
        </w:tc>
        <w:tc>
          <w:tcPr>
            <w:tcW w:w="0" w:type="auto"/>
            <w:tcBorders>
              <w:top w:val="nil"/>
              <w:left w:val="nil"/>
              <w:bottom w:val="nil"/>
              <w:right w:val="nil"/>
            </w:tcBorders>
            <w:shd w:val="clear" w:color="auto" w:fill="auto"/>
            <w:noWrap/>
            <w:vAlign w:val="center"/>
            <w:hideMark/>
          </w:tcPr>
          <w:p w14:paraId="6354E19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0" w:type="auto"/>
            <w:tcBorders>
              <w:top w:val="nil"/>
              <w:left w:val="nil"/>
              <w:bottom w:val="nil"/>
              <w:right w:val="nil"/>
            </w:tcBorders>
            <w:shd w:val="clear" w:color="auto" w:fill="auto"/>
            <w:noWrap/>
            <w:vAlign w:val="center"/>
            <w:hideMark/>
          </w:tcPr>
          <w:p w14:paraId="4A6032C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0.514</w:t>
            </w:r>
          </w:p>
        </w:tc>
        <w:tc>
          <w:tcPr>
            <w:tcW w:w="0" w:type="auto"/>
            <w:tcBorders>
              <w:top w:val="nil"/>
              <w:left w:val="nil"/>
              <w:bottom w:val="nil"/>
              <w:right w:val="nil"/>
            </w:tcBorders>
            <w:shd w:val="clear" w:color="auto" w:fill="auto"/>
            <w:noWrap/>
            <w:vAlign w:val="center"/>
            <w:hideMark/>
          </w:tcPr>
          <w:p w14:paraId="6788E7F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center"/>
            <w:hideMark/>
          </w:tcPr>
          <w:p w14:paraId="0A37C93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0.928</w:t>
            </w:r>
          </w:p>
        </w:tc>
        <w:tc>
          <w:tcPr>
            <w:tcW w:w="0" w:type="auto"/>
            <w:tcBorders>
              <w:top w:val="nil"/>
              <w:left w:val="nil"/>
              <w:bottom w:val="nil"/>
              <w:right w:val="nil"/>
            </w:tcBorders>
            <w:shd w:val="clear" w:color="auto" w:fill="auto"/>
            <w:noWrap/>
            <w:vAlign w:val="center"/>
            <w:hideMark/>
          </w:tcPr>
          <w:p w14:paraId="1930398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0" w:type="auto"/>
            <w:tcBorders>
              <w:top w:val="nil"/>
              <w:left w:val="nil"/>
              <w:bottom w:val="nil"/>
              <w:right w:val="nil"/>
            </w:tcBorders>
            <w:shd w:val="clear" w:color="auto" w:fill="auto"/>
            <w:noWrap/>
            <w:vAlign w:val="center"/>
            <w:hideMark/>
          </w:tcPr>
          <w:p w14:paraId="6A1C8A8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0.803</w:t>
            </w:r>
          </w:p>
        </w:tc>
        <w:tc>
          <w:tcPr>
            <w:tcW w:w="0" w:type="auto"/>
            <w:tcBorders>
              <w:top w:val="nil"/>
              <w:left w:val="nil"/>
              <w:bottom w:val="nil"/>
              <w:right w:val="nil"/>
            </w:tcBorders>
            <w:shd w:val="clear" w:color="auto" w:fill="auto"/>
            <w:noWrap/>
            <w:vAlign w:val="center"/>
            <w:hideMark/>
          </w:tcPr>
          <w:p w14:paraId="63FB084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0" w:type="auto"/>
            <w:tcBorders>
              <w:top w:val="nil"/>
              <w:left w:val="nil"/>
              <w:bottom w:val="nil"/>
              <w:right w:val="nil"/>
            </w:tcBorders>
            <w:shd w:val="clear" w:color="auto" w:fill="auto"/>
            <w:noWrap/>
            <w:vAlign w:val="center"/>
            <w:hideMark/>
          </w:tcPr>
          <w:p w14:paraId="30795E3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3B20365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0" w:type="auto"/>
            <w:tcBorders>
              <w:top w:val="nil"/>
              <w:left w:val="nil"/>
              <w:bottom w:val="nil"/>
              <w:right w:val="nil"/>
            </w:tcBorders>
            <w:shd w:val="clear" w:color="auto" w:fill="auto"/>
            <w:noWrap/>
            <w:vAlign w:val="center"/>
            <w:hideMark/>
          </w:tcPr>
          <w:p w14:paraId="5DD0FFE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0.124</w:t>
            </w:r>
          </w:p>
        </w:tc>
        <w:tc>
          <w:tcPr>
            <w:tcW w:w="0" w:type="auto"/>
            <w:tcBorders>
              <w:top w:val="nil"/>
              <w:left w:val="nil"/>
              <w:bottom w:val="nil"/>
              <w:right w:val="nil"/>
            </w:tcBorders>
            <w:shd w:val="clear" w:color="auto" w:fill="auto"/>
            <w:noWrap/>
            <w:vAlign w:val="center"/>
            <w:hideMark/>
          </w:tcPr>
          <w:p w14:paraId="35F5C3B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center"/>
            <w:hideMark/>
          </w:tcPr>
          <w:p w14:paraId="30612C6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0.025</w:t>
            </w:r>
          </w:p>
        </w:tc>
      </w:tr>
      <w:tr w:rsidR="004D4704" w:rsidRPr="00FF6562" w14:paraId="396CABB2" w14:textId="77777777" w:rsidTr="004D4704">
        <w:trPr>
          <w:trHeight w:val="62"/>
        </w:trPr>
        <w:tc>
          <w:tcPr>
            <w:tcW w:w="0" w:type="auto"/>
            <w:tcBorders>
              <w:top w:val="nil"/>
              <w:left w:val="nil"/>
              <w:bottom w:val="nil"/>
              <w:right w:val="nil"/>
            </w:tcBorders>
            <w:shd w:val="clear" w:color="auto" w:fill="auto"/>
            <w:noWrap/>
            <w:vAlign w:val="center"/>
            <w:hideMark/>
          </w:tcPr>
          <w:p w14:paraId="566545C6"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22</m:t>
                    </m:r>
                  </m:sub>
                </m:sSub>
              </m:oMath>
            </m:oMathPara>
          </w:p>
        </w:tc>
        <w:tc>
          <w:tcPr>
            <w:tcW w:w="710" w:type="dxa"/>
            <w:tcBorders>
              <w:top w:val="nil"/>
              <w:left w:val="nil"/>
              <w:bottom w:val="nil"/>
              <w:right w:val="nil"/>
            </w:tcBorders>
            <w:shd w:val="clear" w:color="auto" w:fill="auto"/>
            <w:noWrap/>
            <w:vAlign w:val="center"/>
            <w:hideMark/>
          </w:tcPr>
          <w:p w14:paraId="0632A25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0.497</w:t>
            </w:r>
          </w:p>
        </w:tc>
        <w:tc>
          <w:tcPr>
            <w:tcW w:w="0" w:type="auto"/>
            <w:tcBorders>
              <w:top w:val="nil"/>
              <w:left w:val="nil"/>
              <w:bottom w:val="nil"/>
              <w:right w:val="nil"/>
            </w:tcBorders>
            <w:shd w:val="clear" w:color="auto" w:fill="auto"/>
            <w:noWrap/>
            <w:vAlign w:val="center"/>
            <w:hideMark/>
          </w:tcPr>
          <w:p w14:paraId="5F89815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393311B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0.342</w:t>
            </w:r>
          </w:p>
        </w:tc>
        <w:tc>
          <w:tcPr>
            <w:tcW w:w="0" w:type="auto"/>
            <w:tcBorders>
              <w:top w:val="nil"/>
              <w:left w:val="nil"/>
              <w:bottom w:val="nil"/>
              <w:right w:val="nil"/>
            </w:tcBorders>
            <w:shd w:val="clear" w:color="auto" w:fill="auto"/>
            <w:noWrap/>
            <w:vAlign w:val="center"/>
            <w:hideMark/>
          </w:tcPr>
          <w:p w14:paraId="773B54A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0.109</w:t>
            </w:r>
          </w:p>
        </w:tc>
        <w:tc>
          <w:tcPr>
            <w:tcW w:w="0" w:type="auto"/>
            <w:tcBorders>
              <w:top w:val="nil"/>
              <w:left w:val="nil"/>
              <w:bottom w:val="nil"/>
              <w:right w:val="nil"/>
            </w:tcBorders>
            <w:shd w:val="clear" w:color="auto" w:fill="auto"/>
            <w:noWrap/>
            <w:vAlign w:val="center"/>
            <w:hideMark/>
          </w:tcPr>
          <w:p w14:paraId="3A2C375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0.471</w:t>
            </w:r>
          </w:p>
        </w:tc>
        <w:tc>
          <w:tcPr>
            <w:tcW w:w="0" w:type="auto"/>
            <w:tcBorders>
              <w:top w:val="nil"/>
              <w:left w:val="nil"/>
              <w:bottom w:val="nil"/>
              <w:right w:val="nil"/>
            </w:tcBorders>
            <w:shd w:val="clear" w:color="auto" w:fill="auto"/>
            <w:noWrap/>
            <w:vAlign w:val="center"/>
            <w:hideMark/>
          </w:tcPr>
          <w:p w14:paraId="4D54750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0.317</w:t>
            </w:r>
          </w:p>
        </w:tc>
        <w:tc>
          <w:tcPr>
            <w:tcW w:w="0" w:type="auto"/>
            <w:tcBorders>
              <w:top w:val="nil"/>
              <w:left w:val="nil"/>
              <w:bottom w:val="nil"/>
              <w:right w:val="nil"/>
            </w:tcBorders>
            <w:shd w:val="clear" w:color="auto" w:fill="auto"/>
            <w:noWrap/>
            <w:vAlign w:val="center"/>
            <w:hideMark/>
          </w:tcPr>
          <w:p w14:paraId="3C1B492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0.610</w:t>
            </w:r>
          </w:p>
        </w:tc>
        <w:tc>
          <w:tcPr>
            <w:tcW w:w="0" w:type="auto"/>
            <w:tcBorders>
              <w:top w:val="nil"/>
              <w:left w:val="nil"/>
              <w:bottom w:val="nil"/>
              <w:right w:val="nil"/>
            </w:tcBorders>
            <w:shd w:val="clear" w:color="auto" w:fill="auto"/>
            <w:noWrap/>
            <w:vAlign w:val="center"/>
            <w:hideMark/>
          </w:tcPr>
          <w:p w14:paraId="7DD1C69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73BD5B6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0.489</w:t>
            </w:r>
          </w:p>
        </w:tc>
        <w:tc>
          <w:tcPr>
            <w:tcW w:w="0" w:type="auto"/>
            <w:tcBorders>
              <w:top w:val="nil"/>
              <w:left w:val="nil"/>
              <w:bottom w:val="nil"/>
              <w:right w:val="nil"/>
            </w:tcBorders>
            <w:shd w:val="clear" w:color="auto" w:fill="auto"/>
            <w:noWrap/>
            <w:vAlign w:val="center"/>
            <w:hideMark/>
          </w:tcPr>
          <w:p w14:paraId="4267C39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21C7AE4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0.220</w:t>
            </w:r>
          </w:p>
        </w:tc>
        <w:tc>
          <w:tcPr>
            <w:tcW w:w="0" w:type="auto"/>
            <w:tcBorders>
              <w:top w:val="nil"/>
              <w:left w:val="nil"/>
              <w:bottom w:val="nil"/>
              <w:right w:val="nil"/>
            </w:tcBorders>
            <w:shd w:val="clear" w:color="auto" w:fill="auto"/>
            <w:noWrap/>
            <w:vAlign w:val="center"/>
            <w:hideMark/>
          </w:tcPr>
          <w:p w14:paraId="0476CB7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0.108</w:t>
            </w:r>
          </w:p>
        </w:tc>
        <w:tc>
          <w:tcPr>
            <w:tcW w:w="0" w:type="auto"/>
            <w:tcBorders>
              <w:top w:val="nil"/>
              <w:left w:val="nil"/>
              <w:bottom w:val="nil"/>
              <w:right w:val="nil"/>
            </w:tcBorders>
            <w:shd w:val="clear" w:color="auto" w:fill="auto"/>
            <w:noWrap/>
            <w:vAlign w:val="center"/>
            <w:hideMark/>
          </w:tcPr>
          <w:p w14:paraId="5C695C7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0.385</w:t>
            </w:r>
          </w:p>
        </w:tc>
        <w:tc>
          <w:tcPr>
            <w:tcW w:w="0" w:type="auto"/>
            <w:tcBorders>
              <w:top w:val="nil"/>
              <w:left w:val="nil"/>
              <w:bottom w:val="nil"/>
              <w:right w:val="nil"/>
            </w:tcBorders>
            <w:shd w:val="clear" w:color="auto" w:fill="auto"/>
            <w:noWrap/>
            <w:vAlign w:val="center"/>
            <w:hideMark/>
          </w:tcPr>
          <w:p w14:paraId="510E1EB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0.055</w:t>
            </w:r>
          </w:p>
        </w:tc>
        <w:tc>
          <w:tcPr>
            <w:tcW w:w="0" w:type="auto"/>
            <w:tcBorders>
              <w:top w:val="nil"/>
              <w:left w:val="nil"/>
              <w:bottom w:val="nil"/>
              <w:right w:val="nil"/>
            </w:tcBorders>
            <w:shd w:val="clear" w:color="auto" w:fill="auto"/>
            <w:noWrap/>
            <w:vAlign w:val="center"/>
            <w:hideMark/>
          </w:tcPr>
          <w:p w14:paraId="25BC731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0.428</w:t>
            </w:r>
          </w:p>
        </w:tc>
        <w:tc>
          <w:tcPr>
            <w:tcW w:w="0" w:type="auto"/>
            <w:tcBorders>
              <w:top w:val="nil"/>
              <w:left w:val="nil"/>
              <w:bottom w:val="nil"/>
              <w:right w:val="nil"/>
            </w:tcBorders>
            <w:shd w:val="clear" w:color="auto" w:fill="auto"/>
            <w:noWrap/>
            <w:vAlign w:val="center"/>
            <w:hideMark/>
          </w:tcPr>
          <w:p w14:paraId="4998572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7454618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0.486</w:t>
            </w:r>
          </w:p>
        </w:tc>
        <w:tc>
          <w:tcPr>
            <w:tcW w:w="0" w:type="auto"/>
            <w:tcBorders>
              <w:top w:val="nil"/>
              <w:left w:val="nil"/>
              <w:bottom w:val="nil"/>
              <w:right w:val="nil"/>
            </w:tcBorders>
            <w:shd w:val="clear" w:color="auto" w:fill="auto"/>
            <w:noWrap/>
            <w:vAlign w:val="center"/>
            <w:hideMark/>
          </w:tcPr>
          <w:p w14:paraId="642EB3F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0.024</w:t>
            </w:r>
          </w:p>
        </w:tc>
        <w:tc>
          <w:tcPr>
            <w:tcW w:w="0" w:type="auto"/>
            <w:tcBorders>
              <w:top w:val="nil"/>
              <w:left w:val="nil"/>
              <w:bottom w:val="nil"/>
              <w:right w:val="nil"/>
            </w:tcBorders>
            <w:shd w:val="clear" w:color="auto" w:fill="auto"/>
            <w:noWrap/>
            <w:vAlign w:val="center"/>
            <w:hideMark/>
          </w:tcPr>
          <w:p w14:paraId="6EBAD37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0.425</w:t>
            </w:r>
          </w:p>
        </w:tc>
        <w:tc>
          <w:tcPr>
            <w:tcW w:w="0" w:type="auto"/>
            <w:tcBorders>
              <w:top w:val="nil"/>
              <w:left w:val="nil"/>
              <w:bottom w:val="nil"/>
              <w:right w:val="nil"/>
            </w:tcBorders>
            <w:shd w:val="clear" w:color="auto" w:fill="auto"/>
            <w:noWrap/>
            <w:vAlign w:val="center"/>
            <w:hideMark/>
          </w:tcPr>
          <w:p w14:paraId="1050243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6D897E9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0.477</w:t>
            </w:r>
          </w:p>
        </w:tc>
        <w:tc>
          <w:tcPr>
            <w:tcW w:w="0" w:type="auto"/>
            <w:tcBorders>
              <w:top w:val="nil"/>
              <w:left w:val="nil"/>
              <w:bottom w:val="nil"/>
              <w:right w:val="nil"/>
            </w:tcBorders>
            <w:shd w:val="clear" w:color="auto" w:fill="auto"/>
            <w:noWrap/>
            <w:vAlign w:val="center"/>
            <w:hideMark/>
          </w:tcPr>
          <w:p w14:paraId="4ECA13F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D4704" w:rsidRPr="00FF6562" w14:paraId="019365AF" w14:textId="77777777" w:rsidTr="004D4704">
        <w:trPr>
          <w:trHeight w:val="137"/>
        </w:trPr>
        <w:tc>
          <w:tcPr>
            <w:tcW w:w="0" w:type="auto"/>
            <w:tcBorders>
              <w:top w:val="nil"/>
              <w:left w:val="nil"/>
              <w:bottom w:val="nil"/>
              <w:right w:val="nil"/>
            </w:tcBorders>
            <w:shd w:val="clear" w:color="auto" w:fill="auto"/>
            <w:noWrap/>
            <w:vAlign w:val="center"/>
            <w:hideMark/>
          </w:tcPr>
          <w:p w14:paraId="190391A6"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11</m:t>
                    </m:r>
                  </m:sub>
                </m:sSub>
              </m:oMath>
            </m:oMathPara>
          </w:p>
        </w:tc>
        <w:tc>
          <w:tcPr>
            <w:tcW w:w="710" w:type="dxa"/>
            <w:tcBorders>
              <w:top w:val="nil"/>
              <w:left w:val="nil"/>
              <w:bottom w:val="nil"/>
              <w:right w:val="nil"/>
            </w:tcBorders>
            <w:shd w:val="clear" w:color="auto" w:fill="auto"/>
            <w:noWrap/>
            <w:vAlign w:val="center"/>
            <w:hideMark/>
          </w:tcPr>
          <w:p w14:paraId="38F759C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2</w:t>
            </w:r>
            <w:r w:rsidRPr="00FF6562">
              <w:rPr>
                <w:rFonts w:ascii="Times New Roman" w:eastAsia="Times New Roman" w:hAnsi="Times New Roman" w:cs="Times New Roman"/>
                <w:sz w:val="16"/>
                <w:szCs w:val="16"/>
                <w:lang w:eastAsia="en-GB"/>
              </w:rPr>
              <w:t>46</w:t>
            </w:r>
          </w:p>
        </w:tc>
        <w:tc>
          <w:tcPr>
            <w:tcW w:w="0" w:type="auto"/>
            <w:tcBorders>
              <w:top w:val="nil"/>
              <w:left w:val="nil"/>
              <w:bottom w:val="nil"/>
              <w:right w:val="nil"/>
            </w:tcBorders>
            <w:shd w:val="clear" w:color="auto" w:fill="auto"/>
            <w:noWrap/>
            <w:vAlign w:val="center"/>
            <w:hideMark/>
          </w:tcPr>
          <w:p w14:paraId="043D1F2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61</w:t>
            </w:r>
          </w:p>
        </w:tc>
        <w:tc>
          <w:tcPr>
            <w:tcW w:w="0" w:type="auto"/>
            <w:tcBorders>
              <w:top w:val="nil"/>
              <w:left w:val="nil"/>
              <w:bottom w:val="nil"/>
              <w:right w:val="nil"/>
            </w:tcBorders>
            <w:shd w:val="clear" w:color="auto" w:fill="auto"/>
            <w:noWrap/>
            <w:vAlign w:val="center"/>
            <w:hideMark/>
          </w:tcPr>
          <w:p w14:paraId="37E0396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0.430</w:t>
            </w:r>
          </w:p>
        </w:tc>
        <w:tc>
          <w:tcPr>
            <w:tcW w:w="0" w:type="auto"/>
            <w:tcBorders>
              <w:top w:val="nil"/>
              <w:left w:val="nil"/>
              <w:bottom w:val="nil"/>
              <w:right w:val="nil"/>
            </w:tcBorders>
            <w:shd w:val="clear" w:color="auto" w:fill="auto"/>
            <w:noWrap/>
            <w:vAlign w:val="center"/>
            <w:hideMark/>
          </w:tcPr>
          <w:p w14:paraId="3006633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0019A73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0.169</w:t>
            </w:r>
          </w:p>
        </w:tc>
        <w:tc>
          <w:tcPr>
            <w:tcW w:w="0" w:type="auto"/>
            <w:tcBorders>
              <w:top w:val="nil"/>
              <w:left w:val="nil"/>
              <w:bottom w:val="nil"/>
              <w:right w:val="nil"/>
            </w:tcBorders>
            <w:shd w:val="clear" w:color="auto" w:fill="auto"/>
            <w:noWrap/>
            <w:vAlign w:val="center"/>
            <w:hideMark/>
          </w:tcPr>
          <w:p w14:paraId="733118E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0.862</w:t>
            </w:r>
          </w:p>
        </w:tc>
        <w:tc>
          <w:tcPr>
            <w:tcW w:w="0" w:type="auto"/>
            <w:tcBorders>
              <w:top w:val="nil"/>
              <w:left w:val="nil"/>
              <w:bottom w:val="nil"/>
              <w:right w:val="nil"/>
            </w:tcBorders>
            <w:shd w:val="clear" w:color="auto" w:fill="auto"/>
            <w:noWrap/>
            <w:vAlign w:val="center"/>
            <w:hideMark/>
          </w:tcPr>
          <w:p w14:paraId="3D958F5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0.313</w:t>
            </w:r>
          </w:p>
        </w:tc>
        <w:tc>
          <w:tcPr>
            <w:tcW w:w="0" w:type="auto"/>
            <w:tcBorders>
              <w:top w:val="nil"/>
              <w:left w:val="nil"/>
              <w:bottom w:val="nil"/>
              <w:right w:val="nil"/>
            </w:tcBorders>
            <w:shd w:val="clear" w:color="auto" w:fill="auto"/>
            <w:noWrap/>
            <w:vAlign w:val="center"/>
            <w:hideMark/>
          </w:tcPr>
          <w:p w14:paraId="2DA9DFD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68FD1B0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w:t>
            </w:r>
            <w:r>
              <w:rPr>
                <w:rFonts w:ascii="Times New Roman" w:eastAsia="Times New Roman" w:hAnsi="Times New Roman" w:cs="Times New Roman"/>
                <w:sz w:val="16"/>
                <w:szCs w:val="16"/>
                <w:lang w:eastAsia="en-GB"/>
              </w:rPr>
              <w:t>9</w:t>
            </w:r>
            <w:r w:rsidRPr="00FF6562">
              <w:rPr>
                <w:rFonts w:ascii="Times New Roman" w:eastAsia="Times New Roman" w:hAnsi="Times New Roman" w:cs="Times New Roman"/>
                <w:sz w:val="16"/>
                <w:szCs w:val="16"/>
                <w:lang w:eastAsia="en-GB"/>
              </w:rPr>
              <w:t>7</w:t>
            </w:r>
          </w:p>
        </w:tc>
        <w:tc>
          <w:tcPr>
            <w:tcW w:w="0" w:type="auto"/>
            <w:tcBorders>
              <w:top w:val="nil"/>
              <w:left w:val="nil"/>
              <w:bottom w:val="nil"/>
              <w:right w:val="nil"/>
            </w:tcBorders>
            <w:shd w:val="clear" w:color="auto" w:fill="auto"/>
            <w:noWrap/>
            <w:vAlign w:val="center"/>
            <w:hideMark/>
          </w:tcPr>
          <w:p w14:paraId="51022F1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10</w:t>
            </w:r>
            <w:r w:rsidRPr="00FF6562">
              <w:rPr>
                <w:rFonts w:ascii="Times New Roman" w:eastAsia="Times New Roman" w:hAnsi="Times New Roman" w:cs="Times New Roman"/>
                <w:sz w:val="16"/>
                <w:szCs w:val="16"/>
                <w:lang w:eastAsia="en-GB"/>
              </w:rPr>
              <w:t>8</w:t>
            </w:r>
          </w:p>
        </w:tc>
        <w:tc>
          <w:tcPr>
            <w:tcW w:w="0" w:type="auto"/>
            <w:tcBorders>
              <w:top w:val="nil"/>
              <w:left w:val="nil"/>
              <w:bottom w:val="nil"/>
              <w:right w:val="nil"/>
            </w:tcBorders>
            <w:shd w:val="clear" w:color="auto" w:fill="auto"/>
            <w:noWrap/>
            <w:vAlign w:val="center"/>
            <w:hideMark/>
          </w:tcPr>
          <w:p w14:paraId="5BD62A0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0.379</w:t>
            </w:r>
          </w:p>
        </w:tc>
        <w:tc>
          <w:tcPr>
            <w:tcW w:w="0" w:type="auto"/>
            <w:tcBorders>
              <w:top w:val="nil"/>
              <w:left w:val="nil"/>
              <w:bottom w:val="nil"/>
              <w:right w:val="nil"/>
            </w:tcBorders>
            <w:shd w:val="clear" w:color="auto" w:fill="auto"/>
            <w:noWrap/>
            <w:vAlign w:val="center"/>
            <w:hideMark/>
          </w:tcPr>
          <w:p w14:paraId="421714C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0.057</w:t>
            </w:r>
          </w:p>
        </w:tc>
        <w:tc>
          <w:tcPr>
            <w:tcW w:w="0" w:type="auto"/>
            <w:tcBorders>
              <w:top w:val="nil"/>
              <w:left w:val="nil"/>
              <w:bottom w:val="nil"/>
              <w:right w:val="nil"/>
            </w:tcBorders>
            <w:shd w:val="clear" w:color="auto" w:fill="auto"/>
            <w:noWrap/>
            <w:vAlign w:val="center"/>
            <w:hideMark/>
          </w:tcPr>
          <w:p w14:paraId="0A83EB2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0.430</w:t>
            </w:r>
          </w:p>
        </w:tc>
        <w:tc>
          <w:tcPr>
            <w:tcW w:w="0" w:type="auto"/>
            <w:tcBorders>
              <w:top w:val="nil"/>
              <w:left w:val="nil"/>
              <w:bottom w:val="nil"/>
              <w:right w:val="nil"/>
            </w:tcBorders>
            <w:shd w:val="clear" w:color="auto" w:fill="auto"/>
            <w:noWrap/>
            <w:vAlign w:val="center"/>
            <w:hideMark/>
          </w:tcPr>
          <w:p w14:paraId="01E13C7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0" w:type="auto"/>
            <w:tcBorders>
              <w:top w:val="nil"/>
              <w:left w:val="nil"/>
              <w:bottom w:val="nil"/>
              <w:right w:val="nil"/>
            </w:tcBorders>
            <w:shd w:val="clear" w:color="auto" w:fill="auto"/>
            <w:noWrap/>
            <w:vAlign w:val="center"/>
            <w:hideMark/>
          </w:tcPr>
          <w:p w14:paraId="38D9806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0.373</w:t>
            </w:r>
          </w:p>
        </w:tc>
        <w:tc>
          <w:tcPr>
            <w:tcW w:w="0" w:type="auto"/>
            <w:tcBorders>
              <w:top w:val="nil"/>
              <w:left w:val="nil"/>
              <w:bottom w:val="nil"/>
              <w:right w:val="nil"/>
            </w:tcBorders>
            <w:shd w:val="clear" w:color="auto" w:fill="auto"/>
            <w:noWrap/>
            <w:vAlign w:val="center"/>
            <w:hideMark/>
          </w:tcPr>
          <w:p w14:paraId="0B1F4A0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vAlign w:val="center"/>
            <w:hideMark/>
          </w:tcPr>
          <w:p w14:paraId="4A67ED3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0.269</w:t>
            </w:r>
          </w:p>
        </w:tc>
        <w:tc>
          <w:tcPr>
            <w:tcW w:w="0" w:type="auto"/>
            <w:tcBorders>
              <w:top w:val="nil"/>
              <w:left w:val="nil"/>
              <w:bottom w:val="nil"/>
              <w:right w:val="nil"/>
            </w:tcBorders>
            <w:shd w:val="clear" w:color="auto" w:fill="auto"/>
            <w:noWrap/>
            <w:vAlign w:val="center"/>
            <w:hideMark/>
          </w:tcPr>
          <w:p w14:paraId="100569A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3AB2BE0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0.229</w:t>
            </w:r>
          </w:p>
        </w:tc>
        <w:tc>
          <w:tcPr>
            <w:tcW w:w="0" w:type="auto"/>
            <w:tcBorders>
              <w:top w:val="nil"/>
              <w:left w:val="nil"/>
              <w:bottom w:val="nil"/>
              <w:right w:val="nil"/>
            </w:tcBorders>
            <w:shd w:val="clear" w:color="auto" w:fill="auto"/>
            <w:noWrap/>
            <w:vAlign w:val="center"/>
            <w:hideMark/>
          </w:tcPr>
          <w:p w14:paraId="7630D94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0.239</w:t>
            </w:r>
          </w:p>
        </w:tc>
        <w:tc>
          <w:tcPr>
            <w:tcW w:w="0" w:type="auto"/>
            <w:tcBorders>
              <w:top w:val="nil"/>
              <w:left w:val="nil"/>
              <w:bottom w:val="nil"/>
              <w:right w:val="nil"/>
            </w:tcBorders>
            <w:shd w:val="clear" w:color="auto" w:fill="auto"/>
            <w:noWrap/>
            <w:vAlign w:val="center"/>
            <w:hideMark/>
          </w:tcPr>
          <w:p w14:paraId="4B0C3E4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0.348</w:t>
            </w:r>
          </w:p>
        </w:tc>
        <w:tc>
          <w:tcPr>
            <w:tcW w:w="0" w:type="auto"/>
            <w:tcBorders>
              <w:top w:val="nil"/>
              <w:left w:val="nil"/>
              <w:bottom w:val="nil"/>
              <w:right w:val="nil"/>
            </w:tcBorders>
            <w:shd w:val="clear" w:color="auto" w:fill="auto"/>
            <w:noWrap/>
            <w:vAlign w:val="center"/>
            <w:hideMark/>
          </w:tcPr>
          <w:p w14:paraId="2FBD05C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4D4704" w:rsidRPr="00FF6562" w14:paraId="619472AD" w14:textId="77777777" w:rsidTr="004D4704">
        <w:trPr>
          <w:trHeight w:val="108"/>
        </w:trPr>
        <w:tc>
          <w:tcPr>
            <w:tcW w:w="0" w:type="auto"/>
            <w:tcBorders>
              <w:top w:val="nil"/>
              <w:left w:val="nil"/>
              <w:bottom w:val="nil"/>
              <w:right w:val="nil"/>
            </w:tcBorders>
            <w:shd w:val="clear" w:color="auto" w:fill="auto"/>
            <w:noWrap/>
            <w:vAlign w:val="center"/>
            <w:hideMark/>
          </w:tcPr>
          <w:p w14:paraId="0EB09B81"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12</m:t>
                    </m:r>
                  </m:sub>
                </m:sSub>
              </m:oMath>
            </m:oMathPara>
          </w:p>
        </w:tc>
        <w:tc>
          <w:tcPr>
            <w:tcW w:w="710" w:type="dxa"/>
            <w:tcBorders>
              <w:top w:val="nil"/>
              <w:left w:val="nil"/>
              <w:bottom w:val="nil"/>
              <w:right w:val="nil"/>
            </w:tcBorders>
            <w:shd w:val="clear" w:color="auto" w:fill="auto"/>
            <w:noWrap/>
            <w:vAlign w:val="center"/>
            <w:hideMark/>
          </w:tcPr>
          <w:p w14:paraId="284A6EC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6.556</w:t>
            </w:r>
          </w:p>
        </w:tc>
        <w:tc>
          <w:tcPr>
            <w:tcW w:w="0" w:type="auto"/>
            <w:tcBorders>
              <w:top w:val="nil"/>
              <w:left w:val="nil"/>
              <w:bottom w:val="nil"/>
              <w:right w:val="nil"/>
            </w:tcBorders>
            <w:shd w:val="clear" w:color="auto" w:fill="auto"/>
            <w:noWrap/>
            <w:vAlign w:val="center"/>
            <w:hideMark/>
          </w:tcPr>
          <w:p w14:paraId="4A89394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0.038</w:t>
            </w:r>
          </w:p>
        </w:tc>
        <w:tc>
          <w:tcPr>
            <w:tcW w:w="0" w:type="auto"/>
            <w:tcBorders>
              <w:top w:val="nil"/>
              <w:left w:val="nil"/>
              <w:bottom w:val="nil"/>
              <w:right w:val="nil"/>
            </w:tcBorders>
            <w:shd w:val="clear" w:color="auto" w:fill="auto"/>
            <w:noWrap/>
            <w:vAlign w:val="center"/>
            <w:hideMark/>
          </w:tcPr>
          <w:p w14:paraId="0D680F1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0.406</w:t>
            </w:r>
          </w:p>
        </w:tc>
        <w:tc>
          <w:tcPr>
            <w:tcW w:w="0" w:type="auto"/>
            <w:tcBorders>
              <w:top w:val="nil"/>
              <w:left w:val="nil"/>
              <w:bottom w:val="nil"/>
              <w:right w:val="nil"/>
            </w:tcBorders>
            <w:shd w:val="clear" w:color="auto" w:fill="auto"/>
            <w:noWrap/>
            <w:vAlign w:val="center"/>
            <w:hideMark/>
          </w:tcPr>
          <w:p w14:paraId="6C1875F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0.830</w:t>
            </w:r>
          </w:p>
        </w:tc>
        <w:tc>
          <w:tcPr>
            <w:tcW w:w="0" w:type="auto"/>
            <w:tcBorders>
              <w:top w:val="nil"/>
              <w:left w:val="nil"/>
              <w:bottom w:val="nil"/>
              <w:right w:val="nil"/>
            </w:tcBorders>
            <w:shd w:val="clear" w:color="auto" w:fill="auto"/>
            <w:noWrap/>
            <w:vAlign w:val="center"/>
            <w:hideMark/>
          </w:tcPr>
          <w:p w14:paraId="0171976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1.201</w:t>
            </w:r>
          </w:p>
        </w:tc>
        <w:tc>
          <w:tcPr>
            <w:tcW w:w="0" w:type="auto"/>
            <w:tcBorders>
              <w:top w:val="nil"/>
              <w:left w:val="nil"/>
              <w:bottom w:val="nil"/>
              <w:right w:val="nil"/>
            </w:tcBorders>
            <w:shd w:val="clear" w:color="auto" w:fill="auto"/>
            <w:noWrap/>
            <w:vAlign w:val="center"/>
            <w:hideMark/>
          </w:tcPr>
          <w:p w14:paraId="7DCA708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0.758</w:t>
            </w:r>
          </w:p>
        </w:tc>
        <w:tc>
          <w:tcPr>
            <w:tcW w:w="0" w:type="auto"/>
            <w:tcBorders>
              <w:top w:val="nil"/>
              <w:left w:val="nil"/>
              <w:bottom w:val="nil"/>
              <w:right w:val="nil"/>
            </w:tcBorders>
            <w:shd w:val="clear" w:color="auto" w:fill="auto"/>
            <w:noWrap/>
            <w:vAlign w:val="center"/>
            <w:hideMark/>
          </w:tcPr>
          <w:p w14:paraId="5A4C05F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2.834</w:t>
            </w:r>
          </w:p>
        </w:tc>
        <w:tc>
          <w:tcPr>
            <w:tcW w:w="0" w:type="auto"/>
            <w:tcBorders>
              <w:top w:val="nil"/>
              <w:left w:val="nil"/>
              <w:bottom w:val="nil"/>
              <w:right w:val="nil"/>
            </w:tcBorders>
            <w:shd w:val="clear" w:color="auto" w:fill="auto"/>
            <w:noWrap/>
            <w:vAlign w:val="center"/>
            <w:hideMark/>
          </w:tcPr>
          <w:p w14:paraId="318EDEE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0.027</w:t>
            </w:r>
          </w:p>
        </w:tc>
        <w:tc>
          <w:tcPr>
            <w:tcW w:w="0" w:type="auto"/>
            <w:tcBorders>
              <w:top w:val="nil"/>
              <w:left w:val="nil"/>
              <w:bottom w:val="nil"/>
              <w:right w:val="nil"/>
            </w:tcBorders>
            <w:shd w:val="clear" w:color="auto" w:fill="auto"/>
            <w:noWrap/>
            <w:vAlign w:val="center"/>
            <w:hideMark/>
          </w:tcPr>
          <w:p w14:paraId="510B1B6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4.421</w:t>
            </w:r>
          </w:p>
        </w:tc>
        <w:tc>
          <w:tcPr>
            <w:tcW w:w="0" w:type="auto"/>
            <w:tcBorders>
              <w:top w:val="nil"/>
              <w:left w:val="nil"/>
              <w:bottom w:val="nil"/>
              <w:right w:val="nil"/>
            </w:tcBorders>
            <w:shd w:val="clear" w:color="auto" w:fill="auto"/>
            <w:noWrap/>
            <w:vAlign w:val="center"/>
            <w:hideMark/>
          </w:tcPr>
          <w:p w14:paraId="3226976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0.077</w:t>
            </w:r>
          </w:p>
        </w:tc>
        <w:tc>
          <w:tcPr>
            <w:tcW w:w="0" w:type="auto"/>
            <w:tcBorders>
              <w:top w:val="nil"/>
              <w:left w:val="nil"/>
              <w:bottom w:val="nil"/>
              <w:right w:val="nil"/>
            </w:tcBorders>
            <w:shd w:val="clear" w:color="auto" w:fill="auto"/>
            <w:noWrap/>
            <w:vAlign w:val="center"/>
            <w:hideMark/>
          </w:tcPr>
          <w:p w14:paraId="0D8A4C1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0.972</w:t>
            </w:r>
          </w:p>
        </w:tc>
        <w:tc>
          <w:tcPr>
            <w:tcW w:w="0" w:type="auto"/>
            <w:tcBorders>
              <w:top w:val="nil"/>
              <w:left w:val="nil"/>
              <w:bottom w:val="nil"/>
              <w:right w:val="nil"/>
            </w:tcBorders>
            <w:shd w:val="clear" w:color="auto" w:fill="auto"/>
            <w:noWrap/>
            <w:vAlign w:val="center"/>
            <w:hideMark/>
          </w:tcPr>
          <w:p w14:paraId="0D95DEC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0.568</w:t>
            </w:r>
          </w:p>
        </w:tc>
        <w:tc>
          <w:tcPr>
            <w:tcW w:w="0" w:type="auto"/>
            <w:tcBorders>
              <w:top w:val="nil"/>
              <w:left w:val="nil"/>
              <w:bottom w:val="nil"/>
              <w:right w:val="nil"/>
            </w:tcBorders>
            <w:shd w:val="clear" w:color="auto" w:fill="auto"/>
            <w:noWrap/>
            <w:vAlign w:val="center"/>
            <w:hideMark/>
          </w:tcPr>
          <w:p w14:paraId="498F682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2.622</w:t>
            </w:r>
          </w:p>
        </w:tc>
        <w:tc>
          <w:tcPr>
            <w:tcW w:w="0" w:type="auto"/>
            <w:tcBorders>
              <w:top w:val="nil"/>
              <w:left w:val="nil"/>
              <w:bottom w:val="nil"/>
              <w:right w:val="nil"/>
            </w:tcBorders>
            <w:shd w:val="clear" w:color="auto" w:fill="auto"/>
            <w:noWrap/>
            <w:vAlign w:val="center"/>
            <w:hideMark/>
          </w:tcPr>
          <w:p w14:paraId="1D9AA7E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0.790</w:t>
            </w:r>
          </w:p>
        </w:tc>
        <w:tc>
          <w:tcPr>
            <w:tcW w:w="0" w:type="auto"/>
            <w:tcBorders>
              <w:top w:val="nil"/>
              <w:left w:val="nil"/>
              <w:bottom w:val="nil"/>
              <w:right w:val="nil"/>
            </w:tcBorders>
            <w:shd w:val="clear" w:color="auto" w:fill="auto"/>
            <w:noWrap/>
            <w:vAlign w:val="center"/>
            <w:hideMark/>
          </w:tcPr>
          <w:p w14:paraId="51285B0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-4.378</w:t>
            </w:r>
          </w:p>
        </w:tc>
        <w:tc>
          <w:tcPr>
            <w:tcW w:w="0" w:type="auto"/>
            <w:tcBorders>
              <w:top w:val="nil"/>
              <w:left w:val="nil"/>
              <w:bottom w:val="nil"/>
              <w:right w:val="nil"/>
            </w:tcBorders>
            <w:shd w:val="clear" w:color="auto" w:fill="auto"/>
            <w:noWrap/>
            <w:vAlign w:val="center"/>
            <w:hideMark/>
          </w:tcPr>
          <w:p w14:paraId="1438FD0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0.016</w:t>
            </w:r>
          </w:p>
        </w:tc>
        <w:tc>
          <w:tcPr>
            <w:tcW w:w="0" w:type="auto"/>
            <w:tcBorders>
              <w:top w:val="nil"/>
              <w:left w:val="nil"/>
              <w:bottom w:val="nil"/>
              <w:right w:val="nil"/>
            </w:tcBorders>
            <w:shd w:val="clear" w:color="auto" w:fill="auto"/>
            <w:noWrap/>
            <w:vAlign w:val="center"/>
            <w:hideMark/>
          </w:tcPr>
          <w:p w14:paraId="694FB51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2.048</w:t>
            </w:r>
          </w:p>
        </w:tc>
        <w:tc>
          <w:tcPr>
            <w:tcW w:w="0" w:type="auto"/>
            <w:tcBorders>
              <w:top w:val="nil"/>
              <w:left w:val="nil"/>
              <w:bottom w:val="nil"/>
              <w:right w:val="nil"/>
            </w:tcBorders>
            <w:shd w:val="clear" w:color="auto" w:fill="auto"/>
            <w:noWrap/>
            <w:vAlign w:val="center"/>
            <w:hideMark/>
          </w:tcPr>
          <w:p w14:paraId="31E2C1A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0.438</w:t>
            </w:r>
          </w:p>
        </w:tc>
        <w:tc>
          <w:tcPr>
            <w:tcW w:w="0" w:type="auto"/>
            <w:tcBorders>
              <w:top w:val="nil"/>
              <w:left w:val="nil"/>
              <w:bottom w:val="nil"/>
              <w:right w:val="nil"/>
            </w:tcBorders>
            <w:shd w:val="clear" w:color="auto" w:fill="auto"/>
            <w:noWrap/>
            <w:vAlign w:val="center"/>
            <w:hideMark/>
          </w:tcPr>
          <w:p w14:paraId="632C8B3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1.061</w:t>
            </w:r>
          </w:p>
        </w:tc>
        <w:tc>
          <w:tcPr>
            <w:tcW w:w="0" w:type="auto"/>
            <w:tcBorders>
              <w:top w:val="nil"/>
              <w:left w:val="nil"/>
              <w:bottom w:val="nil"/>
              <w:right w:val="nil"/>
            </w:tcBorders>
            <w:shd w:val="clear" w:color="auto" w:fill="auto"/>
            <w:noWrap/>
            <w:vAlign w:val="center"/>
            <w:hideMark/>
          </w:tcPr>
          <w:p w14:paraId="3EE4E15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0.514</w:t>
            </w:r>
          </w:p>
        </w:tc>
        <w:tc>
          <w:tcPr>
            <w:tcW w:w="0" w:type="auto"/>
            <w:tcBorders>
              <w:top w:val="nil"/>
              <w:left w:val="nil"/>
              <w:bottom w:val="nil"/>
              <w:right w:val="nil"/>
            </w:tcBorders>
            <w:shd w:val="clear" w:color="auto" w:fill="auto"/>
            <w:noWrap/>
            <w:vAlign w:val="center"/>
            <w:hideMark/>
          </w:tcPr>
          <w:p w14:paraId="6DA5C13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6.467</w:t>
            </w:r>
          </w:p>
        </w:tc>
        <w:tc>
          <w:tcPr>
            <w:tcW w:w="0" w:type="auto"/>
            <w:tcBorders>
              <w:top w:val="nil"/>
              <w:left w:val="nil"/>
              <w:bottom w:val="nil"/>
              <w:right w:val="nil"/>
            </w:tcBorders>
            <w:shd w:val="clear" w:color="auto" w:fill="auto"/>
            <w:noWrap/>
            <w:vAlign w:val="center"/>
            <w:hideMark/>
          </w:tcPr>
          <w:p w14:paraId="0AF12E9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0.177</w:t>
            </w:r>
          </w:p>
        </w:tc>
      </w:tr>
      <w:tr w:rsidR="004D4704" w:rsidRPr="00FF6562" w14:paraId="0F50D50A" w14:textId="77777777" w:rsidTr="004D4704">
        <w:trPr>
          <w:trHeight w:val="69"/>
        </w:trPr>
        <w:tc>
          <w:tcPr>
            <w:tcW w:w="0" w:type="auto"/>
            <w:tcBorders>
              <w:top w:val="nil"/>
              <w:left w:val="nil"/>
              <w:bottom w:val="nil"/>
              <w:right w:val="nil"/>
            </w:tcBorders>
            <w:shd w:val="clear" w:color="auto" w:fill="auto"/>
            <w:noWrap/>
            <w:vAlign w:val="center"/>
            <w:hideMark/>
          </w:tcPr>
          <w:p w14:paraId="1700364F"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21</m:t>
                    </m:r>
                  </m:sub>
                </m:sSub>
              </m:oMath>
            </m:oMathPara>
          </w:p>
        </w:tc>
        <w:tc>
          <w:tcPr>
            <w:tcW w:w="710" w:type="dxa"/>
            <w:tcBorders>
              <w:top w:val="nil"/>
              <w:left w:val="nil"/>
              <w:bottom w:val="nil"/>
              <w:right w:val="nil"/>
            </w:tcBorders>
            <w:shd w:val="clear" w:color="auto" w:fill="auto"/>
            <w:noWrap/>
            <w:vAlign w:val="center"/>
            <w:hideMark/>
          </w:tcPr>
          <w:p w14:paraId="7E3037E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0" w:type="auto"/>
            <w:tcBorders>
              <w:top w:val="nil"/>
              <w:left w:val="nil"/>
              <w:bottom w:val="nil"/>
              <w:right w:val="nil"/>
            </w:tcBorders>
            <w:shd w:val="clear" w:color="auto" w:fill="auto"/>
            <w:noWrap/>
            <w:vAlign w:val="center"/>
            <w:hideMark/>
          </w:tcPr>
          <w:p w14:paraId="1ADDBCD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0.065</w:t>
            </w:r>
          </w:p>
        </w:tc>
        <w:tc>
          <w:tcPr>
            <w:tcW w:w="0" w:type="auto"/>
            <w:tcBorders>
              <w:top w:val="nil"/>
              <w:left w:val="nil"/>
              <w:bottom w:val="nil"/>
              <w:right w:val="nil"/>
            </w:tcBorders>
            <w:shd w:val="clear" w:color="auto" w:fill="auto"/>
            <w:noWrap/>
            <w:vAlign w:val="center"/>
            <w:hideMark/>
          </w:tcPr>
          <w:p w14:paraId="47A32E3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0" w:type="auto"/>
            <w:tcBorders>
              <w:top w:val="nil"/>
              <w:left w:val="nil"/>
              <w:bottom w:val="nil"/>
              <w:right w:val="nil"/>
            </w:tcBorders>
            <w:shd w:val="clear" w:color="auto" w:fill="auto"/>
            <w:noWrap/>
            <w:vAlign w:val="center"/>
            <w:hideMark/>
          </w:tcPr>
          <w:p w14:paraId="5A31F70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0.566</w:t>
            </w:r>
          </w:p>
        </w:tc>
        <w:tc>
          <w:tcPr>
            <w:tcW w:w="0" w:type="auto"/>
            <w:tcBorders>
              <w:top w:val="nil"/>
              <w:left w:val="nil"/>
              <w:bottom w:val="nil"/>
              <w:right w:val="nil"/>
            </w:tcBorders>
            <w:shd w:val="clear" w:color="auto" w:fill="auto"/>
            <w:noWrap/>
            <w:vAlign w:val="center"/>
            <w:hideMark/>
          </w:tcPr>
          <w:p w14:paraId="49DFE1E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center"/>
            <w:hideMark/>
          </w:tcPr>
          <w:p w14:paraId="2CEB150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0.411</w:t>
            </w:r>
          </w:p>
        </w:tc>
        <w:tc>
          <w:tcPr>
            <w:tcW w:w="0" w:type="auto"/>
            <w:tcBorders>
              <w:top w:val="nil"/>
              <w:left w:val="nil"/>
              <w:bottom w:val="nil"/>
              <w:right w:val="nil"/>
            </w:tcBorders>
            <w:shd w:val="clear" w:color="auto" w:fill="auto"/>
            <w:noWrap/>
            <w:vAlign w:val="center"/>
            <w:hideMark/>
          </w:tcPr>
          <w:p w14:paraId="5192251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6EA535F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0.800</w:t>
            </w:r>
          </w:p>
        </w:tc>
        <w:tc>
          <w:tcPr>
            <w:tcW w:w="0" w:type="auto"/>
            <w:tcBorders>
              <w:top w:val="nil"/>
              <w:left w:val="nil"/>
              <w:bottom w:val="nil"/>
              <w:right w:val="nil"/>
            </w:tcBorders>
            <w:shd w:val="clear" w:color="auto" w:fill="auto"/>
            <w:noWrap/>
            <w:vAlign w:val="center"/>
            <w:hideMark/>
          </w:tcPr>
          <w:p w14:paraId="5313824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0" w:type="auto"/>
            <w:tcBorders>
              <w:top w:val="nil"/>
              <w:left w:val="nil"/>
              <w:bottom w:val="nil"/>
              <w:right w:val="nil"/>
            </w:tcBorders>
            <w:shd w:val="clear" w:color="auto" w:fill="auto"/>
            <w:noWrap/>
            <w:vAlign w:val="center"/>
            <w:hideMark/>
          </w:tcPr>
          <w:p w14:paraId="2E79669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0.530</w:t>
            </w:r>
          </w:p>
        </w:tc>
        <w:tc>
          <w:tcPr>
            <w:tcW w:w="0" w:type="auto"/>
            <w:tcBorders>
              <w:top w:val="nil"/>
              <w:left w:val="nil"/>
              <w:bottom w:val="nil"/>
              <w:right w:val="nil"/>
            </w:tcBorders>
            <w:shd w:val="clear" w:color="auto" w:fill="auto"/>
            <w:noWrap/>
            <w:vAlign w:val="center"/>
            <w:hideMark/>
          </w:tcPr>
          <w:p w14:paraId="02605F7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0" w:type="auto"/>
            <w:tcBorders>
              <w:top w:val="nil"/>
              <w:left w:val="nil"/>
              <w:bottom w:val="nil"/>
              <w:right w:val="nil"/>
            </w:tcBorders>
            <w:shd w:val="clear" w:color="auto" w:fill="auto"/>
            <w:noWrap/>
            <w:vAlign w:val="center"/>
            <w:hideMark/>
          </w:tcPr>
          <w:p w14:paraId="463AC75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0.550</w:t>
            </w:r>
          </w:p>
        </w:tc>
        <w:tc>
          <w:tcPr>
            <w:tcW w:w="0" w:type="auto"/>
            <w:tcBorders>
              <w:top w:val="nil"/>
              <w:left w:val="nil"/>
              <w:bottom w:val="nil"/>
              <w:right w:val="nil"/>
            </w:tcBorders>
            <w:shd w:val="clear" w:color="auto" w:fill="auto"/>
            <w:noWrap/>
            <w:vAlign w:val="center"/>
            <w:hideMark/>
          </w:tcPr>
          <w:p w14:paraId="57FF665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0" w:type="auto"/>
            <w:tcBorders>
              <w:top w:val="nil"/>
              <w:left w:val="nil"/>
              <w:bottom w:val="nil"/>
              <w:right w:val="nil"/>
            </w:tcBorders>
            <w:shd w:val="clear" w:color="auto" w:fill="auto"/>
            <w:noWrap/>
            <w:vAlign w:val="center"/>
            <w:hideMark/>
          </w:tcPr>
          <w:p w14:paraId="7C0739B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0.615</w:t>
            </w:r>
          </w:p>
        </w:tc>
        <w:tc>
          <w:tcPr>
            <w:tcW w:w="0" w:type="auto"/>
            <w:tcBorders>
              <w:top w:val="nil"/>
              <w:left w:val="nil"/>
              <w:bottom w:val="nil"/>
              <w:right w:val="nil"/>
            </w:tcBorders>
            <w:shd w:val="clear" w:color="auto" w:fill="auto"/>
            <w:noWrap/>
            <w:vAlign w:val="center"/>
            <w:hideMark/>
          </w:tcPr>
          <w:p w14:paraId="3C3D9D8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0" w:type="auto"/>
            <w:tcBorders>
              <w:top w:val="nil"/>
              <w:left w:val="nil"/>
              <w:bottom w:val="nil"/>
              <w:right w:val="nil"/>
            </w:tcBorders>
            <w:shd w:val="clear" w:color="auto" w:fill="auto"/>
            <w:noWrap/>
            <w:vAlign w:val="center"/>
            <w:hideMark/>
          </w:tcPr>
          <w:p w14:paraId="22D06C7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0.098</w:t>
            </w:r>
          </w:p>
        </w:tc>
        <w:tc>
          <w:tcPr>
            <w:tcW w:w="0" w:type="auto"/>
            <w:tcBorders>
              <w:top w:val="nil"/>
              <w:left w:val="nil"/>
              <w:bottom w:val="nil"/>
              <w:right w:val="nil"/>
            </w:tcBorders>
            <w:shd w:val="clear" w:color="auto" w:fill="auto"/>
            <w:noWrap/>
            <w:vAlign w:val="center"/>
            <w:hideMark/>
          </w:tcPr>
          <w:p w14:paraId="30DD6B0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0" w:type="auto"/>
            <w:tcBorders>
              <w:top w:val="nil"/>
              <w:left w:val="nil"/>
              <w:bottom w:val="nil"/>
              <w:right w:val="nil"/>
            </w:tcBorders>
            <w:shd w:val="clear" w:color="auto" w:fill="auto"/>
            <w:noWrap/>
            <w:vAlign w:val="center"/>
            <w:hideMark/>
          </w:tcPr>
          <w:p w14:paraId="395F603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0.099</w:t>
            </w:r>
          </w:p>
        </w:tc>
        <w:tc>
          <w:tcPr>
            <w:tcW w:w="0" w:type="auto"/>
            <w:tcBorders>
              <w:top w:val="nil"/>
              <w:left w:val="nil"/>
              <w:bottom w:val="nil"/>
              <w:right w:val="nil"/>
            </w:tcBorders>
            <w:shd w:val="clear" w:color="auto" w:fill="auto"/>
            <w:noWrap/>
            <w:vAlign w:val="center"/>
            <w:hideMark/>
          </w:tcPr>
          <w:p w14:paraId="1AFB80D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0" w:type="auto"/>
            <w:tcBorders>
              <w:top w:val="nil"/>
              <w:left w:val="nil"/>
              <w:bottom w:val="nil"/>
              <w:right w:val="nil"/>
            </w:tcBorders>
            <w:shd w:val="clear" w:color="auto" w:fill="auto"/>
            <w:noWrap/>
            <w:vAlign w:val="center"/>
            <w:hideMark/>
          </w:tcPr>
          <w:p w14:paraId="3D8B786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0.123</w:t>
            </w:r>
          </w:p>
        </w:tc>
        <w:tc>
          <w:tcPr>
            <w:tcW w:w="0" w:type="auto"/>
            <w:tcBorders>
              <w:top w:val="nil"/>
              <w:left w:val="nil"/>
              <w:bottom w:val="nil"/>
              <w:right w:val="nil"/>
            </w:tcBorders>
            <w:shd w:val="clear" w:color="auto" w:fill="auto"/>
            <w:noWrap/>
            <w:vAlign w:val="center"/>
            <w:hideMark/>
          </w:tcPr>
          <w:p w14:paraId="2A97B4C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18FF259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0.405</w:t>
            </w:r>
          </w:p>
        </w:tc>
      </w:tr>
      <w:tr w:rsidR="004D4704" w:rsidRPr="00FF6562" w14:paraId="2B1E3231" w14:textId="77777777" w:rsidTr="004D4704">
        <w:trPr>
          <w:trHeight w:val="143"/>
        </w:trPr>
        <w:tc>
          <w:tcPr>
            <w:tcW w:w="0" w:type="auto"/>
            <w:tcBorders>
              <w:top w:val="nil"/>
              <w:left w:val="nil"/>
              <w:bottom w:val="nil"/>
              <w:right w:val="nil"/>
            </w:tcBorders>
            <w:shd w:val="clear" w:color="auto" w:fill="auto"/>
            <w:noWrap/>
            <w:vAlign w:val="center"/>
            <w:hideMark/>
          </w:tcPr>
          <w:p w14:paraId="2B099E4D"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22</m:t>
                    </m:r>
                  </m:sub>
                </m:sSub>
              </m:oMath>
            </m:oMathPara>
          </w:p>
        </w:tc>
        <w:tc>
          <w:tcPr>
            <w:tcW w:w="710" w:type="dxa"/>
            <w:tcBorders>
              <w:top w:val="nil"/>
              <w:left w:val="nil"/>
              <w:bottom w:val="nil"/>
              <w:right w:val="nil"/>
            </w:tcBorders>
            <w:shd w:val="clear" w:color="auto" w:fill="auto"/>
            <w:noWrap/>
            <w:vAlign w:val="center"/>
            <w:hideMark/>
          </w:tcPr>
          <w:p w14:paraId="2B0AB64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0.546</w:t>
            </w:r>
          </w:p>
        </w:tc>
        <w:tc>
          <w:tcPr>
            <w:tcW w:w="0" w:type="auto"/>
            <w:tcBorders>
              <w:top w:val="nil"/>
              <w:left w:val="nil"/>
              <w:bottom w:val="nil"/>
              <w:right w:val="nil"/>
            </w:tcBorders>
            <w:shd w:val="clear" w:color="auto" w:fill="auto"/>
            <w:noWrap/>
            <w:vAlign w:val="center"/>
            <w:hideMark/>
          </w:tcPr>
          <w:p w14:paraId="54FEC3F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center"/>
            <w:hideMark/>
          </w:tcPr>
          <w:p w14:paraId="4CB19BB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0.571</w:t>
            </w:r>
          </w:p>
        </w:tc>
        <w:tc>
          <w:tcPr>
            <w:tcW w:w="0" w:type="auto"/>
            <w:tcBorders>
              <w:top w:val="nil"/>
              <w:left w:val="nil"/>
              <w:bottom w:val="nil"/>
              <w:right w:val="nil"/>
            </w:tcBorders>
            <w:shd w:val="clear" w:color="auto" w:fill="auto"/>
            <w:noWrap/>
            <w:vAlign w:val="center"/>
            <w:hideMark/>
          </w:tcPr>
          <w:p w14:paraId="54AFE7B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0.043</w:t>
            </w:r>
          </w:p>
        </w:tc>
        <w:tc>
          <w:tcPr>
            <w:tcW w:w="0" w:type="auto"/>
            <w:tcBorders>
              <w:top w:val="nil"/>
              <w:left w:val="nil"/>
              <w:bottom w:val="nil"/>
              <w:right w:val="nil"/>
            </w:tcBorders>
            <w:shd w:val="clear" w:color="auto" w:fill="auto"/>
            <w:noWrap/>
            <w:vAlign w:val="center"/>
            <w:hideMark/>
          </w:tcPr>
          <w:p w14:paraId="7B5A2E3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0.531</w:t>
            </w:r>
          </w:p>
        </w:tc>
        <w:tc>
          <w:tcPr>
            <w:tcW w:w="0" w:type="auto"/>
            <w:tcBorders>
              <w:top w:val="nil"/>
              <w:left w:val="nil"/>
              <w:bottom w:val="nil"/>
              <w:right w:val="nil"/>
            </w:tcBorders>
            <w:shd w:val="clear" w:color="auto" w:fill="auto"/>
            <w:noWrap/>
            <w:vAlign w:val="center"/>
            <w:hideMark/>
          </w:tcPr>
          <w:p w14:paraId="4DAB53F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0</w:t>
            </w:r>
            <w:r w:rsidRPr="00FF6562">
              <w:rPr>
                <w:rFonts w:ascii="Times New Roman" w:eastAsia="Times New Roman" w:hAnsi="Times New Roman" w:cs="Times New Roman"/>
                <w:sz w:val="16"/>
                <w:szCs w:val="16"/>
                <w:lang w:eastAsia="en-GB"/>
              </w:rPr>
              <w:t>98</w:t>
            </w:r>
          </w:p>
        </w:tc>
        <w:tc>
          <w:tcPr>
            <w:tcW w:w="0" w:type="auto"/>
            <w:tcBorders>
              <w:top w:val="nil"/>
              <w:left w:val="nil"/>
              <w:bottom w:val="nil"/>
              <w:right w:val="nil"/>
            </w:tcBorders>
            <w:shd w:val="clear" w:color="auto" w:fill="auto"/>
            <w:noWrap/>
            <w:vAlign w:val="center"/>
            <w:hideMark/>
          </w:tcPr>
          <w:p w14:paraId="40C1D55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0.612</w:t>
            </w:r>
          </w:p>
        </w:tc>
        <w:tc>
          <w:tcPr>
            <w:tcW w:w="0" w:type="auto"/>
            <w:tcBorders>
              <w:top w:val="nil"/>
              <w:left w:val="nil"/>
              <w:bottom w:val="nil"/>
              <w:right w:val="nil"/>
            </w:tcBorders>
            <w:shd w:val="clear" w:color="auto" w:fill="auto"/>
            <w:noWrap/>
            <w:vAlign w:val="center"/>
            <w:hideMark/>
          </w:tcPr>
          <w:p w14:paraId="67217E6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0AFB50E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0.645</w:t>
            </w:r>
          </w:p>
        </w:tc>
        <w:tc>
          <w:tcPr>
            <w:tcW w:w="0" w:type="auto"/>
            <w:tcBorders>
              <w:top w:val="nil"/>
              <w:left w:val="nil"/>
              <w:bottom w:val="nil"/>
              <w:right w:val="nil"/>
            </w:tcBorders>
            <w:shd w:val="clear" w:color="auto" w:fill="auto"/>
            <w:noWrap/>
            <w:vAlign w:val="center"/>
            <w:hideMark/>
          </w:tcPr>
          <w:p w14:paraId="665B375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0" w:type="auto"/>
            <w:tcBorders>
              <w:top w:val="nil"/>
              <w:left w:val="nil"/>
              <w:bottom w:val="nil"/>
              <w:right w:val="nil"/>
            </w:tcBorders>
            <w:shd w:val="clear" w:color="auto" w:fill="auto"/>
            <w:noWrap/>
            <w:vAlign w:val="center"/>
            <w:hideMark/>
          </w:tcPr>
          <w:p w14:paraId="546799E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0.728</w:t>
            </w:r>
          </w:p>
        </w:tc>
        <w:tc>
          <w:tcPr>
            <w:tcW w:w="0" w:type="auto"/>
            <w:tcBorders>
              <w:top w:val="nil"/>
              <w:left w:val="nil"/>
              <w:bottom w:val="nil"/>
              <w:right w:val="nil"/>
            </w:tcBorders>
            <w:shd w:val="clear" w:color="auto" w:fill="auto"/>
            <w:noWrap/>
            <w:vAlign w:val="center"/>
            <w:hideMark/>
          </w:tcPr>
          <w:p w14:paraId="2588898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0" w:type="auto"/>
            <w:tcBorders>
              <w:top w:val="nil"/>
              <w:left w:val="nil"/>
              <w:bottom w:val="nil"/>
              <w:right w:val="nil"/>
            </w:tcBorders>
            <w:shd w:val="clear" w:color="auto" w:fill="auto"/>
            <w:noWrap/>
            <w:vAlign w:val="center"/>
            <w:hideMark/>
          </w:tcPr>
          <w:p w14:paraId="021048D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0.522</w:t>
            </w:r>
          </w:p>
        </w:tc>
        <w:tc>
          <w:tcPr>
            <w:tcW w:w="0" w:type="auto"/>
            <w:tcBorders>
              <w:top w:val="nil"/>
              <w:left w:val="nil"/>
              <w:bottom w:val="nil"/>
              <w:right w:val="nil"/>
            </w:tcBorders>
            <w:shd w:val="clear" w:color="auto" w:fill="auto"/>
            <w:noWrap/>
            <w:vAlign w:val="center"/>
            <w:hideMark/>
          </w:tcPr>
          <w:p w14:paraId="45C67F2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0.081</w:t>
            </w:r>
          </w:p>
        </w:tc>
        <w:tc>
          <w:tcPr>
            <w:tcW w:w="0" w:type="auto"/>
            <w:tcBorders>
              <w:top w:val="nil"/>
              <w:left w:val="nil"/>
              <w:bottom w:val="nil"/>
              <w:right w:val="nil"/>
            </w:tcBorders>
            <w:shd w:val="clear" w:color="auto" w:fill="auto"/>
            <w:noWrap/>
            <w:vAlign w:val="center"/>
            <w:hideMark/>
          </w:tcPr>
          <w:p w14:paraId="6B08ACF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0.623</w:t>
            </w:r>
          </w:p>
        </w:tc>
        <w:tc>
          <w:tcPr>
            <w:tcW w:w="0" w:type="auto"/>
            <w:tcBorders>
              <w:top w:val="nil"/>
              <w:left w:val="nil"/>
              <w:bottom w:val="nil"/>
              <w:right w:val="nil"/>
            </w:tcBorders>
            <w:shd w:val="clear" w:color="auto" w:fill="auto"/>
            <w:noWrap/>
            <w:vAlign w:val="center"/>
            <w:hideMark/>
          </w:tcPr>
          <w:p w14:paraId="46E19B7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0" w:type="auto"/>
            <w:tcBorders>
              <w:top w:val="nil"/>
              <w:left w:val="nil"/>
              <w:bottom w:val="nil"/>
              <w:right w:val="nil"/>
            </w:tcBorders>
            <w:shd w:val="clear" w:color="auto" w:fill="auto"/>
            <w:noWrap/>
            <w:vAlign w:val="center"/>
            <w:hideMark/>
          </w:tcPr>
          <w:p w14:paraId="5815DC3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0.731</w:t>
            </w:r>
          </w:p>
        </w:tc>
        <w:tc>
          <w:tcPr>
            <w:tcW w:w="0" w:type="auto"/>
            <w:tcBorders>
              <w:top w:val="nil"/>
              <w:left w:val="nil"/>
              <w:bottom w:val="nil"/>
              <w:right w:val="nil"/>
            </w:tcBorders>
            <w:shd w:val="clear" w:color="auto" w:fill="auto"/>
            <w:noWrap/>
            <w:vAlign w:val="center"/>
            <w:hideMark/>
          </w:tcPr>
          <w:p w14:paraId="59AD84A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0.026</w:t>
            </w:r>
          </w:p>
        </w:tc>
        <w:tc>
          <w:tcPr>
            <w:tcW w:w="0" w:type="auto"/>
            <w:tcBorders>
              <w:top w:val="nil"/>
              <w:left w:val="nil"/>
              <w:bottom w:val="nil"/>
              <w:right w:val="nil"/>
            </w:tcBorders>
            <w:shd w:val="clear" w:color="auto" w:fill="auto"/>
            <w:noWrap/>
            <w:vAlign w:val="center"/>
            <w:hideMark/>
          </w:tcPr>
          <w:p w14:paraId="70C75C6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0.647</w:t>
            </w:r>
          </w:p>
        </w:tc>
        <w:tc>
          <w:tcPr>
            <w:tcW w:w="0" w:type="auto"/>
            <w:tcBorders>
              <w:top w:val="nil"/>
              <w:left w:val="nil"/>
              <w:bottom w:val="nil"/>
              <w:right w:val="nil"/>
            </w:tcBorders>
            <w:shd w:val="clear" w:color="auto" w:fill="auto"/>
            <w:noWrap/>
            <w:vAlign w:val="center"/>
            <w:hideMark/>
          </w:tcPr>
          <w:p w14:paraId="2B31A64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0" w:type="auto"/>
            <w:tcBorders>
              <w:top w:val="nil"/>
              <w:left w:val="nil"/>
              <w:bottom w:val="nil"/>
              <w:right w:val="nil"/>
            </w:tcBorders>
            <w:shd w:val="clear" w:color="auto" w:fill="auto"/>
            <w:noWrap/>
            <w:vAlign w:val="center"/>
            <w:hideMark/>
          </w:tcPr>
          <w:p w14:paraId="2AC5B69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0.450</w:t>
            </w:r>
          </w:p>
        </w:tc>
        <w:tc>
          <w:tcPr>
            <w:tcW w:w="0" w:type="auto"/>
            <w:tcBorders>
              <w:top w:val="nil"/>
              <w:left w:val="nil"/>
              <w:bottom w:val="nil"/>
              <w:right w:val="nil"/>
            </w:tcBorders>
            <w:shd w:val="clear" w:color="auto" w:fill="auto"/>
            <w:noWrap/>
            <w:vAlign w:val="center"/>
            <w:hideMark/>
          </w:tcPr>
          <w:p w14:paraId="7DFB41F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0.017</w:t>
            </w:r>
          </w:p>
        </w:tc>
      </w:tr>
      <w:tr w:rsidR="00F92754" w:rsidRPr="00FF6562" w14:paraId="607DE0FF" w14:textId="77777777" w:rsidTr="004D4704">
        <w:trPr>
          <w:trHeight w:val="200"/>
        </w:trPr>
        <w:tc>
          <w:tcPr>
            <w:tcW w:w="14217" w:type="dxa"/>
            <w:gridSpan w:val="23"/>
            <w:tcBorders>
              <w:top w:val="nil"/>
              <w:left w:val="nil"/>
              <w:bottom w:val="nil"/>
              <w:right w:val="nil"/>
            </w:tcBorders>
            <w:shd w:val="clear" w:color="auto" w:fill="auto"/>
            <w:noWrap/>
            <w:vAlign w:val="center"/>
            <w:hideMark/>
          </w:tcPr>
          <w:p w14:paraId="407841B7" w14:textId="3C895E07" w:rsidR="00F92754" w:rsidRPr="00A56C42" w:rsidRDefault="00F92754" w:rsidP="00875EB5">
            <w:pPr>
              <w:spacing w:after="0" w:line="240" w:lineRule="auto"/>
              <w:rPr>
                <w:rFonts w:ascii="Times New Roman" w:eastAsia="Times New Roman" w:hAnsi="Times New Roman" w:cs="Times New Roman"/>
                <w:b/>
                <w:bCs/>
                <w:sz w:val="20"/>
                <w:szCs w:val="20"/>
                <w:u w:val="single"/>
                <w:lang w:eastAsia="en-GB"/>
              </w:rPr>
            </w:pPr>
            <w:r w:rsidRPr="00A56C42">
              <w:rPr>
                <w:rFonts w:ascii="Times New Roman" w:eastAsia="Times New Roman" w:hAnsi="Times New Roman" w:cs="Times New Roman"/>
                <w:b/>
                <w:bCs/>
                <w:sz w:val="20"/>
                <w:szCs w:val="20"/>
                <w:u w:val="single"/>
                <w:lang w:eastAsia="en-GB"/>
              </w:rPr>
              <w:t xml:space="preserve">Panel </w:t>
            </w:r>
            <w:r w:rsidR="00A56C42">
              <w:rPr>
                <w:rFonts w:ascii="Times New Roman" w:eastAsia="Times New Roman" w:hAnsi="Times New Roman" w:cs="Times New Roman"/>
                <w:b/>
                <w:bCs/>
                <w:sz w:val="20"/>
                <w:szCs w:val="20"/>
                <w:u w:val="single"/>
                <w:lang w:eastAsia="en-GB"/>
              </w:rPr>
              <w:t>C</w:t>
            </w:r>
            <w:r w:rsidRPr="00A56C42">
              <w:rPr>
                <w:rFonts w:ascii="Times New Roman" w:eastAsia="Times New Roman" w:hAnsi="Times New Roman" w:cs="Times New Roman"/>
                <w:b/>
                <w:bCs/>
                <w:sz w:val="20"/>
                <w:szCs w:val="20"/>
                <w:u w:val="single"/>
                <w:lang w:eastAsia="en-GB"/>
              </w:rPr>
              <w:t>: Diagnostic Tests</w:t>
            </w:r>
          </w:p>
        </w:tc>
      </w:tr>
      <w:tr w:rsidR="004D4704" w:rsidRPr="00FF6562" w14:paraId="069E9D4F" w14:textId="77777777" w:rsidTr="004D4704">
        <w:trPr>
          <w:trHeight w:val="105"/>
        </w:trPr>
        <w:tc>
          <w:tcPr>
            <w:tcW w:w="0" w:type="auto"/>
            <w:tcBorders>
              <w:top w:val="nil"/>
              <w:left w:val="nil"/>
              <w:bottom w:val="nil"/>
              <w:right w:val="nil"/>
            </w:tcBorders>
            <w:shd w:val="clear" w:color="auto" w:fill="auto"/>
            <w:noWrap/>
            <w:vAlign w:val="center"/>
          </w:tcPr>
          <w:p w14:paraId="195BB1CA" w14:textId="4A19D965"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roofErr w:type="spellStart"/>
            <w:r w:rsidRPr="00FF2B07">
              <w:rPr>
                <w:rFonts w:ascii="Times New Roman" w:eastAsia="Times New Roman" w:hAnsi="Times New Roman" w:cs="Times New Roman"/>
                <w:color w:val="0070C0"/>
                <w:sz w:val="16"/>
                <w:szCs w:val="16"/>
                <w:lang w:eastAsia="en-GB"/>
              </w:rPr>
              <w:t>LogL</w:t>
            </w:r>
            <w:proofErr w:type="spellEnd"/>
          </w:p>
        </w:tc>
        <w:tc>
          <w:tcPr>
            <w:tcW w:w="710" w:type="dxa"/>
            <w:tcBorders>
              <w:top w:val="nil"/>
              <w:left w:val="nil"/>
              <w:bottom w:val="nil"/>
              <w:right w:val="nil"/>
            </w:tcBorders>
            <w:shd w:val="clear" w:color="auto" w:fill="auto"/>
            <w:noWrap/>
            <w:vAlign w:val="center"/>
          </w:tcPr>
          <w:p w14:paraId="6DC05FC8" w14:textId="4177468D"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-1,244</w:t>
            </w:r>
          </w:p>
        </w:tc>
        <w:tc>
          <w:tcPr>
            <w:tcW w:w="0" w:type="auto"/>
            <w:tcBorders>
              <w:top w:val="nil"/>
              <w:left w:val="nil"/>
              <w:bottom w:val="nil"/>
              <w:right w:val="nil"/>
            </w:tcBorders>
            <w:shd w:val="clear" w:color="auto" w:fill="auto"/>
            <w:noWrap/>
            <w:vAlign w:val="center"/>
          </w:tcPr>
          <w:p w14:paraId="08276DDA"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6BADF0C6" w14:textId="1AA15ED6"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-1,146</w:t>
            </w:r>
          </w:p>
        </w:tc>
        <w:tc>
          <w:tcPr>
            <w:tcW w:w="0" w:type="auto"/>
            <w:tcBorders>
              <w:top w:val="nil"/>
              <w:left w:val="nil"/>
              <w:bottom w:val="nil"/>
              <w:right w:val="nil"/>
            </w:tcBorders>
            <w:shd w:val="clear" w:color="auto" w:fill="auto"/>
            <w:noWrap/>
            <w:vAlign w:val="center"/>
          </w:tcPr>
          <w:p w14:paraId="0AFADF0F"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554BF121" w14:textId="397D9FDE"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-1,132</w:t>
            </w:r>
          </w:p>
        </w:tc>
        <w:tc>
          <w:tcPr>
            <w:tcW w:w="0" w:type="auto"/>
            <w:tcBorders>
              <w:top w:val="nil"/>
              <w:left w:val="nil"/>
              <w:bottom w:val="nil"/>
              <w:right w:val="nil"/>
            </w:tcBorders>
            <w:shd w:val="clear" w:color="auto" w:fill="auto"/>
            <w:noWrap/>
            <w:vAlign w:val="center"/>
          </w:tcPr>
          <w:p w14:paraId="5D6E5F0B"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6E4123F3" w14:textId="1A000A28"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-1,280</w:t>
            </w:r>
          </w:p>
        </w:tc>
        <w:tc>
          <w:tcPr>
            <w:tcW w:w="0" w:type="auto"/>
            <w:tcBorders>
              <w:top w:val="nil"/>
              <w:left w:val="nil"/>
              <w:bottom w:val="nil"/>
              <w:right w:val="nil"/>
            </w:tcBorders>
            <w:shd w:val="clear" w:color="auto" w:fill="auto"/>
            <w:noWrap/>
            <w:vAlign w:val="center"/>
          </w:tcPr>
          <w:p w14:paraId="540D2440"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17349893" w14:textId="73490644"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-1,278</w:t>
            </w:r>
          </w:p>
        </w:tc>
        <w:tc>
          <w:tcPr>
            <w:tcW w:w="0" w:type="auto"/>
            <w:tcBorders>
              <w:top w:val="nil"/>
              <w:left w:val="nil"/>
              <w:bottom w:val="nil"/>
              <w:right w:val="nil"/>
            </w:tcBorders>
            <w:shd w:val="clear" w:color="auto" w:fill="auto"/>
            <w:noWrap/>
            <w:vAlign w:val="center"/>
          </w:tcPr>
          <w:p w14:paraId="57CDF367"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12FF9282" w14:textId="41B7C68A"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-1,150</w:t>
            </w:r>
          </w:p>
        </w:tc>
        <w:tc>
          <w:tcPr>
            <w:tcW w:w="0" w:type="auto"/>
            <w:tcBorders>
              <w:top w:val="nil"/>
              <w:left w:val="nil"/>
              <w:bottom w:val="nil"/>
              <w:right w:val="nil"/>
            </w:tcBorders>
            <w:shd w:val="clear" w:color="auto" w:fill="auto"/>
            <w:noWrap/>
            <w:vAlign w:val="center"/>
          </w:tcPr>
          <w:p w14:paraId="71A441C4"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457BF36A" w14:textId="3284D13F"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-1,162</w:t>
            </w:r>
          </w:p>
        </w:tc>
        <w:tc>
          <w:tcPr>
            <w:tcW w:w="0" w:type="auto"/>
            <w:tcBorders>
              <w:top w:val="nil"/>
              <w:left w:val="nil"/>
              <w:bottom w:val="nil"/>
              <w:right w:val="nil"/>
            </w:tcBorders>
            <w:shd w:val="clear" w:color="auto" w:fill="auto"/>
            <w:noWrap/>
            <w:vAlign w:val="center"/>
          </w:tcPr>
          <w:p w14:paraId="3F36030C"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161FBF86" w14:textId="41107F4B"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-1,222</w:t>
            </w:r>
          </w:p>
        </w:tc>
        <w:tc>
          <w:tcPr>
            <w:tcW w:w="0" w:type="auto"/>
            <w:tcBorders>
              <w:top w:val="nil"/>
              <w:left w:val="nil"/>
              <w:bottom w:val="nil"/>
              <w:right w:val="nil"/>
            </w:tcBorders>
            <w:shd w:val="clear" w:color="auto" w:fill="auto"/>
            <w:noWrap/>
            <w:vAlign w:val="center"/>
          </w:tcPr>
          <w:p w14:paraId="5B033B30"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26029387" w14:textId="6BEC5B68"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-1,162</w:t>
            </w:r>
          </w:p>
        </w:tc>
        <w:tc>
          <w:tcPr>
            <w:tcW w:w="0" w:type="auto"/>
            <w:tcBorders>
              <w:top w:val="nil"/>
              <w:left w:val="nil"/>
              <w:bottom w:val="nil"/>
              <w:right w:val="nil"/>
            </w:tcBorders>
            <w:shd w:val="clear" w:color="auto" w:fill="auto"/>
            <w:noWrap/>
            <w:vAlign w:val="center"/>
          </w:tcPr>
          <w:p w14:paraId="4BE27BE2"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4AB75EC6" w14:textId="340C6DD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-1,168</w:t>
            </w:r>
          </w:p>
        </w:tc>
        <w:tc>
          <w:tcPr>
            <w:tcW w:w="0" w:type="auto"/>
            <w:tcBorders>
              <w:top w:val="nil"/>
              <w:left w:val="nil"/>
              <w:bottom w:val="nil"/>
              <w:right w:val="nil"/>
            </w:tcBorders>
            <w:shd w:val="clear" w:color="auto" w:fill="auto"/>
            <w:noWrap/>
            <w:vAlign w:val="center"/>
          </w:tcPr>
          <w:p w14:paraId="77BBAB51"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c>
          <w:tcPr>
            <w:tcW w:w="0" w:type="auto"/>
            <w:tcBorders>
              <w:top w:val="nil"/>
              <w:left w:val="nil"/>
              <w:bottom w:val="nil"/>
              <w:right w:val="nil"/>
            </w:tcBorders>
            <w:shd w:val="clear" w:color="auto" w:fill="auto"/>
            <w:noWrap/>
            <w:vAlign w:val="center"/>
          </w:tcPr>
          <w:p w14:paraId="75A83703" w14:textId="70ECE36A"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r w:rsidRPr="00FF2B07">
              <w:rPr>
                <w:rFonts w:ascii="Times New Roman" w:eastAsia="Times New Roman" w:hAnsi="Times New Roman" w:cs="Times New Roman"/>
                <w:color w:val="0070C0"/>
                <w:sz w:val="16"/>
                <w:szCs w:val="16"/>
                <w:lang w:eastAsia="en-GB"/>
              </w:rPr>
              <w:t>-1,172</w:t>
            </w:r>
          </w:p>
        </w:tc>
        <w:tc>
          <w:tcPr>
            <w:tcW w:w="0" w:type="auto"/>
            <w:tcBorders>
              <w:top w:val="nil"/>
              <w:left w:val="nil"/>
              <w:bottom w:val="nil"/>
              <w:right w:val="nil"/>
            </w:tcBorders>
            <w:shd w:val="clear" w:color="auto" w:fill="auto"/>
            <w:noWrap/>
            <w:vAlign w:val="center"/>
          </w:tcPr>
          <w:p w14:paraId="51536034" w14:textId="77777777" w:rsidR="00C41322" w:rsidRPr="00FF2B07" w:rsidRDefault="00C41322" w:rsidP="00875EB5">
            <w:pPr>
              <w:spacing w:after="0" w:line="240" w:lineRule="auto"/>
              <w:rPr>
                <w:rFonts w:ascii="Times New Roman" w:eastAsia="Times New Roman" w:hAnsi="Times New Roman" w:cs="Times New Roman"/>
                <w:color w:val="0070C0"/>
                <w:sz w:val="16"/>
                <w:szCs w:val="16"/>
                <w:lang w:eastAsia="en-GB"/>
              </w:rPr>
            </w:pPr>
          </w:p>
        </w:tc>
      </w:tr>
      <w:tr w:rsidR="004D4704" w:rsidRPr="00FF6562" w14:paraId="25815F28" w14:textId="77777777" w:rsidTr="004D4704">
        <w:trPr>
          <w:trHeight w:val="105"/>
        </w:trPr>
        <w:tc>
          <w:tcPr>
            <w:tcW w:w="0" w:type="auto"/>
            <w:tcBorders>
              <w:top w:val="nil"/>
              <w:left w:val="nil"/>
              <w:bottom w:val="nil"/>
              <w:right w:val="nil"/>
            </w:tcBorders>
            <w:shd w:val="clear" w:color="auto" w:fill="auto"/>
            <w:noWrap/>
            <w:vAlign w:val="center"/>
            <w:hideMark/>
          </w:tcPr>
          <w:p w14:paraId="582D7678" w14:textId="77777777" w:rsidR="00F92754" w:rsidRPr="00FF6562" w:rsidRDefault="00F92754" w:rsidP="00875EB5">
            <w:pPr>
              <w:spacing w:after="0" w:line="240" w:lineRule="auto"/>
              <w:rPr>
                <w:rFonts w:ascii="Times New Roman" w:eastAsia="Times New Roman" w:hAnsi="Times New Roman" w:cs="Times New Roman"/>
                <w:sz w:val="20"/>
                <w:szCs w:val="20"/>
                <w:lang w:eastAsia="en-GB"/>
              </w:rPr>
            </w:pPr>
            <w:r w:rsidRPr="00AC2C84">
              <w:rPr>
                <w:rFonts w:ascii="Times New Roman" w:eastAsia="Times New Roman" w:hAnsi="Times New Roman" w:cs="Times New Roman"/>
                <w:color w:val="000000" w:themeColor="text1"/>
                <w:sz w:val="16"/>
                <w:szCs w:val="16"/>
                <w:lang w:eastAsia="en-GB"/>
              </w:rPr>
              <w:t>AIC</w:t>
            </w:r>
          </w:p>
        </w:tc>
        <w:tc>
          <w:tcPr>
            <w:tcW w:w="710" w:type="dxa"/>
            <w:tcBorders>
              <w:top w:val="nil"/>
              <w:left w:val="nil"/>
              <w:bottom w:val="nil"/>
              <w:right w:val="nil"/>
            </w:tcBorders>
            <w:shd w:val="clear" w:color="auto" w:fill="auto"/>
            <w:noWrap/>
            <w:vAlign w:val="center"/>
            <w:hideMark/>
          </w:tcPr>
          <w:p w14:paraId="6326BFA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11.14</w:t>
            </w:r>
          </w:p>
        </w:tc>
        <w:tc>
          <w:tcPr>
            <w:tcW w:w="0" w:type="auto"/>
            <w:tcBorders>
              <w:top w:val="nil"/>
              <w:left w:val="nil"/>
              <w:bottom w:val="nil"/>
              <w:right w:val="nil"/>
            </w:tcBorders>
            <w:shd w:val="clear" w:color="auto" w:fill="auto"/>
            <w:noWrap/>
            <w:vAlign w:val="center"/>
            <w:hideMark/>
          </w:tcPr>
          <w:p w14:paraId="609305E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0356CE3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10.48</w:t>
            </w:r>
          </w:p>
        </w:tc>
        <w:tc>
          <w:tcPr>
            <w:tcW w:w="0" w:type="auto"/>
            <w:tcBorders>
              <w:top w:val="nil"/>
              <w:left w:val="nil"/>
              <w:bottom w:val="nil"/>
              <w:right w:val="nil"/>
            </w:tcBorders>
            <w:shd w:val="clear" w:color="auto" w:fill="auto"/>
            <w:noWrap/>
            <w:vAlign w:val="center"/>
            <w:hideMark/>
          </w:tcPr>
          <w:p w14:paraId="343185D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6AE7967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10.28</w:t>
            </w:r>
          </w:p>
        </w:tc>
        <w:tc>
          <w:tcPr>
            <w:tcW w:w="0" w:type="auto"/>
            <w:tcBorders>
              <w:top w:val="nil"/>
              <w:left w:val="nil"/>
              <w:bottom w:val="nil"/>
              <w:right w:val="nil"/>
            </w:tcBorders>
            <w:shd w:val="clear" w:color="auto" w:fill="auto"/>
            <w:noWrap/>
            <w:vAlign w:val="center"/>
            <w:hideMark/>
          </w:tcPr>
          <w:p w14:paraId="5184308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5746175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11.50</w:t>
            </w:r>
          </w:p>
        </w:tc>
        <w:tc>
          <w:tcPr>
            <w:tcW w:w="0" w:type="auto"/>
            <w:tcBorders>
              <w:top w:val="nil"/>
              <w:left w:val="nil"/>
              <w:bottom w:val="nil"/>
              <w:right w:val="nil"/>
            </w:tcBorders>
            <w:shd w:val="clear" w:color="auto" w:fill="auto"/>
            <w:noWrap/>
            <w:vAlign w:val="center"/>
            <w:hideMark/>
          </w:tcPr>
          <w:p w14:paraId="36FA20D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34CB002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11.50</w:t>
            </w:r>
          </w:p>
        </w:tc>
        <w:tc>
          <w:tcPr>
            <w:tcW w:w="0" w:type="auto"/>
            <w:tcBorders>
              <w:top w:val="nil"/>
              <w:left w:val="nil"/>
              <w:bottom w:val="nil"/>
              <w:right w:val="nil"/>
            </w:tcBorders>
            <w:shd w:val="clear" w:color="auto" w:fill="auto"/>
            <w:noWrap/>
            <w:vAlign w:val="center"/>
            <w:hideMark/>
          </w:tcPr>
          <w:p w14:paraId="6AD25B9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230FC3B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10.46</w:t>
            </w:r>
          </w:p>
        </w:tc>
        <w:tc>
          <w:tcPr>
            <w:tcW w:w="0" w:type="auto"/>
            <w:tcBorders>
              <w:top w:val="nil"/>
              <w:left w:val="nil"/>
              <w:bottom w:val="nil"/>
              <w:right w:val="nil"/>
            </w:tcBorders>
            <w:shd w:val="clear" w:color="auto" w:fill="auto"/>
            <w:noWrap/>
            <w:vAlign w:val="center"/>
            <w:hideMark/>
          </w:tcPr>
          <w:p w14:paraId="2ED4D91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3699205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10.57</w:t>
            </w:r>
          </w:p>
        </w:tc>
        <w:tc>
          <w:tcPr>
            <w:tcW w:w="0" w:type="auto"/>
            <w:tcBorders>
              <w:top w:val="nil"/>
              <w:left w:val="nil"/>
              <w:bottom w:val="nil"/>
              <w:right w:val="nil"/>
            </w:tcBorders>
            <w:shd w:val="clear" w:color="auto" w:fill="auto"/>
            <w:noWrap/>
            <w:vAlign w:val="center"/>
            <w:hideMark/>
          </w:tcPr>
          <w:p w14:paraId="2B7BAE4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42D8FA5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11.16</w:t>
            </w:r>
          </w:p>
        </w:tc>
        <w:tc>
          <w:tcPr>
            <w:tcW w:w="0" w:type="auto"/>
            <w:tcBorders>
              <w:top w:val="nil"/>
              <w:left w:val="nil"/>
              <w:bottom w:val="nil"/>
              <w:right w:val="nil"/>
            </w:tcBorders>
            <w:shd w:val="clear" w:color="auto" w:fill="auto"/>
            <w:noWrap/>
            <w:vAlign w:val="center"/>
            <w:hideMark/>
          </w:tcPr>
          <w:p w14:paraId="19087F5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760A457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10.57</w:t>
            </w:r>
          </w:p>
        </w:tc>
        <w:tc>
          <w:tcPr>
            <w:tcW w:w="0" w:type="auto"/>
            <w:tcBorders>
              <w:top w:val="nil"/>
              <w:left w:val="nil"/>
              <w:bottom w:val="nil"/>
              <w:right w:val="nil"/>
            </w:tcBorders>
            <w:shd w:val="clear" w:color="auto" w:fill="auto"/>
            <w:noWrap/>
            <w:vAlign w:val="center"/>
            <w:hideMark/>
          </w:tcPr>
          <w:p w14:paraId="0317885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38D5A48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10.47</w:t>
            </w:r>
          </w:p>
        </w:tc>
        <w:tc>
          <w:tcPr>
            <w:tcW w:w="0" w:type="auto"/>
            <w:tcBorders>
              <w:top w:val="nil"/>
              <w:left w:val="nil"/>
              <w:bottom w:val="nil"/>
              <w:right w:val="nil"/>
            </w:tcBorders>
            <w:shd w:val="clear" w:color="auto" w:fill="auto"/>
            <w:noWrap/>
            <w:vAlign w:val="center"/>
            <w:hideMark/>
          </w:tcPr>
          <w:p w14:paraId="7714C63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730575F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10.62</w:t>
            </w:r>
          </w:p>
        </w:tc>
        <w:tc>
          <w:tcPr>
            <w:tcW w:w="0" w:type="auto"/>
            <w:tcBorders>
              <w:top w:val="nil"/>
              <w:left w:val="nil"/>
              <w:bottom w:val="nil"/>
              <w:right w:val="nil"/>
            </w:tcBorders>
            <w:shd w:val="clear" w:color="auto" w:fill="auto"/>
            <w:noWrap/>
            <w:vAlign w:val="center"/>
            <w:hideMark/>
          </w:tcPr>
          <w:p w14:paraId="338C395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r>
      <w:tr w:rsidR="004D4704" w:rsidRPr="00FF6562" w14:paraId="796D6F1B" w14:textId="77777777" w:rsidTr="004D4704">
        <w:trPr>
          <w:trHeight w:val="67"/>
        </w:trPr>
        <w:tc>
          <w:tcPr>
            <w:tcW w:w="0" w:type="auto"/>
            <w:tcBorders>
              <w:top w:val="nil"/>
              <w:left w:val="nil"/>
              <w:bottom w:val="nil"/>
              <w:right w:val="nil"/>
            </w:tcBorders>
            <w:shd w:val="clear" w:color="auto" w:fill="auto"/>
            <w:noWrap/>
            <w:vAlign w:val="center"/>
            <w:hideMark/>
          </w:tcPr>
          <w:p w14:paraId="6F2C481C" w14:textId="77777777" w:rsidR="00F92754" w:rsidRPr="00FF6562" w:rsidRDefault="00F92754" w:rsidP="00875EB5">
            <w:pPr>
              <w:spacing w:after="0" w:line="240" w:lineRule="auto"/>
              <w:rPr>
                <w:rFonts w:ascii="Times New Roman" w:eastAsia="Times New Roman" w:hAnsi="Times New Roman" w:cs="Times New Roman"/>
                <w:sz w:val="20"/>
                <w:szCs w:val="20"/>
                <w:lang w:eastAsia="en-GB"/>
              </w:rPr>
            </w:pPr>
            <w:r w:rsidRPr="00AC2C84">
              <w:rPr>
                <w:rFonts w:ascii="Times New Roman" w:eastAsia="Times New Roman" w:hAnsi="Times New Roman" w:cs="Times New Roman"/>
                <w:color w:val="000000" w:themeColor="text1"/>
                <w:sz w:val="16"/>
                <w:szCs w:val="16"/>
                <w:lang w:eastAsia="en-GB"/>
              </w:rPr>
              <w:t>SIC</w:t>
            </w:r>
          </w:p>
        </w:tc>
        <w:tc>
          <w:tcPr>
            <w:tcW w:w="710" w:type="dxa"/>
            <w:tcBorders>
              <w:top w:val="nil"/>
              <w:left w:val="nil"/>
              <w:bottom w:val="nil"/>
              <w:right w:val="nil"/>
            </w:tcBorders>
            <w:shd w:val="clear" w:color="auto" w:fill="auto"/>
            <w:noWrap/>
            <w:vAlign w:val="center"/>
            <w:hideMark/>
          </w:tcPr>
          <w:p w14:paraId="10D75E6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12.24</w:t>
            </w:r>
          </w:p>
        </w:tc>
        <w:tc>
          <w:tcPr>
            <w:tcW w:w="0" w:type="auto"/>
            <w:tcBorders>
              <w:top w:val="nil"/>
              <w:left w:val="nil"/>
              <w:bottom w:val="nil"/>
              <w:right w:val="nil"/>
            </w:tcBorders>
            <w:shd w:val="clear" w:color="auto" w:fill="auto"/>
            <w:noWrap/>
            <w:vAlign w:val="center"/>
            <w:hideMark/>
          </w:tcPr>
          <w:p w14:paraId="314E1FA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1D20983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11.62</w:t>
            </w:r>
          </w:p>
        </w:tc>
        <w:tc>
          <w:tcPr>
            <w:tcW w:w="0" w:type="auto"/>
            <w:tcBorders>
              <w:top w:val="nil"/>
              <w:left w:val="nil"/>
              <w:bottom w:val="nil"/>
              <w:right w:val="nil"/>
            </w:tcBorders>
            <w:shd w:val="clear" w:color="auto" w:fill="auto"/>
            <w:noWrap/>
            <w:vAlign w:val="center"/>
            <w:hideMark/>
          </w:tcPr>
          <w:p w14:paraId="067C545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6ABB753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11.42</w:t>
            </w:r>
          </w:p>
        </w:tc>
        <w:tc>
          <w:tcPr>
            <w:tcW w:w="0" w:type="auto"/>
            <w:tcBorders>
              <w:top w:val="nil"/>
              <w:left w:val="nil"/>
              <w:bottom w:val="nil"/>
              <w:right w:val="nil"/>
            </w:tcBorders>
            <w:shd w:val="clear" w:color="auto" w:fill="auto"/>
            <w:noWrap/>
            <w:vAlign w:val="center"/>
            <w:hideMark/>
          </w:tcPr>
          <w:p w14:paraId="348C143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7CEFA6D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12.60</w:t>
            </w:r>
          </w:p>
        </w:tc>
        <w:tc>
          <w:tcPr>
            <w:tcW w:w="0" w:type="auto"/>
            <w:tcBorders>
              <w:top w:val="nil"/>
              <w:left w:val="nil"/>
              <w:bottom w:val="nil"/>
              <w:right w:val="nil"/>
            </w:tcBorders>
            <w:shd w:val="clear" w:color="auto" w:fill="auto"/>
            <w:noWrap/>
            <w:vAlign w:val="center"/>
            <w:hideMark/>
          </w:tcPr>
          <w:p w14:paraId="10E1714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33C3C0E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12.60</w:t>
            </w:r>
          </w:p>
        </w:tc>
        <w:tc>
          <w:tcPr>
            <w:tcW w:w="0" w:type="auto"/>
            <w:tcBorders>
              <w:top w:val="nil"/>
              <w:left w:val="nil"/>
              <w:bottom w:val="nil"/>
              <w:right w:val="nil"/>
            </w:tcBorders>
            <w:shd w:val="clear" w:color="auto" w:fill="auto"/>
            <w:noWrap/>
            <w:vAlign w:val="center"/>
            <w:hideMark/>
          </w:tcPr>
          <w:p w14:paraId="77CB5CE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4FB778E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11.60</w:t>
            </w:r>
          </w:p>
        </w:tc>
        <w:tc>
          <w:tcPr>
            <w:tcW w:w="0" w:type="auto"/>
            <w:tcBorders>
              <w:top w:val="nil"/>
              <w:left w:val="nil"/>
              <w:bottom w:val="nil"/>
              <w:right w:val="nil"/>
            </w:tcBorders>
            <w:shd w:val="clear" w:color="auto" w:fill="auto"/>
            <w:noWrap/>
            <w:vAlign w:val="center"/>
            <w:hideMark/>
          </w:tcPr>
          <w:p w14:paraId="4CA653A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23E3A1F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11.67</w:t>
            </w:r>
          </w:p>
        </w:tc>
        <w:tc>
          <w:tcPr>
            <w:tcW w:w="0" w:type="auto"/>
            <w:tcBorders>
              <w:top w:val="nil"/>
              <w:left w:val="nil"/>
              <w:bottom w:val="nil"/>
              <w:right w:val="nil"/>
            </w:tcBorders>
            <w:shd w:val="clear" w:color="auto" w:fill="auto"/>
            <w:noWrap/>
            <w:vAlign w:val="center"/>
            <w:hideMark/>
          </w:tcPr>
          <w:p w14:paraId="6EC9E72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52B4F21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12.26</w:t>
            </w:r>
          </w:p>
        </w:tc>
        <w:tc>
          <w:tcPr>
            <w:tcW w:w="0" w:type="auto"/>
            <w:tcBorders>
              <w:top w:val="nil"/>
              <w:left w:val="nil"/>
              <w:bottom w:val="nil"/>
              <w:right w:val="nil"/>
            </w:tcBorders>
            <w:shd w:val="clear" w:color="auto" w:fill="auto"/>
            <w:noWrap/>
            <w:vAlign w:val="center"/>
            <w:hideMark/>
          </w:tcPr>
          <w:p w14:paraId="02B86E8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78758C9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11.71</w:t>
            </w:r>
          </w:p>
        </w:tc>
        <w:tc>
          <w:tcPr>
            <w:tcW w:w="0" w:type="auto"/>
            <w:tcBorders>
              <w:top w:val="nil"/>
              <w:left w:val="nil"/>
              <w:bottom w:val="nil"/>
              <w:right w:val="nil"/>
            </w:tcBorders>
            <w:shd w:val="clear" w:color="auto" w:fill="auto"/>
            <w:noWrap/>
            <w:vAlign w:val="center"/>
            <w:hideMark/>
          </w:tcPr>
          <w:p w14:paraId="509F11E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017F0A1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11.61</w:t>
            </w:r>
          </w:p>
        </w:tc>
        <w:tc>
          <w:tcPr>
            <w:tcW w:w="0" w:type="auto"/>
            <w:tcBorders>
              <w:top w:val="nil"/>
              <w:left w:val="nil"/>
              <w:bottom w:val="nil"/>
              <w:right w:val="nil"/>
            </w:tcBorders>
            <w:shd w:val="clear" w:color="auto" w:fill="auto"/>
            <w:noWrap/>
            <w:vAlign w:val="center"/>
            <w:hideMark/>
          </w:tcPr>
          <w:p w14:paraId="01B1C94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0" w:type="auto"/>
            <w:tcBorders>
              <w:top w:val="nil"/>
              <w:left w:val="nil"/>
              <w:bottom w:val="nil"/>
              <w:right w:val="nil"/>
            </w:tcBorders>
            <w:shd w:val="clear" w:color="auto" w:fill="auto"/>
            <w:noWrap/>
            <w:vAlign w:val="center"/>
            <w:hideMark/>
          </w:tcPr>
          <w:p w14:paraId="1C845F6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11.72</w:t>
            </w:r>
          </w:p>
        </w:tc>
        <w:tc>
          <w:tcPr>
            <w:tcW w:w="0" w:type="auto"/>
            <w:tcBorders>
              <w:top w:val="nil"/>
              <w:left w:val="nil"/>
              <w:bottom w:val="nil"/>
              <w:right w:val="nil"/>
            </w:tcBorders>
            <w:shd w:val="clear" w:color="auto" w:fill="auto"/>
            <w:noWrap/>
            <w:vAlign w:val="center"/>
            <w:hideMark/>
          </w:tcPr>
          <w:p w14:paraId="1D4BA10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r>
      <w:tr w:rsidR="004D4704" w:rsidRPr="00FF6562" w14:paraId="5F8EF6BD" w14:textId="77777777" w:rsidTr="004D4704">
        <w:trPr>
          <w:trHeight w:val="141"/>
        </w:trPr>
        <w:tc>
          <w:tcPr>
            <w:tcW w:w="0" w:type="auto"/>
            <w:tcBorders>
              <w:top w:val="nil"/>
              <w:left w:val="nil"/>
              <w:bottom w:val="nil"/>
              <w:right w:val="nil"/>
            </w:tcBorders>
            <w:shd w:val="clear" w:color="auto" w:fill="auto"/>
            <w:noWrap/>
            <w:vAlign w:val="center"/>
            <w:hideMark/>
          </w:tcPr>
          <w:p w14:paraId="764C5408"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
              <m:sSub>
                <m:sSubPr>
                  <m:ctrlPr>
                    <w:rPr>
                      <w:rFonts w:ascii="Cambria Math" w:hAnsi="Cambria Math"/>
                      <w:i/>
                      <w:color w:val="000000" w:themeColor="text1"/>
                      <w:sz w:val="16"/>
                      <w:szCs w:val="16"/>
                      <w:lang w:eastAsia="en-GB"/>
                    </w:rPr>
                  </m:ctrlPr>
                </m:sSub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1</m:t>
                  </m:r>
                </m:sub>
              </m:sSub>
            </m:oMath>
            <w:r w:rsidR="00F92754" w:rsidRPr="00AC2C84">
              <w:rPr>
                <w:color w:val="000000" w:themeColor="text1"/>
                <w:sz w:val="16"/>
                <w:szCs w:val="16"/>
                <w:lang w:eastAsia="en-GB"/>
              </w:rPr>
              <w:t>[20]</w:t>
            </w:r>
          </w:p>
        </w:tc>
        <w:tc>
          <w:tcPr>
            <w:tcW w:w="710" w:type="dxa"/>
            <w:tcBorders>
              <w:top w:val="nil"/>
              <w:left w:val="nil"/>
              <w:bottom w:val="nil"/>
              <w:right w:val="nil"/>
            </w:tcBorders>
            <w:shd w:val="clear" w:color="auto" w:fill="auto"/>
            <w:noWrap/>
            <w:vAlign w:val="center"/>
            <w:hideMark/>
          </w:tcPr>
          <w:p w14:paraId="6940AAD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27.58</w:t>
            </w:r>
          </w:p>
        </w:tc>
        <w:tc>
          <w:tcPr>
            <w:tcW w:w="0" w:type="auto"/>
            <w:tcBorders>
              <w:top w:val="nil"/>
              <w:left w:val="nil"/>
              <w:bottom w:val="nil"/>
              <w:right w:val="nil"/>
            </w:tcBorders>
            <w:shd w:val="clear" w:color="auto" w:fill="auto"/>
            <w:noWrap/>
            <w:vAlign w:val="center"/>
            <w:hideMark/>
          </w:tcPr>
          <w:p w14:paraId="70E6142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w:t>
            </w:r>
          </w:p>
        </w:tc>
        <w:tc>
          <w:tcPr>
            <w:tcW w:w="0" w:type="auto"/>
            <w:tcBorders>
              <w:top w:val="nil"/>
              <w:left w:val="nil"/>
              <w:bottom w:val="nil"/>
              <w:right w:val="nil"/>
            </w:tcBorders>
            <w:shd w:val="clear" w:color="auto" w:fill="auto"/>
            <w:noWrap/>
            <w:vAlign w:val="center"/>
            <w:hideMark/>
          </w:tcPr>
          <w:p w14:paraId="459F07A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17.94</w:t>
            </w:r>
          </w:p>
        </w:tc>
        <w:tc>
          <w:tcPr>
            <w:tcW w:w="0" w:type="auto"/>
            <w:tcBorders>
              <w:top w:val="nil"/>
              <w:left w:val="nil"/>
              <w:bottom w:val="nil"/>
              <w:right w:val="nil"/>
            </w:tcBorders>
            <w:shd w:val="clear" w:color="auto" w:fill="auto"/>
            <w:noWrap/>
            <w:vAlign w:val="center"/>
            <w:hideMark/>
          </w:tcPr>
          <w:p w14:paraId="00F5B7F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0.59</w:t>
            </w:r>
          </w:p>
        </w:tc>
        <w:tc>
          <w:tcPr>
            <w:tcW w:w="0" w:type="auto"/>
            <w:tcBorders>
              <w:top w:val="nil"/>
              <w:left w:val="nil"/>
              <w:bottom w:val="nil"/>
              <w:right w:val="nil"/>
            </w:tcBorders>
            <w:shd w:val="clear" w:color="auto" w:fill="auto"/>
            <w:noWrap/>
            <w:vAlign w:val="center"/>
            <w:hideMark/>
          </w:tcPr>
          <w:p w14:paraId="6D9E27F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24.47</w:t>
            </w:r>
          </w:p>
        </w:tc>
        <w:tc>
          <w:tcPr>
            <w:tcW w:w="0" w:type="auto"/>
            <w:tcBorders>
              <w:top w:val="nil"/>
              <w:left w:val="nil"/>
              <w:bottom w:val="nil"/>
              <w:right w:val="nil"/>
            </w:tcBorders>
            <w:shd w:val="clear" w:color="auto" w:fill="auto"/>
            <w:noWrap/>
            <w:vAlign w:val="center"/>
            <w:hideMark/>
          </w:tcPr>
          <w:p w14:paraId="6770D86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w:t>
            </w:r>
          </w:p>
        </w:tc>
        <w:tc>
          <w:tcPr>
            <w:tcW w:w="0" w:type="auto"/>
            <w:tcBorders>
              <w:top w:val="nil"/>
              <w:left w:val="nil"/>
              <w:bottom w:val="nil"/>
              <w:right w:val="nil"/>
            </w:tcBorders>
            <w:shd w:val="clear" w:color="auto" w:fill="auto"/>
            <w:noWrap/>
            <w:vAlign w:val="center"/>
            <w:hideMark/>
          </w:tcPr>
          <w:p w14:paraId="6F2B7F9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18.46</w:t>
            </w:r>
          </w:p>
        </w:tc>
        <w:tc>
          <w:tcPr>
            <w:tcW w:w="0" w:type="auto"/>
            <w:tcBorders>
              <w:top w:val="nil"/>
              <w:left w:val="nil"/>
              <w:bottom w:val="nil"/>
              <w:right w:val="nil"/>
            </w:tcBorders>
            <w:shd w:val="clear" w:color="auto" w:fill="auto"/>
            <w:noWrap/>
            <w:vAlign w:val="center"/>
            <w:hideMark/>
          </w:tcPr>
          <w:p w14:paraId="72CA0A2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w:t>
            </w:r>
          </w:p>
        </w:tc>
        <w:tc>
          <w:tcPr>
            <w:tcW w:w="0" w:type="auto"/>
            <w:tcBorders>
              <w:top w:val="nil"/>
              <w:left w:val="nil"/>
              <w:bottom w:val="nil"/>
              <w:right w:val="nil"/>
            </w:tcBorders>
            <w:shd w:val="clear" w:color="auto" w:fill="auto"/>
            <w:noWrap/>
            <w:vAlign w:val="center"/>
            <w:hideMark/>
          </w:tcPr>
          <w:p w14:paraId="4BF4A62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21.49</w:t>
            </w:r>
          </w:p>
        </w:tc>
        <w:tc>
          <w:tcPr>
            <w:tcW w:w="0" w:type="auto"/>
            <w:tcBorders>
              <w:top w:val="nil"/>
              <w:left w:val="nil"/>
              <w:bottom w:val="nil"/>
              <w:right w:val="nil"/>
            </w:tcBorders>
            <w:shd w:val="clear" w:color="auto" w:fill="auto"/>
            <w:noWrap/>
            <w:vAlign w:val="center"/>
            <w:hideMark/>
          </w:tcPr>
          <w:p w14:paraId="039614B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w:t>
            </w:r>
          </w:p>
        </w:tc>
        <w:tc>
          <w:tcPr>
            <w:tcW w:w="0" w:type="auto"/>
            <w:tcBorders>
              <w:top w:val="nil"/>
              <w:left w:val="nil"/>
              <w:bottom w:val="nil"/>
              <w:right w:val="nil"/>
            </w:tcBorders>
            <w:shd w:val="clear" w:color="auto" w:fill="auto"/>
            <w:noWrap/>
            <w:vAlign w:val="center"/>
            <w:hideMark/>
          </w:tcPr>
          <w:p w14:paraId="2FA6347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21.60</w:t>
            </w:r>
          </w:p>
        </w:tc>
        <w:tc>
          <w:tcPr>
            <w:tcW w:w="0" w:type="auto"/>
            <w:tcBorders>
              <w:top w:val="nil"/>
              <w:left w:val="nil"/>
              <w:bottom w:val="nil"/>
              <w:right w:val="nil"/>
            </w:tcBorders>
            <w:shd w:val="clear" w:color="auto" w:fill="auto"/>
            <w:noWrap/>
            <w:vAlign w:val="center"/>
            <w:hideMark/>
          </w:tcPr>
          <w:p w14:paraId="163837C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w:t>
            </w:r>
          </w:p>
        </w:tc>
        <w:tc>
          <w:tcPr>
            <w:tcW w:w="0" w:type="auto"/>
            <w:tcBorders>
              <w:top w:val="nil"/>
              <w:left w:val="nil"/>
              <w:bottom w:val="nil"/>
              <w:right w:val="nil"/>
            </w:tcBorders>
            <w:shd w:val="clear" w:color="auto" w:fill="auto"/>
            <w:noWrap/>
            <w:vAlign w:val="center"/>
            <w:hideMark/>
          </w:tcPr>
          <w:p w14:paraId="05C00EF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15.98</w:t>
            </w:r>
          </w:p>
        </w:tc>
        <w:tc>
          <w:tcPr>
            <w:tcW w:w="0" w:type="auto"/>
            <w:tcBorders>
              <w:top w:val="nil"/>
              <w:left w:val="nil"/>
              <w:bottom w:val="nil"/>
              <w:right w:val="nil"/>
            </w:tcBorders>
            <w:shd w:val="clear" w:color="auto" w:fill="auto"/>
            <w:noWrap/>
            <w:vAlign w:val="center"/>
            <w:hideMark/>
          </w:tcPr>
          <w:p w14:paraId="340A7BA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0.72</w:t>
            </w:r>
          </w:p>
        </w:tc>
        <w:tc>
          <w:tcPr>
            <w:tcW w:w="0" w:type="auto"/>
            <w:tcBorders>
              <w:top w:val="nil"/>
              <w:left w:val="nil"/>
              <w:bottom w:val="nil"/>
              <w:right w:val="nil"/>
            </w:tcBorders>
            <w:shd w:val="clear" w:color="auto" w:fill="auto"/>
            <w:noWrap/>
            <w:vAlign w:val="center"/>
            <w:hideMark/>
          </w:tcPr>
          <w:p w14:paraId="1137C8A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11.21</w:t>
            </w:r>
          </w:p>
        </w:tc>
        <w:tc>
          <w:tcPr>
            <w:tcW w:w="0" w:type="auto"/>
            <w:tcBorders>
              <w:top w:val="nil"/>
              <w:left w:val="nil"/>
              <w:bottom w:val="nil"/>
              <w:right w:val="nil"/>
            </w:tcBorders>
            <w:shd w:val="clear" w:color="auto" w:fill="auto"/>
            <w:noWrap/>
            <w:vAlign w:val="center"/>
            <w:hideMark/>
          </w:tcPr>
          <w:p w14:paraId="2418C37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0.94</w:t>
            </w:r>
          </w:p>
        </w:tc>
        <w:tc>
          <w:tcPr>
            <w:tcW w:w="0" w:type="auto"/>
            <w:tcBorders>
              <w:top w:val="nil"/>
              <w:left w:val="nil"/>
              <w:bottom w:val="nil"/>
              <w:right w:val="nil"/>
            </w:tcBorders>
            <w:shd w:val="clear" w:color="auto" w:fill="auto"/>
            <w:noWrap/>
            <w:vAlign w:val="center"/>
            <w:hideMark/>
          </w:tcPr>
          <w:p w14:paraId="650EC90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9.92</w:t>
            </w:r>
          </w:p>
        </w:tc>
        <w:tc>
          <w:tcPr>
            <w:tcW w:w="0" w:type="auto"/>
            <w:tcBorders>
              <w:top w:val="nil"/>
              <w:left w:val="nil"/>
              <w:bottom w:val="nil"/>
              <w:right w:val="nil"/>
            </w:tcBorders>
            <w:shd w:val="clear" w:color="auto" w:fill="auto"/>
            <w:noWrap/>
            <w:vAlign w:val="center"/>
            <w:hideMark/>
          </w:tcPr>
          <w:p w14:paraId="0342D88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0.97</w:t>
            </w:r>
          </w:p>
        </w:tc>
        <w:tc>
          <w:tcPr>
            <w:tcW w:w="0" w:type="auto"/>
            <w:tcBorders>
              <w:top w:val="nil"/>
              <w:left w:val="nil"/>
              <w:bottom w:val="nil"/>
              <w:right w:val="nil"/>
            </w:tcBorders>
            <w:shd w:val="clear" w:color="auto" w:fill="auto"/>
            <w:noWrap/>
            <w:vAlign w:val="center"/>
            <w:hideMark/>
          </w:tcPr>
          <w:p w14:paraId="367880D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25.24</w:t>
            </w:r>
          </w:p>
        </w:tc>
        <w:tc>
          <w:tcPr>
            <w:tcW w:w="0" w:type="auto"/>
            <w:tcBorders>
              <w:top w:val="nil"/>
              <w:left w:val="nil"/>
              <w:bottom w:val="nil"/>
              <w:right w:val="nil"/>
            </w:tcBorders>
            <w:shd w:val="clear" w:color="auto" w:fill="auto"/>
            <w:noWrap/>
            <w:vAlign w:val="center"/>
            <w:hideMark/>
          </w:tcPr>
          <w:p w14:paraId="47F47A6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w:t>
            </w:r>
          </w:p>
        </w:tc>
        <w:tc>
          <w:tcPr>
            <w:tcW w:w="0" w:type="auto"/>
            <w:tcBorders>
              <w:top w:val="nil"/>
              <w:left w:val="nil"/>
              <w:bottom w:val="nil"/>
              <w:right w:val="nil"/>
            </w:tcBorders>
            <w:shd w:val="clear" w:color="auto" w:fill="auto"/>
            <w:noWrap/>
            <w:vAlign w:val="center"/>
            <w:hideMark/>
          </w:tcPr>
          <w:p w14:paraId="0907886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25.88</w:t>
            </w:r>
          </w:p>
        </w:tc>
        <w:tc>
          <w:tcPr>
            <w:tcW w:w="0" w:type="auto"/>
            <w:tcBorders>
              <w:top w:val="nil"/>
              <w:left w:val="nil"/>
              <w:bottom w:val="nil"/>
              <w:right w:val="nil"/>
            </w:tcBorders>
            <w:shd w:val="clear" w:color="auto" w:fill="auto"/>
            <w:noWrap/>
            <w:vAlign w:val="center"/>
            <w:hideMark/>
          </w:tcPr>
          <w:p w14:paraId="01095F0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w:t>
            </w:r>
          </w:p>
        </w:tc>
      </w:tr>
      <w:tr w:rsidR="004D4704" w:rsidRPr="00FF6562" w14:paraId="5A474E81" w14:textId="77777777" w:rsidTr="004D4704">
        <w:trPr>
          <w:trHeight w:val="101"/>
        </w:trPr>
        <w:tc>
          <w:tcPr>
            <w:tcW w:w="0" w:type="auto"/>
            <w:tcBorders>
              <w:top w:val="nil"/>
              <w:left w:val="nil"/>
              <w:bottom w:val="nil"/>
              <w:right w:val="nil"/>
            </w:tcBorders>
            <w:shd w:val="clear" w:color="auto" w:fill="auto"/>
            <w:noWrap/>
            <w:vAlign w:val="center"/>
            <w:hideMark/>
          </w:tcPr>
          <w:p w14:paraId="0A9CAC26"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
              <m:sSub>
                <m:sSubPr>
                  <m:ctrlPr>
                    <w:rPr>
                      <w:rFonts w:ascii="Cambria Math" w:hAnsi="Cambria Math"/>
                      <w:i/>
                      <w:color w:val="000000" w:themeColor="text1"/>
                      <w:sz w:val="16"/>
                      <w:szCs w:val="16"/>
                      <w:lang w:eastAsia="en-GB"/>
                    </w:rPr>
                  </m:ctrlPr>
                </m:sSub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2</m:t>
                  </m:r>
                </m:sub>
              </m:sSub>
            </m:oMath>
            <w:r w:rsidR="00F92754" w:rsidRPr="00AC2C84">
              <w:rPr>
                <w:color w:val="000000" w:themeColor="text1"/>
                <w:sz w:val="16"/>
                <w:szCs w:val="16"/>
                <w:lang w:eastAsia="en-GB"/>
              </w:rPr>
              <w:t>[20]</w:t>
            </w:r>
          </w:p>
        </w:tc>
        <w:tc>
          <w:tcPr>
            <w:tcW w:w="710" w:type="dxa"/>
            <w:tcBorders>
              <w:top w:val="nil"/>
              <w:left w:val="nil"/>
              <w:bottom w:val="nil"/>
              <w:right w:val="nil"/>
            </w:tcBorders>
            <w:shd w:val="clear" w:color="auto" w:fill="auto"/>
            <w:noWrap/>
            <w:vAlign w:val="center"/>
            <w:hideMark/>
          </w:tcPr>
          <w:p w14:paraId="3784D39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17.37</w:t>
            </w:r>
          </w:p>
        </w:tc>
        <w:tc>
          <w:tcPr>
            <w:tcW w:w="0" w:type="auto"/>
            <w:tcBorders>
              <w:top w:val="nil"/>
              <w:left w:val="nil"/>
              <w:bottom w:val="nil"/>
              <w:right w:val="nil"/>
            </w:tcBorders>
            <w:shd w:val="clear" w:color="auto" w:fill="auto"/>
            <w:noWrap/>
            <w:vAlign w:val="center"/>
            <w:hideMark/>
          </w:tcPr>
          <w:p w14:paraId="7DB5507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w:t>
            </w:r>
          </w:p>
        </w:tc>
        <w:tc>
          <w:tcPr>
            <w:tcW w:w="0" w:type="auto"/>
            <w:tcBorders>
              <w:top w:val="nil"/>
              <w:left w:val="nil"/>
              <w:bottom w:val="nil"/>
              <w:right w:val="nil"/>
            </w:tcBorders>
            <w:shd w:val="clear" w:color="auto" w:fill="auto"/>
            <w:noWrap/>
            <w:vAlign w:val="center"/>
            <w:hideMark/>
          </w:tcPr>
          <w:p w14:paraId="2FDDE46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17.60</w:t>
            </w:r>
          </w:p>
        </w:tc>
        <w:tc>
          <w:tcPr>
            <w:tcW w:w="0" w:type="auto"/>
            <w:tcBorders>
              <w:top w:val="nil"/>
              <w:left w:val="nil"/>
              <w:bottom w:val="nil"/>
              <w:right w:val="nil"/>
            </w:tcBorders>
            <w:shd w:val="clear" w:color="auto" w:fill="auto"/>
            <w:noWrap/>
            <w:vAlign w:val="center"/>
            <w:hideMark/>
          </w:tcPr>
          <w:p w14:paraId="6E908D0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w:t>
            </w:r>
          </w:p>
        </w:tc>
        <w:tc>
          <w:tcPr>
            <w:tcW w:w="0" w:type="auto"/>
            <w:tcBorders>
              <w:top w:val="nil"/>
              <w:left w:val="nil"/>
              <w:bottom w:val="nil"/>
              <w:right w:val="nil"/>
            </w:tcBorders>
            <w:shd w:val="clear" w:color="auto" w:fill="auto"/>
            <w:noWrap/>
            <w:vAlign w:val="center"/>
            <w:hideMark/>
          </w:tcPr>
          <w:p w14:paraId="3A7FFDB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19.47</w:t>
            </w:r>
          </w:p>
        </w:tc>
        <w:tc>
          <w:tcPr>
            <w:tcW w:w="0" w:type="auto"/>
            <w:tcBorders>
              <w:top w:val="nil"/>
              <w:left w:val="nil"/>
              <w:bottom w:val="nil"/>
              <w:right w:val="nil"/>
            </w:tcBorders>
            <w:shd w:val="clear" w:color="auto" w:fill="auto"/>
            <w:noWrap/>
            <w:vAlign w:val="center"/>
            <w:hideMark/>
          </w:tcPr>
          <w:p w14:paraId="5B3464B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w:t>
            </w:r>
          </w:p>
        </w:tc>
        <w:tc>
          <w:tcPr>
            <w:tcW w:w="0" w:type="auto"/>
            <w:tcBorders>
              <w:top w:val="nil"/>
              <w:left w:val="nil"/>
              <w:bottom w:val="nil"/>
              <w:right w:val="nil"/>
            </w:tcBorders>
            <w:shd w:val="clear" w:color="auto" w:fill="auto"/>
            <w:noWrap/>
            <w:vAlign w:val="center"/>
            <w:hideMark/>
          </w:tcPr>
          <w:p w14:paraId="04088C2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17.57</w:t>
            </w:r>
          </w:p>
        </w:tc>
        <w:tc>
          <w:tcPr>
            <w:tcW w:w="0" w:type="auto"/>
            <w:tcBorders>
              <w:top w:val="nil"/>
              <w:left w:val="nil"/>
              <w:bottom w:val="nil"/>
              <w:right w:val="nil"/>
            </w:tcBorders>
            <w:shd w:val="clear" w:color="auto" w:fill="auto"/>
            <w:noWrap/>
            <w:vAlign w:val="center"/>
            <w:hideMark/>
          </w:tcPr>
          <w:p w14:paraId="56F5C5E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0.62</w:t>
            </w:r>
          </w:p>
        </w:tc>
        <w:tc>
          <w:tcPr>
            <w:tcW w:w="0" w:type="auto"/>
            <w:tcBorders>
              <w:top w:val="nil"/>
              <w:left w:val="nil"/>
              <w:bottom w:val="nil"/>
              <w:right w:val="nil"/>
            </w:tcBorders>
            <w:shd w:val="clear" w:color="auto" w:fill="auto"/>
            <w:noWrap/>
            <w:vAlign w:val="center"/>
            <w:hideMark/>
          </w:tcPr>
          <w:p w14:paraId="2DB613E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16.02</w:t>
            </w:r>
          </w:p>
        </w:tc>
        <w:tc>
          <w:tcPr>
            <w:tcW w:w="0" w:type="auto"/>
            <w:tcBorders>
              <w:top w:val="nil"/>
              <w:left w:val="nil"/>
              <w:bottom w:val="nil"/>
              <w:right w:val="nil"/>
            </w:tcBorders>
            <w:shd w:val="clear" w:color="auto" w:fill="auto"/>
            <w:noWrap/>
            <w:vAlign w:val="center"/>
            <w:hideMark/>
          </w:tcPr>
          <w:p w14:paraId="3D2718E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0.72</w:t>
            </w:r>
          </w:p>
        </w:tc>
        <w:tc>
          <w:tcPr>
            <w:tcW w:w="0" w:type="auto"/>
            <w:tcBorders>
              <w:top w:val="nil"/>
              <w:left w:val="nil"/>
              <w:bottom w:val="nil"/>
              <w:right w:val="nil"/>
            </w:tcBorders>
            <w:shd w:val="clear" w:color="auto" w:fill="auto"/>
            <w:noWrap/>
            <w:vAlign w:val="center"/>
            <w:hideMark/>
          </w:tcPr>
          <w:p w14:paraId="1FF248E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14.81</w:t>
            </w:r>
          </w:p>
        </w:tc>
        <w:tc>
          <w:tcPr>
            <w:tcW w:w="0" w:type="auto"/>
            <w:tcBorders>
              <w:top w:val="nil"/>
              <w:left w:val="nil"/>
              <w:bottom w:val="nil"/>
              <w:right w:val="nil"/>
            </w:tcBorders>
            <w:shd w:val="clear" w:color="auto" w:fill="auto"/>
            <w:noWrap/>
            <w:vAlign w:val="center"/>
            <w:hideMark/>
          </w:tcPr>
          <w:p w14:paraId="2CE3A59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0.79</w:t>
            </w:r>
          </w:p>
        </w:tc>
        <w:tc>
          <w:tcPr>
            <w:tcW w:w="0" w:type="auto"/>
            <w:tcBorders>
              <w:top w:val="nil"/>
              <w:left w:val="nil"/>
              <w:bottom w:val="nil"/>
              <w:right w:val="nil"/>
            </w:tcBorders>
            <w:shd w:val="clear" w:color="auto" w:fill="auto"/>
            <w:noWrap/>
            <w:vAlign w:val="center"/>
            <w:hideMark/>
          </w:tcPr>
          <w:p w14:paraId="3454DD1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17.47</w:t>
            </w:r>
          </w:p>
        </w:tc>
        <w:tc>
          <w:tcPr>
            <w:tcW w:w="0" w:type="auto"/>
            <w:tcBorders>
              <w:top w:val="nil"/>
              <w:left w:val="nil"/>
              <w:bottom w:val="nil"/>
              <w:right w:val="nil"/>
            </w:tcBorders>
            <w:shd w:val="clear" w:color="auto" w:fill="auto"/>
            <w:noWrap/>
            <w:vAlign w:val="center"/>
            <w:hideMark/>
          </w:tcPr>
          <w:p w14:paraId="36B179A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0.62</w:t>
            </w:r>
          </w:p>
        </w:tc>
        <w:tc>
          <w:tcPr>
            <w:tcW w:w="0" w:type="auto"/>
            <w:tcBorders>
              <w:top w:val="nil"/>
              <w:left w:val="nil"/>
              <w:bottom w:val="nil"/>
              <w:right w:val="nil"/>
            </w:tcBorders>
            <w:shd w:val="clear" w:color="auto" w:fill="auto"/>
            <w:noWrap/>
            <w:vAlign w:val="center"/>
            <w:hideMark/>
          </w:tcPr>
          <w:p w14:paraId="51955A3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17.28</w:t>
            </w:r>
          </w:p>
        </w:tc>
        <w:tc>
          <w:tcPr>
            <w:tcW w:w="0" w:type="auto"/>
            <w:tcBorders>
              <w:top w:val="nil"/>
              <w:left w:val="nil"/>
              <w:bottom w:val="nil"/>
              <w:right w:val="nil"/>
            </w:tcBorders>
            <w:shd w:val="clear" w:color="auto" w:fill="auto"/>
            <w:noWrap/>
            <w:vAlign w:val="center"/>
            <w:hideMark/>
          </w:tcPr>
          <w:p w14:paraId="69B268D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w:t>
            </w:r>
          </w:p>
        </w:tc>
        <w:tc>
          <w:tcPr>
            <w:tcW w:w="0" w:type="auto"/>
            <w:tcBorders>
              <w:top w:val="nil"/>
              <w:left w:val="nil"/>
              <w:bottom w:val="nil"/>
              <w:right w:val="nil"/>
            </w:tcBorders>
            <w:shd w:val="clear" w:color="auto" w:fill="auto"/>
            <w:noWrap/>
            <w:vAlign w:val="center"/>
            <w:hideMark/>
          </w:tcPr>
          <w:p w14:paraId="7C6DB64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19.03</w:t>
            </w:r>
          </w:p>
        </w:tc>
        <w:tc>
          <w:tcPr>
            <w:tcW w:w="0" w:type="auto"/>
            <w:tcBorders>
              <w:top w:val="nil"/>
              <w:left w:val="nil"/>
              <w:bottom w:val="nil"/>
              <w:right w:val="nil"/>
            </w:tcBorders>
            <w:shd w:val="clear" w:color="auto" w:fill="auto"/>
            <w:noWrap/>
            <w:vAlign w:val="center"/>
            <w:hideMark/>
          </w:tcPr>
          <w:p w14:paraId="17F7CE3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0.52</w:t>
            </w:r>
          </w:p>
        </w:tc>
        <w:tc>
          <w:tcPr>
            <w:tcW w:w="0" w:type="auto"/>
            <w:tcBorders>
              <w:top w:val="nil"/>
              <w:left w:val="nil"/>
              <w:bottom w:val="nil"/>
              <w:right w:val="nil"/>
            </w:tcBorders>
            <w:shd w:val="clear" w:color="auto" w:fill="auto"/>
            <w:noWrap/>
            <w:vAlign w:val="center"/>
            <w:hideMark/>
          </w:tcPr>
          <w:p w14:paraId="18AFD66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19.60</w:t>
            </w:r>
          </w:p>
        </w:tc>
        <w:tc>
          <w:tcPr>
            <w:tcW w:w="0" w:type="auto"/>
            <w:tcBorders>
              <w:top w:val="nil"/>
              <w:left w:val="nil"/>
              <w:bottom w:val="nil"/>
              <w:right w:val="nil"/>
            </w:tcBorders>
            <w:shd w:val="clear" w:color="auto" w:fill="auto"/>
            <w:noWrap/>
            <w:vAlign w:val="center"/>
            <w:hideMark/>
          </w:tcPr>
          <w:p w14:paraId="2CC0D18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w:t>
            </w:r>
          </w:p>
        </w:tc>
        <w:tc>
          <w:tcPr>
            <w:tcW w:w="0" w:type="auto"/>
            <w:tcBorders>
              <w:top w:val="nil"/>
              <w:left w:val="nil"/>
              <w:bottom w:val="nil"/>
              <w:right w:val="nil"/>
            </w:tcBorders>
            <w:shd w:val="clear" w:color="auto" w:fill="auto"/>
            <w:noWrap/>
            <w:vAlign w:val="center"/>
            <w:hideMark/>
          </w:tcPr>
          <w:p w14:paraId="7C333D5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17.74</w:t>
            </w:r>
          </w:p>
        </w:tc>
        <w:tc>
          <w:tcPr>
            <w:tcW w:w="0" w:type="auto"/>
            <w:tcBorders>
              <w:top w:val="nil"/>
              <w:left w:val="nil"/>
              <w:bottom w:val="nil"/>
              <w:right w:val="nil"/>
            </w:tcBorders>
            <w:shd w:val="clear" w:color="auto" w:fill="auto"/>
            <w:noWrap/>
            <w:vAlign w:val="center"/>
            <w:hideMark/>
          </w:tcPr>
          <w:p w14:paraId="54C6661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0.60</w:t>
            </w:r>
          </w:p>
        </w:tc>
      </w:tr>
      <w:tr w:rsidR="004D4704" w:rsidRPr="00FF6562" w14:paraId="2B39D87C" w14:textId="77777777" w:rsidTr="004D4704">
        <w:trPr>
          <w:trHeight w:val="63"/>
        </w:trPr>
        <w:tc>
          <w:tcPr>
            <w:tcW w:w="0" w:type="auto"/>
            <w:tcBorders>
              <w:top w:val="nil"/>
              <w:left w:val="nil"/>
              <w:bottom w:val="nil"/>
              <w:right w:val="nil"/>
            </w:tcBorders>
            <w:shd w:val="clear" w:color="auto" w:fill="auto"/>
            <w:noWrap/>
            <w:vAlign w:val="center"/>
            <w:hideMark/>
          </w:tcPr>
          <w:p w14:paraId="7C9B9602"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
              <m:sSubSup>
                <m:sSubSupPr>
                  <m:ctrlPr>
                    <w:rPr>
                      <w:rFonts w:ascii="Cambria Math" w:hAnsi="Cambria Math"/>
                      <w:i/>
                      <w:color w:val="000000" w:themeColor="text1"/>
                      <w:sz w:val="16"/>
                      <w:szCs w:val="16"/>
                      <w:lang w:eastAsia="en-GB"/>
                    </w:rPr>
                  </m:ctrlPr>
                </m:sSubSup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1</m:t>
                  </m:r>
                </m:sub>
                <m:sup>
                  <m:r>
                    <w:rPr>
                      <w:rFonts w:ascii="Cambria Math" w:hAnsi="Cambria Math"/>
                      <w:color w:val="000000" w:themeColor="text1"/>
                      <w:sz w:val="16"/>
                      <w:szCs w:val="16"/>
                      <w:lang w:eastAsia="en-GB"/>
                    </w:rPr>
                    <m:t>2</m:t>
                  </m:r>
                </m:sup>
              </m:sSubSup>
            </m:oMath>
            <w:r w:rsidR="00F92754" w:rsidRPr="00AC2C84">
              <w:rPr>
                <w:color w:val="000000" w:themeColor="text1"/>
                <w:sz w:val="16"/>
                <w:szCs w:val="16"/>
                <w:lang w:eastAsia="en-GB"/>
              </w:rPr>
              <w:t>[20]</w:t>
            </w:r>
          </w:p>
        </w:tc>
        <w:tc>
          <w:tcPr>
            <w:tcW w:w="710" w:type="dxa"/>
            <w:tcBorders>
              <w:top w:val="nil"/>
              <w:left w:val="nil"/>
              <w:bottom w:val="nil"/>
              <w:right w:val="nil"/>
            </w:tcBorders>
            <w:shd w:val="clear" w:color="auto" w:fill="auto"/>
            <w:noWrap/>
            <w:vAlign w:val="center"/>
            <w:hideMark/>
          </w:tcPr>
          <w:p w14:paraId="77D6C12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5.96</w:t>
            </w:r>
          </w:p>
        </w:tc>
        <w:tc>
          <w:tcPr>
            <w:tcW w:w="0" w:type="auto"/>
            <w:tcBorders>
              <w:top w:val="nil"/>
              <w:left w:val="nil"/>
              <w:bottom w:val="nil"/>
              <w:right w:val="nil"/>
            </w:tcBorders>
            <w:shd w:val="clear" w:color="auto" w:fill="auto"/>
            <w:noWrap/>
            <w:vAlign w:val="center"/>
            <w:hideMark/>
          </w:tcPr>
          <w:p w14:paraId="04BE2F0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0" w:type="auto"/>
            <w:tcBorders>
              <w:top w:val="nil"/>
              <w:left w:val="nil"/>
              <w:bottom w:val="nil"/>
              <w:right w:val="nil"/>
            </w:tcBorders>
            <w:shd w:val="clear" w:color="auto" w:fill="auto"/>
            <w:noWrap/>
            <w:vAlign w:val="center"/>
            <w:hideMark/>
          </w:tcPr>
          <w:p w14:paraId="0F1EB1E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21.72</w:t>
            </w:r>
          </w:p>
        </w:tc>
        <w:tc>
          <w:tcPr>
            <w:tcW w:w="0" w:type="auto"/>
            <w:tcBorders>
              <w:top w:val="nil"/>
              <w:left w:val="nil"/>
              <w:bottom w:val="nil"/>
              <w:right w:val="nil"/>
            </w:tcBorders>
            <w:shd w:val="clear" w:color="auto" w:fill="auto"/>
            <w:noWrap/>
            <w:vAlign w:val="center"/>
            <w:hideMark/>
          </w:tcPr>
          <w:p w14:paraId="279BB1A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w:t>
            </w:r>
          </w:p>
        </w:tc>
        <w:tc>
          <w:tcPr>
            <w:tcW w:w="0" w:type="auto"/>
            <w:tcBorders>
              <w:top w:val="nil"/>
              <w:left w:val="nil"/>
              <w:bottom w:val="nil"/>
              <w:right w:val="nil"/>
            </w:tcBorders>
            <w:shd w:val="clear" w:color="auto" w:fill="auto"/>
            <w:noWrap/>
            <w:vAlign w:val="center"/>
            <w:hideMark/>
          </w:tcPr>
          <w:p w14:paraId="1AFB192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23.90</w:t>
            </w:r>
          </w:p>
        </w:tc>
        <w:tc>
          <w:tcPr>
            <w:tcW w:w="0" w:type="auto"/>
            <w:tcBorders>
              <w:top w:val="nil"/>
              <w:left w:val="nil"/>
              <w:bottom w:val="nil"/>
              <w:right w:val="nil"/>
            </w:tcBorders>
            <w:shd w:val="clear" w:color="auto" w:fill="auto"/>
            <w:noWrap/>
            <w:vAlign w:val="center"/>
            <w:hideMark/>
          </w:tcPr>
          <w:p w14:paraId="2DFFC91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w:t>
            </w:r>
          </w:p>
        </w:tc>
        <w:tc>
          <w:tcPr>
            <w:tcW w:w="0" w:type="auto"/>
            <w:tcBorders>
              <w:top w:val="nil"/>
              <w:left w:val="nil"/>
              <w:bottom w:val="nil"/>
              <w:right w:val="nil"/>
            </w:tcBorders>
            <w:shd w:val="clear" w:color="auto" w:fill="auto"/>
            <w:noWrap/>
            <w:vAlign w:val="center"/>
            <w:hideMark/>
          </w:tcPr>
          <w:p w14:paraId="48D1BFA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21.53</w:t>
            </w:r>
          </w:p>
        </w:tc>
        <w:tc>
          <w:tcPr>
            <w:tcW w:w="0" w:type="auto"/>
            <w:tcBorders>
              <w:top w:val="nil"/>
              <w:left w:val="nil"/>
              <w:bottom w:val="nil"/>
              <w:right w:val="nil"/>
            </w:tcBorders>
            <w:shd w:val="clear" w:color="auto" w:fill="auto"/>
            <w:noWrap/>
            <w:vAlign w:val="center"/>
            <w:hideMark/>
          </w:tcPr>
          <w:p w14:paraId="31B377F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w:t>
            </w:r>
          </w:p>
        </w:tc>
        <w:tc>
          <w:tcPr>
            <w:tcW w:w="0" w:type="auto"/>
            <w:tcBorders>
              <w:top w:val="nil"/>
              <w:left w:val="nil"/>
              <w:bottom w:val="nil"/>
              <w:right w:val="nil"/>
            </w:tcBorders>
            <w:shd w:val="clear" w:color="auto" w:fill="auto"/>
            <w:noWrap/>
            <w:vAlign w:val="center"/>
            <w:hideMark/>
          </w:tcPr>
          <w:p w14:paraId="4D0EEF7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11.69</w:t>
            </w:r>
          </w:p>
        </w:tc>
        <w:tc>
          <w:tcPr>
            <w:tcW w:w="0" w:type="auto"/>
            <w:tcBorders>
              <w:top w:val="nil"/>
              <w:left w:val="nil"/>
              <w:bottom w:val="nil"/>
              <w:right w:val="nil"/>
            </w:tcBorders>
            <w:shd w:val="clear" w:color="auto" w:fill="auto"/>
            <w:noWrap/>
            <w:vAlign w:val="center"/>
            <w:hideMark/>
          </w:tcPr>
          <w:p w14:paraId="510577C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0.93</w:t>
            </w:r>
          </w:p>
        </w:tc>
        <w:tc>
          <w:tcPr>
            <w:tcW w:w="0" w:type="auto"/>
            <w:tcBorders>
              <w:top w:val="nil"/>
              <w:left w:val="nil"/>
              <w:bottom w:val="nil"/>
              <w:right w:val="nil"/>
            </w:tcBorders>
            <w:shd w:val="clear" w:color="auto" w:fill="auto"/>
            <w:noWrap/>
            <w:vAlign w:val="center"/>
            <w:hideMark/>
          </w:tcPr>
          <w:p w14:paraId="59D1EFE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41.40</w:t>
            </w:r>
          </w:p>
        </w:tc>
        <w:tc>
          <w:tcPr>
            <w:tcW w:w="0" w:type="auto"/>
            <w:tcBorders>
              <w:top w:val="nil"/>
              <w:left w:val="nil"/>
              <w:bottom w:val="nil"/>
              <w:right w:val="nil"/>
            </w:tcBorders>
            <w:shd w:val="clear" w:color="auto" w:fill="auto"/>
            <w:noWrap/>
            <w:vAlign w:val="center"/>
            <w:hideMark/>
          </w:tcPr>
          <w:p w14:paraId="65EE4BF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p>
        </w:tc>
        <w:tc>
          <w:tcPr>
            <w:tcW w:w="0" w:type="auto"/>
            <w:tcBorders>
              <w:top w:val="nil"/>
              <w:left w:val="nil"/>
              <w:bottom w:val="nil"/>
              <w:right w:val="nil"/>
            </w:tcBorders>
            <w:shd w:val="clear" w:color="auto" w:fill="auto"/>
            <w:noWrap/>
            <w:vAlign w:val="center"/>
            <w:hideMark/>
          </w:tcPr>
          <w:p w14:paraId="01E5EA2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13.08</w:t>
            </w:r>
          </w:p>
        </w:tc>
        <w:tc>
          <w:tcPr>
            <w:tcW w:w="0" w:type="auto"/>
            <w:tcBorders>
              <w:top w:val="nil"/>
              <w:left w:val="nil"/>
              <w:bottom w:val="nil"/>
              <w:right w:val="nil"/>
            </w:tcBorders>
            <w:shd w:val="clear" w:color="auto" w:fill="auto"/>
            <w:noWrap/>
            <w:vAlign w:val="center"/>
            <w:hideMark/>
          </w:tcPr>
          <w:p w14:paraId="6C557BD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w:t>
            </w:r>
          </w:p>
        </w:tc>
        <w:tc>
          <w:tcPr>
            <w:tcW w:w="0" w:type="auto"/>
            <w:tcBorders>
              <w:top w:val="nil"/>
              <w:left w:val="nil"/>
              <w:bottom w:val="nil"/>
              <w:right w:val="nil"/>
            </w:tcBorders>
            <w:shd w:val="clear" w:color="auto" w:fill="auto"/>
            <w:noWrap/>
            <w:vAlign w:val="center"/>
            <w:hideMark/>
          </w:tcPr>
          <w:p w14:paraId="267CC97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22.56</w:t>
            </w:r>
          </w:p>
        </w:tc>
        <w:tc>
          <w:tcPr>
            <w:tcW w:w="0" w:type="auto"/>
            <w:tcBorders>
              <w:top w:val="nil"/>
              <w:left w:val="nil"/>
              <w:bottom w:val="nil"/>
              <w:right w:val="nil"/>
            </w:tcBorders>
            <w:shd w:val="clear" w:color="auto" w:fill="auto"/>
            <w:noWrap/>
            <w:vAlign w:val="center"/>
            <w:hideMark/>
          </w:tcPr>
          <w:p w14:paraId="1C4A9DD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w:t>
            </w:r>
          </w:p>
        </w:tc>
        <w:tc>
          <w:tcPr>
            <w:tcW w:w="0" w:type="auto"/>
            <w:tcBorders>
              <w:top w:val="nil"/>
              <w:left w:val="nil"/>
              <w:bottom w:val="nil"/>
              <w:right w:val="nil"/>
            </w:tcBorders>
            <w:shd w:val="clear" w:color="auto" w:fill="auto"/>
            <w:noWrap/>
            <w:vAlign w:val="center"/>
            <w:hideMark/>
          </w:tcPr>
          <w:p w14:paraId="759654B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23.99</w:t>
            </w:r>
          </w:p>
        </w:tc>
        <w:tc>
          <w:tcPr>
            <w:tcW w:w="0" w:type="auto"/>
            <w:tcBorders>
              <w:top w:val="nil"/>
              <w:left w:val="nil"/>
              <w:bottom w:val="nil"/>
              <w:right w:val="nil"/>
            </w:tcBorders>
            <w:shd w:val="clear" w:color="auto" w:fill="auto"/>
            <w:noWrap/>
            <w:vAlign w:val="center"/>
            <w:hideMark/>
          </w:tcPr>
          <w:p w14:paraId="233CC3E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w:t>
            </w:r>
          </w:p>
        </w:tc>
        <w:tc>
          <w:tcPr>
            <w:tcW w:w="0" w:type="auto"/>
            <w:tcBorders>
              <w:top w:val="nil"/>
              <w:left w:val="nil"/>
              <w:bottom w:val="nil"/>
              <w:right w:val="nil"/>
            </w:tcBorders>
            <w:shd w:val="clear" w:color="auto" w:fill="auto"/>
            <w:noWrap/>
            <w:vAlign w:val="center"/>
            <w:hideMark/>
          </w:tcPr>
          <w:p w14:paraId="6D3348A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20.20</w:t>
            </w:r>
          </w:p>
        </w:tc>
        <w:tc>
          <w:tcPr>
            <w:tcW w:w="0" w:type="auto"/>
            <w:tcBorders>
              <w:top w:val="nil"/>
              <w:left w:val="nil"/>
              <w:bottom w:val="nil"/>
              <w:right w:val="nil"/>
            </w:tcBorders>
            <w:shd w:val="clear" w:color="auto" w:fill="auto"/>
            <w:noWrap/>
            <w:vAlign w:val="center"/>
            <w:hideMark/>
          </w:tcPr>
          <w:p w14:paraId="63773E8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w:t>
            </w:r>
          </w:p>
        </w:tc>
        <w:tc>
          <w:tcPr>
            <w:tcW w:w="0" w:type="auto"/>
            <w:tcBorders>
              <w:top w:val="nil"/>
              <w:left w:val="nil"/>
              <w:bottom w:val="nil"/>
              <w:right w:val="nil"/>
            </w:tcBorders>
            <w:shd w:val="clear" w:color="auto" w:fill="auto"/>
            <w:noWrap/>
            <w:vAlign w:val="center"/>
            <w:hideMark/>
          </w:tcPr>
          <w:p w14:paraId="70A6B7A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22.19</w:t>
            </w:r>
          </w:p>
        </w:tc>
        <w:tc>
          <w:tcPr>
            <w:tcW w:w="0" w:type="auto"/>
            <w:tcBorders>
              <w:top w:val="nil"/>
              <w:left w:val="nil"/>
              <w:bottom w:val="nil"/>
              <w:right w:val="nil"/>
            </w:tcBorders>
            <w:shd w:val="clear" w:color="auto" w:fill="auto"/>
            <w:noWrap/>
            <w:vAlign w:val="center"/>
            <w:hideMark/>
          </w:tcPr>
          <w:p w14:paraId="46E0701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w:t>
            </w:r>
          </w:p>
        </w:tc>
      </w:tr>
      <w:tr w:rsidR="004D4704" w:rsidRPr="00FF6562" w14:paraId="6F451536" w14:textId="77777777" w:rsidTr="004D4704">
        <w:trPr>
          <w:trHeight w:val="52"/>
        </w:trPr>
        <w:tc>
          <w:tcPr>
            <w:tcW w:w="0" w:type="auto"/>
            <w:tcBorders>
              <w:top w:val="nil"/>
              <w:left w:val="nil"/>
              <w:bottom w:val="single" w:sz="8" w:space="0" w:color="auto"/>
              <w:right w:val="nil"/>
            </w:tcBorders>
            <w:shd w:val="clear" w:color="auto" w:fill="auto"/>
            <w:noWrap/>
            <w:vAlign w:val="center"/>
            <w:hideMark/>
          </w:tcPr>
          <w:p w14:paraId="6532DF9E"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
              <m:sSubSup>
                <m:sSubSupPr>
                  <m:ctrlPr>
                    <w:rPr>
                      <w:rFonts w:ascii="Cambria Math" w:hAnsi="Cambria Math"/>
                      <w:i/>
                      <w:color w:val="000000" w:themeColor="text1"/>
                      <w:sz w:val="16"/>
                      <w:szCs w:val="16"/>
                      <w:lang w:eastAsia="en-GB"/>
                    </w:rPr>
                  </m:ctrlPr>
                </m:sSubSup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2</m:t>
                  </m:r>
                </m:sub>
                <m:sup>
                  <m:r>
                    <w:rPr>
                      <w:rFonts w:ascii="Cambria Math" w:hAnsi="Cambria Math"/>
                      <w:color w:val="000000" w:themeColor="text1"/>
                      <w:sz w:val="16"/>
                      <w:szCs w:val="16"/>
                      <w:lang w:eastAsia="en-GB"/>
                    </w:rPr>
                    <m:t>2</m:t>
                  </m:r>
                </m:sup>
              </m:sSubSup>
            </m:oMath>
            <w:r w:rsidR="00F92754" w:rsidRPr="00AC2C84">
              <w:rPr>
                <w:color w:val="000000" w:themeColor="text1"/>
                <w:sz w:val="16"/>
                <w:szCs w:val="16"/>
                <w:lang w:eastAsia="en-GB"/>
              </w:rPr>
              <w:t>[20]</w:t>
            </w:r>
          </w:p>
        </w:tc>
        <w:tc>
          <w:tcPr>
            <w:tcW w:w="710" w:type="dxa"/>
            <w:tcBorders>
              <w:top w:val="nil"/>
              <w:left w:val="nil"/>
              <w:bottom w:val="single" w:sz="8" w:space="0" w:color="auto"/>
              <w:right w:val="nil"/>
            </w:tcBorders>
            <w:shd w:val="clear" w:color="auto" w:fill="auto"/>
            <w:noWrap/>
            <w:vAlign w:val="center"/>
            <w:hideMark/>
          </w:tcPr>
          <w:p w14:paraId="6BB990A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9.20</w:t>
            </w:r>
          </w:p>
        </w:tc>
        <w:tc>
          <w:tcPr>
            <w:tcW w:w="0" w:type="auto"/>
            <w:tcBorders>
              <w:top w:val="nil"/>
              <w:left w:val="nil"/>
              <w:bottom w:val="single" w:sz="8" w:space="0" w:color="auto"/>
              <w:right w:val="nil"/>
            </w:tcBorders>
            <w:shd w:val="clear" w:color="auto" w:fill="auto"/>
            <w:noWrap/>
            <w:vAlign w:val="center"/>
            <w:hideMark/>
          </w:tcPr>
          <w:p w14:paraId="48F04CB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0" w:type="auto"/>
            <w:tcBorders>
              <w:top w:val="nil"/>
              <w:left w:val="nil"/>
              <w:bottom w:val="single" w:sz="8" w:space="0" w:color="auto"/>
              <w:right w:val="nil"/>
            </w:tcBorders>
            <w:shd w:val="clear" w:color="auto" w:fill="auto"/>
            <w:noWrap/>
            <w:vAlign w:val="center"/>
            <w:hideMark/>
          </w:tcPr>
          <w:p w14:paraId="45BBB25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6.40</w:t>
            </w:r>
          </w:p>
        </w:tc>
        <w:tc>
          <w:tcPr>
            <w:tcW w:w="0" w:type="auto"/>
            <w:tcBorders>
              <w:top w:val="nil"/>
              <w:left w:val="nil"/>
              <w:bottom w:val="single" w:sz="8" w:space="0" w:color="auto"/>
              <w:right w:val="nil"/>
            </w:tcBorders>
            <w:shd w:val="clear" w:color="auto" w:fill="auto"/>
            <w:noWrap/>
            <w:vAlign w:val="center"/>
            <w:hideMark/>
          </w:tcPr>
          <w:p w14:paraId="4CB6883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center"/>
            <w:hideMark/>
          </w:tcPr>
          <w:p w14:paraId="11950F3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5.36</w:t>
            </w:r>
          </w:p>
        </w:tc>
        <w:tc>
          <w:tcPr>
            <w:tcW w:w="0" w:type="auto"/>
            <w:tcBorders>
              <w:top w:val="nil"/>
              <w:left w:val="nil"/>
              <w:bottom w:val="single" w:sz="8" w:space="0" w:color="auto"/>
              <w:right w:val="nil"/>
            </w:tcBorders>
            <w:shd w:val="clear" w:color="auto" w:fill="auto"/>
            <w:noWrap/>
            <w:vAlign w:val="center"/>
            <w:hideMark/>
          </w:tcPr>
          <w:p w14:paraId="1E76356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0" w:type="auto"/>
            <w:tcBorders>
              <w:top w:val="nil"/>
              <w:left w:val="nil"/>
              <w:bottom w:val="single" w:sz="8" w:space="0" w:color="auto"/>
              <w:right w:val="nil"/>
            </w:tcBorders>
            <w:shd w:val="clear" w:color="auto" w:fill="auto"/>
            <w:noWrap/>
            <w:vAlign w:val="center"/>
            <w:hideMark/>
          </w:tcPr>
          <w:p w14:paraId="37ECA57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4.95</w:t>
            </w:r>
          </w:p>
        </w:tc>
        <w:tc>
          <w:tcPr>
            <w:tcW w:w="0" w:type="auto"/>
            <w:tcBorders>
              <w:top w:val="nil"/>
              <w:left w:val="nil"/>
              <w:bottom w:val="single" w:sz="8" w:space="0" w:color="auto"/>
              <w:right w:val="nil"/>
            </w:tcBorders>
            <w:shd w:val="clear" w:color="auto" w:fill="auto"/>
            <w:noWrap/>
            <w:vAlign w:val="center"/>
            <w:hideMark/>
          </w:tcPr>
          <w:p w14:paraId="0C956EC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center"/>
            <w:hideMark/>
          </w:tcPr>
          <w:p w14:paraId="5BC85F6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4.05</w:t>
            </w:r>
          </w:p>
        </w:tc>
        <w:tc>
          <w:tcPr>
            <w:tcW w:w="0" w:type="auto"/>
            <w:tcBorders>
              <w:top w:val="nil"/>
              <w:left w:val="nil"/>
              <w:bottom w:val="single" w:sz="8" w:space="0" w:color="auto"/>
              <w:right w:val="nil"/>
            </w:tcBorders>
            <w:shd w:val="clear" w:color="auto" w:fill="auto"/>
            <w:noWrap/>
            <w:vAlign w:val="center"/>
            <w:hideMark/>
          </w:tcPr>
          <w:p w14:paraId="3100BD5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center"/>
            <w:hideMark/>
          </w:tcPr>
          <w:p w14:paraId="046CCB6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8.92</w:t>
            </w:r>
          </w:p>
        </w:tc>
        <w:tc>
          <w:tcPr>
            <w:tcW w:w="0" w:type="auto"/>
            <w:tcBorders>
              <w:top w:val="nil"/>
              <w:left w:val="nil"/>
              <w:bottom w:val="single" w:sz="8" w:space="0" w:color="auto"/>
              <w:right w:val="nil"/>
            </w:tcBorders>
            <w:shd w:val="clear" w:color="auto" w:fill="auto"/>
            <w:noWrap/>
            <w:vAlign w:val="center"/>
            <w:hideMark/>
          </w:tcPr>
          <w:p w14:paraId="5CC3567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0" w:type="auto"/>
            <w:tcBorders>
              <w:top w:val="nil"/>
              <w:left w:val="nil"/>
              <w:bottom w:val="single" w:sz="8" w:space="0" w:color="auto"/>
              <w:right w:val="nil"/>
            </w:tcBorders>
            <w:shd w:val="clear" w:color="auto" w:fill="auto"/>
            <w:noWrap/>
            <w:vAlign w:val="center"/>
            <w:hideMark/>
          </w:tcPr>
          <w:p w14:paraId="4CD8708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8.48</w:t>
            </w:r>
          </w:p>
        </w:tc>
        <w:tc>
          <w:tcPr>
            <w:tcW w:w="0" w:type="auto"/>
            <w:tcBorders>
              <w:top w:val="nil"/>
              <w:left w:val="nil"/>
              <w:bottom w:val="single" w:sz="8" w:space="0" w:color="auto"/>
              <w:right w:val="nil"/>
            </w:tcBorders>
            <w:shd w:val="clear" w:color="auto" w:fill="auto"/>
            <w:noWrap/>
            <w:vAlign w:val="center"/>
            <w:hideMark/>
          </w:tcPr>
          <w:p w14:paraId="2662342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center"/>
            <w:hideMark/>
          </w:tcPr>
          <w:p w14:paraId="207783B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8.74</w:t>
            </w:r>
          </w:p>
        </w:tc>
        <w:tc>
          <w:tcPr>
            <w:tcW w:w="0" w:type="auto"/>
            <w:tcBorders>
              <w:top w:val="nil"/>
              <w:left w:val="nil"/>
              <w:bottom w:val="single" w:sz="8" w:space="0" w:color="auto"/>
              <w:right w:val="nil"/>
            </w:tcBorders>
            <w:shd w:val="clear" w:color="auto" w:fill="auto"/>
            <w:noWrap/>
            <w:vAlign w:val="center"/>
            <w:hideMark/>
          </w:tcPr>
          <w:p w14:paraId="24053BF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center"/>
            <w:hideMark/>
          </w:tcPr>
          <w:p w14:paraId="77D9E11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5.70</w:t>
            </w:r>
          </w:p>
        </w:tc>
        <w:tc>
          <w:tcPr>
            <w:tcW w:w="0" w:type="auto"/>
            <w:tcBorders>
              <w:top w:val="nil"/>
              <w:left w:val="nil"/>
              <w:bottom w:val="single" w:sz="8" w:space="0" w:color="auto"/>
              <w:right w:val="nil"/>
            </w:tcBorders>
            <w:shd w:val="clear" w:color="auto" w:fill="auto"/>
            <w:noWrap/>
            <w:vAlign w:val="center"/>
            <w:hideMark/>
          </w:tcPr>
          <w:p w14:paraId="7C9E482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0" w:type="auto"/>
            <w:tcBorders>
              <w:top w:val="nil"/>
              <w:left w:val="nil"/>
              <w:bottom w:val="single" w:sz="8" w:space="0" w:color="auto"/>
              <w:right w:val="nil"/>
            </w:tcBorders>
            <w:shd w:val="clear" w:color="auto" w:fill="auto"/>
            <w:noWrap/>
            <w:vAlign w:val="center"/>
            <w:hideMark/>
          </w:tcPr>
          <w:p w14:paraId="5F434E4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4.53</w:t>
            </w:r>
          </w:p>
        </w:tc>
        <w:tc>
          <w:tcPr>
            <w:tcW w:w="0" w:type="auto"/>
            <w:tcBorders>
              <w:top w:val="nil"/>
              <w:left w:val="nil"/>
              <w:bottom w:val="single" w:sz="8" w:space="0" w:color="auto"/>
              <w:right w:val="nil"/>
            </w:tcBorders>
            <w:shd w:val="clear" w:color="auto" w:fill="auto"/>
            <w:noWrap/>
            <w:vAlign w:val="center"/>
            <w:hideMark/>
          </w:tcPr>
          <w:p w14:paraId="341F87C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c>
          <w:tcPr>
            <w:tcW w:w="0" w:type="auto"/>
            <w:tcBorders>
              <w:top w:val="nil"/>
              <w:left w:val="nil"/>
              <w:bottom w:val="single" w:sz="8" w:space="0" w:color="auto"/>
              <w:right w:val="nil"/>
            </w:tcBorders>
            <w:shd w:val="clear" w:color="auto" w:fill="auto"/>
            <w:noWrap/>
            <w:vAlign w:val="center"/>
            <w:hideMark/>
          </w:tcPr>
          <w:p w14:paraId="38A808A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6.21</w:t>
            </w:r>
          </w:p>
        </w:tc>
        <w:tc>
          <w:tcPr>
            <w:tcW w:w="0" w:type="auto"/>
            <w:tcBorders>
              <w:top w:val="nil"/>
              <w:left w:val="nil"/>
              <w:bottom w:val="single" w:sz="8" w:space="0" w:color="auto"/>
              <w:right w:val="nil"/>
            </w:tcBorders>
            <w:shd w:val="clear" w:color="auto" w:fill="auto"/>
            <w:noWrap/>
            <w:vAlign w:val="center"/>
            <w:hideMark/>
          </w:tcPr>
          <w:p w14:paraId="215FB23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w:t>
            </w:r>
          </w:p>
        </w:tc>
      </w:tr>
    </w:tbl>
    <w:p w14:paraId="1BB92524" w14:textId="77777777" w:rsidR="00F92754" w:rsidRDefault="00F92754" w:rsidP="00F92754">
      <w:pPr>
        <w:spacing w:after="0"/>
        <w:jc w:val="both"/>
        <w:rPr>
          <w:rFonts w:ascii="Times New Roman" w:eastAsiaTheme="minorEastAsia" w:hAnsi="Times New Roman" w:cs="Times New Roman"/>
          <w:color w:val="000000" w:themeColor="text1"/>
          <w:sz w:val="16"/>
          <w:szCs w:val="16"/>
          <w:lang w:eastAsia="en-GB"/>
        </w:rPr>
      </w:pPr>
    </w:p>
    <w:p w14:paraId="28D2A641" w14:textId="77777777" w:rsidR="00F92754" w:rsidRPr="0089673A" w:rsidRDefault="00F92754" w:rsidP="00F92754">
      <w:pPr>
        <w:spacing w:after="0"/>
        <w:jc w:val="both"/>
        <w:rPr>
          <w:rFonts w:ascii="Times New Roman" w:hAnsi="Times New Roman" w:cs="Times New Roman"/>
          <w:sz w:val="16"/>
          <w:szCs w:val="16"/>
        </w:rPr>
      </w:pPr>
    </w:p>
    <w:p w14:paraId="3440CCBA" w14:textId="77777777" w:rsidR="00F92754" w:rsidRDefault="00F92754" w:rsidP="00F92754">
      <w:pPr>
        <w:rPr>
          <w:rFonts w:ascii="Times New Roman" w:hAnsi="Times New Roman" w:cs="Times New Roman"/>
        </w:rPr>
      </w:pPr>
    </w:p>
    <w:p w14:paraId="34FACF7E" w14:textId="77777777" w:rsidR="00F92754" w:rsidRDefault="00F92754" w:rsidP="00F92754">
      <w:pPr>
        <w:spacing w:after="0" w:line="240" w:lineRule="auto"/>
        <w:rPr>
          <w:rFonts w:ascii="Times New Roman" w:eastAsia="Times New Roman" w:hAnsi="Times New Roman" w:cs="Times New Roman"/>
          <w:sz w:val="24"/>
          <w:szCs w:val="24"/>
          <w:lang w:eastAsia="en-GB"/>
        </w:rPr>
      </w:pPr>
    </w:p>
    <w:p w14:paraId="14F6D909" w14:textId="77777777" w:rsidR="00F92754" w:rsidRDefault="00F92754" w:rsidP="00F92754">
      <w:pPr>
        <w:rPr>
          <w:rFonts w:ascii="Times New Roman" w:hAnsi="Times New Roman" w:cs="Times New Roman"/>
          <w:b/>
          <w:bCs/>
        </w:rPr>
        <w:sectPr w:rsidR="00F92754" w:rsidSect="00620F07">
          <w:pgSz w:w="15840" w:h="12240" w:orient="landscape"/>
          <w:pgMar w:top="1224" w:right="850" w:bottom="1224" w:left="850" w:header="720" w:footer="720" w:gutter="0"/>
          <w:cols w:space="720"/>
          <w:docGrid w:linePitch="360"/>
        </w:sectPr>
      </w:pPr>
    </w:p>
    <w:p w14:paraId="5CF0F3F4" w14:textId="77777777" w:rsidR="00F92754" w:rsidRPr="00962B85" w:rsidRDefault="00F92754" w:rsidP="00F92754">
      <w:pPr>
        <w:rPr>
          <w:rFonts w:ascii="Times New Roman" w:hAnsi="Times New Roman" w:cs="Times New Roman"/>
        </w:rPr>
      </w:pPr>
      <w:r w:rsidRPr="00962B85">
        <w:rPr>
          <w:rFonts w:ascii="Times New Roman" w:hAnsi="Times New Roman" w:cs="Times New Roman"/>
          <w:b/>
          <w:bCs/>
        </w:rPr>
        <w:lastRenderedPageBreak/>
        <w:t xml:space="preserve">Table </w:t>
      </w:r>
      <w:r>
        <w:rPr>
          <w:rFonts w:ascii="Times New Roman" w:hAnsi="Times New Roman" w:cs="Times New Roman"/>
          <w:b/>
          <w:bCs/>
        </w:rPr>
        <w:t>5</w:t>
      </w:r>
      <w:r w:rsidRPr="00962B85">
        <w:rPr>
          <w:rFonts w:ascii="Times New Roman" w:hAnsi="Times New Roman" w:cs="Times New Roman"/>
          <w:b/>
          <w:bCs/>
        </w:rPr>
        <w:t>.</w:t>
      </w:r>
      <w:r w:rsidRPr="00962B85">
        <w:rPr>
          <w:rFonts w:ascii="Times New Roman" w:hAnsi="Times New Roman" w:cs="Times New Roman"/>
        </w:rPr>
        <w:t xml:space="preserve"> Estimates of VAR-BEKK-AGARCH between Islamic equity sectors</w:t>
      </w:r>
      <w:r>
        <w:rPr>
          <w:rFonts w:ascii="Times New Roman" w:hAnsi="Times New Roman" w:cs="Times New Roman"/>
        </w:rPr>
        <w:t xml:space="preserve"> and </w:t>
      </w:r>
      <w:r w:rsidRPr="00962B85">
        <w:rPr>
          <w:rFonts w:ascii="Times New Roman" w:hAnsi="Times New Roman" w:cs="Times New Roman"/>
        </w:rPr>
        <w:t>X8</w:t>
      </w:r>
      <w:r>
        <w:rPr>
          <w:rFonts w:ascii="Times New Roman" w:hAnsi="Times New Roman" w:cs="Times New Roman"/>
        </w:rPr>
        <w:t>X</w:t>
      </w:r>
      <w:r w:rsidRPr="00962B85">
        <w:rPr>
          <w:rFonts w:ascii="Times New Roman" w:hAnsi="Times New Roman" w:cs="Times New Roman"/>
        </w:rPr>
        <w:t xml:space="preserve"> during </w:t>
      </w:r>
      <w:r>
        <w:rPr>
          <w:rFonts w:ascii="Times New Roman" w:hAnsi="Times New Roman" w:cs="Times New Roman"/>
        </w:rPr>
        <w:t>the COVID-19 pe</w:t>
      </w:r>
      <w:r w:rsidRPr="00962B85">
        <w:rPr>
          <w:rFonts w:ascii="Times New Roman" w:hAnsi="Times New Roman" w:cs="Times New Roman"/>
        </w:rPr>
        <w:t>riod.</w:t>
      </w:r>
    </w:p>
    <w:tbl>
      <w:tblPr>
        <w:tblW w:w="14703" w:type="dxa"/>
        <w:jc w:val="center"/>
        <w:tblLook w:val="04A0" w:firstRow="1" w:lastRow="0" w:firstColumn="1" w:lastColumn="0" w:noHBand="0" w:noVBand="1"/>
      </w:tblPr>
      <w:tblGrid>
        <w:gridCol w:w="718"/>
        <w:gridCol w:w="637"/>
        <w:gridCol w:w="627"/>
        <w:gridCol w:w="637"/>
        <w:gridCol w:w="627"/>
        <w:gridCol w:w="637"/>
        <w:gridCol w:w="627"/>
        <w:gridCol w:w="637"/>
        <w:gridCol w:w="627"/>
        <w:gridCol w:w="714"/>
        <w:gridCol w:w="627"/>
        <w:gridCol w:w="637"/>
        <w:gridCol w:w="627"/>
        <w:gridCol w:w="637"/>
        <w:gridCol w:w="627"/>
        <w:gridCol w:w="637"/>
        <w:gridCol w:w="627"/>
        <w:gridCol w:w="637"/>
        <w:gridCol w:w="627"/>
        <w:gridCol w:w="637"/>
        <w:gridCol w:w="627"/>
        <w:gridCol w:w="637"/>
        <w:gridCol w:w="631"/>
      </w:tblGrid>
      <w:tr w:rsidR="004418B0" w:rsidRPr="00FF6562" w14:paraId="5DECD46E" w14:textId="77777777" w:rsidTr="00875EB5">
        <w:trPr>
          <w:trHeight w:val="254"/>
          <w:jc w:val="center"/>
        </w:trPr>
        <w:tc>
          <w:tcPr>
            <w:tcW w:w="14703" w:type="dxa"/>
            <w:gridSpan w:val="23"/>
            <w:tcBorders>
              <w:top w:val="single" w:sz="4" w:space="0" w:color="auto"/>
              <w:left w:val="nil"/>
              <w:bottom w:val="single" w:sz="4" w:space="0" w:color="auto"/>
              <w:right w:val="nil"/>
            </w:tcBorders>
            <w:shd w:val="clear" w:color="auto" w:fill="auto"/>
            <w:noWrap/>
            <w:vAlign w:val="bottom"/>
          </w:tcPr>
          <w:p w14:paraId="52A4B5E6" w14:textId="299F2433" w:rsidR="004418B0" w:rsidRPr="004418B0" w:rsidRDefault="004418B0" w:rsidP="004418B0">
            <w:pPr>
              <w:spacing w:after="0" w:line="240" w:lineRule="auto"/>
              <w:jc w:val="both"/>
              <w:rPr>
                <w:rFonts w:ascii="Times New Roman" w:eastAsia="Times New Roman" w:hAnsi="Times New Roman" w:cs="Times New Roman"/>
                <w:sz w:val="16"/>
                <w:szCs w:val="16"/>
                <w:lang w:eastAsia="en-GB"/>
              </w:rPr>
            </w:pPr>
            <w:r w:rsidRPr="004418B0">
              <w:rPr>
                <w:rFonts w:ascii="Times New Roman" w:eastAsia="Times New Roman" w:hAnsi="Times New Roman" w:cs="Times New Roman"/>
                <w:sz w:val="16"/>
                <w:szCs w:val="16"/>
                <w:lang w:eastAsia="en-GB"/>
              </w:rPr>
              <w:t xml:space="preserve">This table provides the estimations of return and volatility spillovers between Islamic equity sectors and X8X during the COVID-19 period. The mean equation in Panel A provides the results of returns spillovers, whereas the variance equation in panel B provides the results of shock and volatility spillovers. Panel C presents the diagnostic tests, including log-likelihood ratio, AIC test, BIC test, and </w:t>
            </w:r>
            <w:proofErr w:type="spellStart"/>
            <w:r w:rsidRPr="004418B0">
              <w:rPr>
                <w:rFonts w:ascii="Times New Roman" w:eastAsia="Times New Roman" w:hAnsi="Times New Roman" w:cs="Times New Roman"/>
                <w:sz w:val="16"/>
                <w:szCs w:val="16"/>
                <w:lang w:eastAsia="en-GB"/>
              </w:rPr>
              <w:t>Ljung</w:t>
            </w:r>
            <w:proofErr w:type="spellEnd"/>
            <w:r w:rsidRPr="004418B0">
              <w:rPr>
                <w:rFonts w:ascii="Times New Roman" w:eastAsia="Times New Roman" w:hAnsi="Times New Roman" w:cs="Times New Roman"/>
                <w:sz w:val="16"/>
                <w:szCs w:val="16"/>
                <w:lang w:eastAsia="en-GB"/>
              </w:rPr>
              <w:t xml:space="preserve">-Box Q statistics. Following are the full forms of different acronyms used in the table: Com. services-communication services, consumer disc.-consumer discretionary, consumer </w:t>
            </w:r>
            <w:proofErr w:type="spellStart"/>
            <w:r w:rsidRPr="004418B0">
              <w:rPr>
                <w:rFonts w:ascii="Times New Roman" w:eastAsia="Times New Roman" w:hAnsi="Times New Roman" w:cs="Times New Roman"/>
                <w:sz w:val="16"/>
                <w:szCs w:val="16"/>
                <w:lang w:eastAsia="en-GB"/>
              </w:rPr>
              <w:t>stap</w:t>
            </w:r>
            <w:proofErr w:type="spellEnd"/>
            <w:r w:rsidRPr="004418B0">
              <w:rPr>
                <w:rFonts w:ascii="Times New Roman" w:eastAsia="Times New Roman" w:hAnsi="Times New Roman" w:cs="Times New Roman"/>
                <w:sz w:val="16"/>
                <w:szCs w:val="16"/>
                <w:lang w:eastAsia="en-GB"/>
              </w:rPr>
              <w:t>-consumer staples, Information tech.-Information technology. Coeff-coefficient, p-val.-p-</w:t>
            </w:r>
            <w:proofErr w:type="spellStart"/>
            <w:r w:rsidRPr="004418B0">
              <w:rPr>
                <w:rFonts w:ascii="Times New Roman" w:eastAsia="Times New Roman" w:hAnsi="Times New Roman" w:cs="Times New Roman"/>
                <w:sz w:val="16"/>
                <w:szCs w:val="16"/>
                <w:lang w:eastAsia="en-GB"/>
              </w:rPr>
              <w:t>value.AIC</w:t>
            </w:r>
            <w:proofErr w:type="spellEnd"/>
            <w:r w:rsidRPr="004418B0">
              <w:rPr>
                <w:rFonts w:ascii="Times New Roman" w:eastAsia="Times New Roman" w:hAnsi="Times New Roman" w:cs="Times New Roman"/>
                <w:sz w:val="16"/>
                <w:szCs w:val="16"/>
                <w:lang w:eastAsia="en-GB"/>
              </w:rPr>
              <w:t xml:space="preserve"> and SIC </w:t>
            </w:r>
            <w:proofErr w:type="spellStart"/>
            <w:r w:rsidRPr="004418B0">
              <w:rPr>
                <w:rFonts w:ascii="Times New Roman" w:eastAsia="Times New Roman" w:hAnsi="Times New Roman" w:cs="Times New Roman"/>
                <w:sz w:val="16"/>
                <w:szCs w:val="16"/>
                <w:lang w:eastAsia="en-GB"/>
              </w:rPr>
              <w:t>criterias</w:t>
            </w:r>
            <w:proofErr w:type="spellEnd"/>
            <w:r w:rsidRPr="004418B0">
              <w:rPr>
                <w:rFonts w:ascii="Times New Roman" w:eastAsia="Times New Roman" w:hAnsi="Times New Roman" w:cs="Times New Roman"/>
                <w:sz w:val="16"/>
                <w:szCs w:val="16"/>
                <w:lang w:eastAsia="en-GB"/>
              </w:rPr>
              <w:t xml:space="preserve"> are used for the selection of number of lags. Q (20), and Q</w:t>
            </w:r>
            <w:r w:rsidRPr="004418B0">
              <w:rPr>
                <w:rFonts w:ascii="Times New Roman" w:eastAsia="Times New Roman" w:hAnsi="Times New Roman" w:cs="Times New Roman"/>
                <w:sz w:val="16"/>
                <w:szCs w:val="16"/>
                <w:vertAlign w:val="superscript"/>
                <w:lang w:eastAsia="en-GB"/>
              </w:rPr>
              <w:t>2</w:t>
            </w:r>
            <w:r w:rsidRPr="004418B0">
              <w:rPr>
                <w:rFonts w:ascii="Times New Roman" w:eastAsia="Times New Roman" w:hAnsi="Times New Roman" w:cs="Times New Roman"/>
                <w:sz w:val="16"/>
                <w:szCs w:val="16"/>
                <w:lang w:eastAsia="en-GB"/>
              </w:rPr>
              <w:t xml:space="preserve">(20) denotes </w:t>
            </w:r>
            <w:proofErr w:type="spellStart"/>
            <w:r w:rsidRPr="004418B0">
              <w:rPr>
                <w:rFonts w:ascii="Times New Roman" w:eastAsia="Times New Roman" w:hAnsi="Times New Roman" w:cs="Times New Roman"/>
                <w:sz w:val="16"/>
                <w:szCs w:val="16"/>
                <w:lang w:eastAsia="en-GB"/>
              </w:rPr>
              <w:t>Ljung</w:t>
            </w:r>
            <w:proofErr w:type="spellEnd"/>
            <w:r w:rsidRPr="004418B0">
              <w:rPr>
                <w:rFonts w:ascii="Times New Roman" w:eastAsia="Times New Roman" w:hAnsi="Times New Roman" w:cs="Times New Roman"/>
                <w:sz w:val="16"/>
                <w:szCs w:val="16"/>
                <w:lang w:eastAsia="en-GB"/>
              </w:rPr>
              <w:t xml:space="preserve">-Box Q statistics of order 20 for autocorrelation applied to the standardized residuals and squared standardized residuals, respectively. Variable order is the Islamic sectoral equity market (1) and X8X (2). </w:t>
            </w:r>
            <m:oMath>
              <m:sSub>
                <m:sSubPr>
                  <m:ctrlPr>
                    <w:rPr>
                      <w:rFonts w:ascii="Cambria Math" w:eastAsia="Times New Roman" w:hAnsi="Cambria Math" w:cs="Times New Roman"/>
                      <w:i/>
                      <w:sz w:val="16"/>
                      <w:szCs w:val="16"/>
                      <w:lang w:eastAsia="en-GB"/>
                    </w:rPr>
                  </m:ctrlPr>
                </m:sSubPr>
                <m:e>
                  <m:r>
                    <w:rPr>
                      <w:rFonts w:ascii="Cambria Math" w:eastAsia="Times New Roman" w:hAnsi="Cambria Math" w:cs="Times New Roman"/>
                      <w:sz w:val="16"/>
                      <w:szCs w:val="16"/>
                      <w:lang w:eastAsia="en-GB"/>
                    </w:rPr>
                    <m:t>∅</m:t>
                  </m:r>
                </m:e>
                <m:sub>
                  <m:r>
                    <w:rPr>
                      <w:rFonts w:ascii="Cambria Math" w:eastAsia="Times New Roman" w:hAnsi="Cambria Math" w:cs="Times New Roman"/>
                      <w:sz w:val="16"/>
                      <w:szCs w:val="16"/>
                      <w:lang w:eastAsia="en-GB"/>
                    </w:rPr>
                    <m:t>12</m:t>
                  </m:r>
                </m:sub>
              </m:sSub>
            </m:oMath>
            <w:r w:rsidRPr="004418B0">
              <w:rPr>
                <w:rFonts w:ascii="Times New Roman" w:eastAsia="Times New Roman" w:hAnsi="Times New Roman" w:cs="Times New Roman"/>
                <w:sz w:val="16"/>
                <w:szCs w:val="16"/>
                <w:lang w:eastAsia="en-GB"/>
              </w:rPr>
              <w:t xml:space="preserve"> denotes the returns spillover from Islamic sectoral equity market to X8X. </w:t>
            </w:r>
            <m:oMath>
              <m:sSub>
                <m:sSubPr>
                  <m:ctrlPr>
                    <w:rPr>
                      <w:rFonts w:ascii="Cambria Math" w:eastAsia="Times New Roman" w:hAnsi="Cambria Math" w:cs="Times New Roman"/>
                      <w:i/>
                      <w:sz w:val="16"/>
                      <w:szCs w:val="16"/>
                      <w:lang w:eastAsia="en-GB"/>
                    </w:rPr>
                  </m:ctrlPr>
                </m:sSubPr>
                <m:e>
                  <m:r>
                    <w:rPr>
                      <w:rFonts w:ascii="Cambria Math" w:eastAsia="Times New Roman" w:hAnsi="Cambria Math" w:cs="Times New Roman"/>
                      <w:sz w:val="16"/>
                      <w:szCs w:val="16"/>
                      <w:lang w:eastAsia="en-GB"/>
                    </w:rPr>
                    <m:t>a</m:t>
                  </m:r>
                </m:e>
                <m:sub>
                  <m:r>
                    <m:rPr>
                      <m:sty m:val="p"/>
                    </m:rPr>
                    <w:rPr>
                      <w:rFonts w:ascii="Cambria Math" w:eastAsia="Times New Roman" w:hAnsi="Cambria Math" w:cs="Times New Roman"/>
                      <w:sz w:val="16"/>
                      <w:szCs w:val="16"/>
                      <w:lang w:eastAsia="en-GB"/>
                    </w:rPr>
                    <m:t>12</m:t>
                  </m:r>
                </m:sub>
              </m:sSub>
            </m:oMath>
            <w:r w:rsidRPr="004418B0">
              <w:rPr>
                <w:rFonts w:ascii="Times New Roman" w:eastAsia="Times New Roman" w:hAnsi="Times New Roman" w:cs="Times New Roman"/>
                <w:sz w:val="16"/>
                <w:szCs w:val="16"/>
                <w:lang w:eastAsia="en-GB"/>
              </w:rPr>
              <w:t xml:space="preserve"> means the shock spillover from Islamic sectoral equity market to X8X. </w:t>
            </w:r>
            <m:oMath>
              <m:sSub>
                <m:sSubPr>
                  <m:ctrlPr>
                    <w:rPr>
                      <w:rFonts w:ascii="Cambria Math" w:eastAsia="Times New Roman" w:hAnsi="Cambria Math" w:cs="Times New Roman"/>
                      <w:i/>
                      <w:sz w:val="16"/>
                      <w:szCs w:val="16"/>
                      <w:lang w:eastAsia="en-GB"/>
                    </w:rPr>
                  </m:ctrlPr>
                </m:sSubPr>
                <m:e>
                  <m:r>
                    <w:rPr>
                      <w:rFonts w:ascii="Cambria Math" w:eastAsia="Times New Roman" w:hAnsi="Cambria Math" w:cs="Times New Roman"/>
                      <w:sz w:val="16"/>
                      <w:szCs w:val="16"/>
                      <w:lang w:eastAsia="en-GB"/>
                    </w:rPr>
                    <m:t>b</m:t>
                  </m:r>
                </m:e>
                <m:sub>
                  <m:r>
                    <m:rPr>
                      <m:sty m:val="p"/>
                    </m:rPr>
                    <w:rPr>
                      <w:rFonts w:ascii="Cambria Math" w:eastAsia="Times New Roman" w:hAnsi="Cambria Math" w:cs="Times New Roman"/>
                      <w:sz w:val="16"/>
                      <w:szCs w:val="16"/>
                      <w:lang w:eastAsia="en-GB"/>
                    </w:rPr>
                    <m:t>12</m:t>
                  </m:r>
                </m:sub>
              </m:sSub>
            </m:oMath>
            <w:r w:rsidRPr="004418B0">
              <w:rPr>
                <w:rFonts w:ascii="Times New Roman" w:eastAsia="Times New Roman" w:hAnsi="Times New Roman" w:cs="Times New Roman"/>
                <w:sz w:val="16"/>
                <w:szCs w:val="16"/>
                <w:lang w:eastAsia="en-GB"/>
              </w:rPr>
              <w:t xml:space="preserve"> refers to the volatility spillover from Islamic sectoral equity market to X8X Onegram. </w:t>
            </w:r>
          </w:p>
          <w:p w14:paraId="5F4E67B1" w14:textId="77777777" w:rsidR="004418B0" w:rsidRPr="00FF6562" w:rsidRDefault="004418B0" w:rsidP="00875EB5">
            <w:pPr>
              <w:spacing w:after="0" w:line="240" w:lineRule="auto"/>
              <w:jc w:val="center"/>
              <w:rPr>
                <w:rFonts w:ascii="Times New Roman" w:eastAsia="Times New Roman" w:hAnsi="Times New Roman" w:cs="Times New Roman"/>
                <w:b/>
                <w:bCs/>
                <w:sz w:val="16"/>
                <w:szCs w:val="16"/>
                <w:lang w:eastAsia="en-GB"/>
              </w:rPr>
            </w:pPr>
          </w:p>
        </w:tc>
      </w:tr>
      <w:tr w:rsidR="00F92754" w:rsidRPr="00FF6562" w14:paraId="50E3D189" w14:textId="77777777" w:rsidTr="004418B0">
        <w:trPr>
          <w:trHeight w:val="254"/>
          <w:jc w:val="center"/>
        </w:trPr>
        <w:tc>
          <w:tcPr>
            <w:tcW w:w="718" w:type="dxa"/>
            <w:tcBorders>
              <w:top w:val="single" w:sz="4" w:space="0" w:color="auto"/>
              <w:left w:val="nil"/>
              <w:bottom w:val="single" w:sz="4" w:space="0" w:color="auto"/>
              <w:right w:val="nil"/>
            </w:tcBorders>
            <w:shd w:val="clear" w:color="auto" w:fill="auto"/>
            <w:noWrap/>
            <w:vAlign w:val="bottom"/>
            <w:hideMark/>
          </w:tcPr>
          <w:p w14:paraId="22CBAEA2" w14:textId="77777777" w:rsidR="00F92754" w:rsidRPr="00FF6562" w:rsidRDefault="00F92754" w:rsidP="00875EB5">
            <w:pPr>
              <w:spacing w:after="0" w:line="240" w:lineRule="auto"/>
              <w:rPr>
                <w:rFonts w:ascii="Times New Roman" w:eastAsia="Times New Roman" w:hAnsi="Times New Roman" w:cs="Times New Roman"/>
                <w:sz w:val="24"/>
                <w:szCs w:val="24"/>
                <w:lang w:eastAsia="en-GB"/>
              </w:rPr>
            </w:pPr>
          </w:p>
        </w:tc>
        <w:tc>
          <w:tcPr>
            <w:tcW w:w="1264" w:type="dxa"/>
            <w:gridSpan w:val="2"/>
            <w:tcBorders>
              <w:top w:val="single" w:sz="8" w:space="0" w:color="auto"/>
              <w:left w:val="nil"/>
              <w:bottom w:val="single" w:sz="8" w:space="0" w:color="auto"/>
              <w:right w:val="nil"/>
            </w:tcBorders>
            <w:shd w:val="clear" w:color="auto" w:fill="auto"/>
            <w:noWrap/>
            <w:vAlign w:val="center"/>
            <w:hideMark/>
          </w:tcPr>
          <w:p w14:paraId="7AF75244"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Com. services</w:t>
            </w:r>
          </w:p>
        </w:tc>
        <w:tc>
          <w:tcPr>
            <w:tcW w:w="1264" w:type="dxa"/>
            <w:gridSpan w:val="2"/>
            <w:tcBorders>
              <w:top w:val="single" w:sz="8" w:space="0" w:color="auto"/>
              <w:left w:val="nil"/>
              <w:bottom w:val="single" w:sz="8" w:space="0" w:color="auto"/>
              <w:right w:val="nil"/>
            </w:tcBorders>
            <w:shd w:val="clear" w:color="auto" w:fill="auto"/>
            <w:noWrap/>
            <w:vAlign w:val="center"/>
            <w:hideMark/>
          </w:tcPr>
          <w:p w14:paraId="7D1BFD99"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Consumer disc.</w:t>
            </w:r>
          </w:p>
        </w:tc>
        <w:tc>
          <w:tcPr>
            <w:tcW w:w="1264" w:type="dxa"/>
            <w:gridSpan w:val="2"/>
            <w:tcBorders>
              <w:top w:val="single" w:sz="8" w:space="0" w:color="auto"/>
              <w:left w:val="nil"/>
              <w:bottom w:val="single" w:sz="8" w:space="0" w:color="auto"/>
              <w:right w:val="nil"/>
            </w:tcBorders>
            <w:shd w:val="clear" w:color="auto" w:fill="auto"/>
            <w:noWrap/>
            <w:vAlign w:val="center"/>
            <w:hideMark/>
          </w:tcPr>
          <w:p w14:paraId="35DCE360"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 xml:space="preserve">Consumer </w:t>
            </w:r>
            <w:proofErr w:type="spellStart"/>
            <w:r w:rsidRPr="00FF6562">
              <w:rPr>
                <w:rFonts w:ascii="Times New Roman" w:eastAsia="Times New Roman" w:hAnsi="Times New Roman" w:cs="Times New Roman"/>
                <w:b/>
                <w:bCs/>
                <w:sz w:val="16"/>
                <w:szCs w:val="16"/>
                <w:lang w:eastAsia="en-GB"/>
              </w:rPr>
              <w:t>stap</w:t>
            </w:r>
            <w:proofErr w:type="spellEnd"/>
            <w:r w:rsidRPr="00FF6562">
              <w:rPr>
                <w:rFonts w:ascii="Times New Roman" w:eastAsia="Times New Roman" w:hAnsi="Times New Roman" w:cs="Times New Roman"/>
                <w:b/>
                <w:bCs/>
                <w:sz w:val="16"/>
                <w:szCs w:val="16"/>
                <w:lang w:eastAsia="en-GB"/>
              </w:rPr>
              <w:t>.</w:t>
            </w:r>
          </w:p>
        </w:tc>
        <w:tc>
          <w:tcPr>
            <w:tcW w:w="1264" w:type="dxa"/>
            <w:gridSpan w:val="2"/>
            <w:tcBorders>
              <w:top w:val="single" w:sz="8" w:space="0" w:color="auto"/>
              <w:left w:val="nil"/>
              <w:bottom w:val="single" w:sz="8" w:space="0" w:color="auto"/>
              <w:right w:val="nil"/>
            </w:tcBorders>
            <w:shd w:val="clear" w:color="auto" w:fill="auto"/>
            <w:noWrap/>
            <w:vAlign w:val="center"/>
            <w:hideMark/>
          </w:tcPr>
          <w:p w14:paraId="760B9909"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Energy</w:t>
            </w:r>
          </w:p>
        </w:tc>
        <w:tc>
          <w:tcPr>
            <w:tcW w:w="1341" w:type="dxa"/>
            <w:gridSpan w:val="2"/>
            <w:tcBorders>
              <w:top w:val="single" w:sz="8" w:space="0" w:color="auto"/>
              <w:left w:val="nil"/>
              <w:bottom w:val="single" w:sz="8" w:space="0" w:color="auto"/>
              <w:right w:val="nil"/>
            </w:tcBorders>
            <w:shd w:val="clear" w:color="auto" w:fill="auto"/>
            <w:noWrap/>
            <w:vAlign w:val="center"/>
            <w:hideMark/>
          </w:tcPr>
          <w:p w14:paraId="35FAF331"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Financials </w:t>
            </w:r>
          </w:p>
        </w:tc>
        <w:tc>
          <w:tcPr>
            <w:tcW w:w="1264" w:type="dxa"/>
            <w:gridSpan w:val="2"/>
            <w:tcBorders>
              <w:top w:val="single" w:sz="8" w:space="0" w:color="auto"/>
              <w:left w:val="nil"/>
              <w:bottom w:val="single" w:sz="8" w:space="0" w:color="auto"/>
              <w:right w:val="nil"/>
            </w:tcBorders>
            <w:shd w:val="clear" w:color="auto" w:fill="auto"/>
            <w:noWrap/>
            <w:vAlign w:val="center"/>
            <w:hideMark/>
          </w:tcPr>
          <w:p w14:paraId="775081A1"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Health Care</w:t>
            </w:r>
          </w:p>
        </w:tc>
        <w:tc>
          <w:tcPr>
            <w:tcW w:w="1264" w:type="dxa"/>
            <w:gridSpan w:val="2"/>
            <w:tcBorders>
              <w:top w:val="single" w:sz="8" w:space="0" w:color="auto"/>
              <w:left w:val="nil"/>
              <w:bottom w:val="single" w:sz="8" w:space="0" w:color="auto"/>
              <w:right w:val="nil"/>
            </w:tcBorders>
            <w:shd w:val="clear" w:color="auto" w:fill="auto"/>
            <w:noWrap/>
            <w:vAlign w:val="center"/>
            <w:hideMark/>
          </w:tcPr>
          <w:p w14:paraId="6689EDBB"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Industrials </w:t>
            </w:r>
          </w:p>
        </w:tc>
        <w:tc>
          <w:tcPr>
            <w:tcW w:w="1264" w:type="dxa"/>
            <w:gridSpan w:val="2"/>
            <w:tcBorders>
              <w:top w:val="single" w:sz="8" w:space="0" w:color="auto"/>
              <w:left w:val="nil"/>
              <w:bottom w:val="single" w:sz="8" w:space="0" w:color="auto"/>
              <w:right w:val="nil"/>
            </w:tcBorders>
            <w:shd w:val="clear" w:color="auto" w:fill="auto"/>
            <w:noWrap/>
            <w:vAlign w:val="center"/>
            <w:hideMark/>
          </w:tcPr>
          <w:p w14:paraId="5471FCAB"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Information Tech.</w:t>
            </w:r>
          </w:p>
        </w:tc>
        <w:tc>
          <w:tcPr>
            <w:tcW w:w="1264" w:type="dxa"/>
            <w:gridSpan w:val="2"/>
            <w:tcBorders>
              <w:top w:val="single" w:sz="8" w:space="0" w:color="auto"/>
              <w:left w:val="nil"/>
              <w:bottom w:val="single" w:sz="8" w:space="0" w:color="auto"/>
              <w:right w:val="nil"/>
            </w:tcBorders>
            <w:shd w:val="clear" w:color="auto" w:fill="auto"/>
            <w:noWrap/>
            <w:vAlign w:val="center"/>
            <w:hideMark/>
          </w:tcPr>
          <w:p w14:paraId="33F70EE1"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Materials </w:t>
            </w:r>
          </w:p>
        </w:tc>
        <w:tc>
          <w:tcPr>
            <w:tcW w:w="1264" w:type="dxa"/>
            <w:gridSpan w:val="2"/>
            <w:tcBorders>
              <w:top w:val="single" w:sz="8" w:space="0" w:color="auto"/>
              <w:left w:val="nil"/>
              <w:bottom w:val="single" w:sz="8" w:space="0" w:color="auto"/>
              <w:right w:val="nil"/>
            </w:tcBorders>
            <w:shd w:val="clear" w:color="auto" w:fill="auto"/>
            <w:noWrap/>
            <w:vAlign w:val="center"/>
            <w:hideMark/>
          </w:tcPr>
          <w:p w14:paraId="280290A7"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Real Estate</w:t>
            </w:r>
          </w:p>
        </w:tc>
        <w:tc>
          <w:tcPr>
            <w:tcW w:w="1268" w:type="dxa"/>
            <w:gridSpan w:val="2"/>
            <w:tcBorders>
              <w:top w:val="single" w:sz="8" w:space="0" w:color="auto"/>
              <w:left w:val="nil"/>
              <w:bottom w:val="single" w:sz="8" w:space="0" w:color="auto"/>
              <w:right w:val="nil"/>
            </w:tcBorders>
            <w:shd w:val="clear" w:color="auto" w:fill="auto"/>
            <w:noWrap/>
            <w:vAlign w:val="center"/>
            <w:hideMark/>
          </w:tcPr>
          <w:p w14:paraId="05741204"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r w:rsidRPr="00FF6562">
              <w:rPr>
                <w:rFonts w:ascii="Times New Roman" w:eastAsia="Times New Roman" w:hAnsi="Times New Roman" w:cs="Times New Roman"/>
                <w:b/>
                <w:bCs/>
                <w:sz w:val="16"/>
                <w:szCs w:val="16"/>
                <w:lang w:eastAsia="en-GB"/>
              </w:rPr>
              <w:t>Utilities</w:t>
            </w:r>
          </w:p>
        </w:tc>
      </w:tr>
      <w:tr w:rsidR="00F92754" w:rsidRPr="00FF6562" w14:paraId="371633A6" w14:textId="77777777" w:rsidTr="004418B0">
        <w:trPr>
          <w:trHeight w:val="254"/>
          <w:jc w:val="center"/>
        </w:trPr>
        <w:tc>
          <w:tcPr>
            <w:tcW w:w="718" w:type="dxa"/>
            <w:tcBorders>
              <w:top w:val="single" w:sz="4" w:space="0" w:color="auto"/>
              <w:left w:val="nil"/>
              <w:bottom w:val="single" w:sz="4" w:space="0" w:color="auto"/>
              <w:right w:val="nil"/>
            </w:tcBorders>
            <w:shd w:val="clear" w:color="auto" w:fill="auto"/>
            <w:noWrap/>
            <w:vAlign w:val="bottom"/>
            <w:hideMark/>
          </w:tcPr>
          <w:p w14:paraId="4EEA4372" w14:textId="77777777" w:rsidR="00F92754" w:rsidRPr="00FF6562" w:rsidRDefault="00F92754" w:rsidP="00875EB5">
            <w:pPr>
              <w:spacing w:after="0" w:line="240" w:lineRule="auto"/>
              <w:jc w:val="center"/>
              <w:rPr>
                <w:rFonts w:ascii="Times New Roman" w:eastAsia="Times New Roman" w:hAnsi="Times New Roman" w:cs="Times New Roman"/>
                <w:b/>
                <w:bCs/>
                <w:sz w:val="16"/>
                <w:szCs w:val="16"/>
                <w:lang w:eastAsia="en-GB"/>
              </w:rPr>
            </w:pPr>
          </w:p>
        </w:tc>
        <w:tc>
          <w:tcPr>
            <w:tcW w:w="637" w:type="dxa"/>
            <w:tcBorders>
              <w:top w:val="nil"/>
              <w:left w:val="nil"/>
              <w:bottom w:val="single" w:sz="8" w:space="0" w:color="auto"/>
              <w:right w:val="nil"/>
            </w:tcBorders>
            <w:shd w:val="clear" w:color="auto" w:fill="auto"/>
            <w:noWrap/>
            <w:vAlign w:val="center"/>
            <w:hideMark/>
          </w:tcPr>
          <w:p w14:paraId="0C2A3B9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27" w:type="dxa"/>
            <w:tcBorders>
              <w:top w:val="nil"/>
              <w:left w:val="nil"/>
              <w:bottom w:val="single" w:sz="8" w:space="0" w:color="auto"/>
              <w:right w:val="nil"/>
            </w:tcBorders>
            <w:shd w:val="clear" w:color="auto" w:fill="auto"/>
            <w:noWrap/>
            <w:vAlign w:val="center"/>
            <w:hideMark/>
          </w:tcPr>
          <w:p w14:paraId="4B3DCFA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637" w:type="dxa"/>
            <w:tcBorders>
              <w:top w:val="nil"/>
              <w:left w:val="nil"/>
              <w:bottom w:val="single" w:sz="8" w:space="0" w:color="auto"/>
              <w:right w:val="nil"/>
            </w:tcBorders>
            <w:shd w:val="clear" w:color="auto" w:fill="auto"/>
            <w:noWrap/>
            <w:vAlign w:val="center"/>
            <w:hideMark/>
          </w:tcPr>
          <w:p w14:paraId="1D53F67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27" w:type="dxa"/>
            <w:tcBorders>
              <w:top w:val="nil"/>
              <w:left w:val="nil"/>
              <w:bottom w:val="single" w:sz="8" w:space="0" w:color="auto"/>
              <w:right w:val="nil"/>
            </w:tcBorders>
            <w:shd w:val="clear" w:color="auto" w:fill="auto"/>
            <w:noWrap/>
            <w:vAlign w:val="center"/>
            <w:hideMark/>
          </w:tcPr>
          <w:p w14:paraId="3921E61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637" w:type="dxa"/>
            <w:tcBorders>
              <w:top w:val="nil"/>
              <w:left w:val="nil"/>
              <w:bottom w:val="single" w:sz="8" w:space="0" w:color="auto"/>
              <w:right w:val="nil"/>
            </w:tcBorders>
            <w:shd w:val="clear" w:color="auto" w:fill="auto"/>
            <w:noWrap/>
            <w:vAlign w:val="center"/>
            <w:hideMark/>
          </w:tcPr>
          <w:p w14:paraId="64845A5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27" w:type="dxa"/>
            <w:tcBorders>
              <w:top w:val="nil"/>
              <w:left w:val="nil"/>
              <w:bottom w:val="single" w:sz="8" w:space="0" w:color="auto"/>
              <w:right w:val="nil"/>
            </w:tcBorders>
            <w:shd w:val="clear" w:color="auto" w:fill="auto"/>
            <w:noWrap/>
            <w:vAlign w:val="center"/>
            <w:hideMark/>
          </w:tcPr>
          <w:p w14:paraId="448B9E7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637" w:type="dxa"/>
            <w:tcBorders>
              <w:top w:val="nil"/>
              <w:left w:val="nil"/>
              <w:bottom w:val="single" w:sz="8" w:space="0" w:color="auto"/>
              <w:right w:val="nil"/>
            </w:tcBorders>
            <w:shd w:val="clear" w:color="auto" w:fill="auto"/>
            <w:noWrap/>
            <w:vAlign w:val="center"/>
            <w:hideMark/>
          </w:tcPr>
          <w:p w14:paraId="3B4B1EA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27" w:type="dxa"/>
            <w:tcBorders>
              <w:top w:val="nil"/>
              <w:left w:val="nil"/>
              <w:bottom w:val="single" w:sz="8" w:space="0" w:color="auto"/>
              <w:right w:val="nil"/>
            </w:tcBorders>
            <w:shd w:val="clear" w:color="auto" w:fill="auto"/>
            <w:noWrap/>
            <w:vAlign w:val="center"/>
            <w:hideMark/>
          </w:tcPr>
          <w:p w14:paraId="4BE414A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714" w:type="dxa"/>
            <w:tcBorders>
              <w:top w:val="nil"/>
              <w:left w:val="nil"/>
              <w:bottom w:val="single" w:sz="8" w:space="0" w:color="auto"/>
              <w:right w:val="nil"/>
            </w:tcBorders>
            <w:shd w:val="clear" w:color="auto" w:fill="auto"/>
            <w:noWrap/>
            <w:vAlign w:val="center"/>
            <w:hideMark/>
          </w:tcPr>
          <w:p w14:paraId="07F9540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27" w:type="dxa"/>
            <w:tcBorders>
              <w:top w:val="nil"/>
              <w:left w:val="nil"/>
              <w:bottom w:val="single" w:sz="8" w:space="0" w:color="auto"/>
              <w:right w:val="nil"/>
            </w:tcBorders>
            <w:shd w:val="clear" w:color="auto" w:fill="auto"/>
            <w:noWrap/>
            <w:vAlign w:val="center"/>
            <w:hideMark/>
          </w:tcPr>
          <w:p w14:paraId="0318CEE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637" w:type="dxa"/>
            <w:tcBorders>
              <w:top w:val="nil"/>
              <w:left w:val="nil"/>
              <w:bottom w:val="single" w:sz="8" w:space="0" w:color="auto"/>
              <w:right w:val="nil"/>
            </w:tcBorders>
            <w:shd w:val="clear" w:color="auto" w:fill="auto"/>
            <w:noWrap/>
            <w:vAlign w:val="center"/>
            <w:hideMark/>
          </w:tcPr>
          <w:p w14:paraId="69C66F9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27" w:type="dxa"/>
            <w:tcBorders>
              <w:top w:val="nil"/>
              <w:left w:val="nil"/>
              <w:bottom w:val="single" w:sz="8" w:space="0" w:color="auto"/>
              <w:right w:val="nil"/>
            </w:tcBorders>
            <w:shd w:val="clear" w:color="auto" w:fill="auto"/>
            <w:noWrap/>
            <w:vAlign w:val="center"/>
            <w:hideMark/>
          </w:tcPr>
          <w:p w14:paraId="7CB522B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637" w:type="dxa"/>
            <w:tcBorders>
              <w:top w:val="nil"/>
              <w:left w:val="nil"/>
              <w:bottom w:val="single" w:sz="8" w:space="0" w:color="auto"/>
              <w:right w:val="nil"/>
            </w:tcBorders>
            <w:shd w:val="clear" w:color="auto" w:fill="auto"/>
            <w:noWrap/>
            <w:vAlign w:val="center"/>
            <w:hideMark/>
          </w:tcPr>
          <w:p w14:paraId="4C00E1C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27" w:type="dxa"/>
            <w:tcBorders>
              <w:top w:val="nil"/>
              <w:left w:val="nil"/>
              <w:bottom w:val="single" w:sz="8" w:space="0" w:color="auto"/>
              <w:right w:val="nil"/>
            </w:tcBorders>
            <w:shd w:val="clear" w:color="auto" w:fill="auto"/>
            <w:noWrap/>
            <w:vAlign w:val="center"/>
            <w:hideMark/>
          </w:tcPr>
          <w:p w14:paraId="58E2645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637" w:type="dxa"/>
            <w:tcBorders>
              <w:top w:val="nil"/>
              <w:left w:val="nil"/>
              <w:bottom w:val="single" w:sz="8" w:space="0" w:color="auto"/>
              <w:right w:val="nil"/>
            </w:tcBorders>
            <w:shd w:val="clear" w:color="auto" w:fill="auto"/>
            <w:noWrap/>
            <w:vAlign w:val="center"/>
            <w:hideMark/>
          </w:tcPr>
          <w:p w14:paraId="0030174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27" w:type="dxa"/>
            <w:tcBorders>
              <w:top w:val="nil"/>
              <w:left w:val="nil"/>
              <w:bottom w:val="single" w:sz="8" w:space="0" w:color="auto"/>
              <w:right w:val="nil"/>
            </w:tcBorders>
            <w:shd w:val="clear" w:color="auto" w:fill="auto"/>
            <w:noWrap/>
            <w:vAlign w:val="center"/>
            <w:hideMark/>
          </w:tcPr>
          <w:p w14:paraId="4FFAB99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637" w:type="dxa"/>
            <w:tcBorders>
              <w:top w:val="nil"/>
              <w:left w:val="nil"/>
              <w:bottom w:val="single" w:sz="8" w:space="0" w:color="auto"/>
              <w:right w:val="nil"/>
            </w:tcBorders>
            <w:shd w:val="clear" w:color="auto" w:fill="auto"/>
            <w:noWrap/>
            <w:vAlign w:val="center"/>
            <w:hideMark/>
          </w:tcPr>
          <w:p w14:paraId="60ADCC4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27" w:type="dxa"/>
            <w:tcBorders>
              <w:top w:val="nil"/>
              <w:left w:val="nil"/>
              <w:bottom w:val="single" w:sz="8" w:space="0" w:color="auto"/>
              <w:right w:val="nil"/>
            </w:tcBorders>
            <w:shd w:val="clear" w:color="auto" w:fill="auto"/>
            <w:noWrap/>
            <w:vAlign w:val="center"/>
            <w:hideMark/>
          </w:tcPr>
          <w:p w14:paraId="0683083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637" w:type="dxa"/>
            <w:tcBorders>
              <w:top w:val="nil"/>
              <w:left w:val="nil"/>
              <w:bottom w:val="single" w:sz="8" w:space="0" w:color="auto"/>
              <w:right w:val="nil"/>
            </w:tcBorders>
            <w:shd w:val="clear" w:color="auto" w:fill="auto"/>
            <w:noWrap/>
            <w:vAlign w:val="center"/>
            <w:hideMark/>
          </w:tcPr>
          <w:p w14:paraId="6BDF6EA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27" w:type="dxa"/>
            <w:tcBorders>
              <w:top w:val="nil"/>
              <w:left w:val="nil"/>
              <w:bottom w:val="single" w:sz="8" w:space="0" w:color="auto"/>
              <w:right w:val="nil"/>
            </w:tcBorders>
            <w:shd w:val="clear" w:color="auto" w:fill="auto"/>
            <w:noWrap/>
            <w:vAlign w:val="center"/>
            <w:hideMark/>
          </w:tcPr>
          <w:p w14:paraId="75A44DA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c>
          <w:tcPr>
            <w:tcW w:w="637" w:type="dxa"/>
            <w:tcBorders>
              <w:top w:val="nil"/>
              <w:left w:val="nil"/>
              <w:bottom w:val="single" w:sz="8" w:space="0" w:color="auto"/>
              <w:right w:val="nil"/>
            </w:tcBorders>
            <w:shd w:val="clear" w:color="auto" w:fill="auto"/>
            <w:noWrap/>
            <w:vAlign w:val="center"/>
            <w:hideMark/>
          </w:tcPr>
          <w:p w14:paraId="3B45371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roofErr w:type="spellStart"/>
            <w:r w:rsidRPr="00FF6562">
              <w:rPr>
                <w:rFonts w:ascii="Times New Roman" w:eastAsia="Times New Roman" w:hAnsi="Times New Roman" w:cs="Times New Roman"/>
                <w:sz w:val="16"/>
                <w:szCs w:val="16"/>
                <w:lang w:eastAsia="en-GB"/>
              </w:rPr>
              <w:t>coeff</w:t>
            </w:r>
            <w:proofErr w:type="spellEnd"/>
            <w:r w:rsidRPr="00FF6562">
              <w:rPr>
                <w:rFonts w:ascii="Times New Roman" w:eastAsia="Times New Roman" w:hAnsi="Times New Roman" w:cs="Times New Roman"/>
                <w:sz w:val="16"/>
                <w:szCs w:val="16"/>
                <w:lang w:eastAsia="en-GB"/>
              </w:rPr>
              <w:t>.</w:t>
            </w:r>
          </w:p>
        </w:tc>
        <w:tc>
          <w:tcPr>
            <w:tcW w:w="631" w:type="dxa"/>
            <w:tcBorders>
              <w:top w:val="nil"/>
              <w:left w:val="nil"/>
              <w:bottom w:val="single" w:sz="8" w:space="0" w:color="auto"/>
              <w:right w:val="nil"/>
            </w:tcBorders>
            <w:shd w:val="clear" w:color="auto" w:fill="auto"/>
            <w:noWrap/>
            <w:vAlign w:val="center"/>
            <w:hideMark/>
          </w:tcPr>
          <w:p w14:paraId="6960868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p-val.</w:t>
            </w:r>
          </w:p>
        </w:tc>
      </w:tr>
      <w:tr w:rsidR="00F92754" w:rsidRPr="00FF6562" w14:paraId="435DEFC4" w14:textId="77777777" w:rsidTr="00875EB5">
        <w:trPr>
          <w:trHeight w:val="254"/>
          <w:jc w:val="center"/>
        </w:trPr>
        <w:tc>
          <w:tcPr>
            <w:tcW w:w="14703" w:type="dxa"/>
            <w:gridSpan w:val="23"/>
            <w:tcBorders>
              <w:top w:val="nil"/>
              <w:left w:val="nil"/>
              <w:bottom w:val="nil"/>
              <w:right w:val="nil"/>
            </w:tcBorders>
            <w:shd w:val="clear" w:color="auto" w:fill="auto"/>
            <w:noWrap/>
            <w:vAlign w:val="bottom"/>
            <w:hideMark/>
          </w:tcPr>
          <w:p w14:paraId="69C84723" w14:textId="77777777" w:rsidR="00F92754" w:rsidRPr="003D2985" w:rsidRDefault="00F92754" w:rsidP="00875EB5">
            <w:pPr>
              <w:spacing w:after="0" w:line="240" w:lineRule="auto"/>
              <w:rPr>
                <w:rFonts w:ascii="Times New Roman" w:eastAsia="Times New Roman" w:hAnsi="Times New Roman" w:cs="Times New Roman"/>
                <w:b/>
                <w:bCs/>
                <w:sz w:val="20"/>
                <w:szCs w:val="20"/>
                <w:u w:val="single"/>
                <w:lang w:eastAsia="en-GB"/>
              </w:rPr>
            </w:pPr>
            <w:r w:rsidRPr="003D2985">
              <w:rPr>
                <w:rFonts w:ascii="Times New Roman" w:eastAsia="Times New Roman" w:hAnsi="Times New Roman" w:cs="Times New Roman"/>
                <w:b/>
                <w:bCs/>
                <w:sz w:val="20"/>
                <w:szCs w:val="20"/>
                <w:u w:val="single"/>
                <w:lang w:eastAsia="en-GB"/>
              </w:rPr>
              <w:t>Panel A. Mean Equation</w:t>
            </w:r>
          </w:p>
        </w:tc>
      </w:tr>
      <w:tr w:rsidR="00F92754" w:rsidRPr="00FF6562" w14:paraId="4F5E9823" w14:textId="77777777" w:rsidTr="004418B0">
        <w:trPr>
          <w:trHeight w:val="106"/>
          <w:jc w:val="center"/>
        </w:trPr>
        <w:tc>
          <w:tcPr>
            <w:tcW w:w="718" w:type="dxa"/>
            <w:tcBorders>
              <w:top w:val="nil"/>
              <w:left w:val="nil"/>
              <w:bottom w:val="nil"/>
              <w:right w:val="nil"/>
            </w:tcBorders>
            <w:shd w:val="clear" w:color="auto" w:fill="auto"/>
            <w:noWrap/>
            <w:vAlign w:val="center"/>
            <w:hideMark/>
          </w:tcPr>
          <w:p w14:paraId="05C41B2E"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μ</m:t>
                    </m:r>
                  </m:e>
                  <m:sub>
                    <m:r>
                      <w:rPr>
                        <w:rFonts w:ascii="Cambria Math" w:hAnsi="Cambria Math" w:cs="Times New Roman"/>
                        <w:color w:val="000000" w:themeColor="text1"/>
                        <w:sz w:val="16"/>
                        <w:szCs w:val="16"/>
                        <w:lang w:eastAsia="en-GB"/>
                      </w:rPr>
                      <m:t>1</m:t>
                    </m:r>
                  </m:sub>
                </m:sSub>
              </m:oMath>
            </m:oMathPara>
          </w:p>
        </w:tc>
        <w:tc>
          <w:tcPr>
            <w:tcW w:w="637" w:type="dxa"/>
            <w:tcBorders>
              <w:top w:val="nil"/>
              <w:left w:val="nil"/>
              <w:bottom w:val="nil"/>
              <w:right w:val="nil"/>
            </w:tcBorders>
            <w:shd w:val="clear" w:color="auto" w:fill="auto"/>
            <w:noWrap/>
            <w:vAlign w:val="center"/>
            <w:hideMark/>
          </w:tcPr>
          <w:p w14:paraId="4F53798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0.086</w:t>
            </w:r>
          </w:p>
        </w:tc>
        <w:tc>
          <w:tcPr>
            <w:tcW w:w="627" w:type="dxa"/>
            <w:tcBorders>
              <w:top w:val="nil"/>
              <w:left w:val="nil"/>
              <w:bottom w:val="nil"/>
              <w:right w:val="nil"/>
            </w:tcBorders>
            <w:shd w:val="clear" w:color="auto" w:fill="auto"/>
            <w:noWrap/>
            <w:vAlign w:val="center"/>
            <w:hideMark/>
          </w:tcPr>
          <w:p w14:paraId="506AAE6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0.274</w:t>
            </w:r>
          </w:p>
        </w:tc>
        <w:tc>
          <w:tcPr>
            <w:tcW w:w="637" w:type="dxa"/>
            <w:tcBorders>
              <w:top w:val="nil"/>
              <w:left w:val="nil"/>
              <w:bottom w:val="nil"/>
              <w:right w:val="nil"/>
            </w:tcBorders>
            <w:shd w:val="clear" w:color="auto" w:fill="auto"/>
            <w:noWrap/>
            <w:vAlign w:val="center"/>
            <w:hideMark/>
          </w:tcPr>
          <w:p w14:paraId="27B258C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0.123</w:t>
            </w:r>
          </w:p>
        </w:tc>
        <w:tc>
          <w:tcPr>
            <w:tcW w:w="627" w:type="dxa"/>
            <w:tcBorders>
              <w:top w:val="nil"/>
              <w:left w:val="nil"/>
              <w:bottom w:val="nil"/>
              <w:right w:val="nil"/>
            </w:tcBorders>
            <w:shd w:val="clear" w:color="auto" w:fill="auto"/>
            <w:noWrap/>
            <w:vAlign w:val="center"/>
            <w:hideMark/>
          </w:tcPr>
          <w:p w14:paraId="0004813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0.031</w:t>
            </w:r>
          </w:p>
        </w:tc>
        <w:tc>
          <w:tcPr>
            <w:tcW w:w="637" w:type="dxa"/>
            <w:tcBorders>
              <w:top w:val="nil"/>
              <w:left w:val="nil"/>
              <w:bottom w:val="nil"/>
              <w:right w:val="nil"/>
            </w:tcBorders>
            <w:shd w:val="clear" w:color="auto" w:fill="auto"/>
            <w:noWrap/>
            <w:vAlign w:val="center"/>
            <w:hideMark/>
          </w:tcPr>
          <w:p w14:paraId="47DDFA4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-0.026</w:t>
            </w:r>
          </w:p>
        </w:tc>
        <w:tc>
          <w:tcPr>
            <w:tcW w:w="627" w:type="dxa"/>
            <w:tcBorders>
              <w:top w:val="nil"/>
              <w:left w:val="nil"/>
              <w:bottom w:val="nil"/>
              <w:right w:val="nil"/>
            </w:tcBorders>
            <w:shd w:val="clear" w:color="auto" w:fill="auto"/>
            <w:noWrap/>
            <w:vAlign w:val="center"/>
            <w:hideMark/>
          </w:tcPr>
          <w:p w14:paraId="29D7C48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0.596</w:t>
            </w:r>
          </w:p>
        </w:tc>
        <w:tc>
          <w:tcPr>
            <w:tcW w:w="637" w:type="dxa"/>
            <w:tcBorders>
              <w:top w:val="nil"/>
              <w:left w:val="nil"/>
              <w:bottom w:val="nil"/>
              <w:right w:val="nil"/>
            </w:tcBorders>
            <w:shd w:val="clear" w:color="auto" w:fill="auto"/>
            <w:noWrap/>
            <w:vAlign w:val="center"/>
            <w:hideMark/>
          </w:tcPr>
          <w:p w14:paraId="559B0FA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-0.073</w:t>
            </w:r>
          </w:p>
        </w:tc>
        <w:tc>
          <w:tcPr>
            <w:tcW w:w="627" w:type="dxa"/>
            <w:tcBorders>
              <w:top w:val="nil"/>
              <w:left w:val="nil"/>
              <w:bottom w:val="nil"/>
              <w:right w:val="nil"/>
            </w:tcBorders>
            <w:shd w:val="clear" w:color="auto" w:fill="auto"/>
            <w:noWrap/>
            <w:vAlign w:val="center"/>
            <w:hideMark/>
          </w:tcPr>
          <w:p w14:paraId="38B3BA9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0.603</w:t>
            </w:r>
          </w:p>
        </w:tc>
        <w:tc>
          <w:tcPr>
            <w:tcW w:w="714" w:type="dxa"/>
            <w:tcBorders>
              <w:top w:val="nil"/>
              <w:left w:val="nil"/>
              <w:bottom w:val="nil"/>
              <w:right w:val="nil"/>
            </w:tcBorders>
            <w:shd w:val="clear" w:color="auto" w:fill="auto"/>
            <w:noWrap/>
            <w:vAlign w:val="center"/>
            <w:hideMark/>
          </w:tcPr>
          <w:p w14:paraId="62099BD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0.084</w:t>
            </w:r>
          </w:p>
        </w:tc>
        <w:tc>
          <w:tcPr>
            <w:tcW w:w="627" w:type="dxa"/>
            <w:tcBorders>
              <w:top w:val="nil"/>
              <w:left w:val="nil"/>
              <w:bottom w:val="nil"/>
              <w:right w:val="nil"/>
            </w:tcBorders>
            <w:shd w:val="clear" w:color="auto" w:fill="auto"/>
            <w:noWrap/>
            <w:vAlign w:val="center"/>
            <w:hideMark/>
          </w:tcPr>
          <w:p w14:paraId="25ACDD1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0.274</w:t>
            </w:r>
          </w:p>
        </w:tc>
        <w:tc>
          <w:tcPr>
            <w:tcW w:w="637" w:type="dxa"/>
            <w:tcBorders>
              <w:top w:val="nil"/>
              <w:left w:val="nil"/>
              <w:bottom w:val="nil"/>
              <w:right w:val="nil"/>
            </w:tcBorders>
            <w:shd w:val="clear" w:color="auto" w:fill="auto"/>
            <w:noWrap/>
            <w:vAlign w:val="center"/>
            <w:hideMark/>
          </w:tcPr>
          <w:p w14:paraId="73AAFF4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627" w:type="dxa"/>
            <w:tcBorders>
              <w:top w:val="nil"/>
              <w:left w:val="nil"/>
              <w:bottom w:val="nil"/>
              <w:right w:val="nil"/>
            </w:tcBorders>
            <w:shd w:val="clear" w:color="auto" w:fill="auto"/>
            <w:noWrap/>
            <w:vAlign w:val="center"/>
            <w:hideMark/>
          </w:tcPr>
          <w:p w14:paraId="0210B9B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0.767</w:t>
            </w:r>
          </w:p>
        </w:tc>
        <w:tc>
          <w:tcPr>
            <w:tcW w:w="637" w:type="dxa"/>
            <w:tcBorders>
              <w:top w:val="nil"/>
              <w:left w:val="nil"/>
              <w:bottom w:val="nil"/>
              <w:right w:val="nil"/>
            </w:tcBorders>
            <w:shd w:val="clear" w:color="auto" w:fill="auto"/>
            <w:noWrap/>
            <w:vAlign w:val="center"/>
            <w:hideMark/>
          </w:tcPr>
          <w:p w14:paraId="56B1507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0.049</w:t>
            </w:r>
          </w:p>
        </w:tc>
        <w:tc>
          <w:tcPr>
            <w:tcW w:w="627" w:type="dxa"/>
            <w:tcBorders>
              <w:top w:val="nil"/>
              <w:left w:val="nil"/>
              <w:bottom w:val="nil"/>
              <w:right w:val="nil"/>
            </w:tcBorders>
            <w:shd w:val="clear" w:color="auto" w:fill="auto"/>
            <w:noWrap/>
            <w:vAlign w:val="center"/>
            <w:hideMark/>
          </w:tcPr>
          <w:p w14:paraId="6B68946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261367C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0.179</w:t>
            </w:r>
          </w:p>
        </w:tc>
        <w:tc>
          <w:tcPr>
            <w:tcW w:w="627" w:type="dxa"/>
            <w:tcBorders>
              <w:top w:val="nil"/>
              <w:left w:val="nil"/>
              <w:bottom w:val="nil"/>
              <w:right w:val="nil"/>
            </w:tcBorders>
            <w:shd w:val="clear" w:color="auto" w:fill="auto"/>
            <w:noWrap/>
            <w:vAlign w:val="center"/>
            <w:hideMark/>
          </w:tcPr>
          <w:p w14:paraId="5181F88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637" w:type="dxa"/>
            <w:tcBorders>
              <w:top w:val="nil"/>
              <w:left w:val="nil"/>
              <w:bottom w:val="nil"/>
              <w:right w:val="nil"/>
            </w:tcBorders>
            <w:shd w:val="clear" w:color="auto" w:fill="auto"/>
            <w:noWrap/>
            <w:vAlign w:val="center"/>
            <w:hideMark/>
          </w:tcPr>
          <w:p w14:paraId="0227C00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0.061</w:t>
            </w:r>
          </w:p>
        </w:tc>
        <w:tc>
          <w:tcPr>
            <w:tcW w:w="627" w:type="dxa"/>
            <w:tcBorders>
              <w:top w:val="nil"/>
              <w:left w:val="nil"/>
              <w:bottom w:val="nil"/>
              <w:right w:val="nil"/>
            </w:tcBorders>
            <w:shd w:val="clear" w:color="auto" w:fill="auto"/>
            <w:noWrap/>
            <w:vAlign w:val="center"/>
            <w:hideMark/>
          </w:tcPr>
          <w:p w14:paraId="49FE07A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3179A13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627" w:type="dxa"/>
            <w:tcBorders>
              <w:top w:val="nil"/>
              <w:left w:val="nil"/>
              <w:bottom w:val="nil"/>
              <w:right w:val="nil"/>
            </w:tcBorders>
            <w:shd w:val="clear" w:color="auto" w:fill="auto"/>
            <w:noWrap/>
            <w:vAlign w:val="center"/>
            <w:hideMark/>
          </w:tcPr>
          <w:p w14:paraId="22298C6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0.714</w:t>
            </w:r>
          </w:p>
        </w:tc>
        <w:tc>
          <w:tcPr>
            <w:tcW w:w="637" w:type="dxa"/>
            <w:tcBorders>
              <w:top w:val="nil"/>
              <w:left w:val="nil"/>
              <w:bottom w:val="nil"/>
              <w:right w:val="nil"/>
            </w:tcBorders>
            <w:shd w:val="clear" w:color="auto" w:fill="auto"/>
            <w:noWrap/>
            <w:vAlign w:val="center"/>
            <w:hideMark/>
          </w:tcPr>
          <w:p w14:paraId="2EFBF65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631" w:type="dxa"/>
            <w:tcBorders>
              <w:top w:val="nil"/>
              <w:left w:val="nil"/>
              <w:bottom w:val="nil"/>
              <w:right w:val="nil"/>
            </w:tcBorders>
            <w:shd w:val="clear" w:color="auto" w:fill="auto"/>
            <w:noWrap/>
            <w:vAlign w:val="center"/>
            <w:hideMark/>
          </w:tcPr>
          <w:p w14:paraId="1326B79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0.950</w:t>
            </w:r>
          </w:p>
        </w:tc>
      </w:tr>
      <w:tr w:rsidR="00F92754" w:rsidRPr="00FF6562" w14:paraId="4E15554C" w14:textId="77777777" w:rsidTr="004418B0">
        <w:trPr>
          <w:trHeight w:val="202"/>
          <w:jc w:val="center"/>
        </w:trPr>
        <w:tc>
          <w:tcPr>
            <w:tcW w:w="718" w:type="dxa"/>
            <w:tcBorders>
              <w:top w:val="nil"/>
              <w:left w:val="nil"/>
              <w:bottom w:val="nil"/>
              <w:right w:val="nil"/>
            </w:tcBorders>
            <w:shd w:val="clear" w:color="auto" w:fill="auto"/>
            <w:noWrap/>
            <w:vAlign w:val="center"/>
            <w:hideMark/>
          </w:tcPr>
          <w:p w14:paraId="7AFF66F4"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11</m:t>
                    </m:r>
                  </m:sub>
                </m:sSub>
              </m:oMath>
            </m:oMathPara>
          </w:p>
        </w:tc>
        <w:tc>
          <w:tcPr>
            <w:tcW w:w="637" w:type="dxa"/>
            <w:tcBorders>
              <w:top w:val="nil"/>
              <w:left w:val="nil"/>
              <w:bottom w:val="nil"/>
              <w:right w:val="nil"/>
            </w:tcBorders>
            <w:shd w:val="clear" w:color="auto" w:fill="auto"/>
            <w:noWrap/>
            <w:vAlign w:val="center"/>
            <w:hideMark/>
          </w:tcPr>
          <w:p w14:paraId="331DA29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0.022</w:t>
            </w:r>
          </w:p>
        </w:tc>
        <w:tc>
          <w:tcPr>
            <w:tcW w:w="627" w:type="dxa"/>
            <w:tcBorders>
              <w:top w:val="nil"/>
              <w:left w:val="nil"/>
              <w:bottom w:val="nil"/>
              <w:right w:val="nil"/>
            </w:tcBorders>
            <w:shd w:val="clear" w:color="auto" w:fill="auto"/>
            <w:noWrap/>
            <w:vAlign w:val="center"/>
            <w:hideMark/>
          </w:tcPr>
          <w:p w14:paraId="12F34FC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0.790</w:t>
            </w:r>
          </w:p>
        </w:tc>
        <w:tc>
          <w:tcPr>
            <w:tcW w:w="637" w:type="dxa"/>
            <w:tcBorders>
              <w:top w:val="nil"/>
              <w:left w:val="nil"/>
              <w:bottom w:val="nil"/>
              <w:right w:val="nil"/>
            </w:tcBorders>
            <w:shd w:val="clear" w:color="auto" w:fill="auto"/>
            <w:noWrap/>
            <w:vAlign w:val="center"/>
            <w:hideMark/>
          </w:tcPr>
          <w:p w14:paraId="1B474AE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0.062</w:t>
            </w:r>
          </w:p>
        </w:tc>
        <w:tc>
          <w:tcPr>
            <w:tcW w:w="627" w:type="dxa"/>
            <w:tcBorders>
              <w:top w:val="nil"/>
              <w:left w:val="nil"/>
              <w:bottom w:val="nil"/>
              <w:right w:val="nil"/>
            </w:tcBorders>
            <w:shd w:val="clear" w:color="auto" w:fill="auto"/>
            <w:noWrap/>
            <w:vAlign w:val="center"/>
            <w:hideMark/>
          </w:tcPr>
          <w:p w14:paraId="191029D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0.307</w:t>
            </w:r>
          </w:p>
        </w:tc>
        <w:tc>
          <w:tcPr>
            <w:tcW w:w="637" w:type="dxa"/>
            <w:tcBorders>
              <w:top w:val="nil"/>
              <w:left w:val="nil"/>
              <w:bottom w:val="nil"/>
              <w:right w:val="nil"/>
            </w:tcBorders>
            <w:shd w:val="clear" w:color="auto" w:fill="auto"/>
            <w:noWrap/>
            <w:vAlign w:val="center"/>
            <w:hideMark/>
          </w:tcPr>
          <w:p w14:paraId="1C2245B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-0.104</w:t>
            </w:r>
          </w:p>
        </w:tc>
        <w:tc>
          <w:tcPr>
            <w:tcW w:w="627" w:type="dxa"/>
            <w:tcBorders>
              <w:top w:val="nil"/>
              <w:left w:val="nil"/>
              <w:bottom w:val="nil"/>
              <w:right w:val="nil"/>
            </w:tcBorders>
            <w:shd w:val="clear" w:color="auto" w:fill="auto"/>
            <w:noWrap/>
            <w:vAlign w:val="center"/>
            <w:hideMark/>
          </w:tcPr>
          <w:p w14:paraId="69D88BA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0.201</w:t>
            </w:r>
          </w:p>
        </w:tc>
        <w:tc>
          <w:tcPr>
            <w:tcW w:w="637" w:type="dxa"/>
            <w:tcBorders>
              <w:top w:val="nil"/>
              <w:left w:val="nil"/>
              <w:bottom w:val="nil"/>
              <w:right w:val="nil"/>
            </w:tcBorders>
            <w:shd w:val="clear" w:color="auto" w:fill="auto"/>
            <w:noWrap/>
            <w:vAlign w:val="center"/>
            <w:hideMark/>
          </w:tcPr>
          <w:p w14:paraId="3372D5F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-0.027</w:t>
            </w:r>
          </w:p>
        </w:tc>
        <w:tc>
          <w:tcPr>
            <w:tcW w:w="627" w:type="dxa"/>
            <w:tcBorders>
              <w:top w:val="nil"/>
              <w:left w:val="nil"/>
              <w:bottom w:val="nil"/>
              <w:right w:val="nil"/>
            </w:tcBorders>
            <w:shd w:val="clear" w:color="auto" w:fill="auto"/>
            <w:noWrap/>
            <w:vAlign w:val="center"/>
            <w:hideMark/>
          </w:tcPr>
          <w:p w14:paraId="5787636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0.638</w:t>
            </w:r>
          </w:p>
        </w:tc>
        <w:tc>
          <w:tcPr>
            <w:tcW w:w="714" w:type="dxa"/>
            <w:tcBorders>
              <w:top w:val="nil"/>
              <w:left w:val="nil"/>
              <w:bottom w:val="nil"/>
              <w:right w:val="nil"/>
            </w:tcBorders>
            <w:shd w:val="clear" w:color="auto" w:fill="auto"/>
            <w:noWrap/>
            <w:vAlign w:val="center"/>
            <w:hideMark/>
          </w:tcPr>
          <w:p w14:paraId="7FFE791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-0.190</w:t>
            </w:r>
          </w:p>
        </w:tc>
        <w:tc>
          <w:tcPr>
            <w:tcW w:w="627" w:type="dxa"/>
            <w:tcBorders>
              <w:top w:val="nil"/>
              <w:left w:val="nil"/>
              <w:bottom w:val="nil"/>
              <w:right w:val="nil"/>
            </w:tcBorders>
            <w:shd w:val="clear" w:color="auto" w:fill="auto"/>
            <w:noWrap/>
            <w:vAlign w:val="center"/>
            <w:hideMark/>
          </w:tcPr>
          <w:p w14:paraId="6077F9B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637" w:type="dxa"/>
            <w:tcBorders>
              <w:top w:val="nil"/>
              <w:left w:val="nil"/>
              <w:bottom w:val="nil"/>
              <w:right w:val="nil"/>
            </w:tcBorders>
            <w:shd w:val="clear" w:color="auto" w:fill="auto"/>
            <w:noWrap/>
            <w:vAlign w:val="center"/>
            <w:hideMark/>
          </w:tcPr>
          <w:p w14:paraId="75B3A84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-0.101</w:t>
            </w:r>
          </w:p>
        </w:tc>
        <w:tc>
          <w:tcPr>
            <w:tcW w:w="627" w:type="dxa"/>
            <w:tcBorders>
              <w:top w:val="nil"/>
              <w:left w:val="nil"/>
              <w:bottom w:val="nil"/>
              <w:right w:val="nil"/>
            </w:tcBorders>
            <w:shd w:val="clear" w:color="auto" w:fill="auto"/>
            <w:noWrap/>
            <w:vAlign w:val="center"/>
            <w:hideMark/>
          </w:tcPr>
          <w:p w14:paraId="084BEB5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0.147</w:t>
            </w:r>
          </w:p>
        </w:tc>
        <w:tc>
          <w:tcPr>
            <w:tcW w:w="637" w:type="dxa"/>
            <w:tcBorders>
              <w:top w:val="nil"/>
              <w:left w:val="nil"/>
              <w:bottom w:val="nil"/>
              <w:right w:val="nil"/>
            </w:tcBorders>
            <w:shd w:val="clear" w:color="auto" w:fill="auto"/>
            <w:noWrap/>
            <w:vAlign w:val="center"/>
            <w:hideMark/>
          </w:tcPr>
          <w:p w14:paraId="638F1A0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0.048</w:t>
            </w:r>
          </w:p>
        </w:tc>
        <w:tc>
          <w:tcPr>
            <w:tcW w:w="627" w:type="dxa"/>
            <w:tcBorders>
              <w:top w:val="nil"/>
              <w:left w:val="nil"/>
              <w:bottom w:val="nil"/>
              <w:right w:val="nil"/>
            </w:tcBorders>
            <w:shd w:val="clear" w:color="auto" w:fill="auto"/>
            <w:noWrap/>
            <w:vAlign w:val="center"/>
            <w:hideMark/>
          </w:tcPr>
          <w:p w14:paraId="03E660B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38188AE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-0.139</w:t>
            </w:r>
          </w:p>
        </w:tc>
        <w:tc>
          <w:tcPr>
            <w:tcW w:w="627" w:type="dxa"/>
            <w:tcBorders>
              <w:top w:val="nil"/>
              <w:left w:val="nil"/>
              <w:bottom w:val="nil"/>
              <w:right w:val="nil"/>
            </w:tcBorders>
            <w:shd w:val="clear" w:color="auto" w:fill="auto"/>
            <w:noWrap/>
            <w:vAlign w:val="center"/>
            <w:hideMark/>
          </w:tcPr>
          <w:p w14:paraId="209635A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0.050</w:t>
            </w:r>
          </w:p>
        </w:tc>
        <w:tc>
          <w:tcPr>
            <w:tcW w:w="637" w:type="dxa"/>
            <w:tcBorders>
              <w:top w:val="nil"/>
              <w:left w:val="nil"/>
              <w:bottom w:val="nil"/>
              <w:right w:val="nil"/>
            </w:tcBorders>
            <w:shd w:val="clear" w:color="auto" w:fill="auto"/>
            <w:noWrap/>
            <w:vAlign w:val="center"/>
            <w:hideMark/>
          </w:tcPr>
          <w:p w14:paraId="3D964C0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0.042</w:t>
            </w:r>
          </w:p>
        </w:tc>
        <w:tc>
          <w:tcPr>
            <w:tcW w:w="627" w:type="dxa"/>
            <w:tcBorders>
              <w:top w:val="nil"/>
              <w:left w:val="nil"/>
              <w:bottom w:val="nil"/>
              <w:right w:val="nil"/>
            </w:tcBorders>
            <w:shd w:val="clear" w:color="auto" w:fill="auto"/>
            <w:noWrap/>
            <w:vAlign w:val="center"/>
            <w:hideMark/>
          </w:tcPr>
          <w:p w14:paraId="49EF46A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7B76C25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-0.113</w:t>
            </w:r>
          </w:p>
        </w:tc>
        <w:tc>
          <w:tcPr>
            <w:tcW w:w="627" w:type="dxa"/>
            <w:tcBorders>
              <w:top w:val="nil"/>
              <w:left w:val="nil"/>
              <w:bottom w:val="nil"/>
              <w:right w:val="nil"/>
            </w:tcBorders>
            <w:shd w:val="clear" w:color="auto" w:fill="auto"/>
            <w:noWrap/>
            <w:vAlign w:val="center"/>
            <w:hideMark/>
          </w:tcPr>
          <w:p w14:paraId="160A9AF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0.114</w:t>
            </w:r>
          </w:p>
        </w:tc>
        <w:tc>
          <w:tcPr>
            <w:tcW w:w="637" w:type="dxa"/>
            <w:tcBorders>
              <w:top w:val="nil"/>
              <w:left w:val="nil"/>
              <w:bottom w:val="nil"/>
              <w:right w:val="nil"/>
            </w:tcBorders>
            <w:shd w:val="clear" w:color="auto" w:fill="auto"/>
            <w:noWrap/>
            <w:vAlign w:val="center"/>
            <w:hideMark/>
          </w:tcPr>
          <w:p w14:paraId="2FE7A5E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631" w:type="dxa"/>
            <w:tcBorders>
              <w:top w:val="nil"/>
              <w:left w:val="nil"/>
              <w:bottom w:val="nil"/>
              <w:right w:val="nil"/>
            </w:tcBorders>
            <w:shd w:val="clear" w:color="auto" w:fill="auto"/>
            <w:noWrap/>
            <w:vAlign w:val="center"/>
            <w:hideMark/>
          </w:tcPr>
          <w:p w14:paraId="64D4AD9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0.832</w:t>
            </w:r>
          </w:p>
        </w:tc>
      </w:tr>
      <w:tr w:rsidR="00F92754" w:rsidRPr="00FF6562" w14:paraId="1C92239C" w14:textId="77777777" w:rsidTr="004418B0">
        <w:trPr>
          <w:trHeight w:val="124"/>
          <w:jc w:val="center"/>
        </w:trPr>
        <w:tc>
          <w:tcPr>
            <w:tcW w:w="718" w:type="dxa"/>
            <w:tcBorders>
              <w:top w:val="nil"/>
              <w:left w:val="nil"/>
              <w:bottom w:val="nil"/>
              <w:right w:val="nil"/>
            </w:tcBorders>
            <w:shd w:val="clear" w:color="auto" w:fill="auto"/>
            <w:noWrap/>
            <w:vAlign w:val="center"/>
            <w:hideMark/>
          </w:tcPr>
          <w:p w14:paraId="237628B7"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12</m:t>
                    </m:r>
                  </m:sub>
                </m:sSub>
              </m:oMath>
            </m:oMathPara>
          </w:p>
        </w:tc>
        <w:tc>
          <w:tcPr>
            <w:tcW w:w="637" w:type="dxa"/>
            <w:tcBorders>
              <w:top w:val="nil"/>
              <w:left w:val="nil"/>
              <w:bottom w:val="nil"/>
              <w:right w:val="nil"/>
            </w:tcBorders>
            <w:shd w:val="clear" w:color="auto" w:fill="auto"/>
            <w:noWrap/>
            <w:vAlign w:val="center"/>
            <w:hideMark/>
          </w:tcPr>
          <w:p w14:paraId="0704C1B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0.816</w:t>
            </w:r>
          </w:p>
        </w:tc>
        <w:tc>
          <w:tcPr>
            <w:tcW w:w="627" w:type="dxa"/>
            <w:tcBorders>
              <w:top w:val="nil"/>
              <w:left w:val="nil"/>
              <w:bottom w:val="nil"/>
              <w:right w:val="nil"/>
            </w:tcBorders>
            <w:shd w:val="clear" w:color="auto" w:fill="auto"/>
            <w:noWrap/>
            <w:vAlign w:val="center"/>
            <w:hideMark/>
          </w:tcPr>
          <w:p w14:paraId="5C89073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0.126</w:t>
            </w:r>
          </w:p>
        </w:tc>
        <w:tc>
          <w:tcPr>
            <w:tcW w:w="637" w:type="dxa"/>
            <w:tcBorders>
              <w:top w:val="nil"/>
              <w:left w:val="nil"/>
              <w:bottom w:val="nil"/>
              <w:right w:val="nil"/>
            </w:tcBorders>
            <w:shd w:val="clear" w:color="auto" w:fill="auto"/>
            <w:noWrap/>
            <w:vAlign w:val="center"/>
            <w:hideMark/>
          </w:tcPr>
          <w:p w14:paraId="0FE597A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0.305</w:t>
            </w:r>
          </w:p>
        </w:tc>
        <w:tc>
          <w:tcPr>
            <w:tcW w:w="627" w:type="dxa"/>
            <w:tcBorders>
              <w:top w:val="nil"/>
              <w:left w:val="nil"/>
              <w:bottom w:val="nil"/>
              <w:right w:val="nil"/>
            </w:tcBorders>
            <w:shd w:val="clear" w:color="auto" w:fill="auto"/>
            <w:noWrap/>
            <w:vAlign w:val="center"/>
            <w:hideMark/>
          </w:tcPr>
          <w:p w14:paraId="75F6B12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0.484</w:t>
            </w:r>
          </w:p>
        </w:tc>
        <w:tc>
          <w:tcPr>
            <w:tcW w:w="637" w:type="dxa"/>
            <w:tcBorders>
              <w:top w:val="nil"/>
              <w:left w:val="nil"/>
              <w:bottom w:val="nil"/>
              <w:right w:val="nil"/>
            </w:tcBorders>
            <w:shd w:val="clear" w:color="auto" w:fill="auto"/>
            <w:noWrap/>
            <w:vAlign w:val="center"/>
            <w:hideMark/>
          </w:tcPr>
          <w:p w14:paraId="13F667A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-0.332</w:t>
            </w:r>
          </w:p>
        </w:tc>
        <w:tc>
          <w:tcPr>
            <w:tcW w:w="627" w:type="dxa"/>
            <w:tcBorders>
              <w:top w:val="nil"/>
              <w:left w:val="nil"/>
              <w:bottom w:val="nil"/>
              <w:right w:val="nil"/>
            </w:tcBorders>
            <w:shd w:val="clear" w:color="auto" w:fill="auto"/>
            <w:noWrap/>
            <w:vAlign w:val="center"/>
            <w:hideMark/>
          </w:tcPr>
          <w:p w14:paraId="6EF346B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0.594</w:t>
            </w:r>
          </w:p>
        </w:tc>
        <w:tc>
          <w:tcPr>
            <w:tcW w:w="637" w:type="dxa"/>
            <w:tcBorders>
              <w:top w:val="nil"/>
              <w:left w:val="nil"/>
              <w:bottom w:val="nil"/>
              <w:right w:val="nil"/>
            </w:tcBorders>
            <w:shd w:val="clear" w:color="auto" w:fill="auto"/>
            <w:noWrap/>
            <w:vAlign w:val="center"/>
            <w:hideMark/>
          </w:tcPr>
          <w:p w14:paraId="05EC942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0.110</w:t>
            </w:r>
          </w:p>
        </w:tc>
        <w:tc>
          <w:tcPr>
            <w:tcW w:w="627" w:type="dxa"/>
            <w:tcBorders>
              <w:top w:val="nil"/>
              <w:left w:val="nil"/>
              <w:bottom w:val="nil"/>
              <w:right w:val="nil"/>
            </w:tcBorders>
            <w:shd w:val="clear" w:color="auto" w:fill="auto"/>
            <w:noWrap/>
            <w:vAlign w:val="center"/>
            <w:hideMark/>
          </w:tcPr>
          <w:p w14:paraId="5FFD571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0.664</w:t>
            </w:r>
          </w:p>
        </w:tc>
        <w:tc>
          <w:tcPr>
            <w:tcW w:w="714" w:type="dxa"/>
            <w:tcBorders>
              <w:top w:val="nil"/>
              <w:left w:val="nil"/>
              <w:bottom w:val="nil"/>
              <w:right w:val="nil"/>
            </w:tcBorders>
            <w:shd w:val="clear" w:color="auto" w:fill="auto"/>
            <w:noWrap/>
            <w:vAlign w:val="center"/>
            <w:hideMark/>
          </w:tcPr>
          <w:p w14:paraId="1502F7E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-0.184</w:t>
            </w:r>
          </w:p>
        </w:tc>
        <w:tc>
          <w:tcPr>
            <w:tcW w:w="627" w:type="dxa"/>
            <w:tcBorders>
              <w:top w:val="nil"/>
              <w:left w:val="nil"/>
              <w:bottom w:val="nil"/>
              <w:right w:val="nil"/>
            </w:tcBorders>
            <w:shd w:val="clear" w:color="auto" w:fill="auto"/>
            <w:noWrap/>
            <w:vAlign w:val="center"/>
            <w:hideMark/>
          </w:tcPr>
          <w:p w14:paraId="2DED3DF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0.425</w:t>
            </w:r>
          </w:p>
        </w:tc>
        <w:tc>
          <w:tcPr>
            <w:tcW w:w="637" w:type="dxa"/>
            <w:tcBorders>
              <w:top w:val="nil"/>
              <w:left w:val="nil"/>
              <w:bottom w:val="nil"/>
              <w:right w:val="nil"/>
            </w:tcBorders>
            <w:shd w:val="clear" w:color="auto" w:fill="auto"/>
            <w:noWrap/>
            <w:vAlign w:val="center"/>
            <w:hideMark/>
          </w:tcPr>
          <w:p w14:paraId="01703AC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-0.117</w:t>
            </w:r>
          </w:p>
        </w:tc>
        <w:tc>
          <w:tcPr>
            <w:tcW w:w="627" w:type="dxa"/>
            <w:tcBorders>
              <w:top w:val="nil"/>
              <w:left w:val="nil"/>
              <w:bottom w:val="nil"/>
              <w:right w:val="nil"/>
            </w:tcBorders>
            <w:shd w:val="clear" w:color="auto" w:fill="auto"/>
            <w:noWrap/>
            <w:vAlign w:val="center"/>
            <w:hideMark/>
          </w:tcPr>
          <w:p w14:paraId="498AACC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0.829</w:t>
            </w:r>
          </w:p>
        </w:tc>
        <w:tc>
          <w:tcPr>
            <w:tcW w:w="637" w:type="dxa"/>
            <w:tcBorders>
              <w:top w:val="nil"/>
              <w:left w:val="nil"/>
              <w:bottom w:val="nil"/>
              <w:right w:val="nil"/>
            </w:tcBorders>
            <w:shd w:val="clear" w:color="auto" w:fill="auto"/>
            <w:noWrap/>
            <w:vAlign w:val="center"/>
            <w:hideMark/>
          </w:tcPr>
          <w:p w14:paraId="6813C7C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0.139</w:t>
            </w:r>
          </w:p>
        </w:tc>
        <w:tc>
          <w:tcPr>
            <w:tcW w:w="627" w:type="dxa"/>
            <w:tcBorders>
              <w:top w:val="nil"/>
              <w:left w:val="nil"/>
              <w:bottom w:val="nil"/>
              <w:right w:val="nil"/>
            </w:tcBorders>
            <w:shd w:val="clear" w:color="auto" w:fill="auto"/>
            <w:noWrap/>
            <w:vAlign w:val="center"/>
            <w:hideMark/>
          </w:tcPr>
          <w:p w14:paraId="59E509E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0.736</w:t>
            </w:r>
          </w:p>
        </w:tc>
        <w:tc>
          <w:tcPr>
            <w:tcW w:w="637" w:type="dxa"/>
            <w:tcBorders>
              <w:top w:val="nil"/>
              <w:left w:val="nil"/>
              <w:bottom w:val="nil"/>
              <w:right w:val="nil"/>
            </w:tcBorders>
            <w:shd w:val="clear" w:color="auto" w:fill="auto"/>
            <w:noWrap/>
            <w:vAlign w:val="center"/>
            <w:hideMark/>
          </w:tcPr>
          <w:p w14:paraId="42B96AC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0.134</w:t>
            </w:r>
          </w:p>
        </w:tc>
        <w:tc>
          <w:tcPr>
            <w:tcW w:w="627" w:type="dxa"/>
            <w:tcBorders>
              <w:top w:val="nil"/>
              <w:left w:val="nil"/>
              <w:bottom w:val="nil"/>
              <w:right w:val="nil"/>
            </w:tcBorders>
            <w:shd w:val="clear" w:color="auto" w:fill="auto"/>
            <w:noWrap/>
            <w:vAlign w:val="center"/>
            <w:hideMark/>
          </w:tcPr>
          <w:p w14:paraId="5E427DA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0.722</w:t>
            </w:r>
          </w:p>
        </w:tc>
        <w:tc>
          <w:tcPr>
            <w:tcW w:w="637" w:type="dxa"/>
            <w:tcBorders>
              <w:top w:val="nil"/>
              <w:left w:val="nil"/>
              <w:bottom w:val="nil"/>
              <w:right w:val="nil"/>
            </w:tcBorders>
            <w:shd w:val="clear" w:color="auto" w:fill="auto"/>
            <w:noWrap/>
            <w:vAlign w:val="center"/>
            <w:hideMark/>
          </w:tcPr>
          <w:p w14:paraId="37DA76C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627" w:type="dxa"/>
            <w:tcBorders>
              <w:top w:val="nil"/>
              <w:left w:val="nil"/>
              <w:bottom w:val="nil"/>
              <w:right w:val="nil"/>
            </w:tcBorders>
            <w:shd w:val="clear" w:color="auto" w:fill="auto"/>
            <w:noWrap/>
            <w:vAlign w:val="center"/>
            <w:hideMark/>
          </w:tcPr>
          <w:p w14:paraId="530CBD9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0.998</w:t>
            </w:r>
          </w:p>
        </w:tc>
        <w:tc>
          <w:tcPr>
            <w:tcW w:w="637" w:type="dxa"/>
            <w:tcBorders>
              <w:top w:val="nil"/>
              <w:left w:val="nil"/>
              <w:bottom w:val="nil"/>
              <w:right w:val="nil"/>
            </w:tcBorders>
            <w:shd w:val="clear" w:color="auto" w:fill="auto"/>
            <w:noWrap/>
            <w:vAlign w:val="center"/>
            <w:hideMark/>
          </w:tcPr>
          <w:p w14:paraId="2AD1196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0.264</w:t>
            </w:r>
          </w:p>
        </w:tc>
        <w:tc>
          <w:tcPr>
            <w:tcW w:w="627" w:type="dxa"/>
            <w:tcBorders>
              <w:top w:val="nil"/>
              <w:left w:val="nil"/>
              <w:bottom w:val="nil"/>
              <w:right w:val="nil"/>
            </w:tcBorders>
            <w:shd w:val="clear" w:color="auto" w:fill="auto"/>
            <w:noWrap/>
            <w:vAlign w:val="center"/>
            <w:hideMark/>
          </w:tcPr>
          <w:p w14:paraId="32C840F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0.526</w:t>
            </w:r>
          </w:p>
        </w:tc>
        <w:tc>
          <w:tcPr>
            <w:tcW w:w="637" w:type="dxa"/>
            <w:tcBorders>
              <w:top w:val="nil"/>
              <w:left w:val="nil"/>
              <w:bottom w:val="nil"/>
              <w:right w:val="nil"/>
            </w:tcBorders>
            <w:shd w:val="clear" w:color="auto" w:fill="auto"/>
            <w:noWrap/>
            <w:vAlign w:val="center"/>
            <w:hideMark/>
          </w:tcPr>
          <w:p w14:paraId="4770EE3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0.248</w:t>
            </w:r>
          </w:p>
        </w:tc>
        <w:tc>
          <w:tcPr>
            <w:tcW w:w="631" w:type="dxa"/>
            <w:tcBorders>
              <w:top w:val="nil"/>
              <w:left w:val="nil"/>
              <w:bottom w:val="nil"/>
              <w:right w:val="nil"/>
            </w:tcBorders>
            <w:shd w:val="clear" w:color="auto" w:fill="auto"/>
            <w:noWrap/>
            <w:vAlign w:val="center"/>
            <w:hideMark/>
          </w:tcPr>
          <w:p w14:paraId="526F8D7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0.665</w:t>
            </w:r>
          </w:p>
        </w:tc>
      </w:tr>
      <w:tr w:rsidR="00F92754" w:rsidRPr="00FF6562" w14:paraId="4D0C62C2" w14:textId="77777777" w:rsidTr="004418B0">
        <w:trPr>
          <w:trHeight w:val="86"/>
          <w:jc w:val="center"/>
        </w:trPr>
        <w:tc>
          <w:tcPr>
            <w:tcW w:w="718" w:type="dxa"/>
            <w:tcBorders>
              <w:top w:val="nil"/>
              <w:left w:val="nil"/>
              <w:bottom w:val="nil"/>
              <w:right w:val="nil"/>
            </w:tcBorders>
            <w:shd w:val="clear" w:color="auto" w:fill="auto"/>
            <w:noWrap/>
            <w:vAlign w:val="center"/>
            <w:hideMark/>
          </w:tcPr>
          <w:p w14:paraId="2D6CDF4E"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μ</m:t>
                    </m:r>
                  </m:e>
                  <m:sub>
                    <m:r>
                      <w:rPr>
                        <w:rFonts w:ascii="Cambria Math" w:hAnsi="Cambria Math" w:cs="Times New Roman"/>
                        <w:color w:val="000000" w:themeColor="text1"/>
                        <w:sz w:val="16"/>
                        <w:szCs w:val="16"/>
                        <w:lang w:eastAsia="en-GB"/>
                      </w:rPr>
                      <m:t>2</m:t>
                    </m:r>
                  </m:sub>
                </m:sSub>
              </m:oMath>
            </m:oMathPara>
          </w:p>
        </w:tc>
        <w:tc>
          <w:tcPr>
            <w:tcW w:w="637" w:type="dxa"/>
            <w:tcBorders>
              <w:top w:val="nil"/>
              <w:left w:val="nil"/>
              <w:bottom w:val="nil"/>
              <w:right w:val="nil"/>
            </w:tcBorders>
            <w:shd w:val="clear" w:color="auto" w:fill="auto"/>
            <w:noWrap/>
            <w:vAlign w:val="center"/>
            <w:hideMark/>
          </w:tcPr>
          <w:p w14:paraId="44BF7FB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0.204</w:t>
            </w:r>
          </w:p>
        </w:tc>
        <w:tc>
          <w:tcPr>
            <w:tcW w:w="627" w:type="dxa"/>
            <w:tcBorders>
              <w:top w:val="nil"/>
              <w:left w:val="nil"/>
              <w:bottom w:val="nil"/>
              <w:right w:val="nil"/>
            </w:tcBorders>
            <w:shd w:val="clear" w:color="auto" w:fill="auto"/>
            <w:noWrap/>
            <w:vAlign w:val="center"/>
            <w:hideMark/>
          </w:tcPr>
          <w:p w14:paraId="0192604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0.836</w:t>
            </w:r>
          </w:p>
        </w:tc>
        <w:tc>
          <w:tcPr>
            <w:tcW w:w="637" w:type="dxa"/>
            <w:tcBorders>
              <w:top w:val="nil"/>
              <w:left w:val="nil"/>
              <w:bottom w:val="nil"/>
              <w:right w:val="nil"/>
            </w:tcBorders>
            <w:shd w:val="clear" w:color="auto" w:fill="auto"/>
            <w:noWrap/>
            <w:vAlign w:val="center"/>
            <w:hideMark/>
          </w:tcPr>
          <w:p w14:paraId="678529E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0.437</w:t>
            </w:r>
          </w:p>
        </w:tc>
        <w:tc>
          <w:tcPr>
            <w:tcW w:w="627" w:type="dxa"/>
            <w:tcBorders>
              <w:top w:val="nil"/>
              <w:left w:val="nil"/>
              <w:bottom w:val="nil"/>
              <w:right w:val="nil"/>
            </w:tcBorders>
            <w:shd w:val="clear" w:color="auto" w:fill="auto"/>
            <w:noWrap/>
            <w:vAlign w:val="center"/>
            <w:hideMark/>
          </w:tcPr>
          <w:p w14:paraId="7AA4C0F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0.637</w:t>
            </w:r>
          </w:p>
        </w:tc>
        <w:tc>
          <w:tcPr>
            <w:tcW w:w="637" w:type="dxa"/>
            <w:tcBorders>
              <w:top w:val="nil"/>
              <w:left w:val="nil"/>
              <w:bottom w:val="nil"/>
              <w:right w:val="nil"/>
            </w:tcBorders>
            <w:shd w:val="clear" w:color="auto" w:fill="auto"/>
            <w:noWrap/>
            <w:vAlign w:val="center"/>
            <w:hideMark/>
          </w:tcPr>
          <w:p w14:paraId="1D8C487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0.263</w:t>
            </w:r>
          </w:p>
        </w:tc>
        <w:tc>
          <w:tcPr>
            <w:tcW w:w="627" w:type="dxa"/>
            <w:tcBorders>
              <w:top w:val="nil"/>
              <w:left w:val="nil"/>
              <w:bottom w:val="nil"/>
              <w:right w:val="nil"/>
            </w:tcBorders>
            <w:shd w:val="clear" w:color="auto" w:fill="auto"/>
            <w:noWrap/>
            <w:vAlign w:val="center"/>
            <w:hideMark/>
          </w:tcPr>
          <w:p w14:paraId="29C574B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0.765</w:t>
            </w:r>
          </w:p>
        </w:tc>
        <w:tc>
          <w:tcPr>
            <w:tcW w:w="637" w:type="dxa"/>
            <w:tcBorders>
              <w:top w:val="nil"/>
              <w:left w:val="nil"/>
              <w:bottom w:val="nil"/>
              <w:right w:val="nil"/>
            </w:tcBorders>
            <w:shd w:val="clear" w:color="auto" w:fill="auto"/>
            <w:noWrap/>
            <w:vAlign w:val="center"/>
            <w:hideMark/>
          </w:tcPr>
          <w:p w14:paraId="171B8F1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0.288</w:t>
            </w:r>
          </w:p>
        </w:tc>
        <w:tc>
          <w:tcPr>
            <w:tcW w:w="627" w:type="dxa"/>
            <w:tcBorders>
              <w:top w:val="nil"/>
              <w:left w:val="nil"/>
              <w:bottom w:val="nil"/>
              <w:right w:val="nil"/>
            </w:tcBorders>
            <w:shd w:val="clear" w:color="auto" w:fill="auto"/>
            <w:noWrap/>
            <w:vAlign w:val="center"/>
            <w:hideMark/>
          </w:tcPr>
          <w:p w14:paraId="174DFDF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0.788</w:t>
            </w:r>
          </w:p>
        </w:tc>
        <w:tc>
          <w:tcPr>
            <w:tcW w:w="714" w:type="dxa"/>
            <w:tcBorders>
              <w:top w:val="nil"/>
              <w:left w:val="nil"/>
              <w:bottom w:val="nil"/>
              <w:right w:val="nil"/>
            </w:tcBorders>
            <w:shd w:val="clear" w:color="auto" w:fill="auto"/>
            <w:noWrap/>
            <w:vAlign w:val="center"/>
            <w:hideMark/>
          </w:tcPr>
          <w:p w14:paraId="2614A99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0.325</w:t>
            </w:r>
          </w:p>
        </w:tc>
        <w:tc>
          <w:tcPr>
            <w:tcW w:w="627" w:type="dxa"/>
            <w:tcBorders>
              <w:top w:val="nil"/>
              <w:left w:val="nil"/>
              <w:bottom w:val="nil"/>
              <w:right w:val="nil"/>
            </w:tcBorders>
            <w:shd w:val="clear" w:color="auto" w:fill="auto"/>
            <w:noWrap/>
            <w:vAlign w:val="center"/>
            <w:hideMark/>
          </w:tcPr>
          <w:p w14:paraId="01BA32C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0.691</w:t>
            </w:r>
          </w:p>
        </w:tc>
        <w:tc>
          <w:tcPr>
            <w:tcW w:w="637" w:type="dxa"/>
            <w:tcBorders>
              <w:top w:val="nil"/>
              <w:left w:val="nil"/>
              <w:bottom w:val="nil"/>
              <w:right w:val="nil"/>
            </w:tcBorders>
            <w:shd w:val="clear" w:color="auto" w:fill="auto"/>
            <w:noWrap/>
            <w:vAlign w:val="center"/>
            <w:hideMark/>
          </w:tcPr>
          <w:p w14:paraId="5F3A2BD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0.343</w:t>
            </w:r>
          </w:p>
        </w:tc>
        <w:tc>
          <w:tcPr>
            <w:tcW w:w="627" w:type="dxa"/>
            <w:tcBorders>
              <w:top w:val="nil"/>
              <w:left w:val="nil"/>
              <w:bottom w:val="nil"/>
              <w:right w:val="nil"/>
            </w:tcBorders>
            <w:shd w:val="clear" w:color="auto" w:fill="auto"/>
            <w:noWrap/>
            <w:vAlign w:val="center"/>
            <w:hideMark/>
          </w:tcPr>
          <w:p w14:paraId="55AFEDF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0.730</w:t>
            </w:r>
          </w:p>
        </w:tc>
        <w:tc>
          <w:tcPr>
            <w:tcW w:w="637" w:type="dxa"/>
            <w:tcBorders>
              <w:top w:val="nil"/>
              <w:left w:val="nil"/>
              <w:bottom w:val="nil"/>
              <w:right w:val="nil"/>
            </w:tcBorders>
            <w:shd w:val="clear" w:color="auto" w:fill="auto"/>
            <w:noWrap/>
            <w:vAlign w:val="center"/>
            <w:hideMark/>
          </w:tcPr>
          <w:p w14:paraId="5949AD1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0.284</w:t>
            </w:r>
          </w:p>
        </w:tc>
        <w:tc>
          <w:tcPr>
            <w:tcW w:w="627" w:type="dxa"/>
            <w:tcBorders>
              <w:top w:val="nil"/>
              <w:left w:val="nil"/>
              <w:bottom w:val="nil"/>
              <w:right w:val="nil"/>
            </w:tcBorders>
            <w:shd w:val="clear" w:color="auto" w:fill="auto"/>
            <w:noWrap/>
            <w:vAlign w:val="center"/>
            <w:hideMark/>
          </w:tcPr>
          <w:p w14:paraId="7A8255A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0.722</w:t>
            </w:r>
          </w:p>
        </w:tc>
        <w:tc>
          <w:tcPr>
            <w:tcW w:w="637" w:type="dxa"/>
            <w:tcBorders>
              <w:top w:val="nil"/>
              <w:left w:val="nil"/>
              <w:bottom w:val="nil"/>
              <w:right w:val="nil"/>
            </w:tcBorders>
            <w:shd w:val="clear" w:color="auto" w:fill="auto"/>
            <w:noWrap/>
            <w:vAlign w:val="center"/>
            <w:hideMark/>
          </w:tcPr>
          <w:p w14:paraId="751D8D2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0.472</w:t>
            </w:r>
          </w:p>
        </w:tc>
        <w:tc>
          <w:tcPr>
            <w:tcW w:w="627" w:type="dxa"/>
            <w:tcBorders>
              <w:top w:val="nil"/>
              <w:left w:val="nil"/>
              <w:bottom w:val="nil"/>
              <w:right w:val="nil"/>
            </w:tcBorders>
            <w:shd w:val="clear" w:color="auto" w:fill="auto"/>
            <w:noWrap/>
            <w:vAlign w:val="center"/>
            <w:hideMark/>
          </w:tcPr>
          <w:p w14:paraId="09BD4A7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0.547</w:t>
            </w:r>
          </w:p>
        </w:tc>
        <w:tc>
          <w:tcPr>
            <w:tcW w:w="637" w:type="dxa"/>
            <w:tcBorders>
              <w:top w:val="nil"/>
              <w:left w:val="nil"/>
              <w:bottom w:val="nil"/>
              <w:right w:val="nil"/>
            </w:tcBorders>
            <w:shd w:val="clear" w:color="auto" w:fill="auto"/>
            <w:noWrap/>
            <w:vAlign w:val="center"/>
            <w:hideMark/>
          </w:tcPr>
          <w:p w14:paraId="3DDE98B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0.492</w:t>
            </w:r>
          </w:p>
        </w:tc>
        <w:tc>
          <w:tcPr>
            <w:tcW w:w="627" w:type="dxa"/>
            <w:tcBorders>
              <w:top w:val="nil"/>
              <w:left w:val="nil"/>
              <w:bottom w:val="nil"/>
              <w:right w:val="nil"/>
            </w:tcBorders>
            <w:shd w:val="clear" w:color="auto" w:fill="auto"/>
            <w:noWrap/>
            <w:vAlign w:val="center"/>
            <w:hideMark/>
          </w:tcPr>
          <w:p w14:paraId="1F95640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0.602</w:t>
            </w:r>
          </w:p>
        </w:tc>
        <w:tc>
          <w:tcPr>
            <w:tcW w:w="637" w:type="dxa"/>
            <w:tcBorders>
              <w:top w:val="nil"/>
              <w:left w:val="nil"/>
              <w:bottom w:val="nil"/>
              <w:right w:val="nil"/>
            </w:tcBorders>
            <w:shd w:val="clear" w:color="auto" w:fill="auto"/>
            <w:noWrap/>
            <w:vAlign w:val="center"/>
            <w:hideMark/>
          </w:tcPr>
          <w:p w14:paraId="412AEED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0.081</w:t>
            </w:r>
          </w:p>
        </w:tc>
        <w:tc>
          <w:tcPr>
            <w:tcW w:w="627" w:type="dxa"/>
            <w:tcBorders>
              <w:top w:val="nil"/>
              <w:left w:val="nil"/>
              <w:bottom w:val="nil"/>
              <w:right w:val="nil"/>
            </w:tcBorders>
            <w:shd w:val="clear" w:color="auto" w:fill="auto"/>
            <w:noWrap/>
            <w:vAlign w:val="center"/>
            <w:hideMark/>
          </w:tcPr>
          <w:p w14:paraId="271A15A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0.930</w:t>
            </w:r>
          </w:p>
        </w:tc>
        <w:tc>
          <w:tcPr>
            <w:tcW w:w="637" w:type="dxa"/>
            <w:tcBorders>
              <w:top w:val="nil"/>
              <w:left w:val="nil"/>
              <w:bottom w:val="nil"/>
              <w:right w:val="nil"/>
            </w:tcBorders>
            <w:shd w:val="clear" w:color="auto" w:fill="auto"/>
            <w:noWrap/>
            <w:vAlign w:val="center"/>
            <w:hideMark/>
          </w:tcPr>
          <w:p w14:paraId="2EBCCC0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0.477</w:t>
            </w:r>
          </w:p>
        </w:tc>
        <w:tc>
          <w:tcPr>
            <w:tcW w:w="631" w:type="dxa"/>
            <w:tcBorders>
              <w:top w:val="nil"/>
              <w:left w:val="nil"/>
              <w:bottom w:val="nil"/>
              <w:right w:val="nil"/>
            </w:tcBorders>
            <w:shd w:val="clear" w:color="auto" w:fill="auto"/>
            <w:noWrap/>
            <w:vAlign w:val="center"/>
            <w:hideMark/>
          </w:tcPr>
          <w:p w14:paraId="1BEC232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0.601</w:t>
            </w:r>
          </w:p>
        </w:tc>
      </w:tr>
      <w:tr w:rsidR="00F92754" w:rsidRPr="00FF6562" w14:paraId="2F073459" w14:textId="77777777" w:rsidTr="004418B0">
        <w:trPr>
          <w:trHeight w:val="170"/>
          <w:jc w:val="center"/>
        </w:trPr>
        <w:tc>
          <w:tcPr>
            <w:tcW w:w="718" w:type="dxa"/>
            <w:tcBorders>
              <w:top w:val="nil"/>
              <w:left w:val="nil"/>
              <w:bottom w:val="nil"/>
              <w:right w:val="nil"/>
            </w:tcBorders>
            <w:shd w:val="clear" w:color="auto" w:fill="auto"/>
            <w:noWrap/>
            <w:vAlign w:val="center"/>
            <w:hideMark/>
          </w:tcPr>
          <w:p w14:paraId="6F358809"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21</m:t>
                    </m:r>
                  </m:sub>
                </m:sSub>
              </m:oMath>
            </m:oMathPara>
          </w:p>
        </w:tc>
        <w:tc>
          <w:tcPr>
            <w:tcW w:w="637" w:type="dxa"/>
            <w:tcBorders>
              <w:top w:val="nil"/>
              <w:left w:val="nil"/>
              <w:bottom w:val="nil"/>
              <w:right w:val="nil"/>
            </w:tcBorders>
            <w:shd w:val="clear" w:color="auto" w:fill="auto"/>
            <w:noWrap/>
            <w:vAlign w:val="center"/>
            <w:hideMark/>
          </w:tcPr>
          <w:p w14:paraId="73B0C01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627" w:type="dxa"/>
            <w:tcBorders>
              <w:top w:val="nil"/>
              <w:left w:val="nil"/>
              <w:bottom w:val="nil"/>
              <w:right w:val="nil"/>
            </w:tcBorders>
            <w:shd w:val="clear" w:color="auto" w:fill="auto"/>
            <w:noWrap/>
            <w:vAlign w:val="center"/>
            <w:hideMark/>
          </w:tcPr>
          <w:p w14:paraId="5EC7530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0.201</w:t>
            </w:r>
          </w:p>
        </w:tc>
        <w:tc>
          <w:tcPr>
            <w:tcW w:w="637" w:type="dxa"/>
            <w:tcBorders>
              <w:top w:val="nil"/>
              <w:left w:val="nil"/>
              <w:bottom w:val="nil"/>
              <w:right w:val="nil"/>
            </w:tcBorders>
            <w:shd w:val="clear" w:color="auto" w:fill="auto"/>
            <w:noWrap/>
            <w:vAlign w:val="center"/>
            <w:hideMark/>
          </w:tcPr>
          <w:p w14:paraId="1FC937C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627" w:type="dxa"/>
            <w:tcBorders>
              <w:top w:val="nil"/>
              <w:left w:val="nil"/>
              <w:bottom w:val="nil"/>
              <w:right w:val="nil"/>
            </w:tcBorders>
            <w:shd w:val="clear" w:color="auto" w:fill="auto"/>
            <w:noWrap/>
            <w:vAlign w:val="center"/>
            <w:hideMark/>
          </w:tcPr>
          <w:p w14:paraId="056E311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0.067</w:t>
            </w:r>
          </w:p>
        </w:tc>
        <w:tc>
          <w:tcPr>
            <w:tcW w:w="637" w:type="dxa"/>
            <w:tcBorders>
              <w:top w:val="nil"/>
              <w:left w:val="nil"/>
              <w:bottom w:val="nil"/>
              <w:right w:val="nil"/>
            </w:tcBorders>
            <w:shd w:val="clear" w:color="auto" w:fill="auto"/>
            <w:noWrap/>
            <w:vAlign w:val="center"/>
            <w:hideMark/>
          </w:tcPr>
          <w:p w14:paraId="6F5D86E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627" w:type="dxa"/>
            <w:tcBorders>
              <w:top w:val="nil"/>
              <w:left w:val="nil"/>
              <w:bottom w:val="nil"/>
              <w:right w:val="nil"/>
            </w:tcBorders>
            <w:shd w:val="clear" w:color="auto" w:fill="auto"/>
            <w:noWrap/>
            <w:vAlign w:val="center"/>
            <w:hideMark/>
          </w:tcPr>
          <w:p w14:paraId="720E614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0.290</w:t>
            </w:r>
          </w:p>
        </w:tc>
        <w:tc>
          <w:tcPr>
            <w:tcW w:w="637" w:type="dxa"/>
            <w:tcBorders>
              <w:top w:val="nil"/>
              <w:left w:val="nil"/>
              <w:bottom w:val="nil"/>
              <w:right w:val="nil"/>
            </w:tcBorders>
            <w:shd w:val="clear" w:color="auto" w:fill="auto"/>
            <w:noWrap/>
            <w:vAlign w:val="center"/>
            <w:hideMark/>
          </w:tcPr>
          <w:p w14:paraId="2CB6D4B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627" w:type="dxa"/>
            <w:tcBorders>
              <w:top w:val="nil"/>
              <w:left w:val="nil"/>
              <w:bottom w:val="nil"/>
              <w:right w:val="nil"/>
            </w:tcBorders>
            <w:shd w:val="clear" w:color="auto" w:fill="auto"/>
            <w:noWrap/>
            <w:vAlign w:val="center"/>
            <w:hideMark/>
          </w:tcPr>
          <w:p w14:paraId="7D0AFD9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0.183</w:t>
            </w:r>
          </w:p>
        </w:tc>
        <w:tc>
          <w:tcPr>
            <w:tcW w:w="714" w:type="dxa"/>
            <w:tcBorders>
              <w:top w:val="nil"/>
              <w:left w:val="nil"/>
              <w:bottom w:val="nil"/>
              <w:right w:val="nil"/>
            </w:tcBorders>
            <w:shd w:val="clear" w:color="auto" w:fill="auto"/>
            <w:noWrap/>
            <w:vAlign w:val="center"/>
            <w:hideMark/>
          </w:tcPr>
          <w:p w14:paraId="29AF81E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627" w:type="dxa"/>
            <w:tcBorders>
              <w:top w:val="nil"/>
              <w:left w:val="nil"/>
              <w:bottom w:val="nil"/>
              <w:right w:val="nil"/>
            </w:tcBorders>
            <w:shd w:val="clear" w:color="auto" w:fill="auto"/>
            <w:noWrap/>
            <w:vAlign w:val="center"/>
            <w:hideMark/>
          </w:tcPr>
          <w:p w14:paraId="4D16E15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0.175</w:t>
            </w:r>
          </w:p>
        </w:tc>
        <w:tc>
          <w:tcPr>
            <w:tcW w:w="637" w:type="dxa"/>
            <w:tcBorders>
              <w:top w:val="nil"/>
              <w:left w:val="nil"/>
              <w:bottom w:val="nil"/>
              <w:right w:val="nil"/>
            </w:tcBorders>
            <w:shd w:val="clear" w:color="auto" w:fill="auto"/>
            <w:noWrap/>
            <w:vAlign w:val="center"/>
            <w:hideMark/>
          </w:tcPr>
          <w:p w14:paraId="01D0AF5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w:t>
            </w:r>
            <w:r>
              <w:rPr>
                <w:rFonts w:ascii="Times New Roman" w:eastAsia="Times New Roman" w:hAnsi="Times New Roman" w:cs="Times New Roman"/>
                <w:sz w:val="16"/>
                <w:szCs w:val="16"/>
                <w:lang w:eastAsia="en-GB"/>
              </w:rPr>
              <w:t>4</w:t>
            </w:r>
          </w:p>
        </w:tc>
        <w:tc>
          <w:tcPr>
            <w:tcW w:w="627" w:type="dxa"/>
            <w:tcBorders>
              <w:top w:val="nil"/>
              <w:left w:val="nil"/>
              <w:bottom w:val="nil"/>
              <w:right w:val="nil"/>
            </w:tcBorders>
            <w:shd w:val="clear" w:color="auto" w:fill="auto"/>
            <w:noWrap/>
            <w:vAlign w:val="center"/>
            <w:hideMark/>
          </w:tcPr>
          <w:p w14:paraId="3DE2539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w:t>
            </w:r>
            <w:r>
              <w:rPr>
                <w:rFonts w:ascii="Times New Roman" w:eastAsia="Times New Roman" w:hAnsi="Times New Roman" w:cs="Times New Roman"/>
                <w:sz w:val="16"/>
                <w:szCs w:val="16"/>
                <w:lang w:eastAsia="en-GB"/>
              </w:rPr>
              <w:t>1</w:t>
            </w:r>
            <w:r w:rsidRPr="00FF6562">
              <w:rPr>
                <w:rFonts w:ascii="Times New Roman" w:eastAsia="Times New Roman" w:hAnsi="Times New Roman" w:cs="Times New Roman"/>
                <w:sz w:val="16"/>
                <w:szCs w:val="16"/>
                <w:lang w:eastAsia="en-GB"/>
              </w:rPr>
              <w:t>99</w:t>
            </w:r>
          </w:p>
        </w:tc>
        <w:tc>
          <w:tcPr>
            <w:tcW w:w="637" w:type="dxa"/>
            <w:tcBorders>
              <w:top w:val="nil"/>
              <w:left w:val="nil"/>
              <w:bottom w:val="nil"/>
              <w:right w:val="nil"/>
            </w:tcBorders>
            <w:shd w:val="clear" w:color="auto" w:fill="auto"/>
            <w:noWrap/>
            <w:vAlign w:val="center"/>
            <w:hideMark/>
          </w:tcPr>
          <w:p w14:paraId="2EACFB2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627" w:type="dxa"/>
            <w:tcBorders>
              <w:top w:val="nil"/>
              <w:left w:val="nil"/>
              <w:bottom w:val="nil"/>
              <w:right w:val="nil"/>
            </w:tcBorders>
            <w:shd w:val="clear" w:color="auto" w:fill="auto"/>
            <w:noWrap/>
            <w:vAlign w:val="center"/>
            <w:hideMark/>
          </w:tcPr>
          <w:p w14:paraId="3D2B11D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0.513</w:t>
            </w:r>
          </w:p>
        </w:tc>
        <w:tc>
          <w:tcPr>
            <w:tcW w:w="637" w:type="dxa"/>
            <w:tcBorders>
              <w:top w:val="nil"/>
              <w:left w:val="nil"/>
              <w:bottom w:val="nil"/>
              <w:right w:val="nil"/>
            </w:tcBorders>
            <w:shd w:val="clear" w:color="auto" w:fill="auto"/>
            <w:noWrap/>
            <w:vAlign w:val="center"/>
            <w:hideMark/>
          </w:tcPr>
          <w:p w14:paraId="3857E0F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0.011</w:t>
            </w:r>
          </w:p>
        </w:tc>
        <w:tc>
          <w:tcPr>
            <w:tcW w:w="627" w:type="dxa"/>
            <w:tcBorders>
              <w:top w:val="nil"/>
              <w:left w:val="nil"/>
              <w:bottom w:val="nil"/>
              <w:right w:val="nil"/>
            </w:tcBorders>
            <w:shd w:val="clear" w:color="auto" w:fill="auto"/>
            <w:noWrap/>
            <w:vAlign w:val="center"/>
            <w:hideMark/>
          </w:tcPr>
          <w:p w14:paraId="1E5EFDC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0.062</w:t>
            </w:r>
          </w:p>
        </w:tc>
        <w:tc>
          <w:tcPr>
            <w:tcW w:w="637" w:type="dxa"/>
            <w:tcBorders>
              <w:top w:val="nil"/>
              <w:left w:val="nil"/>
              <w:bottom w:val="nil"/>
              <w:right w:val="nil"/>
            </w:tcBorders>
            <w:shd w:val="clear" w:color="auto" w:fill="auto"/>
            <w:noWrap/>
            <w:vAlign w:val="center"/>
            <w:hideMark/>
          </w:tcPr>
          <w:p w14:paraId="3D39EFF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627" w:type="dxa"/>
            <w:tcBorders>
              <w:top w:val="nil"/>
              <w:left w:val="nil"/>
              <w:bottom w:val="nil"/>
              <w:right w:val="nil"/>
            </w:tcBorders>
            <w:shd w:val="clear" w:color="auto" w:fill="auto"/>
            <w:noWrap/>
            <w:vAlign w:val="center"/>
            <w:hideMark/>
          </w:tcPr>
          <w:p w14:paraId="72B8A80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3114178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627" w:type="dxa"/>
            <w:tcBorders>
              <w:top w:val="nil"/>
              <w:left w:val="nil"/>
              <w:bottom w:val="nil"/>
              <w:right w:val="nil"/>
            </w:tcBorders>
            <w:shd w:val="clear" w:color="auto" w:fill="auto"/>
            <w:noWrap/>
            <w:vAlign w:val="center"/>
            <w:hideMark/>
          </w:tcPr>
          <w:p w14:paraId="6AD8367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0.112</w:t>
            </w:r>
          </w:p>
        </w:tc>
        <w:tc>
          <w:tcPr>
            <w:tcW w:w="637" w:type="dxa"/>
            <w:tcBorders>
              <w:top w:val="nil"/>
              <w:left w:val="nil"/>
              <w:bottom w:val="nil"/>
              <w:right w:val="nil"/>
            </w:tcBorders>
            <w:shd w:val="clear" w:color="auto" w:fill="auto"/>
            <w:noWrap/>
            <w:vAlign w:val="center"/>
            <w:hideMark/>
          </w:tcPr>
          <w:p w14:paraId="03AD6C1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631" w:type="dxa"/>
            <w:tcBorders>
              <w:top w:val="nil"/>
              <w:left w:val="nil"/>
              <w:bottom w:val="nil"/>
              <w:right w:val="nil"/>
            </w:tcBorders>
            <w:shd w:val="clear" w:color="auto" w:fill="auto"/>
            <w:noWrap/>
            <w:vAlign w:val="center"/>
            <w:hideMark/>
          </w:tcPr>
          <w:p w14:paraId="2F17619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0.622</w:t>
            </w:r>
          </w:p>
        </w:tc>
      </w:tr>
      <w:tr w:rsidR="00F92754" w:rsidRPr="00FF6562" w14:paraId="01A0C56A" w14:textId="77777777" w:rsidTr="004418B0">
        <w:trPr>
          <w:trHeight w:val="254"/>
          <w:jc w:val="center"/>
        </w:trPr>
        <w:tc>
          <w:tcPr>
            <w:tcW w:w="718" w:type="dxa"/>
            <w:tcBorders>
              <w:top w:val="nil"/>
              <w:left w:val="nil"/>
              <w:bottom w:val="nil"/>
              <w:right w:val="nil"/>
            </w:tcBorders>
            <w:shd w:val="clear" w:color="auto" w:fill="auto"/>
            <w:noWrap/>
            <w:vAlign w:val="center"/>
            <w:hideMark/>
          </w:tcPr>
          <w:p w14:paraId="426FFC0B"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Times New Roman"/>
                        <w:i/>
                        <w:color w:val="000000" w:themeColor="text1"/>
                        <w:sz w:val="16"/>
                        <w:szCs w:val="16"/>
                        <w:lang w:eastAsia="en-GB"/>
                      </w:rPr>
                    </m:ctrlPr>
                  </m:sSubPr>
                  <m:e>
                    <m:r>
                      <w:rPr>
                        <w:rFonts w:ascii="Cambria Math" w:hAnsi="Cambria Math" w:cs="Times New Roman"/>
                        <w:color w:val="000000" w:themeColor="text1"/>
                        <w:sz w:val="16"/>
                        <w:szCs w:val="16"/>
                        <w:lang w:eastAsia="en-GB"/>
                      </w:rPr>
                      <m:t>∅</m:t>
                    </m:r>
                  </m:e>
                  <m:sub>
                    <m:r>
                      <w:rPr>
                        <w:rFonts w:ascii="Cambria Math" w:hAnsi="Cambria Math" w:cs="Times New Roman"/>
                        <w:color w:val="000000" w:themeColor="text1"/>
                        <w:sz w:val="16"/>
                        <w:szCs w:val="16"/>
                        <w:lang w:eastAsia="en-GB"/>
                      </w:rPr>
                      <m:t>22</m:t>
                    </m:r>
                  </m:sub>
                </m:sSub>
              </m:oMath>
            </m:oMathPara>
          </w:p>
        </w:tc>
        <w:tc>
          <w:tcPr>
            <w:tcW w:w="637" w:type="dxa"/>
            <w:tcBorders>
              <w:top w:val="nil"/>
              <w:left w:val="nil"/>
              <w:bottom w:val="nil"/>
              <w:right w:val="nil"/>
            </w:tcBorders>
            <w:shd w:val="clear" w:color="auto" w:fill="auto"/>
            <w:noWrap/>
            <w:vAlign w:val="center"/>
            <w:hideMark/>
          </w:tcPr>
          <w:p w14:paraId="5D25174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-0.129</w:t>
            </w:r>
          </w:p>
        </w:tc>
        <w:tc>
          <w:tcPr>
            <w:tcW w:w="627" w:type="dxa"/>
            <w:tcBorders>
              <w:top w:val="nil"/>
              <w:left w:val="nil"/>
              <w:bottom w:val="nil"/>
              <w:right w:val="nil"/>
            </w:tcBorders>
            <w:shd w:val="clear" w:color="auto" w:fill="auto"/>
            <w:noWrap/>
            <w:vAlign w:val="center"/>
            <w:hideMark/>
          </w:tcPr>
          <w:p w14:paraId="72FBAEA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0.039</w:t>
            </w:r>
          </w:p>
        </w:tc>
        <w:tc>
          <w:tcPr>
            <w:tcW w:w="637" w:type="dxa"/>
            <w:tcBorders>
              <w:top w:val="nil"/>
              <w:left w:val="nil"/>
              <w:bottom w:val="nil"/>
              <w:right w:val="nil"/>
            </w:tcBorders>
            <w:shd w:val="clear" w:color="auto" w:fill="auto"/>
            <w:noWrap/>
            <w:vAlign w:val="center"/>
            <w:hideMark/>
          </w:tcPr>
          <w:p w14:paraId="3C671F2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-0.139</w:t>
            </w:r>
          </w:p>
        </w:tc>
        <w:tc>
          <w:tcPr>
            <w:tcW w:w="627" w:type="dxa"/>
            <w:tcBorders>
              <w:top w:val="nil"/>
              <w:left w:val="nil"/>
              <w:bottom w:val="nil"/>
              <w:right w:val="nil"/>
            </w:tcBorders>
            <w:shd w:val="clear" w:color="auto" w:fill="auto"/>
            <w:noWrap/>
            <w:vAlign w:val="center"/>
            <w:hideMark/>
          </w:tcPr>
          <w:p w14:paraId="5B2395F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0.019</w:t>
            </w:r>
          </w:p>
        </w:tc>
        <w:tc>
          <w:tcPr>
            <w:tcW w:w="637" w:type="dxa"/>
            <w:tcBorders>
              <w:top w:val="nil"/>
              <w:left w:val="nil"/>
              <w:bottom w:val="nil"/>
              <w:right w:val="nil"/>
            </w:tcBorders>
            <w:shd w:val="clear" w:color="auto" w:fill="auto"/>
            <w:noWrap/>
            <w:vAlign w:val="center"/>
            <w:hideMark/>
          </w:tcPr>
          <w:p w14:paraId="7F3C899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-0.100</w:t>
            </w:r>
          </w:p>
        </w:tc>
        <w:tc>
          <w:tcPr>
            <w:tcW w:w="627" w:type="dxa"/>
            <w:tcBorders>
              <w:top w:val="nil"/>
              <w:left w:val="nil"/>
              <w:bottom w:val="nil"/>
              <w:right w:val="nil"/>
            </w:tcBorders>
            <w:shd w:val="clear" w:color="auto" w:fill="auto"/>
            <w:noWrap/>
            <w:vAlign w:val="center"/>
            <w:hideMark/>
          </w:tcPr>
          <w:p w14:paraId="5077E29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0.307</w:t>
            </w:r>
          </w:p>
        </w:tc>
        <w:tc>
          <w:tcPr>
            <w:tcW w:w="637" w:type="dxa"/>
            <w:tcBorders>
              <w:top w:val="nil"/>
              <w:left w:val="nil"/>
              <w:bottom w:val="nil"/>
              <w:right w:val="nil"/>
            </w:tcBorders>
            <w:shd w:val="clear" w:color="auto" w:fill="auto"/>
            <w:noWrap/>
            <w:vAlign w:val="center"/>
            <w:hideMark/>
          </w:tcPr>
          <w:p w14:paraId="223C884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-0.146</w:t>
            </w:r>
          </w:p>
        </w:tc>
        <w:tc>
          <w:tcPr>
            <w:tcW w:w="627" w:type="dxa"/>
            <w:tcBorders>
              <w:top w:val="nil"/>
              <w:left w:val="nil"/>
              <w:bottom w:val="nil"/>
              <w:right w:val="nil"/>
            </w:tcBorders>
            <w:shd w:val="clear" w:color="auto" w:fill="auto"/>
            <w:noWrap/>
            <w:vAlign w:val="center"/>
            <w:hideMark/>
          </w:tcPr>
          <w:p w14:paraId="074417C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0.028</w:t>
            </w:r>
          </w:p>
        </w:tc>
        <w:tc>
          <w:tcPr>
            <w:tcW w:w="714" w:type="dxa"/>
            <w:tcBorders>
              <w:top w:val="nil"/>
              <w:left w:val="nil"/>
              <w:bottom w:val="nil"/>
              <w:right w:val="nil"/>
            </w:tcBorders>
            <w:shd w:val="clear" w:color="auto" w:fill="auto"/>
            <w:noWrap/>
            <w:vAlign w:val="center"/>
            <w:hideMark/>
          </w:tcPr>
          <w:p w14:paraId="5A520CC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-0.131</w:t>
            </w:r>
          </w:p>
        </w:tc>
        <w:tc>
          <w:tcPr>
            <w:tcW w:w="627" w:type="dxa"/>
            <w:tcBorders>
              <w:top w:val="nil"/>
              <w:left w:val="nil"/>
              <w:bottom w:val="nil"/>
              <w:right w:val="nil"/>
            </w:tcBorders>
            <w:shd w:val="clear" w:color="auto" w:fill="auto"/>
            <w:noWrap/>
            <w:vAlign w:val="center"/>
            <w:hideMark/>
          </w:tcPr>
          <w:p w14:paraId="18C1316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0.044</w:t>
            </w:r>
          </w:p>
        </w:tc>
        <w:tc>
          <w:tcPr>
            <w:tcW w:w="637" w:type="dxa"/>
            <w:tcBorders>
              <w:top w:val="nil"/>
              <w:left w:val="nil"/>
              <w:bottom w:val="nil"/>
              <w:right w:val="nil"/>
            </w:tcBorders>
            <w:shd w:val="clear" w:color="auto" w:fill="auto"/>
            <w:noWrap/>
            <w:vAlign w:val="center"/>
            <w:hideMark/>
          </w:tcPr>
          <w:p w14:paraId="4691AAC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-0.118</w:t>
            </w:r>
          </w:p>
        </w:tc>
        <w:tc>
          <w:tcPr>
            <w:tcW w:w="627" w:type="dxa"/>
            <w:tcBorders>
              <w:top w:val="nil"/>
              <w:left w:val="nil"/>
              <w:bottom w:val="nil"/>
              <w:right w:val="nil"/>
            </w:tcBorders>
            <w:shd w:val="clear" w:color="auto" w:fill="auto"/>
            <w:noWrap/>
            <w:vAlign w:val="center"/>
            <w:hideMark/>
          </w:tcPr>
          <w:p w14:paraId="5D50F35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0.047</w:t>
            </w:r>
          </w:p>
        </w:tc>
        <w:tc>
          <w:tcPr>
            <w:tcW w:w="637" w:type="dxa"/>
            <w:tcBorders>
              <w:top w:val="nil"/>
              <w:left w:val="nil"/>
              <w:bottom w:val="nil"/>
              <w:right w:val="nil"/>
            </w:tcBorders>
            <w:shd w:val="clear" w:color="auto" w:fill="auto"/>
            <w:noWrap/>
            <w:vAlign w:val="center"/>
            <w:hideMark/>
          </w:tcPr>
          <w:p w14:paraId="059393F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-0.126</w:t>
            </w:r>
          </w:p>
        </w:tc>
        <w:tc>
          <w:tcPr>
            <w:tcW w:w="627" w:type="dxa"/>
            <w:tcBorders>
              <w:top w:val="nil"/>
              <w:left w:val="nil"/>
              <w:bottom w:val="nil"/>
              <w:right w:val="nil"/>
            </w:tcBorders>
            <w:shd w:val="clear" w:color="auto" w:fill="auto"/>
            <w:noWrap/>
            <w:vAlign w:val="center"/>
            <w:hideMark/>
          </w:tcPr>
          <w:p w14:paraId="09A12CC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0.059</w:t>
            </w:r>
          </w:p>
        </w:tc>
        <w:tc>
          <w:tcPr>
            <w:tcW w:w="637" w:type="dxa"/>
            <w:tcBorders>
              <w:top w:val="nil"/>
              <w:left w:val="nil"/>
              <w:bottom w:val="nil"/>
              <w:right w:val="nil"/>
            </w:tcBorders>
            <w:shd w:val="clear" w:color="auto" w:fill="auto"/>
            <w:noWrap/>
            <w:vAlign w:val="center"/>
            <w:hideMark/>
          </w:tcPr>
          <w:p w14:paraId="073F75E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-0.128</w:t>
            </w:r>
          </w:p>
        </w:tc>
        <w:tc>
          <w:tcPr>
            <w:tcW w:w="627" w:type="dxa"/>
            <w:tcBorders>
              <w:top w:val="nil"/>
              <w:left w:val="nil"/>
              <w:bottom w:val="nil"/>
              <w:right w:val="nil"/>
            </w:tcBorders>
            <w:shd w:val="clear" w:color="auto" w:fill="auto"/>
            <w:noWrap/>
            <w:vAlign w:val="center"/>
            <w:hideMark/>
          </w:tcPr>
          <w:p w14:paraId="289C08A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0.041</w:t>
            </w:r>
          </w:p>
        </w:tc>
        <w:tc>
          <w:tcPr>
            <w:tcW w:w="637" w:type="dxa"/>
            <w:tcBorders>
              <w:top w:val="nil"/>
              <w:left w:val="nil"/>
              <w:bottom w:val="nil"/>
              <w:right w:val="nil"/>
            </w:tcBorders>
            <w:shd w:val="clear" w:color="auto" w:fill="auto"/>
            <w:noWrap/>
            <w:vAlign w:val="center"/>
            <w:hideMark/>
          </w:tcPr>
          <w:p w14:paraId="050586D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-0.127</w:t>
            </w:r>
          </w:p>
        </w:tc>
        <w:tc>
          <w:tcPr>
            <w:tcW w:w="627" w:type="dxa"/>
            <w:tcBorders>
              <w:top w:val="nil"/>
              <w:left w:val="nil"/>
              <w:bottom w:val="nil"/>
              <w:right w:val="nil"/>
            </w:tcBorders>
            <w:shd w:val="clear" w:color="auto" w:fill="auto"/>
            <w:noWrap/>
            <w:vAlign w:val="center"/>
            <w:hideMark/>
          </w:tcPr>
          <w:p w14:paraId="40122C6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0.120</w:t>
            </w:r>
          </w:p>
        </w:tc>
        <w:tc>
          <w:tcPr>
            <w:tcW w:w="637" w:type="dxa"/>
            <w:tcBorders>
              <w:top w:val="nil"/>
              <w:left w:val="nil"/>
              <w:bottom w:val="nil"/>
              <w:right w:val="nil"/>
            </w:tcBorders>
            <w:shd w:val="clear" w:color="auto" w:fill="auto"/>
            <w:noWrap/>
            <w:vAlign w:val="center"/>
            <w:hideMark/>
          </w:tcPr>
          <w:p w14:paraId="143E973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-0.118</w:t>
            </w:r>
          </w:p>
        </w:tc>
        <w:tc>
          <w:tcPr>
            <w:tcW w:w="627" w:type="dxa"/>
            <w:tcBorders>
              <w:top w:val="nil"/>
              <w:left w:val="nil"/>
              <w:bottom w:val="nil"/>
              <w:right w:val="nil"/>
            </w:tcBorders>
            <w:shd w:val="clear" w:color="auto" w:fill="auto"/>
            <w:noWrap/>
            <w:vAlign w:val="center"/>
            <w:hideMark/>
          </w:tcPr>
          <w:p w14:paraId="403C792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0.109</w:t>
            </w:r>
          </w:p>
        </w:tc>
        <w:tc>
          <w:tcPr>
            <w:tcW w:w="637" w:type="dxa"/>
            <w:tcBorders>
              <w:top w:val="nil"/>
              <w:left w:val="nil"/>
              <w:bottom w:val="nil"/>
              <w:right w:val="nil"/>
            </w:tcBorders>
            <w:shd w:val="clear" w:color="auto" w:fill="auto"/>
            <w:noWrap/>
            <w:vAlign w:val="center"/>
            <w:hideMark/>
          </w:tcPr>
          <w:p w14:paraId="6B012C1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-0.153</w:t>
            </w:r>
          </w:p>
        </w:tc>
        <w:tc>
          <w:tcPr>
            <w:tcW w:w="631" w:type="dxa"/>
            <w:tcBorders>
              <w:top w:val="nil"/>
              <w:left w:val="nil"/>
              <w:bottom w:val="nil"/>
              <w:right w:val="nil"/>
            </w:tcBorders>
            <w:shd w:val="clear" w:color="auto" w:fill="auto"/>
            <w:noWrap/>
            <w:vAlign w:val="center"/>
            <w:hideMark/>
          </w:tcPr>
          <w:p w14:paraId="2704E3B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0.043</w:t>
            </w:r>
          </w:p>
        </w:tc>
      </w:tr>
      <w:tr w:rsidR="00F92754" w:rsidRPr="00FF6562" w14:paraId="28B16874" w14:textId="77777777" w:rsidTr="00875EB5">
        <w:trPr>
          <w:trHeight w:val="254"/>
          <w:jc w:val="center"/>
        </w:trPr>
        <w:tc>
          <w:tcPr>
            <w:tcW w:w="14703" w:type="dxa"/>
            <w:gridSpan w:val="23"/>
            <w:tcBorders>
              <w:top w:val="nil"/>
              <w:left w:val="nil"/>
              <w:bottom w:val="nil"/>
              <w:right w:val="nil"/>
            </w:tcBorders>
            <w:shd w:val="clear" w:color="auto" w:fill="auto"/>
            <w:noWrap/>
            <w:vAlign w:val="bottom"/>
            <w:hideMark/>
          </w:tcPr>
          <w:p w14:paraId="0FC2367F" w14:textId="77777777" w:rsidR="00F92754" w:rsidRPr="003D2985" w:rsidRDefault="00F92754" w:rsidP="00875EB5">
            <w:pPr>
              <w:spacing w:after="0" w:line="240" w:lineRule="auto"/>
              <w:rPr>
                <w:rFonts w:ascii="Times New Roman" w:eastAsia="Times New Roman" w:hAnsi="Times New Roman" w:cs="Times New Roman"/>
                <w:b/>
                <w:bCs/>
                <w:sz w:val="20"/>
                <w:szCs w:val="20"/>
                <w:u w:val="single"/>
                <w:lang w:eastAsia="en-GB"/>
              </w:rPr>
            </w:pPr>
            <w:r w:rsidRPr="003D2985">
              <w:rPr>
                <w:rFonts w:ascii="Times New Roman" w:eastAsia="Times New Roman" w:hAnsi="Times New Roman" w:cs="Times New Roman"/>
                <w:b/>
                <w:bCs/>
                <w:sz w:val="20"/>
                <w:szCs w:val="20"/>
                <w:u w:val="single"/>
                <w:lang w:eastAsia="en-GB"/>
              </w:rPr>
              <w:t>Panel B. Variance Equation</w:t>
            </w:r>
          </w:p>
        </w:tc>
      </w:tr>
      <w:tr w:rsidR="00F92754" w:rsidRPr="00FF6562" w14:paraId="2960717C" w14:textId="77777777" w:rsidTr="004418B0">
        <w:trPr>
          <w:trHeight w:val="152"/>
          <w:jc w:val="center"/>
        </w:trPr>
        <w:tc>
          <w:tcPr>
            <w:tcW w:w="718" w:type="dxa"/>
            <w:tcBorders>
              <w:top w:val="nil"/>
              <w:left w:val="nil"/>
              <w:bottom w:val="nil"/>
              <w:right w:val="nil"/>
            </w:tcBorders>
            <w:shd w:val="clear" w:color="auto" w:fill="auto"/>
            <w:noWrap/>
            <w:vAlign w:val="center"/>
            <w:hideMark/>
          </w:tcPr>
          <w:p w14:paraId="3900DF9A"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11</m:t>
                    </m:r>
                  </m:sub>
                </m:sSub>
              </m:oMath>
            </m:oMathPara>
          </w:p>
        </w:tc>
        <w:tc>
          <w:tcPr>
            <w:tcW w:w="637" w:type="dxa"/>
            <w:tcBorders>
              <w:top w:val="nil"/>
              <w:left w:val="nil"/>
              <w:bottom w:val="nil"/>
              <w:right w:val="nil"/>
            </w:tcBorders>
            <w:shd w:val="clear" w:color="auto" w:fill="auto"/>
            <w:noWrap/>
            <w:vAlign w:val="center"/>
            <w:hideMark/>
          </w:tcPr>
          <w:p w14:paraId="718EF4A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0.546</w:t>
            </w:r>
          </w:p>
        </w:tc>
        <w:tc>
          <w:tcPr>
            <w:tcW w:w="627" w:type="dxa"/>
            <w:tcBorders>
              <w:top w:val="nil"/>
              <w:left w:val="nil"/>
              <w:bottom w:val="nil"/>
              <w:right w:val="nil"/>
            </w:tcBorders>
            <w:shd w:val="clear" w:color="auto" w:fill="auto"/>
            <w:noWrap/>
            <w:vAlign w:val="center"/>
            <w:hideMark/>
          </w:tcPr>
          <w:p w14:paraId="144C2A1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0.008</w:t>
            </w:r>
          </w:p>
        </w:tc>
        <w:tc>
          <w:tcPr>
            <w:tcW w:w="637" w:type="dxa"/>
            <w:tcBorders>
              <w:top w:val="nil"/>
              <w:left w:val="nil"/>
              <w:bottom w:val="nil"/>
              <w:right w:val="nil"/>
            </w:tcBorders>
            <w:shd w:val="clear" w:color="auto" w:fill="auto"/>
            <w:noWrap/>
            <w:vAlign w:val="center"/>
            <w:hideMark/>
          </w:tcPr>
          <w:p w14:paraId="48F6BCF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0.356</w:t>
            </w:r>
          </w:p>
        </w:tc>
        <w:tc>
          <w:tcPr>
            <w:tcW w:w="627" w:type="dxa"/>
            <w:tcBorders>
              <w:top w:val="nil"/>
              <w:left w:val="nil"/>
              <w:bottom w:val="nil"/>
              <w:right w:val="nil"/>
            </w:tcBorders>
            <w:shd w:val="clear" w:color="auto" w:fill="auto"/>
            <w:noWrap/>
            <w:vAlign w:val="center"/>
            <w:hideMark/>
          </w:tcPr>
          <w:p w14:paraId="3CBD4EE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0.032</w:t>
            </w:r>
          </w:p>
        </w:tc>
        <w:tc>
          <w:tcPr>
            <w:tcW w:w="637" w:type="dxa"/>
            <w:tcBorders>
              <w:top w:val="nil"/>
              <w:left w:val="nil"/>
              <w:bottom w:val="nil"/>
              <w:right w:val="nil"/>
            </w:tcBorders>
            <w:shd w:val="clear" w:color="auto" w:fill="auto"/>
            <w:noWrap/>
            <w:vAlign w:val="center"/>
            <w:hideMark/>
          </w:tcPr>
          <w:p w14:paraId="45893D6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0.259</w:t>
            </w:r>
          </w:p>
        </w:tc>
        <w:tc>
          <w:tcPr>
            <w:tcW w:w="627" w:type="dxa"/>
            <w:tcBorders>
              <w:top w:val="nil"/>
              <w:left w:val="nil"/>
              <w:bottom w:val="nil"/>
              <w:right w:val="nil"/>
            </w:tcBorders>
            <w:shd w:val="clear" w:color="auto" w:fill="auto"/>
            <w:noWrap/>
            <w:vAlign w:val="center"/>
            <w:hideMark/>
          </w:tcPr>
          <w:p w14:paraId="3D055C7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637" w:type="dxa"/>
            <w:tcBorders>
              <w:top w:val="nil"/>
              <w:left w:val="nil"/>
              <w:bottom w:val="nil"/>
              <w:right w:val="nil"/>
            </w:tcBorders>
            <w:shd w:val="clear" w:color="auto" w:fill="auto"/>
            <w:noWrap/>
            <w:vAlign w:val="center"/>
            <w:hideMark/>
          </w:tcPr>
          <w:p w14:paraId="11B8A54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0.776</w:t>
            </w:r>
          </w:p>
        </w:tc>
        <w:tc>
          <w:tcPr>
            <w:tcW w:w="627" w:type="dxa"/>
            <w:tcBorders>
              <w:top w:val="nil"/>
              <w:left w:val="nil"/>
              <w:bottom w:val="nil"/>
              <w:right w:val="nil"/>
            </w:tcBorders>
            <w:shd w:val="clear" w:color="auto" w:fill="auto"/>
            <w:noWrap/>
            <w:vAlign w:val="center"/>
            <w:hideMark/>
          </w:tcPr>
          <w:p w14:paraId="73A99E8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714" w:type="dxa"/>
            <w:tcBorders>
              <w:top w:val="nil"/>
              <w:left w:val="nil"/>
              <w:bottom w:val="nil"/>
              <w:right w:val="nil"/>
            </w:tcBorders>
            <w:shd w:val="clear" w:color="auto" w:fill="auto"/>
            <w:noWrap/>
            <w:vAlign w:val="center"/>
            <w:hideMark/>
          </w:tcPr>
          <w:p w14:paraId="4D32DBE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-0.060</w:t>
            </w:r>
          </w:p>
        </w:tc>
        <w:tc>
          <w:tcPr>
            <w:tcW w:w="627" w:type="dxa"/>
            <w:tcBorders>
              <w:top w:val="nil"/>
              <w:left w:val="nil"/>
              <w:bottom w:val="nil"/>
              <w:right w:val="nil"/>
            </w:tcBorders>
            <w:shd w:val="clear" w:color="auto" w:fill="auto"/>
            <w:noWrap/>
            <w:vAlign w:val="center"/>
            <w:hideMark/>
          </w:tcPr>
          <w:p w14:paraId="332A544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0.359</w:t>
            </w:r>
          </w:p>
        </w:tc>
        <w:tc>
          <w:tcPr>
            <w:tcW w:w="637" w:type="dxa"/>
            <w:tcBorders>
              <w:top w:val="nil"/>
              <w:left w:val="nil"/>
              <w:bottom w:val="nil"/>
              <w:right w:val="nil"/>
            </w:tcBorders>
            <w:shd w:val="clear" w:color="auto" w:fill="auto"/>
            <w:noWrap/>
            <w:vAlign w:val="center"/>
            <w:hideMark/>
          </w:tcPr>
          <w:p w14:paraId="79F0063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0.272</w:t>
            </w:r>
          </w:p>
        </w:tc>
        <w:tc>
          <w:tcPr>
            <w:tcW w:w="627" w:type="dxa"/>
            <w:tcBorders>
              <w:top w:val="nil"/>
              <w:left w:val="nil"/>
              <w:bottom w:val="nil"/>
              <w:right w:val="nil"/>
            </w:tcBorders>
            <w:shd w:val="clear" w:color="auto" w:fill="auto"/>
            <w:noWrap/>
            <w:vAlign w:val="center"/>
            <w:hideMark/>
          </w:tcPr>
          <w:p w14:paraId="082ACDA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0.042</w:t>
            </w:r>
          </w:p>
        </w:tc>
        <w:tc>
          <w:tcPr>
            <w:tcW w:w="637" w:type="dxa"/>
            <w:tcBorders>
              <w:top w:val="nil"/>
              <w:left w:val="nil"/>
              <w:bottom w:val="nil"/>
              <w:right w:val="nil"/>
            </w:tcBorders>
            <w:shd w:val="clear" w:color="auto" w:fill="auto"/>
            <w:noWrap/>
            <w:vAlign w:val="center"/>
            <w:hideMark/>
          </w:tcPr>
          <w:p w14:paraId="6D1FAA7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0.281</w:t>
            </w:r>
          </w:p>
        </w:tc>
        <w:tc>
          <w:tcPr>
            <w:tcW w:w="627" w:type="dxa"/>
            <w:tcBorders>
              <w:top w:val="nil"/>
              <w:left w:val="nil"/>
              <w:bottom w:val="nil"/>
              <w:right w:val="nil"/>
            </w:tcBorders>
            <w:shd w:val="clear" w:color="auto" w:fill="auto"/>
            <w:noWrap/>
            <w:vAlign w:val="center"/>
            <w:hideMark/>
          </w:tcPr>
          <w:p w14:paraId="72DBD00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0.016</w:t>
            </w:r>
          </w:p>
        </w:tc>
        <w:tc>
          <w:tcPr>
            <w:tcW w:w="637" w:type="dxa"/>
            <w:tcBorders>
              <w:top w:val="nil"/>
              <w:left w:val="nil"/>
              <w:bottom w:val="nil"/>
              <w:right w:val="nil"/>
            </w:tcBorders>
            <w:shd w:val="clear" w:color="auto" w:fill="auto"/>
            <w:noWrap/>
            <w:vAlign w:val="center"/>
            <w:hideMark/>
          </w:tcPr>
          <w:p w14:paraId="75C78D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627" w:type="dxa"/>
            <w:tcBorders>
              <w:top w:val="nil"/>
              <w:left w:val="nil"/>
              <w:bottom w:val="nil"/>
              <w:right w:val="nil"/>
            </w:tcBorders>
            <w:shd w:val="clear" w:color="auto" w:fill="auto"/>
            <w:noWrap/>
            <w:vAlign w:val="center"/>
            <w:hideMark/>
          </w:tcPr>
          <w:p w14:paraId="038C714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0.967</w:t>
            </w:r>
          </w:p>
        </w:tc>
        <w:tc>
          <w:tcPr>
            <w:tcW w:w="637" w:type="dxa"/>
            <w:tcBorders>
              <w:top w:val="nil"/>
              <w:left w:val="nil"/>
              <w:bottom w:val="nil"/>
              <w:right w:val="nil"/>
            </w:tcBorders>
            <w:shd w:val="clear" w:color="auto" w:fill="auto"/>
            <w:noWrap/>
            <w:vAlign w:val="center"/>
            <w:hideMark/>
          </w:tcPr>
          <w:p w14:paraId="3DE3259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0.267</w:t>
            </w:r>
          </w:p>
        </w:tc>
        <w:tc>
          <w:tcPr>
            <w:tcW w:w="627" w:type="dxa"/>
            <w:tcBorders>
              <w:top w:val="nil"/>
              <w:left w:val="nil"/>
              <w:bottom w:val="nil"/>
              <w:right w:val="nil"/>
            </w:tcBorders>
            <w:shd w:val="clear" w:color="auto" w:fill="auto"/>
            <w:noWrap/>
            <w:vAlign w:val="center"/>
            <w:hideMark/>
          </w:tcPr>
          <w:p w14:paraId="4E25AF1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0.123</w:t>
            </w:r>
          </w:p>
        </w:tc>
        <w:tc>
          <w:tcPr>
            <w:tcW w:w="637" w:type="dxa"/>
            <w:tcBorders>
              <w:top w:val="nil"/>
              <w:left w:val="nil"/>
              <w:bottom w:val="nil"/>
              <w:right w:val="nil"/>
            </w:tcBorders>
            <w:shd w:val="clear" w:color="auto" w:fill="auto"/>
            <w:noWrap/>
            <w:vAlign w:val="center"/>
            <w:hideMark/>
          </w:tcPr>
          <w:p w14:paraId="16BA65F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0.242</w:t>
            </w:r>
          </w:p>
        </w:tc>
        <w:tc>
          <w:tcPr>
            <w:tcW w:w="627" w:type="dxa"/>
            <w:tcBorders>
              <w:top w:val="nil"/>
              <w:left w:val="nil"/>
              <w:bottom w:val="nil"/>
              <w:right w:val="nil"/>
            </w:tcBorders>
            <w:shd w:val="clear" w:color="auto" w:fill="auto"/>
            <w:noWrap/>
            <w:vAlign w:val="center"/>
            <w:hideMark/>
          </w:tcPr>
          <w:p w14:paraId="07E6641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0.060</w:t>
            </w:r>
          </w:p>
        </w:tc>
        <w:tc>
          <w:tcPr>
            <w:tcW w:w="637" w:type="dxa"/>
            <w:tcBorders>
              <w:top w:val="nil"/>
              <w:left w:val="nil"/>
              <w:bottom w:val="nil"/>
              <w:right w:val="nil"/>
            </w:tcBorders>
            <w:shd w:val="clear" w:color="auto" w:fill="auto"/>
            <w:noWrap/>
            <w:vAlign w:val="center"/>
            <w:hideMark/>
          </w:tcPr>
          <w:p w14:paraId="2C9A720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0.217</w:t>
            </w:r>
          </w:p>
        </w:tc>
        <w:tc>
          <w:tcPr>
            <w:tcW w:w="631" w:type="dxa"/>
            <w:tcBorders>
              <w:top w:val="nil"/>
              <w:left w:val="nil"/>
              <w:bottom w:val="nil"/>
              <w:right w:val="nil"/>
            </w:tcBorders>
            <w:shd w:val="clear" w:color="auto" w:fill="auto"/>
            <w:noWrap/>
            <w:vAlign w:val="center"/>
            <w:hideMark/>
          </w:tcPr>
          <w:p w14:paraId="3C15BF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0.432</w:t>
            </w:r>
          </w:p>
        </w:tc>
      </w:tr>
      <w:tr w:rsidR="00F92754" w:rsidRPr="00FF6562" w14:paraId="4C79FF03" w14:textId="77777777" w:rsidTr="004418B0">
        <w:trPr>
          <w:trHeight w:val="114"/>
          <w:jc w:val="center"/>
        </w:trPr>
        <w:tc>
          <w:tcPr>
            <w:tcW w:w="718" w:type="dxa"/>
            <w:tcBorders>
              <w:top w:val="nil"/>
              <w:left w:val="nil"/>
              <w:bottom w:val="nil"/>
              <w:right w:val="nil"/>
            </w:tcBorders>
            <w:shd w:val="clear" w:color="auto" w:fill="auto"/>
            <w:noWrap/>
            <w:vAlign w:val="center"/>
            <w:hideMark/>
          </w:tcPr>
          <w:p w14:paraId="73EE6FAB"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21</m:t>
                    </m:r>
                  </m:sub>
                </m:sSub>
              </m:oMath>
            </m:oMathPara>
          </w:p>
        </w:tc>
        <w:tc>
          <w:tcPr>
            <w:tcW w:w="637" w:type="dxa"/>
            <w:tcBorders>
              <w:top w:val="nil"/>
              <w:left w:val="nil"/>
              <w:bottom w:val="nil"/>
              <w:right w:val="nil"/>
            </w:tcBorders>
            <w:shd w:val="clear" w:color="auto" w:fill="auto"/>
            <w:noWrap/>
            <w:vAlign w:val="center"/>
            <w:hideMark/>
          </w:tcPr>
          <w:p w14:paraId="1D3EFA3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-2.680</w:t>
            </w:r>
          </w:p>
        </w:tc>
        <w:tc>
          <w:tcPr>
            <w:tcW w:w="627" w:type="dxa"/>
            <w:tcBorders>
              <w:top w:val="nil"/>
              <w:left w:val="nil"/>
              <w:bottom w:val="nil"/>
              <w:right w:val="nil"/>
            </w:tcBorders>
            <w:shd w:val="clear" w:color="auto" w:fill="auto"/>
            <w:noWrap/>
            <w:vAlign w:val="center"/>
            <w:hideMark/>
          </w:tcPr>
          <w:p w14:paraId="1411FD0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0.756</w:t>
            </w:r>
          </w:p>
        </w:tc>
        <w:tc>
          <w:tcPr>
            <w:tcW w:w="637" w:type="dxa"/>
            <w:tcBorders>
              <w:top w:val="nil"/>
              <w:left w:val="nil"/>
              <w:bottom w:val="nil"/>
              <w:right w:val="nil"/>
            </w:tcBorders>
            <w:shd w:val="clear" w:color="auto" w:fill="auto"/>
            <w:noWrap/>
            <w:vAlign w:val="center"/>
            <w:hideMark/>
          </w:tcPr>
          <w:p w14:paraId="1123CDD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1.388</w:t>
            </w:r>
          </w:p>
        </w:tc>
        <w:tc>
          <w:tcPr>
            <w:tcW w:w="627" w:type="dxa"/>
            <w:tcBorders>
              <w:top w:val="nil"/>
              <w:left w:val="nil"/>
              <w:bottom w:val="nil"/>
              <w:right w:val="nil"/>
            </w:tcBorders>
            <w:shd w:val="clear" w:color="auto" w:fill="auto"/>
            <w:noWrap/>
            <w:vAlign w:val="center"/>
            <w:hideMark/>
          </w:tcPr>
          <w:p w14:paraId="259D10C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0.590</w:t>
            </w:r>
          </w:p>
        </w:tc>
        <w:tc>
          <w:tcPr>
            <w:tcW w:w="637" w:type="dxa"/>
            <w:tcBorders>
              <w:top w:val="nil"/>
              <w:left w:val="nil"/>
              <w:bottom w:val="nil"/>
              <w:right w:val="nil"/>
            </w:tcBorders>
            <w:shd w:val="clear" w:color="auto" w:fill="auto"/>
            <w:noWrap/>
            <w:vAlign w:val="center"/>
            <w:hideMark/>
          </w:tcPr>
          <w:p w14:paraId="1599109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-3.511</w:t>
            </w:r>
          </w:p>
        </w:tc>
        <w:tc>
          <w:tcPr>
            <w:tcW w:w="627" w:type="dxa"/>
            <w:tcBorders>
              <w:top w:val="nil"/>
              <w:left w:val="nil"/>
              <w:bottom w:val="nil"/>
              <w:right w:val="nil"/>
            </w:tcBorders>
            <w:shd w:val="clear" w:color="auto" w:fill="auto"/>
            <w:noWrap/>
            <w:vAlign w:val="center"/>
            <w:hideMark/>
          </w:tcPr>
          <w:p w14:paraId="2C1F0F9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0.319</w:t>
            </w:r>
          </w:p>
        </w:tc>
        <w:tc>
          <w:tcPr>
            <w:tcW w:w="637" w:type="dxa"/>
            <w:tcBorders>
              <w:top w:val="nil"/>
              <w:left w:val="nil"/>
              <w:bottom w:val="nil"/>
              <w:right w:val="nil"/>
            </w:tcBorders>
            <w:shd w:val="clear" w:color="auto" w:fill="auto"/>
            <w:noWrap/>
            <w:vAlign w:val="center"/>
            <w:hideMark/>
          </w:tcPr>
          <w:p w14:paraId="3EA68C7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-7.080</w:t>
            </w:r>
          </w:p>
        </w:tc>
        <w:tc>
          <w:tcPr>
            <w:tcW w:w="627" w:type="dxa"/>
            <w:tcBorders>
              <w:top w:val="nil"/>
              <w:left w:val="nil"/>
              <w:bottom w:val="nil"/>
              <w:right w:val="nil"/>
            </w:tcBorders>
            <w:shd w:val="clear" w:color="auto" w:fill="auto"/>
            <w:noWrap/>
            <w:vAlign w:val="center"/>
            <w:hideMark/>
          </w:tcPr>
          <w:p w14:paraId="1667A54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714" w:type="dxa"/>
            <w:tcBorders>
              <w:top w:val="nil"/>
              <w:left w:val="nil"/>
              <w:bottom w:val="nil"/>
              <w:right w:val="nil"/>
            </w:tcBorders>
            <w:shd w:val="clear" w:color="auto" w:fill="auto"/>
            <w:noWrap/>
            <w:vAlign w:val="center"/>
            <w:hideMark/>
          </w:tcPr>
          <w:p w14:paraId="213D15F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-13.019</w:t>
            </w:r>
          </w:p>
        </w:tc>
        <w:tc>
          <w:tcPr>
            <w:tcW w:w="627" w:type="dxa"/>
            <w:tcBorders>
              <w:top w:val="nil"/>
              <w:left w:val="nil"/>
              <w:bottom w:val="nil"/>
              <w:right w:val="nil"/>
            </w:tcBorders>
            <w:shd w:val="clear" w:color="auto" w:fill="auto"/>
            <w:noWrap/>
            <w:vAlign w:val="center"/>
            <w:hideMark/>
          </w:tcPr>
          <w:p w14:paraId="3F7FCDB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2504A9E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-1.718</w:t>
            </w:r>
          </w:p>
        </w:tc>
        <w:tc>
          <w:tcPr>
            <w:tcW w:w="627" w:type="dxa"/>
            <w:tcBorders>
              <w:top w:val="nil"/>
              <w:left w:val="nil"/>
              <w:bottom w:val="nil"/>
              <w:right w:val="nil"/>
            </w:tcBorders>
            <w:shd w:val="clear" w:color="auto" w:fill="auto"/>
            <w:noWrap/>
            <w:vAlign w:val="center"/>
            <w:hideMark/>
          </w:tcPr>
          <w:p w14:paraId="3EF7898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0.806</w:t>
            </w:r>
          </w:p>
        </w:tc>
        <w:tc>
          <w:tcPr>
            <w:tcW w:w="637" w:type="dxa"/>
            <w:tcBorders>
              <w:top w:val="nil"/>
              <w:left w:val="nil"/>
              <w:bottom w:val="nil"/>
              <w:right w:val="nil"/>
            </w:tcBorders>
            <w:shd w:val="clear" w:color="auto" w:fill="auto"/>
            <w:noWrap/>
            <w:vAlign w:val="center"/>
            <w:hideMark/>
          </w:tcPr>
          <w:p w14:paraId="396465E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-3.917</w:t>
            </w:r>
          </w:p>
        </w:tc>
        <w:tc>
          <w:tcPr>
            <w:tcW w:w="627" w:type="dxa"/>
            <w:tcBorders>
              <w:top w:val="nil"/>
              <w:left w:val="nil"/>
              <w:bottom w:val="nil"/>
              <w:right w:val="nil"/>
            </w:tcBorders>
            <w:shd w:val="clear" w:color="auto" w:fill="auto"/>
            <w:noWrap/>
            <w:vAlign w:val="center"/>
            <w:hideMark/>
          </w:tcPr>
          <w:p w14:paraId="5BA6F31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0.123</w:t>
            </w:r>
          </w:p>
        </w:tc>
        <w:tc>
          <w:tcPr>
            <w:tcW w:w="637" w:type="dxa"/>
            <w:tcBorders>
              <w:top w:val="nil"/>
              <w:left w:val="nil"/>
              <w:bottom w:val="nil"/>
              <w:right w:val="nil"/>
            </w:tcBorders>
            <w:shd w:val="clear" w:color="auto" w:fill="auto"/>
            <w:noWrap/>
            <w:vAlign w:val="center"/>
            <w:hideMark/>
          </w:tcPr>
          <w:p w14:paraId="2EC78EF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-6.620</w:t>
            </w:r>
          </w:p>
        </w:tc>
        <w:tc>
          <w:tcPr>
            <w:tcW w:w="627" w:type="dxa"/>
            <w:tcBorders>
              <w:top w:val="nil"/>
              <w:left w:val="nil"/>
              <w:bottom w:val="nil"/>
              <w:right w:val="nil"/>
            </w:tcBorders>
            <w:shd w:val="clear" w:color="auto" w:fill="auto"/>
            <w:noWrap/>
            <w:vAlign w:val="center"/>
            <w:hideMark/>
          </w:tcPr>
          <w:p w14:paraId="38C497F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69077AD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-6.586</w:t>
            </w:r>
          </w:p>
        </w:tc>
        <w:tc>
          <w:tcPr>
            <w:tcW w:w="627" w:type="dxa"/>
            <w:tcBorders>
              <w:top w:val="nil"/>
              <w:left w:val="nil"/>
              <w:bottom w:val="nil"/>
              <w:right w:val="nil"/>
            </w:tcBorders>
            <w:shd w:val="clear" w:color="auto" w:fill="auto"/>
            <w:noWrap/>
            <w:vAlign w:val="center"/>
            <w:hideMark/>
          </w:tcPr>
          <w:p w14:paraId="5F011B5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637" w:type="dxa"/>
            <w:tcBorders>
              <w:top w:val="nil"/>
              <w:left w:val="nil"/>
              <w:bottom w:val="nil"/>
              <w:right w:val="nil"/>
            </w:tcBorders>
            <w:shd w:val="clear" w:color="auto" w:fill="auto"/>
            <w:noWrap/>
            <w:vAlign w:val="center"/>
            <w:hideMark/>
          </w:tcPr>
          <w:p w14:paraId="4883CFF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-7.404</w:t>
            </w:r>
          </w:p>
        </w:tc>
        <w:tc>
          <w:tcPr>
            <w:tcW w:w="627" w:type="dxa"/>
            <w:tcBorders>
              <w:top w:val="nil"/>
              <w:left w:val="nil"/>
              <w:bottom w:val="nil"/>
              <w:right w:val="nil"/>
            </w:tcBorders>
            <w:shd w:val="clear" w:color="auto" w:fill="auto"/>
            <w:noWrap/>
            <w:vAlign w:val="center"/>
            <w:hideMark/>
          </w:tcPr>
          <w:p w14:paraId="03CF443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637" w:type="dxa"/>
            <w:tcBorders>
              <w:top w:val="nil"/>
              <w:left w:val="nil"/>
              <w:bottom w:val="nil"/>
              <w:right w:val="nil"/>
            </w:tcBorders>
            <w:shd w:val="clear" w:color="auto" w:fill="auto"/>
            <w:noWrap/>
            <w:vAlign w:val="center"/>
            <w:hideMark/>
          </w:tcPr>
          <w:p w14:paraId="41792FB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7.643</w:t>
            </w:r>
          </w:p>
        </w:tc>
        <w:tc>
          <w:tcPr>
            <w:tcW w:w="631" w:type="dxa"/>
            <w:tcBorders>
              <w:top w:val="nil"/>
              <w:left w:val="nil"/>
              <w:bottom w:val="nil"/>
              <w:right w:val="nil"/>
            </w:tcBorders>
            <w:shd w:val="clear" w:color="auto" w:fill="auto"/>
            <w:noWrap/>
            <w:vAlign w:val="center"/>
            <w:hideMark/>
          </w:tcPr>
          <w:p w14:paraId="6127BC9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r>
      <w:tr w:rsidR="00F92754" w:rsidRPr="00FF6562" w14:paraId="2BFBA3E8" w14:textId="77777777" w:rsidTr="004418B0">
        <w:trPr>
          <w:trHeight w:val="198"/>
          <w:jc w:val="center"/>
        </w:trPr>
        <w:tc>
          <w:tcPr>
            <w:tcW w:w="718" w:type="dxa"/>
            <w:tcBorders>
              <w:top w:val="nil"/>
              <w:left w:val="nil"/>
              <w:bottom w:val="nil"/>
              <w:right w:val="nil"/>
            </w:tcBorders>
            <w:shd w:val="clear" w:color="auto" w:fill="auto"/>
            <w:noWrap/>
            <w:vAlign w:val="center"/>
            <w:hideMark/>
          </w:tcPr>
          <w:p w14:paraId="7F38E4FC"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c</m:t>
                    </m:r>
                  </m:e>
                  <m:sub>
                    <m:r>
                      <w:rPr>
                        <w:rFonts w:ascii="Cambria Math" w:hAnsi="Cambria Math" w:cs="Arial"/>
                        <w:color w:val="000000" w:themeColor="text1"/>
                        <w:sz w:val="16"/>
                        <w:szCs w:val="16"/>
                        <w:lang w:eastAsia="en-GB"/>
                      </w:rPr>
                      <m:t>22</m:t>
                    </m:r>
                  </m:sub>
                </m:sSub>
              </m:oMath>
            </m:oMathPara>
          </w:p>
        </w:tc>
        <w:tc>
          <w:tcPr>
            <w:tcW w:w="637" w:type="dxa"/>
            <w:tcBorders>
              <w:top w:val="nil"/>
              <w:left w:val="nil"/>
              <w:bottom w:val="nil"/>
              <w:right w:val="nil"/>
            </w:tcBorders>
            <w:shd w:val="clear" w:color="auto" w:fill="auto"/>
            <w:noWrap/>
            <w:vAlign w:val="center"/>
            <w:hideMark/>
          </w:tcPr>
          <w:p w14:paraId="44B5A20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7.640</w:t>
            </w:r>
          </w:p>
        </w:tc>
        <w:tc>
          <w:tcPr>
            <w:tcW w:w="627" w:type="dxa"/>
            <w:tcBorders>
              <w:top w:val="nil"/>
              <w:left w:val="nil"/>
              <w:bottom w:val="nil"/>
              <w:right w:val="nil"/>
            </w:tcBorders>
            <w:shd w:val="clear" w:color="auto" w:fill="auto"/>
            <w:noWrap/>
            <w:vAlign w:val="center"/>
            <w:hideMark/>
          </w:tcPr>
          <w:p w14:paraId="071540B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0.105</w:t>
            </w:r>
          </w:p>
        </w:tc>
        <w:tc>
          <w:tcPr>
            <w:tcW w:w="637" w:type="dxa"/>
            <w:tcBorders>
              <w:top w:val="nil"/>
              <w:left w:val="nil"/>
              <w:bottom w:val="nil"/>
              <w:right w:val="nil"/>
            </w:tcBorders>
            <w:shd w:val="clear" w:color="auto" w:fill="auto"/>
            <w:noWrap/>
            <w:vAlign w:val="center"/>
            <w:hideMark/>
          </w:tcPr>
          <w:p w14:paraId="55601DA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8.919</w:t>
            </w:r>
          </w:p>
        </w:tc>
        <w:tc>
          <w:tcPr>
            <w:tcW w:w="627" w:type="dxa"/>
            <w:tcBorders>
              <w:top w:val="nil"/>
              <w:left w:val="nil"/>
              <w:bottom w:val="nil"/>
              <w:right w:val="nil"/>
            </w:tcBorders>
            <w:shd w:val="clear" w:color="auto" w:fill="auto"/>
            <w:noWrap/>
            <w:vAlign w:val="center"/>
            <w:hideMark/>
          </w:tcPr>
          <w:p w14:paraId="635E1E2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2CB6B40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1.915</w:t>
            </w:r>
          </w:p>
        </w:tc>
        <w:tc>
          <w:tcPr>
            <w:tcW w:w="627" w:type="dxa"/>
            <w:tcBorders>
              <w:top w:val="nil"/>
              <w:left w:val="nil"/>
              <w:bottom w:val="nil"/>
              <w:right w:val="nil"/>
            </w:tcBorders>
            <w:shd w:val="clear" w:color="auto" w:fill="auto"/>
            <w:noWrap/>
            <w:vAlign w:val="center"/>
            <w:hideMark/>
          </w:tcPr>
          <w:p w14:paraId="78243FE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0.726</w:t>
            </w:r>
          </w:p>
        </w:tc>
        <w:tc>
          <w:tcPr>
            <w:tcW w:w="637" w:type="dxa"/>
            <w:tcBorders>
              <w:top w:val="nil"/>
              <w:left w:val="nil"/>
              <w:bottom w:val="nil"/>
              <w:right w:val="nil"/>
            </w:tcBorders>
            <w:shd w:val="clear" w:color="auto" w:fill="auto"/>
            <w:noWrap/>
            <w:vAlign w:val="center"/>
            <w:hideMark/>
          </w:tcPr>
          <w:p w14:paraId="21B5AF2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27" w:type="dxa"/>
            <w:tcBorders>
              <w:top w:val="nil"/>
              <w:left w:val="nil"/>
              <w:bottom w:val="nil"/>
              <w:right w:val="nil"/>
            </w:tcBorders>
            <w:shd w:val="clear" w:color="auto" w:fill="auto"/>
            <w:noWrap/>
            <w:vAlign w:val="center"/>
            <w:hideMark/>
          </w:tcPr>
          <w:p w14:paraId="520D6AC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0.998</w:t>
            </w:r>
          </w:p>
        </w:tc>
        <w:tc>
          <w:tcPr>
            <w:tcW w:w="714" w:type="dxa"/>
            <w:tcBorders>
              <w:top w:val="nil"/>
              <w:left w:val="nil"/>
              <w:bottom w:val="nil"/>
              <w:right w:val="nil"/>
            </w:tcBorders>
            <w:shd w:val="clear" w:color="auto" w:fill="auto"/>
            <w:noWrap/>
            <w:vAlign w:val="center"/>
            <w:hideMark/>
          </w:tcPr>
          <w:p w14:paraId="67C5EE3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627" w:type="dxa"/>
            <w:tcBorders>
              <w:top w:val="nil"/>
              <w:left w:val="nil"/>
              <w:bottom w:val="nil"/>
              <w:right w:val="nil"/>
            </w:tcBorders>
            <w:shd w:val="clear" w:color="auto" w:fill="auto"/>
            <w:noWrap/>
            <w:vAlign w:val="center"/>
            <w:hideMark/>
          </w:tcPr>
          <w:p w14:paraId="2F50AE5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0.999</w:t>
            </w:r>
          </w:p>
        </w:tc>
        <w:tc>
          <w:tcPr>
            <w:tcW w:w="637" w:type="dxa"/>
            <w:tcBorders>
              <w:top w:val="nil"/>
              <w:left w:val="nil"/>
              <w:bottom w:val="nil"/>
              <w:right w:val="nil"/>
            </w:tcBorders>
            <w:shd w:val="clear" w:color="auto" w:fill="auto"/>
            <w:noWrap/>
            <w:vAlign w:val="center"/>
            <w:hideMark/>
          </w:tcPr>
          <w:p w14:paraId="453D0AD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8.396</w:t>
            </w:r>
          </w:p>
        </w:tc>
        <w:tc>
          <w:tcPr>
            <w:tcW w:w="627" w:type="dxa"/>
            <w:tcBorders>
              <w:top w:val="nil"/>
              <w:left w:val="nil"/>
              <w:bottom w:val="nil"/>
              <w:right w:val="nil"/>
            </w:tcBorders>
            <w:shd w:val="clear" w:color="auto" w:fill="auto"/>
            <w:noWrap/>
            <w:vAlign w:val="center"/>
            <w:hideMark/>
          </w:tcPr>
          <w:p w14:paraId="51D5754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637" w:type="dxa"/>
            <w:tcBorders>
              <w:top w:val="nil"/>
              <w:left w:val="nil"/>
              <w:bottom w:val="nil"/>
              <w:right w:val="nil"/>
            </w:tcBorders>
            <w:shd w:val="clear" w:color="auto" w:fill="auto"/>
            <w:noWrap/>
            <w:vAlign w:val="center"/>
            <w:hideMark/>
          </w:tcPr>
          <w:p w14:paraId="050208B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27" w:type="dxa"/>
            <w:tcBorders>
              <w:top w:val="nil"/>
              <w:left w:val="nil"/>
              <w:bottom w:val="nil"/>
              <w:right w:val="nil"/>
            </w:tcBorders>
            <w:shd w:val="clear" w:color="auto" w:fill="auto"/>
            <w:noWrap/>
            <w:vAlign w:val="center"/>
            <w:hideMark/>
          </w:tcPr>
          <w:p w14:paraId="3A14B34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0.999</w:t>
            </w:r>
          </w:p>
        </w:tc>
        <w:tc>
          <w:tcPr>
            <w:tcW w:w="637" w:type="dxa"/>
            <w:tcBorders>
              <w:top w:val="nil"/>
              <w:left w:val="nil"/>
              <w:bottom w:val="nil"/>
              <w:right w:val="nil"/>
            </w:tcBorders>
            <w:shd w:val="clear" w:color="auto" w:fill="auto"/>
            <w:noWrap/>
            <w:vAlign w:val="center"/>
            <w:hideMark/>
          </w:tcPr>
          <w:p w14:paraId="472EE5D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10.66</w:t>
            </w:r>
          </w:p>
        </w:tc>
        <w:tc>
          <w:tcPr>
            <w:tcW w:w="627" w:type="dxa"/>
            <w:tcBorders>
              <w:top w:val="nil"/>
              <w:left w:val="nil"/>
              <w:bottom w:val="nil"/>
              <w:right w:val="nil"/>
            </w:tcBorders>
            <w:shd w:val="clear" w:color="auto" w:fill="auto"/>
            <w:noWrap/>
            <w:vAlign w:val="center"/>
            <w:hideMark/>
          </w:tcPr>
          <w:p w14:paraId="6D3344C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62E2C64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27" w:type="dxa"/>
            <w:tcBorders>
              <w:top w:val="nil"/>
              <w:left w:val="nil"/>
              <w:bottom w:val="nil"/>
              <w:right w:val="nil"/>
            </w:tcBorders>
            <w:shd w:val="clear" w:color="auto" w:fill="auto"/>
            <w:noWrap/>
            <w:vAlign w:val="center"/>
            <w:hideMark/>
          </w:tcPr>
          <w:p w14:paraId="30DCB9E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1.000</w:t>
            </w:r>
          </w:p>
        </w:tc>
        <w:tc>
          <w:tcPr>
            <w:tcW w:w="637" w:type="dxa"/>
            <w:tcBorders>
              <w:top w:val="nil"/>
              <w:left w:val="nil"/>
              <w:bottom w:val="nil"/>
              <w:right w:val="nil"/>
            </w:tcBorders>
            <w:shd w:val="clear" w:color="auto" w:fill="auto"/>
            <w:noWrap/>
            <w:vAlign w:val="center"/>
            <w:hideMark/>
          </w:tcPr>
          <w:p w14:paraId="1ED4AA4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627" w:type="dxa"/>
            <w:tcBorders>
              <w:top w:val="nil"/>
              <w:left w:val="nil"/>
              <w:bottom w:val="nil"/>
              <w:right w:val="nil"/>
            </w:tcBorders>
            <w:shd w:val="clear" w:color="auto" w:fill="auto"/>
            <w:noWrap/>
            <w:vAlign w:val="center"/>
            <w:hideMark/>
          </w:tcPr>
          <w:p w14:paraId="5F95846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0.999</w:t>
            </w:r>
          </w:p>
        </w:tc>
        <w:tc>
          <w:tcPr>
            <w:tcW w:w="637" w:type="dxa"/>
            <w:tcBorders>
              <w:top w:val="nil"/>
              <w:left w:val="nil"/>
              <w:bottom w:val="nil"/>
              <w:right w:val="nil"/>
            </w:tcBorders>
            <w:shd w:val="clear" w:color="auto" w:fill="auto"/>
            <w:noWrap/>
            <w:vAlign w:val="center"/>
            <w:hideMark/>
          </w:tcPr>
          <w:p w14:paraId="0605C4C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1" w:type="dxa"/>
            <w:tcBorders>
              <w:top w:val="nil"/>
              <w:left w:val="nil"/>
              <w:bottom w:val="nil"/>
              <w:right w:val="nil"/>
            </w:tcBorders>
            <w:shd w:val="clear" w:color="auto" w:fill="auto"/>
            <w:noWrap/>
            <w:vAlign w:val="center"/>
            <w:hideMark/>
          </w:tcPr>
          <w:p w14:paraId="265BD4B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0.999</w:t>
            </w:r>
          </w:p>
        </w:tc>
      </w:tr>
      <w:tr w:rsidR="00F92754" w:rsidRPr="00FF6562" w14:paraId="1755F662" w14:textId="77777777" w:rsidTr="004418B0">
        <w:trPr>
          <w:trHeight w:val="147"/>
          <w:jc w:val="center"/>
        </w:trPr>
        <w:tc>
          <w:tcPr>
            <w:tcW w:w="718" w:type="dxa"/>
            <w:tcBorders>
              <w:top w:val="nil"/>
              <w:left w:val="nil"/>
              <w:bottom w:val="nil"/>
              <w:right w:val="nil"/>
            </w:tcBorders>
            <w:shd w:val="clear" w:color="auto" w:fill="auto"/>
            <w:noWrap/>
            <w:vAlign w:val="center"/>
            <w:hideMark/>
          </w:tcPr>
          <w:p w14:paraId="6FCBBCB1"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11</m:t>
                    </m:r>
                  </m:sub>
                </m:sSub>
              </m:oMath>
            </m:oMathPara>
          </w:p>
        </w:tc>
        <w:tc>
          <w:tcPr>
            <w:tcW w:w="637" w:type="dxa"/>
            <w:tcBorders>
              <w:top w:val="nil"/>
              <w:left w:val="nil"/>
              <w:bottom w:val="nil"/>
              <w:right w:val="nil"/>
            </w:tcBorders>
            <w:shd w:val="clear" w:color="auto" w:fill="auto"/>
            <w:noWrap/>
            <w:vAlign w:val="center"/>
            <w:hideMark/>
          </w:tcPr>
          <w:p w14:paraId="7612C21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0.289</w:t>
            </w:r>
          </w:p>
        </w:tc>
        <w:tc>
          <w:tcPr>
            <w:tcW w:w="627" w:type="dxa"/>
            <w:tcBorders>
              <w:top w:val="nil"/>
              <w:left w:val="nil"/>
              <w:bottom w:val="nil"/>
              <w:right w:val="nil"/>
            </w:tcBorders>
            <w:shd w:val="clear" w:color="auto" w:fill="auto"/>
            <w:noWrap/>
            <w:vAlign w:val="center"/>
            <w:hideMark/>
          </w:tcPr>
          <w:p w14:paraId="48ACECD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0.266</w:t>
            </w:r>
          </w:p>
        </w:tc>
        <w:tc>
          <w:tcPr>
            <w:tcW w:w="637" w:type="dxa"/>
            <w:tcBorders>
              <w:top w:val="nil"/>
              <w:left w:val="nil"/>
              <w:bottom w:val="nil"/>
              <w:right w:val="nil"/>
            </w:tcBorders>
            <w:shd w:val="clear" w:color="auto" w:fill="auto"/>
            <w:noWrap/>
            <w:vAlign w:val="center"/>
            <w:hideMark/>
          </w:tcPr>
          <w:p w14:paraId="2D077B2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0.278</w:t>
            </w:r>
          </w:p>
        </w:tc>
        <w:tc>
          <w:tcPr>
            <w:tcW w:w="627" w:type="dxa"/>
            <w:tcBorders>
              <w:top w:val="nil"/>
              <w:left w:val="nil"/>
              <w:bottom w:val="nil"/>
              <w:right w:val="nil"/>
            </w:tcBorders>
            <w:shd w:val="clear" w:color="auto" w:fill="auto"/>
            <w:noWrap/>
            <w:vAlign w:val="center"/>
            <w:hideMark/>
          </w:tcPr>
          <w:p w14:paraId="130D639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03B23D1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0.099</w:t>
            </w:r>
          </w:p>
        </w:tc>
        <w:tc>
          <w:tcPr>
            <w:tcW w:w="627" w:type="dxa"/>
            <w:tcBorders>
              <w:top w:val="nil"/>
              <w:left w:val="nil"/>
              <w:bottom w:val="nil"/>
              <w:right w:val="nil"/>
            </w:tcBorders>
            <w:shd w:val="clear" w:color="auto" w:fill="auto"/>
            <w:noWrap/>
            <w:vAlign w:val="center"/>
            <w:hideMark/>
          </w:tcPr>
          <w:p w14:paraId="67DEA61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0.737</w:t>
            </w:r>
          </w:p>
        </w:tc>
        <w:tc>
          <w:tcPr>
            <w:tcW w:w="637" w:type="dxa"/>
            <w:tcBorders>
              <w:top w:val="nil"/>
              <w:left w:val="nil"/>
              <w:bottom w:val="nil"/>
              <w:right w:val="nil"/>
            </w:tcBorders>
            <w:shd w:val="clear" w:color="auto" w:fill="auto"/>
            <w:noWrap/>
            <w:vAlign w:val="center"/>
            <w:hideMark/>
          </w:tcPr>
          <w:p w14:paraId="6397DC6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0.151</w:t>
            </w:r>
          </w:p>
        </w:tc>
        <w:tc>
          <w:tcPr>
            <w:tcW w:w="627" w:type="dxa"/>
            <w:tcBorders>
              <w:top w:val="nil"/>
              <w:left w:val="nil"/>
              <w:bottom w:val="nil"/>
              <w:right w:val="nil"/>
            </w:tcBorders>
            <w:shd w:val="clear" w:color="auto" w:fill="auto"/>
            <w:noWrap/>
            <w:vAlign w:val="center"/>
            <w:hideMark/>
          </w:tcPr>
          <w:p w14:paraId="53EE95B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0.114</w:t>
            </w:r>
          </w:p>
        </w:tc>
        <w:tc>
          <w:tcPr>
            <w:tcW w:w="714" w:type="dxa"/>
            <w:tcBorders>
              <w:top w:val="nil"/>
              <w:left w:val="nil"/>
              <w:bottom w:val="nil"/>
              <w:right w:val="nil"/>
            </w:tcBorders>
            <w:shd w:val="clear" w:color="auto" w:fill="auto"/>
            <w:noWrap/>
            <w:vAlign w:val="center"/>
            <w:hideMark/>
          </w:tcPr>
          <w:p w14:paraId="02F329F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0.518</w:t>
            </w:r>
          </w:p>
        </w:tc>
        <w:tc>
          <w:tcPr>
            <w:tcW w:w="627" w:type="dxa"/>
            <w:tcBorders>
              <w:top w:val="nil"/>
              <w:left w:val="nil"/>
              <w:bottom w:val="nil"/>
              <w:right w:val="nil"/>
            </w:tcBorders>
            <w:shd w:val="clear" w:color="auto" w:fill="auto"/>
            <w:noWrap/>
            <w:vAlign w:val="center"/>
            <w:hideMark/>
          </w:tcPr>
          <w:p w14:paraId="459E767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6B33D63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-0.055</w:t>
            </w:r>
          </w:p>
        </w:tc>
        <w:tc>
          <w:tcPr>
            <w:tcW w:w="627" w:type="dxa"/>
            <w:tcBorders>
              <w:top w:val="nil"/>
              <w:left w:val="nil"/>
              <w:bottom w:val="nil"/>
              <w:right w:val="nil"/>
            </w:tcBorders>
            <w:shd w:val="clear" w:color="auto" w:fill="auto"/>
            <w:noWrap/>
            <w:vAlign w:val="center"/>
            <w:hideMark/>
          </w:tcPr>
          <w:p w14:paraId="3EAD55F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0.833</w:t>
            </w:r>
          </w:p>
        </w:tc>
        <w:tc>
          <w:tcPr>
            <w:tcW w:w="637" w:type="dxa"/>
            <w:tcBorders>
              <w:top w:val="nil"/>
              <w:left w:val="nil"/>
              <w:bottom w:val="nil"/>
              <w:right w:val="nil"/>
            </w:tcBorders>
            <w:shd w:val="clear" w:color="auto" w:fill="auto"/>
            <w:noWrap/>
            <w:vAlign w:val="center"/>
            <w:hideMark/>
          </w:tcPr>
          <w:p w14:paraId="1AC8C7A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0.262</w:t>
            </w:r>
          </w:p>
        </w:tc>
        <w:tc>
          <w:tcPr>
            <w:tcW w:w="627" w:type="dxa"/>
            <w:tcBorders>
              <w:top w:val="nil"/>
              <w:left w:val="nil"/>
              <w:bottom w:val="nil"/>
              <w:right w:val="nil"/>
            </w:tcBorders>
            <w:shd w:val="clear" w:color="auto" w:fill="auto"/>
            <w:noWrap/>
            <w:vAlign w:val="center"/>
            <w:hideMark/>
          </w:tcPr>
          <w:p w14:paraId="23A0AF2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0.019</w:t>
            </w:r>
          </w:p>
        </w:tc>
        <w:tc>
          <w:tcPr>
            <w:tcW w:w="637" w:type="dxa"/>
            <w:tcBorders>
              <w:top w:val="nil"/>
              <w:left w:val="nil"/>
              <w:bottom w:val="nil"/>
              <w:right w:val="nil"/>
            </w:tcBorders>
            <w:shd w:val="clear" w:color="auto" w:fill="auto"/>
            <w:noWrap/>
            <w:vAlign w:val="center"/>
            <w:hideMark/>
          </w:tcPr>
          <w:p w14:paraId="666C68A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0.405</w:t>
            </w:r>
          </w:p>
        </w:tc>
        <w:tc>
          <w:tcPr>
            <w:tcW w:w="627" w:type="dxa"/>
            <w:tcBorders>
              <w:top w:val="nil"/>
              <w:left w:val="nil"/>
              <w:bottom w:val="nil"/>
              <w:right w:val="nil"/>
            </w:tcBorders>
            <w:shd w:val="clear" w:color="auto" w:fill="auto"/>
            <w:noWrap/>
            <w:vAlign w:val="center"/>
            <w:hideMark/>
          </w:tcPr>
          <w:p w14:paraId="67F871D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4134196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0.117</w:t>
            </w:r>
          </w:p>
        </w:tc>
        <w:tc>
          <w:tcPr>
            <w:tcW w:w="627" w:type="dxa"/>
            <w:tcBorders>
              <w:top w:val="nil"/>
              <w:left w:val="nil"/>
              <w:bottom w:val="nil"/>
              <w:right w:val="nil"/>
            </w:tcBorders>
            <w:shd w:val="clear" w:color="auto" w:fill="auto"/>
            <w:noWrap/>
            <w:vAlign w:val="center"/>
            <w:hideMark/>
          </w:tcPr>
          <w:p w14:paraId="06BF452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0.158</w:t>
            </w:r>
          </w:p>
        </w:tc>
        <w:tc>
          <w:tcPr>
            <w:tcW w:w="637" w:type="dxa"/>
            <w:tcBorders>
              <w:top w:val="nil"/>
              <w:left w:val="nil"/>
              <w:bottom w:val="nil"/>
              <w:right w:val="nil"/>
            </w:tcBorders>
            <w:shd w:val="clear" w:color="auto" w:fill="auto"/>
            <w:noWrap/>
            <w:vAlign w:val="center"/>
            <w:hideMark/>
          </w:tcPr>
          <w:p w14:paraId="72CCE6F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0.285</w:t>
            </w:r>
          </w:p>
        </w:tc>
        <w:tc>
          <w:tcPr>
            <w:tcW w:w="627" w:type="dxa"/>
            <w:tcBorders>
              <w:top w:val="nil"/>
              <w:left w:val="nil"/>
              <w:bottom w:val="nil"/>
              <w:right w:val="nil"/>
            </w:tcBorders>
            <w:shd w:val="clear" w:color="auto" w:fill="auto"/>
            <w:noWrap/>
            <w:vAlign w:val="center"/>
            <w:hideMark/>
          </w:tcPr>
          <w:p w14:paraId="39C5B75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0.026</w:t>
            </w:r>
          </w:p>
        </w:tc>
        <w:tc>
          <w:tcPr>
            <w:tcW w:w="637" w:type="dxa"/>
            <w:tcBorders>
              <w:top w:val="nil"/>
              <w:left w:val="nil"/>
              <w:bottom w:val="nil"/>
              <w:right w:val="nil"/>
            </w:tcBorders>
            <w:shd w:val="clear" w:color="auto" w:fill="auto"/>
            <w:noWrap/>
            <w:vAlign w:val="center"/>
            <w:hideMark/>
          </w:tcPr>
          <w:p w14:paraId="7116AF1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0.190</w:t>
            </w:r>
          </w:p>
        </w:tc>
        <w:tc>
          <w:tcPr>
            <w:tcW w:w="631" w:type="dxa"/>
            <w:tcBorders>
              <w:top w:val="nil"/>
              <w:left w:val="nil"/>
              <w:bottom w:val="nil"/>
              <w:right w:val="nil"/>
            </w:tcBorders>
            <w:shd w:val="clear" w:color="auto" w:fill="auto"/>
            <w:noWrap/>
            <w:vAlign w:val="center"/>
            <w:hideMark/>
          </w:tcPr>
          <w:p w14:paraId="0E48BBB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0.041</w:t>
            </w:r>
          </w:p>
        </w:tc>
      </w:tr>
      <w:tr w:rsidR="00F92754" w:rsidRPr="00FF6562" w14:paraId="2E7093B2" w14:textId="77777777" w:rsidTr="004418B0">
        <w:trPr>
          <w:trHeight w:val="96"/>
          <w:jc w:val="center"/>
        </w:trPr>
        <w:tc>
          <w:tcPr>
            <w:tcW w:w="718" w:type="dxa"/>
            <w:tcBorders>
              <w:top w:val="nil"/>
              <w:left w:val="nil"/>
              <w:bottom w:val="nil"/>
              <w:right w:val="nil"/>
            </w:tcBorders>
            <w:shd w:val="clear" w:color="auto" w:fill="auto"/>
            <w:noWrap/>
            <w:vAlign w:val="center"/>
            <w:hideMark/>
          </w:tcPr>
          <w:p w14:paraId="57D9C918"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12</m:t>
                    </m:r>
                  </m:sub>
                </m:sSub>
              </m:oMath>
            </m:oMathPara>
          </w:p>
        </w:tc>
        <w:tc>
          <w:tcPr>
            <w:tcW w:w="637" w:type="dxa"/>
            <w:tcBorders>
              <w:top w:val="nil"/>
              <w:left w:val="nil"/>
              <w:bottom w:val="nil"/>
              <w:right w:val="nil"/>
            </w:tcBorders>
            <w:shd w:val="clear" w:color="auto" w:fill="auto"/>
            <w:noWrap/>
            <w:vAlign w:val="center"/>
            <w:hideMark/>
          </w:tcPr>
          <w:p w14:paraId="5904801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0.909</w:t>
            </w:r>
          </w:p>
        </w:tc>
        <w:tc>
          <w:tcPr>
            <w:tcW w:w="627" w:type="dxa"/>
            <w:tcBorders>
              <w:top w:val="nil"/>
              <w:left w:val="nil"/>
              <w:bottom w:val="nil"/>
              <w:right w:val="nil"/>
            </w:tcBorders>
            <w:shd w:val="clear" w:color="auto" w:fill="auto"/>
            <w:noWrap/>
            <w:vAlign w:val="center"/>
            <w:hideMark/>
          </w:tcPr>
          <w:p w14:paraId="1CB32BE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0.477</w:t>
            </w:r>
          </w:p>
        </w:tc>
        <w:tc>
          <w:tcPr>
            <w:tcW w:w="637" w:type="dxa"/>
            <w:tcBorders>
              <w:top w:val="nil"/>
              <w:left w:val="nil"/>
              <w:bottom w:val="nil"/>
              <w:right w:val="nil"/>
            </w:tcBorders>
            <w:shd w:val="clear" w:color="auto" w:fill="auto"/>
            <w:noWrap/>
            <w:vAlign w:val="center"/>
            <w:hideMark/>
          </w:tcPr>
          <w:p w14:paraId="20A726B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0.699</w:t>
            </w:r>
          </w:p>
        </w:tc>
        <w:tc>
          <w:tcPr>
            <w:tcW w:w="627" w:type="dxa"/>
            <w:tcBorders>
              <w:top w:val="nil"/>
              <w:left w:val="nil"/>
              <w:bottom w:val="nil"/>
              <w:right w:val="nil"/>
            </w:tcBorders>
            <w:shd w:val="clear" w:color="auto" w:fill="auto"/>
            <w:noWrap/>
            <w:vAlign w:val="center"/>
            <w:hideMark/>
          </w:tcPr>
          <w:p w14:paraId="4784008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0.362</w:t>
            </w:r>
          </w:p>
        </w:tc>
        <w:tc>
          <w:tcPr>
            <w:tcW w:w="637" w:type="dxa"/>
            <w:tcBorders>
              <w:top w:val="nil"/>
              <w:left w:val="nil"/>
              <w:bottom w:val="nil"/>
              <w:right w:val="nil"/>
            </w:tcBorders>
            <w:shd w:val="clear" w:color="auto" w:fill="auto"/>
            <w:noWrap/>
            <w:vAlign w:val="center"/>
            <w:hideMark/>
          </w:tcPr>
          <w:p w14:paraId="2E145B8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-0.130</w:t>
            </w:r>
          </w:p>
        </w:tc>
        <w:tc>
          <w:tcPr>
            <w:tcW w:w="627" w:type="dxa"/>
            <w:tcBorders>
              <w:top w:val="nil"/>
              <w:left w:val="nil"/>
              <w:bottom w:val="nil"/>
              <w:right w:val="nil"/>
            </w:tcBorders>
            <w:shd w:val="clear" w:color="auto" w:fill="auto"/>
            <w:noWrap/>
            <w:vAlign w:val="center"/>
            <w:hideMark/>
          </w:tcPr>
          <w:p w14:paraId="5E0773B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0.889</w:t>
            </w:r>
          </w:p>
        </w:tc>
        <w:tc>
          <w:tcPr>
            <w:tcW w:w="637" w:type="dxa"/>
            <w:tcBorders>
              <w:top w:val="nil"/>
              <w:left w:val="nil"/>
              <w:bottom w:val="nil"/>
              <w:right w:val="nil"/>
            </w:tcBorders>
            <w:shd w:val="clear" w:color="auto" w:fill="auto"/>
            <w:noWrap/>
            <w:vAlign w:val="center"/>
            <w:hideMark/>
          </w:tcPr>
          <w:p w14:paraId="5EEF76D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0.660</w:t>
            </w:r>
          </w:p>
        </w:tc>
        <w:tc>
          <w:tcPr>
            <w:tcW w:w="627" w:type="dxa"/>
            <w:tcBorders>
              <w:top w:val="nil"/>
              <w:left w:val="nil"/>
              <w:bottom w:val="nil"/>
              <w:right w:val="nil"/>
            </w:tcBorders>
            <w:shd w:val="clear" w:color="auto" w:fill="auto"/>
            <w:noWrap/>
            <w:vAlign w:val="center"/>
            <w:hideMark/>
          </w:tcPr>
          <w:p w14:paraId="23AE1E5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0.208</w:t>
            </w:r>
          </w:p>
        </w:tc>
        <w:tc>
          <w:tcPr>
            <w:tcW w:w="714" w:type="dxa"/>
            <w:tcBorders>
              <w:top w:val="nil"/>
              <w:left w:val="nil"/>
              <w:bottom w:val="nil"/>
              <w:right w:val="nil"/>
            </w:tcBorders>
            <w:shd w:val="clear" w:color="auto" w:fill="auto"/>
            <w:noWrap/>
            <w:vAlign w:val="center"/>
            <w:hideMark/>
          </w:tcPr>
          <w:p w14:paraId="69CFF24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0.583</w:t>
            </w:r>
          </w:p>
        </w:tc>
        <w:tc>
          <w:tcPr>
            <w:tcW w:w="627" w:type="dxa"/>
            <w:tcBorders>
              <w:top w:val="nil"/>
              <w:left w:val="nil"/>
              <w:bottom w:val="nil"/>
              <w:right w:val="nil"/>
            </w:tcBorders>
            <w:shd w:val="clear" w:color="auto" w:fill="auto"/>
            <w:noWrap/>
            <w:vAlign w:val="center"/>
            <w:hideMark/>
          </w:tcPr>
          <w:p w14:paraId="698FABB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0.128</w:t>
            </w:r>
          </w:p>
        </w:tc>
        <w:tc>
          <w:tcPr>
            <w:tcW w:w="637" w:type="dxa"/>
            <w:tcBorders>
              <w:top w:val="nil"/>
              <w:left w:val="nil"/>
              <w:bottom w:val="nil"/>
              <w:right w:val="nil"/>
            </w:tcBorders>
            <w:shd w:val="clear" w:color="auto" w:fill="auto"/>
            <w:noWrap/>
            <w:vAlign w:val="center"/>
            <w:hideMark/>
          </w:tcPr>
          <w:p w14:paraId="47BAB43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-0.718</w:t>
            </w:r>
          </w:p>
        </w:tc>
        <w:tc>
          <w:tcPr>
            <w:tcW w:w="627" w:type="dxa"/>
            <w:tcBorders>
              <w:top w:val="nil"/>
              <w:left w:val="nil"/>
              <w:bottom w:val="nil"/>
              <w:right w:val="nil"/>
            </w:tcBorders>
            <w:shd w:val="clear" w:color="auto" w:fill="auto"/>
            <w:noWrap/>
            <w:vAlign w:val="center"/>
            <w:hideMark/>
          </w:tcPr>
          <w:p w14:paraId="609F7E3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0.468</w:t>
            </w:r>
          </w:p>
        </w:tc>
        <w:tc>
          <w:tcPr>
            <w:tcW w:w="637" w:type="dxa"/>
            <w:tcBorders>
              <w:top w:val="nil"/>
              <w:left w:val="nil"/>
              <w:bottom w:val="nil"/>
              <w:right w:val="nil"/>
            </w:tcBorders>
            <w:shd w:val="clear" w:color="auto" w:fill="auto"/>
            <w:noWrap/>
            <w:vAlign w:val="center"/>
            <w:hideMark/>
          </w:tcPr>
          <w:p w14:paraId="61B8CEB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0.262</w:t>
            </w:r>
          </w:p>
        </w:tc>
        <w:tc>
          <w:tcPr>
            <w:tcW w:w="627" w:type="dxa"/>
            <w:tcBorders>
              <w:top w:val="nil"/>
              <w:left w:val="nil"/>
              <w:bottom w:val="nil"/>
              <w:right w:val="nil"/>
            </w:tcBorders>
            <w:shd w:val="clear" w:color="auto" w:fill="auto"/>
            <w:noWrap/>
            <w:vAlign w:val="center"/>
            <w:hideMark/>
          </w:tcPr>
          <w:p w14:paraId="09DFA6D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0.574</w:t>
            </w:r>
          </w:p>
        </w:tc>
        <w:tc>
          <w:tcPr>
            <w:tcW w:w="637" w:type="dxa"/>
            <w:tcBorders>
              <w:top w:val="nil"/>
              <w:left w:val="nil"/>
              <w:bottom w:val="nil"/>
              <w:right w:val="nil"/>
            </w:tcBorders>
            <w:shd w:val="clear" w:color="auto" w:fill="auto"/>
            <w:noWrap/>
            <w:vAlign w:val="center"/>
            <w:hideMark/>
          </w:tcPr>
          <w:p w14:paraId="6411385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0.482</w:t>
            </w:r>
          </w:p>
        </w:tc>
        <w:tc>
          <w:tcPr>
            <w:tcW w:w="627" w:type="dxa"/>
            <w:tcBorders>
              <w:top w:val="nil"/>
              <w:left w:val="nil"/>
              <w:bottom w:val="nil"/>
              <w:right w:val="nil"/>
            </w:tcBorders>
            <w:shd w:val="clear" w:color="auto" w:fill="auto"/>
            <w:noWrap/>
            <w:vAlign w:val="center"/>
            <w:hideMark/>
          </w:tcPr>
          <w:p w14:paraId="03AB231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0.299</w:t>
            </w:r>
          </w:p>
        </w:tc>
        <w:tc>
          <w:tcPr>
            <w:tcW w:w="637" w:type="dxa"/>
            <w:tcBorders>
              <w:top w:val="nil"/>
              <w:left w:val="nil"/>
              <w:bottom w:val="nil"/>
              <w:right w:val="nil"/>
            </w:tcBorders>
            <w:shd w:val="clear" w:color="auto" w:fill="auto"/>
            <w:noWrap/>
            <w:vAlign w:val="center"/>
            <w:hideMark/>
          </w:tcPr>
          <w:p w14:paraId="576E201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0.983</w:t>
            </w:r>
          </w:p>
        </w:tc>
        <w:tc>
          <w:tcPr>
            <w:tcW w:w="627" w:type="dxa"/>
            <w:tcBorders>
              <w:top w:val="nil"/>
              <w:left w:val="nil"/>
              <w:bottom w:val="nil"/>
              <w:right w:val="nil"/>
            </w:tcBorders>
            <w:shd w:val="clear" w:color="auto" w:fill="auto"/>
            <w:noWrap/>
            <w:vAlign w:val="center"/>
            <w:hideMark/>
          </w:tcPr>
          <w:p w14:paraId="36D2F4E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0.339</w:t>
            </w:r>
          </w:p>
        </w:tc>
        <w:tc>
          <w:tcPr>
            <w:tcW w:w="637" w:type="dxa"/>
            <w:tcBorders>
              <w:top w:val="nil"/>
              <w:left w:val="nil"/>
              <w:bottom w:val="nil"/>
              <w:right w:val="nil"/>
            </w:tcBorders>
            <w:shd w:val="clear" w:color="auto" w:fill="auto"/>
            <w:noWrap/>
            <w:vAlign w:val="center"/>
            <w:hideMark/>
          </w:tcPr>
          <w:p w14:paraId="560AA2E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0.464</w:t>
            </w:r>
          </w:p>
        </w:tc>
        <w:tc>
          <w:tcPr>
            <w:tcW w:w="627" w:type="dxa"/>
            <w:tcBorders>
              <w:top w:val="nil"/>
              <w:left w:val="nil"/>
              <w:bottom w:val="nil"/>
              <w:right w:val="nil"/>
            </w:tcBorders>
            <w:shd w:val="clear" w:color="auto" w:fill="auto"/>
            <w:noWrap/>
            <w:vAlign w:val="center"/>
            <w:hideMark/>
          </w:tcPr>
          <w:p w14:paraId="711949D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0.290</w:t>
            </w:r>
          </w:p>
        </w:tc>
        <w:tc>
          <w:tcPr>
            <w:tcW w:w="637" w:type="dxa"/>
            <w:tcBorders>
              <w:top w:val="nil"/>
              <w:left w:val="nil"/>
              <w:bottom w:val="nil"/>
              <w:right w:val="nil"/>
            </w:tcBorders>
            <w:shd w:val="clear" w:color="auto" w:fill="auto"/>
            <w:noWrap/>
            <w:vAlign w:val="center"/>
            <w:hideMark/>
          </w:tcPr>
          <w:p w14:paraId="7232C4F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-0.280</w:t>
            </w:r>
          </w:p>
        </w:tc>
        <w:tc>
          <w:tcPr>
            <w:tcW w:w="631" w:type="dxa"/>
            <w:tcBorders>
              <w:top w:val="nil"/>
              <w:left w:val="nil"/>
              <w:bottom w:val="nil"/>
              <w:right w:val="nil"/>
            </w:tcBorders>
            <w:shd w:val="clear" w:color="auto" w:fill="auto"/>
            <w:noWrap/>
            <w:vAlign w:val="center"/>
            <w:hideMark/>
          </w:tcPr>
          <w:p w14:paraId="20BA844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0.675</w:t>
            </w:r>
          </w:p>
        </w:tc>
      </w:tr>
      <w:tr w:rsidR="00F92754" w:rsidRPr="00FF6562" w14:paraId="0D4C788A" w14:textId="77777777" w:rsidTr="004418B0">
        <w:trPr>
          <w:trHeight w:val="127"/>
          <w:jc w:val="center"/>
        </w:trPr>
        <w:tc>
          <w:tcPr>
            <w:tcW w:w="718" w:type="dxa"/>
            <w:tcBorders>
              <w:top w:val="nil"/>
              <w:left w:val="nil"/>
              <w:bottom w:val="nil"/>
              <w:right w:val="nil"/>
            </w:tcBorders>
            <w:shd w:val="clear" w:color="auto" w:fill="auto"/>
            <w:noWrap/>
            <w:vAlign w:val="center"/>
            <w:hideMark/>
          </w:tcPr>
          <w:p w14:paraId="2FDEE497"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21</m:t>
                    </m:r>
                  </m:sub>
                </m:sSub>
              </m:oMath>
            </m:oMathPara>
          </w:p>
        </w:tc>
        <w:tc>
          <w:tcPr>
            <w:tcW w:w="637" w:type="dxa"/>
            <w:tcBorders>
              <w:top w:val="nil"/>
              <w:left w:val="nil"/>
              <w:bottom w:val="nil"/>
              <w:right w:val="nil"/>
            </w:tcBorders>
            <w:shd w:val="clear" w:color="auto" w:fill="auto"/>
            <w:noWrap/>
            <w:vAlign w:val="center"/>
            <w:hideMark/>
          </w:tcPr>
          <w:p w14:paraId="14F42EE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627" w:type="dxa"/>
            <w:tcBorders>
              <w:top w:val="nil"/>
              <w:left w:val="nil"/>
              <w:bottom w:val="nil"/>
              <w:right w:val="nil"/>
            </w:tcBorders>
            <w:shd w:val="clear" w:color="auto" w:fill="auto"/>
            <w:noWrap/>
            <w:vAlign w:val="center"/>
            <w:hideMark/>
          </w:tcPr>
          <w:p w14:paraId="76B90B2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0.958</w:t>
            </w:r>
          </w:p>
        </w:tc>
        <w:tc>
          <w:tcPr>
            <w:tcW w:w="637" w:type="dxa"/>
            <w:tcBorders>
              <w:top w:val="nil"/>
              <w:left w:val="nil"/>
              <w:bottom w:val="nil"/>
              <w:right w:val="nil"/>
            </w:tcBorders>
            <w:shd w:val="clear" w:color="auto" w:fill="auto"/>
            <w:noWrap/>
            <w:vAlign w:val="center"/>
            <w:hideMark/>
          </w:tcPr>
          <w:p w14:paraId="33EE5EF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-0.017</w:t>
            </w:r>
          </w:p>
        </w:tc>
        <w:tc>
          <w:tcPr>
            <w:tcW w:w="627" w:type="dxa"/>
            <w:tcBorders>
              <w:top w:val="nil"/>
              <w:left w:val="nil"/>
              <w:bottom w:val="nil"/>
              <w:right w:val="nil"/>
            </w:tcBorders>
            <w:shd w:val="clear" w:color="auto" w:fill="auto"/>
            <w:noWrap/>
            <w:vAlign w:val="center"/>
            <w:hideMark/>
          </w:tcPr>
          <w:p w14:paraId="5ABEFF2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0.010</w:t>
            </w:r>
          </w:p>
        </w:tc>
        <w:tc>
          <w:tcPr>
            <w:tcW w:w="637" w:type="dxa"/>
            <w:tcBorders>
              <w:top w:val="nil"/>
              <w:left w:val="nil"/>
              <w:bottom w:val="nil"/>
              <w:right w:val="nil"/>
            </w:tcBorders>
            <w:shd w:val="clear" w:color="auto" w:fill="auto"/>
            <w:noWrap/>
            <w:vAlign w:val="center"/>
            <w:hideMark/>
          </w:tcPr>
          <w:p w14:paraId="6C50576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627" w:type="dxa"/>
            <w:tcBorders>
              <w:top w:val="nil"/>
              <w:left w:val="nil"/>
              <w:bottom w:val="nil"/>
              <w:right w:val="nil"/>
            </w:tcBorders>
            <w:shd w:val="clear" w:color="auto" w:fill="auto"/>
            <w:noWrap/>
            <w:vAlign w:val="center"/>
            <w:hideMark/>
          </w:tcPr>
          <w:p w14:paraId="6137215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0.885</w:t>
            </w:r>
          </w:p>
        </w:tc>
        <w:tc>
          <w:tcPr>
            <w:tcW w:w="637" w:type="dxa"/>
            <w:tcBorders>
              <w:top w:val="nil"/>
              <w:left w:val="nil"/>
              <w:bottom w:val="nil"/>
              <w:right w:val="nil"/>
            </w:tcBorders>
            <w:shd w:val="clear" w:color="auto" w:fill="auto"/>
            <w:noWrap/>
            <w:vAlign w:val="center"/>
            <w:hideMark/>
          </w:tcPr>
          <w:p w14:paraId="1B07666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-0.029</w:t>
            </w:r>
          </w:p>
        </w:tc>
        <w:tc>
          <w:tcPr>
            <w:tcW w:w="627" w:type="dxa"/>
            <w:tcBorders>
              <w:top w:val="nil"/>
              <w:left w:val="nil"/>
              <w:bottom w:val="nil"/>
              <w:right w:val="nil"/>
            </w:tcBorders>
            <w:shd w:val="clear" w:color="auto" w:fill="auto"/>
            <w:noWrap/>
            <w:vAlign w:val="center"/>
            <w:hideMark/>
          </w:tcPr>
          <w:p w14:paraId="05F0DFD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0.332</w:t>
            </w:r>
          </w:p>
        </w:tc>
        <w:tc>
          <w:tcPr>
            <w:tcW w:w="714" w:type="dxa"/>
            <w:tcBorders>
              <w:top w:val="nil"/>
              <w:left w:val="nil"/>
              <w:bottom w:val="nil"/>
              <w:right w:val="nil"/>
            </w:tcBorders>
            <w:shd w:val="clear" w:color="auto" w:fill="auto"/>
            <w:noWrap/>
            <w:vAlign w:val="center"/>
            <w:hideMark/>
          </w:tcPr>
          <w:p w14:paraId="04C884E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-0.024</w:t>
            </w:r>
          </w:p>
        </w:tc>
        <w:tc>
          <w:tcPr>
            <w:tcW w:w="627" w:type="dxa"/>
            <w:tcBorders>
              <w:top w:val="nil"/>
              <w:left w:val="nil"/>
              <w:bottom w:val="nil"/>
              <w:right w:val="nil"/>
            </w:tcBorders>
            <w:shd w:val="clear" w:color="auto" w:fill="auto"/>
            <w:noWrap/>
            <w:vAlign w:val="center"/>
            <w:hideMark/>
          </w:tcPr>
          <w:p w14:paraId="1B9ED86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0.037</w:t>
            </w:r>
          </w:p>
        </w:tc>
        <w:tc>
          <w:tcPr>
            <w:tcW w:w="637" w:type="dxa"/>
            <w:tcBorders>
              <w:top w:val="nil"/>
              <w:left w:val="nil"/>
              <w:bottom w:val="nil"/>
              <w:right w:val="nil"/>
            </w:tcBorders>
            <w:shd w:val="clear" w:color="auto" w:fill="auto"/>
            <w:noWrap/>
            <w:vAlign w:val="center"/>
            <w:hideMark/>
          </w:tcPr>
          <w:p w14:paraId="37DFA18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627" w:type="dxa"/>
            <w:tcBorders>
              <w:top w:val="nil"/>
              <w:left w:val="nil"/>
              <w:bottom w:val="nil"/>
              <w:right w:val="nil"/>
            </w:tcBorders>
            <w:shd w:val="clear" w:color="auto" w:fill="auto"/>
            <w:noWrap/>
            <w:vAlign w:val="center"/>
            <w:hideMark/>
          </w:tcPr>
          <w:p w14:paraId="1944C34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0.380</w:t>
            </w:r>
          </w:p>
        </w:tc>
        <w:tc>
          <w:tcPr>
            <w:tcW w:w="637" w:type="dxa"/>
            <w:tcBorders>
              <w:top w:val="nil"/>
              <w:left w:val="nil"/>
              <w:bottom w:val="nil"/>
              <w:right w:val="nil"/>
            </w:tcBorders>
            <w:shd w:val="clear" w:color="auto" w:fill="auto"/>
            <w:noWrap/>
            <w:vAlign w:val="center"/>
            <w:hideMark/>
          </w:tcPr>
          <w:p w14:paraId="7E03A78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627" w:type="dxa"/>
            <w:tcBorders>
              <w:top w:val="nil"/>
              <w:left w:val="nil"/>
              <w:bottom w:val="nil"/>
              <w:right w:val="nil"/>
            </w:tcBorders>
            <w:shd w:val="clear" w:color="auto" w:fill="auto"/>
            <w:noWrap/>
            <w:vAlign w:val="center"/>
            <w:hideMark/>
          </w:tcPr>
          <w:p w14:paraId="6D3F874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0.966</w:t>
            </w:r>
          </w:p>
        </w:tc>
        <w:tc>
          <w:tcPr>
            <w:tcW w:w="637" w:type="dxa"/>
            <w:tcBorders>
              <w:top w:val="nil"/>
              <w:left w:val="nil"/>
              <w:bottom w:val="nil"/>
              <w:right w:val="nil"/>
            </w:tcBorders>
            <w:shd w:val="clear" w:color="auto" w:fill="auto"/>
            <w:noWrap/>
            <w:vAlign w:val="center"/>
            <w:hideMark/>
          </w:tcPr>
          <w:p w14:paraId="39351AA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627" w:type="dxa"/>
            <w:tcBorders>
              <w:top w:val="nil"/>
              <w:left w:val="nil"/>
              <w:bottom w:val="nil"/>
              <w:right w:val="nil"/>
            </w:tcBorders>
            <w:shd w:val="clear" w:color="auto" w:fill="auto"/>
            <w:noWrap/>
            <w:vAlign w:val="center"/>
            <w:hideMark/>
          </w:tcPr>
          <w:p w14:paraId="454BBE7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0.313</w:t>
            </w:r>
          </w:p>
        </w:tc>
        <w:tc>
          <w:tcPr>
            <w:tcW w:w="637" w:type="dxa"/>
            <w:tcBorders>
              <w:top w:val="nil"/>
              <w:left w:val="nil"/>
              <w:bottom w:val="nil"/>
              <w:right w:val="nil"/>
            </w:tcBorders>
            <w:shd w:val="clear" w:color="auto" w:fill="auto"/>
            <w:noWrap/>
            <w:vAlign w:val="center"/>
            <w:hideMark/>
          </w:tcPr>
          <w:p w14:paraId="05D6167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627" w:type="dxa"/>
            <w:tcBorders>
              <w:top w:val="nil"/>
              <w:left w:val="nil"/>
              <w:bottom w:val="nil"/>
              <w:right w:val="nil"/>
            </w:tcBorders>
            <w:shd w:val="clear" w:color="auto" w:fill="auto"/>
            <w:noWrap/>
            <w:vAlign w:val="center"/>
            <w:hideMark/>
          </w:tcPr>
          <w:p w14:paraId="0127F6F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0.288</w:t>
            </w:r>
          </w:p>
        </w:tc>
        <w:tc>
          <w:tcPr>
            <w:tcW w:w="637" w:type="dxa"/>
            <w:tcBorders>
              <w:top w:val="nil"/>
              <w:left w:val="nil"/>
              <w:bottom w:val="nil"/>
              <w:right w:val="nil"/>
            </w:tcBorders>
            <w:shd w:val="clear" w:color="auto" w:fill="auto"/>
            <w:noWrap/>
            <w:vAlign w:val="center"/>
            <w:hideMark/>
          </w:tcPr>
          <w:p w14:paraId="753B577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627" w:type="dxa"/>
            <w:tcBorders>
              <w:top w:val="nil"/>
              <w:left w:val="nil"/>
              <w:bottom w:val="nil"/>
              <w:right w:val="nil"/>
            </w:tcBorders>
            <w:shd w:val="clear" w:color="auto" w:fill="auto"/>
            <w:noWrap/>
            <w:vAlign w:val="center"/>
            <w:hideMark/>
          </w:tcPr>
          <w:p w14:paraId="009797B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0.135</w:t>
            </w:r>
          </w:p>
        </w:tc>
        <w:tc>
          <w:tcPr>
            <w:tcW w:w="637" w:type="dxa"/>
            <w:tcBorders>
              <w:top w:val="nil"/>
              <w:left w:val="nil"/>
              <w:bottom w:val="nil"/>
              <w:right w:val="nil"/>
            </w:tcBorders>
            <w:shd w:val="clear" w:color="auto" w:fill="auto"/>
            <w:noWrap/>
            <w:vAlign w:val="center"/>
            <w:hideMark/>
          </w:tcPr>
          <w:p w14:paraId="52A36BD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631" w:type="dxa"/>
            <w:tcBorders>
              <w:top w:val="nil"/>
              <w:left w:val="nil"/>
              <w:bottom w:val="nil"/>
              <w:right w:val="nil"/>
            </w:tcBorders>
            <w:shd w:val="clear" w:color="auto" w:fill="auto"/>
            <w:noWrap/>
            <w:vAlign w:val="center"/>
            <w:hideMark/>
          </w:tcPr>
          <w:p w14:paraId="626D11B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0.499</w:t>
            </w:r>
          </w:p>
        </w:tc>
      </w:tr>
      <w:tr w:rsidR="00F92754" w:rsidRPr="00FF6562" w14:paraId="17BD2F8D" w14:textId="77777777" w:rsidTr="004418B0">
        <w:trPr>
          <w:trHeight w:val="141"/>
          <w:jc w:val="center"/>
        </w:trPr>
        <w:tc>
          <w:tcPr>
            <w:tcW w:w="718" w:type="dxa"/>
            <w:tcBorders>
              <w:top w:val="nil"/>
              <w:left w:val="nil"/>
              <w:bottom w:val="nil"/>
              <w:right w:val="nil"/>
            </w:tcBorders>
            <w:shd w:val="clear" w:color="auto" w:fill="auto"/>
            <w:noWrap/>
            <w:vAlign w:val="center"/>
            <w:hideMark/>
          </w:tcPr>
          <w:p w14:paraId="49B8F350"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a</m:t>
                    </m:r>
                  </m:e>
                  <m:sub>
                    <m:r>
                      <m:rPr>
                        <m:sty m:val="p"/>
                      </m:rPr>
                      <w:rPr>
                        <w:rFonts w:ascii="Cambria Math" w:hAnsi="Cambria Math" w:cs="Arial"/>
                        <w:color w:val="000000" w:themeColor="text1"/>
                        <w:sz w:val="16"/>
                        <w:szCs w:val="16"/>
                        <w:lang w:eastAsia="en-GB"/>
                      </w:rPr>
                      <m:t>22</m:t>
                    </m:r>
                  </m:sub>
                </m:sSub>
              </m:oMath>
            </m:oMathPara>
          </w:p>
        </w:tc>
        <w:tc>
          <w:tcPr>
            <w:tcW w:w="637" w:type="dxa"/>
            <w:tcBorders>
              <w:top w:val="nil"/>
              <w:left w:val="nil"/>
              <w:bottom w:val="nil"/>
              <w:right w:val="nil"/>
            </w:tcBorders>
            <w:shd w:val="clear" w:color="auto" w:fill="auto"/>
            <w:noWrap/>
            <w:vAlign w:val="center"/>
            <w:hideMark/>
          </w:tcPr>
          <w:p w14:paraId="575B323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0.322</w:t>
            </w:r>
          </w:p>
        </w:tc>
        <w:tc>
          <w:tcPr>
            <w:tcW w:w="627" w:type="dxa"/>
            <w:tcBorders>
              <w:top w:val="nil"/>
              <w:left w:val="nil"/>
              <w:bottom w:val="nil"/>
              <w:right w:val="nil"/>
            </w:tcBorders>
            <w:shd w:val="clear" w:color="auto" w:fill="auto"/>
            <w:noWrap/>
            <w:vAlign w:val="center"/>
            <w:hideMark/>
          </w:tcPr>
          <w:p w14:paraId="60A1F58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0.339</w:t>
            </w:r>
          </w:p>
        </w:tc>
        <w:tc>
          <w:tcPr>
            <w:tcW w:w="637" w:type="dxa"/>
            <w:tcBorders>
              <w:top w:val="nil"/>
              <w:left w:val="nil"/>
              <w:bottom w:val="nil"/>
              <w:right w:val="nil"/>
            </w:tcBorders>
            <w:shd w:val="clear" w:color="auto" w:fill="auto"/>
            <w:noWrap/>
            <w:vAlign w:val="center"/>
            <w:hideMark/>
          </w:tcPr>
          <w:p w14:paraId="4055AA9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0.421</w:t>
            </w:r>
          </w:p>
        </w:tc>
        <w:tc>
          <w:tcPr>
            <w:tcW w:w="627" w:type="dxa"/>
            <w:tcBorders>
              <w:top w:val="nil"/>
              <w:left w:val="nil"/>
              <w:bottom w:val="nil"/>
              <w:right w:val="nil"/>
            </w:tcBorders>
            <w:shd w:val="clear" w:color="auto" w:fill="auto"/>
            <w:noWrap/>
            <w:vAlign w:val="center"/>
            <w:hideMark/>
          </w:tcPr>
          <w:p w14:paraId="317F301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637" w:type="dxa"/>
            <w:tcBorders>
              <w:top w:val="nil"/>
              <w:left w:val="nil"/>
              <w:bottom w:val="nil"/>
              <w:right w:val="nil"/>
            </w:tcBorders>
            <w:shd w:val="clear" w:color="auto" w:fill="auto"/>
            <w:noWrap/>
            <w:vAlign w:val="center"/>
            <w:hideMark/>
          </w:tcPr>
          <w:p w14:paraId="7763A64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0.218</w:t>
            </w:r>
          </w:p>
        </w:tc>
        <w:tc>
          <w:tcPr>
            <w:tcW w:w="627" w:type="dxa"/>
            <w:tcBorders>
              <w:top w:val="nil"/>
              <w:left w:val="nil"/>
              <w:bottom w:val="nil"/>
              <w:right w:val="nil"/>
            </w:tcBorders>
            <w:shd w:val="clear" w:color="auto" w:fill="auto"/>
            <w:noWrap/>
            <w:vAlign w:val="center"/>
            <w:hideMark/>
          </w:tcPr>
          <w:p w14:paraId="44EF1B8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0.188</w:t>
            </w:r>
          </w:p>
        </w:tc>
        <w:tc>
          <w:tcPr>
            <w:tcW w:w="637" w:type="dxa"/>
            <w:tcBorders>
              <w:top w:val="nil"/>
              <w:left w:val="nil"/>
              <w:bottom w:val="nil"/>
              <w:right w:val="nil"/>
            </w:tcBorders>
            <w:shd w:val="clear" w:color="auto" w:fill="auto"/>
            <w:noWrap/>
            <w:vAlign w:val="center"/>
            <w:hideMark/>
          </w:tcPr>
          <w:p w14:paraId="23FF0DB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0.379</w:t>
            </w:r>
          </w:p>
        </w:tc>
        <w:tc>
          <w:tcPr>
            <w:tcW w:w="627" w:type="dxa"/>
            <w:tcBorders>
              <w:top w:val="nil"/>
              <w:left w:val="nil"/>
              <w:bottom w:val="nil"/>
              <w:right w:val="nil"/>
            </w:tcBorders>
            <w:shd w:val="clear" w:color="auto" w:fill="auto"/>
            <w:noWrap/>
            <w:vAlign w:val="center"/>
            <w:hideMark/>
          </w:tcPr>
          <w:p w14:paraId="0ABED86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0.112</w:t>
            </w:r>
          </w:p>
        </w:tc>
        <w:tc>
          <w:tcPr>
            <w:tcW w:w="714" w:type="dxa"/>
            <w:tcBorders>
              <w:top w:val="nil"/>
              <w:left w:val="nil"/>
              <w:bottom w:val="nil"/>
              <w:right w:val="nil"/>
            </w:tcBorders>
            <w:shd w:val="clear" w:color="auto" w:fill="auto"/>
            <w:noWrap/>
            <w:vAlign w:val="center"/>
            <w:hideMark/>
          </w:tcPr>
          <w:p w14:paraId="568027C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-0.210</w:t>
            </w:r>
          </w:p>
        </w:tc>
        <w:tc>
          <w:tcPr>
            <w:tcW w:w="627" w:type="dxa"/>
            <w:tcBorders>
              <w:top w:val="nil"/>
              <w:left w:val="nil"/>
              <w:bottom w:val="nil"/>
              <w:right w:val="nil"/>
            </w:tcBorders>
            <w:shd w:val="clear" w:color="auto" w:fill="auto"/>
            <w:noWrap/>
            <w:vAlign w:val="center"/>
            <w:hideMark/>
          </w:tcPr>
          <w:p w14:paraId="0D83DB8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0.059</w:t>
            </w:r>
          </w:p>
        </w:tc>
        <w:tc>
          <w:tcPr>
            <w:tcW w:w="637" w:type="dxa"/>
            <w:tcBorders>
              <w:top w:val="nil"/>
              <w:left w:val="nil"/>
              <w:bottom w:val="nil"/>
              <w:right w:val="nil"/>
            </w:tcBorders>
            <w:shd w:val="clear" w:color="auto" w:fill="auto"/>
            <w:noWrap/>
            <w:vAlign w:val="center"/>
            <w:hideMark/>
          </w:tcPr>
          <w:p w14:paraId="1688E39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0.390</w:t>
            </w:r>
          </w:p>
        </w:tc>
        <w:tc>
          <w:tcPr>
            <w:tcW w:w="627" w:type="dxa"/>
            <w:tcBorders>
              <w:top w:val="nil"/>
              <w:left w:val="nil"/>
              <w:bottom w:val="nil"/>
              <w:right w:val="nil"/>
            </w:tcBorders>
            <w:shd w:val="clear" w:color="auto" w:fill="auto"/>
            <w:noWrap/>
            <w:vAlign w:val="center"/>
            <w:hideMark/>
          </w:tcPr>
          <w:p w14:paraId="1C90F2A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0.077</w:t>
            </w:r>
          </w:p>
        </w:tc>
        <w:tc>
          <w:tcPr>
            <w:tcW w:w="637" w:type="dxa"/>
            <w:tcBorders>
              <w:top w:val="nil"/>
              <w:left w:val="nil"/>
              <w:bottom w:val="nil"/>
              <w:right w:val="nil"/>
            </w:tcBorders>
            <w:shd w:val="clear" w:color="auto" w:fill="auto"/>
            <w:noWrap/>
            <w:vAlign w:val="center"/>
            <w:hideMark/>
          </w:tcPr>
          <w:p w14:paraId="7FB8AFE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0.210</w:t>
            </w:r>
          </w:p>
        </w:tc>
        <w:tc>
          <w:tcPr>
            <w:tcW w:w="627" w:type="dxa"/>
            <w:tcBorders>
              <w:top w:val="nil"/>
              <w:left w:val="nil"/>
              <w:bottom w:val="nil"/>
              <w:right w:val="nil"/>
            </w:tcBorders>
            <w:shd w:val="clear" w:color="auto" w:fill="auto"/>
            <w:noWrap/>
            <w:vAlign w:val="center"/>
            <w:hideMark/>
          </w:tcPr>
          <w:p w14:paraId="6B4016B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0.233</w:t>
            </w:r>
          </w:p>
        </w:tc>
        <w:tc>
          <w:tcPr>
            <w:tcW w:w="637" w:type="dxa"/>
            <w:tcBorders>
              <w:top w:val="nil"/>
              <w:left w:val="nil"/>
              <w:bottom w:val="nil"/>
              <w:right w:val="nil"/>
            </w:tcBorders>
            <w:shd w:val="clear" w:color="auto" w:fill="auto"/>
            <w:noWrap/>
            <w:vAlign w:val="center"/>
            <w:hideMark/>
          </w:tcPr>
          <w:p w14:paraId="14B44B8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0.216</w:t>
            </w:r>
          </w:p>
        </w:tc>
        <w:tc>
          <w:tcPr>
            <w:tcW w:w="627" w:type="dxa"/>
            <w:tcBorders>
              <w:top w:val="nil"/>
              <w:left w:val="nil"/>
              <w:bottom w:val="nil"/>
              <w:right w:val="nil"/>
            </w:tcBorders>
            <w:shd w:val="clear" w:color="auto" w:fill="auto"/>
            <w:noWrap/>
            <w:vAlign w:val="center"/>
            <w:hideMark/>
          </w:tcPr>
          <w:p w14:paraId="63C1C31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0.485</w:t>
            </w:r>
          </w:p>
        </w:tc>
        <w:tc>
          <w:tcPr>
            <w:tcW w:w="637" w:type="dxa"/>
            <w:tcBorders>
              <w:top w:val="nil"/>
              <w:left w:val="nil"/>
              <w:bottom w:val="nil"/>
              <w:right w:val="nil"/>
            </w:tcBorders>
            <w:shd w:val="clear" w:color="auto" w:fill="auto"/>
            <w:noWrap/>
            <w:vAlign w:val="center"/>
            <w:hideMark/>
          </w:tcPr>
          <w:p w14:paraId="1B6750A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0.331</w:t>
            </w:r>
          </w:p>
        </w:tc>
        <w:tc>
          <w:tcPr>
            <w:tcW w:w="627" w:type="dxa"/>
            <w:tcBorders>
              <w:top w:val="nil"/>
              <w:left w:val="nil"/>
              <w:bottom w:val="nil"/>
              <w:right w:val="nil"/>
            </w:tcBorders>
            <w:shd w:val="clear" w:color="auto" w:fill="auto"/>
            <w:noWrap/>
            <w:vAlign w:val="center"/>
            <w:hideMark/>
          </w:tcPr>
          <w:p w14:paraId="658D1E8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0.189</w:t>
            </w:r>
          </w:p>
        </w:tc>
        <w:tc>
          <w:tcPr>
            <w:tcW w:w="637" w:type="dxa"/>
            <w:tcBorders>
              <w:top w:val="nil"/>
              <w:left w:val="nil"/>
              <w:bottom w:val="nil"/>
              <w:right w:val="nil"/>
            </w:tcBorders>
            <w:shd w:val="clear" w:color="auto" w:fill="auto"/>
            <w:noWrap/>
            <w:vAlign w:val="center"/>
            <w:hideMark/>
          </w:tcPr>
          <w:p w14:paraId="71DA274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0.264</w:t>
            </w:r>
          </w:p>
        </w:tc>
        <w:tc>
          <w:tcPr>
            <w:tcW w:w="627" w:type="dxa"/>
            <w:tcBorders>
              <w:top w:val="nil"/>
              <w:left w:val="nil"/>
              <w:bottom w:val="nil"/>
              <w:right w:val="nil"/>
            </w:tcBorders>
            <w:shd w:val="clear" w:color="auto" w:fill="auto"/>
            <w:noWrap/>
            <w:vAlign w:val="center"/>
            <w:hideMark/>
          </w:tcPr>
          <w:p w14:paraId="59215B4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0.243</w:t>
            </w:r>
          </w:p>
        </w:tc>
        <w:tc>
          <w:tcPr>
            <w:tcW w:w="637" w:type="dxa"/>
            <w:tcBorders>
              <w:top w:val="nil"/>
              <w:left w:val="nil"/>
              <w:bottom w:val="nil"/>
              <w:right w:val="nil"/>
            </w:tcBorders>
            <w:shd w:val="clear" w:color="auto" w:fill="auto"/>
            <w:noWrap/>
            <w:vAlign w:val="center"/>
            <w:hideMark/>
          </w:tcPr>
          <w:p w14:paraId="6FB8A60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0.326</w:t>
            </w:r>
          </w:p>
        </w:tc>
        <w:tc>
          <w:tcPr>
            <w:tcW w:w="631" w:type="dxa"/>
            <w:tcBorders>
              <w:top w:val="nil"/>
              <w:left w:val="nil"/>
              <w:bottom w:val="nil"/>
              <w:right w:val="nil"/>
            </w:tcBorders>
            <w:shd w:val="clear" w:color="auto" w:fill="auto"/>
            <w:noWrap/>
            <w:vAlign w:val="center"/>
            <w:hideMark/>
          </w:tcPr>
          <w:p w14:paraId="19C78EC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0.047</w:t>
            </w:r>
          </w:p>
        </w:tc>
      </w:tr>
      <w:tr w:rsidR="00F92754" w:rsidRPr="00FF6562" w14:paraId="4F43962E" w14:textId="77777777" w:rsidTr="004418B0">
        <w:trPr>
          <w:trHeight w:val="90"/>
          <w:jc w:val="center"/>
        </w:trPr>
        <w:tc>
          <w:tcPr>
            <w:tcW w:w="718" w:type="dxa"/>
            <w:tcBorders>
              <w:top w:val="nil"/>
              <w:left w:val="nil"/>
              <w:bottom w:val="nil"/>
              <w:right w:val="nil"/>
            </w:tcBorders>
            <w:shd w:val="clear" w:color="auto" w:fill="auto"/>
            <w:noWrap/>
            <w:vAlign w:val="center"/>
            <w:hideMark/>
          </w:tcPr>
          <w:p w14:paraId="4FD60418"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m:rPr>
                        <m:sty m:val="p"/>
                      </m:rP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11</m:t>
                    </m:r>
                  </m:sub>
                </m:sSub>
              </m:oMath>
            </m:oMathPara>
          </w:p>
        </w:tc>
        <w:tc>
          <w:tcPr>
            <w:tcW w:w="637" w:type="dxa"/>
            <w:tcBorders>
              <w:top w:val="nil"/>
              <w:left w:val="nil"/>
              <w:bottom w:val="nil"/>
              <w:right w:val="nil"/>
            </w:tcBorders>
            <w:shd w:val="clear" w:color="auto" w:fill="auto"/>
            <w:noWrap/>
            <w:vAlign w:val="center"/>
            <w:hideMark/>
          </w:tcPr>
          <w:p w14:paraId="6067FEA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0.822</w:t>
            </w:r>
          </w:p>
        </w:tc>
        <w:tc>
          <w:tcPr>
            <w:tcW w:w="627" w:type="dxa"/>
            <w:tcBorders>
              <w:top w:val="nil"/>
              <w:left w:val="nil"/>
              <w:bottom w:val="nil"/>
              <w:right w:val="nil"/>
            </w:tcBorders>
            <w:shd w:val="clear" w:color="auto" w:fill="auto"/>
            <w:noWrap/>
            <w:vAlign w:val="center"/>
            <w:hideMark/>
          </w:tcPr>
          <w:p w14:paraId="10A263F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40E256F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0.833</w:t>
            </w:r>
          </w:p>
        </w:tc>
        <w:tc>
          <w:tcPr>
            <w:tcW w:w="627" w:type="dxa"/>
            <w:tcBorders>
              <w:top w:val="nil"/>
              <w:left w:val="nil"/>
              <w:bottom w:val="nil"/>
              <w:right w:val="nil"/>
            </w:tcBorders>
            <w:shd w:val="clear" w:color="auto" w:fill="auto"/>
            <w:noWrap/>
            <w:vAlign w:val="center"/>
            <w:hideMark/>
          </w:tcPr>
          <w:p w14:paraId="462E55A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7A99F74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0.885</w:t>
            </w:r>
          </w:p>
        </w:tc>
        <w:tc>
          <w:tcPr>
            <w:tcW w:w="627" w:type="dxa"/>
            <w:tcBorders>
              <w:top w:val="nil"/>
              <w:left w:val="nil"/>
              <w:bottom w:val="nil"/>
              <w:right w:val="nil"/>
            </w:tcBorders>
            <w:shd w:val="clear" w:color="auto" w:fill="auto"/>
            <w:noWrap/>
            <w:vAlign w:val="center"/>
            <w:hideMark/>
          </w:tcPr>
          <w:p w14:paraId="7FAF934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0DB16DF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0.859</w:t>
            </w:r>
          </w:p>
        </w:tc>
        <w:tc>
          <w:tcPr>
            <w:tcW w:w="627" w:type="dxa"/>
            <w:tcBorders>
              <w:top w:val="nil"/>
              <w:left w:val="nil"/>
              <w:bottom w:val="nil"/>
              <w:right w:val="nil"/>
            </w:tcBorders>
            <w:shd w:val="clear" w:color="auto" w:fill="auto"/>
            <w:noWrap/>
            <w:vAlign w:val="center"/>
            <w:hideMark/>
          </w:tcPr>
          <w:p w14:paraId="6AD3B97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714" w:type="dxa"/>
            <w:tcBorders>
              <w:top w:val="nil"/>
              <w:left w:val="nil"/>
              <w:bottom w:val="nil"/>
              <w:right w:val="nil"/>
            </w:tcBorders>
            <w:shd w:val="clear" w:color="auto" w:fill="auto"/>
            <w:noWrap/>
            <w:vAlign w:val="center"/>
            <w:hideMark/>
          </w:tcPr>
          <w:p w14:paraId="577E572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0.740</w:t>
            </w:r>
          </w:p>
        </w:tc>
        <w:tc>
          <w:tcPr>
            <w:tcW w:w="627" w:type="dxa"/>
            <w:tcBorders>
              <w:top w:val="nil"/>
              <w:left w:val="nil"/>
              <w:bottom w:val="nil"/>
              <w:right w:val="nil"/>
            </w:tcBorders>
            <w:shd w:val="clear" w:color="auto" w:fill="auto"/>
            <w:noWrap/>
            <w:vAlign w:val="center"/>
            <w:hideMark/>
          </w:tcPr>
          <w:p w14:paraId="24E16BA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76EA9C6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0.906</w:t>
            </w:r>
          </w:p>
        </w:tc>
        <w:tc>
          <w:tcPr>
            <w:tcW w:w="627" w:type="dxa"/>
            <w:tcBorders>
              <w:top w:val="nil"/>
              <w:left w:val="nil"/>
              <w:bottom w:val="nil"/>
              <w:right w:val="nil"/>
            </w:tcBorders>
            <w:shd w:val="clear" w:color="auto" w:fill="auto"/>
            <w:noWrap/>
            <w:vAlign w:val="center"/>
            <w:hideMark/>
          </w:tcPr>
          <w:p w14:paraId="217F465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2AB9EAC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0.848</w:t>
            </w:r>
          </w:p>
        </w:tc>
        <w:tc>
          <w:tcPr>
            <w:tcW w:w="627" w:type="dxa"/>
            <w:tcBorders>
              <w:top w:val="nil"/>
              <w:left w:val="nil"/>
              <w:bottom w:val="nil"/>
              <w:right w:val="nil"/>
            </w:tcBorders>
            <w:shd w:val="clear" w:color="auto" w:fill="auto"/>
            <w:noWrap/>
            <w:vAlign w:val="center"/>
            <w:hideMark/>
          </w:tcPr>
          <w:p w14:paraId="3971454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497AFB2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0.792</w:t>
            </w:r>
          </w:p>
        </w:tc>
        <w:tc>
          <w:tcPr>
            <w:tcW w:w="627" w:type="dxa"/>
            <w:tcBorders>
              <w:top w:val="nil"/>
              <w:left w:val="nil"/>
              <w:bottom w:val="nil"/>
              <w:right w:val="nil"/>
            </w:tcBorders>
            <w:shd w:val="clear" w:color="auto" w:fill="auto"/>
            <w:noWrap/>
            <w:vAlign w:val="center"/>
            <w:hideMark/>
          </w:tcPr>
          <w:p w14:paraId="0E02AD0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17B51B3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0.892</w:t>
            </w:r>
          </w:p>
        </w:tc>
        <w:tc>
          <w:tcPr>
            <w:tcW w:w="627" w:type="dxa"/>
            <w:tcBorders>
              <w:top w:val="nil"/>
              <w:left w:val="nil"/>
              <w:bottom w:val="nil"/>
              <w:right w:val="nil"/>
            </w:tcBorders>
            <w:shd w:val="clear" w:color="auto" w:fill="auto"/>
            <w:noWrap/>
            <w:vAlign w:val="center"/>
            <w:hideMark/>
          </w:tcPr>
          <w:p w14:paraId="19E305B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355F48C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0.866</w:t>
            </w:r>
          </w:p>
        </w:tc>
        <w:tc>
          <w:tcPr>
            <w:tcW w:w="627" w:type="dxa"/>
            <w:tcBorders>
              <w:top w:val="nil"/>
              <w:left w:val="nil"/>
              <w:bottom w:val="nil"/>
              <w:right w:val="nil"/>
            </w:tcBorders>
            <w:shd w:val="clear" w:color="auto" w:fill="auto"/>
            <w:noWrap/>
            <w:vAlign w:val="center"/>
            <w:hideMark/>
          </w:tcPr>
          <w:p w14:paraId="2377A11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3F6C661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0.931</w:t>
            </w:r>
          </w:p>
        </w:tc>
        <w:tc>
          <w:tcPr>
            <w:tcW w:w="631" w:type="dxa"/>
            <w:tcBorders>
              <w:top w:val="nil"/>
              <w:left w:val="nil"/>
              <w:bottom w:val="nil"/>
              <w:right w:val="nil"/>
            </w:tcBorders>
            <w:shd w:val="clear" w:color="auto" w:fill="auto"/>
            <w:noWrap/>
            <w:vAlign w:val="center"/>
            <w:hideMark/>
          </w:tcPr>
          <w:p w14:paraId="3C95860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F92754" w:rsidRPr="00FF6562" w14:paraId="6F430710" w14:textId="77777777" w:rsidTr="004418B0">
        <w:trPr>
          <w:trHeight w:val="187"/>
          <w:jc w:val="center"/>
        </w:trPr>
        <w:tc>
          <w:tcPr>
            <w:tcW w:w="718" w:type="dxa"/>
            <w:tcBorders>
              <w:top w:val="nil"/>
              <w:left w:val="nil"/>
              <w:bottom w:val="nil"/>
              <w:right w:val="nil"/>
            </w:tcBorders>
            <w:shd w:val="clear" w:color="auto" w:fill="auto"/>
            <w:noWrap/>
            <w:vAlign w:val="center"/>
            <w:hideMark/>
          </w:tcPr>
          <w:p w14:paraId="6EE5422B"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12</m:t>
                    </m:r>
                  </m:sub>
                </m:sSub>
              </m:oMath>
            </m:oMathPara>
          </w:p>
        </w:tc>
        <w:tc>
          <w:tcPr>
            <w:tcW w:w="637" w:type="dxa"/>
            <w:tcBorders>
              <w:top w:val="nil"/>
              <w:left w:val="nil"/>
              <w:bottom w:val="nil"/>
              <w:right w:val="nil"/>
            </w:tcBorders>
            <w:shd w:val="clear" w:color="auto" w:fill="auto"/>
            <w:noWrap/>
            <w:vAlign w:val="center"/>
            <w:hideMark/>
          </w:tcPr>
          <w:p w14:paraId="6C28553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-0.121</w:t>
            </w:r>
          </w:p>
        </w:tc>
        <w:tc>
          <w:tcPr>
            <w:tcW w:w="627" w:type="dxa"/>
            <w:tcBorders>
              <w:top w:val="nil"/>
              <w:left w:val="nil"/>
              <w:bottom w:val="nil"/>
              <w:right w:val="nil"/>
            </w:tcBorders>
            <w:shd w:val="clear" w:color="auto" w:fill="auto"/>
            <w:noWrap/>
            <w:vAlign w:val="center"/>
            <w:hideMark/>
          </w:tcPr>
          <w:p w14:paraId="6259367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0.698</w:t>
            </w:r>
          </w:p>
        </w:tc>
        <w:tc>
          <w:tcPr>
            <w:tcW w:w="637" w:type="dxa"/>
            <w:tcBorders>
              <w:top w:val="nil"/>
              <w:left w:val="nil"/>
              <w:bottom w:val="nil"/>
              <w:right w:val="nil"/>
            </w:tcBorders>
            <w:shd w:val="clear" w:color="auto" w:fill="auto"/>
            <w:noWrap/>
            <w:vAlign w:val="center"/>
            <w:hideMark/>
          </w:tcPr>
          <w:p w14:paraId="138AF18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-0.208</w:t>
            </w:r>
          </w:p>
        </w:tc>
        <w:tc>
          <w:tcPr>
            <w:tcW w:w="627" w:type="dxa"/>
            <w:tcBorders>
              <w:top w:val="nil"/>
              <w:left w:val="nil"/>
              <w:bottom w:val="nil"/>
              <w:right w:val="nil"/>
            </w:tcBorders>
            <w:shd w:val="clear" w:color="auto" w:fill="auto"/>
            <w:noWrap/>
            <w:vAlign w:val="center"/>
            <w:hideMark/>
          </w:tcPr>
          <w:p w14:paraId="545FDB3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0.269</w:t>
            </w:r>
          </w:p>
        </w:tc>
        <w:tc>
          <w:tcPr>
            <w:tcW w:w="637" w:type="dxa"/>
            <w:tcBorders>
              <w:top w:val="nil"/>
              <w:left w:val="nil"/>
              <w:bottom w:val="nil"/>
              <w:right w:val="nil"/>
            </w:tcBorders>
            <w:shd w:val="clear" w:color="auto" w:fill="auto"/>
            <w:noWrap/>
            <w:vAlign w:val="center"/>
            <w:hideMark/>
          </w:tcPr>
          <w:p w14:paraId="7C6AE39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-0.080</w:t>
            </w:r>
          </w:p>
        </w:tc>
        <w:tc>
          <w:tcPr>
            <w:tcW w:w="627" w:type="dxa"/>
            <w:tcBorders>
              <w:top w:val="nil"/>
              <w:left w:val="nil"/>
              <w:bottom w:val="nil"/>
              <w:right w:val="nil"/>
            </w:tcBorders>
            <w:shd w:val="clear" w:color="auto" w:fill="auto"/>
            <w:noWrap/>
            <w:vAlign w:val="center"/>
            <w:hideMark/>
          </w:tcPr>
          <w:p w14:paraId="2BAAF52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0.753</w:t>
            </w:r>
          </w:p>
        </w:tc>
        <w:tc>
          <w:tcPr>
            <w:tcW w:w="637" w:type="dxa"/>
            <w:tcBorders>
              <w:top w:val="nil"/>
              <w:left w:val="nil"/>
              <w:bottom w:val="nil"/>
              <w:right w:val="nil"/>
            </w:tcBorders>
            <w:shd w:val="clear" w:color="auto" w:fill="auto"/>
            <w:noWrap/>
            <w:vAlign w:val="center"/>
            <w:hideMark/>
          </w:tcPr>
          <w:p w14:paraId="588C6BA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627" w:type="dxa"/>
            <w:tcBorders>
              <w:top w:val="nil"/>
              <w:left w:val="nil"/>
              <w:bottom w:val="nil"/>
              <w:right w:val="nil"/>
            </w:tcBorders>
            <w:shd w:val="clear" w:color="auto" w:fill="auto"/>
            <w:noWrap/>
            <w:vAlign w:val="center"/>
            <w:hideMark/>
          </w:tcPr>
          <w:p w14:paraId="1E09E6B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0.966</w:t>
            </w:r>
          </w:p>
        </w:tc>
        <w:tc>
          <w:tcPr>
            <w:tcW w:w="714" w:type="dxa"/>
            <w:tcBorders>
              <w:top w:val="nil"/>
              <w:left w:val="nil"/>
              <w:bottom w:val="nil"/>
              <w:right w:val="nil"/>
            </w:tcBorders>
            <w:shd w:val="clear" w:color="auto" w:fill="auto"/>
            <w:noWrap/>
            <w:vAlign w:val="center"/>
            <w:hideMark/>
          </w:tcPr>
          <w:p w14:paraId="7CE5C60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0.333</w:t>
            </w:r>
          </w:p>
        </w:tc>
        <w:tc>
          <w:tcPr>
            <w:tcW w:w="627" w:type="dxa"/>
            <w:tcBorders>
              <w:top w:val="nil"/>
              <w:left w:val="nil"/>
              <w:bottom w:val="nil"/>
              <w:right w:val="nil"/>
            </w:tcBorders>
            <w:shd w:val="clear" w:color="auto" w:fill="auto"/>
            <w:noWrap/>
            <w:vAlign w:val="center"/>
            <w:hideMark/>
          </w:tcPr>
          <w:p w14:paraId="15EB3E4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0.281</w:t>
            </w:r>
          </w:p>
        </w:tc>
        <w:tc>
          <w:tcPr>
            <w:tcW w:w="637" w:type="dxa"/>
            <w:tcBorders>
              <w:top w:val="nil"/>
              <w:left w:val="nil"/>
              <w:bottom w:val="nil"/>
              <w:right w:val="nil"/>
            </w:tcBorders>
            <w:shd w:val="clear" w:color="auto" w:fill="auto"/>
            <w:noWrap/>
            <w:vAlign w:val="center"/>
            <w:hideMark/>
          </w:tcPr>
          <w:p w14:paraId="7CC02E8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-0.067</w:t>
            </w:r>
          </w:p>
        </w:tc>
        <w:tc>
          <w:tcPr>
            <w:tcW w:w="627" w:type="dxa"/>
            <w:tcBorders>
              <w:top w:val="nil"/>
              <w:left w:val="nil"/>
              <w:bottom w:val="nil"/>
              <w:right w:val="nil"/>
            </w:tcBorders>
            <w:shd w:val="clear" w:color="auto" w:fill="auto"/>
            <w:noWrap/>
            <w:vAlign w:val="center"/>
            <w:hideMark/>
          </w:tcPr>
          <w:p w14:paraId="73C61F5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0.804</w:t>
            </w:r>
          </w:p>
        </w:tc>
        <w:tc>
          <w:tcPr>
            <w:tcW w:w="637" w:type="dxa"/>
            <w:tcBorders>
              <w:top w:val="nil"/>
              <w:left w:val="nil"/>
              <w:bottom w:val="nil"/>
              <w:right w:val="nil"/>
            </w:tcBorders>
            <w:shd w:val="clear" w:color="auto" w:fill="auto"/>
            <w:noWrap/>
            <w:vAlign w:val="center"/>
            <w:hideMark/>
          </w:tcPr>
          <w:p w14:paraId="12ACA02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-0.215</w:t>
            </w:r>
          </w:p>
        </w:tc>
        <w:tc>
          <w:tcPr>
            <w:tcW w:w="627" w:type="dxa"/>
            <w:tcBorders>
              <w:top w:val="nil"/>
              <w:left w:val="nil"/>
              <w:bottom w:val="nil"/>
              <w:right w:val="nil"/>
            </w:tcBorders>
            <w:shd w:val="clear" w:color="auto" w:fill="auto"/>
            <w:noWrap/>
            <w:vAlign w:val="center"/>
            <w:hideMark/>
          </w:tcPr>
          <w:p w14:paraId="03899CE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0.481</w:t>
            </w:r>
          </w:p>
        </w:tc>
        <w:tc>
          <w:tcPr>
            <w:tcW w:w="637" w:type="dxa"/>
            <w:tcBorders>
              <w:top w:val="nil"/>
              <w:left w:val="nil"/>
              <w:bottom w:val="nil"/>
              <w:right w:val="nil"/>
            </w:tcBorders>
            <w:shd w:val="clear" w:color="auto" w:fill="auto"/>
            <w:noWrap/>
            <w:vAlign w:val="center"/>
            <w:hideMark/>
          </w:tcPr>
          <w:p w14:paraId="51558A2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0.785</w:t>
            </w:r>
          </w:p>
        </w:tc>
        <w:tc>
          <w:tcPr>
            <w:tcW w:w="627" w:type="dxa"/>
            <w:tcBorders>
              <w:top w:val="nil"/>
              <w:left w:val="nil"/>
              <w:bottom w:val="nil"/>
              <w:right w:val="nil"/>
            </w:tcBorders>
            <w:shd w:val="clear" w:color="auto" w:fill="auto"/>
            <w:noWrap/>
            <w:vAlign w:val="center"/>
            <w:hideMark/>
          </w:tcPr>
          <w:p w14:paraId="59A30A5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0.178</w:t>
            </w:r>
          </w:p>
        </w:tc>
        <w:tc>
          <w:tcPr>
            <w:tcW w:w="637" w:type="dxa"/>
            <w:tcBorders>
              <w:top w:val="nil"/>
              <w:left w:val="nil"/>
              <w:bottom w:val="nil"/>
              <w:right w:val="nil"/>
            </w:tcBorders>
            <w:shd w:val="clear" w:color="auto" w:fill="auto"/>
            <w:noWrap/>
            <w:vAlign w:val="center"/>
            <w:hideMark/>
          </w:tcPr>
          <w:p w14:paraId="5ED14AB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0.041</w:t>
            </w:r>
          </w:p>
        </w:tc>
        <w:tc>
          <w:tcPr>
            <w:tcW w:w="627" w:type="dxa"/>
            <w:tcBorders>
              <w:top w:val="nil"/>
              <w:left w:val="nil"/>
              <w:bottom w:val="nil"/>
              <w:right w:val="nil"/>
            </w:tcBorders>
            <w:shd w:val="clear" w:color="auto" w:fill="auto"/>
            <w:noWrap/>
            <w:vAlign w:val="center"/>
            <w:hideMark/>
          </w:tcPr>
          <w:p w14:paraId="1E2CC39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0.916</w:t>
            </w:r>
          </w:p>
        </w:tc>
        <w:tc>
          <w:tcPr>
            <w:tcW w:w="637" w:type="dxa"/>
            <w:tcBorders>
              <w:top w:val="nil"/>
              <w:left w:val="nil"/>
              <w:bottom w:val="nil"/>
              <w:right w:val="nil"/>
            </w:tcBorders>
            <w:shd w:val="clear" w:color="auto" w:fill="auto"/>
            <w:noWrap/>
            <w:vAlign w:val="center"/>
            <w:hideMark/>
          </w:tcPr>
          <w:p w14:paraId="365797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-0.032</w:t>
            </w:r>
          </w:p>
        </w:tc>
        <w:tc>
          <w:tcPr>
            <w:tcW w:w="627" w:type="dxa"/>
            <w:tcBorders>
              <w:top w:val="nil"/>
              <w:left w:val="nil"/>
              <w:bottom w:val="nil"/>
              <w:right w:val="nil"/>
            </w:tcBorders>
            <w:shd w:val="clear" w:color="auto" w:fill="auto"/>
            <w:noWrap/>
            <w:vAlign w:val="center"/>
            <w:hideMark/>
          </w:tcPr>
          <w:p w14:paraId="595BCCB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0.857</w:t>
            </w:r>
          </w:p>
        </w:tc>
        <w:tc>
          <w:tcPr>
            <w:tcW w:w="637" w:type="dxa"/>
            <w:tcBorders>
              <w:top w:val="nil"/>
              <w:left w:val="nil"/>
              <w:bottom w:val="nil"/>
              <w:right w:val="nil"/>
            </w:tcBorders>
            <w:shd w:val="clear" w:color="auto" w:fill="auto"/>
            <w:noWrap/>
            <w:vAlign w:val="center"/>
            <w:hideMark/>
          </w:tcPr>
          <w:p w14:paraId="31C9395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0.083</w:t>
            </w:r>
          </w:p>
        </w:tc>
        <w:tc>
          <w:tcPr>
            <w:tcW w:w="631" w:type="dxa"/>
            <w:tcBorders>
              <w:top w:val="nil"/>
              <w:left w:val="nil"/>
              <w:bottom w:val="nil"/>
              <w:right w:val="nil"/>
            </w:tcBorders>
            <w:shd w:val="clear" w:color="auto" w:fill="auto"/>
            <w:noWrap/>
            <w:vAlign w:val="center"/>
            <w:hideMark/>
          </w:tcPr>
          <w:p w14:paraId="0FA95C3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0.923</w:t>
            </w:r>
          </w:p>
        </w:tc>
      </w:tr>
      <w:tr w:rsidR="00F92754" w:rsidRPr="00FF6562" w14:paraId="66CDAE44" w14:textId="77777777" w:rsidTr="004418B0">
        <w:trPr>
          <w:trHeight w:val="135"/>
          <w:jc w:val="center"/>
        </w:trPr>
        <w:tc>
          <w:tcPr>
            <w:tcW w:w="718" w:type="dxa"/>
            <w:tcBorders>
              <w:top w:val="nil"/>
              <w:left w:val="nil"/>
              <w:bottom w:val="nil"/>
              <w:right w:val="nil"/>
            </w:tcBorders>
            <w:shd w:val="clear" w:color="auto" w:fill="auto"/>
            <w:noWrap/>
            <w:vAlign w:val="center"/>
            <w:hideMark/>
          </w:tcPr>
          <w:p w14:paraId="7972D849"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21</m:t>
                    </m:r>
                  </m:sub>
                </m:sSub>
              </m:oMath>
            </m:oMathPara>
          </w:p>
        </w:tc>
        <w:tc>
          <w:tcPr>
            <w:tcW w:w="637" w:type="dxa"/>
            <w:tcBorders>
              <w:top w:val="nil"/>
              <w:left w:val="nil"/>
              <w:bottom w:val="nil"/>
              <w:right w:val="nil"/>
            </w:tcBorders>
            <w:shd w:val="clear" w:color="auto" w:fill="auto"/>
            <w:noWrap/>
            <w:vAlign w:val="center"/>
            <w:hideMark/>
          </w:tcPr>
          <w:p w14:paraId="45E062E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627" w:type="dxa"/>
            <w:tcBorders>
              <w:top w:val="nil"/>
              <w:left w:val="nil"/>
              <w:bottom w:val="nil"/>
              <w:right w:val="nil"/>
            </w:tcBorders>
            <w:shd w:val="clear" w:color="auto" w:fill="auto"/>
            <w:noWrap/>
            <w:vAlign w:val="center"/>
            <w:hideMark/>
          </w:tcPr>
          <w:p w14:paraId="4C3E1D0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0.636</w:t>
            </w:r>
          </w:p>
        </w:tc>
        <w:tc>
          <w:tcPr>
            <w:tcW w:w="637" w:type="dxa"/>
            <w:tcBorders>
              <w:top w:val="nil"/>
              <w:left w:val="nil"/>
              <w:bottom w:val="nil"/>
              <w:right w:val="nil"/>
            </w:tcBorders>
            <w:shd w:val="clear" w:color="auto" w:fill="auto"/>
            <w:noWrap/>
            <w:vAlign w:val="center"/>
            <w:hideMark/>
          </w:tcPr>
          <w:p w14:paraId="05ECF78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627" w:type="dxa"/>
            <w:tcBorders>
              <w:top w:val="nil"/>
              <w:left w:val="nil"/>
              <w:bottom w:val="nil"/>
              <w:right w:val="nil"/>
            </w:tcBorders>
            <w:shd w:val="clear" w:color="auto" w:fill="auto"/>
            <w:noWrap/>
            <w:vAlign w:val="center"/>
            <w:hideMark/>
          </w:tcPr>
          <w:p w14:paraId="6EE0C94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0.588</w:t>
            </w:r>
          </w:p>
        </w:tc>
        <w:tc>
          <w:tcPr>
            <w:tcW w:w="637" w:type="dxa"/>
            <w:tcBorders>
              <w:top w:val="nil"/>
              <w:left w:val="nil"/>
              <w:bottom w:val="nil"/>
              <w:right w:val="nil"/>
            </w:tcBorders>
            <w:shd w:val="clear" w:color="auto" w:fill="auto"/>
            <w:noWrap/>
            <w:vAlign w:val="center"/>
            <w:hideMark/>
          </w:tcPr>
          <w:p w14:paraId="4096EE2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627" w:type="dxa"/>
            <w:tcBorders>
              <w:top w:val="nil"/>
              <w:left w:val="nil"/>
              <w:bottom w:val="nil"/>
              <w:right w:val="nil"/>
            </w:tcBorders>
            <w:shd w:val="clear" w:color="auto" w:fill="auto"/>
            <w:noWrap/>
            <w:vAlign w:val="center"/>
            <w:hideMark/>
          </w:tcPr>
          <w:p w14:paraId="793B391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0.363</w:t>
            </w:r>
          </w:p>
        </w:tc>
        <w:tc>
          <w:tcPr>
            <w:tcW w:w="637" w:type="dxa"/>
            <w:tcBorders>
              <w:top w:val="nil"/>
              <w:left w:val="nil"/>
              <w:bottom w:val="nil"/>
              <w:right w:val="nil"/>
            </w:tcBorders>
            <w:shd w:val="clear" w:color="auto" w:fill="auto"/>
            <w:noWrap/>
            <w:vAlign w:val="center"/>
            <w:hideMark/>
          </w:tcPr>
          <w:p w14:paraId="700A08E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0.041</w:t>
            </w:r>
          </w:p>
        </w:tc>
        <w:tc>
          <w:tcPr>
            <w:tcW w:w="627" w:type="dxa"/>
            <w:tcBorders>
              <w:top w:val="nil"/>
              <w:left w:val="nil"/>
              <w:bottom w:val="nil"/>
              <w:right w:val="nil"/>
            </w:tcBorders>
            <w:shd w:val="clear" w:color="auto" w:fill="auto"/>
            <w:noWrap/>
            <w:vAlign w:val="center"/>
            <w:hideMark/>
          </w:tcPr>
          <w:p w14:paraId="4C04BFA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0.039</w:t>
            </w:r>
          </w:p>
        </w:tc>
        <w:tc>
          <w:tcPr>
            <w:tcW w:w="714" w:type="dxa"/>
            <w:tcBorders>
              <w:top w:val="nil"/>
              <w:left w:val="nil"/>
              <w:bottom w:val="nil"/>
              <w:right w:val="nil"/>
            </w:tcBorders>
            <w:shd w:val="clear" w:color="auto" w:fill="auto"/>
            <w:noWrap/>
            <w:vAlign w:val="center"/>
            <w:hideMark/>
          </w:tcPr>
          <w:p w14:paraId="6D39C1A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0.044</w:t>
            </w:r>
          </w:p>
        </w:tc>
        <w:tc>
          <w:tcPr>
            <w:tcW w:w="627" w:type="dxa"/>
            <w:tcBorders>
              <w:top w:val="nil"/>
              <w:left w:val="nil"/>
              <w:bottom w:val="nil"/>
              <w:right w:val="nil"/>
            </w:tcBorders>
            <w:shd w:val="clear" w:color="auto" w:fill="auto"/>
            <w:noWrap/>
            <w:vAlign w:val="center"/>
            <w:hideMark/>
          </w:tcPr>
          <w:p w14:paraId="5BC84A1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2DD017F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c>
          <w:tcPr>
            <w:tcW w:w="627" w:type="dxa"/>
            <w:tcBorders>
              <w:top w:val="nil"/>
              <w:left w:val="nil"/>
              <w:bottom w:val="nil"/>
              <w:right w:val="nil"/>
            </w:tcBorders>
            <w:shd w:val="clear" w:color="auto" w:fill="auto"/>
            <w:noWrap/>
            <w:vAlign w:val="center"/>
            <w:hideMark/>
          </w:tcPr>
          <w:p w14:paraId="2334725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0.545</w:t>
            </w:r>
          </w:p>
        </w:tc>
        <w:tc>
          <w:tcPr>
            <w:tcW w:w="637" w:type="dxa"/>
            <w:tcBorders>
              <w:top w:val="nil"/>
              <w:left w:val="nil"/>
              <w:bottom w:val="nil"/>
              <w:right w:val="nil"/>
            </w:tcBorders>
            <w:shd w:val="clear" w:color="auto" w:fill="auto"/>
            <w:noWrap/>
            <w:vAlign w:val="center"/>
            <w:hideMark/>
          </w:tcPr>
          <w:p w14:paraId="2E13470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0.006</w:t>
            </w:r>
          </w:p>
        </w:tc>
        <w:tc>
          <w:tcPr>
            <w:tcW w:w="627" w:type="dxa"/>
            <w:tcBorders>
              <w:top w:val="nil"/>
              <w:left w:val="nil"/>
              <w:bottom w:val="nil"/>
              <w:right w:val="nil"/>
            </w:tcBorders>
            <w:shd w:val="clear" w:color="auto" w:fill="auto"/>
            <w:noWrap/>
            <w:vAlign w:val="center"/>
            <w:hideMark/>
          </w:tcPr>
          <w:p w14:paraId="3497AB3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0.474</w:t>
            </w:r>
          </w:p>
        </w:tc>
        <w:tc>
          <w:tcPr>
            <w:tcW w:w="637" w:type="dxa"/>
            <w:tcBorders>
              <w:top w:val="nil"/>
              <w:left w:val="nil"/>
              <w:bottom w:val="nil"/>
              <w:right w:val="nil"/>
            </w:tcBorders>
            <w:shd w:val="clear" w:color="auto" w:fill="auto"/>
            <w:noWrap/>
            <w:vAlign w:val="center"/>
            <w:hideMark/>
          </w:tcPr>
          <w:p w14:paraId="398FF2C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0.038</w:t>
            </w:r>
          </w:p>
        </w:tc>
        <w:tc>
          <w:tcPr>
            <w:tcW w:w="627" w:type="dxa"/>
            <w:tcBorders>
              <w:top w:val="nil"/>
              <w:left w:val="nil"/>
              <w:bottom w:val="nil"/>
              <w:right w:val="nil"/>
            </w:tcBorders>
            <w:shd w:val="clear" w:color="auto" w:fill="auto"/>
            <w:noWrap/>
            <w:vAlign w:val="center"/>
            <w:hideMark/>
          </w:tcPr>
          <w:p w14:paraId="6261DD6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637" w:type="dxa"/>
            <w:tcBorders>
              <w:top w:val="nil"/>
              <w:left w:val="nil"/>
              <w:bottom w:val="nil"/>
              <w:right w:val="nil"/>
            </w:tcBorders>
            <w:shd w:val="clear" w:color="auto" w:fill="auto"/>
            <w:noWrap/>
            <w:vAlign w:val="center"/>
            <w:hideMark/>
          </w:tcPr>
          <w:p w14:paraId="5F770D0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0.015</w:t>
            </w:r>
          </w:p>
        </w:tc>
        <w:tc>
          <w:tcPr>
            <w:tcW w:w="627" w:type="dxa"/>
            <w:tcBorders>
              <w:top w:val="nil"/>
              <w:left w:val="nil"/>
              <w:bottom w:val="nil"/>
              <w:right w:val="nil"/>
            </w:tcBorders>
            <w:shd w:val="clear" w:color="auto" w:fill="auto"/>
            <w:noWrap/>
            <w:vAlign w:val="center"/>
            <w:hideMark/>
          </w:tcPr>
          <w:p w14:paraId="753BE59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0.032</w:t>
            </w:r>
          </w:p>
        </w:tc>
        <w:tc>
          <w:tcPr>
            <w:tcW w:w="637" w:type="dxa"/>
            <w:tcBorders>
              <w:top w:val="nil"/>
              <w:left w:val="nil"/>
              <w:bottom w:val="nil"/>
              <w:right w:val="nil"/>
            </w:tcBorders>
            <w:shd w:val="clear" w:color="auto" w:fill="auto"/>
            <w:noWrap/>
            <w:vAlign w:val="center"/>
            <w:hideMark/>
          </w:tcPr>
          <w:p w14:paraId="15E3AB1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0.016</w:t>
            </w:r>
          </w:p>
        </w:tc>
        <w:tc>
          <w:tcPr>
            <w:tcW w:w="627" w:type="dxa"/>
            <w:tcBorders>
              <w:top w:val="nil"/>
              <w:left w:val="nil"/>
              <w:bottom w:val="nil"/>
              <w:right w:val="nil"/>
            </w:tcBorders>
            <w:shd w:val="clear" w:color="auto" w:fill="auto"/>
            <w:noWrap/>
            <w:vAlign w:val="center"/>
            <w:hideMark/>
          </w:tcPr>
          <w:p w14:paraId="5A279E7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0.004</w:t>
            </w:r>
          </w:p>
        </w:tc>
        <w:tc>
          <w:tcPr>
            <w:tcW w:w="637" w:type="dxa"/>
            <w:tcBorders>
              <w:top w:val="nil"/>
              <w:left w:val="nil"/>
              <w:bottom w:val="nil"/>
              <w:right w:val="nil"/>
            </w:tcBorders>
            <w:shd w:val="clear" w:color="auto" w:fill="auto"/>
            <w:noWrap/>
            <w:vAlign w:val="center"/>
            <w:hideMark/>
          </w:tcPr>
          <w:p w14:paraId="3CF6566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0.012</w:t>
            </w:r>
          </w:p>
        </w:tc>
        <w:tc>
          <w:tcPr>
            <w:tcW w:w="631" w:type="dxa"/>
            <w:tcBorders>
              <w:top w:val="nil"/>
              <w:left w:val="nil"/>
              <w:bottom w:val="nil"/>
              <w:right w:val="nil"/>
            </w:tcBorders>
            <w:shd w:val="clear" w:color="auto" w:fill="auto"/>
            <w:noWrap/>
            <w:vAlign w:val="center"/>
            <w:hideMark/>
          </w:tcPr>
          <w:p w14:paraId="515C8E5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F92754" w:rsidRPr="00FF6562" w14:paraId="1809434E" w14:textId="77777777" w:rsidTr="004418B0">
        <w:trPr>
          <w:trHeight w:val="84"/>
          <w:jc w:val="center"/>
        </w:trPr>
        <w:tc>
          <w:tcPr>
            <w:tcW w:w="718" w:type="dxa"/>
            <w:tcBorders>
              <w:top w:val="nil"/>
              <w:left w:val="nil"/>
              <w:bottom w:val="nil"/>
              <w:right w:val="nil"/>
            </w:tcBorders>
            <w:shd w:val="clear" w:color="auto" w:fill="auto"/>
            <w:noWrap/>
            <w:vAlign w:val="center"/>
            <w:hideMark/>
          </w:tcPr>
          <w:p w14:paraId="7BA360E8" w14:textId="77777777" w:rsidR="00F92754" w:rsidRPr="00FF6562" w:rsidRDefault="00FE124F" w:rsidP="00875EB5">
            <w:pPr>
              <w:spacing w:after="0" w:line="240" w:lineRule="auto"/>
              <w:rPr>
                <w:rFonts w:ascii="Times New Roman" w:eastAsia="Times New Roman" w:hAnsi="Times New Roman" w:cs="Times New Roman"/>
                <w:sz w:val="16"/>
                <w:szCs w:val="16"/>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b</m:t>
                    </m:r>
                  </m:e>
                  <m:sub>
                    <m:r>
                      <m:rPr>
                        <m:sty m:val="p"/>
                      </m:rPr>
                      <w:rPr>
                        <w:rFonts w:ascii="Cambria Math" w:hAnsi="Cambria Math" w:cs="Arial"/>
                        <w:color w:val="000000" w:themeColor="text1"/>
                        <w:sz w:val="16"/>
                        <w:szCs w:val="16"/>
                        <w:lang w:eastAsia="en-GB"/>
                      </w:rPr>
                      <m:t>22</m:t>
                    </m:r>
                  </m:sub>
                </m:sSub>
              </m:oMath>
            </m:oMathPara>
          </w:p>
        </w:tc>
        <w:tc>
          <w:tcPr>
            <w:tcW w:w="637" w:type="dxa"/>
            <w:tcBorders>
              <w:top w:val="nil"/>
              <w:left w:val="nil"/>
              <w:bottom w:val="nil"/>
              <w:right w:val="nil"/>
            </w:tcBorders>
            <w:shd w:val="clear" w:color="auto" w:fill="auto"/>
            <w:noWrap/>
            <w:vAlign w:val="center"/>
            <w:hideMark/>
          </w:tcPr>
          <w:p w14:paraId="45C9AE4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0.758</w:t>
            </w:r>
          </w:p>
        </w:tc>
        <w:tc>
          <w:tcPr>
            <w:tcW w:w="627" w:type="dxa"/>
            <w:tcBorders>
              <w:top w:val="nil"/>
              <w:left w:val="nil"/>
              <w:bottom w:val="nil"/>
              <w:right w:val="nil"/>
            </w:tcBorders>
            <w:shd w:val="clear" w:color="auto" w:fill="auto"/>
            <w:noWrap/>
            <w:vAlign w:val="center"/>
            <w:hideMark/>
          </w:tcPr>
          <w:p w14:paraId="653089E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637" w:type="dxa"/>
            <w:tcBorders>
              <w:top w:val="nil"/>
              <w:left w:val="nil"/>
              <w:bottom w:val="nil"/>
              <w:right w:val="nil"/>
            </w:tcBorders>
            <w:shd w:val="clear" w:color="auto" w:fill="auto"/>
            <w:noWrap/>
            <w:vAlign w:val="center"/>
            <w:hideMark/>
          </w:tcPr>
          <w:p w14:paraId="12282DA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0.662</w:t>
            </w:r>
          </w:p>
        </w:tc>
        <w:tc>
          <w:tcPr>
            <w:tcW w:w="627" w:type="dxa"/>
            <w:tcBorders>
              <w:top w:val="nil"/>
              <w:left w:val="nil"/>
              <w:bottom w:val="nil"/>
              <w:right w:val="nil"/>
            </w:tcBorders>
            <w:shd w:val="clear" w:color="auto" w:fill="auto"/>
            <w:noWrap/>
            <w:vAlign w:val="center"/>
            <w:hideMark/>
          </w:tcPr>
          <w:p w14:paraId="2A6C305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138851A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0.935</w:t>
            </w:r>
          </w:p>
        </w:tc>
        <w:tc>
          <w:tcPr>
            <w:tcW w:w="627" w:type="dxa"/>
            <w:tcBorders>
              <w:top w:val="nil"/>
              <w:left w:val="nil"/>
              <w:bottom w:val="nil"/>
              <w:right w:val="nil"/>
            </w:tcBorders>
            <w:shd w:val="clear" w:color="auto" w:fill="auto"/>
            <w:noWrap/>
            <w:vAlign w:val="center"/>
            <w:hideMark/>
          </w:tcPr>
          <w:p w14:paraId="6FB2374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22FFB26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0.783</w:t>
            </w:r>
          </w:p>
        </w:tc>
        <w:tc>
          <w:tcPr>
            <w:tcW w:w="627" w:type="dxa"/>
            <w:tcBorders>
              <w:top w:val="nil"/>
              <w:left w:val="nil"/>
              <w:bottom w:val="nil"/>
              <w:right w:val="nil"/>
            </w:tcBorders>
            <w:shd w:val="clear" w:color="auto" w:fill="auto"/>
            <w:noWrap/>
            <w:vAlign w:val="center"/>
            <w:hideMark/>
          </w:tcPr>
          <w:p w14:paraId="466BECF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714" w:type="dxa"/>
            <w:tcBorders>
              <w:top w:val="nil"/>
              <w:left w:val="nil"/>
              <w:bottom w:val="nil"/>
              <w:right w:val="nil"/>
            </w:tcBorders>
            <w:shd w:val="clear" w:color="auto" w:fill="auto"/>
            <w:noWrap/>
            <w:vAlign w:val="center"/>
            <w:hideMark/>
          </w:tcPr>
          <w:p w14:paraId="356E878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-0.089</w:t>
            </w:r>
          </w:p>
        </w:tc>
        <w:tc>
          <w:tcPr>
            <w:tcW w:w="627" w:type="dxa"/>
            <w:tcBorders>
              <w:top w:val="nil"/>
              <w:left w:val="nil"/>
              <w:bottom w:val="nil"/>
              <w:right w:val="nil"/>
            </w:tcBorders>
            <w:shd w:val="clear" w:color="auto" w:fill="auto"/>
            <w:noWrap/>
            <w:vAlign w:val="center"/>
            <w:hideMark/>
          </w:tcPr>
          <w:p w14:paraId="6C5186E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0.319</w:t>
            </w:r>
          </w:p>
        </w:tc>
        <w:tc>
          <w:tcPr>
            <w:tcW w:w="637" w:type="dxa"/>
            <w:tcBorders>
              <w:top w:val="nil"/>
              <w:left w:val="nil"/>
              <w:bottom w:val="nil"/>
              <w:right w:val="nil"/>
            </w:tcBorders>
            <w:shd w:val="clear" w:color="auto" w:fill="auto"/>
            <w:noWrap/>
            <w:vAlign w:val="center"/>
            <w:hideMark/>
          </w:tcPr>
          <w:p w14:paraId="0EB03AD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0.716</w:t>
            </w:r>
          </w:p>
        </w:tc>
        <w:tc>
          <w:tcPr>
            <w:tcW w:w="627" w:type="dxa"/>
            <w:tcBorders>
              <w:top w:val="nil"/>
              <w:left w:val="nil"/>
              <w:bottom w:val="nil"/>
              <w:right w:val="nil"/>
            </w:tcBorders>
            <w:shd w:val="clear" w:color="auto" w:fill="auto"/>
            <w:noWrap/>
            <w:vAlign w:val="center"/>
            <w:hideMark/>
          </w:tcPr>
          <w:p w14:paraId="19CECA9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2D3EACF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0.938</w:t>
            </w:r>
          </w:p>
        </w:tc>
        <w:tc>
          <w:tcPr>
            <w:tcW w:w="627" w:type="dxa"/>
            <w:tcBorders>
              <w:top w:val="nil"/>
              <w:left w:val="nil"/>
              <w:bottom w:val="nil"/>
              <w:right w:val="nil"/>
            </w:tcBorders>
            <w:shd w:val="clear" w:color="auto" w:fill="auto"/>
            <w:noWrap/>
            <w:vAlign w:val="center"/>
            <w:hideMark/>
          </w:tcPr>
          <w:p w14:paraId="587E5CB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02B7C24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627" w:type="dxa"/>
            <w:tcBorders>
              <w:top w:val="nil"/>
              <w:left w:val="nil"/>
              <w:bottom w:val="nil"/>
              <w:right w:val="nil"/>
            </w:tcBorders>
            <w:shd w:val="clear" w:color="auto" w:fill="auto"/>
            <w:noWrap/>
            <w:vAlign w:val="center"/>
            <w:hideMark/>
          </w:tcPr>
          <w:p w14:paraId="5EA509E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0.989</w:t>
            </w:r>
          </w:p>
        </w:tc>
        <w:tc>
          <w:tcPr>
            <w:tcW w:w="637" w:type="dxa"/>
            <w:tcBorders>
              <w:top w:val="nil"/>
              <w:left w:val="nil"/>
              <w:bottom w:val="nil"/>
              <w:right w:val="nil"/>
            </w:tcBorders>
            <w:shd w:val="clear" w:color="auto" w:fill="auto"/>
            <w:noWrap/>
            <w:vAlign w:val="center"/>
            <w:hideMark/>
          </w:tcPr>
          <w:p w14:paraId="7C7A33F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0.821</w:t>
            </w:r>
          </w:p>
        </w:tc>
        <w:tc>
          <w:tcPr>
            <w:tcW w:w="627" w:type="dxa"/>
            <w:tcBorders>
              <w:top w:val="nil"/>
              <w:left w:val="nil"/>
              <w:bottom w:val="nil"/>
              <w:right w:val="nil"/>
            </w:tcBorders>
            <w:shd w:val="clear" w:color="auto" w:fill="auto"/>
            <w:noWrap/>
            <w:vAlign w:val="center"/>
            <w:hideMark/>
          </w:tcPr>
          <w:p w14:paraId="7728996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6B918B8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0.817</w:t>
            </w:r>
          </w:p>
        </w:tc>
        <w:tc>
          <w:tcPr>
            <w:tcW w:w="627" w:type="dxa"/>
            <w:tcBorders>
              <w:top w:val="nil"/>
              <w:left w:val="nil"/>
              <w:bottom w:val="nil"/>
              <w:right w:val="nil"/>
            </w:tcBorders>
            <w:shd w:val="clear" w:color="auto" w:fill="auto"/>
            <w:noWrap/>
            <w:vAlign w:val="center"/>
            <w:hideMark/>
          </w:tcPr>
          <w:p w14:paraId="49A2EA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0A0B015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0.792</w:t>
            </w:r>
          </w:p>
        </w:tc>
        <w:tc>
          <w:tcPr>
            <w:tcW w:w="631" w:type="dxa"/>
            <w:tcBorders>
              <w:top w:val="nil"/>
              <w:left w:val="nil"/>
              <w:bottom w:val="nil"/>
              <w:right w:val="nil"/>
            </w:tcBorders>
            <w:shd w:val="clear" w:color="auto" w:fill="auto"/>
            <w:noWrap/>
            <w:vAlign w:val="center"/>
            <w:hideMark/>
          </w:tcPr>
          <w:p w14:paraId="633F8CC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r>
      <w:tr w:rsidR="00F92754" w:rsidRPr="00FF6562" w14:paraId="359A5E98" w14:textId="77777777" w:rsidTr="004418B0">
        <w:trPr>
          <w:trHeight w:val="181"/>
          <w:jc w:val="center"/>
        </w:trPr>
        <w:tc>
          <w:tcPr>
            <w:tcW w:w="718" w:type="dxa"/>
            <w:tcBorders>
              <w:top w:val="nil"/>
              <w:left w:val="nil"/>
              <w:bottom w:val="nil"/>
              <w:right w:val="nil"/>
            </w:tcBorders>
            <w:shd w:val="clear" w:color="auto" w:fill="auto"/>
            <w:noWrap/>
            <w:vAlign w:val="center"/>
            <w:hideMark/>
          </w:tcPr>
          <w:p w14:paraId="3667CEF8"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11</m:t>
                    </m:r>
                  </m:sub>
                </m:sSub>
              </m:oMath>
            </m:oMathPara>
          </w:p>
        </w:tc>
        <w:tc>
          <w:tcPr>
            <w:tcW w:w="637" w:type="dxa"/>
            <w:tcBorders>
              <w:top w:val="nil"/>
              <w:left w:val="nil"/>
              <w:bottom w:val="nil"/>
              <w:right w:val="nil"/>
            </w:tcBorders>
            <w:shd w:val="clear" w:color="auto" w:fill="auto"/>
            <w:noWrap/>
            <w:vAlign w:val="center"/>
            <w:hideMark/>
          </w:tcPr>
          <w:p w14:paraId="477BCC7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0.439</w:t>
            </w:r>
          </w:p>
        </w:tc>
        <w:tc>
          <w:tcPr>
            <w:tcW w:w="627" w:type="dxa"/>
            <w:tcBorders>
              <w:top w:val="nil"/>
              <w:left w:val="nil"/>
              <w:bottom w:val="nil"/>
              <w:right w:val="nil"/>
            </w:tcBorders>
            <w:shd w:val="clear" w:color="auto" w:fill="auto"/>
            <w:noWrap/>
            <w:vAlign w:val="center"/>
            <w:hideMark/>
          </w:tcPr>
          <w:p w14:paraId="735F0EC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0.100</w:t>
            </w:r>
          </w:p>
        </w:tc>
        <w:tc>
          <w:tcPr>
            <w:tcW w:w="637" w:type="dxa"/>
            <w:tcBorders>
              <w:top w:val="nil"/>
              <w:left w:val="nil"/>
              <w:bottom w:val="nil"/>
              <w:right w:val="nil"/>
            </w:tcBorders>
            <w:shd w:val="clear" w:color="auto" w:fill="auto"/>
            <w:noWrap/>
            <w:vAlign w:val="center"/>
            <w:hideMark/>
          </w:tcPr>
          <w:p w14:paraId="20C6A83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0.582</w:t>
            </w:r>
          </w:p>
        </w:tc>
        <w:tc>
          <w:tcPr>
            <w:tcW w:w="627" w:type="dxa"/>
            <w:tcBorders>
              <w:top w:val="nil"/>
              <w:left w:val="nil"/>
              <w:bottom w:val="nil"/>
              <w:right w:val="nil"/>
            </w:tcBorders>
            <w:shd w:val="clear" w:color="auto" w:fill="auto"/>
            <w:noWrap/>
            <w:vAlign w:val="center"/>
            <w:hideMark/>
          </w:tcPr>
          <w:p w14:paraId="002FD0D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637" w:type="dxa"/>
            <w:tcBorders>
              <w:top w:val="nil"/>
              <w:left w:val="nil"/>
              <w:bottom w:val="nil"/>
              <w:right w:val="nil"/>
            </w:tcBorders>
            <w:shd w:val="clear" w:color="auto" w:fill="auto"/>
            <w:noWrap/>
            <w:vAlign w:val="center"/>
            <w:hideMark/>
          </w:tcPr>
          <w:p w14:paraId="456BD54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0.498</w:t>
            </w:r>
          </w:p>
        </w:tc>
        <w:tc>
          <w:tcPr>
            <w:tcW w:w="627" w:type="dxa"/>
            <w:tcBorders>
              <w:top w:val="nil"/>
              <w:left w:val="nil"/>
              <w:bottom w:val="nil"/>
              <w:right w:val="nil"/>
            </w:tcBorders>
            <w:shd w:val="clear" w:color="auto" w:fill="auto"/>
            <w:noWrap/>
            <w:vAlign w:val="center"/>
            <w:hideMark/>
          </w:tcPr>
          <w:p w14:paraId="54E19A0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6DDDC35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0.485</w:t>
            </w:r>
          </w:p>
        </w:tc>
        <w:tc>
          <w:tcPr>
            <w:tcW w:w="627" w:type="dxa"/>
            <w:tcBorders>
              <w:top w:val="nil"/>
              <w:left w:val="nil"/>
              <w:bottom w:val="nil"/>
              <w:right w:val="nil"/>
            </w:tcBorders>
            <w:shd w:val="clear" w:color="auto" w:fill="auto"/>
            <w:noWrap/>
            <w:vAlign w:val="center"/>
            <w:hideMark/>
          </w:tcPr>
          <w:p w14:paraId="6F9CF76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0.066</w:t>
            </w:r>
          </w:p>
        </w:tc>
        <w:tc>
          <w:tcPr>
            <w:tcW w:w="714" w:type="dxa"/>
            <w:tcBorders>
              <w:top w:val="nil"/>
              <w:left w:val="nil"/>
              <w:bottom w:val="nil"/>
              <w:right w:val="nil"/>
            </w:tcBorders>
            <w:shd w:val="clear" w:color="auto" w:fill="auto"/>
            <w:noWrap/>
            <w:vAlign w:val="center"/>
            <w:hideMark/>
          </w:tcPr>
          <w:p w14:paraId="73CB961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0.286</w:t>
            </w:r>
          </w:p>
        </w:tc>
        <w:tc>
          <w:tcPr>
            <w:tcW w:w="627" w:type="dxa"/>
            <w:tcBorders>
              <w:top w:val="nil"/>
              <w:left w:val="nil"/>
              <w:bottom w:val="nil"/>
              <w:right w:val="nil"/>
            </w:tcBorders>
            <w:shd w:val="clear" w:color="auto" w:fill="auto"/>
            <w:noWrap/>
            <w:vAlign w:val="center"/>
            <w:hideMark/>
          </w:tcPr>
          <w:p w14:paraId="644AA7D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0.036</w:t>
            </w:r>
          </w:p>
        </w:tc>
        <w:tc>
          <w:tcPr>
            <w:tcW w:w="637" w:type="dxa"/>
            <w:tcBorders>
              <w:top w:val="nil"/>
              <w:left w:val="nil"/>
              <w:bottom w:val="nil"/>
              <w:right w:val="nil"/>
            </w:tcBorders>
            <w:shd w:val="clear" w:color="auto" w:fill="auto"/>
            <w:noWrap/>
            <w:vAlign w:val="center"/>
            <w:hideMark/>
          </w:tcPr>
          <w:p w14:paraId="1F15735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0.439</w:t>
            </w:r>
          </w:p>
        </w:tc>
        <w:tc>
          <w:tcPr>
            <w:tcW w:w="627" w:type="dxa"/>
            <w:tcBorders>
              <w:top w:val="nil"/>
              <w:left w:val="nil"/>
              <w:bottom w:val="nil"/>
              <w:right w:val="nil"/>
            </w:tcBorders>
            <w:shd w:val="clear" w:color="auto" w:fill="auto"/>
            <w:noWrap/>
            <w:vAlign w:val="center"/>
            <w:hideMark/>
          </w:tcPr>
          <w:p w14:paraId="14F7A09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7AD8603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0.626</w:t>
            </w:r>
          </w:p>
        </w:tc>
        <w:tc>
          <w:tcPr>
            <w:tcW w:w="627" w:type="dxa"/>
            <w:tcBorders>
              <w:top w:val="nil"/>
              <w:left w:val="nil"/>
              <w:bottom w:val="nil"/>
              <w:right w:val="nil"/>
            </w:tcBorders>
            <w:shd w:val="clear" w:color="auto" w:fill="auto"/>
            <w:noWrap/>
            <w:vAlign w:val="center"/>
            <w:hideMark/>
          </w:tcPr>
          <w:p w14:paraId="59F1553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1A5ECA1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0.188</w:t>
            </w:r>
          </w:p>
        </w:tc>
        <w:tc>
          <w:tcPr>
            <w:tcW w:w="627" w:type="dxa"/>
            <w:tcBorders>
              <w:top w:val="nil"/>
              <w:left w:val="nil"/>
              <w:bottom w:val="nil"/>
              <w:right w:val="nil"/>
            </w:tcBorders>
            <w:shd w:val="clear" w:color="auto" w:fill="auto"/>
            <w:noWrap/>
            <w:vAlign w:val="center"/>
            <w:hideMark/>
          </w:tcPr>
          <w:p w14:paraId="417AB2A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0.131</w:t>
            </w:r>
          </w:p>
        </w:tc>
        <w:tc>
          <w:tcPr>
            <w:tcW w:w="637" w:type="dxa"/>
            <w:tcBorders>
              <w:top w:val="nil"/>
              <w:left w:val="nil"/>
              <w:bottom w:val="nil"/>
              <w:right w:val="nil"/>
            </w:tcBorders>
            <w:shd w:val="clear" w:color="auto" w:fill="auto"/>
            <w:noWrap/>
            <w:vAlign w:val="center"/>
            <w:hideMark/>
          </w:tcPr>
          <w:p w14:paraId="1B24D7F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0.388</w:t>
            </w:r>
          </w:p>
        </w:tc>
        <w:tc>
          <w:tcPr>
            <w:tcW w:w="627" w:type="dxa"/>
            <w:tcBorders>
              <w:top w:val="nil"/>
              <w:left w:val="nil"/>
              <w:bottom w:val="nil"/>
              <w:right w:val="nil"/>
            </w:tcBorders>
            <w:shd w:val="clear" w:color="auto" w:fill="auto"/>
            <w:noWrap/>
            <w:vAlign w:val="center"/>
            <w:hideMark/>
          </w:tcPr>
          <w:p w14:paraId="6F7EA92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692CF9E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0.409</w:t>
            </w:r>
          </w:p>
        </w:tc>
        <w:tc>
          <w:tcPr>
            <w:tcW w:w="627" w:type="dxa"/>
            <w:tcBorders>
              <w:top w:val="nil"/>
              <w:left w:val="nil"/>
              <w:bottom w:val="nil"/>
              <w:right w:val="nil"/>
            </w:tcBorders>
            <w:shd w:val="clear" w:color="auto" w:fill="auto"/>
            <w:noWrap/>
            <w:vAlign w:val="center"/>
            <w:hideMark/>
          </w:tcPr>
          <w:p w14:paraId="7D7B71D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0.000</w:t>
            </w:r>
          </w:p>
        </w:tc>
        <w:tc>
          <w:tcPr>
            <w:tcW w:w="637" w:type="dxa"/>
            <w:tcBorders>
              <w:top w:val="nil"/>
              <w:left w:val="nil"/>
              <w:bottom w:val="nil"/>
              <w:right w:val="nil"/>
            </w:tcBorders>
            <w:shd w:val="clear" w:color="auto" w:fill="auto"/>
            <w:noWrap/>
            <w:vAlign w:val="center"/>
            <w:hideMark/>
          </w:tcPr>
          <w:p w14:paraId="03CC743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0.343</w:t>
            </w:r>
          </w:p>
        </w:tc>
        <w:tc>
          <w:tcPr>
            <w:tcW w:w="631" w:type="dxa"/>
            <w:tcBorders>
              <w:top w:val="nil"/>
              <w:left w:val="nil"/>
              <w:bottom w:val="nil"/>
              <w:right w:val="nil"/>
            </w:tcBorders>
            <w:shd w:val="clear" w:color="auto" w:fill="auto"/>
            <w:noWrap/>
            <w:vAlign w:val="center"/>
            <w:hideMark/>
          </w:tcPr>
          <w:p w14:paraId="55944EA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0.007</w:t>
            </w:r>
          </w:p>
        </w:tc>
      </w:tr>
      <w:tr w:rsidR="00F92754" w:rsidRPr="00FF6562" w14:paraId="16415058" w14:textId="77777777" w:rsidTr="004418B0">
        <w:trPr>
          <w:trHeight w:val="130"/>
          <w:jc w:val="center"/>
        </w:trPr>
        <w:tc>
          <w:tcPr>
            <w:tcW w:w="718" w:type="dxa"/>
            <w:tcBorders>
              <w:top w:val="nil"/>
              <w:left w:val="nil"/>
              <w:bottom w:val="nil"/>
              <w:right w:val="nil"/>
            </w:tcBorders>
            <w:shd w:val="clear" w:color="auto" w:fill="auto"/>
            <w:noWrap/>
            <w:vAlign w:val="center"/>
            <w:hideMark/>
          </w:tcPr>
          <w:p w14:paraId="7E2BC5B5"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12</m:t>
                    </m:r>
                  </m:sub>
                </m:sSub>
              </m:oMath>
            </m:oMathPara>
          </w:p>
        </w:tc>
        <w:tc>
          <w:tcPr>
            <w:tcW w:w="637" w:type="dxa"/>
            <w:tcBorders>
              <w:top w:val="nil"/>
              <w:left w:val="nil"/>
              <w:bottom w:val="nil"/>
              <w:right w:val="nil"/>
            </w:tcBorders>
            <w:shd w:val="clear" w:color="auto" w:fill="auto"/>
            <w:noWrap/>
            <w:vAlign w:val="center"/>
            <w:hideMark/>
          </w:tcPr>
          <w:p w14:paraId="704C9E7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1.102</w:t>
            </w:r>
          </w:p>
        </w:tc>
        <w:tc>
          <w:tcPr>
            <w:tcW w:w="627" w:type="dxa"/>
            <w:tcBorders>
              <w:top w:val="nil"/>
              <w:left w:val="nil"/>
              <w:bottom w:val="nil"/>
              <w:right w:val="nil"/>
            </w:tcBorders>
            <w:shd w:val="clear" w:color="auto" w:fill="auto"/>
            <w:noWrap/>
            <w:vAlign w:val="center"/>
            <w:hideMark/>
          </w:tcPr>
          <w:p w14:paraId="4667789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0.497</w:t>
            </w:r>
          </w:p>
        </w:tc>
        <w:tc>
          <w:tcPr>
            <w:tcW w:w="637" w:type="dxa"/>
            <w:tcBorders>
              <w:top w:val="nil"/>
              <w:left w:val="nil"/>
              <w:bottom w:val="nil"/>
              <w:right w:val="nil"/>
            </w:tcBorders>
            <w:shd w:val="clear" w:color="auto" w:fill="auto"/>
            <w:noWrap/>
            <w:vAlign w:val="center"/>
            <w:hideMark/>
          </w:tcPr>
          <w:p w14:paraId="0A8B335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2.065</w:t>
            </w:r>
          </w:p>
        </w:tc>
        <w:tc>
          <w:tcPr>
            <w:tcW w:w="627" w:type="dxa"/>
            <w:tcBorders>
              <w:top w:val="nil"/>
              <w:left w:val="nil"/>
              <w:bottom w:val="nil"/>
              <w:right w:val="nil"/>
            </w:tcBorders>
            <w:shd w:val="clear" w:color="auto" w:fill="auto"/>
            <w:noWrap/>
            <w:vAlign w:val="center"/>
            <w:hideMark/>
          </w:tcPr>
          <w:p w14:paraId="193C962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0.058</w:t>
            </w:r>
          </w:p>
        </w:tc>
        <w:tc>
          <w:tcPr>
            <w:tcW w:w="637" w:type="dxa"/>
            <w:tcBorders>
              <w:top w:val="nil"/>
              <w:left w:val="nil"/>
              <w:bottom w:val="nil"/>
              <w:right w:val="nil"/>
            </w:tcBorders>
            <w:shd w:val="clear" w:color="auto" w:fill="auto"/>
            <w:noWrap/>
            <w:vAlign w:val="center"/>
            <w:hideMark/>
          </w:tcPr>
          <w:p w14:paraId="4459F77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1.465</w:t>
            </w:r>
          </w:p>
        </w:tc>
        <w:tc>
          <w:tcPr>
            <w:tcW w:w="627" w:type="dxa"/>
            <w:tcBorders>
              <w:top w:val="nil"/>
              <w:left w:val="nil"/>
              <w:bottom w:val="nil"/>
              <w:right w:val="nil"/>
            </w:tcBorders>
            <w:shd w:val="clear" w:color="auto" w:fill="auto"/>
            <w:noWrap/>
            <w:vAlign w:val="center"/>
            <w:hideMark/>
          </w:tcPr>
          <w:p w14:paraId="4A77762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0.071</w:t>
            </w:r>
          </w:p>
        </w:tc>
        <w:tc>
          <w:tcPr>
            <w:tcW w:w="637" w:type="dxa"/>
            <w:tcBorders>
              <w:top w:val="nil"/>
              <w:left w:val="nil"/>
              <w:bottom w:val="nil"/>
              <w:right w:val="nil"/>
            </w:tcBorders>
            <w:shd w:val="clear" w:color="auto" w:fill="auto"/>
            <w:noWrap/>
            <w:vAlign w:val="center"/>
            <w:hideMark/>
          </w:tcPr>
          <w:p w14:paraId="63FBD16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0.514</w:t>
            </w:r>
          </w:p>
        </w:tc>
        <w:tc>
          <w:tcPr>
            <w:tcW w:w="627" w:type="dxa"/>
            <w:tcBorders>
              <w:top w:val="nil"/>
              <w:left w:val="nil"/>
              <w:bottom w:val="nil"/>
              <w:right w:val="nil"/>
            </w:tcBorders>
            <w:shd w:val="clear" w:color="auto" w:fill="auto"/>
            <w:noWrap/>
            <w:vAlign w:val="center"/>
            <w:hideMark/>
          </w:tcPr>
          <w:p w14:paraId="4E9CB76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0.125</w:t>
            </w:r>
          </w:p>
        </w:tc>
        <w:tc>
          <w:tcPr>
            <w:tcW w:w="714" w:type="dxa"/>
            <w:tcBorders>
              <w:top w:val="nil"/>
              <w:left w:val="nil"/>
              <w:bottom w:val="nil"/>
              <w:right w:val="nil"/>
            </w:tcBorders>
            <w:shd w:val="clear" w:color="auto" w:fill="auto"/>
            <w:noWrap/>
            <w:vAlign w:val="center"/>
            <w:hideMark/>
          </w:tcPr>
          <w:p w14:paraId="6D34CE9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3.284</w:t>
            </w:r>
          </w:p>
        </w:tc>
        <w:tc>
          <w:tcPr>
            <w:tcW w:w="627" w:type="dxa"/>
            <w:tcBorders>
              <w:top w:val="nil"/>
              <w:left w:val="nil"/>
              <w:bottom w:val="nil"/>
              <w:right w:val="nil"/>
            </w:tcBorders>
            <w:shd w:val="clear" w:color="auto" w:fill="auto"/>
            <w:noWrap/>
            <w:vAlign w:val="center"/>
            <w:hideMark/>
          </w:tcPr>
          <w:p w14:paraId="1DE697C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0.022</w:t>
            </w:r>
          </w:p>
        </w:tc>
        <w:tc>
          <w:tcPr>
            <w:tcW w:w="637" w:type="dxa"/>
            <w:tcBorders>
              <w:top w:val="nil"/>
              <w:left w:val="nil"/>
              <w:bottom w:val="nil"/>
              <w:right w:val="nil"/>
            </w:tcBorders>
            <w:shd w:val="clear" w:color="auto" w:fill="auto"/>
            <w:noWrap/>
            <w:vAlign w:val="center"/>
            <w:hideMark/>
          </w:tcPr>
          <w:p w14:paraId="325A739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2.061</w:t>
            </w:r>
          </w:p>
        </w:tc>
        <w:tc>
          <w:tcPr>
            <w:tcW w:w="627" w:type="dxa"/>
            <w:tcBorders>
              <w:top w:val="nil"/>
              <w:left w:val="nil"/>
              <w:bottom w:val="nil"/>
              <w:right w:val="nil"/>
            </w:tcBorders>
            <w:shd w:val="clear" w:color="auto" w:fill="auto"/>
            <w:noWrap/>
            <w:vAlign w:val="center"/>
            <w:hideMark/>
          </w:tcPr>
          <w:p w14:paraId="5311DCD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0.126</w:t>
            </w:r>
          </w:p>
        </w:tc>
        <w:tc>
          <w:tcPr>
            <w:tcW w:w="637" w:type="dxa"/>
            <w:tcBorders>
              <w:top w:val="nil"/>
              <w:left w:val="nil"/>
              <w:bottom w:val="nil"/>
              <w:right w:val="nil"/>
            </w:tcBorders>
            <w:shd w:val="clear" w:color="auto" w:fill="auto"/>
            <w:noWrap/>
            <w:vAlign w:val="center"/>
            <w:hideMark/>
          </w:tcPr>
          <w:p w14:paraId="6F532F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1.385</w:t>
            </w:r>
          </w:p>
        </w:tc>
        <w:tc>
          <w:tcPr>
            <w:tcW w:w="627" w:type="dxa"/>
            <w:tcBorders>
              <w:top w:val="nil"/>
              <w:left w:val="nil"/>
              <w:bottom w:val="nil"/>
              <w:right w:val="nil"/>
            </w:tcBorders>
            <w:shd w:val="clear" w:color="auto" w:fill="auto"/>
            <w:noWrap/>
            <w:vAlign w:val="center"/>
            <w:hideMark/>
          </w:tcPr>
          <w:p w14:paraId="65522F3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0.152</w:t>
            </w:r>
          </w:p>
        </w:tc>
        <w:tc>
          <w:tcPr>
            <w:tcW w:w="637" w:type="dxa"/>
            <w:tcBorders>
              <w:top w:val="nil"/>
              <w:left w:val="nil"/>
              <w:bottom w:val="nil"/>
              <w:right w:val="nil"/>
            </w:tcBorders>
            <w:shd w:val="clear" w:color="auto" w:fill="auto"/>
            <w:noWrap/>
            <w:vAlign w:val="center"/>
            <w:hideMark/>
          </w:tcPr>
          <w:p w14:paraId="1CE9680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3.962</w:t>
            </w:r>
          </w:p>
        </w:tc>
        <w:tc>
          <w:tcPr>
            <w:tcW w:w="627" w:type="dxa"/>
            <w:tcBorders>
              <w:top w:val="nil"/>
              <w:left w:val="nil"/>
              <w:bottom w:val="nil"/>
              <w:right w:val="nil"/>
            </w:tcBorders>
            <w:shd w:val="clear" w:color="auto" w:fill="auto"/>
            <w:noWrap/>
            <w:vAlign w:val="center"/>
            <w:hideMark/>
          </w:tcPr>
          <w:p w14:paraId="4147DC3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637" w:type="dxa"/>
            <w:tcBorders>
              <w:top w:val="nil"/>
              <w:left w:val="nil"/>
              <w:bottom w:val="nil"/>
              <w:right w:val="nil"/>
            </w:tcBorders>
            <w:shd w:val="clear" w:color="auto" w:fill="auto"/>
            <w:noWrap/>
            <w:vAlign w:val="center"/>
            <w:hideMark/>
          </w:tcPr>
          <w:p w14:paraId="7CD7C20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0.898</w:t>
            </w:r>
          </w:p>
        </w:tc>
        <w:tc>
          <w:tcPr>
            <w:tcW w:w="627" w:type="dxa"/>
            <w:tcBorders>
              <w:top w:val="nil"/>
              <w:left w:val="nil"/>
              <w:bottom w:val="nil"/>
              <w:right w:val="nil"/>
            </w:tcBorders>
            <w:shd w:val="clear" w:color="auto" w:fill="auto"/>
            <w:noWrap/>
            <w:vAlign w:val="center"/>
            <w:hideMark/>
          </w:tcPr>
          <w:p w14:paraId="7C3B928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0.338</w:t>
            </w:r>
          </w:p>
        </w:tc>
        <w:tc>
          <w:tcPr>
            <w:tcW w:w="637" w:type="dxa"/>
            <w:tcBorders>
              <w:top w:val="nil"/>
              <w:left w:val="nil"/>
              <w:bottom w:val="nil"/>
              <w:right w:val="nil"/>
            </w:tcBorders>
            <w:shd w:val="clear" w:color="auto" w:fill="auto"/>
            <w:noWrap/>
            <w:vAlign w:val="center"/>
            <w:hideMark/>
          </w:tcPr>
          <w:p w14:paraId="14706AC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0.640</w:t>
            </w:r>
          </w:p>
        </w:tc>
        <w:tc>
          <w:tcPr>
            <w:tcW w:w="627" w:type="dxa"/>
            <w:tcBorders>
              <w:top w:val="nil"/>
              <w:left w:val="nil"/>
              <w:bottom w:val="nil"/>
              <w:right w:val="nil"/>
            </w:tcBorders>
            <w:shd w:val="clear" w:color="auto" w:fill="auto"/>
            <w:noWrap/>
            <w:vAlign w:val="center"/>
            <w:hideMark/>
          </w:tcPr>
          <w:p w14:paraId="37BC4CC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0.255</w:t>
            </w:r>
          </w:p>
        </w:tc>
        <w:tc>
          <w:tcPr>
            <w:tcW w:w="637" w:type="dxa"/>
            <w:tcBorders>
              <w:top w:val="nil"/>
              <w:left w:val="nil"/>
              <w:bottom w:val="nil"/>
              <w:right w:val="nil"/>
            </w:tcBorders>
            <w:shd w:val="clear" w:color="auto" w:fill="auto"/>
            <w:noWrap/>
            <w:vAlign w:val="center"/>
            <w:hideMark/>
          </w:tcPr>
          <w:p w14:paraId="4DD9250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1.371</w:t>
            </w:r>
          </w:p>
        </w:tc>
        <w:tc>
          <w:tcPr>
            <w:tcW w:w="631" w:type="dxa"/>
            <w:tcBorders>
              <w:top w:val="nil"/>
              <w:left w:val="nil"/>
              <w:bottom w:val="nil"/>
              <w:right w:val="nil"/>
            </w:tcBorders>
            <w:shd w:val="clear" w:color="auto" w:fill="auto"/>
            <w:noWrap/>
            <w:vAlign w:val="center"/>
            <w:hideMark/>
          </w:tcPr>
          <w:p w14:paraId="1E6EA87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0.182</w:t>
            </w:r>
          </w:p>
        </w:tc>
      </w:tr>
      <w:tr w:rsidR="00F92754" w:rsidRPr="00FF6562" w14:paraId="4EBBE881" w14:textId="77777777" w:rsidTr="004418B0">
        <w:trPr>
          <w:trHeight w:val="212"/>
          <w:jc w:val="center"/>
        </w:trPr>
        <w:tc>
          <w:tcPr>
            <w:tcW w:w="718" w:type="dxa"/>
            <w:tcBorders>
              <w:top w:val="nil"/>
              <w:left w:val="nil"/>
              <w:bottom w:val="nil"/>
              <w:right w:val="nil"/>
            </w:tcBorders>
            <w:shd w:val="clear" w:color="auto" w:fill="auto"/>
            <w:noWrap/>
            <w:vAlign w:val="center"/>
            <w:hideMark/>
          </w:tcPr>
          <w:p w14:paraId="62B41084"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21</m:t>
                    </m:r>
                  </m:sub>
                </m:sSub>
              </m:oMath>
            </m:oMathPara>
          </w:p>
        </w:tc>
        <w:tc>
          <w:tcPr>
            <w:tcW w:w="637" w:type="dxa"/>
            <w:tcBorders>
              <w:top w:val="nil"/>
              <w:left w:val="nil"/>
              <w:bottom w:val="nil"/>
              <w:right w:val="nil"/>
            </w:tcBorders>
            <w:shd w:val="clear" w:color="auto" w:fill="auto"/>
            <w:noWrap/>
            <w:vAlign w:val="center"/>
            <w:hideMark/>
          </w:tcPr>
          <w:p w14:paraId="30EA7BE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0.009</w:t>
            </w:r>
          </w:p>
        </w:tc>
        <w:tc>
          <w:tcPr>
            <w:tcW w:w="627" w:type="dxa"/>
            <w:tcBorders>
              <w:top w:val="nil"/>
              <w:left w:val="nil"/>
              <w:bottom w:val="nil"/>
              <w:right w:val="nil"/>
            </w:tcBorders>
            <w:shd w:val="clear" w:color="auto" w:fill="auto"/>
            <w:noWrap/>
            <w:vAlign w:val="center"/>
            <w:hideMark/>
          </w:tcPr>
          <w:p w14:paraId="2EA058F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0.331</w:t>
            </w:r>
          </w:p>
        </w:tc>
        <w:tc>
          <w:tcPr>
            <w:tcW w:w="637" w:type="dxa"/>
            <w:tcBorders>
              <w:top w:val="nil"/>
              <w:left w:val="nil"/>
              <w:bottom w:val="nil"/>
              <w:right w:val="nil"/>
            </w:tcBorders>
            <w:shd w:val="clear" w:color="auto" w:fill="auto"/>
            <w:noWrap/>
            <w:vAlign w:val="center"/>
            <w:hideMark/>
          </w:tcPr>
          <w:p w14:paraId="58819B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-0.010</w:t>
            </w:r>
          </w:p>
        </w:tc>
        <w:tc>
          <w:tcPr>
            <w:tcW w:w="627" w:type="dxa"/>
            <w:tcBorders>
              <w:top w:val="nil"/>
              <w:left w:val="nil"/>
              <w:bottom w:val="nil"/>
              <w:right w:val="nil"/>
            </w:tcBorders>
            <w:shd w:val="clear" w:color="auto" w:fill="auto"/>
            <w:noWrap/>
            <w:vAlign w:val="center"/>
            <w:hideMark/>
          </w:tcPr>
          <w:p w14:paraId="7F3757E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0.180</w:t>
            </w:r>
          </w:p>
        </w:tc>
        <w:tc>
          <w:tcPr>
            <w:tcW w:w="637" w:type="dxa"/>
            <w:tcBorders>
              <w:top w:val="nil"/>
              <w:left w:val="nil"/>
              <w:bottom w:val="nil"/>
              <w:right w:val="nil"/>
            </w:tcBorders>
            <w:shd w:val="clear" w:color="auto" w:fill="auto"/>
            <w:noWrap/>
            <w:vAlign w:val="center"/>
            <w:hideMark/>
          </w:tcPr>
          <w:p w14:paraId="0935753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-0.003</w:t>
            </w:r>
          </w:p>
        </w:tc>
        <w:tc>
          <w:tcPr>
            <w:tcW w:w="627" w:type="dxa"/>
            <w:tcBorders>
              <w:top w:val="nil"/>
              <w:left w:val="nil"/>
              <w:bottom w:val="nil"/>
              <w:right w:val="nil"/>
            </w:tcBorders>
            <w:shd w:val="clear" w:color="auto" w:fill="auto"/>
            <w:noWrap/>
            <w:vAlign w:val="center"/>
            <w:hideMark/>
          </w:tcPr>
          <w:p w14:paraId="62DFAA7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0.564</w:t>
            </w:r>
          </w:p>
        </w:tc>
        <w:tc>
          <w:tcPr>
            <w:tcW w:w="637" w:type="dxa"/>
            <w:tcBorders>
              <w:top w:val="nil"/>
              <w:left w:val="nil"/>
              <w:bottom w:val="nil"/>
              <w:right w:val="nil"/>
            </w:tcBorders>
            <w:shd w:val="clear" w:color="auto" w:fill="auto"/>
            <w:noWrap/>
            <w:vAlign w:val="center"/>
            <w:hideMark/>
          </w:tcPr>
          <w:p w14:paraId="399B29A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-0.023</w:t>
            </w:r>
          </w:p>
        </w:tc>
        <w:tc>
          <w:tcPr>
            <w:tcW w:w="627" w:type="dxa"/>
            <w:tcBorders>
              <w:top w:val="nil"/>
              <w:left w:val="nil"/>
              <w:bottom w:val="nil"/>
              <w:right w:val="nil"/>
            </w:tcBorders>
            <w:shd w:val="clear" w:color="auto" w:fill="auto"/>
            <w:noWrap/>
            <w:vAlign w:val="center"/>
            <w:hideMark/>
          </w:tcPr>
          <w:p w14:paraId="109A2C7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0.207</w:t>
            </w:r>
          </w:p>
        </w:tc>
        <w:tc>
          <w:tcPr>
            <w:tcW w:w="714" w:type="dxa"/>
            <w:tcBorders>
              <w:top w:val="nil"/>
              <w:left w:val="nil"/>
              <w:bottom w:val="nil"/>
              <w:right w:val="nil"/>
            </w:tcBorders>
            <w:shd w:val="clear" w:color="auto" w:fill="auto"/>
            <w:noWrap/>
            <w:vAlign w:val="center"/>
            <w:hideMark/>
          </w:tcPr>
          <w:p w14:paraId="05A86C3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-0.014</w:t>
            </w:r>
          </w:p>
        </w:tc>
        <w:tc>
          <w:tcPr>
            <w:tcW w:w="627" w:type="dxa"/>
            <w:tcBorders>
              <w:top w:val="nil"/>
              <w:left w:val="nil"/>
              <w:bottom w:val="nil"/>
              <w:right w:val="nil"/>
            </w:tcBorders>
            <w:shd w:val="clear" w:color="auto" w:fill="auto"/>
            <w:noWrap/>
            <w:vAlign w:val="center"/>
            <w:hideMark/>
          </w:tcPr>
          <w:p w14:paraId="294BEFB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0.215</w:t>
            </w:r>
          </w:p>
        </w:tc>
        <w:tc>
          <w:tcPr>
            <w:tcW w:w="637" w:type="dxa"/>
            <w:tcBorders>
              <w:top w:val="nil"/>
              <w:left w:val="nil"/>
              <w:bottom w:val="nil"/>
              <w:right w:val="nil"/>
            </w:tcBorders>
            <w:shd w:val="clear" w:color="auto" w:fill="auto"/>
            <w:noWrap/>
            <w:vAlign w:val="center"/>
            <w:hideMark/>
          </w:tcPr>
          <w:p w14:paraId="61381DB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-0.005</w:t>
            </w:r>
          </w:p>
        </w:tc>
        <w:tc>
          <w:tcPr>
            <w:tcW w:w="627" w:type="dxa"/>
            <w:tcBorders>
              <w:top w:val="nil"/>
              <w:left w:val="nil"/>
              <w:bottom w:val="nil"/>
              <w:right w:val="nil"/>
            </w:tcBorders>
            <w:shd w:val="clear" w:color="auto" w:fill="auto"/>
            <w:noWrap/>
            <w:vAlign w:val="center"/>
            <w:hideMark/>
          </w:tcPr>
          <w:p w14:paraId="40D9C8D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0.303</w:t>
            </w:r>
          </w:p>
        </w:tc>
        <w:tc>
          <w:tcPr>
            <w:tcW w:w="637" w:type="dxa"/>
            <w:tcBorders>
              <w:top w:val="nil"/>
              <w:left w:val="nil"/>
              <w:bottom w:val="nil"/>
              <w:right w:val="nil"/>
            </w:tcBorders>
            <w:shd w:val="clear" w:color="auto" w:fill="auto"/>
            <w:noWrap/>
            <w:vAlign w:val="center"/>
            <w:hideMark/>
          </w:tcPr>
          <w:p w14:paraId="7DFA5FC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0.001</w:t>
            </w:r>
          </w:p>
        </w:tc>
        <w:tc>
          <w:tcPr>
            <w:tcW w:w="627" w:type="dxa"/>
            <w:tcBorders>
              <w:top w:val="nil"/>
              <w:left w:val="nil"/>
              <w:bottom w:val="nil"/>
              <w:right w:val="nil"/>
            </w:tcBorders>
            <w:shd w:val="clear" w:color="auto" w:fill="auto"/>
            <w:noWrap/>
            <w:vAlign w:val="center"/>
            <w:hideMark/>
          </w:tcPr>
          <w:p w14:paraId="093A462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0.928</w:t>
            </w:r>
          </w:p>
        </w:tc>
        <w:tc>
          <w:tcPr>
            <w:tcW w:w="637" w:type="dxa"/>
            <w:tcBorders>
              <w:top w:val="nil"/>
              <w:left w:val="nil"/>
              <w:bottom w:val="nil"/>
              <w:right w:val="nil"/>
            </w:tcBorders>
            <w:shd w:val="clear" w:color="auto" w:fill="auto"/>
            <w:noWrap/>
            <w:vAlign w:val="center"/>
            <w:hideMark/>
          </w:tcPr>
          <w:p w14:paraId="1BA29B7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-0.015</w:t>
            </w:r>
          </w:p>
        </w:tc>
        <w:tc>
          <w:tcPr>
            <w:tcW w:w="627" w:type="dxa"/>
            <w:tcBorders>
              <w:top w:val="nil"/>
              <w:left w:val="nil"/>
              <w:bottom w:val="nil"/>
              <w:right w:val="nil"/>
            </w:tcBorders>
            <w:shd w:val="clear" w:color="auto" w:fill="auto"/>
            <w:noWrap/>
            <w:vAlign w:val="center"/>
            <w:hideMark/>
          </w:tcPr>
          <w:p w14:paraId="4833E94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0.068</w:t>
            </w:r>
          </w:p>
        </w:tc>
        <w:tc>
          <w:tcPr>
            <w:tcW w:w="637" w:type="dxa"/>
            <w:tcBorders>
              <w:top w:val="nil"/>
              <w:left w:val="nil"/>
              <w:bottom w:val="nil"/>
              <w:right w:val="nil"/>
            </w:tcBorders>
            <w:shd w:val="clear" w:color="auto" w:fill="auto"/>
            <w:noWrap/>
            <w:vAlign w:val="center"/>
            <w:hideMark/>
          </w:tcPr>
          <w:p w14:paraId="0A88D44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627" w:type="dxa"/>
            <w:tcBorders>
              <w:top w:val="nil"/>
              <w:left w:val="nil"/>
              <w:bottom w:val="nil"/>
              <w:right w:val="nil"/>
            </w:tcBorders>
            <w:shd w:val="clear" w:color="auto" w:fill="auto"/>
            <w:noWrap/>
            <w:vAlign w:val="center"/>
            <w:hideMark/>
          </w:tcPr>
          <w:p w14:paraId="3E43B9C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0.678</w:t>
            </w:r>
          </w:p>
        </w:tc>
        <w:tc>
          <w:tcPr>
            <w:tcW w:w="637" w:type="dxa"/>
            <w:tcBorders>
              <w:top w:val="nil"/>
              <w:left w:val="nil"/>
              <w:bottom w:val="nil"/>
              <w:right w:val="nil"/>
            </w:tcBorders>
            <w:shd w:val="clear" w:color="auto" w:fill="auto"/>
            <w:noWrap/>
            <w:vAlign w:val="center"/>
            <w:hideMark/>
          </w:tcPr>
          <w:p w14:paraId="473BAE6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627" w:type="dxa"/>
            <w:tcBorders>
              <w:top w:val="nil"/>
              <w:left w:val="nil"/>
              <w:bottom w:val="nil"/>
              <w:right w:val="nil"/>
            </w:tcBorders>
            <w:shd w:val="clear" w:color="auto" w:fill="auto"/>
            <w:noWrap/>
            <w:vAlign w:val="center"/>
            <w:hideMark/>
          </w:tcPr>
          <w:p w14:paraId="579FC4A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0.846</w:t>
            </w:r>
          </w:p>
        </w:tc>
        <w:tc>
          <w:tcPr>
            <w:tcW w:w="637" w:type="dxa"/>
            <w:tcBorders>
              <w:top w:val="nil"/>
              <w:left w:val="nil"/>
              <w:bottom w:val="nil"/>
              <w:right w:val="nil"/>
            </w:tcBorders>
            <w:shd w:val="clear" w:color="auto" w:fill="auto"/>
            <w:noWrap/>
            <w:vAlign w:val="center"/>
            <w:hideMark/>
          </w:tcPr>
          <w:p w14:paraId="2748C6F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-0.002</w:t>
            </w:r>
          </w:p>
        </w:tc>
        <w:tc>
          <w:tcPr>
            <w:tcW w:w="631" w:type="dxa"/>
            <w:tcBorders>
              <w:top w:val="nil"/>
              <w:left w:val="nil"/>
              <w:bottom w:val="nil"/>
              <w:right w:val="nil"/>
            </w:tcBorders>
            <w:shd w:val="clear" w:color="auto" w:fill="auto"/>
            <w:noWrap/>
            <w:vAlign w:val="center"/>
            <w:hideMark/>
          </w:tcPr>
          <w:p w14:paraId="2E069CD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0.565</w:t>
            </w:r>
          </w:p>
        </w:tc>
      </w:tr>
      <w:tr w:rsidR="00F92754" w:rsidRPr="00FF6562" w14:paraId="73E90D6E" w14:textId="77777777" w:rsidTr="004418B0">
        <w:trPr>
          <w:trHeight w:val="254"/>
          <w:jc w:val="center"/>
        </w:trPr>
        <w:tc>
          <w:tcPr>
            <w:tcW w:w="718" w:type="dxa"/>
            <w:tcBorders>
              <w:top w:val="nil"/>
              <w:left w:val="nil"/>
              <w:bottom w:val="nil"/>
              <w:right w:val="nil"/>
            </w:tcBorders>
            <w:shd w:val="clear" w:color="auto" w:fill="auto"/>
            <w:noWrap/>
            <w:vAlign w:val="center"/>
            <w:hideMark/>
          </w:tcPr>
          <w:p w14:paraId="19D37522"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Para>
              <m:oMath>
                <m:sSub>
                  <m:sSubPr>
                    <m:ctrlPr>
                      <w:rPr>
                        <w:rFonts w:ascii="Cambria Math" w:hAnsi="Cambria Math" w:cs="Arial"/>
                        <w:i/>
                        <w:color w:val="000000" w:themeColor="text1"/>
                        <w:sz w:val="16"/>
                        <w:szCs w:val="16"/>
                        <w:lang w:eastAsia="en-GB"/>
                      </w:rPr>
                    </m:ctrlPr>
                  </m:sSubPr>
                  <m:e>
                    <m:r>
                      <w:rPr>
                        <w:rFonts w:ascii="Cambria Math" w:hAnsi="Cambria Math" w:cs="Arial"/>
                        <w:color w:val="000000" w:themeColor="text1"/>
                        <w:sz w:val="16"/>
                        <w:szCs w:val="16"/>
                        <w:lang w:eastAsia="en-GB"/>
                      </w:rPr>
                      <m:t>d</m:t>
                    </m:r>
                  </m:e>
                  <m:sub>
                    <m:r>
                      <w:rPr>
                        <w:rFonts w:ascii="Cambria Math" w:hAnsi="Cambria Math" w:cs="Arial"/>
                        <w:color w:val="000000" w:themeColor="text1"/>
                        <w:sz w:val="16"/>
                        <w:szCs w:val="16"/>
                        <w:lang w:eastAsia="en-GB"/>
                      </w:rPr>
                      <m:t>22</m:t>
                    </m:r>
                  </m:sub>
                </m:sSub>
              </m:oMath>
            </m:oMathPara>
          </w:p>
        </w:tc>
        <w:tc>
          <w:tcPr>
            <w:tcW w:w="637" w:type="dxa"/>
            <w:tcBorders>
              <w:top w:val="nil"/>
              <w:left w:val="nil"/>
              <w:bottom w:val="nil"/>
              <w:right w:val="nil"/>
            </w:tcBorders>
            <w:shd w:val="clear" w:color="auto" w:fill="auto"/>
            <w:noWrap/>
            <w:vAlign w:val="center"/>
            <w:hideMark/>
          </w:tcPr>
          <w:p w14:paraId="60414BC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-0.090</w:t>
            </w:r>
          </w:p>
        </w:tc>
        <w:tc>
          <w:tcPr>
            <w:tcW w:w="627" w:type="dxa"/>
            <w:tcBorders>
              <w:top w:val="nil"/>
              <w:left w:val="nil"/>
              <w:bottom w:val="nil"/>
              <w:right w:val="nil"/>
            </w:tcBorders>
            <w:shd w:val="clear" w:color="auto" w:fill="auto"/>
            <w:noWrap/>
            <w:vAlign w:val="center"/>
            <w:hideMark/>
          </w:tcPr>
          <w:p w14:paraId="4404F4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0.447</w:t>
            </w:r>
          </w:p>
        </w:tc>
        <w:tc>
          <w:tcPr>
            <w:tcW w:w="637" w:type="dxa"/>
            <w:tcBorders>
              <w:top w:val="nil"/>
              <w:left w:val="nil"/>
              <w:bottom w:val="nil"/>
              <w:right w:val="nil"/>
            </w:tcBorders>
            <w:shd w:val="clear" w:color="auto" w:fill="auto"/>
            <w:noWrap/>
            <w:vAlign w:val="center"/>
            <w:hideMark/>
          </w:tcPr>
          <w:p w14:paraId="0D2498D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-0.209</w:t>
            </w:r>
          </w:p>
        </w:tc>
        <w:tc>
          <w:tcPr>
            <w:tcW w:w="627" w:type="dxa"/>
            <w:tcBorders>
              <w:top w:val="nil"/>
              <w:left w:val="nil"/>
              <w:bottom w:val="nil"/>
              <w:right w:val="nil"/>
            </w:tcBorders>
            <w:shd w:val="clear" w:color="auto" w:fill="auto"/>
            <w:noWrap/>
            <w:vAlign w:val="center"/>
            <w:hideMark/>
          </w:tcPr>
          <w:p w14:paraId="5008F8E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0.349</w:t>
            </w:r>
          </w:p>
        </w:tc>
        <w:tc>
          <w:tcPr>
            <w:tcW w:w="637" w:type="dxa"/>
            <w:tcBorders>
              <w:top w:val="nil"/>
              <w:left w:val="nil"/>
              <w:bottom w:val="nil"/>
              <w:right w:val="nil"/>
            </w:tcBorders>
            <w:shd w:val="clear" w:color="auto" w:fill="auto"/>
            <w:noWrap/>
            <w:vAlign w:val="center"/>
            <w:hideMark/>
          </w:tcPr>
          <w:p w14:paraId="03418C9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-0.146</w:t>
            </w:r>
          </w:p>
        </w:tc>
        <w:tc>
          <w:tcPr>
            <w:tcW w:w="627" w:type="dxa"/>
            <w:tcBorders>
              <w:top w:val="nil"/>
              <w:left w:val="nil"/>
              <w:bottom w:val="nil"/>
              <w:right w:val="nil"/>
            </w:tcBorders>
            <w:shd w:val="clear" w:color="auto" w:fill="auto"/>
            <w:noWrap/>
            <w:vAlign w:val="center"/>
            <w:hideMark/>
          </w:tcPr>
          <w:p w14:paraId="04BC1C9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0.222</w:t>
            </w:r>
          </w:p>
        </w:tc>
        <w:tc>
          <w:tcPr>
            <w:tcW w:w="637" w:type="dxa"/>
            <w:tcBorders>
              <w:top w:val="nil"/>
              <w:left w:val="nil"/>
              <w:bottom w:val="nil"/>
              <w:right w:val="nil"/>
            </w:tcBorders>
            <w:shd w:val="clear" w:color="auto" w:fill="auto"/>
            <w:noWrap/>
            <w:vAlign w:val="center"/>
            <w:hideMark/>
          </w:tcPr>
          <w:p w14:paraId="3FA146C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0.038</w:t>
            </w:r>
          </w:p>
        </w:tc>
        <w:tc>
          <w:tcPr>
            <w:tcW w:w="627" w:type="dxa"/>
            <w:tcBorders>
              <w:top w:val="nil"/>
              <w:left w:val="nil"/>
              <w:bottom w:val="nil"/>
              <w:right w:val="nil"/>
            </w:tcBorders>
            <w:shd w:val="clear" w:color="auto" w:fill="auto"/>
            <w:noWrap/>
            <w:vAlign w:val="center"/>
            <w:hideMark/>
          </w:tcPr>
          <w:p w14:paraId="292588D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0.666</w:t>
            </w:r>
          </w:p>
        </w:tc>
        <w:tc>
          <w:tcPr>
            <w:tcW w:w="714" w:type="dxa"/>
            <w:tcBorders>
              <w:top w:val="nil"/>
              <w:left w:val="nil"/>
              <w:bottom w:val="nil"/>
              <w:right w:val="nil"/>
            </w:tcBorders>
            <w:shd w:val="clear" w:color="auto" w:fill="auto"/>
            <w:noWrap/>
            <w:vAlign w:val="center"/>
            <w:hideMark/>
          </w:tcPr>
          <w:p w14:paraId="200080D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0.184</w:t>
            </w:r>
          </w:p>
        </w:tc>
        <w:tc>
          <w:tcPr>
            <w:tcW w:w="627" w:type="dxa"/>
            <w:tcBorders>
              <w:top w:val="nil"/>
              <w:left w:val="nil"/>
              <w:bottom w:val="nil"/>
              <w:right w:val="nil"/>
            </w:tcBorders>
            <w:shd w:val="clear" w:color="auto" w:fill="auto"/>
            <w:noWrap/>
            <w:vAlign w:val="center"/>
            <w:hideMark/>
          </w:tcPr>
          <w:p w14:paraId="4E5CA4C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0.622</w:t>
            </w:r>
          </w:p>
        </w:tc>
        <w:tc>
          <w:tcPr>
            <w:tcW w:w="637" w:type="dxa"/>
            <w:tcBorders>
              <w:top w:val="nil"/>
              <w:left w:val="nil"/>
              <w:bottom w:val="nil"/>
              <w:right w:val="nil"/>
            </w:tcBorders>
            <w:shd w:val="clear" w:color="auto" w:fill="auto"/>
            <w:noWrap/>
            <w:vAlign w:val="center"/>
            <w:hideMark/>
          </w:tcPr>
          <w:p w14:paraId="532A683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-0.088</w:t>
            </w:r>
          </w:p>
        </w:tc>
        <w:tc>
          <w:tcPr>
            <w:tcW w:w="627" w:type="dxa"/>
            <w:tcBorders>
              <w:top w:val="nil"/>
              <w:left w:val="nil"/>
              <w:bottom w:val="nil"/>
              <w:right w:val="nil"/>
            </w:tcBorders>
            <w:shd w:val="clear" w:color="auto" w:fill="auto"/>
            <w:noWrap/>
            <w:vAlign w:val="center"/>
            <w:hideMark/>
          </w:tcPr>
          <w:p w14:paraId="1CED04D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0.550</w:t>
            </w:r>
          </w:p>
        </w:tc>
        <w:tc>
          <w:tcPr>
            <w:tcW w:w="637" w:type="dxa"/>
            <w:tcBorders>
              <w:top w:val="nil"/>
              <w:left w:val="nil"/>
              <w:bottom w:val="nil"/>
              <w:right w:val="nil"/>
            </w:tcBorders>
            <w:shd w:val="clear" w:color="auto" w:fill="auto"/>
            <w:noWrap/>
            <w:vAlign w:val="center"/>
            <w:hideMark/>
          </w:tcPr>
          <w:p w14:paraId="4BDF4D1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-0.132</w:t>
            </w:r>
          </w:p>
        </w:tc>
        <w:tc>
          <w:tcPr>
            <w:tcW w:w="627" w:type="dxa"/>
            <w:tcBorders>
              <w:top w:val="nil"/>
              <w:left w:val="nil"/>
              <w:bottom w:val="nil"/>
              <w:right w:val="nil"/>
            </w:tcBorders>
            <w:shd w:val="clear" w:color="auto" w:fill="auto"/>
            <w:noWrap/>
            <w:vAlign w:val="center"/>
            <w:hideMark/>
          </w:tcPr>
          <w:p w14:paraId="509CA8B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0.279</w:t>
            </w:r>
          </w:p>
        </w:tc>
        <w:tc>
          <w:tcPr>
            <w:tcW w:w="637" w:type="dxa"/>
            <w:tcBorders>
              <w:top w:val="nil"/>
              <w:left w:val="nil"/>
              <w:bottom w:val="nil"/>
              <w:right w:val="nil"/>
            </w:tcBorders>
            <w:shd w:val="clear" w:color="auto" w:fill="auto"/>
            <w:noWrap/>
            <w:vAlign w:val="center"/>
            <w:hideMark/>
          </w:tcPr>
          <w:p w14:paraId="25026ED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0.241</w:t>
            </w:r>
          </w:p>
        </w:tc>
        <w:tc>
          <w:tcPr>
            <w:tcW w:w="627" w:type="dxa"/>
            <w:tcBorders>
              <w:top w:val="nil"/>
              <w:left w:val="nil"/>
              <w:bottom w:val="nil"/>
              <w:right w:val="nil"/>
            </w:tcBorders>
            <w:shd w:val="clear" w:color="auto" w:fill="auto"/>
            <w:noWrap/>
            <w:vAlign w:val="center"/>
            <w:hideMark/>
          </w:tcPr>
          <w:p w14:paraId="69641F6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0.328</w:t>
            </w:r>
          </w:p>
        </w:tc>
        <w:tc>
          <w:tcPr>
            <w:tcW w:w="637" w:type="dxa"/>
            <w:tcBorders>
              <w:top w:val="nil"/>
              <w:left w:val="nil"/>
              <w:bottom w:val="nil"/>
              <w:right w:val="nil"/>
            </w:tcBorders>
            <w:shd w:val="clear" w:color="auto" w:fill="auto"/>
            <w:noWrap/>
            <w:vAlign w:val="center"/>
            <w:hideMark/>
          </w:tcPr>
          <w:p w14:paraId="41167E3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-0.054</w:t>
            </w:r>
          </w:p>
        </w:tc>
        <w:tc>
          <w:tcPr>
            <w:tcW w:w="627" w:type="dxa"/>
            <w:tcBorders>
              <w:top w:val="nil"/>
              <w:left w:val="nil"/>
              <w:bottom w:val="nil"/>
              <w:right w:val="nil"/>
            </w:tcBorders>
            <w:shd w:val="clear" w:color="auto" w:fill="auto"/>
            <w:noWrap/>
            <w:vAlign w:val="center"/>
            <w:hideMark/>
          </w:tcPr>
          <w:p w14:paraId="16F4500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0.347</w:t>
            </w:r>
          </w:p>
        </w:tc>
        <w:tc>
          <w:tcPr>
            <w:tcW w:w="637" w:type="dxa"/>
            <w:tcBorders>
              <w:top w:val="nil"/>
              <w:left w:val="nil"/>
              <w:bottom w:val="nil"/>
              <w:right w:val="nil"/>
            </w:tcBorders>
            <w:shd w:val="clear" w:color="auto" w:fill="auto"/>
            <w:noWrap/>
            <w:vAlign w:val="center"/>
            <w:hideMark/>
          </w:tcPr>
          <w:p w14:paraId="35B007A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-0.094</w:t>
            </w:r>
          </w:p>
        </w:tc>
        <w:tc>
          <w:tcPr>
            <w:tcW w:w="627" w:type="dxa"/>
            <w:tcBorders>
              <w:top w:val="nil"/>
              <w:left w:val="nil"/>
              <w:bottom w:val="nil"/>
              <w:right w:val="nil"/>
            </w:tcBorders>
            <w:shd w:val="clear" w:color="auto" w:fill="auto"/>
            <w:noWrap/>
            <w:vAlign w:val="center"/>
            <w:hideMark/>
          </w:tcPr>
          <w:p w14:paraId="3D22279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0.474</w:t>
            </w:r>
          </w:p>
        </w:tc>
        <w:tc>
          <w:tcPr>
            <w:tcW w:w="637" w:type="dxa"/>
            <w:tcBorders>
              <w:top w:val="nil"/>
              <w:left w:val="nil"/>
              <w:bottom w:val="nil"/>
              <w:right w:val="nil"/>
            </w:tcBorders>
            <w:shd w:val="clear" w:color="auto" w:fill="auto"/>
            <w:noWrap/>
            <w:vAlign w:val="center"/>
            <w:hideMark/>
          </w:tcPr>
          <w:p w14:paraId="6256E11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-0.122</w:t>
            </w:r>
          </w:p>
        </w:tc>
        <w:tc>
          <w:tcPr>
            <w:tcW w:w="631" w:type="dxa"/>
            <w:tcBorders>
              <w:top w:val="nil"/>
              <w:left w:val="nil"/>
              <w:bottom w:val="nil"/>
              <w:right w:val="nil"/>
            </w:tcBorders>
            <w:shd w:val="clear" w:color="auto" w:fill="auto"/>
            <w:noWrap/>
            <w:vAlign w:val="center"/>
            <w:hideMark/>
          </w:tcPr>
          <w:p w14:paraId="3A052F0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0.308</w:t>
            </w:r>
          </w:p>
        </w:tc>
      </w:tr>
      <w:tr w:rsidR="00F92754" w:rsidRPr="00FF6562" w14:paraId="17A02B33" w14:textId="77777777" w:rsidTr="00875EB5">
        <w:trPr>
          <w:trHeight w:val="254"/>
          <w:jc w:val="center"/>
        </w:trPr>
        <w:tc>
          <w:tcPr>
            <w:tcW w:w="14703" w:type="dxa"/>
            <w:gridSpan w:val="23"/>
            <w:tcBorders>
              <w:top w:val="nil"/>
              <w:left w:val="nil"/>
              <w:bottom w:val="nil"/>
              <w:right w:val="nil"/>
            </w:tcBorders>
            <w:shd w:val="clear" w:color="auto" w:fill="auto"/>
            <w:noWrap/>
            <w:vAlign w:val="bottom"/>
            <w:hideMark/>
          </w:tcPr>
          <w:p w14:paraId="4EB52D85" w14:textId="4578F7D2" w:rsidR="00F92754" w:rsidRPr="003D2985" w:rsidRDefault="00F92754" w:rsidP="00875EB5">
            <w:pPr>
              <w:spacing w:after="0" w:line="240" w:lineRule="auto"/>
              <w:rPr>
                <w:rFonts w:ascii="Times New Roman" w:eastAsia="Times New Roman" w:hAnsi="Times New Roman" w:cs="Times New Roman"/>
                <w:b/>
                <w:bCs/>
                <w:sz w:val="20"/>
                <w:szCs w:val="20"/>
                <w:u w:val="single"/>
                <w:lang w:eastAsia="en-GB"/>
              </w:rPr>
            </w:pPr>
            <w:r w:rsidRPr="003D2985">
              <w:rPr>
                <w:rFonts w:ascii="Times New Roman" w:eastAsia="Times New Roman" w:hAnsi="Times New Roman" w:cs="Times New Roman"/>
                <w:b/>
                <w:bCs/>
                <w:sz w:val="20"/>
                <w:szCs w:val="20"/>
                <w:u w:val="single"/>
                <w:lang w:eastAsia="en-GB"/>
              </w:rPr>
              <w:t xml:space="preserve">Panel </w:t>
            </w:r>
            <w:r w:rsidR="003D2985" w:rsidRPr="003D2985">
              <w:rPr>
                <w:rFonts w:ascii="Times New Roman" w:eastAsia="Times New Roman" w:hAnsi="Times New Roman" w:cs="Times New Roman"/>
                <w:b/>
                <w:bCs/>
                <w:sz w:val="20"/>
                <w:szCs w:val="20"/>
                <w:u w:val="single"/>
                <w:lang w:eastAsia="en-GB"/>
              </w:rPr>
              <w:t>C</w:t>
            </w:r>
            <w:r w:rsidRPr="003D2985">
              <w:rPr>
                <w:rFonts w:ascii="Times New Roman" w:eastAsia="Times New Roman" w:hAnsi="Times New Roman" w:cs="Times New Roman"/>
                <w:b/>
                <w:bCs/>
                <w:sz w:val="20"/>
                <w:szCs w:val="20"/>
                <w:u w:val="single"/>
                <w:lang w:eastAsia="en-GB"/>
              </w:rPr>
              <w:t>: Diagnostic Tests</w:t>
            </w:r>
          </w:p>
        </w:tc>
      </w:tr>
      <w:tr w:rsidR="004E0613" w:rsidRPr="00FF6562" w14:paraId="772F3A17" w14:textId="77777777" w:rsidTr="004418B0">
        <w:trPr>
          <w:trHeight w:val="170"/>
          <w:jc w:val="center"/>
        </w:trPr>
        <w:tc>
          <w:tcPr>
            <w:tcW w:w="718" w:type="dxa"/>
            <w:tcBorders>
              <w:top w:val="nil"/>
              <w:left w:val="nil"/>
              <w:bottom w:val="nil"/>
              <w:right w:val="nil"/>
            </w:tcBorders>
            <w:shd w:val="clear" w:color="auto" w:fill="auto"/>
            <w:noWrap/>
            <w:vAlign w:val="center"/>
          </w:tcPr>
          <w:p w14:paraId="2D26B367" w14:textId="7431B9B1"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roofErr w:type="spellStart"/>
            <w:r w:rsidRPr="00E03D40">
              <w:rPr>
                <w:rFonts w:ascii="Times New Roman" w:eastAsia="Times New Roman" w:hAnsi="Times New Roman" w:cs="Times New Roman"/>
                <w:color w:val="0070C0"/>
                <w:sz w:val="16"/>
                <w:szCs w:val="16"/>
                <w:lang w:eastAsia="en-GB"/>
              </w:rPr>
              <w:t>LogL</w:t>
            </w:r>
            <w:proofErr w:type="spellEnd"/>
          </w:p>
        </w:tc>
        <w:tc>
          <w:tcPr>
            <w:tcW w:w="637" w:type="dxa"/>
            <w:tcBorders>
              <w:top w:val="nil"/>
              <w:left w:val="nil"/>
              <w:bottom w:val="nil"/>
              <w:right w:val="nil"/>
            </w:tcBorders>
            <w:shd w:val="clear" w:color="auto" w:fill="auto"/>
            <w:noWrap/>
            <w:vAlign w:val="center"/>
          </w:tcPr>
          <w:p w14:paraId="40BD4372" w14:textId="08FF2196"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-1,704</w:t>
            </w:r>
          </w:p>
        </w:tc>
        <w:tc>
          <w:tcPr>
            <w:tcW w:w="627" w:type="dxa"/>
            <w:tcBorders>
              <w:top w:val="nil"/>
              <w:left w:val="nil"/>
              <w:bottom w:val="nil"/>
              <w:right w:val="nil"/>
            </w:tcBorders>
            <w:shd w:val="clear" w:color="auto" w:fill="auto"/>
            <w:noWrap/>
            <w:vAlign w:val="center"/>
          </w:tcPr>
          <w:p w14:paraId="37D13BC4"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c>
          <w:tcPr>
            <w:tcW w:w="637" w:type="dxa"/>
            <w:tcBorders>
              <w:top w:val="nil"/>
              <w:left w:val="nil"/>
              <w:bottom w:val="nil"/>
              <w:right w:val="nil"/>
            </w:tcBorders>
            <w:shd w:val="clear" w:color="auto" w:fill="auto"/>
            <w:noWrap/>
            <w:vAlign w:val="center"/>
          </w:tcPr>
          <w:p w14:paraId="70EE8F63" w14:textId="0A51AC96"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-1,650</w:t>
            </w:r>
          </w:p>
        </w:tc>
        <w:tc>
          <w:tcPr>
            <w:tcW w:w="627" w:type="dxa"/>
            <w:tcBorders>
              <w:top w:val="nil"/>
              <w:left w:val="nil"/>
              <w:bottom w:val="nil"/>
              <w:right w:val="nil"/>
            </w:tcBorders>
            <w:shd w:val="clear" w:color="auto" w:fill="auto"/>
            <w:noWrap/>
            <w:vAlign w:val="center"/>
          </w:tcPr>
          <w:p w14:paraId="0AFFCA38"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c>
          <w:tcPr>
            <w:tcW w:w="637" w:type="dxa"/>
            <w:tcBorders>
              <w:top w:val="nil"/>
              <w:left w:val="nil"/>
              <w:bottom w:val="nil"/>
              <w:right w:val="nil"/>
            </w:tcBorders>
            <w:shd w:val="clear" w:color="auto" w:fill="auto"/>
            <w:noWrap/>
            <w:vAlign w:val="center"/>
          </w:tcPr>
          <w:p w14:paraId="11FD868F" w14:textId="0443AB6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-1,556</w:t>
            </w:r>
          </w:p>
        </w:tc>
        <w:tc>
          <w:tcPr>
            <w:tcW w:w="627" w:type="dxa"/>
            <w:tcBorders>
              <w:top w:val="nil"/>
              <w:left w:val="nil"/>
              <w:bottom w:val="nil"/>
              <w:right w:val="nil"/>
            </w:tcBorders>
            <w:shd w:val="clear" w:color="auto" w:fill="auto"/>
            <w:noWrap/>
            <w:vAlign w:val="center"/>
          </w:tcPr>
          <w:p w14:paraId="461FE8FA"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c>
          <w:tcPr>
            <w:tcW w:w="637" w:type="dxa"/>
            <w:tcBorders>
              <w:top w:val="nil"/>
              <w:left w:val="nil"/>
              <w:bottom w:val="nil"/>
              <w:right w:val="nil"/>
            </w:tcBorders>
            <w:shd w:val="clear" w:color="auto" w:fill="auto"/>
            <w:noWrap/>
            <w:vAlign w:val="center"/>
          </w:tcPr>
          <w:p w14:paraId="51398E2B" w14:textId="45469C6E"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-1,877</w:t>
            </w:r>
          </w:p>
        </w:tc>
        <w:tc>
          <w:tcPr>
            <w:tcW w:w="627" w:type="dxa"/>
            <w:tcBorders>
              <w:top w:val="nil"/>
              <w:left w:val="nil"/>
              <w:bottom w:val="nil"/>
              <w:right w:val="nil"/>
            </w:tcBorders>
            <w:shd w:val="clear" w:color="auto" w:fill="auto"/>
            <w:noWrap/>
            <w:vAlign w:val="center"/>
          </w:tcPr>
          <w:p w14:paraId="280FEF2C"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c>
          <w:tcPr>
            <w:tcW w:w="714" w:type="dxa"/>
            <w:tcBorders>
              <w:top w:val="nil"/>
              <w:left w:val="nil"/>
              <w:bottom w:val="nil"/>
              <w:right w:val="nil"/>
            </w:tcBorders>
            <w:shd w:val="clear" w:color="auto" w:fill="auto"/>
            <w:noWrap/>
            <w:vAlign w:val="center"/>
          </w:tcPr>
          <w:p w14:paraId="065745E0" w14:textId="045DF1E6"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-1,752</w:t>
            </w:r>
          </w:p>
        </w:tc>
        <w:tc>
          <w:tcPr>
            <w:tcW w:w="627" w:type="dxa"/>
            <w:tcBorders>
              <w:top w:val="nil"/>
              <w:left w:val="nil"/>
              <w:bottom w:val="nil"/>
              <w:right w:val="nil"/>
            </w:tcBorders>
            <w:shd w:val="clear" w:color="auto" w:fill="auto"/>
            <w:noWrap/>
            <w:vAlign w:val="center"/>
          </w:tcPr>
          <w:p w14:paraId="5D206283"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c>
          <w:tcPr>
            <w:tcW w:w="637" w:type="dxa"/>
            <w:tcBorders>
              <w:top w:val="nil"/>
              <w:left w:val="nil"/>
              <w:bottom w:val="nil"/>
              <w:right w:val="nil"/>
            </w:tcBorders>
            <w:shd w:val="clear" w:color="auto" w:fill="auto"/>
            <w:noWrap/>
            <w:vAlign w:val="center"/>
          </w:tcPr>
          <w:p w14:paraId="3E702803" w14:textId="66AD2ECA"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-1,597</w:t>
            </w:r>
          </w:p>
        </w:tc>
        <w:tc>
          <w:tcPr>
            <w:tcW w:w="627" w:type="dxa"/>
            <w:tcBorders>
              <w:top w:val="nil"/>
              <w:left w:val="nil"/>
              <w:bottom w:val="nil"/>
              <w:right w:val="nil"/>
            </w:tcBorders>
            <w:shd w:val="clear" w:color="auto" w:fill="auto"/>
            <w:noWrap/>
            <w:vAlign w:val="center"/>
          </w:tcPr>
          <w:p w14:paraId="6FBBCE8F"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c>
          <w:tcPr>
            <w:tcW w:w="637" w:type="dxa"/>
            <w:tcBorders>
              <w:top w:val="nil"/>
              <w:left w:val="nil"/>
              <w:bottom w:val="nil"/>
              <w:right w:val="nil"/>
            </w:tcBorders>
            <w:shd w:val="clear" w:color="auto" w:fill="auto"/>
            <w:noWrap/>
            <w:vAlign w:val="center"/>
          </w:tcPr>
          <w:p w14:paraId="12F02B21" w14:textId="660FA265" w:rsidR="004E0613" w:rsidRPr="00E03D40" w:rsidRDefault="0027439A"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-1,645</w:t>
            </w:r>
          </w:p>
        </w:tc>
        <w:tc>
          <w:tcPr>
            <w:tcW w:w="627" w:type="dxa"/>
            <w:tcBorders>
              <w:top w:val="nil"/>
              <w:left w:val="nil"/>
              <w:bottom w:val="nil"/>
              <w:right w:val="nil"/>
            </w:tcBorders>
            <w:shd w:val="clear" w:color="auto" w:fill="auto"/>
            <w:noWrap/>
            <w:vAlign w:val="center"/>
          </w:tcPr>
          <w:p w14:paraId="22B3491D"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c>
          <w:tcPr>
            <w:tcW w:w="637" w:type="dxa"/>
            <w:tcBorders>
              <w:top w:val="nil"/>
              <w:left w:val="nil"/>
              <w:bottom w:val="nil"/>
              <w:right w:val="nil"/>
            </w:tcBorders>
            <w:shd w:val="clear" w:color="auto" w:fill="auto"/>
            <w:noWrap/>
            <w:vAlign w:val="center"/>
          </w:tcPr>
          <w:p w14:paraId="530892E2" w14:textId="0AC9673F" w:rsidR="004E0613" w:rsidRPr="00E03D40" w:rsidRDefault="0027439A"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-1,706</w:t>
            </w:r>
          </w:p>
        </w:tc>
        <w:tc>
          <w:tcPr>
            <w:tcW w:w="627" w:type="dxa"/>
            <w:tcBorders>
              <w:top w:val="nil"/>
              <w:left w:val="nil"/>
              <w:bottom w:val="nil"/>
              <w:right w:val="nil"/>
            </w:tcBorders>
            <w:shd w:val="clear" w:color="auto" w:fill="auto"/>
            <w:noWrap/>
            <w:vAlign w:val="center"/>
          </w:tcPr>
          <w:p w14:paraId="0AF7CE88"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c>
          <w:tcPr>
            <w:tcW w:w="637" w:type="dxa"/>
            <w:tcBorders>
              <w:top w:val="nil"/>
              <w:left w:val="nil"/>
              <w:bottom w:val="nil"/>
              <w:right w:val="nil"/>
            </w:tcBorders>
            <w:shd w:val="clear" w:color="auto" w:fill="auto"/>
            <w:noWrap/>
            <w:vAlign w:val="center"/>
          </w:tcPr>
          <w:p w14:paraId="5FBAF67F" w14:textId="11800203" w:rsidR="004E0613" w:rsidRPr="00E03D40" w:rsidRDefault="0027439A"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-1,643</w:t>
            </w:r>
          </w:p>
        </w:tc>
        <w:tc>
          <w:tcPr>
            <w:tcW w:w="627" w:type="dxa"/>
            <w:tcBorders>
              <w:top w:val="nil"/>
              <w:left w:val="nil"/>
              <w:bottom w:val="nil"/>
              <w:right w:val="nil"/>
            </w:tcBorders>
            <w:shd w:val="clear" w:color="auto" w:fill="auto"/>
            <w:noWrap/>
            <w:vAlign w:val="center"/>
          </w:tcPr>
          <w:p w14:paraId="228F3DBB"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c>
          <w:tcPr>
            <w:tcW w:w="637" w:type="dxa"/>
            <w:tcBorders>
              <w:top w:val="nil"/>
              <w:left w:val="nil"/>
              <w:bottom w:val="nil"/>
              <w:right w:val="nil"/>
            </w:tcBorders>
            <w:shd w:val="clear" w:color="auto" w:fill="auto"/>
            <w:noWrap/>
            <w:vAlign w:val="center"/>
          </w:tcPr>
          <w:p w14:paraId="6C3FEF5F" w14:textId="5558D07F" w:rsidR="004E0613" w:rsidRPr="00E03D40" w:rsidRDefault="0027439A"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-1,676</w:t>
            </w:r>
          </w:p>
        </w:tc>
        <w:tc>
          <w:tcPr>
            <w:tcW w:w="627" w:type="dxa"/>
            <w:tcBorders>
              <w:top w:val="nil"/>
              <w:left w:val="nil"/>
              <w:bottom w:val="nil"/>
              <w:right w:val="nil"/>
            </w:tcBorders>
            <w:shd w:val="clear" w:color="auto" w:fill="auto"/>
            <w:noWrap/>
            <w:vAlign w:val="center"/>
          </w:tcPr>
          <w:p w14:paraId="6BCEF171"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c>
          <w:tcPr>
            <w:tcW w:w="637" w:type="dxa"/>
            <w:tcBorders>
              <w:top w:val="nil"/>
              <w:left w:val="nil"/>
              <w:bottom w:val="nil"/>
              <w:right w:val="nil"/>
            </w:tcBorders>
            <w:shd w:val="clear" w:color="auto" w:fill="auto"/>
            <w:noWrap/>
            <w:vAlign w:val="center"/>
          </w:tcPr>
          <w:p w14:paraId="7D116579" w14:textId="626ADB1C" w:rsidR="004E0613" w:rsidRPr="00E03D40" w:rsidRDefault="0027439A" w:rsidP="00875EB5">
            <w:pPr>
              <w:spacing w:after="0" w:line="240" w:lineRule="auto"/>
              <w:rPr>
                <w:rFonts w:ascii="Times New Roman" w:eastAsia="Times New Roman" w:hAnsi="Times New Roman" w:cs="Times New Roman"/>
                <w:color w:val="0070C0"/>
                <w:sz w:val="16"/>
                <w:szCs w:val="16"/>
                <w:lang w:eastAsia="en-GB"/>
              </w:rPr>
            </w:pPr>
            <w:r w:rsidRPr="00E03D40">
              <w:rPr>
                <w:rFonts w:ascii="Times New Roman" w:eastAsia="Times New Roman" w:hAnsi="Times New Roman" w:cs="Times New Roman"/>
                <w:color w:val="0070C0"/>
                <w:sz w:val="16"/>
                <w:szCs w:val="16"/>
                <w:lang w:eastAsia="en-GB"/>
              </w:rPr>
              <w:t>-1,621</w:t>
            </w:r>
          </w:p>
        </w:tc>
        <w:tc>
          <w:tcPr>
            <w:tcW w:w="631" w:type="dxa"/>
            <w:tcBorders>
              <w:top w:val="nil"/>
              <w:left w:val="nil"/>
              <w:bottom w:val="nil"/>
              <w:right w:val="nil"/>
            </w:tcBorders>
            <w:shd w:val="clear" w:color="auto" w:fill="auto"/>
            <w:noWrap/>
            <w:vAlign w:val="center"/>
          </w:tcPr>
          <w:p w14:paraId="1F6EC2AD" w14:textId="77777777" w:rsidR="004E0613" w:rsidRPr="00E03D40" w:rsidRDefault="004E0613" w:rsidP="00875EB5">
            <w:pPr>
              <w:spacing w:after="0" w:line="240" w:lineRule="auto"/>
              <w:rPr>
                <w:rFonts w:ascii="Times New Roman" w:eastAsia="Times New Roman" w:hAnsi="Times New Roman" w:cs="Times New Roman"/>
                <w:color w:val="0070C0"/>
                <w:sz w:val="16"/>
                <w:szCs w:val="16"/>
                <w:lang w:eastAsia="en-GB"/>
              </w:rPr>
            </w:pPr>
          </w:p>
        </w:tc>
      </w:tr>
      <w:tr w:rsidR="00F92754" w:rsidRPr="00FF6562" w14:paraId="71AC6C02" w14:textId="77777777" w:rsidTr="004418B0">
        <w:trPr>
          <w:trHeight w:val="170"/>
          <w:jc w:val="center"/>
        </w:trPr>
        <w:tc>
          <w:tcPr>
            <w:tcW w:w="718" w:type="dxa"/>
            <w:tcBorders>
              <w:top w:val="nil"/>
              <w:left w:val="nil"/>
              <w:bottom w:val="nil"/>
              <w:right w:val="nil"/>
            </w:tcBorders>
            <w:shd w:val="clear" w:color="auto" w:fill="auto"/>
            <w:noWrap/>
            <w:vAlign w:val="center"/>
            <w:hideMark/>
          </w:tcPr>
          <w:p w14:paraId="76A5FBDF" w14:textId="77777777" w:rsidR="00F92754" w:rsidRPr="00FF6562" w:rsidRDefault="00F92754" w:rsidP="00875EB5">
            <w:pPr>
              <w:spacing w:after="0" w:line="240" w:lineRule="auto"/>
              <w:rPr>
                <w:rFonts w:ascii="Times New Roman" w:eastAsia="Times New Roman" w:hAnsi="Times New Roman" w:cs="Times New Roman"/>
                <w:sz w:val="20"/>
                <w:szCs w:val="20"/>
                <w:lang w:eastAsia="en-GB"/>
              </w:rPr>
            </w:pPr>
            <w:r w:rsidRPr="00AC2C84">
              <w:rPr>
                <w:rFonts w:ascii="Times New Roman" w:eastAsia="Times New Roman" w:hAnsi="Times New Roman" w:cs="Times New Roman"/>
                <w:color w:val="000000" w:themeColor="text1"/>
                <w:sz w:val="16"/>
                <w:szCs w:val="16"/>
                <w:lang w:eastAsia="en-GB"/>
              </w:rPr>
              <w:t>AIC</w:t>
            </w:r>
          </w:p>
        </w:tc>
        <w:tc>
          <w:tcPr>
            <w:tcW w:w="637" w:type="dxa"/>
            <w:tcBorders>
              <w:top w:val="nil"/>
              <w:left w:val="nil"/>
              <w:bottom w:val="nil"/>
              <w:right w:val="nil"/>
            </w:tcBorders>
            <w:shd w:val="clear" w:color="auto" w:fill="auto"/>
            <w:noWrap/>
            <w:vAlign w:val="center"/>
            <w:hideMark/>
          </w:tcPr>
          <w:p w14:paraId="58BC8AA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12.72</w:t>
            </w:r>
          </w:p>
        </w:tc>
        <w:tc>
          <w:tcPr>
            <w:tcW w:w="627" w:type="dxa"/>
            <w:tcBorders>
              <w:top w:val="nil"/>
              <w:left w:val="nil"/>
              <w:bottom w:val="nil"/>
              <w:right w:val="nil"/>
            </w:tcBorders>
            <w:shd w:val="clear" w:color="auto" w:fill="auto"/>
            <w:noWrap/>
            <w:vAlign w:val="center"/>
            <w:hideMark/>
          </w:tcPr>
          <w:p w14:paraId="541F1CA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489A13A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12.68</w:t>
            </w:r>
          </w:p>
        </w:tc>
        <w:tc>
          <w:tcPr>
            <w:tcW w:w="627" w:type="dxa"/>
            <w:tcBorders>
              <w:top w:val="nil"/>
              <w:left w:val="nil"/>
              <w:bottom w:val="nil"/>
              <w:right w:val="nil"/>
            </w:tcBorders>
            <w:shd w:val="clear" w:color="auto" w:fill="auto"/>
            <w:noWrap/>
            <w:vAlign w:val="center"/>
            <w:hideMark/>
          </w:tcPr>
          <w:p w14:paraId="59F1766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1F57AA0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12.02</w:t>
            </w:r>
          </w:p>
        </w:tc>
        <w:tc>
          <w:tcPr>
            <w:tcW w:w="627" w:type="dxa"/>
            <w:tcBorders>
              <w:top w:val="nil"/>
              <w:left w:val="nil"/>
              <w:bottom w:val="nil"/>
              <w:right w:val="nil"/>
            </w:tcBorders>
            <w:shd w:val="clear" w:color="auto" w:fill="auto"/>
            <w:noWrap/>
            <w:vAlign w:val="center"/>
            <w:hideMark/>
          </w:tcPr>
          <w:p w14:paraId="012398C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4DA7EA6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13.93</w:t>
            </w:r>
          </w:p>
        </w:tc>
        <w:tc>
          <w:tcPr>
            <w:tcW w:w="627" w:type="dxa"/>
            <w:tcBorders>
              <w:top w:val="nil"/>
              <w:left w:val="nil"/>
              <w:bottom w:val="nil"/>
              <w:right w:val="nil"/>
            </w:tcBorders>
            <w:shd w:val="clear" w:color="auto" w:fill="auto"/>
            <w:noWrap/>
            <w:vAlign w:val="center"/>
            <w:hideMark/>
          </w:tcPr>
          <w:p w14:paraId="3DD80D1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714" w:type="dxa"/>
            <w:tcBorders>
              <w:top w:val="nil"/>
              <w:left w:val="nil"/>
              <w:bottom w:val="nil"/>
              <w:right w:val="nil"/>
            </w:tcBorders>
            <w:shd w:val="clear" w:color="auto" w:fill="auto"/>
            <w:noWrap/>
            <w:vAlign w:val="center"/>
            <w:hideMark/>
          </w:tcPr>
          <w:p w14:paraId="247A2B7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13.31</w:t>
            </w:r>
          </w:p>
        </w:tc>
        <w:tc>
          <w:tcPr>
            <w:tcW w:w="627" w:type="dxa"/>
            <w:tcBorders>
              <w:top w:val="nil"/>
              <w:left w:val="nil"/>
              <w:bottom w:val="nil"/>
              <w:right w:val="nil"/>
            </w:tcBorders>
            <w:shd w:val="clear" w:color="auto" w:fill="auto"/>
            <w:noWrap/>
            <w:vAlign w:val="center"/>
            <w:hideMark/>
          </w:tcPr>
          <w:p w14:paraId="7DE1D8A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5C4184D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12.11</w:t>
            </w:r>
          </w:p>
        </w:tc>
        <w:tc>
          <w:tcPr>
            <w:tcW w:w="627" w:type="dxa"/>
            <w:tcBorders>
              <w:top w:val="nil"/>
              <w:left w:val="nil"/>
              <w:bottom w:val="nil"/>
              <w:right w:val="nil"/>
            </w:tcBorders>
            <w:shd w:val="clear" w:color="auto" w:fill="auto"/>
            <w:noWrap/>
            <w:vAlign w:val="center"/>
            <w:hideMark/>
          </w:tcPr>
          <w:p w14:paraId="5892F86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1950C41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12.67</w:t>
            </w:r>
          </w:p>
        </w:tc>
        <w:tc>
          <w:tcPr>
            <w:tcW w:w="627" w:type="dxa"/>
            <w:tcBorders>
              <w:top w:val="nil"/>
              <w:left w:val="nil"/>
              <w:bottom w:val="nil"/>
              <w:right w:val="nil"/>
            </w:tcBorders>
            <w:shd w:val="clear" w:color="auto" w:fill="auto"/>
            <w:noWrap/>
            <w:vAlign w:val="center"/>
            <w:hideMark/>
          </w:tcPr>
          <w:p w14:paraId="4A7F681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14C8397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12.85</w:t>
            </w:r>
          </w:p>
        </w:tc>
        <w:tc>
          <w:tcPr>
            <w:tcW w:w="627" w:type="dxa"/>
            <w:tcBorders>
              <w:top w:val="nil"/>
              <w:left w:val="nil"/>
              <w:bottom w:val="nil"/>
              <w:right w:val="nil"/>
            </w:tcBorders>
            <w:shd w:val="clear" w:color="auto" w:fill="auto"/>
            <w:noWrap/>
            <w:vAlign w:val="center"/>
            <w:hideMark/>
          </w:tcPr>
          <w:p w14:paraId="6051ED5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420AEB4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12.45</w:t>
            </w:r>
          </w:p>
        </w:tc>
        <w:tc>
          <w:tcPr>
            <w:tcW w:w="627" w:type="dxa"/>
            <w:tcBorders>
              <w:top w:val="nil"/>
              <w:left w:val="nil"/>
              <w:bottom w:val="nil"/>
              <w:right w:val="nil"/>
            </w:tcBorders>
            <w:shd w:val="clear" w:color="auto" w:fill="auto"/>
            <w:noWrap/>
            <w:vAlign w:val="center"/>
            <w:hideMark/>
          </w:tcPr>
          <w:p w14:paraId="37F130B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3AE6336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12.88</w:t>
            </w:r>
          </w:p>
        </w:tc>
        <w:tc>
          <w:tcPr>
            <w:tcW w:w="627" w:type="dxa"/>
            <w:tcBorders>
              <w:top w:val="nil"/>
              <w:left w:val="nil"/>
              <w:bottom w:val="nil"/>
              <w:right w:val="nil"/>
            </w:tcBorders>
            <w:shd w:val="clear" w:color="auto" w:fill="auto"/>
            <w:noWrap/>
            <w:vAlign w:val="center"/>
            <w:hideMark/>
          </w:tcPr>
          <w:p w14:paraId="2C4F7B6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003D9E4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12.10</w:t>
            </w:r>
          </w:p>
        </w:tc>
        <w:tc>
          <w:tcPr>
            <w:tcW w:w="631" w:type="dxa"/>
            <w:tcBorders>
              <w:top w:val="nil"/>
              <w:left w:val="nil"/>
              <w:bottom w:val="nil"/>
              <w:right w:val="nil"/>
            </w:tcBorders>
            <w:shd w:val="clear" w:color="auto" w:fill="auto"/>
            <w:noWrap/>
            <w:vAlign w:val="center"/>
            <w:hideMark/>
          </w:tcPr>
          <w:p w14:paraId="56ED88F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r>
      <w:tr w:rsidR="00F92754" w:rsidRPr="00FF6562" w14:paraId="670E615D" w14:textId="77777777" w:rsidTr="004418B0">
        <w:trPr>
          <w:trHeight w:val="240"/>
          <w:jc w:val="center"/>
        </w:trPr>
        <w:tc>
          <w:tcPr>
            <w:tcW w:w="718" w:type="dxa"/>
            <w:tcBorders>
              <w:top w:val="nil"/>
              <w:left w:val="nil"/>
              <w:bottom w:val="nil"/>
              <w:right w:val="nil"/>
            </w:tcBorders>
            <w:shd w:val="clear" w:color="auto" w:fill="auto"/>
            <w:noWrap/>
            <w:vAlign w:val="center"/>
            <w:hideMark/>
          </w:tcPr>
          <w:p w14:paraId="7EB86FC0" w14:textId="77777777" w:rsidR="00F92754" w:rsidRPr="00FF6562" w:rsidRDefault="00F92754" w:rsidP="00875EB5">
            <w:pPr>
              <w:spacing w:after="0" w:line="240" w:lineRule="auto"/>
              <w:rPr>
                <w:rFonts w:ascii="Times New Roman" w:eastAsia="Times New Roman" w:hAnsi="Times New Roman" w:cs="Times New Roman"/>
                <w:sz w:val="20"/>
                <w:szCs w:val="20"/>
                <w:lang w:eastAsia="en-GB"/>
              </w:rPr>
            </w:pPr>
            <w:r w:rsidRPr="00AC2C84">
              <w:rPr>
                <w:rFonts w:ascii="Times New Roman" w:eastAsia="Times New Roman" w:hAnsi="Times New Roman" w:cs="Times New Roman"/>
                <w:color w:val="000000" w:themeColor="text1"/>
                <w:sz w:val="16"/>
                <w:szCs w:val="16"/>
                <w:lang w:eastAsia="en-GB"/>
              </w:rPr>
              <w:t>SIC</w:t>
            </w:r>
          </w:p>
        </w:tc>
        <w:tc>
          <w:tcPr>
            <w:tcW w:w="637" w:type="dxa"/>
            <w:tcBorders>
              <w:top w:val="nil"/>
              <w:left w:val="nil"/>
              <w:bottom w:val="nil"/>
              <w:right w:val="nil"/>
            </w:tcBorders>
            <w:shd w:val="clear" w:color="auto" w:fill="auto"/>
            <w:noWrap/>
            <w:vAlign w:val="center"/>
            <w:hideMark/>
          </w:tcPr>
          <w:p w14:paraId="04A40FA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13.72</w:t>
            </w:r>
          </w:p>
        </w:tc>
        <w:tc>
          <w:tcPr>
            <w:tcW w:w="627" w:type="dxa"/>
            <w:tcBorders>
              <w:top w:val="nil"/>
              <w:left w:val="nil"/>
              <w:bottom w:val="nil"/>
              <w:right w:val="nil"/>
            </w:tcBorders>
            <w:shd w:val="clear" w:color="auto" w:fill="auto"/>
            <w:noWrap/>
            <w:vAlign w:val="center"/>
            <w:hideMark/>
          </w:tcPr>
          <w:p w14:paraId="24F9AA6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190BDDE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13.68</w:t>
            </w:r>
          </w:p>
        </w:tc>
        <w:tc>
          <w:tcPr>
            <w:tcW w:w="627" w:type="dxa"/>
            <w:tcBorders>
              <w:top w:val="nil"/>
              <w:left w:val="nil"/>
              <w:bottom w:val="nil"/>
              <w:right w:val="nil"/>
            </w:tcBorders>
            <w:shd w:val="clear" w:color="auto" w:fill="auto"/>
            <w:noWrap/>
            <w:vAlign w:val="center"/>
            <w:hideMark/>
          </w:tcPr>
          <w:p w14:paraId="774BE91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363AD85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13.01</w:t>
            </w:r>
          </w:p>
        </w:tc>
        <w:tc>
          <w:tcPr>
            <w:tcW w:w="627" w:type="dxa"/>
            <w:tcBorders>
              <w:top w:val="nil"/>
              <w:left w:val="nil"/>
              <w:bottom w:val="nil"/>
              <w:right w:val="nil"/>
            </w:tcBorders>
            <w:shd w:val="clear" w:color="auto" w:fill="auto"/>
            <w:noWrap/>
            <w:vAlign w:val="center"/>
            <w:hideMark/>
          </w:tcPr>
          <w:p w14:paraId="0A8AADD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053CE7D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14.93</w:t>
            </w:r>
          </w:p>
        </w:tc>
        <w:tc>
          <w:tcPr>
            <w:tcW w:w="627" w:type="dxa"/>
            <w:tcBorders>
              <w:top w:val="nil"/>
              <w:left w:val="nil"/>
              <w:bottom w:val="nil"/>
              <w:right w:val="nil"/>
            </w:tcBorders>
            <w:shd w:val="clear" w:color="auto" w:fill="auto"/>
            <w:noWrap/>
            <w:vAlign w:val="center"/>
            <w:hideMark/>
          </w:tcPr>
          <w:p w14:paraId="0C96831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714" w:type="dxa"/>
            <w:tcBorders>
              <w:top w:val="nil"/>
              <w:left w:val="nil"/>
              <w:bottom w:val="nil"/>
              <w:right w:val="nil"/>
            </w:tcBorders>
            <w:shd w:val="clear" w:color="auto" w:fill="auto"/>
            <w:noWrap/>
            <w:vAlign w:val="center"/>
            <w:hideMark/>
          </w:tcPr>
          <w:p w14:paraId="0530B3E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14.30</w:t>
            </w:r>
          </w:p>
        </w:tc>
        <w:tc>
          <w:tcPr>
            <w:tcW w:w="627" w:type="dxa"/>
            <w:tcBorders>
              <w:top w:val="nil"/>
              <w:left w:val="nil"/>
              <w:bottom w:val="nil"/>
              <w:right w:val="nil"/>
            </w:tcBorders>
            <w:shd w:val="clear" w:color="auto" w:fill="auto"/>
            <w:noWrap/>
            <w:vAlign w:val="center"/>
            <w:hideMark/>
          </w:tcPr>
          <w:p w14:paraId="38713EA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6B7DD2A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13.11</w:t>
            </w:r>
          </w:p>
        </w:tc>
        <w:tc>
          <w:tcPr>
            <w:tcW w:w="627" w:type="dxa"/>
            <w:tcBorders>
              <w:top w:val="nil"/>
              <w:left w:val="nil"/>
              <w:bottom w:val="nil"/>
              <w:right w:val="nil"/>
            </w:tcBorders>
            <w:shd w:val="clear" w:color="auto" w:fill="auto"/>
            <w:noWrap/>
            <w:vAlign w:val="center"/>
            <w:hideMark/>
          </w:tcPr>
          <w:p w14:paraId="5506404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6BDCE33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13.67</w:t>
            </w:r>
          </w:p>
        </w:tc>
        <w:tc>
          <w:tcPr>
            <w:tcW w:w="627" w:type="dxa"/>
            <w:tcBorders>
              <w:top w:val="nil"/>
              <w:left w:val="nil"/>
              <w:bottom w:val="nil"/>
              <w:right w:val="nil"/>
            </w:tcBorders>
            <w:shd w:val="clear" w:color="auto" w:fill="auto"/>
            <w:noWrap/>
            <w:vAlign w:val="center"/>
            <w:hideMark/>
          </w:tcPr>
          <w:p w14:paraId="1406C09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6217B02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13.84</w:t>
            </w:r>
          </w:p>
        </w:tc>
        <w:tc>
          <w:tcPr>
            <w:tcW w:w="627" w:type="dxa"/>
            <w:tcBorders>
              <w:top w:val="nil"/>
              <w:left w:val="nil"/>
              <w:bottom w:val="nil"/>
              <w:right w:val="nil"/>
            </w:tcBorders>
            <w:shd w:val="clear" w:color="auto" w:fill="auto"/>
            <w:noWrap/>
            <w:vAlign w:val="center"/>
            <w:hideMark/>
          </w:tcPr>
          <w:p w14:paraId="41CEC58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347DA13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13.44</w:t>
            </w:r>
          </w:p>
        </w:tc>
        <w:tc>
          <w:tcPr>
            <w:tcW w:w="627" w:type="dxa"/>
            <w:tcBorders>
              <w:top w:val="nil"/>
              <w:left w:val="nil"/>
              <w:bottom w:val="nil"/>
              <w:right w:val="nil"/>
            </w:tcBorders>
            <w:shd w:val="clear" w:color="auto" w:fill="auto"/>
            <w:noWrap/>
            <w:vAlign w:val="center"/>
            <w:hideMark/>
          </w:tcPr>
          <w:p w14:paraId="529DAF0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064FFA9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13.88</w:t>
            </w:r>
          </w:p>
        </w:tc>
        <w:tc>
          <w:tcPr>
            <w:tcW w:w="627" w:type="dxa"/>
            <w:tcBorders>
              <w:top w:val="nil"/>
              <w:left w:val="nil"/>
              <w:bottom w:val="nil"/>
              <w:right w:val="nil"/>
            </w:tcBorders>
            <w:shd w:val="clear" w:color="auto" w:fill="auto"/>
            <w:noWrap/>
            <w:vAlign w:val="center"/>
            <w:hideMark/>
          </w:tcPr>
          <w:p w14:paraId="454DD11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c>
          <w:tcPr>
            <w:tcW w:w="637" w:type="dxa"/>
            <w:tcBorders>
              <w:top w:val="nil"/>
              <w:left w:val="nil"/>
              <w:bottom w:val="nil"/>
              <w:right w:val="nil"/>
            </w:tcBorders>
            <w:shd w:val="clear" w:color="auto" w:fill="auto"/>
            <w:noWrap/>
            <w:vAlign w:val="center"/>
            <w:hideMark/>
          </w:tcPr>
          <w:p w14:paraId="555B55D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13.10</w:t>
            </w:r>
          </w:p>
        </w:tc>
        <w:tc>
          <w:tcPr>
            <w:tcW w:w="631" w:type="dxa"/>
            <w:tcBorders>
              <w:top w:val="nil"/>
              <w:left w:val="nil"/>
              <w:bottom w:val="nil"/>
              <w:right w:val="nil"/>
            </w:tcBorders>
            <w:shd w:val="clear" w:color="auto" w:fill="auto"/>
            <w:noWrap/>
            <w:vAlign w:val="center"/>
            <w:hideMark/>
          </w:tcPr>
          <w:p w14:paraId="2BF8136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p>
        </w:tc>
      </w:tr>
      <w:tr w:rsidR="00F92754" w:rsidRPr="00FF6562" w14:paraId="7A60F111" w14:textId="77777777" w:rsidTr="004418B0">
        <w:trPr>
          <w:trHeight w:val="163"/>
          <w:jc w:val="center"/>
        </w:trPr>
        <w:tc>
          <w:tcPr>
            <w:tcW w:w="718" w:type="dxa"/>
            <w:tcBorders>
              <w:top w:val="nil"/>
              <w:left w:val="nil"/>
              <w:bottom w:val="nil"/>
              <w:right w:val="nil"/>
            </w:tcBorders>
            <w:shd w:val="clear" w:color="auto" w:fill="auto"/>
            <w:noWrap/>
            <w:vAlign w:val="center"/>
            <w:hideMark/>
          </w:tcPr>
          <w:p w14:paraId="2DBA1709"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
              <m:sSub>
                <m:sSubPr>
                  <m:ctrlPr>
                    <w:rPr>
                      <w:rFonts w:ascii="Cambria Math" w:hAnsi="Cambria Math"/>
                      <w:i/>
                      <w:color w:val="000000" w:themeColor="text1"/>
                      <w:sz w:val="16"/>
                      <w:szCs w:val="16"/>
                      <w:lang w:eastAsia="en-GB"/>
                    </w:rPr>
                  </m:ctrlPr>
                </m:sSub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1</m:t>
                  </m:r>
                </m:sub>
              </m:sSub>
            </m:oMath>
            <w:r w:rsidR="00F92754" w:rsidRPr="00AC2C84">
              <w:rPr>
                <w:color w:val="000000" w:themeColor="text1"/>
                <w:sz w:val="16"/>
                <w:szCs w:val="16"/>
                <w:lang w:eastAsia="en-GB"/>
              </w:rPr>
              <w:t>[20]</w:t>
            </w:r>
          </w:p>
        </w:tc>
        <w:tc>
          <w:tcPr>
            <w:tcW w:w="637" w:type="dxa"/>
            <w:tcBorders>
              <w:top w:val="nil"/>
              <w:left w:val="nil"/>
              <w:bottom w:val="nil"/>
              <w:right w:val="nil"/>
            </w:tcBorders>
            <w:shd w:val="clear" w:color="auto" w:fill="auto"/>
            <w:noWrap/>
            <w:vAlign w:val="bottom"/>
            <w:hideMark/>
          </w:tcPr>
          <w:p w14:paraId="57127D7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25.90</w:t>
            </w:r>
          </w:p>
        </w:tc>
        <w:tc>
          <w:tcPr>
            <w:tcW w:w="627" w:type="dxa"/>
            <w:tcBorders>
              <w:top w:val="nil"/>
              <w:left w:val="nil"/>
              <w:bottom w:val="nil"/>
              <w:right w:val="nil"/>
            </w:tcBorders>
            <w:shd w:val="clear" w:color="auto" w:fill="auto"/>
            <w:noWrap/>
            <w:vAlign w:val="bottom"/>
            <w:hideMark/>
          </w:tcPr>
          <w:p w14:paraId="7B64768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w:t>
            </w:r>
          </w:p>
        </w:tc>
        <w:tc>
          <w:tcPr>
            <w:tcW w:w="637" w:type="dxa"/>
            <w:tcBorders>
              <w:top w:val="nil"/>
              <w:left w:val="nil"/>
              <w:bottom w:val="nil"/>
              <w:right w:val="nil"/>
            </w:tcBorders>
            <w:shd w:val="clear" w:color="auto" w:fill="auto"/>
            <w:noWrap/>
            <w:vAlign w:val="bottom"/>
            <w:hideMark/>
          </w:tcPr>
          <w:p w14:paraId="5824F92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29.45</w:t>
            </w:r>
          </w:p>
        </w:tc>
        <w:tc>
          <w:tcPr>
            <w:tcW w:w="627" w:type="dxa"/>
            <w:tcBorders>
              <w:top w:val="nil"/>
              <w:left w:val="nil"/>
              <w:bottom w:val="nil"/>
              <w:right w:val="nil"/>
            </w:tcBorders>
            <w:shd w:val="clear" w:color="auto" w:fill="auto"/>
            <w:noWrap/>
            <w:vAlign w:val="bottom"/>
            <w:hideMark/>
          </w:tcPr>
          <w:p w14:paraId="1D76553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0.08</w:t>
            </w:r>
          </w:p>
        </w:tc>
        <w:tc>
          <w:tcPr>
            <w:tcW w:w="637" w:type="dxa"/>
            <w:tcBorders>
              <w:top w:val="nil"/>
              <w:left w:val="nil"/>
              <w:bottom w:val="nil"/>
              <w:right w:val="nil"/>
            </w:tcBorders>
            <w:shd w:val="clear" w:color="auto" w:fill="auto"/>
            <w:noWrap/>
            <w:vAlign w:val="bottom"/>
            <w:hideMark/>
          </w:tcPr>
          <w:p w14:paraId="5FAFB38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31.87</w:t>
            </w:r>
          </w:p>
        </w:tc>
        <w:tc>
          <w:tcPr>
            <w:tcW w:w="627" w:type="dxa"/>
            <w:tcBorders>
              <w:top w:val="nil"/>
              <w:left w:val="nil"/>
              <w:bottom w:val="nil"/>
              <w:right w:val="nil"/>
            </w:tcBorders>
            <w:shd w:val="clear" w:color="auto" w:fill="auto"/>
            <w:noWrap/>
            <w:vAlign w:val="bottom"/>
            <w:hideMark/>
          </w:tcPr>
          <w:p w14:paraId="7286799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0.04</w:t>
            </w:r>
          </w:p>
        </w:tc>
        <w:tc>
          <w:tcPr>
            <w:tcW w:w="637" w:type="dxa"/>
            <w:tcBorders>
              <w:top w:val="nil"/>
              <w:left w:val="nil"/>
              <w:bottom w:val="nil"/>
              <w:right w:val="nil"/>
            </w:tcBorders>
            <w:shd w:val="clear" w:color="auto" w:fill="auto"/>
            <w:noWrap/>
            <w:vAlign w:val="bottom"/>
            <w:hideMark/>
          </w:tcPr>
          <w:p w14:paraId="2BF356E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9.41</w:t>
            </w:r>
          </w:p>
        </w:tc>
        <w:tc>
          <w:tcPr>
            <w:tcW w:w="627" w:type="dxa"/>
            <w:tcBorders>
              <w:top w:val="nil"/>
              <w:left w:val="nil"/>
              <w:bottom w:val="nil"/>
              <w:right w:val="nil"/>
            </w:tcBorders>
            <w:shd w:val="clear" w:color="auto" w:fill="auto"/>
            <w:noWrap/>
            <w:vAlign w:val="bottom"/>
            <w:hideMark/>
          </w:tcPr>
          <w:p w14:paraId="31595C2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714" w:type="dxa"/>
            <w:tcBorders>
              <w:top w:val="nil"/>
              <w:left w:val="nil"/>
              <w:bottom w:val="nil"/>
              <w:right w:val="nil"/>
            </w:tcBorders>
            <w:shd w:val="clear" w:color="auto" w:fill="auto"/>
            <w:noWrap/>
            <w:vAlign w:val="bottom"/>
            <w:hideMark/>
          </w:tcPr>
          <w:p w14:paraId="4C30BFD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38.23</w:t>
            </w:r>
          </w:p>
        </w:tc>
        <w:tc>
          <w:tcPr>
            <w:tcW w:w="627" w:type="dxa"/>
            <w:tcBorders>
              <w:top w:val="nil"/>
              <w:left w:val="nil"/>
              <w:bottom w:val="nil"/>
              <w:right w:val="nil"/>
            </w:tcBorders>
            <w:shd w:val="clear" w:color="auto" w:fill="auto"/>
            <w:noWrap/>
            <w:vAlign w:val="bottom"/>
            <w:hideMark/>
          </w:tcPr>
          <w:p w14:paraId="053BC6F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0.01</w:t>
            </w:r>
          </w:p>
        </w:tc>
        <w:tc>
          <w:tcPr>
            <w:tcW w:w="637" w:type="dxa"/>
            <w:tcBorders>
              <w:top w:val="nil"/>
              <w:left w:val="nil"/>
              <w:bottom w:val="nil"/>
              <w:right w:val="nil"/>
            </w:tcBorders>
            <w:shd w:val="clear" w:color="auto" w:fill="auto"/>
            <w:noWrap/>
            <w:vAlign w:val="bottom"/>
            <w:hideMark/>
          </w:tcPr>
          <w:p w14:paraId="614CA5E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35.49</w:t>
            </w:r>
          </w:p>
        </w:tc>
        <w:tc>
          <w:tcPr>
            <w:tcW w:w="627" w:type="dxa"/>
            <w:tcBorders>
              <w:top w:val="nil"/>
              <w:left w:val="nil"/>
              <w:bottom w:val="nil"/>
              <w:right w:val="nil"/>
            </w:tcBorders>
            <w:shd w:val="clear" w:color="auto" w:fill="auto"/>
            <w:noWrap/>
            <w:vAlign w:val="bottom"/>
            <w:hideMark/>
          </w:tcPr>
          <w:p w14:paraId="548492C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0.02</w:t>
            </w:r>
          </w:p>
        </w:tc>
        <w:tc>
          <w:tcPr>
            <w:tcW w:w="637" w:type="dxa"/>
            <w:tcBorders>
              <w:top w:val="nil"/>
              <w:left w:val="nil"/>
              <w:bottom w:val="nil"/>
              <w:right w:val="nil"/>
            </w:tcBorders>
            <w:shd w:val="clear" w:color="auto" w:fill="auto"/>
            <w:noWrap/>
            <w:vAlign w:val="bottom"/>
            <w:hideMark/>
          </w:tcPr>
          <w:p w14:paraId="7CFF1D80"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22.07</w:t>
            </w:r>
          </w:p>
        </w:tc>
        <w:tc>
          <w:tcPr>
            <w:tcW w:w="627" w:type="dxa"/>
            <w:tcBorders>
              <w:top w:val="nil"/>
              <w:left w:val="nil"/>
              <w:bottom w:val="nil"/>
              <w:right w:val="nil"/>
            </w:tcBorders>
            <w:shd w:val="clear" w:color="auto" w:fill="auto"/>
            <w:noWrap/>
            <w:vAlign w:val="bottom"/>
            <w:hideMark/>
          </w:tcPr>
          <w:p w14:paraId="621BAF7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0.34</w:t>
            </w:r>
          </w:p>
        </w:tc>
        <w:tc>
          <w:tcPr>
            <w:tcW w:w="637" w:type="dxa"/>
            <w:tcBorders>
              <w:top w:val="nil"/>
              <w:left w:val="nil"/>
              <w:bottom w:val="nil"/>
              <w:right w:val="nil"/>
            </w:tcBorders>
            <w:shd w:val="clear" w:color="auto" w:fill="auto"/>
            <w:noWrap/>
            <w:vAlign w:val="bottom"/>
            <w:hideMark/>
          </w:tcPr>
          <w:p w14:paraId="5B27145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33.81</w:t>
            </w:r>
          </w:p>
        </w:tc>
        <w:tc>
          <w:tcPr>
            <w:tcW w:w="627" w:type="dxa"/>
            <w:tcBorders>
              <w:top w:val="nil"/>
              <w:left w:val="nil"/>
              <w:bottom w:val="nil"/>
              <w:right w:val="nil"/>
            </w:tcBorders>
            <w:shd w:val="clear" w:color="auto" w:fill="auto"/>
            <w:noWrap/>
            <w:vAlign w:val="bottom"/>
            <w:hideMark/>
          </w:tcPr>
          <w:p w14:paraId="05450D1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0.03</w:t>
            </w:r>
          </w:p>
        </w:tc>
        <w:tc>
          <w:tcPr>
            <w:tcW w:w="637" w:type="dxa"/>
            <w:tcBorders>
              <w:top w:val="nil"/>
              <w:left w:val="nil"/>
              <w:bottom w:val="nil"/>
              <w:right w:val="nil"/>
            </w:tcBorders>
            <w:shd w:val="clear" w:color="auto" w:fill="auto"/>
            <w:noWrap/>
            <w:vAlign w:val="bottom"/>
            <w:hideMark/>
          </w:tcPr>
          <w:p w14:paraId="451465B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26.55</w:t>
            </w:r>
          </w:p>
        </w:tc>
        <w:tc>
          <w:tcPr>
            <w:tcW w:w="627" w:type="dxa"/>
            <w:tcBorders>
              <w:top w:val="nil"/>
              <w:left w:val="nil"/>
              <w:bottom w:val="nil"/>
              <w:right w:val="nil"/>
            </w:tcBorders>
            <w:shd w:val="clear" w:color="auto" w:fill="auto"/>
            <w:noWrap/>
            <w:vAlign w:val="bottom"/>
            <w:hideMark/>
          </w:tcPr>
          <w:p w14:paraId="3A8E7A4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w:t>
            </w:r>
          </w:p>
        </w:tc>
        <w:tc>
          <w:tcPr>
            <w:tcW w:w="637" w:type="dxa"/>
            <w:tcBorders>
              <w:top w:val="nil"/>
              <w:left w:val="nil"/>
              <w:bottom w:val="nil"/>
              <w:right w:val="nil"/>
            </w:tcBorders>
            <w:shd w:val="clear" w:color="auto" w:fill="auto"/>
            <w:noWrap/>
            <w:vAlign w:val="bottom"/>
            <w:hideMark/>
          </w:tcPr>
          <w:p w14:paraId="06F54E4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24.51</w:t>
            </w:r>
          </w:p>
        </w:tc>
        <w:tc>
          <w:tcPr>
            <w:tcW w:w="627" w:type="dxa"/>
            <w:tcBorders>
              <w:top w:val="nil"/>
              <w:left w:val="nil"/>
              <w:bottom w:val="nil"/>
              <w:right w:val="nil"/>
            </w:tcBorders>
            <w:shd w:val="clear" w:color="auto" w:fill="auto"/>
            <w:noWrap/>
            <w:vAlign w:val="bottom"/>
            <w:hideMark/>
          </w:tcPr>
          <w:p w14:paraId="0BC9EAB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w:t>
            </w:r>
          </w:p>
        </w:tc>
        <w:tc>
          <w:tcPr>
            <w:tcW w:w="637" w:type="dxa"/>
            <w:tcBorders>
              <w:top w:val="nil"/>
              <w:left w:val="nil"/>
              <w:bottom w:val="nil"/>
              <w:right w:val="nil"/>
            </w:tcBorders>
            <w:shd w:val="clear" w:color="auto" w:fill="auto"/>
            <w:noWrap/>
            <w:vAlign w:val="bottom"/>
            <w:hideMark/>
          </w:tcPr>
          <w:p w14:paraId="5C3F3DC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13.18</w:t>
            </w:r>
          </w:p>
        </w:tc>
        <w:tc>
          <w:tcPr>
            <w:tcW w:w="631" w:type="dxa"/>
            <w:tcBorders>
              <w:top w:val="nil"/>
              <w:left w:val="nil"/>
              <w:bottom w:val="nil"/>
              <w:right w:val="nil"/>
            </w:tcBorders>
            <w:shd w:val="clear" w:color="auto" w:fill="auto"/>
            <w:noWrap/>
            <w:vAlign w:val="bottom"/>
            <w:hideMark/>
          </w:tcPr>
          <w:p w14:paraId="01321BC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0.87</w:t>
            </w:r>
          </w:p>
        </w:tc>
      </w:tr>
      <w:tr w:rsidR="00F92754" w:rsidRPr="00FF6562" w14:paraId="5F6CE6FA" w14:textId="77777777" w:rsidTr="004418B0">
        <w:trPr>
          <w:trHeight w:val="98"/>
          <w:jc w:val="center"/>
        </w:trPr>
        <w:tc>
          <w:tcPr>
            <w:tcW w:w="718" w:type="dxa"/>
            <w:tcBorders>
              <w:top w:val="nil"/>
              <w:left w:val="nil"/>
              <w:bottom w:val="nil"/>
              <w:right w:val="nil"/>
            </w:tcBorders>
            <w:shd w:val="clear" w:color="auto" w:fill="auto"/>
            <w:noWrap/>
            <w:vAlign w:val="center"/>
            <w:hideMark/>
          </w:tcPr>
          <w:p w14:paraId="740D0D76"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
              <m:sSub>
                <m:sSubPr>
                  <m:ctrlPr>
                    <w:rPr>
                      <w:rFonts w:ascii="Cambria Math" w:hAnsi="Cambria Math"/>
                      <w:i/>
                      <w:color w:val="000000" w:themeColor="text1"/>
                      <w:sz w:val="16"/>
                      <w:szCs w:val="16"/>
                      <w:lang w:eastAsia="en-GB"/>
                    </w:rPr>
                  </m:ctrlPr>
                </m:sSub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2</m:t>
                  </m:r>
                </m:sub>
              </m:sSub>
            </m:oMath>
            <w:r w:rsidR="00F92754" w:rsidRPr="00AC2C84">
              <w:rPr>
                <w:color w:val="000000" w:themeColor="text1"/>
                <w:sz w:val="16"/>
                <w:szCs w:val="16"/>
                <w:lang w:eastAsia="en-GB"/>
              </w:rPr>
              <w:t>[20]</w:t>
            </w:r>
          </w:p>
        </w:tc>
        <w:tc>
          <w:tcPr>
            <w:tcW w:w="637" w:type="dxa"/>
            <w:tcBorders>
              <w:top w:val="nil"/>
              <w:left w:val="nil"/>
              <w:bottom w:val="nil"/>
              <w:right w:val="nil"/>
            </w:tcBorders>
            <w:shd w:val="clear" w:color="auto" w:fill="auto"/>
            <w:noWrap/>
            <w:vAlign w:val="bottom"/>
            <w:hideMark/>
          </w:tcPr>
          <w:p w14:paraId="33CA700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22.46</w:t>
            </w:r>
          </w:p>
        </w:tc>
        <w:tc>
          <w:tcPr>
            <w:tcW w:w="627" w:type="dxa"/>
            <w:tcBorders>
              <w:top w:val="nil"/>
              <w:left w:val="nil"/>
              <w:bottom w:val="nil"/>
              <w:right w:val="nil"/>
            </w:tcBorders>
            <w:shd w:val="clear" w:color="auto" w:fill="auto"/>
            <w:noWrap/>
            <w:vAlign w:val="bottom"/>
            <w:hideMark/>
          </w:tcPr>
          <w:p w14:paraId="7837FE9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0.32</w:t>
            </w:r>
          </w:p>
        </w:tc>
        <w:tc>
          <w:tcPr>
            <w:tcW w:w="637" w:type="dxa"/>
            <w:tcBorders>
              <w:top w:val="nil"/>
              <w:left w:val="nil"/>
              <w:bottom w:val="nil"/>
              <w:right w:val="nil"/>
            </w:tcBorders>
            <w:shd w:val="clear" w:color="auto" w:fill="auto"/>
            <w:noWrap/>
            <w:vAlign w:val="bottom"/>
            <w:hideMark/>
          </w:tcPr>
          <w:p w14:paraId="172E454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25.89</w:t>
            </w:r>
          </w:p>
        </w:tc>
        <w:tc>
          <w:tcPr>
            <w:tcW w:w="627" w:type="dxa"/>
            <w:tcBorders>
              <w:top w:val="nil"/>
              <w:left w:val="nil"/>
              <w:bottom w:val="nil"/>
              <w:right w:val="nil"/>
            </w:tcBorders>
            <w:shd w:val="clear" w:color="auto" w:fill="auto"/>
            <w:noWrap/>
            <w:vAlign w:val="bottom"/>
            <w:hideMark/>
          </w:tcPr>
          <w:p w14:paraId="6524F35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w:t>
            </w:r>
          </w:p>
        </w:tc>
        <w:tc>
          <w:tcPr>
            <w:tcW w:w="637" w:type="dxa"/>
            <w:tcBorders>
              <w:top w:val="nil"/>
              <w:left w:val="nil"/>
              <w:bottom w:val="nil"/>
              <w:right w:val="nil"/>
            </w:tcBorders>
            <w:shd w:val="clear" w:color="auto" w:fill="auto"/>
            <w:noWrap/>
            <w:vAlign w:val="bottom"/>
            <w:hideMark/>
          </w:tcPr>
          <w:p w14:paraId="559800B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20.05</w:t>
            </w:r>
          </w:p>
        </w:tc>
        <w:tc>
          <w:tcPr>
            <w:tcW w:w="627" w:type="dxa"/>
            <w:tcBorders>
              <w:top w:val="nil"/>
              <w:left w:val="nil"/>
              <w:bottom w:val="nil"/>
              <w:right w:val="nil"/>
            </w:tcBorders>
            <w:shd w:val="clear" w:color="auto" w:fill="auto"/>
            <w:noWrap/>
            <w:vAlign w:val="bottom"/>
            <w:hideMark/>
          </w:tcPr>
          <w:p w14:paraId="4360111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0.45</w:t>
            </w:r>
          </w:p>
        </w:tc>
        <w:tc>
          <w:tcPr>
            <w:tcW w:w="637" w:type="dxa"/>
            <w:tcBorders>
              <w:top w:val="nil"/>
              <w:left w:val="nil"/>
              <w:bottom w:val="nil"/>
              <w:right w:val="nil"/>
            </w:tcBorders>
            <w:shd w:val="clear" w:color="auto" w:fill="auto"/>
            <w:noWrap/>
            <w:vAlign w:val="bottom"/>
            <w:hideMark/>
          </w:tcPr>
          <w:p w14:paraId="577DA54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25.73</w:t>
            </w:r>
          </w:p>
        </w:tc>
        <w:tc>
          <w:tcPr>
            <w:tcW w:w="627" w:type="dxa"/>
            <w:tcBorders>
              <w:top w:val="nil"/>
              <w:left w:val="nil"/>
              <w:bottom w:val="nil"/>
              <w:right w:val="nil"/>
            </w:tcBorders>
            <w:shd w:val="clear" w:color="auto" w:fill="auto"/>
            <w:noWrap/>
            <w:vAlign w:val="bottom"/>
            <w:hideMark/>
          </w:tcPr>
          <w:p w14:paraId="0A3A9EE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0.18</w:t>
            </w:r>
          </w:p>
        </w:tc>
        <w:tc>
          <w:tcPr>
            <w:tcW w:w="714" w:type="dxa"/>
            <w:tcBorders>
              <w:top w:val="nil"/>
              <w:left w:val="nil"/>
              <w:bottom w:val="nil"/>
              <w:right w:val="nil"/>
            </w:tcBorders>
            <w:shd w:val="clear" w:color="auto" w:fill="auto"/>
            <w:noWrap/>
            <w:vAlign w:val="bottom"/>
            <w:hideMark/>
          </w:tcPr>
          <w:p w14:paraId="05EE3B3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19.47</w:t>
            </w:r>
          </w:p>
        </w:tc>
        <w:tc>
          <w:tcPr>
            <w:tcW w:w="627" w:type="dxa"/>
            <w:tcBorders>
              <w:top w:val="nil"/>
              <w:left w:val="nil"/>
              <w:bottom w:val="nil"/>
              <w:right w:val="nil"/>
            </w:tcBorders>
            <w:shd w:val="clear" w:color="auto" w:fill="auto"/>
            <w:noWrap/>
            <w:vAlign w:val="bottom"/>
            <w:hideMark/>
          </w:tcPr>
          <w:p w14:paraId="1F6365A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0.49</w:t>
            </w:r>
          </w:p>
        </w:tc>
        <w:tc>
          <w:tcPr>
            <w:tcW w:w="637" w:type="dxa"/>
            <w:tcBorders>
              <w:top w:val="nil"/>
              <w:left w:val="nil"/>
              <w:bottom w:val="nil"/>
              <w:right w:val="nil"/>
            </w:tcBorders>
            <w:shd w:val="clear" w:color="auto" w:fill="auto"/>
            <w:noWrap/>
            <w:vAlign w:val="bottom"/>
            <w:hideMark/>
          </w:tcPr>
          <w:p w14:paraId="433FB75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24.63</w:t>
            </w:r>
          </w:p>
        </w:tc>
        <w:tc>
          <w:tcPr>
            <w:tcW w:w="627" w:type="dxa"/>
            <w:tcBorders>
              <w:top w:val="nil"/>
              <w:left w:val="nil"/>
              <w:bottom w:val="nil"/>
              <w:right w:val="nil"/>
            </w:tcBorders>
            <w:shd w:val="clear" w:color="auto" w:fill="auto"/>
            <w:noWrap/>
            <w:vAlign w:val="bottom"/>
            <w:hideMark/>
          </w:tcPr>
          <w:p w14:paraId="7E69989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0.22</w:t>
            </w:r>
          </w:p>
        </w:tc>
        <w:tc>
          <w:tcPr>
            <w:tcW w:w="637" w:type="dxa"/>
            <w:tcBorders>
              <w:top w:val="nil"/>
              <w:left w:val="nil"/>
              <w:bottom w:val="nil"/>
              <w:right w:val="nil"/>
            </w:tcBorders>
            <w:shd w:val="clear" w:color="auto" w:fill="auto"/>
            <w:noWrap/>
            <w:vAlign w:val="bottom"/>
            <w:hideMark/>
          </w:tcPr>
          <w:p w14:paraId="340FA8B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20.51</w:t>
            </w:r>
          </w:p>
        </w:tc>
        <w:tc>
          <w:tcPr>
            <w:tcW w:w="627" w:type="dxa"/>
            <w:tcBorders>
              <w:top w:val="nil"/>
              <w:left w:val="nil"/>
              <w:bottom w:val="nil"/>
              <w:right w:val="nil"/>
            </w:tcBorders>
            <w:shd w:val="clear" w:color="auto" w:fill="auto"/>
            <w:noWrap/>
            <w:vAlign w:val="bottom"/>
            <w:hideMark/>
          </w:tcPr>
          <w:p w14:paraId="57C8D9A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0.43</w:t>
            </w:r>
          </w:p>
        </w:tc>
        <w:tc>
          <w:tcPr>
            <w:tcW w:w="637" w:type="dxa"/>
            <w:tcBorders>
              <w:top w:val="nil"/>
              <w:left w:val="nil"/>
              <w:bottom w:val="nil"/>
              <w:right w:val="nil"/>
            </w:tcBorders>
            <w:shd w:val="clear" w:color="auto" w:fill="auto"/>
            <w:noWrap/>
            <w:vAlign w:val="bottom"/>
            <w:hideMark/>
          </w:tcPr>
          <w:p w14:paraId="4F5400E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18.06</w:t>
            </w:r>
          </w:p>
        </w:tc>
        <w:tc>
          <w:tcPr>
            <w:tcW w:w="627" w:type="dxa"/>
            <w:tcBorders>
              <w:top w:val="nil"/>
              <w:left w:val="nil"/>
              <w:bottom w:val="nil"/>
              <w:right w:val="nil"/>
            </w:tcBorders>
            <w:shd w:val="clear" w:color="auto" w:fill="auto"/>
            <w:noWrap/>
            <w:vAlign w:val="bottom"/>
            <w:hideMark/>
          </w:tcPr>
          <w:p w14:paraId="64B3F1E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0.58</w:t>
            </w:r>
          </w:p>
        </w:tc>
        <w:tc>
          <w:tcPr>
            <w:tcW w:w="637" w:type="dxa"/>
            <w:tcBorders>
              <w:top w:val="nil"/>
              <w:left w:val="nil"/>
              <w:bottom w:val="nil"/>
              <w:right w:val="nil"/>
            </w:tcBorders>
            <w:shd w:val="clear" w:color="auto" w:fill="auto"/>
            <w:noWrap/>
            <w:vAlign w:val="bottom"/>
            <w:hideMark/>
          </w:tcPr>
          <w:p w14:paraId="66538C5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23.63</w:t>
            </w:r>
          </w:p>
        </w:tc>
        <w:tc>
          <w:tcPr>
            <w:tcW w:w="627" w:type="dxa"/>
            <w:tcBorders>
              <w:top w:val="nil"/>
              <w:left w:val="nil"/>
              <w:bottom w:val="nil"/>
              <w:right w:val="nil"/>
            </w:tcBorders>
            <w:shd w:val="clear" w:color="auto" w:fill="auto"/>
            <w:noWrap/>
            <w:vAlign w:val="bottom"/>
            <w:hideMark/>
          </w:tcPr>
          <w:p w14:paraId="2E3C07F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0.26</w:t>
            </w:r>
          </w:p>
        </w:tc>
        <w:tc>
          <w:tcPr>
            <w:tcW w:w="637" w:type="dxa"/>
            <w:tcBorders>
              <w:top w:val="nil"/>
              <w:left w:val="nil"/>
              <w:bottom w:val="nil"/>
              <w:right w:val="nil"/>
            </w:tcBorders>
            <w:shd w:val="clear" w:color="auto" w:fill="auto"/>
            <w:noWrap/>
            <w:vAlign w:val="bottom"/>
            <w:hideMark/>
          </w:tcPr>
          <w:p w14:paraId="500ACCE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21.70</w:t>
            </w:r>
          </w:p>
        </w:tc>
        <w:tc>
          <w:tcPr>
            <w:tcW w:w="627" w:type="dxa"/>
            <w:tcBorders>
              <w:top w:val="nil"/>
              <w:left w:val="nil"/>
              <w:bottom w:val="nil"/>
              <w:right w:val="nil"/>
            </w:tcBorders>
            <w:shd w:val="clear" w:color="auto" w:fill="auto"/>
            <w:noWrap/>
            <w:vAlign w:val="bottom"/>
            <w:hideMark/>
          </w:tcPr>
          <w:p w14:paraId="49636D8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w:t>
            </w:r>
          </w:p>
        </w:tc>
        <w:tc>
          <w:tcPr>
            <w:tcW w:w="637" w:type="dxa"/>
            <w:tcBorders>
              <w:top w:val="nil"/>
              <w:left w:val="nil"/>
              <w:bottom w:val="nil"/>
              <w:right w:val="nil"/>
            </w:tcBorders>
            <w:shd w:val="clear" w:color="auto" w:fill="auto"/>
            <w:noWrap/>
            <w:vAlign w:val="bottom"/>
            <w:hideMark/>
          </w:tcPr>
          <w:p w14:paraId="066E4D1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21.70</w:t>
            </w:r>
          </w:p>
        </w:tc>
        <w:tc>
          <w:tcPr>
            <w:tcW w:w="631" w:type="dxa"/>
            <w:tcBorders>
              <w:top w:val="nil"/>
              <w:left w:val="nil"/>
              <w:bottom w:val="nil"/>
              <w:right w:val="nil"/>
            </w:tcBorders>
            <w:shd w:val="clear" w:color="auto" w:fill="auto"/>
            <w:noWrap/>
            <w:vAlign w:val="bottom"/>
            <w:hideMark/>
          </w:tcPr>
          <w:p w14:paraId="5090D5F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0.36</w:t>
            </w:r>
          </w:p>
        </w:tc>
      </w:tr>
      <w:tr w:rsidR="00F92754" w:rsidRPr="00FF6562" w14:paraId="131706E4" w14:textId="77777777" w:rsidTr="004418B0">
        <w:trPr>
          <w:trHeight w:val="69"/>
          <w:jc w:val="center"/>
        </w:trPr>
        <w:tc>
          <w:tcPr>
            <w:tcW w:w="718" w:type="dxa"/>
            <w:tcBorders>
              <w:top w:val="nil"/>
              <w:left w:val="nil"/>
              <w:bottom w:val="nil"/>
              <w:right w:val="nil"/>
            </w:tcBorders>
            <w:shd w:val="clear" w:color="auto" w:fill="auto"/>
            <w:noWrap/>
            <w:vAlign w:val="center"/>
            <w:hideMark/>
          </w:tcPr>
          <w:p w14:paraId="6FE5EFE4"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
              <m:sSubSup>
                <m:sSubSupPr>
                  <m:ctrlPr>
                    <w:rPr>
                      <w:rFonts w:ascii="Cambria Math" w:hAnsi="Cambria Math"/>
                      <w:i/>
                      <w:color w:val="000000" w:themeColor="text1"/>
                      <w:sz w:val="16"/>
                      <w:szCs w:val="16"/>
                      <w:lang w:eastAsia="en-GB"/>
                    </w:rPr>
                  </m:ctrlPr>
                </m:sSubSup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1</m:t>
                  </m:r>
                </m:sub>
                <m:sup>
                  <m:r>
                    <w:rPr>
                      <w:rFonts w:ascii="Cambria Math" w:hAnsi="Cambria Math"/>
                      <w:color w:val="000000" w:themeColor="text1"/>
                      <w:sz w:val="16"/>
                      <w:szCs w:val="16"/>
                      <w:lang w:eastAsia="en-GB"/>
                    </w:rPr>
                    <m:t>2</m:t>
                  </m:r>
                </m:sup>
              </m:sSubSup>
            </m:oMath>
            <w:r w:rsidR="00F92754" w:rsidRPr="00AC2C84">
              <w:rPr>
                <w:color w:val="000000" w:themeColor="text1"/>
                <w:sz w:val="16"/>
                <w:szCs w:val="16"/>
                <w:lang w:eastAsia="en-GB"/>
              </w:rPr>
              <w:t>[20]</w:t>
            </w:r>
          </w:p>
        </w:tc>
        <w:tc>
          <w:tcPr>
            <w:tcW w:w="637" w:type="dxa"/>
            <w:tcBorders>
              <w:top w:val="nil"/>
              <w:left w:val="nil"/>
              <w:bottom w:val="nil"/>
              <w:right w:val="nil"/>
            </w:tcBorders>
            <w:shd w:val="clear" w:color="auto" w:fill="auto"/>
            <w:noWrap/>
            <w:vAlign w:val="bottom"/>
            <w:hideMark/>
          </w:tcPr>
          <w:p w14:paraId="6330ED5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19.63</w:t>
            </w:r>
          </w:p>
        </w:tc>
        <w:tc>
          <w:tcPr>
            <w:tcW w:w="627" w:type="dxa"/>
            <w:tcBorders>
              <w:top w:val="nil"/>
              <w:left w:val="nil"/>
              <w:bottom w:val="nil"/>
              <w:right w:val="nil"/>
            </w:tcBorders>
            <w:shd w:val="clear" w:color="auto" w:fill="auto"/>
            <w:noWrap/>
            <w:vAlign w:val="bottom"/>
            <w:hideMark/>
          </w:tcPr>
          <w:p w14:paraId="670D476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0.48</w:t>
            </w:r>
          </w:p>
        </w:tc>
        <w:tc>
          <w:tcPr>
            <w:tcW w:w="637" w:type="dxa"/>
            <w:tcBorders>
              <w:top w:val="nil"/>
              <w:left w:val="nil"/>
              <w:bottom w:val="nil"/>
              <w:right w:val="nil"/>
            </w:tcBorders>
            <w:shd w:val="clear" w:color="auto" w:fill="auto"/>
            <w:noWrap/>
            <w:vAlign w:val="bottom"/>
            <w:hideMark/>
          </w:tcPr>
          <w:p w14:paraId="0379AB8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27.57</w:t>
            </w:r>
          </w:p>
        </w:tc>
        <w:tc>
          <w:tcPr>
            <w:tcW w:w="627" w:type="dxa"/>
            <w:tcBorders>
              <w:top w:val="nil"/>
              <w:left w:val="nil"/>
              <w:bottom w:val="nil"/>
              <w:right w:val="nil"/>
            </w:tcBorders>
            <w:shd w:val="clear" w:color="auto" w:fill="auto"/>
            <w:noWrap/>
            <w:vAlign w:val="bottom"/>
            <w:hideMark/>
          </w:tcPr>
          <w:p w14:paraId="6DB6948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0.12</w:t>
            </w:r>
          </w:p>
        </w:tc>
        <w:tc>
          <w:tcPr>
            <w:tcW w:w="637" w:type="dxa"/>
            <w:tcBorders>
              <w:top w:val="nil"/>
              <w:left w:val="nil"/>
              <w:bottom w:val="nil"/>
              <w:right w:val="nil"/>
            </w:tcBorders>
            <w:shd w:val="clear" w:color="auto" w:fill="auto"/>
            <w:noWrap/>
            <w:vAlign w:val="bottom"/>
            <w:hideMark/>
          </w:tcPr>
          <w:p w14:paraId="106D4FF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15.04</w:t>
            </w:r>
          </w:p>
        </w:tc>
        <w:tc>
          <w:tcPr>
            <w:tcW w:w="627" w:type="dxa"/>
            <w:tcBorders>
              <w:top w:val="nil"/>
              <w:left w:val="nil"/>
              <w:bottom w:val="nil"/>
              <w:right w:val="nil"/>
            </w:tcBorders>
            <w:shd w:val="clear" w:color="auto" w:fill="auto"/>
            <w:noWrap/>
            <w:vAlign w:val="bottom"/>
            <w:hideMark/>
          </w:tcPr>
          <w:p w14:paraId="4CA0BA4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0.77</w:t>
            </w:r>
          </w:p>
        </w:tc>
        <w:tc>
          <w:tcPr>
            <w:tcW w:w="637" w:type="dxa"/>
            <w:tcBorders>
              <w:top w:val="nil"/>
              <w:left w:val="nil"/>
              <w:bottom w:val="nil"/>
              <w:right w:val="nil"/>
            </w:tcBorders>
            <w:shd w:val="clear" w:color="auto" w:fill="auto"/>
            <w:noWrap/>
            <w:vAlign w:val="bottom"/>
            <w:hideMark/>
          </w:tcPr>
          <w:p w14:paraId="4D16F49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19.89</w:t>
            </w:r>
          </w:p>
        </w:tc>
        <w:tc>
          <w:tcPr>
            <w:tcW w:w="627" w:type="dxa"/>
            <w:tcBorders>
              <w:top w:val="nil"/>
              <w:left w:val="nil"/>
              <w:bottom w:val="nil"/>
              <w:right w:val="nil"/>
            </w:tcBorders>
            <w:shd w:val="clear" w:color="auto" w:fill="auto"/>
            <w:noWrap/>
            <w:vAlign w:val="bottom"/>
            <w:hideMark/>
          </w:tcPr>
          <w:p w14:paraId="04B1DA3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0.46</w:t>
            </w:r>
          </w:p>
        </w:tc>
        <w:tc>
          <w:tcPr>
            <w:tcW w:w="714" w:type="dxa"/>
            <w:tcBorders>
              <w:top w:val="nil"/>
              <w:left w:val="nil"/>
              <w:bottom w:val="nil"/>
              <w:right w:val="nil"/>
            </w:tcBorders>
            <w:shd w:val="clear" w:color="auto" w:fill="auto"/>
            <w:noWrap/>
            <w:vAlign w:val="bottom"/>
            <w:hideMark/>
          </w:tcPr>
          <w:p w14:paraId="360D1A8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17.64</w:t>
            </w:r>
          </w:p>
        </w:tc>
        <w:tc>
          <w:tcPr>
            <w:tcW w:w="627" w:type="dxa"/>
            <w:tcBorders>
              <w:top w:val="nil"/>
              <w:left w:val="nil"/>
              <w:bottom w:val="nil"/>
              <w:right w:val="nil"/>
            </w:tcBorders>
            <w:shd w:val="clear" w:color="auto" w:fill="auto"/>
            <w:noWrap/>
            <w:vAlign w:val="bottom"/>
            <w:hideMark/>
          </w:tcPr>
          <w:p w14:paraId="2FC0009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0.61</w:t>
            </w:r>
          </w:p>
        </w:tc>
        <w:tc>
          <w:tcPr>
            <w:tcW w:w="637" w:type="dxa"/>
            <w:tcBorders>
              <w:top w:val="nil"/>
              <w:left w:val="nil"/>
              <w:bottom w:val="nil"/>
              <w:right w:val="nil"/>
            </w:tcBorders>
            <w:shd w:val="clear" w:color="auto" w:fill="auto"/>
            <w:noWrap/>
            <w:vAlign w:val="bottom"/>
            <w:hideMark/>
          </w:tcPr>
          <w:p w14:paraId="73E28BB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12.18</w:t>
            </w:r>
          </w:p>
        </w:tc>
        <w:tc>
          <w:tcPr>
            <w:tcW w:w="627" w:type="dxa"/>
            <w:tcBorders>
              <w:top w:val="nil"/>
              <w:left w:val="nil"/>
              <w:bottom w:val="nil"/>
              <w:right w:val="nil"/>
            </w:tcBorders>
            <w:shd w:val="clear" w:color="auto" w:fill="auto"/>
            <w:noWrap/>
            <w:vAlign w:val="bottom"/>
            <w:hideMark/>
          </w:tcPr>
          <w:p w14:paraId="55180CC1"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0.91</w:t>
            </w:r>
          </w:p>
        </w:tc>
        <w:tc>
          <w:tcPr>
            <w:tcW w:w="637" w:type="dxa"/>
            <w:tcBorders>
              <w:top w:val="nil"/>
              <w:left w:val="nil"/>
              <w:bottom w:val="nil"/>
              <w:right w:val="nil"/>
            </w:tcBorders>
            <w:shd w:val="clear" w:color="auto" w:fill="auto"/>
            <w:noWrap/>
            <w:vAlign w:val="bottom"/>
            <w:hideMark/>
          </w:tcPr>
          <w:p w14:paraId="16AE3762"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26.64</w:t>
            </w:r>
          </w:p>
        </w:tc>
        <w:tc>
          <w:tcPr>
            <w:tcW w:w="627" w:type="dxa"/>
            <w:tcBorders>
              <w:top w:val="nil"/>
              <w:left w:val="nil"/>
              <w:bottom w:val="nil"/>
              <w:right w:val="nil"/>
            </w:tcBorders>
            <w:shd w:val="clear" w:color="auto" w:fill="auto"/>
            <w:noWrap/>
            <w:vAlign w:val="bottom"/>
            <w:hideMark/>
          </w:tcPr>
          <w:p w14:paraId="348F7A5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0.15</w:t>
            </w:r>
          </w:p>
        </w:tc>
        <w:tc>
          <w:tcPr>
            <w:tcW w:w="637" w:type="dxa"/>
            <w:tcBorders>
              <w:top w:val="nil"/>
              <w:left w:val="nil"/>
              <w:bottom w:val="nil"/>
              <w:right w:val="nil"/>
            </w:tcBorders>
            <w:shd w:val="clear" w:color="auto" w:fill="auto"/>
            <w:noWrap/>
            <w:vAlign w:val="bottom"/>
            <w:hideMark/>
          </w:tcPr>
          <w:p w14:paraId="7F54A62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9.45</w:t>
            </w:r>
          </w:p>
        </w:tc>
        <w:tc>
          <w:tcPr>
            <w:tcW w:w="627" w:type="dxa"/>
            <w:tcBorders>
              <w:top w:val="nil"/>
              <w:left w:val="nil"/>
              <w:bottom w:val="nil"/>
              <w:right w:val="nil"/>
            </w:tcBorders>
            <w:shd w:val="clear" w:color="auto" w:fill="auto"/>
            <w:noWrap/>
            <w:vAlign w:val="bottom"/>
            <w:hideMark/>
          </w:tcPr>
          <w:p w14:paraId="6D781F5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0.98</w:t>
            </w:r>
          </w:p>
        </w:tc>
        <w:tc>
          <w:tcPr>
            <w:tcW w:w="637" w:type="dxa"/>
            <w:tcBorders>
              <w:top w:val="nil"/>
              <w:left w:val="nil"/>
              <w:bottom w:val="nil"/>
              <w:right w:val="nil"/>
            </w:tcBorders>
            <w:shd w:val="clear" w:color="auto" w:fill="auto"/>
            <w:noWrap/>
            <w:vAlign w:val="bottom"/>
            <w:hideMark/>
          </w:tcPr>
          <w:p w14:paraId="3457CE9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10.19</w:t>
            </w:r>
          </w:p>
        </w:tc>
        <w:tc>
          <w:tcPr>
            <w:tcW w:w="627" w:type="dxa"/>
            <w:tcBorders>
              <w:top w:val="nil"/>
              <w:left w:val="nil"/>
              <w:bottom w:val="nil"/>
              <w:right w:val="nil"/>
            </w:tcBorders>
            <w:shd w:val="clear" w:color="auto" w:fill="auto"/>
            <w:noWrap/>
            <w:vAlign w:val="bottom"/>
            <w:hideMark/>
          </w:tcPr>
          <w:p w14:paraId="279D12F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0.96</w:t>
            </w:r>
          </w:p>
        </w:tc>
        <w:tc>
          <w:tcPr>
            <w:tcW w:w="637" w:type="dxa"/>
            <w:tcBorders>
              <w:top w:val="nil"/>
              <w:left w:val="nil"/>
              <w:bottom w:val="nil"/>
              <w:right w:val="nil"/>
            </w:tcBorders>
            <w:shd w:val="clear" w:color="auto" w:fill="auto"/>
            <w:noWrap/>
            <w:vAlign w:val="bottom"/>
            <w:hideMark/>
          </w:tcPr>
          <w:p w14:paraId="4FECF8E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18.03</w:t>
            </w:r>
          </w:p>
        </w:tc>
        <w:tc>
          <w:tcPr>
            <w:tcW w:w="627" w:type="dxa"/>
            <w:tcBorders>
              <w:top w:val="nil"/>
              <w:left w:val="nil"/>
              <w:bottom w:val="nil"/>
              <w:right w:val="nil"/>
            </w:tcBorders>
            <w:shd w:val="clear" w:color="auto" w:fill="auto"/>
            <w:noWrap/>
            <w:vAlign w:val="bottom"/>
            <w:hideMark/>
          </w:tcPr>
          <w:p w14:paraId="51157CB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0.59</w:t>
            </w:r>
          </w:p>
        </w:tc>
        <w:tc>
          <w:tcPr>
            <w:tcW w:w="637" w:type="dxa"/>
            <w:tcBorders>
              <w:top w:val="nil"/>
              <w:left w:val="nil"/>
              <w:bottom w:val="nil"/>
              <w:right w:val="nil"/>
            </w:tcBorders>
            <w:shd w:val="clear" w:color="auto" w:fill="auto"/>
            <w:noWrap/>
            <w:vAlign w:val="bottom"/>
            <w:hideMark/>
          </w:tcPr>
          <w:p w14:paraId="405EB7F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22.14</w:t>
            </w:r>
          </w:p>
        </w:tc>
        <w:tc>
          <w:tcPr>
            <w:tcW w:w="631" w:type="dxa"/>
            <w:tcBorders>
              <w:top w:val="nil"/>
              <w:left w:val="nil"/>
              <w:bottom w:val="nil"/>
              <w:right w:val="nil"/>
            </w:tcBorders>
            <w:shd w:val="clear" w:color="auto" w:fill="auto"/>
            <w:noWrap/>
            <w:vAlign w:val="bottom"/>
            <w:hideMark/>
          </w:tcPr>
          <w:p w14:paraId="0CC595F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0.33</w:t>
            </w:r>
          </w:p>
        </w:tc>
      </w:tr>
      <w:tr w:rsidR="00F92754" w:rsidRPr="00FF6562" w14:paraId="4780DFBF" w14:textId="77777777" w:rsidTr="004418B0">
        <w:trPr>
          <w:trHeight w:val="130"/>
          <w:jc w:val="center"/>
        </w:trPr>
        <w:tc>
          <w:tcPr>
            <w:tcW w:w="718" w:type="dxa"/>
            <w:tcBorders>
              <w:top w:val="nil"/>
              <w:left w:val="nil"/>
              <w:bottom w:val="single" w:sz="8" w:space="0" w:color="auto"/>
              <w:right w:val="nil"/>
            </w:tcBorders>
            <w:shd w:val="clear" w:color="auto" w:fill="auto"/>
            <w:noWrap/>
            <w:vAlign w:val="center"/>
            <w:hideMark/>
          </w:tcPr>
          <w:p w14:paraId="75700A5A" w14:textId="77777777" w:rsidR="00F92754" w:rsidRPr="00FF6562" w:rsidRDefault="00FE124F" w:rsidP="00875EB5">
            <w:pPr>
              <w:spacing w:after="0" w:line="240" w:lineRule="auto"/>
              <w:rPr>
                <w:rFonts w:ascii="Times New Roman" w:eastAsia="Times New Roman" w:hAnsi="Times New Roman" w:cs="Times New Roman"/>
                <w:sz w:val="20"/>
                <w:szCs w:val="20"/>
                <w:lang w:eastAsia="en-GB"/>
              </w:rPr>
            </w:pPr>
            <m:oMath>
              <m:sSubSup>
                <m:sSubSupPr>
                  <m:ctrlPr>
                    <w:rPr>
                      <w:rFonts w:ascii="Cambria Math" w:hAnsi="Cambria Math"/>
                      <w:i/>
                      <w:color w:val="000000" w:themeColor="text1"/>
                      <w:sz w:val="16"/>
                      <w:szCs w:val="16"/>
                      <w:lang w:eastAsia="en-GB"/>
                    </w:rPr>
                  </m:ctrlPr>
                </m:sSubSupPr>
                <m:e>
                  <m:r>
                    <w:rPr>
                      <w:rFonts w:ascii="Cambria Math" w:hAnsi="Cambria Math"/>
                      <w:color w:val="000000" w:themeColor="text1"/>
                      <w:sz w:val="16"/>
                      <w:szCs w:val="16"/>
                      <w:lang w:eastAsia="en-GB"/>
                    </w:rPr>
                    <m:t>Q</m:t>
                  </m:r>
                </m:e>
                <m:sub>
                  <m:r>
                    <w:rPr>
                      <w:rFonts w:ascii="Cambria Math" w:hAnsi="Cambria Math"/>
                      <w:color w:val="000000" w:themeColor="text1"/>
                      <w:sz w:val="16"/>
                      <w:szCs w:val="16"/>
                      <w:lang w:eastAsia="en-GB"/>
                    </w:rPr>
                    <m:t>2</m:t>
                  </m:r>
                </m:sub>
                <m:sup>
                  <m:r>
                    <w:rPr>
                      <w:rFonts w:ascii="Cambria Math" w:hAnsi="Cambria Math"/>
                      <w:color w:val="000000" w:themeColor="text1"/>
                      <w:sz w:val="16"/>
                      <w:szCs w:val="16"/>
                      <w:lang w:eastAsia="en-GB"/>
                    </w:rPr>
                    <m:t>2</m:t>
                  </m:r>
                </m:sup>
              </m:sSubSup>
            </m:oMath>
            <w:r w:rsidR="00F92754" w:rsidRPr="00AC2C84">
              <w:rPr>
                <w:color w:val="000000" w:themeColor="text1"/>
                <w:sz w:val="16"/>
                <w:szCs w:val="16"/>
                <w:lang w:eastAsia="en-GB"/>
              </w:rPr>
              <w:t>[20]</w:t>
            </w:r>
          </w:p>
        </w:tc>
        <w:tc>
          <w:tcPr>
            <w:tcW w:w="637" w:type="dxa"/>
            <w:tcBorders>
              <w:top w:val="nil"/>
              <w:left w:val="nil"/>
              <w:bottom w:val="single" w:sz="8" w:space="0" w:color="auto"/>
              <w:right w:val="nil"/>
            </w:tcBorders>
            <w:shd w:val="clear" w:color="auto" w:fill="auto"/>
            <w:noWrap/>
            <w:vAlign w:val="bottom"/>
            <w:hideMark/>
          </w:tcPr>
          <w:p w14:paraId="664A215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15.83</w:t>
            </w:r>
          </w:p>
        </w:tc>
        <w:tc>
          <w:tcPr>
            <w:tcW w:w="627" w:type="dxa"/>
            <w:tcBorders>
              <w:top w:val="nil"/>
              <w:left w:val="nil"/>
              <w:bottom w:val="single" w:sz="8" w:space="0" w:color="auto"/>
              <w:right w:val="nil"/>
            </w:tcBorders>
            <w:shd w:val="clear" w:color="auto" w:fill="auto"/>
            <w:noWrap/>
            <w:vAlign w:val="bottom"/>
            <w:hideMark/>
          </w:tcPr>
          <w:p w14:paraId="44EF0AF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0.31</w:t>
            </w:r>
          </w:p>
        </w:tc>
        <w:tc>
          <w:tcPr>
            <w:tcW w:w="637" w:type="dxa"/>
            <w:tcBorders>
              <w:top w:val="nil"/>
              <w:left w:val="nil"/>
              <w:bottom w:val="single" w:sz="8" w:space="0" w:color="auto"/>
              <w:right w:val="nil"/>
            </w:tcBorders>
            <w:shd w:val="clear" w:color="auto" w:fill="auto"/>
            <w:noWrap/>
            <w:vAlign w:val="bottom"/>
            <w:hideMark/>
          </w:tcPr>
          <w:p w14:paraId="218443DB"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19.21</w:t>
            </w:r>
          </w:p>
        </w:tc>
        <w:tc>
          <w:tcPr>
            <w:tcW w:w="627" w:type="dxa"/>
            <w:tcBorders>
              <w:top w:val="nil"/>
              <w:left w:val="nil"/>
              <w:bottom w:val="single" w:sz="8" w:space="0" w:color="auto"/>
              <w:right w:val="nil"/>
            </w:tcBorders>
            <w:shd w:val="clear" w:color="auto" w:fill="auto"/>
            <w:noWrap/>
            <w:vAlign w:val="bottom"/>
            <w:hideMark/>
          </w:tcPr>
          <w:p w14:paraId="6A2BDCC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w:t>
            </w:r>
          </w:p>
        </w:tc>
        <w:tc>
          <w:tcPr>
            <w:tcW w:w="637" w:type="dxa"/>
            <w:tcBorders>
              <w:top w:val="nil"/>
              <w:left w:val="nil"/>
              <w:bottom w:val="single" w:sz="8" w:space="0" w:color="auto"/>
              <w:right w:val="nil"/>
            </w:tcBorders>
            <w:shd w:val="clear" w:color="auto" w:fill="auto"/>
            <w:noWrap/>
            <w:vAlign w:val="bottom"/>
            <w:hideMark/>
          </w:tcPr>
          <w:p w14:paraId="2FC1D5A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11.03</w:t>
            </w:r>
          </w:p>
        </w:tc>
        <w:tc>
          <w:tcPr>
            <w:tcW w:w="627" w:type="dxa"/>
            <w:tcBorders>
              <w:top w:val="nil"/>
              <w:left w:val="nil"/>
              <w:bottom w:val="single" w:sz="8" w:space="0" w:color="auto"/>
              <w:right w:val="nil"/>
            </w:tcBorders>
            <w:shd w:val="clear" w:color="auto" w:fill="auto"/>
            <w:noWrap/>
            <w:vAlign w:val="bottom"/>
            <w:hideMark/>
          </w:tcPr>
          <w:p w14:paraId="3A2E17D9"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0.37</w:t>
            </w:r>
          </w:p>
        </w:tc>
        <w:tc>
          <w:tcPr>
            <w:tcW w:w="637" w:type="dxa"/>
            <w:tcBorders>
              <w:top w:val="nil"/>
              <w:left w:val="nil"/>
              <w:bottom w:val="single" w:sz="8" w:space="0" w:color="auto"/>
              <w:right w:val="nil"/>
            </w:tcBorders>
            <w:shd w:val="clear" w:color="auto" w:fill="auto"/>
            <w:noWrap/>
            <w:vAlign w:val="bottom"/>
            <w:hideMark/>
          </w:tcPr>
          <w:p w14:paraId="1555B1CE"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14.23</w:t>
            </w:r>
          </w:p>
        </w:tc>
        <w:tc>
          <w:tcPr>
            <w:tcW w:w="627" w:type="dxa"/>
            <w:tcBorders>
              <w:top w:val="nil"/>
              <w:left w:val="nil"/>
              <w:bottom w:val="single" w:sz="8" w:space="0" w:color="auto"/>
              <w:right w:val="nil"/>
            </w:tcBorders>
            <w:shd w:val="clear" w:color="auto" w:fill="auto"/>
            <w:noWrap/>
            <w:vAlign w:val="bottom"/>
            <w:hideMark/>
          </w:tcPr>
          <w:p w14:paraId="1392FABD"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0.34</w:t>
            </w:r>
          </w:p>
        </w:tc>
        <w:tc>
          <w:tcPr>
            <w:tcW w:w="714" w:type="dxa"/>
            <w:tcBorders>
              <w:top w:val="nil"/>
              <w:left w:val="nil"/>
              <w:bottom w:val="single" w:sz="8" w:space="0" w:color="auto"/>
              <w:right w:val="nil"/>
            </w:tcBorders>
            <w:shd w:val="clear" w:color="auto" w:fill="auto"/>
            <w:noWrap/>
            <w:vAlign w:val="bottom"/>
            <w:hideMark/>
          </w:tcPr>
          <w:p w14:paraId="08A9E26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14.70</w:t>
            </w:r>
          </w:p>
        </w:tc>
        <w:tc>
          <w:tcPr>
            <w:tcW w:w="627" w:type="dxa"/>
            <w:tcBorders>
              <w:top w:val="nil"/>
              <w:left w:val="nil"/>
              <w:bottom w:val="single" w:sz="8" w:space="0" w:color="auto"/>
              <w:right w:val="nil"/>
            </w:tcBorders>
            <w:shd w:val="clear" w:color="auto" w:fill="auto"/>
            <w:noWrap/>
            <w:vAlign w:val="bottom"/>
            <w:hideMark/>
          </w:tcPr>
          <w:p w14:paraId="785F56AA"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0.55</w:t>
            </w:r>
          </w:p>
        </w:tc>
        <w:tc>
          <w:tcPr>
            <w:tcW w:w="637" w:type="dxa"/>
            <w:tcBorders>
              <w:top w:val="nil"/>
              <w:left w:val="nil"/>
              <w:bottom w:val="single" w:sz="8" w:space="0" w:color="auto"/>
              <w:right w:val="nil"/>
            </w:tcBorders>
            <w:shd w:val="clear" w:color="auto" w:fill="auto"/>
            <w:noWrap/>
            <w:vAlign w:val="bottom"/>
            <w:hideMark/>
          </w:tcPr>
          <w:p w14:paraId="7C8CC25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13.50</w:t>
            </w:r>
          </w:p>
        </w:tc>
        <w:tc>
          <w:tcPr>
            <w:tcW w:w="627" w:type="dxa"/>
            <w:tcBorders>
              <w:top w:val="nil"/>
              <w:left w:val="nil"/>
              <w:bottom w:val="single" w:sz="8" w:space="0" w:color="auto"/>
              <w:right w:val="nil"/>
            </w:tcBorders>
            <w:shd w:val="clear" w:color="auto" w:fill="auto"/>
            <w:noWrap/>
            <w:vAlign w:val="bottom"/>
            <w:hideMark/>
          </w:tcPr>
          <w:p w14:paraId="3F09B837"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w:t>
            </w:r>
          </w:p>
        </w:tc>
        <w:tc>
          <w:tcPr>
            <w:tcW w:w="637" w:type="dxa"/>
            <w:tcBorders>
              <w:top w:val="nil"/>
              <w:left w:val="nil"/>
              <w:bottom w:val="single" w:sz="8" w:space="0" w:color="auto"/>
              <w:right w:val="nil"/>
            </w:tcBorders>
            <w:shd w:val="clear" w:color="auto" w:fill="auto"/>
            <w:noWrap/>
            <w:vAlign w:val="bottom"/>
            <w:hideMark/>
          </w:tcPr>
          <w:p w14:paraId="72ECD9A3"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12.49</w:t>
            </w:r>
          </w:p>
        </w:tc>
        <w:tc>
          <w:tcPr>
            <w:tcW w:w="627" w:type="dxa"/>
            <w:tcBorders>
              <w:top w:val="nil"/>
              <w:left w:val="nil"/>
              <w:bottom w:val="single" w:sz="8" w:space="0" w:color="auto"/>
              <w:right w:val="nil"/>
            </w:tcBorders>
            <w:shd w:val="clear" w:color="auto" w:fill="auto"/>
            <w:noWrap/>
            <w:vAlign w:val="bottom"/>
            <w:hideMark/>
          </w:tcPr>
          <w:p w14:paraId="0366433F"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w:t>
            </w:r>
          </w:p>
        </w:tc>
        <w:tc>
          <w:tcPr>
            <w:tcW w:w="637" w:type="dxa"/>
            <w:tcBorders>
              <w:top w:val="nil"/>
              <w:left w:val="nil"/>
              <w:bottom w:val="single" w:sz="8" w:space="0" w:color="auto"/>
              <w:right w:val="nil"/>
            </w:tcBorders>
            <w:shd w:val="clear" w:color="auto" w:fill="auto"/>
            <w:noWrap/>
            <w:vAlign w:val="bottom"/>
            <w:hideMark/>
          </w:tcPr>
          <w:p w14:paraId="052E734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29.08</w:t>
            </w:r>
          </w:p>
        </w:tc>
        <w:tc>
          <w:tcPr>
            <w:tcW w:w="627" w:type="dxa"/>
            <w:tcBorders>
              <w:top w:val="nil"/>
              <w:left w:val="nil"/>
              <w:bottom w:val="single" w:sz="8" w:space="0" w:color="auto"/>
              <w:right w:val="nil"/>
            </w:tcBorders>
            <w:shd w:val="clear" w:color="auto" w:fill="auto"/>
            <w:noWrap/>
            <w:vAlign w:val="bottom"/>
            <w:hideMark/>
          </w:tcPr>
          <w:p w14:paraId="6208FE6C"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0.10</w:t>
            </w:r>
          </w:p>
        </w:tc>
        <w:tc>
          <w:tcPr>
            <w:tcW w:w="637" w:type="dxa"/>
            <w:tcBorders>
              <w:top w:val="nil"/>
              <w:left w:val="nil"/>
              <w:bottom w:val="single" w:sz="8" w:space="0" w:color="auto"/>
              <w:right w:val="nil"/>
            </w:tcBorders>
            <w:shd w:val="clear" w:color="auto" w:fill="auto"/>
            <w:noWrap/>
            <w:vAlign w:val="bottom"/>
            <w:hideMark/>
          </w:tcPr>
          <w:p w14:paraId="0E1565B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12.17</w:t>
            </w:r>
          </w:p>
        </w:tc>
        <w:tc>
          <w:tcPr>
            <w:tcW w:w="627" w:type="dxa"/>
            <w:tcBorders>
              <w:top w:val="nil"/>
              <w:left w:val="nil"/>
              <w:bottom w:val="single" w:sz="8" w:space="0" w:color="auto"/>
              <w:right w:val="nil"/>
            </w:tcBorders>
            <w:shd w:val="clear" w:color="auto" w:fill="auto"/>
            <w:noWrap/>
            <w:vAlign w:val="bottom"/>
            <w:hideMark/>
          </w:tcPr>
          <w:p w14:paraId="65EB7684"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0.46</w:t>
            </w:r>
          </w:p>
        </w:tc>
        <w:tc>
          <w:tcPr>
            <w:tcW w:w="637" w:type="dxa"/>
            <w:tcBorders>
              <w:top w:val="nil"/>
              <w:left w:val="nil"/>
              <w:bottom w:val="single" w:sz="8" w:space="0" w:color="auto"/>
              <w:right w:val="nil"/>
            </w:tcBorders>
            <w:shd w:val="clear" w:color="auto" w:fill="auto"/>
            <w:noWrap/>
            <w:vAlign w:val="bottom"/>
            <w:hideMark/>
          </w:tcPr>
          <w:p w14:paraId="152E94C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18.42</w:t>
            </w:r>
          </w:p>
        </w:tc>
        <w:tc>
          <w:tcPr>
            <w:tcW w:w="627" w:type="dxa"/>
            <w:tcBorders>
              <w:top w:val="nil"/>
              <w:left w:val="nil"/>
              <w:bottom w:val="single" w:sz="8" w:space="0" w:color="auto"/>
              <w:right w:val="nil"/>
            </w:tcBorders>
            <w:shd w:val="clear" w:color="auto" w:fill="auto"/>
            <w:noWrap/>
            <w:vAlign w:val="bottom"/>
            <w:hideMark/>
          </w:tcPr>
          <w:p w14:paraId="370E3C35"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0.24</w:t>
            </w:r>
          </w:p>
        </w:tc>
        <w:tc>
          <w:tcPr>
            <w:tcW w:w="637" w:type="dxa"/>
            <w:tcBorders>
              <w:top w:val="nil"/>
              <w:left w:val="nil"/>
              <w:bottom w:val="single" w:sz="8" w:space="0" w:color="auto"/>
              <w:right w:val="nil"/>
            </w:tcBorders>
            <w:shd w:val="clear" w:color="auto" w:fill="auto"/>
            <w:noWrap/>
            <w:vAlign w:val="bottom"/>
            <w:hideMark/>
          </w:tcPr>
          <w:p w14:paraId="382893A6"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15.21</w:t>
            </w:r>
          </w:p>
        </w:tc>
        <w:tc>
          <w:tcPr>
            <w:tcW w:w="631" w:type="dxa"/>
            <w:tcBorders>
              <w:top w:val="nil"/>
              <w:left w:val="nil"/>
              <w:bottom w:val="single" w:sz="8" w:space="0" w:color="auto"/>
              <w:right w:val="nil"/>
            </w:tcBorders>
            <w:shd w:val="clear" w:color="auto" w:fill="auto"/>
            <w:noWrap/>
            <w:vAlign w:val="bottom"/>
            <w:hideMark/>
          </w:tcPr>
          <w:p w14:paraId="07B50B58" w14:textId="77777777" w:rsidR="00F92754" w:rsidRPr="00FF6562" w:rsidRDefault="00F92754" w:rsidP="00875EB5">
            <w:pPr>
              <w:spacing w:after="0" w:line="240" w:lineRule="auto"/>
              <w:rPr>
                <w:rFonts w:ascii="Times New Roman" w:eastAsia="Times New Roman" w:hAnsi="Times New Roman" w:cs="Times New Roman"/>
                <w:sz w:val="16"/>
                <w:szCs w:val="16"/>
                <w:lang w:eastAsia="en-GB"/>
              </w:rPr>
            </w:pPr>
            <w:r w:rsidRPr="00FF6562">
              <w:rPr>
                <w:rFonts w:ascii="Times New Roman" w:eastAsia="Times New Roman" w:hAnsi="Times New Roman" w:cs="Times New Roman"/>
                <w:sz w:val="16"/>
                <w:szCs w:val="16"/>
                <w:lang w:eastAsia="en-GB"/>
              </w:rPr>
              <w:t>0.17</w:t>
            </w:r>
          </w:p>
        </w:tc>
      </w:tr>
    </w:tbl>
    <w:p w14:paraId="28CE36D7" w14:textId="1CCD7C53" w:rsidR="00297F06" w:rsidRDefault="00297F06" w:rsidP="00AE345F">
      <w:pPr>
        <w:spacing w:before="240" w:after="0" w:line="360" w:lineRule="auto"/>
        <w:jc w:val="both"/>
        <w:rPr>
          <w:rFonts w:ascii="Times New Roman" w:hAnsi="Times New Roman" w:cs="Times New Roman"/>
          <w:sz w:val="24"/>
          <w:szCs w:val="24"/>
          <w:shd w:val="clear" w:color="auto" w:fill="FFFFFF"/>
        </w:rPr>
      </w:pPr>
    </w:p>
    <w:p w14:paraId="73471541" w14:textId="77777777" w:rsidR="00E453FA" w:rsidRDefault="00E453FA" w:rsidP="00A56C42">
      <w:pPr>
        <w:jc w:val="center"/>
        <w:rPr>
          <w:rFonts w:ascii="Times New Roman" w:hAnsi="Times New Roman" w:cs="Times New Roman"/>
          <w:b/>
          <w:bCs/>
          <w:sz w:val="24"/>
          <w:szCs w:val="24"/>
        </w:rPr>
      </w:pPr>
    </w:p>
    <w:p w14:paraId="1A024DF2" w14:textId="544EEF81" w:rsidR="00BE3A0F" w:rsidRPr="00A56C42" w:rsidRDefault="00BE3A0F" w:rsidP="00A56C42">
      <w:pPr>
        <w:jc w:val="center"/>
        <w:rPr>
          <w:rFonts w:ascii="Times New Roman" w:hAnsi="Times New Roman" w:cs="Times New Roman"/>
          <w:b/>
          <w:bCs/>
          <w:sz w:val="24"/>
          <w:szCs w:val="24"/>
        </w:rPr>
      </w:pPr>
      <w:r w:rsidRPr="00A56C42">
        <w:rPr>
          <w:rFonts w:ascii="Times New Roman" w:hAnsi="Times New Roman" w:cs="Times New Roman"/>
          <w:b/>
          <w:bCs/>
          <w:sz w:val="24"/>
          <w:szCs w:val="24"/>
        </w:rPr>
        <w:lastRenderedPageBreak/>
        <w:t>Table 6. Conditional correlations</w:t>
      </w:r>
    </w:p>
    <w:tbl>
      <w:tblPr>
        <w:tblW w:w="11398" w:type="dxa"/>
        <w:tblBorders>
          <w:top w:val="single" w:sz="4" w:space="0" w:color="auto"/>
          <w:bottom w:val="single" w:sz="4" w:space="0" w:color="auto"/>
        </w:tblBorders>
        <w:tblLook w:val="04A0" w:firstRow="1" w:lastRow="0" w:firstColumn="1" w:lastColumn="0" w:noHBand="0" w:noVBand="1"/>
      </w:tblPr>
      <w:tblGrid>
        <w:gridCol w:w="3409"/>
        <w:gridCol w:w="2014"/>
        <w:gridCol w:w="416"/>
        <w:gridCol w:w="864"/>
        <w:gridCol w:w="416"/>
        <w:gridCol w:w="3011"/>
        <w:gridCol w:w="2014"/>
        <w:gridCol w:w="416"/>
        <w:gridCol w:w="1580"/>
      </w:tblGrid>
      <w:tr w:rsidR="00E453FA" w:rsidRPr="00FF6562" w14:paraId="02531805" w14:textId="77777777" w:rsidTr="00875EB5">
        <w:trPr>
          <w:trHeight w:val="283"/>
        </w:trPr>
        <w:tc>
          <w:tcPr>
            <w:tcW w:w="0" w:type="auto"/>
            <w:gridSpan w:val="9"/>
            <w:tcBorders>
              <w:top w:val="single" w:sz="4" w:space="0" w:color="auto"/>
              <w:bottom w:val="single" w:sz="4" w:space="0" w:color="auto"/>
            </w:tcBorders>
            <w:shd w:val="clear" w:color="auto" w:fill="auto"/>
            <w:noWrap/>
            <w:vAlign w:val="bottom"/>
          </w:tcPr>
          <w:p w14:paraId="75BA2CBC" w14:textId="6115EF42" w:rsidR="00E453FA" w:rsidRPr="00E453FA" w:rsidRDefault="00E453FA" w:rsidP="00875EB5">
            <w:pPr>
              <w:spacing w:after="0" w:line="240" w:lineRule="auto"/>
              <w:rPr>
                <w:rFonts w:ascii="Times New Roman" w:eastAsia="Times New Roman" w:hAnsi="Times New Roman" w:cs="Times New Roman"/>
                <w:sz w:val="20"/>
                <w:szCs w:val="20"/>
                <w:lang w:eastAsia="en-GB"/>
              </w:rPr>
            </w:pPr>
            <w:r w:rsidRPr="00E453FA">
              <w:rPr>
                <w:rFonts w:ascii="Times New Roman" w:eastAsia="Times New Roman" w:hAnsi="Times New Roman" w:cs="Times New Roman"/>
                <w:sz w:val="20"/>
                <w:szCs w:val="20"/>
                <w:lang w:eastAsia="en-GB"/>
              </w:rPr>
              <w:t xml:space="preserve">This table provides the average time-varying correlations between the pairs of Islamic sector-Onegram and Islamic sector-X8X during the </w:t>
            </w:r>
            <w:proofErr w:type="gramStart"/>
            <w:r w:rsidRPr="00E453FA">
              <w:rPr>
                <w:rFonts w:ascii="Times New Roman" w:eastAsia="Times New Roman" w:hAnsi="Times New Roman" w:cs="Times New Roman"/>
                <w:sz w:val="20"/>
                <w:szCs w:val="20"/>
                <w:lang w:eastAsia="en-GB"/>
              </w:rPr>
              <w:t>two sample</w:t>
            </w:r>
            <w:proofErr w:type="gramEnd"/>
            <w:r w:rsidRPr="00E453FA">
              <w:rPr>
                <w:rFonts w:ascii="Times New Roman" w:eastAsia="Times New Roman" w:hAnsi="Times New Roman" w:cs="Times New Roman"/>
                <w:sz w:val="20"/>
                <w:szCs w:val="20"/>
                <w:lang w:eastAsia="en-GB"/>
              </w:rPr>
              <w:t xml:space="preserve"> period, including the pre-COVID-19 period and the COVID-19 period. </w:t>
            </w:r>
            <w:r w:rsidRPr="004418B0">
              <w:rPr>
                <w:rFonts w:ascii="Times New Roman" w:eastAsia="Times New Roman" w:hAnsi="Times New Roman" w:cs="Times New Roman"/>
                <w:sz w:val="20"/>
                <w:szCs w:val="20"/>
                <w:lang w:eastAsia="en-GB"/>
              </w:rPr>
              <w:t>Following are the full forms of different acronyms used in the table:</w:t>
            </w:r>
            <w:r w:rsidRPr="00E453FA">
              <w:rPr>
                <w:rFonts w:ascii="Times New Roman" w:eastAsia="Times New Roman" w:hAnsi="Times New Roman" w:cs="Times New Roman"/>
                <w:sz w:val="20"/>
                <w:szCs w:val="20"/>
                <w:lang w:eastAsia="en-GB"/>
              </w:rPr>
              <w:t xml:space="preserve"> </w:t>
            </w:r>
            <w:r w:rsidRPr="00E453FA">
              <w:rPr>
                <w:rFonts w:ascii="Times New Roman" w:hAnsi="Times New Roman" w:cs="Times New Roman"/>
                <w:sz w:val="20"/>
                <w:szCs w:val="20"/>
              </w:rPr>
              <w:t xml:space="preserve">Com. services-communication services, consumer disc.-consumer discretionary, consumer </w:t>
            </w:r>
            <w:proofErr w:type="spellStart"/>
            <w:r w:rsidRPr="00E453FA">
              <w:rPr>
                <w:rFonts w:ascii="Times New Roman" w:hAnsi="Times New Roman" w:cs="Times New Roman"/>
                <w:sz w:val="20"/>
                <w:szCs w:val="20"/>
              </w:rPr>
              <w:t>stap</w:t>
            </w:r>
            <w:proofErr w:type="spellEnd"/>
            <w:r w:rsidRPr="00E453FA">
              <w:rPr>
                <w:rFonts w:ascii="Times New Roman" w:hAnsi="Times New Roman" w:cs="Times New Roman"/>
                <w:sz w:val="20"/>
                <w:szCs w:val="20"/>
              </w:rPr>
              <w:t>-consumer staples, Information tech.-Information technology.</w:t>
            </w:r>
          </w:p>
        </w:tc>
      </w:tr>
      <w:tr w:rsidR="00E453FA" w:rsidRPr="00FF6562" w14:paraId="2E2A12DE" w14:textId="77777777" w:rsidTr="00E453FA">
        <w:trPr>
          <w:trHeight w:val="283"/>
        </w:trPr>
        <w:tc>
          <w:tcPr>
            <w:tcW w:w="0" w:type="auto"/>
            <w:tcBorders>
              <w:top w:val="single" w:sz="4" w:space="0" w:color="auto"/>
            </w:tcBorders>
            <w:shd w:val="clear" w:color="auto" w:fill="auto"/>
            <w:noWrap/>
            <w:vAlign w:val="bottom"/>
            <w:hideMark/>
          </w:tcPr>
          <w:p w14:paraId="6574F209" w14:textId="77777777" w:rsidR="00BE3A0F" w:rsidRPr="00FF6562" w:rsidRDefault="00BE3A0F" w:rsidP="00875EB5">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auto"/>
              <w:bottom w:val="single" w:sz="4" w:space="0" w:color="auto"/>
            </w:tcBorders>
            <w:shd w:val="clear" w:color="auto" w:fill="auto"/>
            <w:noWrap/>
            <w:vAlign w:val="bottom"/>
            <w:hideMark/>
          </w:tcPr>
          <w:p w14:paraId="52763B2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Pre-COVID-19</w:t>
            </w:r>
          </w:p>
        </w:tc>
        <w:tc>
          <w:tcPr>
            <w:tcW w:w="0" w:type="auto"/>
            <w:tcBorders>
              <w:top w:val="single" w:sz="4" w:space="0" w:color="auto"/>
            </w:tcBorders>
            <w:shd w:val="clear" w:color="auto" w:fill="auto"/>
            <w:noWrap/>
            <w:vAlign w:val="bottom"/>
            <w:hideMark/>
          </w:tcPr>
          <w:p w14:paraId="1CC838F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gridSpan w:val="2"/>
            <w:tcBorders>
              <w:top w:val="single" w:sz="4" w:space="0" w:color="auto"/>
              <w:bottom w:val="single" w:sz="4" w:space="0" w:color="auto"/>
            </w:tcBorders>
            <w:shd w:val="clear" w:color="auto" w:fill="auto"/>
            <w:noWrap/>
            <w:vAlign w:val="bottom"/>
            <w:hideMark/>
          </w:tcPr>
          <w:p w14:paraId="483EF204"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COVID-19</w:t>
            </w:r>
          </w:p>
        </w:tc>
        <w:tc>
          <w:tcPr>
            <w:tcW w:w="0" w:type="auto"/>
            <w:tcBorders>
              <w:top w:val="single" w:sz="4" w:space="0" w:color="auto"/>
            </w:tcBorders>
            <w:shd w:val="clear" w:color="auto" w:fill="auto"/>
            <w:noWrap/>
            <w:vAlign w:val="bottom"/>
            <w:hideMark/>
          </w:tcPr>
          <w:p w14:paraId="31D74E75"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auto"/>
              <w:bottom w:val="single" w:sz="4" w:space="0" w:color="auto"/>
            </w:tcBorders>
            <w:shd w:val="clear" w:color="auto" w:fill="auto"/>
            <w:noWrap/>
            <w:vAlign w:val="bottom"/>
            <w:hideMark/>
          </w:tcPr>
          <w:p w14:paraId="2BE9B187"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Pre-COVID-19</w:t>
            </w:r>
          </w:p>
        </w:tc>
        <w:tc>
          <w:tcPr>
            <w:tcW w:w="0" w:type="auto"/>
            <w:tcBorders>
              <w:top w:val="single" w:sz="4" w:space="0" w:color="auto"/>
            </w:tcBorders>
            <w:shd w:val="clear" w:color="auto" w:fill="auto"/>
            <w:noWrap/>
            <w:vAlign w:val="bottom"/>
            <w:hideMark/>
          </w:tcPr>
          <w:p w14:paraId="3F4C4569"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auto"/>
              <w:bottom w:val="single" w:sz="4" w:space="0" w:color="auto"/>
            </w:tcBorders>
            <w:shd w:val="clear" w:color="auto" w:fill="auto"/>
            <w:noWrap/>
            <w:vAlign w:val="bottom"/>
            <w:hideMark/>
          </w:tcPr>
          <w:p w14:paraId="6C0F9DEA"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COVID-19</w:t>
            </w:r>
          </w:p>
        </w:tc>
      </w:tr>
      <w:tr w:rsidR="00E453FA" w:rsidRPr="00FF6562" w14:paraId="1FD98CAC" w14:textId="77777777" w:rsidTr="00875EB5">
        <w:trPr>
          <w:trHeight w:val="283"/>
        </w:trPr>
        <w:tc>
          <w:tcPr>
            <w:tcW w:w="0" w:type="auto"/>
            <w:shd w:val="clear" w:color="auto" w:fill="auto"/>
            <w:noWrap/>
            <w:vAlign w:val="bottom"/>
            <w:hideMark/>
          </w:tcPr>
          <w:p w14:paraId="1F22A80A"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Com. services</w:t>
            </w:r>
            <w:r>
              <w:rPr>
                <w:rFonts w:ascii="Times New Roman" w:eastAsia="Times New Roman" w:hAnsi="Times New Roman" w:cs="Times New Roman"/>
                <w:sz w:val="20"/>
                <w:szCs w:val="20"/>
                <w:lang w:eastAsia="en-GB"/>
              </w:rPr>
              <w:t>/Onegram</w:t>
            </w:r>
          </w:p>
        </w:tc>
        <w:tc>
          <w:tcPr>
            <w:tcW w:w="0" w:type="auto"/>
            <w:tcBorders>
              <w:top w:val="single" w:sz="4" w:space="0" w:color="auto"/>
            </w:tcBorders>
            <w:shd w:val="clear" w:color="auto" w:fill="auto"/>
            <w:noWrap/>
            <w:vAlign w:val="bottom"/>
            <w:hideMark/>
          </w:tcPr>
          <w:p w14:paraId="0F9555D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w:t>
            </w:r>
          </w:p>
        </w:tc>
        <w:tc>
          <w:tcPr>
            <w:tcW w:w="0" w:type="auto"/>
            <w:shd w:val="clear" w:color="auto" w:fill="auto"/>
            <w:noWrap/>
            <w:vAlign w:val="bottom"/>
            <w:hideMark/>
          </w:tcPr>
          <w:p w14:paraId="6F0BA4A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4" w:space="0" w:color="auto"/>
            </w:tcBorders>
            <w:shd w:val="clear" w:color="auto" w:fill="auto"/>
            <w:noWrap/>
            <w:vAlign w:val="bottom"/>
            <w:hideMark/>
          </w:tcPr>
          <w:p w14:paraId="2CB94CD4"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0.08</w:t>
            </w:r>
          </w:p>
        </w:tc>
        <w:tc>
          <w:tcPr>
            <w:tcW w:w="0" w:type="auto"/>
            <w:tcBorders>
              <w:top w:val="single" w:sz="4" w:space="0" w:color="auto"/>
            </w:tcBorders>
            <w:shd w:val="clear" w:color="auto" w:fill="auto"/>
            <w:noWrap/>
            <w:vAlign w:val="bottom"/>
            <w:hideMark/>
          </w:tcPr>
          <w:p w14:paraId="5BC51BAF"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33C3EB08"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Com. services</w:t>
            </w:r>
            <w:r>
              <w:rPr>
                <w:rFonts w:ascii="Times New Roman" w:eastAsia="Times New Roman" w:hAnsi="Times New Roman" w:cs="Times New Roman"/>
                <w:sz w:val="20"/>
                <w:szCs w:val="20"/>
                <w:lang w:eastAsia="en-GB"/>
              </w:rPr>
              <w:t>/X8X</w:t>
            </w:r>
          </w:p>
        </w:tc>
        <w:tc>
          <w:tcPr>
            <w:tcW w:w="0" w:type="auto"/>
            <w:tcBorders>
              <w:top w:val="single" w:sz="4" w:space="0" w:color="auto"/>
            </w:tcBorders>
            <w:shd w:val="clear" w:color="auto" w:fill="auto"/>
            <w:noWrap/>
            <w:vAlign w:val="bottom"/>
            <w:hideMark/>
          </w:tcPr>
          <w:p w14:paraId="7E1C5F4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-0.19</w:t>
            </w:r>
          </w:p>
        </w:tc>
        <w:tc>
          <w:tcPr>
            <w:tcW w:w="0" w:type="auto"/>
            <w:shd w:val="clear" w:color="auto" w:fill="auto"/>
            <w:noWrap/>
            <w:vAlign w:val="bottom"/>
            <w:hideMark/>
          </w:tcPr>
          <w:p w14:paraId="21812587"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tcBorders>
              <w:top w:val="single" w:sz="4" w:space="0" w:color="auto"/>
            </w:tcBorders>
            <w:shd w:val="clear" w:color="auto" w:fill="auto"/>
            <w:noWrap/>
            <w:vAlign w:val="bottom"/>
            <w:hideMark/>
          </w:tcPr>
          <w:p w14:paraId="72897EF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0.14</w:t>
            </w:r>
          </w:p>
        </w:tc>
      </w:tr>
      <w:tr w:rsidR="00E453FA" w:rsidRPr="00FF6562" w14:paraId="398DF684" w14:textId="77777777" w:rsidTr="00875EB5">
        <w:trPr>
          <w:trHeight w:val="283"/>
        </w:trPr>
        <w:tc>
          <w:tcPr>
            <w:tcW w:w="0" w:type="auto"/>
            <w:shd w:val="clear" w:color="auto" w:fill="auto"/>
            <w:noWrap/>
            <w:vAlign w:val="bottom"/>
            <w:hideMark/>
          </w:tcPr>
          <w:p w14:paraId="77F67786"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Consumer disc.</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p>
        </w:tc>
        <w:tc>
          <w:tcPr>
            <w:tcW w:w="0" w:type="auto"/>
            <w:shd w:val="clear" w:color="auto" w:fill="auto"/>
            <w:noWrap/>
            <w:vAlign w:val="bottom"/>
            <w:hideMark/>
          </w:tcPr>
          <w:p w14:paraId="4554561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w:t>
            </w:r>
          </w:p>
        </w:tc>
        <w:tc>
          <w:tcPr>
            <w:tcW w:w="0" w:type="auto"/>
            <w:shd w:val="clear" w:color="auto" w:fill="auto"/>
            <w:noWrap/>
            <w:vAlign w:val="bottom"/>
            <w:hideMark/>
          </w:tcPr>
          <w:p w14:paraId="4F77F830"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487933FC"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0.13</w:t>
            </w:r>
          </w:p>
        </w:tc>
        <w:tc>
          <w:tcPr>
            <w:tcW w:w="0" w:type="auto"/>
            <w:shd w:val="clear" w:color="auto" w:fill="auto"/>
            <w:noWrap/>
            <w:vAlign w:val="bottom"/>
            <w:hideMark/>
          </w:tcPr>
          <w:p w14:paraId="6CCC2F9F"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704BE83C"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Consumer disc.</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p>
        </w:tc>
        <w:tc>
          <w:tcPr>
            <w:tcW w:w="0" w:type="auto"/>
            <w:shd w:val="clear" w:color="auto" w:fill="auto"/>
            <w:noWrap/>
            <w:vAlign w:val="bottom"/>
            <w:hideMark/>
          </w:tcPr>
          <w:p w14:paraId="2B19413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-0.15</w:t>
            </w:r>
          </w:p>
        </w:tc>
        <w:tc>
          <w:tcPr>
            <w:tcW w:w="0" w:type="auto"/>
            <w:shd w:val="clear" w:color="auto" w:fill="auto"/>
            <w:noWrap/>
            <w:vAlign w:val="bottom"/>
            <w:hideMark/>
          </w:tcPr>
          <w:p w14:paraId="02E74807"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7DC2E9B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0.10</w:t>
            </w:r>
          </w:p>
        </w:tc>
      </w:tr>
      <w:tr w:rsidR="00E453FA" w:rsidRPr="00FF6562" w14:paraId="1F56AF53" w14:textId="77777777" w:rsidTr="00875EB5">
        <w:trPr>
          <w:trHeight w:val="283"/>
        </w:trPr>
        <w:tc>
          <w:tcPr>
            <w:tcW w:w="0" w:type="auto"/>
            <w:shd w:val="clear" w:color="auto" w:fill="auto"/>
            <w:noWrap/>
            <w:vAlign w:val="bottom"/>
            <w:hideMark/>
          </w:tcPr>
          <w:p w14:paraId="1637044A"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 xml:space="preserve">Consumer </w:t>
            </w:r>
            <w:proofErr w:type="spellStart"/>
            <w:r w:rsidRPr="006F0415">
              <w:rPr>
                <w:rFonts w:ascii="Times New Roman" w:eastAsia="Times New Roman" w:hAnsi="Times New Roman" w:cs="Times New Roman"/>
                <w:sz w:val="20"/>
                <w:szCs w:val="20"/>
                <w:lang w:eastAsia="en-GB"/>
              </w:rPr>
              <w:t>stap</w:t>
            </w:r>
            <w:proofErr w:type="spellEnd"/>
            <w:r w:rsidRPr="006F0415">
              <w:rPr>
                <w:rFonts w:ascii="Times New Roman" w:eastAsia="Times New Roman" w:hAnsi="Times New Roman" w:cs="Times New Roman"/>
                <w:sz w:val="20"/>
                <w:szCs w:val="20"/>
                <w:lang w:eastAsia="en-GB"/>
              </w:rPr>
              <w:t>.</w:t>
            </w:r>
            <w:r w:rsidRPr="00FF6562">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Onegram</w:t>
            </w:r>
          </w:p>
        </w:tc>
        <w:tc>
          <w:tcPr>
            <w:tcW w:w="0" w:type="auto"/>
            <w:shd w:val="clear" w:color="auto" w:fill="auto"/>
            <w:noWrap/>
            <w:vAlign w:val="bottom"/>
            <w:hideMark/>
          </w:tcPr>
          <w:p w14:paraId="57AC58A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w:t>
            </w:r>
          </w:p>
        </w:tc>
        <w:tc>
          <w:tcPr>
            <w:tcW w:w="0" w:type="auto"/>
            <w:shd w:val="clear" w:color="auto" w:fill="auto"/>
            <w:noWrap/>
            <w:vAlign w:val="bottom"/>
            <w:hideMark/>
          </w:tcPr>
          <w:p w14:paraId="09D213B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5B4A9EBB"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0.17</w:t>
            </w:r>
          </w:p>
        </w:tc>
        <w:tc>
          <w:tcPr>
            <w:tcW w:w="0" w:type="auto"/>
            <w:shd w:val="clear" w:color="auto" w:fill="auto"/>
            <w:noWrap/>
            <w:vAlign w:val="bottom"/>
            <w:hideMark/>
          </w:tcPr>
          <w:p w14:paraId="58B84A91"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31118653"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 xml:space="preserve">Consumer </w:t>
            </w:r>
            <w:proofErr w:type="spellStart"/>
            <w:r w:rsidRPr="006F0415">
              <w:rPr>
                <w:rFonts w:ascii="Times New Roman" w:eastAsia="Times New Roman" w:hAnsi="Times New Roman" w:cs="Times New Roman"/>
                <w:sz w:val="20"/>
                <w:szCs w:val="20"/>
                <w:lang w:eastAsia="en-GB"/>
              </w:rPr>
              <w:t>stap</w:t>
            </w:r>
            <w:proofErr w:type="spellEnd"/>
            <w:r w:rsidRPr="006F0415">
              <w:rPr>
                <w:rFonts w:ascii="Times New Roman" w:eastAsia="Times New Roman" w:hAnsi="Times New Roman" w:cs="Times New Roman"/>
                <w:sz w:val="20"/>
                <w:szCs w:val="20"/>
                <w:lang w:eastAsia="en-GB"/>
              </w:rPr>
              <w:t>.</w:t>
            </w:r>
            <w:r w:rsidRPr="00FF6562">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 X8X</w:t>
            </w:r>
          </w:p>
        </w:tc>
        <w:tc>
          <w:tcPr>
            <w:tcW w:w="0" w:type="auto"/>
            <w:shd w:val="clear" w:color="auto" w:fill="auto"/>
            <w:noWrap/>
            <w:vAlign w:val="bottom"/>
            <w:hideMark/>
          </w:tcPr>
          <w:p w14:paraId="085AFC5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w:t>
            </w:r>
          </w:p>
        </w:tc>
        <w:tc>
          <w:tcPr>
            <w:tcW w:w="0" w:type="auto"/>
            <w:shd w:val="clear" w:color="auto" w:fill="auto"/>
            <w:noWrap/>
            <w:vAlign w:val="bottom"/>
            <w:hideMark/>
          </w:tcPr>
          <w:p w14:paraId="258F5572"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06CDC6F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0.13</w:t>
            </w:r>
          </w:p>
        </w:tc>
      </w:tr>
      <w:tr w:rsidR="00E453FA" w:rsidRPr="00FF6562" w14:paraId="1C8A4C7B" w14:textId="77777777" w:rsidTr="00875EB5">
        <w:trPr>
          <w:trHeight w:val="283"/>
        </w:trPr>
        <w:tc>
          <w:tcPr>
            <w:tcW w:w="0" w:type="auto"/>
            <w:shd w:val="clear" w:color="auto" w:fill="auto"/>
            <w:noWrap/>
            <w:vAlign w:val="bottom"/>
            <w:hideMark/>
          </w:tcPr>
          <w:p w14:paraId="5B90C277"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Energy</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p>
        </w:tc>
        <w:tc>
          <w:tcPr>
            <w:tcW w:w="0" w:type="auto"/>
            <w:shd w:val="clear" w:color="auto" w:fill="auto"/>
            <w:noWrap/>
            <w:vAlign w:val="bottom"/>
            <w:hideMark/>
          </w:tcPr>
          <w:p w14:paraId="5B813BB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w:t>
            </w:r>
          </w:p>
        </w:tc>
        <w:tc>
          <w:tcPr>
            <w:tcW w:w="0" w:type="auto"/>
            <w:shd w:val="clear" w:color="auto" w:fill="auto"/>
            <w:noWrap/>
            <w:vAlign w:val="bottom"/>
            <w:hideMark/>
          </w:tcPr>
          <w:p w14:paraId="07DD2903"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4A7B14C8"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w:t>
            </w:r>
          </w:p>
        </w:tc>
        <w:tc>
          <w:tcPr>
            <w:tcW w:w="0" w:type="auto"/>
            <w:shd w:val="clear" w:color="auto" w:fill="auto"/>
            <w:noWrap/>
            <w:vAlign w:val="bottom"/>
            <w:hideMark/>
          </w:tcPr>
          <w:p w14:paraId="6ED91B70"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19FE8F47"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Energy</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p>
        </w:tc>
        <w:tc>
          <w:tcPr>
            <w:tcW w:w="0" w:type="auto"/>
            <w:shd w:val="clear" w:color="auto" w:fill="auto"/>
            <w:noWrap/>
            <w:vAlign w:val="bottom"/>
            <w:hideMark/>
          </w:tcPr>
          <w:p w14:paraId="55CB465F"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-0.11</w:t>
            </w:r>
          </w:p>
        </w:tc>
        <w:tc>
          <w:tcPr>
            <w:tcW w:w="0" w:type="auto"/>
            <w:shd w:val="clear" w:color="auto" w:fill="auto"/>
            <w:noWrap/>
            <w:vAlign w:val="bottom"/>
            <w:hideMark/>
          </w:tcPr>
          <w:p w14:paraId="72579176"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24744BB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0.08</w:t>
            </w:r>
          </w:p>
        </w:tc>
      </w:tr>
      <w:tr w:rsidR="00E453FA" w:rsidRPr="00FF6562" w14:paraId="73D0C96C" w14:textId="77777777" w:rsidTr="00875EB5">
        <w:trPr>
          <w:trHeight w:val="283"/>
        </w:trPr>
        <w:tc>
          <w:tcPr>
            <w:tcW w:w="0" w:type="auto"/>
            <w:shd w:val="clear" w:color="auto" w:fill="auto"/>
            <w:noWrap/>
            <w:vAlign w:val="bottom"/>
            <w:hideMark/>
          </w:tcPr>
          <w:p w14:paraId="00A4D4B8"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Financials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r w:rsidRPr="00FF6562">
              <w:rPr>
                <w:rFonts w:ascii="Times New Roman" w:eastAsia="Times New Roman" w:hAnsi="Times New Roman" w:cs="Times New Roman"/>
                <w:sz w:val="20"/>
                <w:szCs w:val="20"/>
                <w:lang w:eastAsia="en-GB"/>
              </w:rPr>
              <w:t xml:space="preserve"> </w:t>
            </w:r>
          </w:p>
        </w:tc>
        <w:tc>
          <w:tcPr>
            <w:tcW w:w="0" w:type="auto"/>
            <w:shd w:val="clear" w:color="auto" w:fill="auto"/>
            <w:noWrap/>
            <w:vAlign w:val="bottom"/>
            <w:hideMark/>
          </w:tcPr>
          <w:p w14:paraId="4E8135A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-0.03</w:t>
            </w:r>
          </w:p>
        </w:tc>
        <w:tc>
          <w:tcPr>
            <w:tcW w:w="0" w:type="auto"/>
            <w:shd w:val="clear" w:color="auto" w:fill="auto"/>
            <w:noWrap/>
            <w:vAlign w:val="bottom"/>
            <w:hideMark/>
          </w:tcPr>
          <w:p w14:paraId="4DF3A12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167A52E7"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0.14</w:t>
            </w:r>
          </w:p>
        </w:tc>
        <w:tc>
          <w:tcPr>
            <w:tcW w:w="0" w:type="auto"/>
            <w:shd w:val="clear" w:color="auto" w:fill="auto"/>
            <w:noWrap/>
            <w:vAlign w:val="bottom"/>
            <w:hideMark/>
          </w:tcPr>
          <w:p w14:paraId="6DCB1373"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22B61113"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Financials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r w:rsidRPr="00FF6562">
              <w:rPr>
                <w:rFonts w:ascii="Times New Roman" w:eastAsia="Times New Roman" w:hAnsi="Times New Roman" w:cs="Times New Roman"/>
                <w:sz w:val="20"/>
                <w:szCs w:val="20"/>
                <w:lang w:eastAsia="en-GB"/>
              </w:rPr>
              <w:t xml:space="preserve"> </w:t>
            </w:r>
          </w:p>
        </w:tc>
        <w:tc>
          <w:tcPr>
            <w:tcW w:w="0" w:type="auto"/>
            <w:shd w:val="clear" w:color="auto" w:fill="auto"/>
            <w:noWrap/>
            <w:vAlign w:val="bottom"/>
            <w:hideMark/>
          </w:tcPr>
          <w:p w14:paraId="3DB9C7C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-0.11</w:t>
            </w:r>
          </w:p>
        </w:tc>
        <w:tc>
          <w:tcPr>
            <w:tcW w:w="0" w:type="auto"/>
            <w:shd w:val="clear" w:color="auto" w:fill="auto"/>
            <w:noWrap/>
            <w:vAlign w:val="bottom"/>
            <w:hideMark/>
          </w:tcPr>
          <w:p w14:paraId="1B317715"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53B2220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0.12</w:t>
            </w:r>
          </w:p>
        </w:tc>
      </w:tr>
      <w:tr w:rsidR="00E453FA" w:rsidRPr="00FF6562" w14:paraId="7FDED743" w14:textId="77777777" w:rsidTr="00875EB5">
        <w:trPr>
          <w:trHeight w:val="283"/>
        </w:trPr>
        <w:tc>
          <w:tcPr>
            <w:tcW w:w="0" w:type="auto"/>
            <w:shd w:val="clear" w:color="auto" w:fill="auto"/>
            <w:noWrap/>
            <w:vAlign w:val="bottom"/>
            <w:hideMark/>
          </w:tcPr>
          <w:p w14:paraId="2BCC34BD"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Health care</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r w:rsidRPr="00FF6562">
              <w:rPr>
                <w:rFonts w:ascii="Times New Roman" w:eastAsia="Times New Roman" w:hAnsi="Times New Roman" w:cs="Times New Roman"/>
                <w:sz w:val="20"/>
                <w:szCs w:val="20"/>
                <w:lang w:eastAsia="en-GB"/>
              </w:rPr>
              <w:t xml:space="preserve"> </w:t>
            </w:r>
          </w:p>
        </w:tc>
        <w:tc>
          <w:tcPr>
            <w:tcW w:w="0" w:type="auto"/>
            <w:shd w:val="clear" w:color="auto" w:fill="auto"/>
            <w:noWrap/>
            <w:vAlign w:val="bottom"/>
            <w:hideMark/>
          </w:tcPr>
          <w:p w14:paraId="540FFDEB"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-0.02</w:t>
            </w:r>
          </w:p>
        </w:tc>
        <w:tc>
          <w:tcPr>
            <w:tcW w:w="0" w:type="auto"/>
            <w:shd w:val="clear" w:color="auto" w:fill="auto"/>
            <w:noWrap/>
            <w:vAlign w:val="bottom"/>
            <w:hideMark/>
          </w:tcPr>
          <w:p w14:paraId="048CF040"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2DE96C7E"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0.15</w:t>
            </w:r>
          </w:p>
        </w:tc>
        <w:tc>
          <w:tcPr>
            <w:tcW w:w="0" w:type="auto"/>
            <w:shd w:val="clear" w:color="auto" w:fill="auto"/>
            <w:noWrap/>
            <w:vAlign w:val="bottom"/>
            <w:hideMark/>
          </w:tcPr>
          <w:p w14:paraId="6EF3DBD0"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1C44A3B0"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Health care</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r w:rsidRPr="00FF6562">
              <w:rPr>
                <w:rFonts w:ascii="Times New Roman" w:eastAsia="Times New Roman" w:hAnsi="Times New Roman" w:cs="Times New Roman"/>
                <w:sz w:val="20"/>
                <w:szCs w:val="20"/>
                <w:lang w:eastAsia="en-GB"/>
              </w:rPr>
              <w:t xml:space="preserve"> </w:t>
            </w:r>
          </w:p>
        </w:tc>
        <w:tc>
          <w:tcPr>
            <w:tcW w:w="0" w:type="auto"/>
            <w:shd w:val="clear" w:color="auto" w:fill="auto"/>
            <w:noWrap/>
            <w:vAlign w:val="bottom"/>
            <w:hideMark/>
          </w:tcPr>
          <w:p w14:paraId="10486AC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-0.12</w:t>
            </w:r>
          </w:p>
        </w:tc>
        <w:tc>
          <w:tcPr>
            <w:tcW w:w="0" w:type="auto"/>
            <w:shd w:val="clear" w:color="auto" w:fill="auto"/>
            <w:noWrap/>
            <w:vAlign w:val="bottom"/>
            <w:hideMark/>
          </w:tcPr>
          <w:p w14:paraId="45355E50"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2B6FECD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0.10</w:t>
            </w:r>
          </w:p>
        </w:tc>
      </w:tr>
      <w:tr w:rsidR="00E453FA" w:rsidRPr="00FF6562" w14:paraId="73B0D1D7" w14:textId="77777777" w:rsidTr="00875EB5">
        <w:trPr>
          <w:trHeight w:val="283"/>
        </w:trPr>
        <w:tc>
          <w:tcPr>
            <w:tcW w:w="0" w:type="auto"/>
            <w:shd w:val="clear" w:color="auto" w:fill="auto"/>
            <w:noWrap/>
            <w:vAlign w:val="bottom"/>
            <w:hideMark/>
          </w:tcPr>
          <w:p w14:paraId="22F524A5"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Industrials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r w:rsidRPr="00FF6562">
              <w:rPr>
                <w:rFonts w:ascii="Times New Roman" w:eastAsia="Times New Roman" w:hAnsi="Times New Roman" w:cs="Times New Roman"/>
                <w:sz w:val="20"/>
                <w:szCs w:val="20"/>
                <w:lang w:eastAsia="en-GB"/>
              </w:rPr>
              <w:t xml:space="preserve"> </w:t>
            </w:r>
          </w:p>
        </w:tc>
        <w:tc>
          <w:tcPr>
            <w:tcW w:w="0" w:type="auto"/>
            <w:shd w:val="clear" w:color="auto" w:fill="auto"/>
            <w:noWrap/>
            <w:vAlign w:val="bottom"/>
            <w:hideMark/>
          </w:tcPr>
          <w:p w14:paraId="318B98C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-0.07</w:t>
            </w:r>
          </w:p>
        </w:tc>
        <w:tc>
          <w:tcPr>
            <w:tcW w:w="0" w:type="auto"/>
            <w:shd w:val="clear" w:color="auto" w:fill="auto"/>
            <w:noWrap/>
            <w:vAlign w:val="bottom"/>
            <w:hideMark/>
          </w:tcPr>
          <w:p w14:paraId="53718F3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468F36C6"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0.12</w:t>
            </w:r>
          </w:p>
        </w:tc>
        <w:tc>
          <w:tcPr>
            <w:tcW w:w="0" w:type="auto"/>
            <w:shd w:val="clear" w:color="auto" w:fill="auto"/>
            <w:noWrap/>
            <w:vAlign w:val="bottom"/>
            <w:hideMark/>
          </w:tcPr>
          <w:p w14:paraId="7F3519F3"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33317F2E"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Industrials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r w:rsidRPr="00FF6562">
              <w:rPr>
                <w:rFonts w:ascii="Times New Roman" w:eastAsia="Times New Roman" w:hAnsi="Times New Roman" w:cs="Times New Roman"/>
                <w:sz w:val="20"/>
                <w:szCs w:val="20"/>
                <w:lang w:eastAsia="en-GB"/>
              </w:rPr>
              <w:t xml:space="preserve"> </w:t>
            </w:r>
          </w:p>
        </w:tc>
        <w:tc>
          <w:tcPr>
            <w:tcW w:w="0" w:type="auto"/>
            <w:shd w:val="clear" w:color="auto" w:fill="auto"/>
            <w:noWrap/>
            <w:vAlign w:val="bottom"/>
            <w:hideMark/>
          </w:tcPr>
          <w:p w14:paraId="0CE8E3F3"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-0.18</w:t>
            </w:r>
          </w:p>
        </w:tc>
        <w:tc>
          <w:tcPr>
            <w:tcW w:w="0" w:type="auto"/>
            <w:shd w:val="clear" w:color="auto" w:fill="auto"/>
            <w:noWrap/>
            <w:vAlign w:val="bottom"/>
            <w:hideMark/>
          </w:tcPr>
          <w:p w14:paraId="5D7DABC1"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3932FA1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0.14</w:t>
            </w:r>
          </w:p>
        </w:tc>
      </w:tr>
      <w:tr w:rsidR="00E453FA" w:rsidRPr="00FF6562" w14:paraId="2E06EEEF" w14:textId="77777777" w:rsidTr="00875EB5">
        <w:trPr>
          <w:trHeight w:val="283"/>
        </w:trPr>
        <w:tc>
          <w:tcPr>
            <w:tcW w:w="0" w:type="auto"/>
            <w:shd w:val="clear" w:color="auto" w:fill="auto"/>
            <w:noWrap/>
            <w:vAlign w:val="bottom"/>
            <w:hideMark/>
          </w:tcPr>
          <w:p w14:paraId="616F199E"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Information Tech. /Onegram</w:t>
            </w:r>
          </w:p>
        </w:tc>
        <w:tc>
          <w:tcPr>
            <w:tcW w:w="0" w:type="auto"/>
            <w:shd w:val="clear" w:color="auto" w:fill="auto"/>
            <w:noWrap/>
            <w:vAlign w:val="bottom"/>
            <w:hideMark/>
          </w:tcPr>
          <w:p w14:paraId="7E36AD9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w:t>
            </w:r>
          </w:p>
        </w:tc>
        <w:tc>
          <w:tcPr>
            <w:tcW w:w="0" w:type="auto"/>
            <w:shd w:val="clear" w:color="auto" w:fill="auto"/>
            <w:noWrap/>
            <w:vAlign w:val="bottom"/>
            <w:hideMark/>
          </w:tcPr>
          <w:p w14:paraId="12AF83D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7261388D"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0.13</w:t>
            </w:r>
          </w:p>
        </w:tc>
        <w:tc>
          <w:tcPr>
            <w:tcW w:w="0" w:type="auto"/>
            <w:shd w:val="clear" w:color="auto" w:fill="auto"/>
            <w:noWrap/>
            <w:vAlign w:val="bottom"/>
            <w:hideMark/>
          </w:tcPr>
          <w:p w14:paraId="16C35F94"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60366909"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Information Tech. / X8X</w:t>
            </w:r>
          </w:p>
        </w:tc>
        <w:tc>
          <w:tcPr>
            <w:tcW w:w="0" w:type="auto"/>
            <w:shd w:val="clear" w:color="auto" w:fill="auto"/>
            <w:noWrap/>
            <w:vAlign w:val="bottom"/>
            <w:hideMark/>
          </w:tcPr>
          <w:p w14:paraId="226867E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-0.20</w:t>
            </w:r>
          </w:p>
        </w:tc>
        <w:tc>
          <w:tcPr>
            <w:tcW w:w="0" w:type="auto"/>
            <w:shd w:val="clear" w:color="auto" w:fill="auto"/>
            <w:noWrap/>
            <w:vAlign w:val="bottom"/>
            <w:hideMark/>
          </w:tcPr>
          <w:p w14:paraId="1A67808F"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0FBBADCB"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0.14</w:t>
            </w:r>
          </w:p>
        </w:tc>
      </w:tr>
      <w:tr w:rsidR="00E453FA" w:rsidRPr="00FF6562" w14:paraId="7F161873" w14:textId="77777777" w:rsidTr="00875EB5">
        <w:trPr>
          <w:trHeight w:val="283"/>
        </w:trPr>
        <w:tc>
          <w:tcPr>
            <w:tcW w:w="0" w:type="auto"/>
            <w:shd w:val="clear" w:color="auto" w:fill="auto"/>
            <w:noWrap/>
            <w:vAlign w:val="bottom"/>
            <w:hideMark/>
          </w:tcPr>
          <w:p w14:paraId="5B09046A"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Materials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p>
        </w:tc>
        <w:tc>
          <w:tcPr>
            <w:tcW w:w="0" w:type="auto"/>
            <w:shd w:val="clear" w:color="auto" w:fill="auto"/>
            <w:noWrap/>
            <w:vAlign w:val="bottom"/>
            <w:hideMark/>
          </w:tcPr>
          <w:p w14:paraId="03FB3C3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w:t>
            </w:r>
          </w:p>
        </w:tc>
        <w:tc>
          <w:tcPr>
            <w:tcW w:w="0" w:type="auto"/>
            <w:shd w:val="clear" w:color="auto" w:fill="auto"/>
            <w:noWrap/>
            <w:vAlign w:val="bottom"/>
            <w:hideMark/>
          </w:tcPr>
          <w:p w14:paraId="5840C392"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479B927A"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0.24</w:t>
            </w:r>
          </w:p>
        </w:tc>
        <w:tc>
          <w:tcPr>
            <w:tcW w:w="0" w:type="auto"/>
            <w:shd w:val="clear" w:color="auto" w:fill="auto"/>
            <w:noWrap/>
            <w:vAlign w:val="bottom"/>
            <w:hideMark/>
          </w:tcPr>
          <w:p w14:paraId="364F3560"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17BF82A9"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Materials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p>
        </w:tc>
        <w:tc>
          <w:tcPr>
            <w:tcW w:w="0" w:type="auto"/>
            <w:shd w:val="clear" w:color="auto" w:fill="auto"/>
            <w:noWrap/>
            <w:vAlign w:val="bottom"/>
            <w:hideMark/>
          </w:tcPr>
          <w:p w14:paraId="29045E9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-0.05</w:t>
            </w:r>
          </w:p>
        </w:tc>
        <w:tc>
          <w:tcPr>
            <w:tcW w:w="0" w:type="auto"/>
            <w:shd w:val="clear" w:color="auto" w:fill="auto"/>
            <w:noWrap/>
            <w:vAlign w:val="bottom"/>
            <w:hideMark/>
          </w:tcPr>
          <w:p w14:paraId="27AEA958"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72A3558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0.14</w:t>
            </w:r>
          </w:p>
        </w:tc>
      </w:tr>
      <w:tr w:rsidR="00E453FA" w:rsidRPr="00FF6562" w14:paraId="7DE0AA9E" w14:textId="77777777" w:rsidTr="00875EB5">
        <w:trPr>
          <w:trHeight w:val="283"/>
        </w:trPr>
        <w:tc>
          <w:tcPr>
            <w:tcW w:w="0" w:type="auto"/>
            <w:shd w:val="clear" w:color="auto" w:fill="auto"/>
            <w:noWrap/>
            <w:vAlign w:val="bottom"/>
            <w:hideMark/>
          </w:tcPr>
          <w:p w14:paraId="0DB4FB53"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Real Estate/Onegram</w:t>
            </w:r>
          </w:p>
        </w:tc>
        <w:tc>
          <w:tcPr>
            <w:tcW w:w="0" w:type="auto"/>
            <w:shd w:val="clear" w:color="auto" w:fill="auto"/>
            <w:noWrap/>
            <w:vAlign w:val="bottom"/>
            <w:hideMark/>
          </w:tcPr>
          <w:p w14:paraId="731A694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-0.02</w:t>
            </w:r>
          </w:p>
        </w:tc>
        <w:tc>
          <w:tcPr>
            <w:tcW w:w="0" w:type="auto"/>
            <w:shd w:val="clear" w:color="auto" w:fill="auto"/>
            <w:noWrap/>
            <w:vAlign w:val="bottom"/>
            <w:hideMark/>
          </w:tcPr>
          <w:p w14:paraId="5744D51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06B03545"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0.13</w:t>
            </w:r>
          </w:p>
        </w:tc>
        <w:tc>
          <w:tcPr>
            <w:tcW w:w="0" w:type="auto"/>
            <w:shd w:val="clear" w:color="auto" w:fill="auto"/>
            <w:noWrap/>
            <w:vAlign w:val="bottom"/>
            <w:hideMark/>
          </w:tcPr>
          <w:p w14:paraId="30F83DFB"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3E6E9C94"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Real Estate/ X8X</w:t>
            </w:r>
          </w:p>
        </w:tc>
        <w:tc>
          <w:tcPr>
            <w:tcW w:w="0" w:type="auto"/>
            <w:shd w:val="clear" w:color="auto" w:fill="auto"/>
            <w:noWrap/>
            <w:vAlign w:val="bottom"/>
            <w:hideMark/>
          </w:tcPr>
          <w:p w14:paraId="34799DC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-0.02</w:t>
            </w:r>
          </w:p>
        </w:tc>
        <w:tc>
          <w:tcPr>
            <w:tcW w:w="0" w:type="auto"/>
            <w:shd w:val="clear" w:color="auto" w:fill="auto"/>
            <w:noWrap/>
            <w:vAlign w:val="bottom"/>
            <w:hideMark/>
          </w:tcPr>
          <w:p w14:paraId="38A7989D"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1096A26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0.15</w:t>
            </w:r>
          </w:p>
        </w:tc>
      </w:tr>
      <w:tr w:rsidR="00E453FA" w:rsidRPr="00FF6562" w14:paraId="3CDE2354" w14:textId="77777777" w:rsidTr="00875EB5">
        <w:trPr>
          <w:trHeight w:val="283"/>
        </w:trPr>
        <w:tc>
          <w:tcPr>
            <w:tcW w:w="0" w:type="auto"/>
            <w:shd w:val="clear" w:color="auto" w:fill="auto"/>
            <w:noWrap/>
            <w:vAlign w:val="bottom"/>
            <w:hideMark/>
          </w:tcPr>
          <w:p w14:paraId="2EFE7CDD"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Utilities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p>
        </w:tc>
        <w:tc>
          <w:tcPr>
            <w:tcW w:w="0" w:type="auto"/>
            <w:shd w:val="clear" w:color="auto" w:fill="auto"/>
            <w:noWrap/>
            <w:vAlign w:val="bottom"/>
            <w:hideMark/>
          </w:tcPr>
          <w:p w14:paraId="740901B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w:t>
            </w:r>
          </w:p>
        </w:tc>
        <w:tc>
          <w:tcPr>
            <w:tcW w:w="0" w:type="auto"/>
            <w:shd w:val="clear" w:color="auto" w:fill="auto"/>
            <w:noWrap/>
            <w:vAlign w:val="bottom"/>
            <w:hideMark/>
          </w:tcPr>
          <w:p w14:paraId="18941570"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04072DA7"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0.06</w:t>
            </w:r>
          </w:p>
        </w:tc>
        <w:tc>
          <w:tcPr>
            <w:tcW w:w="0" w:type="auto"/>
            <w:shd w:val="clear" w:color="auto" w:fill="auto"/>
            <w:noWrap/>
            <w:vAlign w:val="bottom"/>
            <w:hideMark/>
          </w:tcPr>
          <w:p w14:paraId="226F097B"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18CB74CD"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Utilities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p>
        </w:tc>
        <w:tc>
          <w:tcPr>
            <w:tcW w:w="0" w:type="auto"/>
            <w:shd w:val="clear" w:color="auto" w:fill="auto"/>
            <w:noWrap/>
            <w:vAlign w:val="bottom"/>
            <w:hideMark/>
          </w:tcPr>
          <w:p w14:paraId="504C8A0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-0.11</w:t>
            </w:r>
          </w:p>
        </w:tc>
        <w:tc>
          <w:tcPr>
            <w:tcW w:w="0" w:type="auto"/>
            <w:shd w:val="clear" w:color="auto" w:fill="auto"/>
            <w:noWrap/>
            <w:vAlign w:val="bottom"/>
            <w:hideMark/>
          </w:tcPr>
          <w:p w14:paraId="2358192B"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bottom"/>
            <w:hideMark/>
          </w:tcPr>
          <w:p w14:paraId="05CA4C4F"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0.03</w:t>
            </w:r>
          </w:p>
        </w:tc>
      </w:tr>
    </w:tbl>
    <w:p w14:paraId="30FE22EF" w14:textId="68E81429" w:rsidR="00BE3A0F" w:rsidRPr="00FF6562" w:rsidRDefault="00BE3A0F" w:rsidP="00BE3A0F">
      <w:pPr>
        <w:rPr>
          <w:rFonts w:ascii="Times New Roman" w:hAnsi="Times New Roman" w:cs="Times New Roman"/>
        </w:rPr>
      </w:pPr>
    </w:p>
    <w:p w14:paraId="2A1A3AC7" w14:textId="77777777" w:rsidR="00BE3A0F" w:rsidRPr="00A56C42" w:rsidRDefault="00BE3A0F" w:rsidP="00A56C42">
      <w:pPr>
        <w:jc w:val="center"/>
        <w:rPr>
          <w:rFonts w:ascii="Times New Roman" w:hAnsi="Times New Roman" w:cs="Times New Roman"/>
          <w:b/>
          <w:bCs/>
        </w:rPr>
      </w:pPr>
      <w:r w:rsidRPr="00A56C42">
        <w:rPr>
          <w:rFonts w:ascii="Times New Roman" w:hAnsi="Times New Roman" w:cs="Times New Roman"/>
          <w:b/>
          <w:bCs/>
        </w:rPr>
        <w:t>Table 7. Optimal weights, hedge ratios, and hedging effectiveness</w:t>
      </w:r>
    </w:p>
    <w:tbl>
      <w:tblPr>
        <w:tblW w:w="14579" w:type="dxa"/>
        <w:jc w:val="center"/>
        <w:tblBorders>
          <w:top w:val="single" w:sz="4" w:space="0" w:color="auto"/>
          <w:bottom w:val="single" w:sz="4" w:space="0" w:color="auto"/>
        </w:tblBorders>
        <w:tblLook w:val="04A0" w:firstRow="1" w:lastRow="0" w:firstColumn="1" w:lastColumn="0" w:noHBand="0" w:noVBand="1"/>
      </w:tblPr>
      <w:tblGrid>
        <w:gridCol w:w="2521"/>
        <w:gridCol w:w="666"/>
        <w:gridCol w:w="733"/>
        <w:gridCol w:w="833"/>
        <w:gridCol w:w="222"/>
        <w:gridCol w:w="222"/>
        <w:gridCol w:w="666"/>
        <w:gridCol w:w="666"/>
        <w:gridCol w:w="833"/>
        <w:gridCol w:w="314"/>
        <w:gridCol w:w="2173"/>
        <w:gridCol w:w="666"/>
        <w:gridCol w:w="804"/>
        <w:gridCol w:w="911"/>
        <w:gridCol w:w="222"/>
        <w:gridCol w:w="111"/>
        <w:gridCol w:w="111"/>
        <w:gridCol w:w="666"/>
        <w:gridCol w:w="666"/>
        <w:gridCol w:w="833"/>
      </w:tblGrid>
      <w:tr w:rsidR="00A72277" w:rsidRPr="00FF6562" w14:paraId="00AA9794" w14:textId="77777777" w:rsidTr="005C57A1">
        <w:trPr>
          <w:trHeight w:val="244"/>
          <w:jc w:val="center"/>
        </w:trPr>
        <w:tc>
          <w:tcPr>
            <w:tcW w:w="14579" w:type="dxa"/>
            <w:gridSpan w:val="20"/>
            <w:tcBorders>
              <w:top w:val="single" w:sz="4" w:space="0" w:color="auto"/>
              <w:bottom w:val="single" w:sz="4" w:space="0" w:color="auto"/>
            </w:tcBorders>
            <w:shd w:val="clear" w:color="auto" w:fill="auto"/>
            <w:noWrap/>
            <w:vAlign w:val="center"/>
          </w:tcPr>
          <w:p w14:paraId="4A502BBC" w14:textId="05518144" w:rsidR="00A72277" w:rsidRDefault="00A72277" w:rsidP="00A72277">
            <w:p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This table provides the optimal weights, hedge ratios, and hedging effectiveness for </w:t>
            </w:r>
            <w:r w:rsidRPr="00E453FA">
              <w:rPr>
                <w:rFonts w:ascii="Times New Roman" w:eastAsia="Times New Roman" w:hAnsi="Times New Roman" w:cs="Times New Roman"/>
                <w:sz w:val="20"/>
                <w:szCs w:val="20"/>
                <w:lang w:eastAsia="en-GB"/>
              </w:rPr>
              <w:t xml:space="preserve">the pairs of Islamic sector-Onegram and Islamic sector-X8X during the </w:t>
            </w:r>
            <w:proofErr w:type="gramStart"/>
            <w:r w:rsidRPr="00E453FA">
              <w:rPr>
                <w:rFonts w:ascii="Times New Roman" w:eastAsia="Times New Roman" w:hAnsi="Times New Roman" w:cs="Times New Roman"/>
                <w:sz w:val="20"/>
                <w:szCs w:val="20"/>
                <w:lang w:eastAsia="en-GB"/>
              </w:rPr>
              <w:t>two sample</w:t>
            </w:r>
            <w:proofErr w:type="gramEnd"/>
            <w:r w:rsidRPr="00E453FA">
              <w:rPr>
                <w:rFonts w:ascii="Times New Roman" w:eastAsia="Times New Roman" w:hAnsi="Times New Roman" w:cs="Times New Roman"/>
                <w:sz w:val="20"/>
                <w:szCs w:val="20"/>
                <w:lang w:eastAsia="en-GB"/>
              </w:rPr>
              <w:t xml:space="preserve"> period, including the pre-COVID-19 period and the COVID-19 period.</w:t>
            </w:r>
            <w:r>
              <w:t xml:space="preserve"> </w:t>
            </w:r>
            <w:r w:rsidRPr="00A72277">
              <w:rPr>
                <w:rFonts w:ascii="Times New Roman" w:eastAsia="Times New Roman" w:hAnsi="Times New Roman" w:cs="Times New Roman"/>
                <w:sz w:val="20"/>
                <w:szCs w:val="20"/>
                <w:lang w:eastAsia="en-GB"/>
              </w:rPr>
              <w:t xml:space="preserve">Following are the full forms of different acronyms used in the table: Com. services-communication services, consumer disc.-consumer discretionary, consumer </w:t>
            </w:r>
            <w:proofErr w:type="spellStart"/>
            <w:r w:rsidRPr="00A72277">
              <w:rPr>
                <w:rFonts w:ascii="Times New Roman" w:eastAsia="Times New Roman" w:hAnsi="Times New Roman" w:cs="Times New Roman"/>
                <w:sz w:val="20"/>
                <w:szCs w:val="20"/>
                <w:lang w:eastAsia="en-GB"/>
              </w:rPr>
              <w:t>stap</w:t>
            </w:r>
            <w:proofErr w:type="spellEnd"/>
            <w:r w:rsidRPr="00A72277">
              <w:rPr>
                <w:rFonts w:ascii="Times New Roman" w:eastAsia="Times New Roman" w:hAnsi="Times New Roman" w:cs="Times New Roman"/>
                <w:sz w:val="20"/>
                <w:szCs w:val="20"/>
                <w:lang w:eastAsia="en-GB"/>
              </w:rPr>
              <w:t>-consumer staples, Information tech.-Information technology.</w:t>
            </w:r>
          </w:p>
        </w:tc>
      </w:tr>
      <w:tr w:rsidR="00BE3A0F" w:rsidRPr="00FF6562" w14:paraId="1FFDC4F2" w14:textId="77777777" w:rsidTr="005C57A1">
        <w:trPr>
          <w:trHeight w:val="244"/>
          <w:jc w:val="center"/>
        </w:trPr>
        <w:tc>
          <w:tcPr>
            <w:tcW w:w="0" w:type="auto"/>
            <w:tcBorders>
              <w:top w:val="single" w:sz="4" w:space="0" w:color="auto"/>
            </w:tcBorders>
            <w:shd w:val="clear" w:color="auto" w:fill="auto"/>
            <w:noWrap/>
            <w:vAlign w:val="center"/>
            <w:hideMark/>
          </w:tcPr>
          <w:p w14:paraId="4B4D9C6A" w14:textId="77777777" w:rsidR="00BE3A0F" w:rsidRPr="00FF6562" w:rsidRDefault="00BE3A0F" w:rsidP="00875EB5">
            <w:pPr>
              <w:spacing w:after="0" w:line="240" w:lineRule="auto"/>
              <w:rPr>
                <w:rFonts w:ascii="Times New Roman" w:eastAsia="Times New Roman" w:hAnsi="Times New Roman" w:cs="Times New Roman"/>
                <w:sz w:val="24"/>
                <w:szCs w:val="24"/>
                <w:lang w:eastAsia="en-GB"/>
              </w:rPr>
            </w:pPr>
          </w:p>
        </w:tc>
        <w:tc>
          <w:tcPr>
            <w:tcW w:w="0" w:type="auto"/>
            <w:gridSpan w:val="3"/>
            <w:tcBorders>
              <w:top w:val="single" w:sz="4" w:space="0" w:color="auto"/>
              <w:bottom w:val="single" w:sz="4" w:space="0" w:color="auto"/>
            </w:tcBorders>
            <w:shd w:val="clear" w:color="auto" w:fill="auto"/>
            <w:noWrap/>
            <w:vAlign w:val="center"/>
            <w:hideMark/>
          </w:tcPr>
          <w:p w14:paraId="7B766A3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Pre-COVID-19</w:t>
            </w:r>
          </w:p>
        </w:tc>
        <w:tc>
          <w:tcPr>
            <w:tcW w:w="0" w:type="auto"/>
            <w:tcBorders>
              <w:top w:val="single" w:sz="4" w:space="0" w:color="auto"/>
              <w:bottom w:val="nil"/>
            </w:tcBorders>
            <w:vAlign w:val="center"/>
          </w:tcPr>
          <w:p w14:paraId="08D5CCC6"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auto"/>
            </w:tcBorders>
            <w:shd w:val="clear" w:color="auto" w:fill="auto"/>
            <w:noWrap/>
            <w:vAlign w:val="center"/>
            <w:hideMark/>
          </w:tcPr>
          <w:p w14:paraId="0D1D8719"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gridSpan w:val="3"/>
            <w:tcBorders>
              <w:top w:val="single" w:sz="4" w:space="0" w:color="auto"/>
              <w:bottom w:val="single" w:sz="4" w:space="0" w:color="auto"/>
            </w:tcBorders>
            <w:shd w:val="clear" w:color="auto" w:fill="auto"/>
            <w:noWrap/>
            <w:vAlign w:val="center"/>
            <w:hideMark/>
          </w:tcPr>
          <w:p w14:paraId="40D4824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COVID-19</w:t>
            </w:r>
          </w:p>
        </w:tc>
        <w:tc>
          <w:tcPr>
            <w:tcW w:w="314" w:type="dxa"/>
            <w:tcBorders>
              <w:top w:val="single" w:sz="4" w:space="0" w:color="auto"/>
              <w:bottom w:val="nil"/>
            </w:tcBorders>
            <w:shd w:val="clear" w:color="auto" w:fill="auto"/>
            <w:noWrap/>
            <w:vAlign w:val="center"/>
            <w:hideMark/>
          </w:tcPr>
          <w:p w14:paraId="3396C07A"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2173" w:type="dxa"/>
            <w:tcBorders>
              <w:top w:val="single" w:sz="4" w:space="0" w:color="auto"/>
              <w:bottom w:val="nil"/>
            </w:tcBorders>
            <w:shd w:val="clear" w:color="auto" w:fill="auto"/>
            <w:noWrap/>
            <w:vAlign w:val="center"/>
            <w:hideMark/>
          </w:tcPr>
          <w:p w14:paraId="3962C444"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2378" w:type="dxa"/>
            <w:gridSpan w:val="3"/>
            <w:tcBorders>
              <w:top w:val="single" w:sz="4" w:space="0" w:color="auto"/>
              <w:bottom w:val="single" w:sz="4" w:space="0" w:color="auto"/>
            </w:tcBorders>
            <w:shd w:val="clear" w:color="auto" w:fill="auto"/>
            <w:noWrap/>
            <w:vAlign w:val="center"/>
            <w:hideMark/>
          </w:tcPr>
          <w:p w14:paraId="1D10242B"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Pre-COVID-19</w:t>
            </w:r>
          </w:p>
        </w:tc>
        <w:tc>
          <w:tcPr>
            <w:tcW w:w="0" w:type="auto"/>
            <w:gridSpan w:val="2"/>
            <w:tcBorders>
              <w:top w:val="single" w:sz="4" w:space="0" w:color="auto"/>
              <w:bottom w:val="nil"/>
            </w:tcBorders>
            <w:vAlign w:val="center"/>
          </w:tcPr>
          <w:p w14:paraId="0F4859B2"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gridSpan w:val="4"/>
            <w:tcBorders>
              <w:top w:val="single" w:sz="4" w:space="0" w:color="auto"/>
            </w:tcBorders>
            <w:shd w:val="clear" w:color="auto" w:fill="auto"/>
            <w:noWrap/>
            <w:vAlign w:val="center"/>
            <w:hideMark/>
          </w:tcPr>
          <w:p w14:paraId="65A5AD7F"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COVID-19</w:t>
            </w:r>
          </w:p>
        </w:tc>
      </w:tr>
      <w:tr w:rsidR="005C57A1" w:rsidRPr="00FF6562" w14:paraId="2BC89C6D" w14:textId="77777777" w:rsidTr="005C57A1">
        <w:trPr>
          <w:trHeight w:val="244"/>
          <w:jc w:val="center"/>
        </w:trPr>
        <w:tc>
          <w:tcPr>
            <w:tcW w:w="0" w:type="auto"/>
            <w:shd w:val="clear" w:color="auto" w:fill="auto"/>
            <w:noWrap/>
            <w:vAlign w:val="center"/>
            <w:hideMark/>
          </w:tcPr>
          <w:p w14:paraId="6579294A"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auto"/>
              <w:bottom w:val="single" w:sz="4" w:space="0" w:color="auto"/>
            </w:tcBorders>
            <w:shd w:val="clear" w:color="auto" w:fill="auto"/>
            <w:noWrap/>
            <w:vAlign w:val="center"/>
            <w:hideMark/>
          </w:tcPr>
          <w:p w14:paraId="7431F09E"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m:oMathPara>
              <m:oMath>
                <m:r>
                  <w:rPr>
                    <w:rFonts w:ascii="Cambria Math" w:hAnsi="Cambria Math" w:cs="Times New Roman"/>
                    <w:color w:val="000000" w:themeColor="text1"/>
                  </w:rPr>
                  <m:t>w</m:t>
                </m:r>
              </m:oMath>
            </m:oMathPara>
          </w:p>
        </w:tc>
        <w:tc>
          <w:tcPr>
            <w:tcW w:w="0" w:type="auto"/>
            <w:tcBorders>
              <w:top w:val="single" w:sz="4" w:space="0" w:color="auto"/>
              <w:bottom w:val="single" w:sz="4" w:space="0" w:color="auto"/>
            </w:tcBorders>
            <w:shd w:val="clear" w:color="auto" w:fill="auto"/>
            <w:noWrap/>
            <w:vAlign w:val="center"/>
            <w:hideMark/>
          </w:tcPr>
          <w:p w14:paraId="3AE8DD74" w14:textId="77777777" w:rsidR="00BE3A0F" w:rsidRPr="006F0415" w:rsidRDefault="00BE3A0F" w:rsidP="00875EB5">
            <w:pPr>
              <w:spacing w:after="0" w:line="240" w:lineRule="auto"/>
              <w:rPr>
                <w:rFonts w:ascii="Times New Roman" w:eastAsia="Times New Roman" w:hAnsi="Times New Roman" w:cs="Times New Roman"/>
                <w:iCs/>
                <w:sz w:val="20"/>
                <w:szCs w:val="20"/>
                <w:lang w:eastAsia="en-GB"/>
              </w:rPr>
            </w:pPr>
            <m:oMathPara>
              <m:oMath>
                <m:r>
                  <m:rPr>
                    <m:sty m:val="p"/>
                  </m:rPr>
                  <w:rPr>
                    <w:rFonts w:ascii="Cambria Math" w:hAnsi="Cambria Math" w:cs="Times New Roman"/>
                    <w:color w:val="000000" w:themeColor="text1"/>
                  </w:rPr>
                  <m:t>β</m:t>
                </m:r>
              </m:oMath>
            </m:oMathPara>
          </w:p>
        </w:tc>
        <w:tc>
          <w:tcPr>
            <w:tcW w:w="0" w:type="auto"/>
            <w:tcBorders>
              <w:top w:val="single" w:sz="4" w:space="0" w:color="auto"/>
              <w:bottom w:val="single" w:sz="4" w:space="0" w:color="auto"/>
            </w:tcBorders>
            <w:shd w:val="clear" w:color="auto" w:fill="auto"/>
            <w:noWrap/>
            <w:vAlign w:val="center"/>
            <w:hideMark/>
          </w:tcPr>
          <w:p w14:paraId="12846EF4"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HE (%)</w:t>
            </w:r>
          </w:p>
        </w:tc>
        <w:tc>
          <w:tcPr>
            <w:tcW w:w="0" w:type="auto"/>
            <w:tcBorders>
              <w:top w:val="nil"/>
              <w:bottom w:val="nil"/>
            </w:tcBorders>
            <w:vAlign w:val="center"/>
          </w:tcPr>
          <w:p w14:paraId="7DA148E0"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2F75A918"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auto"/>
              <w:bottom w:val="single" w:sz="4" w:space="0" w:color="auto"/>
            </w:tcBorders>
            <w:shd w:val="clear" w:color="auto" w:fill="auto"/>
            <w:noWrap/>
            <w:vAlign w:val="center"/>
            <w:hideMark/>
          </w:tcPr>
          <w:p w14:paraId="4FE4D0F7"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m:oMathPara>
              <m:oMath>
                <m:r>
                  <w:rPr>
                    <w:rFonts w:ascii="Cambria Math" w:hAnsi="Cambria Math" w:cs="Times New Roman"/>
                    <w:color w:val="000000" w:themeColor="text1"/>
                  </w:rPr>
                  <m:t>w</m:t>
                </m:r>
              </m:oMath>
            </m:oMathPara>
          </w:p>
        </w:tc>
        <w:tc>
          <w:tcPr>
            <w:tcW w:w="0" w:type="auto"/>
            <w:tcBorders>
              <w:top w:val="single" w:sz="4" w:space="0" w:color="auto"/>
              <w:bottom w:val="single" w:sz="4" w:space="0" w:color="auto"/>
            </w:tcBorders>
            <w:shd w:val="clear" w:color="auto" w:fill="auto"/>
            <w:noWrap/>
            <w:vAlign w:val="center"/>
            <w:hideMark/>
          </w:tcPr>
          <w:p w14:paraId="18316601"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m:oMathPara>
              <m:oMath>
                <m:r>
                  <m:rPr>
                    <m:sty m:val="p"/>
                  </m:rPr>
                  <w:rPr>
                    <w:rFonts w:ascii="Cambria Math" w:hAnsi="Cambria Math" w:cs="Times New Roman"/>
                    <w:color w:val="000000" w:themeColor="text1"/>
                  </w:rPr>
                  <m:t>β</m:t>
                </m:r>
              </m:oMath>
            </m:oMathPara>
          </w:p>
        </w:tc>
        <w:tc>
          <w:tcPr>
            <w:tcW w:w="0" w:type="auto"/>
            <w:tcBorders>
              <w:top w:val="single" w:sz="4" w:space="0" w:color="auto"/>
              <w:bottom w:val="single" w:sz="4" w:space="0" w:color="auto"/>
            </w:tcBorders>
            <w:shd w:val="clear" w:color="auto" w:fill="auto"/>
            <w:noWrap/>
            <w:vAlign w:val="center"/>
            <w:hideMark/>
          </w:tcPr>
          <w:p w14:paraId="3A22F8C6"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HE (%)</w:t>
            </w:r>
          </w:p>
        </w:tc>
        <w:tc>
          <w:tcPr>
            <w:tcW w:w="314" w:type="dxa"/>
            <w:tcBorders>
              <w:top w:val="nil"/>
              <w:bottom w:val="nil"/>
            </w:tcBorders>
            <w:shd w:val="clear" w:color="auto" w:fill="auto"/>
            <w:noWrap/>
            <w:vAlign w:val="center"/>
            <w:hideMark/>
          </w:tcPr>
          <w:p w14:paraId="6AAE978C"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2173" w:type="dxa"/>
            <w:tcBorders>
              <w:top w:val="nil"/>
              <w:bottom w:val="nil"/>
            </w:tcBorders>
            <w:shd w:val="clear" w:color="auto" w:fill="auto"/>
            <w:noWrap/>
            <w:vAlign w:val="center"/>
            <w:hideMark/>
          </w:tcPr>
          <w:p w14:paraId="46F8CAF9"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662" w:type="dxa"/>
            <w:tcBorders>
              <w:top w:val="single" w:sz="4" w:space="0" w:color="auto"/>
              <w:bottom w:val="single" w:sz="4" w:space="0" w:color="auto"/>
            </w:tcBorders>
            <w:shd w:val="clear" w:color="auto" w:fill="auto"/>
            <w:noWrap/>
            <w:vAlign w:val="center"/>
            <w:hideMark/>
          </w:tcPr>
          <w:p w14:paraId="518F88A0"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m:oMathPara>
              <m:oMath>
                <m:r>
                  <w:rPr>
                    <w:rFonts w:ascii="Cambria Math" w:hAnsi="Cambria Math" w:cs="Times New Roman"/>
                    <w:color w:val="000000" w:themeColor="text1"/>
                  </w:rPr>
                  <m:t>w</m:t>
                </m:r>
              </m:oMath>
            </m:oMathPara>
          </w:p>
        </w:tc>
        <w:tc>
          <w:tcPr>
            <w:tcW w:w="804" w:type="dxa"/>
            <w:tcBorders>
              <w:top w:val="single" w:sz="4" w:space="0" w:color="auto"/>
              <w:bottom w:val="single" w:sz="4" w:space="0" w:color="auto"/>
            </w:tcBorders>
            <w:shd w:val="clear" w:color="auto" w:fill="auto"/>
            <w:noWrap/>
            <w:vAlign w:val="center"/>
            <w:hideMark/>
          </w:tcPr>
          <w:p w14:paraId="0A79379F"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m:oMathPara>
              <m:oMath>
                <m:r>
                  <m:rPr>
                    <m:sty m:val="p"/>
                  </m:rPr>
                  <w:rPr>
                    <w:rFonts w:ascii="Cambria Math" w:hAnsi="Cambria Math" w:cs="Times New Roman"/>
                    <w:color w:val="000000" w:themeColor="text1"/>
                  </w:rPr>
                  <m:t>β</m:t>
                </m:r>
              </m:oMath>
            </m:oMathPara>
          </w:p>
        </w:tc>
        <w:tc>
          <w:tcPr>
            <w:tcW w:w="911" w:type="dxa"/>
            <w:tcBorders>
              <w:top w:val="single" w:sz="4" w:space="0" w:color="auto"/>
              <w:bottom w:val="single" w:sz="4" w:space="0" w:color="auto"/>
            </w:tcBorders>
            <w:shd w:val="clear" w:color="auto" w:fill="auto"/>
            <w:noWrap/>
            <w:vAlign w:val="center"/>
            <w:hideMark/>
          </w:tcPr>
          <w:p w14:paraId="67578BE7"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HE (%)</w:t>
            </w:r>
          </w:p>
        </w:tc>
        <w:tc>
          <w:tcPr>
            <w:tcW w:w="0" w:type="auto"/>
            <w:tcBorders>
              <w:top w:val="nil"/>
              <w:bottom w:val="nil"/>
            </w:tcBorders>
            <w:vAlign w:val="center"/>
          </w:tcPr>
          <w:p w14:paraId="249EFF27"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02AF33AB"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auto"/>
              <w:bottom w:val="single" w:sz="4" w:space="0" w:color="auto"/>
            </w:tcBorders>
            <w:shd w:val="clear" w:color="auto" w:fill="auto"/>
            <w:noWrap/>
            <w:vAlign w:val="center"/>
            <w:hideMark/>
          </w:tcPr>
          <w:p w14:paraId="165DD8F4"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m:oMathPara>
              <m:oMath>
                <m:r>
                  <w:rPr>
                    <w:rFonts w:ascii="Cambria Math" w:hAnsi="Cambria Math" w:cs="Times New Roman"/>
                    <w:color w:val="000000" w:themeColor="text1"/>
                  </w:rPr>
                  <m:t>w</m:t>
                </m:r>
              </m:oMath>
            </m:oMathPara>
          </w:p>
        </w:tc>
        <w:tc>
          <w:tcPr>
            <w:tcW w:w="0" w:type="auto"/>
            <w:tcBorders>
              <w:top w:val="single" w:sz="4" w:space="0" w:color="auto"/>
              <w:bottom w:val="single" w:sz="4" w:space="0" w:color="auto"/>
            </w:tcBorders>
            <w:shd w:val="clear" w:color="auto" w:fill="auto"/>
            <w:noWrap/>
            <w:vAlign w:val="center"/>
            <w:hideMark/>
          </w:tcPr>
          <w:p w14:paraId="2958B41A"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m:oMathPara>
              <m:oMath>
                <m:r>
                  <m:rPr>
                    <m:sty m:val="p"/>
                  </m:rPr>
                  <w:rPr>
                    <w:rFonts w:ascii="Cambria Math" w:hAnsi="Cambria Math" w:cs="Times New Roman"/>
                    <w:color w:val="000000" w:themeColor="text1"/>
                  </w:rPr>
                  <m:t>β</m:t>
                </m:r>
              </m:oMath>
            </m:oMathPara>
          </w:p>
        </w:tc>
        <w:tc>
          <w:tcPr>
            <w:tcW w:w="0" w:type="auto"/>
            <w:tcBorders>
              <w:top w:val="single" w:sz="4" w:space="0" w:color="auto"/>
              <w:bottom w:val="single" w:sz="4" w:space="0" w:color="auto"/>
            </w:tcBorders>
            <w:shd w:val="clear" w:color="auto" w:fill="auto"/>
            <w:noWrap/>
            <w:vAlign w:val="center"/>
            <w:hideMark/>
          </w:tcPr>
          <w:p w14:paraId="4B022169"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HE (%)</w:t>
            </w:r>
          </w:p>
        </w:tc>
      </w:tr>
      <w:tr w:rsidR="005C57A1" w:rsidRPr="00FF6562" w14:paraId="46E47C81" w14:textId="77777777" w:rsidTr="005C57A1">
        <w:trPr>
          <w:trHeight w:val="244"/>
          <w:jc w:val="center"/>
        </w:trPr>
        <w:tc>
          <w:tcPr>
            <w:tcW w:w="0" w:type="auto"/>
            <w:shd w:val="clear" w:color="auto" w:fill="auto"/>
            <w:noWrap/>
            <w:vAlign w:val="center"/>
            <w:hideMark/>
          </w:tcPr>
          <w:p w14:paraId="4A25CEEC"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Com. services</w:t>
            </w:r>
            <w:r>
              <w:rPr>
                <w:rFonts w:ascii="Times New Roman" w:eastAsia="Times New Roman" w:hAnsi="Times New Roman" w:cs="Times New Roman"/>
                <w:sz w:val="20"/>
                <w:szCs w:val="20"/>
                <w:lang w:eastAsia="en-GB"/>
              </w:rPr>
              <w:t>/Onegram</w:t>
            </w:r>
          </w:p>
        </w:tc>
        <w:tc>
          <w:tcPr>
            <w:tcW w:w="0" w:type="auto"/>
            <w:tcBorders>
              <w:top w:val="single" w:sz="4" w:space="0" w:color="auto"/>
            </w:tcBorders>
            <w:shd w:val="clear" w:color="auto" w:fill="auto"/>
            <w:noWrap/>
            <w:vAlign w:val="center"/>
            <w:hideMark/>
          </w:tcPr>
          <w:p w14:paraId="27801EF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w:t>
            </w:r>
            <w:r>
              <w:rPr>
                <w:rFonts w:ascii="Times New Roman" w:eastAsia="Times New Roman" w:hAnsi="Times New Roman" w:cs="Times New Roman"/>
                <w:sz w:val="20"/>
                <w:szCs w:val="20"/>
                <w:lang w:eastAsia="en-GB"/>
              </w:rPr>
              <w:t>88</w:t>
            </w:r>
          </w:p>
        </w:tc>
        <w:tc>
          <w:tcPr>
            <w:tcW w:w="0" w:type="auto"/>
            <w:tcBorders>
              <w:top w:val="nil"/>
            </w:tcBorders>
            <w:shd w:val="clear" w:color="auto" w:fill="auto"/>
            <w:noWrap/>
            <w:vAlign w:val="center"/>
            <w:hideMark/>
          </w:tcPr>
          <w:p w14:paraId="7930741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-0.001</w:t>
            </w:r>
          </w:p>
        </w:tc>
        <w:tc>
          <w:tcPr>
            <w:tcW w:w="0" w:type="auto"/>
            <w:tcBorders>
              <w:top w:val="nil"/>
            </w:tcBorders>
            <w:shd w:val="clear" w:color="auto" w:fill="auto"/>
            <w:noWrap/>
            <w:vAlign w:val="center"/>
            <w:hideMark/>
          </w:tcPr>
          <w:p w14:paraId="52E1B2E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2.20</w:t>
            </w:r>
          </w:p>
        </w:tc>
        <w:tc>
          <w:tcPr>
            <w:tcW w:w="0" w:type="auto"/>
            <w:tcBorders>
              <w:top w:val="nil"/>
            </w:tcBorders>
            <w:vAlign w:val="center"/>
          </w:tcPr>
          <w:p w14:paraId="379A0697"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tcBorders>
              <w:top w:val="nil"/>
            </w:tcBorders>
            <w:shd w:val="clear" w:color="auto" w:fill="auto"/>
            <w:noWrap/>
            <w:vAlign w:val="center"/>
            <w:hideMark/>
          </w:tcPr>
          <w:p w14:paraId="2AFB9630"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tcBorders>
              <w:top w:val="nil"/>
            </w:tcBorders>
            <w:shd w:val="clear" w:color="auto" w:fill="auto"/>
            <w:noWrap/>
            <w:vAlign w:val="center"/>
            <w:hideMark/>
          </w:tcPr>
          <w:p w14:paraId="10BD864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0.87</w:t>
            </w:r>
            <w:r>
              <w:rPr>
                <w:rFonts w:ascii="Times New Roman" w:eastAsia="Times New Roman" w:hAnsi="Times New Roman" w:cs="Times New Roman"/>
                <w:sz w:val="20"/>
                <w:szCs w:val="20"/>
                <w:lang w:eastAsia="en-GB"/>
              </w:rPr>
              <w:t>4</w:t>
            </w:r>
          </w:p>
        </w:tc>
        <w:tc>
          <w:tcPr>
            <w:tcW w:w="0" w:type="auto"/>
            <w:tcBorders>
              <w:top w:val="nil"/>
            </w:tcBorders>
            <w:shd w:val="clear" w:color="auto" w:fill="auto"/>
            <w:noWrap/>
            <w:vAlign w:val="center"/>
            <w:hideMark/>
          </w:tcPr>
          <w:p w14:paraId="51D53FA3"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43</w:t>
            </w:r>
          </w:p>
        </w:tc>
        <w:tc>
          <w:tcPr>
            <w:tcW w:w="0" w:type="auto"/>
            <w:tcBorders>
              <w:top w:val="nil"/>
            </w:tcBorders>
            <w:shd w:val="clear" w:color="auto" w:fill="auto"/>
            <w:noWrap/>
            <w:vAlign w:val="center"/>
            <w:hideMark/>
          </w:tcPr>
          <w:p w14:paraId="7CF734F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11.84</w:t>
            </w:r>
          </w:p>
        </w:tc>
        <w:tc>
          <w:tcPr>
            <w:tcW w:w="314" w:type="dxa"/>
            <w:tcBorders>
              <w:top w:val="nil"/>
            </w:tcBorders>
            <w:shd w:val="clear" w:color="auto" w:fill="auto"/>
            <w:noWrap/>
            <w:vAlign w:val="center"/>
            <w:hideMark/>
          </w:tcPr>
          <w:p w14:paraId="32B8D9E1"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tcBorders>
              <w:top w:val="nil"/>
            </w:tcBorders>
            <w:shd w:val="clear" w:color="auto" w:fill="auto"/>
            <w:noWrap/>
            <w:vAlign w:val="center"/>
            <w:hideMark/>
          </w:tcPr>
          <w:p w14:paraId="788B4BE6"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Com. services</w:t>
            </w:r>
            <w:r>
              <w:rPr>
                <w:rFonts w:ascii="Times New Roman" w:eastAsia="Times New Roman" w:hAnsi="Times New Roman" w:cs="Times New Roman"/>
                <w:sz w:val="20"/>
                <w:szCs w:val="20"/>
                <w:lang w:eastAsia="en-GB"/>
              </w:rPr>
              <w:t>/X8X</w:t>
            </w:r>
          </w:p>
        </w:tc>
        <w:tc>
          <w:tcPr>
            <w:tcW w:w="662" w:type="dxa"/>
            <w:tcBorders>
              <w:top w:val="nil"/>
            </w:tcBorders>
            <w:shd w:val="clear" w:color="auto" w:fill="auto"/>
            <w:noWrap/>
            <w:vAlign w:val="center"/>
            <w:hideMark/>
          </w:tcPr>
          <w:p w14:paraId="12EBBB7B"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w:t>
            </w:r>
            <w:r>
              <w:rPr>
                <w:rFonts w:ascii="Times New Roman" w:eastAsia="Times New Roman" w:hAnsi="Times New Roman" w:cs="Times New Roman"/>
                <w:sz w:val="20"/>
                <w:szCs w:val="20"/>
                <w:lang w:eastAsia="en-GB"/>
              </w:rPr>
              <w:t>76</w:t>
            </w:r>
          </w:p>
        </w:tc>
        <w:tc>
          <w:tcPr>
            <w:tcW w:w="804" w:type="dxa"/>
            <w:tcBorders>
              <w:top w:val="nil"/>
            </w:tcBorders>
            <w:shd w:val="clear" w:color="auto" w:fill="auto"/>
            <w:noWrap/>
            <w:vAlign w:val="center"/>
            <w:hideMark/>
          </w:tcPr>
          <w:p w14:paraId="78841A26"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09</w:t>
            </w:r>
          </w:p>
        </w:tc>
        <w:tc>
          <w:tcPr>
            <w:tcW w:w="911" w:type="dxa"/>
            <w:tcBorders>
              <w:top w:val="nil"/>
            </w:tcBorders>
            <w:shd w:val="clear" w:color="auto" w:fill="auto"/>
            <w:noWrap/>
            <w:vAlign w:val="center"/>
            <w:hideMark/>
          </w:tcPr>
          <w:p w14:paraId="7EEC140B"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10.08</w:t>
            </w:r>
          </w:p>
        </w:tc>
        <w:tc>
          <w:tcPr>
            <w:tcW w:w="0" w:type="auto"/>
            <w:tcBorders>
              <w:top w:val="nil"/>
            </w:tcBorders>
            <w:vAlign w:val="center"/>
          </w:tcPr>
          <w:p w14:paraId="41C9EE18"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tcBorders>
              <w:top w:val="single" w:sz="4" w:space="0" w:color="auto"/>
            </w:tcBorders>
            <w:shd w:val="clear" w:color="auto" w:fill="auto"/>
            <w:noWrap/>
            <w:vAlign w:val="center"/>
            <w:hideMark/>
          </w:tcPr>
          <w:p w14:paraId="7ABFF18C"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tcBorders>
              <w:top w:val="single" w:sz="4" w:space="0" w:color="auto"/>
            </w:tcBorders>
            <w:shd w:val="clear" w:color="auto" w:fill="auto"/>
            <w:noWrap/>
            <w:vAlign w:val="center"/>
            <w:hideMark/>
          </w:tcPr>
          <w:p w14:paraId="30A2781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0.998</w:t>
            </w:r>
          </w:p>
        </w:tc>
        <w:tc>
          <w:tcPr>
            <w:tcW w:w="0" w:type="auto"/>
            <w:tcBorders>
              <w:top w:val="single" w:sz="4" w:space="0" w:color="auto"/>
            </w:tcBorders>
            <w:shd w:val="clear" w:color="auto" w:fill="auto"/>
            <w:noWrap/>
            <w:vAlign w:val="center"/>
            <w:hideMark/>
          </w:tcPr>
          <w:p w14:paraId="63E65B2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0.02</w:t>
            </w:r>
            <w:r>
              <w:rPr>
                <w:rFonts w:ascii="Times New Roman" w:eastAsia="Times New Roman" w:hAnsi="Times New Roman" w:cs="Times New Roman"/>
                <w:sz w:val="20"/>
                <w:szCs w:val="20"/>
                <w:lang w:eastAsia="en-GB"/>
              </w:rPr>
              <w:t>2</w:t>
            </w:r>
          </w:p>
        </w:tc>
        <w:tc>
          <w:tcPr>
            <w:tcW w:w="0" w:type="auto"/>
            <w:tcBorders>
              <w:top w:val="single" w:sz="4" w:space="0" w:color="auto"/>
            </w:tcBorders>
            <w:shd w:val="clear" w:color="auto" w:fill="auto"/>
            <w:noWrap/>
            <w:vAlign w:val="center"/>
            <w:hideMark/>
          </w:tcPr>
          <w:p w14:paraId="1744D67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0.34</w:t>
            </w:r>
          </w:p>
        </w:tc>
      </w:tr>
      <w:tr w:rsidR="005C57A1" w:rsidRPr="00FF6562" w14:paraId="29AC0ED6" w14:textId="77777777" w:rsidTr="005C57A1">
        <w:trPr>
          <w:trHeight w:val="244"/>
          <w:jc w:val="center"/>
        </w:trPr>
        <w:tc>
          <w:tcPr>
            <w:tcW w:w="0" w:type="auto"/>
            <w:shd w:val="clear" w:color="auto" w:fill="auto"/>
            <w:noWrap/>
            <w:vAlign w:val="center"/>
            <w:hideMark/>
          </w:tcPr>
          <w:p w14:paraId="46894292"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Consumer disc.</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p>
        </w:tc>
        <w:tc>
          <w:tcPr>
            <w:tcW w:w="0" w:type="auto"/>
            <w:shd w:val="clear" w:color="auto" w:fill="auto"/>
            <w:noWrap/>
            <w:vAlign w:val="center"/>
            <w:hideMark/>
          </w:tcPr>
          <w:p w14:paraId="1ACBAF7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r>
              <w:rPr>
                <w:rFonts w:ascii="Times New Roman" w:eastAsia="Times New Roman" w:hAnsi="Times New Roman" w:cs="Times New Roman"/>
                <w:sz w:val="20"/>
                <w:szCs w:val="20"/>
                <w:lang w:eastAsia="en-GB"/>
              </w:rPr>
              <w:t>0</w:t>
            </w:r>
          </w:p>
        </w:tc>
        <w:tc>
          <w:tcPr>
            <w:tcW w:w="0" w:type="auto"/>
            <w:shd w:val="clear" w:color="auto" w:fill="auto"/>
            <w:noWrap/>
            <w:vAlign w:val="center"/>
            <w:hideMark/>
          </w:tcPr>
          <w:p w14:paraId="1317F6B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-0.001</w:t>
            </w:r>
          </w:p>
        </w:tc>
        <w:tc>
          <w:tcPr>
            <w:tcW w:w="0" w:type="auto"/>
            <w:shd w:val="clear" w:color="auto" w:fill="auto"/>
            <w:noWrap/>
            <w:vAlign w:val="center"/>
            <w:hideMark/>
          </w:tcPr>
          <w:p w14:paraId="1960E66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1.63</w:t>
            </w:r>
          </w:p>
        </w:tc>
        <w:tc>
          <w:tcPr>
            <w:tcW w:w="0" w:type="auto"/>
            <w:vAlign w:val="center"/>
          </w:tcPr>
          <w:p w14:paraId="3573FD65"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3DCCEED2"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79F2D40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w:t>
            </w:r>
            <w:r>
              <w:rPr>
                <w:rFonts w:ascii="Times New Roman" w:eastAsia="Times New Roman" w:hAnsi="Times New Roman" w:cs="Times New Roman"/>
                <w:sz w:val="20"/>
                <w:szCs w:val="20"/>
                <w:lang w:eastAsia="en-GB"/>
              </w:rPr>
              <w:t>08</w:t>
            </w:r>
          </w:p>
        </w:tc>
        <w:tc>
          <w:tcPr>
            <w:tcW w:w="0" w:type="auto"/>
            <w:shd w:val="clear" w:color="auto" w:fill="auto"/>
            <w:noWrap/>
            <w:vAlign w:val="center"/>
            <w:hideMark/>
          </w:tcPr>
          <w:p w14:paraId="73BD771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47</w:t>
            </w:r>
          </w:p>
        </w:tc>
        <w:tc>
          <w:tcPr>
            <w:tcW w:w="0" w:type="auto"/>
            <w:shd w:val="clear" w:color="auto" w:fill="auto"/>
            <w:noWrap/>
            <w:vAlign w:val="center"/>
            <w:hideMark/>
          </w:tcPr>
          <w:p w14:paraId="468ED07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7.44</w:t>
            </w:r>
          </w:p>
        </w:tc>
        <w:tc>
          <w:tcPr>
            <w:tcW w:w="314" w:type="dxa"/>
            <w:shd w:val="clear" w:color="auto" w:fill="auto"/>
            <w:noWrap/>
            <w:vAlign w:val="center"/>
            <w:hideMark/>
          </w:tcPr>
          <w:p w14:paraId="6FE09C6D"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shd w:val="clear" w:color="auto" w:fill="auto"/>
            <w:noWrap/>
            <w:vAlign w:val="center"/>
            <w:hideMark/>
          </w:tcPr>
          <w:p w14:paraId="16DE0613"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Consumer disc.</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p>
        </w:tc>
        <w:tc>
          <w:tcPr>
            <w:tcW w:w="662" w:type="dxa"/>
            <w:shd w:val="clear" w:color="auto" w:fill="auto"/>
            <w:noWrap/>
            <w:vAlign w:val="center"/>
            <w:hideMark/>
          </w:tcPr>
          <w:p w14:paraId="5E9BBFC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w:t>
            </w:r>
            <w:r>
              <w:rPr>
                <w:rFonts w:ascii="Times New Roman" w:eastAsia="Times New Roman" w:hAnsi="Times New Roman" w:cs="Times New Roman"/>
                <w:sz w:val="20"/>
                <w:szCs w:val="20"/>
                <w:lang w:eastAsia="en-GB"/>
              </w:rPr>
              <w:t>89</w:t>
            </w:r>
          </w:p>
        </w:tc>
        <w:tc>
          <w:tcPr>
            <w:tcW w:w="804" w:type="dxa"/>
            <w:shd w:val="clear" w:color="auto" w:fill="auto"/>
            <w:noWrap/>
            <w:vAlign w:val="center"/>
            <w:hideMark/>
          </w:tcPr>
          <w:p w14:paraId="1818E39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11</w:t>
            </w:r>
          </w:p>
        </w:tc>
        <w:tc>
          <w:tcPr>
            <w:tcW w:w="911" w:type="dxa"/>
            <w:shd w:val="clear" w:color="auto" w:fill="auto"/>
            <w:noWrap/>
            <w:vAlign w:val="center"/>
            <w:hideMark/>
          </w:tcPr>
          <w:p w14:paraId="0DE0482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5.13</w:t>
            </w:r>
          </w:p>
        </w:tc>
        <w:tc>
          <w:tcPr>
            <w:tcW w:w="0" w:type="auto"/>
            <w:vAlign w:val="center"/>
          </w:tcPr>
          <w:p w14:paraId="703D3617"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77511174"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7C178E2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0.996</w:t>
            </w:r>
          </w:p>
        </w:tc>
        <w:tc>
          <w:tcPr>
            <w:tcW w:w="0" w:type="auto"/>
            <w:shd w:val="clear" w:color="auto" w:fill="auto"/>
            <w:noWrap/>
            <w:vAlign w:val="center"/>
            <w:hideMark/>
          </w:tcPr>
          <w:p w14:paraId="2EB4F6C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0.02</w:t>
            </w:r>
            <w:r>
              <w:rPr>
                <w:rFonts w:ascii="Times New Roman" w:eastAsia="Times New Roman" w:hAnsi="Times New Roman" w:cs="Times New Roman"/>
                <w:sz w:val="20"/>
                <w:szCs w:val="20"/>
                <w:lang w:eastAsia="en-GB"/>
              </w:rPr>
              <w:t>3</w:t>
            </w:r>
          </w:p>
        </w:tc>
        <w:tc>
          <w:tcPr>
            <w:tcW w:w="0" w:type="auto"/>
            <w:shd w:val="clear" w:color="auto" w:fill="auto"/>
            <w:noWrap/>
            <w:vAlign w:val="center"/>
            <w:hideMark/>
          </w:tcPr>
          <w:p w14:paraId="6F6C52A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2.18</w:t>
            </w:r>
          </w:p>
        </w:tc>
      </w:tr>
      <w:tr w:rsidR="005C57A1" w:rsidRPr="00FF6562" w14:paraId="7C56A704" w14:textId="77777777" w:rsidTr="005C57A1">
        <w:trPr>
          <w:trHeight w:val="244"/>
          <w:jc w:val="center"/>
        </w:trPr>
        <w:tc>
          <w:tcPr>
            <w:tcW w:w="0" w:type="auto"/>
            <w:shd w:val="clear" w:color="auto" w:fill="auto"/>
            <w:noWrap/>
            <w:vAlign w:val="center"/>
            <w:hideMark/>
          </w:tcPr>
          <w:p w14:paraId="48C201E1"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 xml:space="preserve">Consumer </w:t>
            </w:r>
            <w:proofErr w:type="spellStart"/>
            <w:r w:rsidRPr="006F0415">
              <w:rPr>
                <w:rFonts w:ascii="Times New Roman" w:eastAsia="Times New Roman" w:hAnsi="Times New Roman" w:cs="Times New Roman"/>
                <w:sz w:val="20"/>
                <w:szCs w:val="20"/>
                <w:lang w:eastAsia="en-GB"/>
              </w:rPr>
              <w:t>stap</w:t>
            </w:r>
            <w:proofErr w:type="spellEnd"/>
            <w:r w:rsidRPr="006F0415">
              <w:rPr>
                <w:rFonts w:ascii="Times New Roman" w:eastAsia="Times New Roman" w:hAnsi="Times New Roman" w:cs="Times New Roman"/>
                <w:sz w:val="20"/>
                <w:szCs w:val="20"/>
                <w:lang w:eastAsia="en-GB"/>
              </w:rPr>
              <w:t>.</w:t>
            </w:r>
            <w:r w:rsidRPr="00FF6562">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Onegram</w:t>
            </w:r>
          </w:p>
        </w:tc>
        <w:tc>
          <w:tcPr>
            <w:tcW w:w="0" w:type="auto"/>
            <w:shd w:val="clear" w:color="auto" w:fill="auto"/>
            <w:noWrap/>
            <w:vAlign w:val="center"/>
            <w:hideMark/>
          </w:tcPr>
          <w:p w14:paraId="55CF024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r>
              <w:rPr>
                <w:rFonts w:ascii="Times New Roman" w:eastAsia="Times New Roman" w:hAnsi="Times New Roman" w:cs="Times New Roman"/>
                <w:sz w:val="20"/>
                <w:szCs w:val="20"/>
                <w:lang w:eastAsia="en-GB"/>
              </w:rPr>
              <w:t>4</w:t>
            </w:r>
          </w:p>
        </w:tc>
        <w:tc>
          <w:tcPr>
            <w:tcW w:w="0" w:type="auto"/>
            <w:shd w:val="clear" w:color="auto" w:fill="auto"/>
            <w:noWrap/>
            <w:vAlign w:val="center"/>
            <w:hideMark/>
          </w:tcPr>
          <w:p w14:paraId="0197736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0.000</w:t>
            </w:r>
          </w:p>
        </w:tc>
        <w:tc>
          <w:tcPr>
            <w:tcW w:w="0" w:type="auto"/>
            <w:shd w:val="clear" w:color="auto" w:fill="auto"/>
            <w:noWrap/>
            <w:vAlign w:val="center"/>
            <w:hideMark/>
          </w:tcPr>
          <w:p w14:paraId="2A33EC53"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1.26</w:t>
            </w:r>
          </w:p>
        </w:tc>
        <w:tc>
          <w:tcPr>
            <w:tcW w:w="0" w:type="auto"/>
            <w:vAlign w:val="center"/>
          </w:tcPr>
          <w:p w14:paraId="24FDE9D2"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3BFFEF13"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64837C90"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0.96</w:t>
            </w:r>
            <w:r>
              <w:rPr>
                <w:rFonts w:ascii="Times New Roman" w:eastAsia="Times New Roman" w:hAnsi="Times New Roman" w:cs="Times New Roman"/>
                <w:sz w:val="20"/>
                <w:szCs w:val="20"/>
                <w:lang w:eastAsia="en-GB"/>
              </w:rPr>
              <w:t>0</w:t>
            </w:r>
          </w:p>
        </w:tc>
        <w:tc>
          <w:tcPr>
            <w:tcW w:w="0" w:type="auto"/>
            <w:shd w:val="clear" w:color="auto" w:fill="auto"/>
            <w:noWrap/>
            <w:vAlign w:val="center"/>
            <w:hideMark/>
          </w:tcPr>
          <w:p w14:paraId="234E7B9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40</w:t>
            </w:r>
          </w:p>
        </w:tc>
        <w:tc>
          <w:tcPr>
            <w:tcW w:w="0" w:type="auto"/>
            <w:shd w:val="clear" w:color="auto" w:fill="auto"/>
            <w:noWrap/>
            <w:vAlign w:val="center"/>
            <w:hideMark/>
          </w:tcPr>
          <w:p w14:paraId="14E79963"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3.77</w:t>
            </w:r>
          </w:p>
        </w:tc>
        <w:tc>
          <w:tcPr>
            <w:tcW w:w="314" w:type="dxa"/>
            <w:shd w:val="clear" w:color="auto" w:fill="auto"/>
            <w:noWrap/>
            <w:vAlign w:val="center"/>
            <w:hideMark/>
          </w:tcPr>
          <w:p w14:paraId="13F41C6C"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shd w:val="clear" w:color="auto" w:fill="auto"/>
            <w:noWrap/>
            <w:vAlign w:val="center"/>
            <w:hideMark/>
          </w:tcPr>
          <w:p w14:paraId="16F30A38"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 xml:space="preserve">Consumer </w:t>
            </w:r>
            <w:proofErr w:type="spellStart"/>
            <w:r w:rsidRPr="006F0415">
              <w:rPr>
                <w:rFonts w:ascii="Times New Roman" w:eastAsia="Times New Roman" w:hAnsi="Times New Roman" w:cs="Times New Roman"/>
                <w:sz w:val="20"/>
                <w:szCs w:val="20"/>
                <w:lang w:eastAsia="en-GB"/>
              </w:rPr>
              <w:t>stap</w:t>
            </w:r>
            <w:proofErr w:type="spellEnd"/>
            <w:r w:rsidRPr="006F0415">
              <w:rPr>
                <w:rFonts w:ascii="Times New Roman" w:eastAsia="Times New Roman" w:hAnsi="Times New Roman" w:cs="Times New Roman"/>
                <w:sz w:val="20"/>
                <w:szCs w:val="20"/>
                <w:lang w:eastAsia="en-GB"/>
              </w:rPr>
              <w:t>.</w:t>
            </w:r>
            <w:r w:rsidRPr="00FF6562">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 X8X</w:t>
            </w:r>
          </w:p>
        </w:tc>
        <w:tc>
          <w:tcPr>
            <w:tcW w:w="662" w:type="dxa"/>
            <w:shd w:val="clear" w:color="auto" w:fill="auto"/>
            <w:noWrap/>
            <w:vAlign w:val="center"/>
            <w:hideMark/>
          </w:tcPr>
          <w:p w14:paraId="04DBB58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0.994</w:t>
            </w:r>
          </w:p>
        </w:tc>
        <w:tc>
          <w:tcPr>
            <w:tcW w:w="804" w:type="dxa"/>
            <w:shd w:val="clear" w:color="auto" w:fill="auto"/>
            <w:noWrap/>
            <w:vAlign w:val="center"/>
            <w:hideMark/>
          </w:tcPr>
          <w:p w14:paraId="7BD0A65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w:t>
            </w:r>
            <w:r>
              <w:rPr>
                <w:rFonts w:ascii="Times New Roman" w:eastAsia="Times New Roman" w:hAnsi="Times New Roman" w:cs="Times New Roman"/>
                <w:sz w:val="20"/>
                <w:szCs w:val="20"/>
                <w:lang w:eastAsia="en-GB"/>
              </w:rPr>
              <w:t>3</w:t>
            </w:r>
          </w:p>
        </w:tc>
        <w:tc>
          <w:tcPr>
            <w:tcW w:w="911" w:type="dxa"/>
            <w:shd w:val="clear" w:color="auto" w:fill="auto"/>
            <w:noWrap/>
            <w:vAlign w:val="center"/>
            <w:hideMark/>
          </w:tcPr>
          <w:p w14:paraId="0E89E8F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1.79</w:t>
            </w:r>
          </w:p>
        </w:tc>
        <w:tc>
          <w:tcPr>
            <w:tcW w:w="0" w:type="auto"/>
            <w:vAlign w:val="center"/>
          </w:tcPr>
          <w:p w14:paraId="5BBC1125"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58EA8D1C"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39344EC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0.996</w:t>
            </w:r>
          </w:p>
        </w:tc>
        <w:tc>
          <w:tcPr>
            <w:tcW w:w="0" w:type="auto"/>
            <w:shd w:val="clear" w:color="auto" w:fill="auto"/>
            <w:noWrap/>
            <w:vAlign w:val="center"/>
            <w:hideMark/>
          </w:tcPr>
          <w:p w14:paraId="26BE04F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w:t>
            </w:r>
            <w:r>
              <w:rPr>
                <w:rFonts w:ascii="Times New Roman" w:eastAsia="Times New Roman" w:hAnsi="Times New Roman" w:cs="Times New Roman"/>
                <w:sz w:val="20"/>
                <w:szCs w:val="20"/>
                <w:lang w:eastAsia="en-GB"/>
              </w:rPr>
              <w:t>2</w:t>
            </w:r>
          </w:p>
        </w:tc>
        <w:tc>
          <w:tcPr>
            <w:tcW w:w="0" w:type="auto"/>
            <w:shd w:val="clear" w:color="auto" w:fill="auto"/>
            <w:noWrap/>
            <w:vAlign w:val="center"/>
            <w:hideMark/>
          </w:tcPr>
          <w:p w14:paraId="62D0B90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0.31</w:t>
            </w:r>
          </w:p>
        </w:tc>
      </w:tr>
      <w:tr w:rsidR="005C57A1" w:rsidRPr="00FF6562" w14:paraId="13E72E18" w14:textId="77777777" w:rsidTr="005C57A1">
        <w:trPr>
          <w:trHeight w:val="244"/>
          <w:jc w:val="center"/>
        </w:trPr>
        <w:tc>
          <w:tcPr>
            <w:tcW w:w="0" w:type="auto"/>
            <w:shd w:val="clear" w:color="auto" w:fill="auto"/>
            <w:noWrap/>
            <w:vAlign w:val="center"/>
            <w:hideMark/>
          </w:tcPr>
          <w:p w14:paraId="2352391E"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Energy</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p>
        </w:tc>
        <w:tc>
          <w:tcPr>
            <w:tcW w:w="0" w:type="auto"/>
            <w:shd w:val="clear" w:color="auto" w:fill="auto"/>
            <w:noWrap/>
            <w:vAlign w:val="center"/>
            <w:hideMark/>
          </w:tcPr>
          <w:p w14:paraId="246606B2"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r>
              <w:rPr>
                <w:rFonts w:ascii="Times New Roman" w:eastAsia="Times New Roman" w:hAnsi="Times New Roman" w:cs="Times New Roman"/>
                <w:sz w:val="20"/>
                <w:szCs w:val="20"/>
                <w:lang w:eastAsia="en-GB"/>
              </w:rPr>
              <w:t>3</w:t>
            </w:r>
          </w:p>
        </w:tc>
        <w:tc>
          <w:tcPr>
            <w:tcW w:w="0" w:type="auto"/>
            <w:shd w:val="clear" w:color="auto" w:fill="auto"/>
            <w:noWrap/>
            <w:vAlign w:val="center"/>
            <w:hideMark/>
          </w:tcPr>
          <w:p w14:paraId="791BA97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-0.001</w:t>
            </w:r>
          </w:p>
        </w:tc>
        <w:tc>
          <w:tcPr>
            <w:tcW w:w="0" w:type="auto"/>
            <w:shd w:val="clear" w:color="auto" w:fill="auto"/>
            <w:noWrap/>
            <w:vAlign w:val="center"/>
            <w:hideMark/>
          </w:tcPr>
          <w:p w14:paraId="3541FD8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1.59</w:t>
            </w:r>
          </w:p>
        </w:tc>
        <w:tc>
          <w:tcPr>
            <w:tcW w:w="0" w:type="auto"/>
            <w:vAlign w:val="center"/>
          </w:tcPr>
          <w:p w14:paraId="3FA8B54F"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46405C2F"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2E1D51A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0.65</w:t>
            </w:r>
            <w:r>
              <w:rPr>
                <w:rFonts w:ascii="Times New Roman" w:eastAsia="Times New Roman" w:hAnsi="Times New Roman" w:cs="Times New Roman"/>
                <w:sz w:val="20"/>
                <w:szCs w:val="20"/>
                <w:lang w:eastAsia="en-GB"/>
              </w:rPr>
              <w:t>3</w:t>
            </w:r>
          </w:p>
        </w:tc>
        <w:tc>
          <w:tcPr>
            <w:tcW w:w="0" w:type="auto"/>
            <w:shd w:val="clear" w:color="auto" w:fill="auto"/>
            <w:noWrap/>
            <w:vAlign w:val="center"/>
            <w:hideMark/>
          </w:tcPr>
          <w:p w14:paraId="35D2B163"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51</w:t>
            </w:r>
          </w:p>
        </w:tc>
        <w:tc>
          <w:tcPr>
            <w:tcW w:w="0" w:type="auto"/>
            <w:shd w:val="clear" w:color="auto" w:fill="auto"/>
            <w:noWrap/>
            <w:vAlign w:val="center"/>
            <w:hideMark/>
          </w:tcPr>
          <w:p w14:paraId="6EEBF98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33.50</w:t>
            </w:r>
          </w:p>
        </w:tc>
        <w:tc>
          <w:tcPr>
            <w:tcW w:w="314" w:type="dxa"/>
            <w:shd w:val="clear" w:color="auto" w:fill="auto"/>
            <w:noWrap/>
            <w:vAlign w:val="center"/>
            <w:hideMark/>
          </w:tcPr>
          <w:p w14:paraId="6DCFC232"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shd w:val="clear" w:color="auto" w:fill="auto"/>
            <w:noWrap/>
            <w:vAlign w:val="center"/>
            <w:hideMark/>
          </w:tcPr>
          <w:p w14:paraId="5659ED93"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sidRPr="006F0415">
              <w:rPr>
                <w:rFonts w:ascii="Times New Roman" w:eastAsia="Times New Roman" w:hAnsi="Times New Roman" w:cs="Times New Roman"/>
                <w:sz w:val="20"/>
                <w:szCs w:val="20"/>
                <w:lang w:eastAsia="en-GB"/>
              </w:rPr>
              <w:t>Energy</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p>
        </w:tc>
        <w:tc>
          <w:tcPr>
            <w:tcW w:w="662" w:type="dxa"/>
            <w:shd w:val="clear" w:color="auto" w:fill="auto"/>
            <w:noWrap/>
            <w:vAlign w:val="center"/>
            <w:hideMark/>
          </w:tcPr>
          <w:p w14:paraId="52FC128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0.98</w:t>
            </w:r>
            <w:r>
              <w:rPr>
                <w:rFonts w:ascii="Times New Roman" w:eastAsia="Times New Roman" w:hAnsi="Times New Roman" w:cs="Times New Roman"/>
                <w:sz w:val="20"/>
                <w:szCs w:val="20"/>
                <w:lang w:eastAsia="en-GB"/>
              </w:rPr>
              <w:t>1</w:t>
            </w:r>
          </w:p>
        </w:tc>
        <w:tc>
          <w:tcPr>
            <w:tcW w:w="804" w:type="dxa"/>
            <w:shd w:val="clear" w:color="auto" w:fill="auto"/>
            <w:noWrap/>
            <w:vAlign w:val="center"/>
            <w:hideMark/>
          </w:tcPr>
          <w:p w14:paraId="2B5F444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w:t>
            </w:r>
            <w:r>
              <w:rPr>
                <w:rFonts w:ascii="Times New Roman" w:eastAsia="Times New Roman" w:hAnsi="Times New Roman" w:cs="Times New Roman"/>
                <w:sz w:val="20"/>
                <w:szCs w:val="20"/>
                <w:lang w:eastAsia="en-GB"/>
              </w:rPr>
              <w:t>4</w:t>
            </w:r>
          </w:p>
        </w:tc>
        <w:tc>
          <w:tcPr>
            <w:tcW w:w="911" w:type="dxa"/>
            <w:shd w:val="clear" w:color="auto" w:fill="auto"/>
            <w:noWrap/>
            <w:vAlign w:val="center"/>
            <w:hideMark/>
          </w:tcPr>
          <w:p w14:paraId="00CBD222"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6.02</w:t>
            </w:r>
          </w:p>
        </w:tc>
        <w:tc>
          <w:tcPr>
            <w:tcW w:w="0" w:type="auto"/>
            <w:vAlign w:val="center"/>
          </w:tcPr>
          <w:p w14:paraId="26491082"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5C0B20DF"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31F8E19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0.97</w:t>
            </w:r>
            <w:r>
              <w:rPr>
                <w:rFonts w:ascii="Times New Roman" w:eastAsia="Times New Roman" w:hAnsi="Times New Roman" w:cs="Times New Roman"/>
                <w:sz w:val="20"/>
                <w:szCs w:val="20"/>
                <w:lang w:eastAsia="en-GB"/>
              </w:rPr>
              <w:t>4</w:t>
            </w:r>
          </w:p>
        </w:tc>
        <w:tc>
          <w:tcPr>
            <w:tcW w:w="0" w:type="auto"/>
            <w:shd w:val="clear" w:color="auto" w:fill="auto"/>
            <w:noWrap/>
            <w:vAlign w:val="center"/>
            <w:hideMark/>
          </w:tcPr>
          <w:p w14:paraId="33F3467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27</w:t>
            </w:r>
          </w:p>
        </w:tc>
        <w:tc>
          <w:tcPr>
            <w:tcW w:w="0" w:type="auto"/>
            <w:shd w:val="clear" w:color="auto" w:fill="auto"/>
            <w:noWrap/>
            <w:vAlign w:val="center"/>
            <w:hideMark/>
          </w:tcPr>
          <w:p w14:paraId="16E2BFD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3.75</w:t>
            </w:r>
          </w:p>
        </w:tc>
      </w:tr>
      <w:tr w:rsidR="005C57A1" w:rsidRPr="00FF6562" w14:paraId="2F349CB4" w14:textId="77777777" w:rsidTr="005C57A1">
        <w:trPr>
          <w:trHeight w:val="244"/>
          <w:jc w:val="center"/>
        </w:trPr>
        <w:tc>
          <w:tcPr>
            <w:tcW w:w="0" w:type="auto"/>
            <w:shd w:val="clear" w:color="auto" w:fill="auto"/>
            <w:noWrap/>
            <w:vAlign w:val="center"/>
            <w:hideMark/>
          </w:tcPr>
          <w:p w14:paraId="26E01A06"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Financials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r w:rsidRPr="00FF6562">
              <w:rPr>
                <w:rFonts w:ascii="Times New Roman" w:eastAsia="Times New Roman" w:hAnsi="Times New Roman" w:cs="Times New Roman"/>
                <w:sz w:val="20"/>
                <w:szCs w:val="20"/>
                <w:lang w:eastAsia="en-GB"/>
              </w:rPr>
              <w:t xml:space="preserve"> </w:t>
            </w:r>
          </w:p>
        </w:tc>
        <w:tc>
          <w:tcPr>
            <w:tcW w:w="0" w:type="auto"/>
            <w:shd w:val="clear" w:color="auto" w:fill="auto"/>
            <w:noWrap/>
            <w:vAlign w:val="center"/>
            <w:hideMark/>
          </w:tcPr>
          <w:p w14:paraId="7E5320B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0.98</w:t>
            </w:r>
            <w:r>
              <w:rPr>
                <w:rFonts w:ascii="Times New Roman" w:eastAsia="Times New Roman" w:hAnsi="Times New Roman" w:cs="Times New Roman"/>
                <w:sz w:val="20"/>
                <w:szCs w:val="20"/>
                <w:lang w:eastAsia="en-GB"/>
              </w:rPr>
              <w:t>1</w:t>
            </w:r>
          </w:p>
        </w:tc>
        <w:tc>
          <w:tcPr>
            <w:tcW w:w="0" w:type="auto"/>
            <w:shd w:val="clear" w:color="auto" w:fill="auto"/>
            <w:noWrap/>
            <w:vAlign w:val="center"/>
            <w:hideMark/>
          </w:tcPr>
          <w:p w14:paraId="561AB95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-0.001</w:t>
            </w:r>
          </w:p>
        </w:tc>
        <w:tc>
          <w:tcPr>
            <w:tcW w:w="0" w:type="auto"/>
            <w:shd w:val="clear" w:color="auto" w:fill="auto"/>
            <w:noWrap/>
            <w:vAlign w:val="center"/>
            <w:hideMark/>
          </w:tcPr>
          <w:p w14:paraId="5A45F72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3.77</w:t>
            </w:r>
          </w:p>
        </w:tc>
        <w:tc>
          <w:tcPr>
            <w:tcW w:w="0" w:type="auto"/>
            <w:vAlign w:val="center"/>
          </w:tcPr>
          <w:p w14:paraId="49269EBB"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69A43B6E"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5C88E072"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0.8</w:t>
            </w:r>
            <w:r>
              <w:rPr>
                <w:rFonts w:ascii="Times New Roman" w:eastAsia="Times New Roman" w:hAnsi="Times New Roman" w:cs="Times New Roman"/>
                <w:sz w:val="20"/>
                <w:szCs w:val="20"/>
                <w:lang w:eastAsia="en-GB"/>
              </w:rPr>
              <w:t>29</w:t>
            </w:r>
          </w:p>
        </w:tc>
        <w:tc>
          <w:tcPr>
            <w:tcW w:w="0" w:type="auto"/>
            <w:shd w:val="clear" w:color="auto" w:fill="auto"/>
            <w:noWrap/>
            <w:vAlign w:val="center"/>
            <w:hideMark/>
          </w:tcPr>
          <w:p w14:paraId="0A176E6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69</w:t>
            </w:r>
          </w:p>
        </w:tc>
        <w:tc>
          <w:tcPr>
            <w:tcW w:w="0" w:type="auto"/>
            <w:shd w:val="clear" w:color="auto" w:fill="auto"/>
            <w:noWrap/>
            <w:vAlign w:val="center"/>
            <w:hideMark/>
          </w:tcPr>
          <w:p w14:paraId="3FF40C7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14.32</w:t>
            </w:r>
          </w:p>
        </w:tc>
        <w:tc>
          <w:tcPr>
            <w:tcW w:w="314" w:type="dxa"/>
            <w:shd w:val="clear" w:color="auto" w:fill="auto"/>
            <w:noWrap/>
            <w:vAlign w:val="center"/>
            <w:hideMark/>
          </w:tcPr>
          <w:p w14:paraId="108FD66E"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shd w:val="clear" w:color="auto" w:fill="auto"/>
            <w:noWrap/>
            <w:vAlign w:val="center"/>
            <w:hideMark/>
          </w:tcPr>
          <w:p w14:paraId="7921E438"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Financials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r w:rsidRPr="00FF6562">
              <w:rPr>
                <w:rFonts w:ascii="Times New Roman" w:eastAsia="Times New Roman" w:hAnsi="Times New Roman" w:cs="Times New Roman"/>
                <w:sz w:val="20"/>
                <w:szCs w:val="20"/>
                <w:lang w:eastAsia="en-GB"/>
              </w:rPr>
              <w:t xml:space="preserve"> </w:t>
            </w:r>
          </w:p>
        </w:tc>
        <w:tc>
          <w:tcPr>
            <w:tcW w:w="662" w:type="dxa"/>
            <w:shd w:val="clear" w:color="auto" w:fill="auto"/>
            <w:noWrap/>
            <w:vAlign w:val="center"/>
            <w:hideMark/>
          </w:tcPr>
          <w:p w14:paraId="243D234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0.98</w:t>
            </w:r>
            <w:r>
              <w:rPr>
                <w:rFonts w:ascii="Times New Roman" w:eastAsia="Times New Roman" w:hAnsi="Times New Roman" w:cs="Times New Roman"/>
                <w:sz w:val="20"/>
                <w:szCs w:val="20"/>
                <w:lang w:eastAsia="en-GB"/>
              </w:rPr>
              <w:t>2</w:t>
            </w:r>
          </w:p>
        </w:tc>
        <w:tc>
          <w:tcPr>
            <w:tcW w:w="804" w:type="dxa"/>
            <w:shd w:val="clear" w:color="auto" w:fill="auto"/>
            <w:noWrap/>
            <w:vAlign w:val="center"/>
            <w:hideMark/>
          </w:tcPr>
          <w:p w14:paraId="587EC95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11</w:t>
            </w:r>
          </w:p>
        </w:tc>
        <w:tc>
          <w:tcPr>
            <w:tcW w:w="911" w:type="dxa"/>
            <w:shd w:val="clear" w:color="auto" w:fill="auto"/>
            <w:noWrap/>
            <w:vAlign w:val="center"/>
            <w:hideMark/>
          </w:tcPr>
          <w:p w14:paraId="12FEB5B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6.00</w:t>
            </w:r>
          </w:p>
        </w:tc>
        <w:tc>
          <w:tcPr>
            <w:tcW w:w="0" w:type="auto"/>
            <w:vAlign w:val="center"/>
          </w:tcPr>
          <w:p w14:paraId="508E26A4"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786D3066"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0FE6BC8F"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r>
              <w:rPr>
                <w:rFonts w:ascii="Times New Roman" w:eastAsia="Times New Roman" w:hAnsi="Times New Roman" w:cs="Times New Roman"/>
                <w:sz w:val="20"/>
                <w:szCs w:val="20"/>
                <w:lang w:eastAsia="en-GB"/>
              </w:rPr>
              <w:t>1</w:t>
            </w:r>
          </w:p>
        </w:tc>
        <w:tc>
          <w:tcPr>
            <w:tcW w:w="0" w:type="auto"/>
            <w:shd w:val="clear" w:color="auto" w:fill="auto"/>
            <w:noWrap/>
            <w:vAlign w:val="center"/>
            <w:hideMark/>
          </w:tcPr>
          <w:p w14:paraId="21DC650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16</w:t>
            </w:r>
          </w:p>
        </w:tc>
        <w:tc>
          <w:tcPr>
            <w:tcW w:w="0" w:type="auto"/>
            <w:shd w:val="clear" w:color="auto" w:fill="auto"/>
            <w:noWrap/>
            <w:vAlign w:val="center"/>
            <w:hideMark/>
          </w:tcPr>
          <w:p w14:paraId="1F1CCEC2"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0.89</w:t>
            </w:r>
          </w:p>
        </w:tc>
      </w:tr>
      <w:tr w:rsidR="005C57A1" w:rsidRPr="00FF6562" w14:paraId="691AC8D6" w14:textId="77777777" w:rsidTr="005C57A1">
        <w:trPr>
          <w:trHeight w:val="244"/>
          <w:jc w:val="center"/>
        </w:trPr>
        <w:tc>
          <w:tcPr>
            <w:tcW w:w="0" w:type="auto"/>
            <w:shd w:val="clear" w:color="auto" w:fill="auto"/>
            <w:noWrap/>
            <w:vAlign w:val="center"/>
            <w:hideMark/>
          </w:tcPr>
          <w:p w14:paraId="106C7006"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Health care</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r w:rsidRPr="00FF6562">
              <w:rPr>
                <w:rFonts w:ascii="Times New Roman" w:eastAsia="Times New Roman" w:hAnsi="Times New Roman" w:cs="Times New Roman"/>
                <w:sz w:val="20"/>
                <w:szCs w:val="20"/>
                <w:lang w:eastAsia="en-GB"/>
              </w:rPr>
              <w:t xml:space="preserve"> </w:t>
            </w:r>
          </w:p>
        </w:tc>
        <w:tc>
          <w:tcPr>
            <w:tcW w:w="0" w:type="auto"/>
            <w:shd w:val="clear" w:color="auto" w:fill="auto"/>
            <w:noWrap/>
            <w:vAlign w:val="center"/>
            <w:hideMark/>
          </w:tcPr>
          <w:p w14:paraId="2B12465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0.999</w:t>
            </w:r>
          </w:p>
        </w:tc>
        <w:tc>
          <w:tcPr>
            <w:tcW w:w="0" w:type="auto"/>
            <w:shd w:val="clear" w:color="auto" w:fill="auto"/>
            <w:noWrap/>
            <w:vAlign w:val="center"/>
            <w:hideMark/>
          </w:tcPr>
          <w:p w14:paraId="7722096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0.000</w:t>
            </w:r>
          </w:p>
        </w:tc>
        <w:tc>
          <w:tcPr>
            <w:tcW w:w="0" w:type="auto"/>
            <w:shd w:val="clear" w:color="auto" w:fill="auto"/>
            <w:noWrap/>
            <w:vAlign w:val="center"/>
            <w:hideMark/>
          </w:tcPr>
          <w:p w14:paraId="6FCF369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p>
        </w:tc>
        <w:tc>
          <w:tcPr>
            <w:tcW w:w="0" w:type="auto"/>
            <w:vAlign w:val="center"/>
          </w:tcPr>
          <w:p w14:paraId="7B6E2308"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4B42E490"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60474F7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w:t>
            </w:r>
            <w:r>
              <w:rPr>
                <w:rFonts w:ascii="Times New Roman" w:eastAsia="Times New Roman" w:hAnsi="Times New Roman" w:cs="Times New Roman"/>
                <w:sz w:val="20"/>
                <w:szCs w:val="20"/>
                <w:lang w:eastAsia="en-GB"/>
              </w:rPr>
              <w:t>37</w:t>
            </w:r>
          </w:p>
        </w:tc>
        <w:tc>
          <w:tcPr>
            <w:tcW w:w="0" w:type="auto"/>
            <w:shd w:val="clear" w:color="auto" w:fill="auto"/>
            <w:noWrap/>
            <w:vAlign w:val="center"/>
            <w:hideMark/>
          </w:tcPr>
          <w:p w14:paraId="2AC14CD2"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36</w:t>
            </w:r>
          </w:p>
        </w:tc>
        <w:tc>
          <w:tcPr>
            <w:tcW w:w="0" w:type="auto"/>
            <w:shd w:val="clear" w:color="auto" w:fill="auto"/>
            <w:noWrap/>
            <w:vAlign w:val="center"/>
            <w:hideMark/>
          </w:tcPr>
          <w:p w14:paraId="54ACE90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5.38</w:t>
            </w:r>
          </w:p>
        </w:tc>
        <w:tc>
          <w:tcPr>
            <w:tcW w:w="314" w:type="dxa"/>
            <w:shd w:val="clear" w:color="auto" w:fill="auto"/>
            <w:noWrap/>
            <w:vAlign w:val="center"/>
            <w:hideMark/>
          </w:tcPr>
          <w:p w14:paraId="0874C275"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shd w:val="clear" w:color="auto" w:fill="auto"/>
            <w:noWrap/>
            <w:vAlign w:val="center"/>
            <w:hideMark/>
          </w:tcPr>
          <w:p w14:paraId="0254C139"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Health care</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r w:rsidRPr="00FF6562">
              <w:rPr>
                <w:rFonts w:ascii="Times New Roman" w:eastAsia="Times New Roman" w:hAnsi="Times New Roman" w:cs="Times New Roman"/>
                <w:sz w:val="20"/>
                <w:szCs w:val="20"/>
                <w:lang w:eastAsia="en-GB"/>
              </w:rPr>
              <w:t xml:space="preserve"> </w:t>
            </w:r>
          </w:p>
        </w:tc>
        <w:tc>
          <w:tcPr>
            <w:tcW w:w="662" w:type="dxa"/>
            <w:shd w:val="clear" w:color="auto" w:fill="auto"/>
            <w:noWrap/>
            <w:vAlign w:val="center"/>
            <w:hideMark/>
          </w:tcPr>
          <w:p w14:paraId="08855C76"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w:t>
            </w:r>
            <w:r>
              <w:rPr>
                <w:rFonts w:ascii="Times New Roman" w:eastAsia="Times New Roman" w:hAnsi="Times New Roman" w:cs="Times New Roman"/>
                <w:sz w:val="20"/>
                <w:szCs w:val="20"/>
                <w:lang w:eastAsia="en-GB"/>
              </w:rPr>
              <w:t>90</w:t>
            </w:r>
          </w:p>
        </w:tc>
        <w:tc>
          <w:tcPr>
            <w:tcW w:w="804" w:type="dxa"/>
            <w:shd w:val="clear" w:color="auto" w:fill="auto"/>
            <w:noWrap/>
            <w:vAlign w:val="center"/>
            <w:hideMark/>
          </w:tcPr>
          <w:p w14:paraId="7F38C98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07</w:t>
            </w:r>
          </w:p>
        </w:tc>
        <w:tc>
          <w:tcPr>
            <w:tcW w:w="911" w:type="dxa"/>
            <w:shd w:val="clear" w:color="auto" w:fill="auto"/>
            <w:noWrap/>
            <w:vAlign w:val="center"/>
            <w:hideMark/>
          </w:tcPr>
          <w:p w14:paraId="4098F6E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4.69</w:t>
            </w:r>
          </w:p>
        </w:tc>
        <w:tc>
          <w:tcPr>
            <w:tcW w:w="0" w:type="auto"/>
            <w:vAlign w:val="center"/>
          </w:tcPr>
          <w:p w14:paraId="47452B53"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439BF175"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508AFB5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0.999</w:t>
            </w:r>
          </w:p>
        </w:tc>
        <w:tc>
          <w:tcPr>
            <w:tcW w:w="0" w:type="auto"/>
            <w:shd w:val="clear" w:color="auto" w:fill="auto"/>
            <w:noWrap/>
            <w:vAlign w:val="center"/>
            <w:hideMark/>
          </w:tcPr>
          <w:p w14:paraId="7ED8BFF2"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w:t>
            </w:r>
            <w:r>
              <w:rPr>
                <w:rFonts w:ascii="Times New Roman" w:eastAsia="Times New Roman" w:hAnsi="Times New Roman" w:cs="Times New Roman"/>
                <w:sz w:val="20"/>
                <w:szCs w:val="20"/>
                <w:lang w:eastAsia="en-GB"/>
              </w:rPr>
              <w:t>0</w:t>
            </w:r>
          </w:p>
        </w:tc>
        <w:tc>
          <w:tcPr>
            <w:tcW w:w="0" w:type="auto"/>
            <w:shd w:val="clear" w:color="auto" w:fill="auto"/>
            <w:noWrap/>
            <w:vAlign w:val="center"/>
            <w:hideMark/>
          </w:tcPr>
          <w:p w14:paraId="5C489F7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0.40</w:t>
            </w:r>
          </w:p>
        </w:tc>
      </w:tr>
      <w:tr w:rsidR="005C57A1" w:rsidRPr="00FF6562" w14:paraId="5C5A1D2F" w14:textId="77777777" w:rsidTr="005C57A1">
        <w:trPr>
          <w:trHeight w:val="244"/>
          <w:jc w:val="center"/>
        </w:trPr>
        <w:tc>
          <w:tcPr>
            <w:tcW w:w="0" w:type="auto"/>
            <w:shd w:val="clear" w:color="auto" w:fill="auto"/>
            <w:noWrap/>
            <w:vAlign w:val="center"/>
            <w:hideMark/>
          </w:tcPr>
          <w:p w14:paraId="43979874"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Industrials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r w:rsidRPr="00FF6562">
              <w:rPr>
                <w:rFonts w:ascii="Times New Roman" w:eastAsia="Times New Roman" w:hAnsi="Times New Roman" w:cs="Times New Roman"/>
                <w:sz w:val="20"/>
                <w:szCs w:val="20"/>
                <w:lang w:eastAsia="en-GB"/>
              </w:rPr>
              <w:t xml:space="preserve"> </w:t>
            </w:r>
          </w:p>
        </w:tc>
        <w:tc>
          <w:tcPr>
            <w:tcW w:w="0" w:type="auto"/>
            <w:shd w:val="clear" w:color="auto" w:fill="auto"/>
            <w:noWrap/>
            <w:vAlign w:val="center"/>
            <w:hideMark/>
          </w:tcPr>
          <w:p w14:paraId="29C0646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r>
              <w:rPr>
                <w:rFonts w:ascii="Times New Roman" w:eastAsia="Times New Roman" w:hAnsi="Times New Roman" w:cs="Times New Roman"/>
                <w:sz w:val="20"/>
                <w:szCs w:val="20"/>
                <w:lang w:eastAsia="en-GB"/>
              </w:rPr>
              <w:t>6</w:t>
            </w:r>
          </w:p>
        </w:tc>
        <w:tc>
          <w:tcPr>
            <w:tcW w:w="0" w:type="auto"/>
            <w:shd w:val="clear" w:color="auto" w:fill="auto"/>
            <w:noWrap/>
            <w:vAlign w:val="center"/>
            <w:hideMark/>
          </w:tcPr>
          <w:p w14:paraId="54D850C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-0.001</w:t>
            </w:r>
          </w:p>
        </w:tc>
        <w:tc>
          <w:tcPr>
            <w:tcW w:w="0" w:type="auto"/>
            <w:shd w:val="clear" w:color="auto" w:fill="auto"/>
            <w:noWrap/>
            <w:vAlign w:val="center"/>
            <w:hideMark/>
          </w:tcPr>
          <w:p w14:paraId="099EE2B2"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2.04</w:t>
            </w:r>
          </w:p>
        </w:tc>
        <w:tc>
          <w:tcPr>
            <w:tcW w:w="0" w:type="auto"/>
            <w:vAlign w:val="center"/>
          </w:tcPr>
          <w:p w14:paraId="2F6B6D54"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474DFEDD"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16374BD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0.89</w:t>
            </w:r>
            <w:r>
              <w:rPr>
                <w:rFonts w:ascii="Times New Roman" w:eastAsia="Times New Roman" w:hAnsi="Times New Roman" w:cs="Times New Roman"/>
                <w:sz w:val="20"/>
                <w:szCs w:val="20"/>
                <w:lang w:eastAsia="en-GB"/>
              </w:rPr>
              <w:t>2</w:t>
            </w:r>
          </w:p>
        </w:tc>
        <w:tc>
          <w:tcPr>
            <w:tcW w:w="0" w:type="auto"/>
            <w:shd w:val="clear" w:color="auto" w:fill="auto"/>
            <w:noWrap/>
            <w:vAlign w:val="center"/>
            <w:hideMark/>
          </w:tcPr>
          <w:p w14:paraId="62652BA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49</w:t>
            </w:r>
          </w:p>
        </w:tc>
        <w:tc>
          <w:tcPr>
            <w:tcW w:w="0" w:type="auto"/>
            <w:shd w:val="clear" w:color="auto" w:fill="auto"/>
            <w:noWrap/>
            <w:vAlign w:val="center"/>
            <w:hideMark/>
          </w:tcPr>
          <w:p w14:paraId="5E47A5F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8.99</w:t>
            </w:r>
          </w:p>
        </w:tc>
        <w:tc>
          <w:tcPr>
            <w:tcW w:w="314" w:type="dxa"/>
            <w:shd w:val="clear" w:color="auto" w:fill="auto"/>
            <w:noWrap/>
            <w:vAlign w:val="center"/>
            <w:hideMark/>
          </w:tcPr>
          <w:p w14:paraId="7DB7C754"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shd w:val="clear" w:color="auto" w:fill="auto"/>
            <w:noWrap/>
            <w:vAlign w:val="center"/>
            <w:hideMark/>
          </w:tcPr>
          <w:p w14:paraId="0E66DB5A"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Industrials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r w:rsidRPr="00FF6562">
              <w:rPr>
                <w:rFonts w:ascii="Times New Roman" w:eastAsia="Times New Roman" w:hAnsi="Times New Roman" w:cs="Times New Roman"/>
                <w:sz w:val="20"/>
                <w:szCs w:val="20"/>
                <w:lang w:eastAsia="en-GB"/>
              </w:rPr>
              <w:t xml:space="preserve"> </w:t>
            </w:r>
          </w:p>
        </w:tc>
        <w:tc>
          <w:tcPr>
            <w:tcW w:w="662" w:type="dxa"/>
            <w:shd w:val="clear" w:color="auto" w:fill="auto"/>
            <w:noWrap/>
            <w:vAlign w:val="center"/>
            <w:hideMark/>
          </w:tcPr>
          <w:p w14:paraId="1AF9CCA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w:t>
            </w:r>
            <w:r>
              <w:rPr>
                <w:rFonts w:ascii="Times New Roman" w:eastAsia="Times New Roman" w:hAnsi="Times New Roman" w:cs="Times New Roman"/>
                <w:sz w:val="20"/>
                <w:szCs w:val="20"/>
                <w:lang w:eastAsia="en-GB"/>
              </w:rPr>
              <w:t>86</w:t>
            </w:r>
          </w:p>
        </w:tc>
        <w:tc>
          <w:tcPr>
            <w:tcW w:w="804" w:type="dxa"/>
            <w:shd w:val="clear" w:color="auto" w:fill="auto"/>
            <w:noWrap/>
            <w:vAlign w:val="center"/>
            <w:hideMark/>
          </w:tcPr>
          <w:p w14:paraId="7C2D3560"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w:t>
            </w:r>
            <w:r>
              <w:rPr>
                <w:rFonts w:ascii="Times New Roman" w:eastAsia="Times New Roman" w:hAnsi="Times New Roman" w:cs="Times New Roman"/>
                <w:sz w:val="20"/>
                <w:szCs w:val="20"/>
                <w:lang w:eastAsia="en-GB"/>
              </w:rPr>
              <w:t>0</w:t>
            </w:r>
          </w:p>
        </w:tc>
        <w:tc>
          <w:tcPr>
            <w:tcW w:w="911" w:type="dxa"/>
            <w:shd w:val="clear" w:color="auto" w:fill="auto"/>
            <w:noWrap/>
            <w:vAlign w:val="center"/>
            <w:hideMark/>
          </w:tcPr>
          <w:p w14:paraId="6D6596B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6.52</w:t>
            </w:r>
          </w:p>
        </w:tc>
        <w:tc>
          <w:tcPr>
            <w:tcW w:w="0" w:type="auto"/>
            <w:vAlign w:val="center"/>
          </w:tcPr>
          <w:p w14:paraId="6D54BC08"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66BE63FC"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310E95B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0.998</w:t>
            </w:r>
          </w:p>
        </w:tc>
        <w:tc>
          <w:tcPr>
            <w:tcW w:w="0" w:type="auto"/>
            <w:shd w:val="clear" w:color="auto" w:fill="auto"/>
            <w:noWrap/>
            <w:vAlign w:val="center"/>
            <w:hideMark/>
          </w:tcPr>
          <w:p w14:paraId="17932950"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15</w:t>
            </w:r>
          </w:p>
        </w:tc>
        <w:tc>
          <w:tcPr>
            <w:tcW w:w="0" w:type="auto"/>
            <w:shd w:val="clear" w:color="auto" w:fill="auto"/>
            <w:noWrap/>
            <w:vAlign w:val="center"/>
            <w:hideMark/>
          </w:tcPr>
          <w:p w14:paraId="03A497A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0.39</w:t>
            </w:r>
          </w:p>
        </w:tc>
      </w:tr>
      <w:tr w:rsidR="005C57A1" w:rsidRPr="00FF6562" w14:paraId="660D2C59" w14:textId="77777777" w:rsidTr="005C57A1">
        <w:trPr>
          <w:trHeight w:val="244"/>
          <w:jc w:val="center"/>
        </w:trPr>
        <w:tc>
          <w:tcPr>
            <w:tcW w:w="0" w:type="auto"/>
            <w:shd w:val="clear" w:color="auto" w:fill="auto"/>
            <w:noWrap/>
            <w:vAlign w:val="center"/>
            <w:hideMark/>
          </w:tcPr>
          <w:p w14:paraId="081E6D2B"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Information Tech. /Onegram</w:t>
            </w:r>
          </w:p>
        </w:tc>
        <w:tc>
          <w:tcPr>
            <w:tcW w:w="0" w:type="auto"/>
            <w:shd w:val="clear" w:color="auto" w:fill="auto"/>
            <w:noWrap/>
            <w:vAlign w:val="center"/>
            <w:hideMark/>
          </w:tcPr>
          <w:p w14:paraId="124EBCF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r>
              <w:rPr>
                <w:rFonts w:ascii="Times New Roman" w:eastAsia="Times New Roman" w:hAnsi="Times New Roman" w:cs="Times New Roman"/>
                <w:sz w:val="20"/>
                <w:szCs w:val="20"/>
                <w:lang w:eastAsia="en-GB"/>
              </w:rPr>
              <w:t>2</w:t>
            </w:r>
          </w:p>
        </w:tc>
        <w:tc>
          <w:tcPr>
            <w:tcW w:w="0" w:type="auto"/>
            <w:shd w:val="clear" w:color="auto" w:fill="auto"/>
            <w:noWrap/>
            <w:vAlign w:val="center"/>
            <w:hideMark/>
          </w:tcPr>
          <w:p w14:paraId="71B478B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-0.010</w:t>
            </w:r>
          </w:p>
        </w:tc>
        <w:tc>
          <w:tcPr>
            <w:tcW w:w="0" w:type="auto"/>
            <w:shd w:val="clear" w:color="auto" w:fill="auto"/>
            <w:noWrap/>
            <w:vAlign w:val="center"/>
            <w:hideMark/>
          </w:tcPr>
          <w:p w14:paraId="33870F2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3.45</w:t>
            </w:r>
          </w:p>
        </w:tc>
        <w:tc>
          <w:tcPr>
            <w:tcW w:w="0" w:type="auto"/>
            <w:vAlign w:val="center"/>
          </w:tcPr>
          <w:p w14:paraId="5F5CC732"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0552B151"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5069365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0.8</w:t>
            </w:r>
            <w:r>
              <w:rPr>
                <w:rFonts w:ascii="Times New Roman" w:eastAsia="Times New Roman" w:hAnsi="Times New Roman" w:cs="Times New Roman"/>
                <w:sz w:val="20"/>
                <w:szCs w:val="20"/>
                <w:lang w:eastAsia="en-GB"/>
              </w:rPr>
              <w:t>66</w:t>
            </w:r>
          </w:p>
        </w:tc>
        <w:tc>
          <w:tcPr>
            <w:tcW w:w="0" w:type="auto"/>
            <w:shd w:val="clear" w:color="auto" w:fill="auto"/>
            <w:noWrap/>
            <w:vAlign w:val="center"/>
            <w:hideMark/>
          </w:tcPr>
          <w:p w14:paraId="6F5646C6"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62</w:t>
            </w:r>
          </w:p>
        </w:tc>
        <w:tc>
          <w:tcPr>
            <w:tcW w:w="0" w:type="auto"/>
            <w:shd w:val="clear" w:color="auto" w:fill="auto"/>
            <w:noWrap/>
            <w:vAlign w:val="center"/>
            <w:hideMark/>
          </w:tcPr>
          <w:p w14:paraId="5BE6095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12.09</w:t>
            </w:r>
          </w:p>
        </w:tc>
        <w:tc>
          <w:tcPr>
            <w:tcW w:w="314" w:type="dxa"/>
            <w:shd w:val="clear" w:color="auto" w:fill="auto"/>
            <w:noWrap/>
            <w:vAlign w:val="center"/>
            <w:hideMark/>
          </w:tcPr>
          <w:p w14:paraId="23017912"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shd w:val="clear" w:color="auto" w:fill="auto"/>
            <w:noWrap/>
            <w:vAlign w:val="center"/>
            <w:hideMark/>
          </w:tcPr>
          <w:p w14:paraId="0A8E63EF"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Information Tech / X8X</w:t>
            </w:r>
          </w:p>
        </w:tc>
        <w:tc>
          <w:tcPr>
            <w:tcW w:w="662" w:type="dxa"/>
            <w:shd w:val="clear" w:color="auto" w:fill="auto"/>
            <w:noWrap/>
            <w:vAlign w:val="center"/>
            <w:hideMark/>
          </w:tcPr>
          <w:p w14:paraId="139C8AB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0.98</w:t>
            </w:r>
            <w:r>
              <w:rPr>
                <w:rFonts w:ascii="Times New Roman" w:eastAsia="Times New Roman" w:hAnsi="Times New Roman" w:cs="Times New Roman"/>
                <w:sz w:val="20"/>
                <w:szCs w:val="20"/>
                <w:lang w:eastAsia="en-GB"/>
              </w:rPr>
              <w:t>4</w:t>
            </w:r>
          </w:p>
        </w:tc>
        <w:tc>
          <w:tcPr>
            <w:tcW w:w="804" w:type="dxa"/>
            <w:shd w:val="clear" w:color="auto" w:fill="auto"/>
            <w:noWrap/>
            <w:vAlign w:val="center"/>
            <w:hideMark/>
          </w:tcPr>
          <w:p w14:paraId="77833000"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-0.02</w:t>
            </w:r>
            <w:r>
              <w:rPr>
                <w:rFonts w:ascii="Times New Roman" w:eastAsia="Times New Roman" w:hAnsi="Times New Roman" w:cs="Times New Roman"/>
                <w:sz w:val="20"/>
                <w:szCs w:val="20"/>
                <w:lang w:eastAsia="en-GB"/>
              </w:rPr>
              <w:t>1</w:t>
            </w:r>
          </w:p>
        </w:tc>
        <w:tc>
          <w:tcPr>
            <w:tcW w:w="911" w:type="dxa"/>
            <w:shd w:val="clear" w:color="auto" w:fill="auto"/>
            <w:noWrap/>
            <w:vAlign w:val="center"/>
            <w:hideMark/>
          </w:tcPr>
          <w:p w14:paraId="7ED56AC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10.52</w:t>
            </w:r>
          </w:p>
        </w:tc>
        <w:tc>
          <w:tcPr>
            <w:tcW w:w="0" w:type="auto"/>
            <w:vAlign w:val="center"/>
          </w:tcPr>
          <w:p w14:paraId="5C6F55F3"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36412185"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7BAFC7C6"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0.998</w:t>
            </w:r>
          </w:p>
        </w:tc>
        <w:tc>
          <w:tcPr>
            <w:tcW w:w="0" w:type="auto"/>
            <w:shd w:val="clear" w:color="auto" w:fill="auto"/>
            <w:noWrap/>
            <w:vAlign w:val="center"/>
            <w:hideMark/>
          </w:tcPr>
          <w:p w14:paraId="218FFCA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19</w:t>
            </w:r>
          </w:p>
        </w:tc>
        <w:tc>
          <w:tcPr>
            <w:tcW w:w="0" w:type="auto"/>
            <w:shd w:val="clear" w:color="auto" w:fill="auto"/>
            <w:noWrap/>
            <w:vAlign w:val="center"/>
            <w:hideMark/>
          </w:tcPr>
          <w:p w14:paraId="2BDD5B8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0.16</w:t>
            </w:r>
          </w:p>
        </w:tc>
      </w:tr>
      <w:tr w:rsidR="005C57A1" w:rsidRPr="00FF6562" w14:paraId="23478DC2" w14:textId="77777777" w:rsidTr="005C57A1">
        <w:trPr>
          <w:trHeight w:val="244"/>
          <w:jc w:val="center"/>
        </w:trPr>
        <w:tc>
          <w:tcPr>
            <w:tcW w:w="0" w:type="auto"/>
            <w:shd w:val="clear" w:color="auto" w:fill="auto"/>
            <w:noWrap/>
            <w:vAlign w:val="center"/>
            <w:hideMark/>
          </w:tcPr>
          <w:p w14:paraId="226B3829"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Materials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p>
        </w:tc>
        <w:tc>
          <w:tcPr>
            <w:tcW w:w="0" w:type="auto"/>
            <w:shd w:val="clear" w:color="auto" w:fill="auto"/>
            <w:noWrap/>
            <w:vAlign w:val="center"/>
            <w:hideMark/>
          </w:tcPr>
          <w:p w14:paraId="065650F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w:t>
            </w:r>
            <w:r>
              <w:rPr>
                <w:rFonts w:ascii="Times New Roman" w:eastAsia="Times New Roman" w:hAnsi="Times New Roman" w:cs="Times New Roman"/>
                <w:sz w:val="20"/>
                <w:szCs w:val="20"/>
                <w:lang w:eastAsia="en-GB"/>
              </w:rPr>
              <w:t>85</w:t>
            </w:r>
          </w:p>
        </w:tc>
        <w:tc>
          <w:tcPr>
            <w:tcW w:w="0" w:type="auto"/>
            <w:shd w:val="clear" w:color="auto" w:fill="auto"/>
            <w:noWrap/>
            <w:vAlign w:val="center"/>
            <w:hideMark/>
          </w:tcPr>
          <w:p w14:paraId="386CE5E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-0.001</w:t>
            </w:r>
          </w:p>
        </w:tc>
        <w:tc>
          <w:tcPr>
            <w:tcW w:w="0" w:type="auto"/>
            <w:shd w:val="clear" w:color="auto" w:fill="auto"/>
            <w:noWrap/>
            <w:vAlign w:val="center"/>
            <w:hideMark/>
          </w:tcPr>
          <w:p w14:paraId="44BD98E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2.95</w:t>
            </w:r>
          </w:p>
        </w:tc>
        <w:tc>
          <w:tcPr>
            <w:tcW w:w="0" w:type="auto"/>
            <w:vAlign w:val="center"/>
          </w:tcPr>
          <w:p w14:paraId="389FADA9"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60D5FAC5"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0C023142"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0.94</w:t>
            </w:r>
            <w:r>
              <w:rPr>
                <w:rFonts w:ascii="Times New Roman" w:eastAsia="Times New Roman" w:hAnsi="Times New Roman" w:cs="Times New Roman"/>
                <w:sz w:val="20"/>
                <w:szCs w:val="20"/>
                <w:lang w:eastAsia="en-GB"/>
              </w:rPr>
              <w:t>1</w:t>
            </w:r>
          </w:p>
        </w:tc>
        <w:tc>
          <w:tcPr>
            <w:tcW w:w="0" w:type="auto"/>
            <w:shd w:val="clear" w:color="auto" w:fill="auto"/>
            <w:noWrap/>
            <w:vAlign w:val="center"/>
            <w:hideMark/>
          </w:tcPr>
          <w:p w14:paraId="4B2874B6"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75</w:t>
            </w:r>
          </w:p>
        </w:tc>
        <w:tc>
          <w:tcPr>
            <w:tcW w:w="0" w:type="auto"/>
            <w:shd w:val="clear" w:color="auto" w:fill="auto"/>
            <w:noWrap/>
            <w:vAlign w:val="center"/>
            <w:hideMark/>
          </w:tcPr>
          <w:p w14:paraId="6A124BBF"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4.67</w:t>
            </w:r>
          </w:p>
        </w:tc>
        <w:tc>
          <w:tcPr>
            <w:tcW w:w="314" w:type="dxa"/>
            <w:shd w:val="clear" w:color="auto" w:fill="auto"/>
            <w:noWrap/>
            <w:vAlign w:val="center"/>
            <w:hideMark/>
          </w:tcPr>
          <w:p w14:paraId="5AF0D239"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shd w:val="clear" w:color="auto" w:fill="auto"/>
            <w:noWrap/>
            <w:vAlign w:val="center"/>
            <w:hideMark/>
          </w:tcPr>
          <w:p w14:paraId="63BDCDDD"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Materials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p>
        </w:tc>
        <w:tc>
          <w:tcPr>
            <w:tcW w:w="662" w:type="dxa"/>
            <w:shd w:val="clear" w:color="auto" w:fill="auto"/>
            <w:noWrap/>
            <w:vAlign w:val="center"/>
            <w:hideMark/>
          </w:tcPr>
          <w:p w14:paraId="038F8C7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r>
              <w:rPr>
                <w:rFonts w:ascii="Times New Roman" w:eastAsia="Times New Roman" w:hAnsi="Times New Roman" w:cs="Times New Roman"/>
                <w:sz w:val="20"/>
                <w:szCs w:val="20"/>
                <w:lang w:eastAsia="en-GB"/>
              </w:rPr>
              <w:t>2</w:t>
            </w:r>
          </w:p>
        </w:tc>
        <w:tc>
          <w:tcPr>
            <w:tcW w:w="804" w:type="dxa"/>
            <w:shd w:val="clear" w:color="auto" w:fill="auto"/>
            <w:noWrap/>
            <w:vAlign w:val="center"/>
            <w:hideMark/>
          </w:tcPr>
          <w:p w14:paraId="350CDB1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w:t>
            </w:r>
            <w:r>
              <w:rPr>
                <w:rFonts w:ascii="Times New Roman" w:eastAsia="Times New Roman" w:hAnsi="Times New Roman" w:cs="Times New Roman"/>
                <w:sz w:val="20"/>
                <w:szCs w:val="20"/>
                <w:lang w:eastAsia="en-GB"/>
              </w:rPr>
              <w:t>2</w:t>
            </w:r>
          </w:p>
        </w:tc>
        <w:tc>
          <w:tcPr>
            <w:tcW w:w="911" w:type="dxa"/>
            <w:shd w:val="clear" w:color="auto" w:fill="auto"/>
            <w:noWrap/>
            <w:vAlign w:val="center"/>
            <w:hideMark/>
          </w:tcPr>
          <w:p w14:paraId="493DF91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2.22</w:t>
            </w:r>
          </w:p>
        </w:tc>
        <w:tc>
          <w:tcPr>
            <w:tcW w:w="0" w:type="auto"/>
            <w:vAlign w:val="center"/>
          </w:tcPr>
          <w:p w14:paraId="6989CB3C"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66469B81"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3DC8947B"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0.997</w:t>
            </w:r>
          </w:p>
        </w:tc>
        <w:tc>
          <w:tcPr>
            <w:tcW w:w="0" w:type="auto"/>
            <w:shd w:val="clear" w:color="auto" w:fill="auto"/>
            <w:noWrap/>
            <w:vAlign w:val="center"/>
            <w:hideMark/>
          </w:tcPr>
          <w:p w14:paraId="52F50CBF"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0.02</w:t>
            </w:r>
            <w:r>
              <w:rPr>
                <w:rFonts w:ascii="Times New Roman" w:eastAsia="Times New Roman" w:hAnsi="Times New Roman" w:cs="Times New Roman"/>
                <w:sz w:val="20"/>
                <w:szCs w:val="20"/>
                <w:lang w:eastAsia="en-GB"/>
              </w:rPr>
              <w:t>4</w:t>
            </w:r>
          </w:p>
        </w:tc>
        <w:tc>
          <w:tcPr>
            <w:tcW w:w="0" w:type="auto"/>
            <w:shd w:val="clear" w:color="auto" w:fill="auto"/>
            <w:noWrap/>
            <w:vAlign w:val="center"/>
            <w:hideMark/>
          </w:tcPr>
          <w:p w14:paraId="1DF6E1F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0.84</w:t>
            </w:r>
          </w:p>
        </w:tc>
      </w:tr>
      <w:tr w:rsidR="005C57A1" w:rsidRPr="00FF6562" w14:paraId="4652E7DA" w14:textId="77777777" w:rsidTr="005C57A1">
        <w:trPr>
          <w:trHeight w:val="244"/>
          <w:jc w:val="center"/>
        </w:trPr>
        <w:tc>
          <w:tcPr>
            <w:tcW w:w="0" w:type="auto"/>
            <w:shd w:val="clear" w:color="auto" w:fill="auto"/>
            <w:noWrap/>
            <w:vAlign w:val="center"/>
            <w:hideMark/>
          </w:tcPr>
          <w:p w14:paraId="0B161AD4"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Real Estate/Onegram</w:t>
            </w:r>
          </w:p>
        </w:tc>
        <w:tc>
          <w:tcPr>
            <w:tcW w:w="0" w:type="auto"/>
            <w:shd w:val="clear" w:color="auto" w:fill="auto"/>
            <w:noWrap/>
            <w:vAlign w:val="center"/>
            <w:hideMark/>
          </w:tcPr>
          <w:p w14:paraId="6A0FF833"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r>
              <w:rPr>
                <w:rFonts w:ascii="Times New Roman" w:eastAsia="Times New Roman" w:hAnsi="Times New Roman" w:cs="Times New Roman"/>
                <w:sz w:val="20"/>
                <w:szCs w:val="20"/>
                <w:lang w:eastAsia="en-GB"/>
              </w:rPr>
              <w:t>2</w:t>
            </w:r>
          </w:p>
        </w:tc>
        <w:tc>
          <w:tcPr>
            <w:tcW w:w="0" w:type="auto"/>
            <w:shd w:val="clear" w:color="auto" w:fill="auto"/>
            <w:noWrap/>
            <w:vAlign w:val="center"/>
            <w:hideMark/>
          </w:tcPr>
          <w:p w14:paraId="01B1BDC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-0.001</w:t>
            </w:r>
          </w:p>
        </w:tc>
        <w:tc>
          <w:tcPr>
            <w:tcW w:w="0" w:type="auto"/>
            <w:shd w:val="clear" w:color="auto" w:fill="auto"/>
            <w:noWrap/>
            <w:vAlign w:val="center"/>
            <w:hideMark/>
          </w:tcPr>
          <w:p w14:paraId="1ACA61C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3.39</w:t>
            </w:r>
          </w:p>
        </w:tc>
        <w:tc>
          <w:tcPr>
            <w:tcW w:w="0" w:type="auto"/>
            <w:vAlign w:val="center"/>
          </w:tcPr>
          <w:p w14:paraId="6116952B"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3A657D18"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627CDFD4"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0.8</w:t>
            </w:r>
            <w:r>
              <w:rPr>
                <w:rFonts w:ascii="Times New Roman" w:eastAsia="Times New Roman" w:hAnsi="Times New Roman" w:cs="Times New Roman"/>
                <w:sz w:val="20"/>
                <w:szCs w:val="20"/>
                <w:lang w:eastAsia="en-GB"/>
              </w:rPr>
              <w:t>89</w:t>
            </w:r>
          </w:p>
        </w:tc>
        <w:tc>
          <w:tcPr>
            <w:tcW w:w="0" w:type="auto"/>
            <w:shd w:val="clear" w:color="auto" w:fill="auto"/>
            <w:noWrap/>
            <w:vAlign w:val="center"/>
            <w:hideMark/>
          </w:tcPr>
          <w:p w14:paraId="6BA3A73F"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50</w:t>
            </w:r>
          </w:p>
        </w:tc>
        <w:tc>
          <w:tcPr>
            <w:tcW w:w="0" w:type="auto"/>
            <w:shd w:val="clear" w:color="auto" w:fill="auto"/>
            <w:noWrap/>
            <w:vAlign w:val="center"/>
            <w:hideMark/>
          </w:tcPr>
          <w:p w14:paraId="005416E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9.39</w:t>
            </w:r>
          </w:p>
        </w:tc>
        <w:tc>
          <w:tcPr>
            <w:tcW w:w="314" w:type="dxa"/>
            <w:shd w:val="clear" w:color="auto" w:fill="auto"/>
            <w:noWrap/>
            <w:vAlign w:val="center"/>
            <w:hideMark/>
          </w:tcPr>
          <w:p w14:paraId="3500191A"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shd w:val="clear" w:color="auto" w:fill="auto"/>
            <w:noWrap/>
            <w:vAlign w:val="center"/>
            <w:hideMark/>
          </w:tcPr>
          <w:p w14:paraId="5FCFCB38"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Real Estate/ X8X</w:t>
            </w:r>
          </w:p>
        </w:tc>
        <w:tc>
          <w:tcPr>
            <w:tcW w:w="662" w:type="dxa"/>
            <w:shd w:val="clear" w:color="auto" w:fill="auto"/>
            <w:noWrap/>
            <w:vAlign w:val="center"/>
            <w:hideMark/>
          </w:tcPr>
          <w:p w14:paraId="41B4043A"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r>
              <w:rPr>
                <w:rFonts w:ascii="Times New Roman" w:eastAsia="Times New Roman" w:hAnsi="Times New Roman" w:cs="Times New Roman"/>
                <w:sz w:val="20"/>
                <w:szCs w:val="20"/>
                <w:lang w:eastAsia="en-GB"/>
              </w:rPr>
              <w:t>3</w:t>
            </w:r>
          </w:p>
        </w:tc>
        <w:tc>
          <w:tcPr>
            <w:tcW w:w="804" w:type="dxa"/>
            <w:shd w:val="clear" w:color="auto" w:fill="auto"/>
            <w:noWrap/>
            <w:vAlign w:val="center"/>
            <w:hideMark/>
          </w:tcPr>
          <w:p w14:paraId="3212F99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w:t>
            </w:r>
            <w:r>
              <w:rPr>
                <w:rFonts w:ascii="Times New Roman" w:eastAsia="Times New Roman" w:hAnsi="Times New Roman" w:cs="Times New Roman"/>
                <w:sz w:val="20"/>
                <w:szCs w:val="20"/>
                <w:lang w:eastAsia="en-GB"/>
              </w:rPr>
              <w:t>0</w:t>
            </w:r>
          </w:p>
        </w:tc>
        <w:tc>
          <w:tcPr>
            <w:tcW w:w="911" w:type="dxa"/>
            <w:shd w:val="clear" w:color="auto" w:fill="auto"/>
            <w:noWrap/>
            <w:vAlign w:val="center"/>
            <w:hideMark/>
          </w:tcPr>
          <w:p w14:paraId="1CFDEB80"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1.91</w:t>
            </w:r>
          </w:p>
        </w:tc>
        <w:tc>
          <w:tcPr>
            <w:tcW w:w="0" w:type="auto"/>
            <w:vAlign w:val="center"/>
          </w:tcPr>
          <w:p w14:paraId="54405894"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4392FFC1"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796A6EB8"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0.998</w:t>
            </w:r>
          </w:p>
        </w:tc>
        <w:tc>
          <w:tcPr>
            <w:tcW w:w="0" w:type="auto"/>
            <w:shd w:val="clear" w:color="auto" w:fill="auto"/>
            <w:noWrap/>
            <w:vAlign w:val="center"/>
            <w:hideMark/>
          </w:tcPr>
          <w:p w14:paraId="0326805C"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16</w:t>
            </w:r>
          </w:p>
        </w:tc>
        <w:tc>
          <w:tcPr>
            <w:tcW w:w="0" w:type="auto"/>
            <w:shd w:val="clear" w:color="auto" w:fill="auto"/>
            <w:noWrap/>
            <w:vAlign w:val="center"/>
            <w:hideMark/>
          </w:tcPr>
          <w:p w14:paraId="7716F21B"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0.43</w:t>
            </w:r>
          </w:p>
        </w:tc>
      </w:tr>
      <w:tr w:rsidR="005C57A1" w:rsidRPr="00FF6562" w14:paraId="439E0740" w14:textId="77777777" w:rsidTr="005C57A1">
        <w:trPr>
          <w:trHeight w:val="244"/>
          <w:jc w:val="center"/>
        </w:trPr>
        <w:tc>
          <w:tcPr>
            <w:tcW w:w="0" w:type="auto"/>
            <w:shd w:val="clear" w:color="auto" w:fill="auto"/>
            <w:noWrap/>
            <w:vAlign w:val="center"/>
            <w:hideMark/>
          </w:tcPr>
          <w:p w14:paraId="75957247"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Utilities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Onegram</w:t>
            </w:r>
          </w:p>
        </w:tc>
        <w:tc>
          <w:tcPr>
            <w:tcW w:w="0" w:type="auto"/>
            <w:shd w:val="clear" w:color="auto" w:fill="auto"/>
            <w:noWrap/>
            <w:vAlign w:val="center"/>
            <w:hideMark/>
          </w:tcPr>
          <w:p w14:paraId="014E1711"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0.999</w:t>
            </w:r>
          </w:p>
        </w:tc>
        <w:tc>
          <w:tcPr>
            <w:tcW w:w="0" w:type="auto"/>
            <w:shd w:val="clear" w:color="auto" w:fill="auto"/>
            <w:noWrap/>
            <w:vAlign w:val="center"/>
            <w:hideMark/>
          </w:tcPr>
          <w:p w14:paraId="2BD791A9"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0.000</w:t>
            </w:r>
          </w:p>
        </w:tc>
        <w:tc>
          <w:tcPr>
            <w:tcW w:w="0" w:type="auto"/>
            <w:shd w:val="clear" w:color="auto" w:fill="auto"/>
            <w:noWrap/>
            <w:vAlign w:val="center"/>
            <w:hideMark/>
          </w:tcPr>
          <w:p w14:paraId="07FBD9DD"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0.45</w:t>
            </w:r>
          </w:p>
        </w:tc>
        <w:tc>
          <w:tcPr>
            <w:tcW w:w="0" w:type="auto"/>
            <w:vAlign w:val="center"/>
          </w:tcPr>
          <w:p w14:paraId="63E1AD9D"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63CE5CAD"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7EC64BEF"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0.93</w:t>
            </w:r>
            <w:r>
              <w:rPr>
                <w:rFonts w:ascii="Times New Roman" w:eastAsia="Times New Roman" w:hAnsi="Times New Roman" w:cs="Times New Roman"/>
                <w:sz w:val="20"/>
                <w:szCs w:val="20"/>
                <w:lang w:eastAsia="en-GB"/>
              </w:rPr>
              <w:t>2</w:t>
            </w:r>
          </w:p>
        </w:tc>
        <w:tc>
          <w:tcPr>
            <w:tcW w:w="0" w:type="auto"/>
            <w:shd w:val="clear" w:color="auto" w:fill="auto"/>
            <w:noWrap/>
            <w:vAlign w:val="center"/>
            <w:hideMark/>
          </w:tcPr>
          <w:p w14:paraId="185C100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18</w:t>
            </w:r>
          </w:p>
        </w:tc>
        <w:tc>
          <w:tcPr>
            <w:tcW w:w="0" w:type="auto"/>
            <w:shd w:val="clear" w:color="auto" w:fill="auto"/>
            <w:noWrap/>
            <w:vAlign w:val="center"/>
            <w:hideMark/>
          </w:tcPr>
          <w:p w14:paraId="1EDFAE4B"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7.34</w:t>
            </w:r>
          </w:p>
        </w:tc>
        <w:tc>
          <w:tcPr>
            <w:tcW w:w="314" w:type="dxa"/>
            <w:shd w:val="clear" w:color="auto" w:fill="auto"/>
            <w:noWrap/>
            <w:vAlign w:val="center"/>
            <w:hideMark/>
          </w:tcPr>
          <w:p w14:paraId="062E2D3F"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2173" w:type="dxa"/>
            <w:shd w:val="clear" w:color="auto" w:fill="auto"/>
            <w:noWrap/>
            <w:vAlign w:val="center"/>
            <w:hideMark/>
          </w:tcPr>
          <w:p w14:paraId="348A6DA1" w14:textId="77777777" w:rsidR="00BE3A0F" w:rsidRPr="00FF6562" w:rsidRDefault="00BE3A0F" w:rsidP="00875EB5">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Utilities</w:t>
            </w:r>
            <w:r w:rsidRPr="00FF6562">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X8X</w:t>
            </w:r>
          </w:p>
        </w:tc>
        <w:tc>
          <w:tcPr>
            <w:tcW w:w="662" w:type="dxa"/>
            <w:shd w:val="clear" w:color="auto" w:fill="auto"/>
            <w:noWrap/>
            <w:vAlign w:val="center"/>
            <w:hideMark/>
          </w:tcPr>
          <w:p w14:paraId="3D9C859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w:t>
            </w:r>
            <w:r>
              <w:rPr>
                <w:rFonts w:ascii="Times New Roman" w:eastAsia="Times New Roman" w:hAnsi="Times New Roman" w:cs="Times New Roman"/>
                <w:sz w:val="20"/>
                <w:szCs w:val="20"/>
                <w:lang w:eastAsia="en-GB"/>
              </w:rPr>
              <w:t>91</w:t>
            </w:r>
          </w:p>
        </w:tc>
        <w:tc>
          <w:tcPr>
            <w:tcW w:w="804" w:type="dxa"/>
            <w:shd w:val="clear" w:color="auto" w:fill="auto"/>
            <w:noWrap/>
            <w:vAlign w:val="center"/>
            <w:hideMark/>
          </w:tcPr>
          <w:p w14:paraId="38BEC6DB"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w:t>
            </w:r>
            <w:r>
              <w:rPr>
                <w:rFonts w:ascii="Times New Roman" w:eastAsia="Times New Roman" w:hAnsi="Times New Roman" w:cs="Times New Roman"/>
                <w:sz w:val="20"/>
                <w:szCs w:val="20"/>
                <w:lang w:eastAsia="en-GB"/>
              </w:rPr>
              <w:t>06</w:t>
            </w:r>
          </w:p>
        </w:tc>
        <w:tc>
          <w:tcPr>
            <w:tcW w:w="911" w:type="dxa"/>
            <w:shd w:val="clear" w:color="auto" w:fill="auto"/>
            <w:noWrap/>
            <w:vAlign w:val="center"/>
            <w:hideMark/>
          </w:tcPr>
          <w:p w14:paraId="09DF8BD7"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4.61</w:t>
            </w:r>
          </w:p>
        </w:tc>
        <w:tc>
          <w:tcPr>
            <w:tcW w:w="0" w:type="auto"/>
            <w:vAlign w:val="center"/>
          </w:tcPr>
          <w:p w14:paraId="60046722"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gridSpan w:val="2"/>
            <w:shd w:val="clear" w:color="auto" w:fill="auto"/>
            <w:noWrap/>
            <w:vAlign w:val="center"/>
            <w:hideMark/>
          </w:tcPr>
          <w:p w14:paraId="23F56DC0" w14:textId="77777777" w:rsidR="00BE3A0F" w:rsidRPr="00FF6562" w:rsidRDefault="00BE3A0F" w:rsidP="00875EB5">
            <w:pPr>
              <w:spacing w:after="0" w:line="240" w:lineRule="auto"/>
              <w:jc w:val="right"/>
              <w:rPr>
                <w:rFonts w:ascii="Times New Roman" w:eastAsia="Times New Roman" w:hAnsi="Times New Roman" w:cs="Times New Roman"/>
                <w:sz w:val="20"/>
                <w:szCs w:val="20"/>
                <w:lang w:eastAsia="en-GB"/>
              </w:rPr>
            </w:pPr>
          </w:p>
        </w:tc>
        <w:tc>
          <w:tcPr>
            <w:tcW w:w="0" w:type="auto"/>
            <w:shd w:val="clear" w:color="auto" w:fill="auto"/>
            <w:noWrap/>
            <w:vAlign w:val="center"/>
            <w:hideMark/>
          </w:tcPr>
          <w:p w14:paraId="198035E5"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0.99</w:t>
            </w:r>
            <w:r>
              <w:rPr>
                <w:rFonts w:ascii="Times New Roman" w:eastAsia="Times New Roman" w:hAnsi="Times New Roman" w:cs="Times New Roman"/>
                <w:sz w:val="20"/>
                <w:szCs w:val="20"/>
                <w:lang w:eastAsia="en-GB"/>
              </w:rPr>
              <w:t>4</w:t>
            </w:r>
          </w:p>
        </w:tc>
        <w:tc>
          <w:tcPr>
            <w:tcW w:w="0" w:type="auto"/>
            <w:shd w:val="clear" w:color="auto" w:fill="auto"/>
            <w:noWrap/>
            <w:vAlign w:val="center"/>
            <w:hideMark/>
          </w:tcPr>
          <w:p w14:paraId="66A04F2E"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0.00</w:t>
            </w:r>
            <w:r>
              <w:rPr>
                <w:rFonts w:ascii="Times New Roman" w:eastAsia="Times New Roman" w:hAnsi="Times New Roman" w:cs="Times New Roman"/>
                <w:sz w:val="20"/>
                <w:szCs w:val="20"/>
                <w:lang w:eastAsia="en-GB"/>
              </w:rPr>
              <w:t>1</w:t>
            </w:r>
          </w:p>
        </w:tc>
        <w:tc>
          <w:tcPr>
            <w:tcW w:w="0" w:type="auto"/>
            <w:shd w:val="clear" w:color="auto" w:fill="auto"/>
            <w:noWrap/>
            <w:vAlign w:val="center"/>
            <w:hideMark/>
          </w:tcPr>
          <w:p w14:paraId="2F0A925F" w14:textId="77777777" w:rsidR="00BE3A0F" w:rsidRPr="00FF6562" w:rsidRDefault="00BE3A0F" w:rsidP="00875EB5">
            <w:pPr>
              <w:spacing w:after="0" w:line="240" w:lineRule="auto"/>
              <w:jc w:val="center"/>
              <w:rPr>
                <w:rFonts w:ascii="Times New Roman" w:eastAsia="Times New Roman" w:hAnsi="Times New Roman" w:cs="Times New Roman"/>
                <w:sz w:val="20"/>
                <w:szCs w:val="20"/>
                <w:lang w:eastAsia="en-GB"/>
              </w:rPr>
            </w:pPr>
            <w:r w:rsidRPr="00FF6562">
              <w:rPr>
                <w:rFonts w:ascii="Times New Roman" w:eastAsia="Times New Roman" w:hAnsi="Times New Roman" w:cs="Times New Roman"/>
                <w:sz w:val="20"/>
                <w:szCs w:val="20"/>
                <w:lang w:eastAsia="en-GB"/>
              </w:rPr>
              <w:t>1.58</w:t>
            </w:r>
          </w:p>
        </w:tc>
      </w:tr>
    </w:tbl>
    <w:p w14:paraId="2088F9B2" w14:textId="77777777" w:rsidR="00BE3A0F" w:rsidRPr="008F70C9" w:rsidRDefault="00BE3A0F" w:rsidP="00BE3A0F">
      <w:pPr>
        <w:rPr>
          <w:rFonts w:ascii="Times New Roman" w:hAnsi="Times New Roman" w:cs="Times New Roman"/>
          <w:sz w:val="16"/>
          <w:szCs w:val="16"/>
        </w:rPr>
      </w:pPr>
      <w:r w:rsidRPr="008F70C9">
        <w:rPr>
          <w:rFonts w:ascii="Times New Roman" w:hAnsi="Times New Roman" w:cs="Times New Roman"/>
          <w:sz w:val="16"/>
          <w:szCs w:val="16"/>
        </w:rPr>
        <w:t xml:space="preserve">Notes: Com. services-communication services, consumer disc.-consumer discretionary, consumer </w:t>
      </w:r>
      <w:proofErr w:type="spellStart"/>
      <w:r w:rsidRPr="008F70C9">
        <w:rPr>
          <w:rFonts w:ascii="Times New Roman" w:hAnsi="Times New Roman" w:cs="Times New Roman"/>
          <w:sz w:val="16"/>
          <w:szCs w:val="16"/>
        </w:rPr>
        <w:t>stap</w:t>
      </w:r>
      <w:proofErr w:type="spellEnd"/>
      <w:r w:rsidRPr="008F70C9">
        <w:rPr>
          <w:rFonts w:ascii="Times New Roman" w:hAnsi="Times New Roman" w:cs="Times New Roman"/>
          <w:sz w:val="16"/>
          <w:szCs w:val="16"/>
        </w:rPr>
        <w:t xml:space="preserve">-consumer staples, Information tech.-Information technology. w-weights, </w:t>
      </w:r>
      <m:oMath>
        <m:r>
          <m:rPr>
            <m:sty m:val="p"/>
          </m:rPr>
          <w:rPr>
            <w:rFonts w:ascii="Cambria Math" w:hAnsi="Cambria Math" w:cs="Times New Roman"/>
            <w:color w:val="000000" w:themeColor="text1"/>
            <w:sz w:val="16"/>
            <w:szCs w:val="16"/>
          </w:rPr>
          <m:t>β</m:t>
        </m:r>
      </m:oMath>
      <w:r w:rsidRPr="008F70C9">
        <w:rPr>
          <w:rFonts w:ascii="Times New Roman" w:eastAsiaTheme="minorEastAsia" w:hAnsi="Times New Roman" w:cs="Times New Roman"/>
          <w:iCs/>
          <w:color w:val="000000" w:themeColor="text1"/>
          <w:sz w:val="16"/>
          <w:szCs w:val="16"/>
        </w:rPr>
        <w:t>-hedge ratio, HE-Hedging effectiveness.</w:t>
      </w:r>
    </w:p>
    <w:p w14:paraId="41DFD42A" w14:textId="264B322F" w:rsidR="00BE3A0F" w:rsidRDefault="00BE3A0F" w:rsidP="00BE3A0F">
      <w:pPr>
        <w:spacing w:line="360" w:lineRule="auto"/>
        <w:jc w:val="both"/>
        <w:rPr>
          <w:rFonts w:ascii="Times New Roman" w:hAnsi="Times New Roman" w:cs="Times New Roman"/>
          <w:sz w:val="24"/>
          <w:szCs w:val="24"/>
        </w:rPr>
      </w:pPr>
    </w:p>
    <w:p w14:paraId="2DD0FE35" w14:textId="77777777" w:rsidR="00BE3A0F" w:rsidRDefault="00BE3A0F" w:rsidP="00BE3A0F">
      <w:pPr>
        <w:spacing w:line="360" w:lineRule="auto"/>
        <w:jc w:val="both"/>
        <w:rPr>
          <w:rFonts w:ascii="Times New Roman" w:hAnsi="Times New Roman" w:cs="Times New Roman"/>
          <w:sz w:val="24"/>
          <w:szCs w:val="24"/>
        </w:rPr>
      </w:pPr>
    </w:p>
    <w:p w14:paraId="42DB396E" w14:textId="7447624D" w:rsidR="00BE3A0F" w:rsidRDefault="00BE3A0F" w:rsidP="00A56C42">
      <w:pPr>
        <w:jc w:val="center"/>
        <w:rPr>
          <w:rFonts w:ascii="Times New Roman" w:hAnsi="Times New Roman" w:cs="Times New Roman"/>
        </w:rPr>
      </w:pPr>
      <w:r w:rsidRPr="00A56C42">
        <w:rPr>
          <w:rFonts w:ascii="Times New Roman" w:hAnsi="Times New Roman" w:cs="Times New Roman"/>
        </w:rPr>
        <w:t>Figure 3. Time-varying correlations between Islamic equity sectors and Onegram</w:t>
      </w:r>
    </w:p>
    <w:p w14:paraId="71931663" w14:textId="30A57833" w:rsidR="000B1BFF" w:rsidRPr="00A56C42" w:rsidRDefault="000B1BFF" w:rsidP="00A56C42">
      <w:pPr>
        <w:jc w:val="center"/>
        <w:rPr>
          <w:rFonts w:ascii="Times New Roman" w:hAnsi="Times New Roman" w:cs="Times New Roman"/>
        </w:rPr>
      </w:pPr>
      <w:r>
        <w:object w:dxaOrig="10188" w:dyaOrig="5484" w14:anchorId="78AA1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2pt;height:274.2pt" o:ole="">
            <v:imagedata r:id="rId14" o:title=""/>
          </v:shape>
          <o:OLEObject Type="Embed" ProgID="EViews.Workfile.2" ShapeID="_x0000_i1025" DrawAspect="Content" ObjectID="_1695457945" r:id="rId15"/>
        </w:object>
      </w:r>
    </w:p>
    <w:p w14:paraId="221A6B27" w14:textId="06DADD2D" w:rsidR="004544E9" w:rsidRDefault="004544E9" w:rsidP="00BE3A0F">
      <w:pPr>
        <w:rPr>
          <w:rFonts w:ascii="Times New Roman" w:hAnsi="Times New Roman" w:cs="Times New Roman"/>
          <w:b/>
          <w:bCs/>
          <w:noProof/>
        </w:rPr>
      </w:pPr>
    </w:p>
    <w:p w14:paraId="50E76F17" w14:textId="77777777" w:rsidR="004544E9" w:rsidRPr="004544E9" w:rsidRDefault="004544E9" w:rsidP="004544E9">
      <w:pPr>
        <w:rPr>
          <w:rFonts w:ascii="Times New Roman" w:hAnsi="Times New Roman" w:cs="Times New Roman"/>
        </w:rPr>
      </w:pPr>
    </w:p>
    <w:p w14:paraId="129A28AE" w14:textId="77777777" w:rsidR="004544E9" w:rsidRPr="004544E9" w:rsidRDefault="004544E9" w:rsidP="004544E9">
      <w:pPr>
        <w:rPr>
          <w:rFonts w:ascii="Times New Roman" w:hAnsi="Times New Roman" w:cs="Times New Roman"/>
        </w:rPr>
      </w:pPr>
    </w:p>
    <w:p w14:paraId="7C0489AD" w14:textId="77777777" w:rsidR="004544E9" w:rsidRPr="004544E9" w:rsidRDefault="004544E9" w:rsidP="004544E9">
      <w:pPr>
        <w:rPr>
          <w:rFonts w:ascii="Times New Roman" w:hAnsi="Times New Roman" w:cs="Times New Roman"/>
        </w:rPr>
      </w:pPr>
    </w:p>
    <w:p w14:paraId="2D6641DF" w14:textId="77777777" w:rsidR="004544E9" w:rsidRPr="004544E9" w:rsidRDefault="004544E9" w:rsidP="004544E9">
      <w:pPr>
        <w:rPr>
          <w:rFonts w:ascii="Times New Roman" w:hAnsi="Times New Roman" w:cs="Times New Roman"/>
        </w:rPr>
      </w:pPr>
    </w:p>
    <w:p w14:paraId="773B4954" w14:textId="77777777" w:rsidR="004544E9" w:rsidRPr="004544E9" w:rsidRDefault="004544E9" w:rsidP="004544E9">
      <w:pPr>
        <w:rPr>
          <w:rFonts w:ascii="Times New Roman" w:hAnsi="Times New Roman" w:cs="Times New Roman"/>
        </w:rPr>
      </w:pPr>
    </w:p>
    <w:p w14:paraId="15C7FA98" w14:textId="77777777" w:rsidR="004544E9" w:rsidRPr="004544E9" w:rsidRDefault="004544E9" w:rsidP="004544E9">
      <w:pPr>
        <w:rPr>
          <w:rFonts w:ascii="Times New Roman" w:hAnsi="Times New Roman" w:cs="Times New Roman"/>
        </w:rPr>
      </w:pPr>
    </w:p>
    <w:p w14:paraId="5D934D8F" w14:textId="5664DD70" w:rsidR="00BE3A0F" w:rsidRDefault="00BE3A0F" w:rsidP="00A56C42">
      <w:pPr>
        <w:jc w:val="center"/>
        <w:rPr>
          <w:rFonts w:ascii="Times New Roman" w:hAnsi="Times New Roman" w:cs="Times New Roman"/>
          <w:b/>
          <w:bCs/>
        </w:rPr>
      </w:pPr>
      <w:r w:rsidRPr="00A56C42">
        <w:rPr>
          <w:rFonts w:ascii="Times New Roman" w:hAnsi="Times New Roman" w:cs="Times New Roman"/>
          <w:b/>
          <w:bCs/>
        </w:rPr>
        <w:t>Figure 4. Time-varying correlations between Islamic equity sectors and X8X</w:t>
      </w:r>
    </w:p>
    <w:p w14:paraId="768FEA40" w14:textId="79B14B43" w:rsidR="009A2DE1" w:rsidRPr="00A56C42" w:rsidRDefault="009A2DE1" w:rsidP="00A56C42">
      <w:pPr>
        <w:jc w:val="center"/>
        <w:rPr>
          <w:rFonts w:ascii="Times New Roman" w:hAnsi="Times New Roman" w:cs="Times New Roman"/>
          <w:b/>
          <w:bCs/>
        </w:rPr>
      </w:pPr>
      <w:r>
        <w:object w:dxaOrig="10117" w:dyaOrig="5484" w14:anchorId="590D98F1">
          <v:shape id="_x0000_i1026" type="#_x0000_t75" style="width:505.75pt;height:274.2pt" o:ole="">
            <v:imagedata r:id="rId16" o:title=""/>
          </v:shape>
          <o:OLEObject Type="Embed" ProgID="EViews.Workfile.2" ShapeID="_x0000_i1026" DrawAspect="Content" ObjectID="_1695457946" r:id="rId17"/>
        </w:object>
      </w:r>
    </w:p>
    <w:p w14:paraId="77135C0F" w14:textId="2DFF93BA" w:rsidR="00BE3A0F" w:rsidRDefault="00BE3A0F" w:rsidP="00BE3A0F">
      <w:pPr>
        <w:rPr>
          <w:rFonts w:ascii="Times New Roman" w:hAnsi="Times New Roman" w:cs="Times New Roman"/>
        </w:rPr>
      </w:pPr>
    </w:p>
    <w:p w14:paraId="3CBFA7FB" w14:textId="77777777" w:rsidR="00BE3A0F" w:rsidRPr="00753CD8" w:rsidRDefault="00BE3A0F" w:rsidP="00BE3A0F">
      <w:pPr>
        <w:ind w:firstLine="720"/>
        <w:rPr>
          <w:rFonts w:ascii="Times New Roman" w:hAnsi="Times New Roman" w:cs="Times New Roman"/>
        </w:rPr>
      </w:pPr>
    </w:p>
    <w:p w14:paraId="5B901C3A" w14:textId="77777777" w:rsidR="00C93B11" w:rsidRDefault="00C93B11" w:rsidP="00214DF7">
      <w:pPr>
        <w:spacing w:before="240" w:after="240" w:line="360" w:lineRule="auto"/>
        <w:jc w:val="both"/>
        <w:rPr>
          <w:rFonts w:ascii="Times New Roman" w:hAnsi="Times New Roman" w:cs="Times New Roman"/>
          <w:sz w:val="24"/>
          <w:szCs w:val="24"/>
        </w:rPr>
      </w:pPr>
    </w:p>
    <w:sectPr w:rsidR="00C93B11" w:rsidSect="00A56C42">
      <w:pgSz w:w="15840" w:h="12240" w:orient="landscape"/>
      <w:pgMar w:top="1224" w:right="850" w:bottom="1224" w:left="8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6E5FE" w14:textId="77777777" w:rsidR="00EA086C" w:rsidRDefault="00EA086C" w:rsidP="00A50C23">
      <w:pPr>
        <w:spacing w:after="0" w:line="240" w:lineRule="auto"/>
      </w:pPr>
      <w:r>
        <w:separator/>
      </w:r>
    </w:p>
  </w:endnote>
  <w:endnote w:type="continuationSeparator" w:id="0">
    <w:p w14:paraId="64C62BF5" w14:textId="77777777" w:rsidR="00EA086C" w:rsidRDefault="00EA086C" w:rsidP="00A50C23">
      <w:pPr>
        <w:spacing w:after="0" w:line="240" w:lineRule="auto"/>
      </w:pPr>
      <w:r>
        <w:continuationSeparator/>
      </w:r>
    </w:p>
  </w:endnote>
  <w:endnote w:type="continuationNotice" w:id="1">
    <w:p w14:paraId="5D23FDC4" w14:textId="77777777" w:rsidR="00EA086C" w:rsidRDefault="00EA0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947052"/>
      <w:docPartObj>
        <w:docPartGallery w:val="Page Numbers (Bottom of Page)"/>
        <w:docPartUnique/>
      </w:docPartObj>
    </w:sdtPr>
    <w:sdtEndPr>
      <w:rPr>
        <w:noProof/>
      </w:rPr>
    </w:sdtEndPr>
    <w:sdtContent>
      <w:p w14:paraId="2D48F0B9" w14:textId="75D617BE" w:rsidR="00FE124F" w:rsidRDefault="00FE12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DFE2BE" w14:textId="77777777" w:rsidR="00FE124F" w:rsidRDefault="00FE1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56F55" w14:textId="77777777" w:rsidR="00EA086C" w:rsidRDefault="00EA086C" w:rsidP="00A50C23">
      <w:pPr>
        <w:spacing w:after="0" w:line="240" w:lineRule="auto"/>
      </w:pPr>
      <w:r>
        <w:separator/>
      </w:r>
    </w:p>
  </w:footnote>
  <w:footnote w:type="continuationSeparator" w:id="0">
    <w:p w14:paraId="4CA2F2B3" w14:textId="77777777" w:rsidR="00EA086C" w:rsidRDefault="00EA086C" w:rsidP="00A50C23">
      <w:pPr>
        <w:spacing w:after="0" w:line="240" w:lineRule="auto"/>
      </w:pPr>
      <w:r>
        <w:continuationSeparator/>
      </w:r>
    </w:p>
  </w:footnote>
  <w:footnote w:type="continuationNotice" w:id="1">
    <w:p w14:paraId="60834DCC" w14:textId="77777777" w:rsidR="00EA086C" w:rsidRDefault="00EA086C">
      <w:pPr>
        <w:spacing w:after="0" w:line="240" w:lineRule="auto"/>
      </w:pPr>
    </w:p>
  </w:footnote>
  <w:footnote w:id="2">
    <w:p w14:paraId="379E3D2C" w14:textId="77777777" w:rsidR="00FE124F" w:rsidRDefault="00FE124F" w:rsidP="00F377CD">
      <w:pPr>
        <w:pStyle w:val="FootnoteText"/>
      </w:pPr>
      <w:r>
        <w:rPr>
          <w:rStyle w:val="FootnoteReference"/>
        </w:rPr>
        <w:footnoteRef/>
      </w:r>
      <w:r>
        <w:t xml:space="preserve"> </w:t>
      </w:r>
      <w:r w:rsidRPr="00DD7C98">
        <w:t>ISLAMIC FINANCIAL SERVICES INDUSTRY STABILITY REPORT 2021</w:t>
      </w:r>
    </w:p>
  </w:footnote>
  <w:footnote w:id="3">
    <w:p w14:paraId="4C73E4E6" w14:textId="5E517A88" w:rsidR="00FE124F" w:rsidRPr="00487275" w:rsidRDefault="00FE124F">
      <w:pPr>
        <w:pStyle w:val="FootnoteText"/>
        <w:rPr>
          <w:lang w:val="en-GB"/>
        </w:rPr>
      </w:pPr>
      <w:r w:rsidRPr="00487275">
        <w:rPr>
          <w:rStyle w:val="FootnoteReference"/>
          <w:color w:val="2E74B5" w:themeColor="accent5" w:themeShade="BF"/>
        </w:rPr>
        <w:footnoteRef/>
      </w:r>
      <w:r w:rsidRPr="00487275">
        <w:rPr>
          <w:color w:val="2E74B5" w:themeColor="accent5" w:themeShade="BF"/>
        </w:rPr>
        <w:t xml:space="preserve"> For more detailed assessment of Fintech and Islamic world see the book by </w:t>
      </w:r>
      <w:proofErr w:type="spellStart"/>
      <w:r w:rsidRPr="00487275">
        <w:rPr>
          <w:color w:val="2E74B5" w:themeColor="accent5" w:themeShade="BF"/>
        </w:rPr>
        <w:t>Alam</w:t>
      </w:r>
      <w:proofErr w:type="spellEnd"/>
      <w:r w:rsidRPr="00487275">
        <w:rPr>
          <w:color w:val="2E74B5" w:themeColor="accent5" w:themeShade="BF"/>
        </w:rPr>
        <w:t xml:space="preserve"> et al. (2019) “Fintech and Islamic Finance: Decentralization, Development and Disruption”.</w:t>
      </w:r>
    </w:p>
  </w:footnote>
  <w:footnote w:id="4">
    <w:p w14:paraId="0A548DE4" w14:textId="77777777" w:rsidR="00FE124F" w:rsidRPr="00A51C0A" w:rsidRDefault="00FE124F" w:rsidP="000252B1">
      <w:pPr>
        <w:pStyle w:val="FootnoteText"/>
        <w:rPr>
          <w:sz w:val="18"/>
          <w:szCs w:val="18"/>
        </w:rPr>
      </w:pPr>
      <w:r>
        <w:rPr>
          <w:rStyle w:val="FootnoteReference"/>
        </w:rPr>
        <w:footnoteRef/>
      </w:r>
      <w: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Variance</m:t>
            </m:r>
          </m:e>
          <m:sub>
            <m:r>
              <w:rPr>
                <w:rFonts w:ascii="Cambria Math" w:hAnsi="Cambria Math" w:cs="Times New Roman"/>
                <w:sz w:val="18"/>
                <w:szCs w:val="18"/>
              </w:rPr>
              <m:t>hedged</m:t>
            </m:r>
          </m:sub>
        </m:sSub>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h</m:t>
            </m:r>
          </m:e>
          <m:sub>
            <m:r>
              <w:rPr>
                <w:rFonts w:ascii="Cambria Math" w:hAnsi="Cambria Math" w:cs="Times New Roman"/>
                <w:sz w:val="18"/>
                <w:szCs w:val="18"/>
              </w:rPr>
              <m:t>x,t</m:t>
            </m:r>
          </m:sub>
        </m:sSub>
        <m:r>
          <w:rPr>
            <w:rFonts w:ascii="Cambria Math" w:hAnsi="Cambria Math" w:cs="Times New Roman"/>
            <w:sz w:val="18"/>
            <w:szCs w:val="18"/>
          </w:rPr>
          <m:t xml:space="preserve"> +</m:t>
        </m:r>
        <m:sSubSup>
          <m:sSubSupPr>
            <m:ctrlPr>
              <w:rPr>
                <w:rFonts w:ascii="Cambria Math" w:hAnsi="Cambria Math" w:cs="Times New Roman"/>
                <w:i/>
                <w:sz w:val="18"/>
                <w:szCs w:val="18"/>
              </w:rPr>
            </m:ctrlPr>
          </m:sSubSupPr>
          <m:e>
            <m:r>
              <w:rPr>
                <w:rFonts w:ascii="Cambria Math" w:hAnsi="Cambria Math" w:cs="Times New Roman"/>
                <w:sz w:val="18"/>
                <w:szCs w:val="18"/>
              </w:rPr>
              <m:t>β</m:t>
            </m:r>
          </m:e>
          <m:sub>
            <m:r>
              <w:rPr>
                <w:rFonts w:ascii="Cambria Math" w:hAnsi="Cambria Math" w:cs="Times New Roman"/>
                <w:sz w:val="18"/>
                <w:szCs w:val="18"/>
              </w:rPr>
              <m:t>xy,t</m:t>
            </m:r>
          </m:sub>
          <m:sup>
            <m:r>
              <w:rPr>
                <w:rFonts w:ascii="Cambria Math" w:hAnsi="Cambria Math" w:cs="Times New Roman"/>
                <w:sz w:val="18"/>
                <w:szCs w:val="18"/>
              </w:rPr>
              <m:t>2</m:t>
            </m:r>
          </m:sup>
        </m:sSubSup>
        <m:r>
          <w:rPr>
            <w:rFonts w:ascii="Cambria Math" w:hAnsi="Cambria Math" w:cs="Times New Roman"/>
            <w:sz w:val="18"/>
            <w:szCs w:val="18"/>
          </w:rPr>
          <m:t xml:space="preserve"> . </m:t>
        </m:r>
        <m:sSub>
          <m:sSubPr>
            <m:ctrlPr>
              <w:rPr>
                <w:rFonts w:ascii="Cambria Math" w:hAnsi="Cambria Math" w:cs="Times New Roman"/>
                <w:i/>
                <w:sz w:val="18"/>
                <w:szCs w:val="18"/>
              </w:rPr>
            </m:ctrlPr>
          </m:sSubPr>
          <m:e>
            <m:r>
              <w:rPr>
                <w:rFonts w:ascii="Cambria Math" w:hAnsi="Cambria Math" w:cs="Times New Roman"/>
                <w:sz w:val="18"/>
                <w:szCs w:val="18"/>
              </w:rPr>
              <m:t>h</m:t>
            </m:r>
          </m:e>
          <m:sub>
            <m:r>
              <w:rPr>
                <w:rFonts w:ascii="Cambria Math" w:hAnsi="Cambria Math" w:cs="Times New Roman"/>
                <w:sz w:val="18"/>
                <w:szCs w:val="18"/>
              </w:rPr>
              <m:t>y,t</m:t>
            </m:r>
          </m:sub>
        </m:sSub>
        <m:r>
          <w:rPr>
            <w:rFonts w:ascii="Cambria Math" w:hAnsi="Cambria Math" w:cs="Times New Roman"/>
            <w:sz w:val="18"/>
            <w:szCs w:val="18"/>
          </w:rPr>
          <m:t xml:space="preserve"> - 2</m:t>
        </m:r>
        <m:sSub>
          <m:sSubPr>
            <m:ctrlPr>
              <w:rPr>
                <w:rFonts w:ascii="Cambria Math" w:hAnsi="Cambria Math" w:cs="Times New Roman"/>
                <w:i/>
                <w:sz w:val="18"/>
                <w:szCs w:val="18"/>
              </w:rPr>
            </m:ctrlPr>
          </m:sSubPr>
          <m:e>
            <m:r>
              <w:rPr>
                <w:rFonts w:ascii="Cambria Math" w:hAnsi="Cambria Math" w:cs="Times New Roman"/>
                <w:sz w:val="18"/>
                <w:szCs w:val="18"/>
              </w:rPr>
              <m:t>β</m:t>
            </m:r>
          </m:e>
          <m:sub>
            <m:r>
              <w:rPr>
                <w:rFonts w:ascii="Cambria Math" w:hAnsi="Cambria Math" w:cs="Times New Roman"/>
                <w:sz w:val="18"/>
                <w:szCs w:val="18"/>
              </w:rPr>
              <m:t>xy,t</m:t>
            </m:r>
          </m:sub>
        </m:sSub>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h</m:t>
            </m:r>
          </m:e>
          <m:sub>
            <m:r>
              <w:rPr>
                <w:rFonts w:ascii="Cambria Math" w:hAnsi="Cambria Math" w:cs="Times New Roman"/>
                <w:sz w:val="18"/>
                <w:szCs w:val="18"/>
              </w:rPr>
              <m:t xml:space="preserve">xy,t </m:t>
            </m:r>
          </m:sub>
        </m:sSub>
      </m:oMath>
    </w:p>
  </w:footnote>
  <w:footnote w:id="5">
    <w:p w14:paraId="6A555379" w14:textId="5D936502" w:rsidR="00FE124F" w:rsidRPr="00875192" w:rsidRDefault="00FE124F">
      <w:pPr>
        <w:pStyle w:val="FootnoteText"/>
        <w:rPr>
          <w:color w:val="0070C0"/>
        </w:rPr>
      </w:pPr>
      <w:r>
        <w:rPr>
          <w:rStyle w:val="FootnoteReference"/>
        </w:rPr>
        <w:footnoteRef/>
      </w:r>
      <w:r>
        <w:t xml:space="preserve"> </w:t>
      </w:r>
      <w:r w:rsidRPr="00875192">
        <w:rPr>
          <w:color w:val="0070C0"/>
        </w:rPr>
        <w:t>https://onegram.org/</w:t>
      </w:r>
    </w:p>
  </w:footnote>
  <w:footnote w:id="6">
    <w:p w14:paraId="3AAD0CBE" w14:textId="77777777" w:rsidR="00FE124F" w:rsidRPr="00875192" w:rsidRDefault="00FE124F" w:rsidP="00C7107D">
      <w:pPr>
        <w:pStyle w:val="FootnoteText"/>
        <w:rPr>
          <w:color w:val="0070C0"/>
        </w:rPr>
      </w:pPr>
      <w:r w:rsidRPr="00875192">
        <w:rPr>
          <w:rStyle w:val="FootnoteReference"/>
          <w:color w:val="0070C0"/>
        </w:rPr>
        <w:footnoteRef/>
      </w:r>
      <w:r w:rsidRPr="00875192">
        <w:rPr>
          <w:color w:val="0070C0"/>
        </w:rPr>
        <w:t xml:space="preserve"> https://coinmarketcap.com/currencies/x8x-token/</w:t>
      </w:r>
    </w:p>
  </w:footnote>
  <w:footnote w:id="7">
    <w:p w14:paraId="4D4A7BAB" w14:textId="14C1FF35" w:rsidR="00FE124F" w:rsidRPr="00875192" w:rsidRDefault="00FE124F">
      <w:pPr>
        <w:pStyle w:val="FootnoteText"/>
        <w:rPr>
          <w:color w:val="0070C0"/>
        </w:rPr>
      </w:pPr>
      <w:r w:rsidRPr="00875192">
        <w:rPr>
          <w:rStyle w:val="FootnoteReference"/>
          <w:color w:val="0070C0"/>
        </w:rPr>
        <w:footnoteRef/>
      </w:r>
      <w:r w:rsidRPr="00875192">
        <w:rPr>
          <w:color w:val="0070C0"/>
        </w:rPr>
        <w:t xml:space="preserve"> https://www.spglobal.com/spdji/en/index-family/equity/shariah/sp-shariah/#indices</w:t>
      </w:r>
    </w:p>
  </w:footnote>
  <w:footnote w:id="8">
    <w:p w14:paraId="4DACE8CD" w14:textId="5E0850BF" w:rsidR="00FE124F" w:rsidRPr="00875192" w:rsidRDefault="00FE124F">
      <w:pPr>
        <w:pStyle w:val="FootnoteText"/>
        <w:rPr>
          <w:color w:val="0070C0"/>
        </w:rPr>
      </w:pPr>
      <w:r w:rsidRPr="00875192">
        <w:rPr>
          <w:rStyle w:val="FootnoteReference"/>
          <w:color w:val="0070C0"/>
        </w:rPr>
        <w:footnoteRef/>
      </w:r>
      <w:r w:rsidRPr="00875192">
        <w:rPr>
          <w:color w:val="0070C0"/>
        </w:rPr>
        <w:t xml:space="preserve"> https://www.who.int/news/item/27-04-2020-who-timeline---covid-19</w:t>
      </w:r>
    </w:p>
  </w:footnote>
  <w:footnote w:id="9">
    <w:p w14:paraId="71D56B4A" w14:textId="52A97FC9" w:rsidR="00FE124F" w:rsidRDefault="00FE124F">
      <w:pPr>
        <w:pStyle w:val="FootnoteText"/>
      </w:pPr>
      <w:r>
        <w:rPr>
          <w:rStyle w:val="FootnoteReference"/>
        </w:rPr>
        <w:footnoteRef/>
      </w:r>
      <w:r>
        <w:t xml:space="preserve"> </w:t>
      </w:r>
      <w:r w:rsidRPr="003B797A">
        <w:rPr>
          <w:color w:val="0070C0"/>
        </w:rPr>
        <w:t>https://covid19.who.int/</w:t>
      </w:r>
    </w:p>
  </w:footnote>
  <w:footnote w:id="10">
    <w:p w14:paraId="116C3F16" w14:textId="7A6254C6" w:rsidR="00FE124F" w:rsidRPr="004515EE" w:rsidRDefault="00FE124F">
      <w:pPr>
        <w:pStyle w:val="FootnoteText"/>
        <w:rPr>
          <w:lang w:val="en-GB"/>
        </w:rPr>
      </w:pPr>
      <w:r>
        <w:rPr>
          <w:rStyle w:val="FootnoteReference"/>
        </w:rPr>
        <w:footnoteRef/>
      </w:r>
      <w:r>
        <w:t xml:space="preserve"> </w:t>
      </w:r>
      <w:r w:rsidRPr="00E23829">
        <w:rPr>
          <w:color w:val="2E74B5" w:themeColor="accent5" w:themeShade="BF"/>
          <w:lang w:val="en-GB"/>
        </w:rPr>
        <w:t xml:space="preserve">For other statistics of COVID-19 pandemic please see: </w:t>
      </w:r>
      <w:hyperlink r:id="rId1" w:history="1">
        <w:r w:rsidRPr="00E23829">
          <w:rPr>
            <w:rStyle w:val="Hyperlink"/>
            <w:color w:val="2E74B5" w:themeColor="accent5" w:themeShade="BF"/>
            <w:lang w:val="en-GB"/>
          </w:rPr>
          <w:t>https://ourworldindata.org/coronavirus</w:t>
        </w:r>
      </w:hyperlink>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84776"/>
    <w:multiLevelType w:val="multilevel"/>
    <w:tmpl w:val="6304F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jcytjAwtDQxNjNX0lEKTi0uzszPAykwNKwFAPwDu2stAAAA"/>
  </w:docVars>
  <w:rsids>
    <w:rsidRoot w:val="0023267B"/>
    <w:rsid w:val="00004B60"/>
    <w:rsid w:val="000063D9"/>
    <w:rsid w:val="0001046B"/>
    <w:rsid w:val="000120B8"/>
    <w:rsid w:val="00012204"/>
    <w:rsid w:val="0001235A"/>
    <w:rsid w:val="00015BBD"/>
    <w:rsid w:val="0002213D"/>
    <w:rsid w:val="0002255E"/>
    <w:rsid w:val="000229C6"/>
    <w:rsid w:val="000252B1"/>
    <w:rsid w:val="00025E4A"/>
    <w:rsid w:val="000264F6"/>
    <w:rsid w:val="00027B90"/>
    <w:rsid w:val="00030FCA"/>
    <w:rsid w:val="000326C0"/>
    <w:rsid w:val="00034237"/>
    <w:rsid w:val="00036A72"/>
    <w:rsid w:val="00037C5E"/>
    <w:rsid w:val="00041600"/>
    <w:rsid w:val="00043F8D"/>
    <w:rsid w:val="00044B53"/>
    <w:rsid w:val="00046048"/>
    <w:rsid w:val="000467BE"/>
    <w:rsid w:val="00046D34"/>
    <w:rsid w:val="000470E0"/>
    <w:rsid w:val="00050F58"/>
    <w:rsid w:val="00053B5E"/>
    <w:rsid w:val="0005479B"/>
    <w:rsid w:val="0005531C"/>
    <w:rsid w:val="00060078"/>
    <w:rsid w:val="00063B41"/>
    <w:rsid w:val="000648A6"/>
    <w:rsid w:val="0006559B"/>
    <w:rsid w:val="00067651"/>
    <w:rsid w:val="00071994"/>
    <w:rsid w:val="00073EC5"/>
    <w:rsid w:val="0007487E"/>
    <w:rsid w:val="00075E58"/>
    <w:rsid w:val="00075E5F"/>
    <w:rsid w:val="00075FE2"/>
    <w:rsid w:val="000802A3"/>
    <w:rsid w:val="00080F8A"/>
    <w:rsid w:val="000826DF"/>
    <w:rsid w:val="000843FA"/>
    <w:rsid w:val="00084D5C"/>
    <w:rsid w:val="00091E81"/>
    <w:rsid w:val="000930A2"/>
    <w:rsid w:val="000937E0"/>
    <w:rsid w:val="000A173E"/>
    <w:rsid w:val="000A1A1C"/>
    <w:rsid w:val="000A354A"/>
    <w:rsid w:val="000A3B5D"/>
    <w:rsid w:val="000A4623"/>
    <w:rsid w:val="000A62B1"/>
    <w:rsid w:val="000A6FA8"/>
    <w:rsid w:val="000A77FD"/>
    <w:rsid w:val="000B12BF"/>
    <w:rsid w:val="000B1B50"/>
    <w:rsid w:val="000B1BFF"/>
    <w:rsid w:val="000B232D"/>
    <w:rsid w:val="000B64B3"/>
    <w:rsid w:val="000B6D69"/>
    <w:rsid w:val="000B74FC"/>
    <w:rsid w:val="000C0198"/>
    <w:rsid w:val="000C1EEB"/>
    <w:rsid w:val="000C222E"/>
    <w:rsid w:val="000C2EFB"/>
    <w:rsid w:val="000C48E8"/>
    <w:rsid w:val="000C711F"/>
    <w:rsid w:val="000C7513"/>
    <w:rsid w:val="000D1DB8"/>
    <w:rsid w:val="000D300D"/>
    <w:rsid w:val="000D4098"/>
    <w:rsid w:val="000D4398"/>
    <w:rsid w:val="000D58E9"/>
    <w:rsid w:val="000D6552"/>
    <w:rsid w:val="000D6D39"/>
    <w:rsid w:val="000D6DA9"/>
    <w:rsid w:val="000D7742"/>
    <w:rsid w:val="000D7B50"/>
    <w:rsid w:val="000E012B"/>
    <w:rsid w:val="000E0E0A"/>
    <w:rsid w:val="000E1213"/>
    <w:rsid w:val="000E1EA4"/>
    <w:rsid w:val="000E2A34"/>
    <w:rsid w:val="000E430E"/>
    <w:rsid w:val="000E4BFA"/>
    <w:rsid w:val="000E5229"/>
    <w:rsid w:val="000E6B96"/>
    <w:rsid w:val="000E717F"/>
    <w:rsid w:val="000F513B"/>
    <w:rsid w:val="000F7971"/>
    <w:rsid w:val="000F7FC1"/>
    <w:rsid w:val="001019B2"/>
    <w:rsid w:val="001036BF"/>
    <w:rsid w:val="00105C29"/>
    <w:rsid w:val="001064D7"/>
    <w:rsid w:val="00107161"/>
    <w:rsid w:val="001112B2"/>
    <w:rsid w:val="00113526"/>
    <w:rsid w:val="00120508"/>
    <w:rsid w:val="00120BEF"/>
    <w:rsid w:val="00120C32"/>
    <w:rsid w:val="00122EC5"/>
    <w:rsid w:val="001232D6"/>
    <w:rsid w:val="00124BF4"/>
    <w:rsid w:val="0012604A"/>
    <w:rsid w:val="00130022"/>
    <w:rsid w:val="00130101"/>
    <w:rsid w:val="00130372"/>
    <w:rsid w:val="001303EB"/>
    <w:rsid w:val="001314A7"/>
    <w:rsid w:val="00132D8A"/>
    <w:rsid w:val="00133020"/>
    <w:rsid w:val="0014261F"/>
    <w:rsid w:val="00143B8B"/>
    <w:rsid w:val="00144B87"/>
    <w:rsid w:val="00145EB3"/>
    <w:rsid w:val="00146C32"/>
    <w:rsid w:val="00146FE6"/>
    <w:rsid w:val="00147120"/>
    <w:rsid w:val="00147D5A"/>
    <w:rsid w:val="0015072B"/>
    <w:rsid w:val="00153DB5"/>
    <w:rsid w:val="00155DFE"/>
    <w:rsid w:val="00156099"/>
    <w:rsid w:val="001570C1"/>
    <w:rsid w:val="001576DC"/>
    <w:rsid w:val="00161BF6"/>
    <w:rsid w:val="00161C12"/>
    <w:rsid w:val="001629A7"/>
    <w:rsid w:val="00164650"/>
    <w:rsid w:val="00165BDF"/>
    <w:rsid w:val="00165EB3"/>
    <w:rsid w:val="0016702A"/>
    <w:rsid w:val="00170456"/>
    <w:rsid w:val="001750F9"/>
    <w:rsid w:val="00176134"/>
    <w:rsid w:val="001800A7"/>
    <w:rsid w:val="00180CAF"/>
    <w:rsid w:val="00187816"/>
    <w:rsid w:val="00187D50"/>
    <w:rsid w:val="00187E88"/>
    <w:rsid w:val="00187ED2"/>
    <w:rsid w:val="00190F4A"/>
    <w:rsid w:val="00191169"/>
    <w:rsid w:val="00191253"/>
    <w:rsid w:val="001912A8"/>
    <w:rsid w:val="0019152C"/>
    <w:rsid w:val="00191BAF"/>
    <w:rsid w:val="00191D1A"/>
    <w:rsid w:val="0019517B"/>
    <w:rsid w:val="00195CFB"/>
    <w:rsid w:val="001A06E8"/>
    <w:rsid w:val="001A1A7D"/>
    <w:rsid w:val="001A2D23"/>
    <w:rsid w:val="001A3379"/>
    <w:rsid w:val="001A49BD"/>
    <w:rsid w:val="001A5315"/>
    <w:rsid w:val="001A7EEB"/>
    <w:rsid w:val="001B1C56"/>
    <w:rsid w:val="001B1FEB"/>
    <w:rsid w:val="001B4153"/>
    <w:rsid w:val="001B4DCC"/>
    <w:rsid w:val="001B54E3"/>
    <w:rsid w:val="001B5617"/>
    <w:rsid w:val="001B5F41"/>
    <w:rsid w:val="001B67B7"/>
    <w:rsid w:val="001B79A4"/>
    <w:rsid w:val="001C143C"/>
    <w:rsid w:val="001C19C2"/>
    <w:rsid w:val="001C26C5"/>
    <w:rsid w:val="001C3C73"/>
    <w:rsid w:val="001C3D0A"/>
    <w:rsid w:val="001C56D7"/>
    <w:rsid w:val="001D0323"/>
    <w:rsid w:val="001D0ABD"/>
    <w:rsid w:val="001D1888"/>
    <w:rsid w:val="001D1A09"/>
    <w:rsid w:val="001D3070"/>
    <w:rsid w:val="001D328D"/>
    <w:rsid w:val="001D34D4"/>
    <w:rsid w:val="001D4686"/>
    <w:rsid w:val="001D57E4"/>
    <w:rsid w:val="001D586B"/>
    <w:rsid w:val="001D5CEE"/>
    <w:rsid w:val="001D6276"/>
    <w:rsid w:val="001D69E1"/>
    <w:rsid w:val="001D6D17"/>
    <w:rsid w:val="001D7658"/>
    <w:rsid w:val="001E0761"/>
    <w:rsid w:val="001E2BC7"/>
    <w:rsid w:val="001E4026"/>
    <w:rsid w:val="001E7B9F"/>
    <w:rsid w:val="001F2B62"/>
    <w:rsid w:val="001F3906"/>
    <w:rsid w:val="001F6992"/>
    <w:rsid w:val="001F6EBD"/>
    <w:rsid w:val="001F794F"/>
    <w:rsid w:val="001F7AD2"/>
    <w:rsid w:val="002032EA"/>
    <w:rsid w:val="0020459D"/>
    <w:rsid w:val="00204E13"/>
    <w:rsid w:val="00205DCC"/>
    <w:rsid w:val="0021130D"/>
    <w:rsid w:val="00212201"/>
    <w:rsid w:val="002145A2"/>
    <w:rsid w:val="00214DF7"/>
    <w:rsid w:val="00215333"/>
    <w:rsid w:val="00215EF8"/>
    <w:rsid w:val="002167EB"/>
    <w:rsid w:val="00217A97"/>
    <w:rsid w:val="00220051"/>
    <w:rsid w:val="00220786"/>
    <w:rsid w:val="00220C03"/>
    <w:rsid w:val="00221CEC"/>
    <w:rsid w:val="002228C1"/>
    <w:rsid w:val="002235BA"/>
    <w:rsid w:val="00223FB9"/>
    <w:rsid w:val="0022433B"/>
    <w:rsid w:val="00224F7D"/>
    <w:rsid w:val="002253DC"/>
    <w:rsid w:val="00227263"/>
    <w:rsid w:val="0023267B"/>
    <w:rsid w:val="00232D82"/>
    <w:rsid w:val="00233985"/>
    <w:rsid w:val="0023527F"/>
    <w:rsid w:val="0023551C"/>
    <w:rsid w:val="00235A9C"/>
    <w:rsid w:val="00236977"/>
    <w:rsid w:val="00236EFA"/>
    <w:rsid w:val="00237756"/>
    <w:rsid w:val="00237904"/>
    <w:rsid w:val="002408F4"/>
    <w:rsid w:val="00241C95"/>
    <w:rsid w:val="00244890"/>
    <w:rsid w:val="00244962"/>
    <w:rsid w:val="002476D5"/>
    <w:rsid w:val="00247901"/>
    <w:rsid w:val="00254962"/>
    <w:rsid w:val="00254992"/>
    <w:rsid w:val="00254E54"/>
    <w:rsid w:val="00255F50"/>
    <w:rsid w:val="002567D0"/>
    <w:rsid w:val="00257947"/>
    <w:rsid w:val="0026083B"/>
    <w:rsid w:val="00261F94"/>
    <w:rsid w:val="002626EB"/>
    <w:rsid w:val="00262F5E"/>
    <w:rsid w:val="0026330A"/>
    <w:rsid w:val="00263903"/>
    <w:rsid w:val="00264020"/>
    <w:rsid w:val="002661FB"/>
    <w:rsid w:val="0027439A"/>
    <w:rsid w:val="00274542"/>
    <w:rsid w:val="00280AB8"/>
    <w:rsid w:val="00281137"/>
    <w:rsid w:val="00281391"/>
    <w:rsid w:val="00281FCF"/>
    <w:rsid w:val="0028218E"/>
    <w:rsid w:val="00283718"/>
    <w:rsid w:val="00283D23"/>
    <w:rsid w:val="00284373"/>
    <w:rsid w:val="00287637"/>
    <w:rsid w:val="00287F5A"/>
    <w:rsid w:val="00290139"/>
    <w:rsid w:val="00290402"/>
    <w:rsid w:val="00290425"/>
    <w:rsid w:val="00290E1C"/>
    <w:rsid w:val="00293046"/>
    <w:rsid w:val="00293901"/>
    <w:rsid w:val="00293D51"/>
    <w:rsid w:val="00294F68"/>
    <w:rsid w:val="00296E4A"/>
    <w:rsid w:val="002970A3"/>
    <w:rsid w:val="00297F06"/>
    <w:rsid w:val="002A215E"/>
    <w:rsid w:val="002A3614"/>
    <w:rsid w:val="002A5965"/>
    <w:rsid w:val="002A6030"/>
    <w:rsid w:val="002A699C"/>
    <w:rsid w:val="002B09E1"/>
    <w:rsid w:val="002B2131"/>
    <w:rsid w:val="002B2D24"/>
    <w:rsid w:val="002B4510"/>
    <w:rsid w:val="002B5839"/>
    <w:rsid w:val="002B6071"/>
    <w:rsid w:val="002B6D9E"/>
    <w:rsid w:val="002C1AE5"/>
    <w:rsid w:val="002C49EC"/>
    <w:rsid w:val="002C69D8"/>
    <w:rsid w:val="002C6AFC"/>
    <w:rsid w:val="002C6FBB"/>
    <w:rsid w:val="002D1E78"/>
    <w:rsid w:val="002D2026"/>
    <w:rsid w:val="002D3669"/>
    <w:rsid w:val="002D5B0E"/>
    <w:rsid w:val="002D6595"/>
    <w:rsid w:val="002D7438"/>
    <w:rsid w:val="002D79E9"/>
    <w:rsid w:val="002D7D2F"/>
    <w:rsid w:val="002E2C82"/>
    <w:rsid w:val="002E51C0"/>
    <w:rsid w:val="002E5783"/>
    <w:rsid w:val="002E637A"/>
    <w:rsid w:val="002F49A4"/>
    <w:rsid w:val="002F516F"/>
    <w:rsid w:val="002F59B3"/>
    <w:rsid w:val="002F636B"/>
    <w:rsid w:val="002F6AB4"/>
    <w:rsid w:val="002F7F3F"/>
    <w:rsid w:val="00300252"/>
    <w:rsid w:val="00302F6F"/>
    <w:rsid w:val="0030326D"/>
    <w:rsid w:val="003032B0"/>
    <w:rsid w:val="00304AAC"/>
    <w:rsid w:val="00305057"/>
    <w:rsid w:val="003113E0"/>
    <w:rsid w:val="0031334E"/>
    <w:rsid w:val="00320117"/>
    <w:rsid w:val="00321B72"/>
    <w:rsid w:val="00321E2B"/>
    <w:rsid w:val="00323136"/>
    <w:rsid w:val="003239E5"/>
    <w:rsid w:val="00323E4A"/>
    <w:rsid w:val="00325635"/>
    <w:rsid w:val="00326C0D"/>
    <w:rsid w:val="003276D2"/>
    <w:rsid w:val="00327744"/>
    <w:rsid w:val="00330CF5"/>
    <w:rsid w:val="00332E68"/>
    <w:rsid w:val="00332FDC"/>
    <w:rsid w:val="0033604C"/>
    <w:rsid w:val="00337F34"/>
    <w:rsid w:val="0034060C"/>
    <w:rsid w:val="0034107B"/>
    <w:rsid w:val="00343F8B"/>
    <w:rsid w:val="00344A93"/>
    <w:rsid w:val="00344C5B"/>
    <w:rsid w:val="00351650"/>
    <w:rsid w:val="00352D82"/>
    <w:rsid w:val="00353CA6"/>
    <w:rsid w:val="00354CCA"/>
    <w:rsid w:val="0035565C"/>
    <w:rsid w:val="00356340"/>
    <w:rsid w:val="00356907"/>
    <w:rsid w:val="003603DF"/>
    <w:rsid w:val="0036149D"/>
    <w:rsid w:val="003621A4"/>
    <w:rsid w:val="00362251"/>
    <w:rsid w:val="00362BAC"/>
    <w:rsid w:val="00362D35"/>
    <w:rsid w:val="00363170"/>
    <w:rsid w:val="00363173"/>
    <w:rsid w:val="00363D43"/>
    <w:rsid w:val="00364334"/>
    <w:rsid w:val="003664B7"/>
    <w:rsid w:val="003704EE"/>
    <w:rsid w:val="003706F7"/>
    <w:rsid w:val="0037199B"/>
    <w:rsid w:val="003724C8"/>
    <w:rsid w:val="00372B29"/>
    <w:rsid w:val="00374017"/>
    <w:rsid w:val="00374A13"/>
    <w:rsid w:val="00374A72"/>
    <w:rsid w:val="0037518F"/>
    <w:rsid w:val="0037616C"/>
    <w:rsid w:val="003804A8"/>
    <w:rsid w:val="0038145B"/>
    <w:rsid w:val="00382116"/>
    <w:rsid w:val="00382306"/>
    <w:rsid w:val="0038533F"/>
    <w:rsid w:val="00385435"/>
    <w:rsid w:val="0038639C"/>
    <w:rsid w:val="003867B6"/>
    <w:rsid w:val="003874CF"/>
    <w:rsid w:val="003905BD"/>
    <w:rsid w:val="00391395"/>
    <w:rsid w:val="00393411"/>
    <w:rsid w:val="003943CD"/>
    <w:rsid w:val="00394D67"/>
    <w:rsid w:val="003952D1"/>
    <w:rsid w:val="00395D56"/>
    <w:rsid w:val="00396C4E"/>
    <w:rsid w:val="00396C74"/>
    <w:rsid w:val="003A0092"/>
    <w:rsid w:val="003A0E14"/>
    <w:rsid w:val="003A14D2"/>
    <w:rsid w:val="003A1C2A"/>
    <w:rsid w:val="003A1FC4"/>
    <w:rsid w:val="003A27D4"/>
    <w:rsid w:val="003A2CBB"/>
    <w:rsid w:val="003A3B9C"/>
    <w:rsid w:val="003A590C"/>
    <w:rsid w:val="003A6153"/>
    <w:rsid w:val="003A709C"/>
    <w:rsid w:val="003B00A7"/>
    <w:rsid w:val="003B056A"/>
    <w:rsid w:val="003B0B6A"/>
    <w:rsid w:val="003B3D32"/>
    <w:rsid w:val="003B4AFC"/>
    <w:rsid w:val="003B591B"/>
    <w:rsid w:val="003B797A"/>
    <w:rsid w:val="003C0670"/>
    <w:rsid w:val="003C0794"/>
    <w:rsid w:val="003C0F0B"/>
    <w:rsid w:val="003C1B22"/>
    <w:rsid w:val="003C7846"/>
    <w:rsid w:val="003C7D11"/>
    <w:rsid w:val="003C7F12"/>
    <w:rsid w:val="003D075B"/>
    <w:rsid w:val="003D1491"/>
    <w:rsid w:val="003D2985"/>
    <w:rsid w:val="003D2DA3"/>
    <w:rsid w:val="003D3B5A"/>
    <w:rsid w:val="003D5421"/>
    <w:rsid w:val="003D63A5"/>
    <w:rsid w:val="003D6C5E"/>
    <w:rsid w:val="003D7645"/>
    <w:rsid w:val="003E0ACD"/>
    <w:rsid w:val="003E3C50"/>
    <w:rsid w:val="003E54E2"/>
    <w:rsid w:val="003E5E3F"/>
    <w:rsid w:val="003E6E92"/>
    <w:rsid w:val="003F0A47"/>
    <w:rsid w:val="003F518F"/>
    <w:rsid w:val="003F7011"/>
    <w:rsid w:val="00400BCD"/>
    <w:rsid w:val="004068B1"/>
    <w:rsid w:val="004073C6"/>
    <w:rsid w:val="004102EF"/>
    <w:rsid w:val="00410DF0"/>
    <w:rsid w:val="0041124A"/>
    <w:rsid w:val="00411C9A"/>
    <w:rsid w:val="004126F5"/>
    <w:rsid w:val="004164D1"/>
    <w:rsid w:val="00416CC3"/>
    <w:rsid w:val="00416FC8"/>
    <w:rsid w:val="0041714A"/>
    <w:rsid w:val="00417930"/>
    <w:rsid w:val="00417FDE"/>
    <w:rsid w:val="004214D8"/>
    <w:rsid w:val="004227B0"/>
    <w:rsid w:val="0042372F"/>
    <w:rsid w:val="00423C43"/>
    <w:rsid w:val="00423D61"/>
    <w:rsid w:val="00424609"/>
    <w:rsid w:val="00425AB7"/>
    <w:rsid w:val="00425BAF"/>
    <w:rsid w:val="00425D38"/>
    <w:rsid w:val="004277FB"/>
    <w:rsid w:val="00431B5B"/>
    <w:rsid w:val="00433CD3"/>
    <w:rsid w:val="00433F20"/>
    <w:rsid w:val="00435078"/>
    <w:rsid w:val="0043533D"/>
    <w:rsid w:val="0043637B"/>
    <w:rsid w:val="00437668"/>
    <w:rsid w:val="004378CA"/>
    <w:rsid w:val="00437CD5"/>
    <w:rsid w:val="00437E42"/>
    <w:rsid w:val="00440711"/>
    <w:rsid w:val="004418B0"/>
    <w:rsid w:val="004515EE"/>
    <w:rsid w:val="00451C94"/>
    <w:rsid w:val="004522CB"/>
    <w:rsid w:val="00452ACB"/>
    <w:rsid w:val="004543BB"/>
    <w:rsid w:val="004544E9"/>
    <w:rsid w:val="00454A5E"/>
    <w:rsid w:val="00455583"/>
    <w:rsid w:val="004559BA"/>
    <w:rsid w:val="00455ADD"/>
    <w:rsid w:val="0045640E"/>
    <w:rsid w:val="00460567"/>
    <w:rsid w:val="004606AD"/>
    <w:rsid w:val="00460BD7"/>
    <w:rsid w:val="004627AA"/>
    <w:rsid w:val="00462D7E"/>
    <w:rsid w:val="004630CF"/>
    <w:rsid w:val="0046351B"/>
    <w:rsid w:val="004636C7"/>
    <w:rsid w:val="0046453B"/>
    <w:rsid w:val="00465A31"/>
    <w:rsid w:val="004664BA"/>
    <w:rsid w:val="00466C40"/>
    <w:rsid w:val="00467000"/>
    <w:rsid w:val="004674C5"/>
    <w:rsid w:val="00470161"/>
    <w:rsid w:val="004709FD"/>
    <w:rsid w:val="00471403"/>
    <w:rsid w:val="004726DB"/>
    <w:rsid w:val="00473121"/>
    <w:rsid w:val="004749F6"/>
    <w:rsid w:val="00476036"/>
    <w:rsid w:val="00476AE4"/>
    <w:rsid w:val="00476F92"/>
    <w:rsid w:val="004771F7"/>
    <w:rsid w:val="004805FB"/>
    <w:rsid w:val="004826D3"/>
    <w:rsid w:val="00484AE1"/>
    <w:rsid w:val="00484C24"/>
    <w:rsid w:val="00487275"/>
    <w:rsid w:val="00487CB7"/>
    <w:rsid w:val="00491287"/>
    <w:rsid w:val="00491EAB"/>
    <w:rsid w:val="00492DCD"/>
    <w:rsid w:val="004961B4"/>
    <w:rsid w:val="00496542"/>
    <w:rsid w:val="004A0E2E"/>
    <w:rsid w:val="004A3C2E"/>
    <w:rsid w:val="004A3E95"/>
    <w:rsid w:val="004A450A"/>
    <w:rsid w:val="004A5E57"/>
    <w:rsid w:val="004A63A7"/>
    <w:rsid w:val="004A7A1A"/>
    <w:rsid w:val="004A7E64"/>
    <w:rsid w:val="004B1666"/>
    <w:rsid w:val="004B1D18"/>
    <w:rsid w:val="004B2E4B"/>
    <w:rsid w:val="004B314D"/>
    <w:rsid w:val="004B3CB1"/>
    <w:rsid w:val="004B4FB5"/>
    <w:rsid w:val="004B568F"/>
    <w:rsid w:val="004B7D09"/>
    <w:rsid w:val="004C348F"/>
    <w:rsid w:val="004C3FEE"/>
    <w:rsid w:val="004C488A"/>
    <w:rsid w:val="004C6178"/>
    <w:rsid w:val="004C7B98"/>
    <w:rsid w:val="004C7D6C"/>
    <w:rsid w:val="004C7FFA"/>
    <w:rsid w:val="004D0256"/>
    <w:rsid w:val="004D087A"/>
    <w:rsid w:val="004D11BB"/>
    <w:rsid w:val="004D125E"/>
    <w:rsid w:val="004D39EC"/>
    <w:rsid w:val="004D3B0A"/>
    <w:rsid w:val="004D4473"/>
    <w:rsid w:val="004D4704"/>
    <w:rsid w:val="004E0295"/>
    <w:rsid w:val="004E0613"/>
    <w:rsid w:val="004E0AE6"/>
    <w:rsid w:val="004E13CC"/>
    <w:rsid w:val="004E3D97"/>
    <w:rsid w:val="004E4140"/>
    <w:rsid w:val="004E6DBD"/>
    <w:rsid w:val="004F1B1C"/>
    <w:rsid w:val="004F35E8"/>
    <w:rsid w:val="004F3C5C"/>
    <w:rsid w:val="004F3EF2"/>
    <w:rsid w:val="004F53ED"/>
    <w:rsid w:val="004F6C1D"/>
    <w:rsid w:val="004F7BC7"/>
    <w:rsid w:val="005010F9"/>
    <w:rsid w:val="00502435"/>
    <w:rsid w:val="00502D04"/>
    <w:rsid w:val="005051D2"/>
    <w:rsid w:val="00507268"/>
    <w:rsid w:val="005079ED"/>
    <w:rsid w:val="00507A32"/>
    <w:rsid w:val="00507A95"/>
    <w:rsid w:val="005112FB"/>
    <w:rsid w:val="00511528"/>
    <w:rsid w:val="00511FDA"/>
    <w:rsid w:val="005123BA"/>
    <w:rsid w:val="005152BB"/>
    <w:rsid w:val="00515DE6"/>
    <w:rsid w:val="0051633F"/>
    <w:rsid w:val="005233D1"/>
    <w:rsid w:val="00525F9F"/>
    <w:rsid w:val="00526737"/>
    <w:rsid w:val="00527848"/>
    <w:rsid w:val="00527A69"/>
    <w:rsid w:val="005359B6"/>
    <w:rsid w:val="00536753"/>
    <w:rsid w:val="005370FB"/>
    <w:rsid w:val="00541959"/>
    <w:rsid w:val="00542710"/>
    <w:rsid w:val="00543C6B"/>
    <w:rsid w:val="0054423A"/>
    <w:rsid w:val="005454C0"/>
    <w:rsid w:val="005457D3"/>
    <w:rsid w:val="005463A0"/>
    <w:rsid w:val="00546D34"/>
    <w:rsid w:val="00547EE7"/>
    <w:rsid w:val="0055015C"/>
    <w:rsid w:val="00552D92"/>
    <w:rsid w:val="005532E1"/>
    <w:rsid w:val="00554859"/>
    <w:rsid w:val="00556892"/>
    <w:rsid w:val="005569E7"/>
    <w:rsid w:val="00560DD8"/>
    <w:rsid w:val="005633E4"/>
    <w:rsid w:val="00563A5A"/>
    <w:rsid w:val="00563E35"/>
    <w:rsid w:val="00564B97"/>
    <w:rsid w:val="005658F6"/>
    <w:rsid w:val="00565D6B"/>
    <w:rsid w:val="00565FD3"/>
    <w:rsid w:val="0056750A"/>
    <w:rsid w:val="00571E52"/>
    <w:rsid w:val="00572B2D"/>
    <w:rsid w:val="005771F1"/>
    <w:rsid w:val="00577E25"/>
    <w:rsid w:val="00577F38"/>
    <w:rsid w:val="00577FE2"/>
    <w:rsid w:val="00580352"/>
    <w:rsid w:val="00580D01"/>
    <w:rsid w:val="00581CC5"/>
    <w:rsid w:val="00581EB9"/>
    <w:rsid w:val="00583C45"/>
    <w:rsid w:val="00584CA9"/>
    <w:rsid w:val="00585C8E"/>
    <w:rsid w:val="00585CF6"/>
    <w:rsid w:val="005874F5"/>
    <w:rsid w:val="00590357"/>
    <w:rsid w:val="00590699"/>
    <w:rsid w:val="00590C2B"/>
    <w:rsid w:val="005933BE"/>
    <w:rsid w:val="00593DCF"/>
    <w:rsid w:val="005949F5"/>
    <w:rsid w:val="00595528"/>
    <w:rsid w:val="00596496"/>
    <w:rsid w:val="005A1DD3"/>
    <w:rsid w:val="005B0805"/>
    <w:rsid w:val="005B09E5"/>
    <w:rsid w:val="005B0C19"/>
    <w:rsid w:val="005B2376"/>
    <w:rsid w:val="005B3039"/>
    <w:rsid w:val="005C1C6D"/>
    <w:rsid w:val="005C3297"/>
    <w:rsid w:val="005C37C8"/>
    <w:rsid w:val="005C4039"/>
    <w:rsid w:val="005C57A1"/>
    <w:rsid w:val="005C655D"/>
    <w:rsid w:val="005C6649"/>
    <w:rsid w:val="005D1F73"/>
    <w:rsid w:val="005D2662"/>
    <w:rsid w:val="005D3527"/>
    <w:rsid w:val="005D5377"/>
    <w:rsid w:val="005E1CA9"/>
    <w:rsid w:val="005E51CE"/>
    <w:rsid w:val="005E57C9"/>
    <w:rsid w:val="005E65BB"/>
    <w:rsid w:val="005E7027"/>
    <w:rsid w:val="005E71E0"/>
    <w:rsid w:val="005F15E8"/>
    <w:rsid w:val="005F22EB"/>
    <w:rsid w:val="005F2C07"/>
    <w:rsid w:val="005F31FF"/>
    <w:rsid w:val="005F64F4"/>
    <w:rsid w:val="005F7347"/>
    <w:rsid w:val="005F768E"/>
    <w:rsid w:val="005F7898"/>
    <w:rsid w:val="005F7919"/>
    <w:rsid w:val="006000CB"/>
    <w:rsid w:val="006002DF"/>
    <w:rsid w:val="00600B72"/>
    <w:rsid w:val="00600B87"/>
    <w:rsid w:val="00600DC9"/>
    <w:rsid w:val="0060155E"/>
    <w:rsid w:val="00601B09"/>
    <w:rsid w:val="0060441B"/>
    <w:rsid w:val="0060538C"/>
    <w:rsid w:val="00606E02"/>
    <w:rsid w:val="00607B87"/>
    <w:rsid w:val="00610DB0"/>
    <w:rsid w:val="0061389A"/>
    <w:rsid w:val="006149A4"/>
    <w:rsid w:val="006165EE"/>
    <w:rsid w:val="00616C00"/>
    <w:rsid w:val="006175C9"/>
    <w:rsid w:val="00617CCD"/>
    <w:rsid w:val="00620802"/>
    <w:rsid w:val="006209CC"/>
    <w:rsid w:val="00620F07"/>
    <w:rsid w:val="00622199"/>
    <w:rsid w:val="0062343A"/>
    <w:rsid w:val="006256A0"/>
    <w:rsid w:val="0062676C"/>
    <w:rsid w:val="00631595"/>
    <w:rsid w:val="00631BFA"/>
    <w:rsid w:val="006345DC"/>
    <w:rsid w:val="00634A4E"/>
    <w:rsid w:val="006352FE"/>
    <w:rsid w:val="00637237"/>
    <w:rsid w:val="00637B10"/>
    <w:rsid w:val="00641B0F"/>
    <w:rsid w:val="006439EF"/>
    <w:rsid w:val="00644B3B"/>
    <w:rsid w:val="00647215"/>
    <w:rsid w:val="00650E5C"/>
    <w:rsid w:val="00650F80"/>
    <w:rsid w:val="0065111C"/>
    <w:rsid w:val="00651A28"/>
    <w:rsid w:val="00651B89"/>
    <w:rsid w:val="006542BB"/>
    <w:rsid w:val="006547D1"/>
    <w:rsid w:val="0065503E"/>
    <w:rsid w:val="00655A9E"/>
    <w:rsid w:val="0065617B"/>
    <w:rsid w:val="00657030"/>
    <w:rsid w:val="006605CA"/>
    <w:rsid w:val="00660EE5"/>
    <w:rsid w:val="00661A76"/>
    <w:rsid w:val="00661E70"/>
    <w:rsid w:val="00673489"/>
    <w:rsid w:val="00674C5A"/>
    <w:rsid w:val="006750F8"/>
    <w:rsid w:val="0068002A"/>
    <w:rsid w:val="006803C8"/>
    <w:rsid w:val="006808FC"/>
    <w:rsid w:val="006811E1"/>
    <w:rsid w:val="00681744"/>
    <w:rsid w:val="0068334F"/>
    <w:rsid w:val="006836D0"/>
    <w:rsid w:val="00683753"/>
    <w:rsid w:val="00683C23"/>
    <w:rsid w:val="00683E23"/>
    <w:rsid w:val="00684CAA"/>
    <w:rsid w:val="00686DDA"/>
    <w:rsid w:val="006912D5"/>
    <w:rsid w:val="00691496"/>
    <w:rsid w:val="00693AA6"/>
    <w:rsid w:val="00694589"/>
    <w:rsid w:val="00694894"/>
    <w:rsid w:val="006954F5"/>
    <w:rsid w:val="00695A2F"/>
    <w:rsid w:val="00695BBE"/>
    <w:rsid w:val="00696512"/>
    <w:rsid w:val="00696D59"/>
    <w:rsid w:val="00697865"/>
    <w:rsid w:val="006A238E"/>
    <w:rsid w:val="006A3E73"/>
    <w:rsid w:val="006A5044"/>
    <w:rsid w:val="006A6DCD"/>
    <w:rsid w:val="006A7B07"/>
    <w:rsid w:val="006B08E4"/>
    <w:rsid w:val="006B1C91"/>
    <w:rsid w:val="006B26B7"/>
    <w:rsid w:val="006B31AE"/>
    <w:rsid w:val="006B3CD0"/>
    <w:rsid w:val="006B4A77"/>
    <w:rsid w:val="006B5C63"/>
    <w:rsid w:val="006B6C86"/>
    <w:rsid w:val="006C20D4"/>
    <w:rsid w:val="006C2CC0"/>
    <w:rsid w:val="006C3E6E"/>
    <w:rsid w:val="006C4307"/>
    <w:rsid w:val="006C4D16"/>
    <w:rsid w:val="006C542F"/>
    <w:rsid w:val="006C69BF"/>
    <w:rsid w:val="006C6BA6"/>
    <w:rsid w:val="006C6CE5"/>
    <w:rsid w:val="006C6D0C"/>
    <w:rsid w:val="006D1F08"/>
    <w:rsid w:val="006D44A4"/>
    <w:rsid w:val="006D46E1"/>
    <w:rsid w:val="006D7394"/>
    <w:rsid w:val="006D7760"/>
    <w:rsid w:val="006D7EB7"/>
    <w:rsid w:val="006E012A"/>
    <w:rsid w:val="006E0557"/>
    <w:rsid w:val="006E1082"/>
    <w:rsid w:val="006E4CD0"/>
    <w:rsid w:val="006E5AF7"/>
    <w:rsid w:val="006E63D4"/>
    <w:rsid w:val="006F10AA"/>
    <w:rsid w:val="006F11E2"/>
    <w:rsid w:val="006F3A6A"/>
    <w:rsid w:val="006F3E22"/>
    <w:rsid w:val="006F4583"/>
    <w:rsid w:val="006F54A9"/>
    <w:rsid w:val="006F57E4"/>
    <w:rsid w:val="007021F5"/>
    <w:rsid w:val="007152DE"/>
    <w:rsid w:val="007166D7"/>
    <w:rsid w:val="00717C63"/>
    <w:rsid w:val="00725AC3"/>
    <w:rsid w:val="00726A9E"/>
    <w:rsid w:val="00726ABC"/>
    <w:rsid w:val="00727AEA"/>
    <w:rsid w:val="00730468"/>
    <w:rsid w:val="00730D85"/>
    <w:rsid w:val="00735279"/>
    <w:rsid w:val="007424BE"/>
    <w:rsid w:val="00743427"/>
    <w:rsid w:val="00744A7D"/>
    <w:rsid w:val="00744B45"/>
    <w:rsid w:val="0074549A"/>
    <w:rsid w:val="00745FA9"/>
    <w:rsid w:val="007468C0"/>
    <w:rsid w:val="00750580"/>
    <w:rsid w:val="0075097D"/>
    <w:rsid w:val="00751B53"/>
    <w:rsid w:val="00751ED4"/>
    <w:rsid w:val="00756535"/>
    <w:rsid w:val="007566B2"/>
    <w:rsid w:val="00760D0F"/>
    <w:rsid w:val="00761334"/>
    <w:rsid w:val="00761670"/>
    <w:rsid w:val="0076174F"/>
    <w:rsid w:val="00762450"/>
    <w:rsid w:val="0076467C"/>
    <w:rsid w:val="00767CBB"/>
    <w:rsid w:val="00770C64"/>
    <w:rsid w:val="007738E4"/>
    <w:rsid w:val="00777A51"/>
    <w:rsid w:val="00781106"/>
    <w:rsid w:val="00781739"/>
    <w:rsid w:val="00783559"/>
    <w:rsid w:val="00784D02"/>
    <w:rsid w:val="007854BB"/>
    <w:rsid w:val="007858D4"/>
    <w:rsid w:val="00785B27"/>
    <w:rsid w:val="00787720"/>
    <w:rsid w:val="00790907"/>
    <w:rsid w:val="00791B04"/>
    <w:rsid w:val="00793D26"/>
    <w:rsid w:val="00794580"/>
    <w:rsid w:val="00794DC4"/>
    <w:rsid w:val="00795058"/>
    <w:rsid w:val="00795348"/>
    <w:rsid w:val="00795849"/>
    <w:rsid w:val="00796622"/>
    <w:rsid w:val="007A0505"/>
    <w:rsid w:val="007A135B"/>
    <w:rsid w:val="007A13F0"/>
    <w:rsid w:val="007A2F6B"/>
    <w:rsid w:val="007A581C"/>
    <w:rsid w:val="007A68B4"/>
    <w:rsid w:val="007B1110"/>
    <w:rsid w:val="007B1A65"/>
    <w:rsid w:val="007B1D42"/>
    <w:rsid w:val="007B29B4"/>
    <w:rsid w:val="007B2E98"/>
    <w:rsid w:val="007B404F"/>
    <w:rsid w:val="007B4786"/>
    <w:rsid w:val="007B6222"/>
    <w:rsid w:val="007B69C7"/>
    <w:rsid w:val="007B6E1A"/>
    <w:rsid w:val="007B7857"/>
    <w:rsid w:val="007C281A"/>
    <w:rsid w:val="007C387A"/>
    <w:rsid w:val="007C3915"/>
    <w:rsid w:val="007C41E2"/>
    <w:rsid w:val="007C4797"/>
    <w:rsid w:val="007C5288"/>
    <w:rsid w:val="007C590B"/>
    <w:rsid w:val="007D07E7"/>
    <w:rsid w:val="007D18AB"/>
    <w:rsid w:val="007D24FF"/>
    <w:rsid w:val="007D2F5F"/>
    <w:rsid w:val="007D4D81"/>
    <w:rsid w:val="007D7143"/>
    <w:rsid w:val="007E08B7"/>
    <w:rsid w:val="007E0BFC"/>
    <w:rsid w:val="007E29E2"/>
    <w:rsid w:val="007E4847"/>
    <w:rsid w:val="007E586A"/>
    <w:rsid w:val="007E5D42"/>
    <w:rsid w:val="007E6F09"/>
    <w:rsid w:val="007F1899"/>
    <w:rsid w:val="007F217C"/>
    <w:rsid w:val="007F2D8A"/>
    <w:rsid w:val="007F4072"/>
    <w:rsid w:val="007F4A9F"/>
    <w:rsid w:val="007F4AED"/>
    <w:rsid w:val="007F558D"/>
    <w:rsid w:val="007F5665"/>
    <w:rsid w:val="007F7D96"/>
    <w:rsid w:val="008016F0"/>
    <w:rsid w:val="0080305A"/>
    <w:rsid w:val="00803EA0"/>
    <w:rsid w:val="008040BA"/>
    <w:rsid w:val="0081087D"/>
    <w:rsid w:val="008109EE"/>
    <w:rsid w:val="0081105D"/>
    <w:rsid w:val="008129BB"/>
    <w:rsid w:val="008153DD"/>
    <w:rsid w:val="00815FA1"/>
    <w:rsid w:val="00816D62"/>
    <w:rsid w:val="008177CB"/>
    <w:rsid w:val="008206BE"/>
    <w:rsid w:val="008224F6"/>
    <w:rsid w:val="00823457"/>
    <w:rsid w:val="008244CB"/>
    <w:rsid w:val="00825442"/>
    <w:rsid w:val="00825B5E"/>
    <w:rsid w:val="00825F88"/>
    <w:rsid w:val="00827271"/>
    <w:rsid w:val="008273F3"/>
    <w:rsid w:val="00827F9A"/>
    <w:rsid w:val="00830893"/>
    <w:rsid w:val="00832E4A"/>
    <w:rsid w:val="00834C86"/>
    <w:rsid w:val="00840D2E"/>
    <w:rsid w:val="00840E40"/>
    <w:rsid w:val="00841919"/>
    <w:rsid w:val="00842A0B"/>
    <w:rsid w:val="0084790C"/>
    <w:rsid w:val="008502D0"/>
    <w:rsid w:val="00850FD9"/>
    <w:rsid w:val="00851034"/>
    <w:rsid w:val="008514A0"/>
    <w:rsid w:val="00851826"/>
    <w:rsid w:val="0085220C"/>
    <w:rsid w:val="00852A21"/>
    <w:rsid w:val="00853D1C"/>
    <w:rsid w:val="00855656"/>
    <w:rsid w:val="00855D33"/>
    <w:rsid w:val="00857364"/>
    <w:rsid w:val="00860B61"/>
    <w:rsid w:val="008646D4"/>
    <w:rsid w:val="00866C9D"/>
    <w:rsid w:val="00870445"/>
    <w:rsid w:val="00870FCA"/>
    <w:rsid w:val="00871C28"/>
    <w:rsid w:val="00875192"/>
    <w:rsid w:val="00875EA6"/>
    <w:rsid w:val="00875EB5"/>
    <w:rsid w:val="00877A3A"/>
    <w:rsid w:val="00882E95"/>
    <w:rsid w:val="00884520"/>
    <w:rsid w:val="00885D45"/>
    <w:rsid w:val="00886AD8"/>
    <w:rsid w:val="00886F85"/>
    <w:rsid w:val="00887C17"/>
    <w:rsid w:val="0089004D"/>
    <w:rsid w:val="008915AA"/>
    <w:rsid w:val="00892CA6"/>
    <w:rsid w:val="00892DC3"/>
    <w:rsid w:val="0089525B"/>
    <w:rsid w:val="008961DB"/>
    <w:rsid w:val="008970AB"/>
    <w:rsid w:val="00897C03"/>
    <w:rsid w:val="008A0C2C"/>
    <w:rsid w:val="008A2BB4"/>
    <w:rsid w:val="008A2C29"/>
    <w:rsid w:val="008A3BE5"/>
    <w:rsid w:val="008A4D71"/>
    <w:rsid w:val="008A4E6C"/>
    <w:rsid w:val="008A5F81"/>
    <w:rsid w:val="008B0E7C"/>
    <w:rsid w:val="008B314F"/>
    <w:rsid w:val="008B31ED"/>
    <w:rsid w:val="008B357F"/>
    <w:rsid w:val="008B5550"/>
    <w:rsid w:val="008B5A8C"/>
    <w:rsid w:val="008B5F77"/>
    <w:rsid w:val="008B6447"/>
    <w:rsid w:val="008B67A0"/>
    <w:rsid w:val="008B6D30"/>
    <w:rsid w:val="008C1FF5"/>
    <w:rsid w:val="008C644C"/>
    <w:rsid w:val="008D01CB"/>
    <w:rsid w:val="008D416E"/>
    <w:rsid w:val="008D5E26"/>
    <w:rsid w:val="008E0B1D"/>
    <w:rsid w:val="008E27D0"/>
    <w:rsid w:val="008E387A"/>
    <w:rsid w:val="008E532F"/>
    <w:rsid w:val="008E575A"/>
    <w:rsid w:val="008E5A5E"/>
    <w:rsid w:val="008E5AAF"/>
    <w:rsid w:val="008E6A9E"/>
    <w:rsid w:val="008E6C9C"/>
    <w:rsid w:val="008F250A"/>
    <w:rsid w:val="008F467B"/>
    <w:rsid w:val="008F4CED"/>
    <w:rsid w:val="008F4E38"/>
    <w:rsid w:val="008F5633"/>
    <w:rsid w:val="008F74EA"/>
    <w:rsid w:val="008F7D3A"/>
    <w:rsid w:val="009007DC"/>
    <w:rsid w:val="009021F9"/>
    <w:rsid w:val="0090381A"/>
    <w:rsid w:val="00905490"/>
    <w:rsid w:val="009064A6"/>
    <w:rsid w:val="009066D8"/>
    <w:rsid w:val="00906875"/>
    <w:rsid w:val="009075D0"/>
    <w:rsid w:val="009075E7"/>
    <w:rsid w:val="0090775A"/>
    <w:rsid w:val="0091083E"/>
    <w:rsid w:val="00910C14"/>
    <w:rsid w:val="00910DA8"/>
    <w:rsid w:val="00913822"/>
    <w:rsid w:val="00915A8E"/>
    <w:rsid w:val="00915FD7"/>
    <w:rsid w:val="00916A75"/>
    <w:rsid w:val="00920755"/>
    <w:rsid w:val="00921E4F"/>
    <w:rsid w:val="009231FC"/>
    <w:rsid w:val="009233E5"/>
    <w:rsid w:val="00923AB8"/>
    <w:rsid w:val="00924F66"/>
    <w:rsid w:val="00927615"/>
    <w:rsid w:val="009302CF"/>
    <w:rsid w:val="0093060A"/>
    <w:rsid w:val="009306BF"/>
    <w:rsid w:val="00930FDF"/>
    <w:rsid w:val="00931489"/>
    <w:rsid w:val="00932224"/>
    <w:rsid w:val="009340B1"/>
    <w:rsid w:val="00935A89"/>
    <w:rsid w:val="009402B0"/>
    <w:rsid w:val="00940669"/>
    <w:rsid w:val="009408EB"/>
    <w:rsid w:val="0094161B"/>
    <w:rsid w:val="00941DD8"/>
    <w:rsid w:val="00942921"/>
    <w:rsid w:val="009432AC"/>
    <w:rsid w:val="00943B04"/>
    <w:rsid w:val="009452F0"/>
    <w:rsid w:val="009503B5"/>
    <w:rsid w:val="00950C42"/>
    <w:rsid w:val="00952945"/>
    <w:rsid w:val="00953400"/>
    <w:rsid w:val="00953917"/>
    <w:rsid w:val="00953D74"/>
    <w:rsid w:val="00953F43"/>
    <w:rsid w:val="0095651F"/>
    <w:rsid w:val="00957095"/>
    <w:rsid w:val="009604A1"/>
    <w:rsid w:val="009617D1"/>
    <w:rsid w:val="009633D2"/>
    <w:rsid w:val="0096423F"/>
    <w:rsid w:val="00965A13"/>
    <w:rsid w:val="00965F52"/>
    <w:rsid w:val="009702AE"/>
    <w:rsid w:val="00971ABF"/>
    <w:rsid w:val="00972FAF"/>
    <w:rsid w:val="00973CB4"/>
    <w:rsid w:val="00975A20"/>
    <w:rsid w:val="009760A9"/>
    <w:rsid w:val="00980661"/>
    <w:rsid w:val="00982068"/>
    <w:rsid w:val="00984766"/>
    <w:rsid w:val="009860B5"/>
    <w:rsid w:val="00986F64"/>
    <w:rsid w:val="0098771E"/>
    <w:rsid w:val="009901E7"/>
    <w:rsid w:val="0099057B"/>
    <w:rsid w:val="009909CB"/>
    <w:rsid w:val="00992B48"/>
    <w:rsid w:val="0099490A"/>
    <w:rsid w:val="00995627"/>
    <w:rsid w:val="00995986"/>
    <w:rsid w:val="009A01C7"/>
    <w:rsid w:val="009A2468"/>
    <w:rsid w:val="009A2BAC"/>
    <w:rsid w:val="009A2DE1"/>
    <w:rsid w:val="009A3C93"/>
    <w:rsid w:val="009A5FB2"/>
    <w:rsid w:val="009A6F19"/>
    <w:rsid w:val="009A7FA5"/>
    <w:rsid w:val="009B369F"/>
    <w:rsid w:val="009B44B8"/>
    <w:rsid w:val="009B5549"/>
    <w:rsid w:val="009B6386"/>
    <w:rsid w:val="009B64C9"/>
    <w:rsid w:val="009C236D"/>
    <w:rsid w:val="009C2DFA"/>
    <w:rsid w:val="009C37FD"/>
    <w:rsid w:val="009C44E8"/>
    <w:rsid w:val="009C6DCF"/>
    <w:rsid w:val="009C7186"/>
    <w:rsid w:val="009C767D"/>
    <w:rsid w:val="009C791B"/>
    <w:rsid w:val="009C7966"/>
    <w:rsid w:val="009D0809"/>
    <w:rsid w:val="009D0A68"/>
    <w:rsid w:val="009D1FF7"/>
    <w:rsid w:val="009D248E"/>
    <w:rsid w:val="009D3551"/>
    <w:rsid w:val="009D4886"/>
    <w:rsid w:val="009D5380"/>
    <w:rsid w:val="009D57BC"/>
    <w:rsid w:val="009D74AB"/>
    <w:rsid w:val="009E2770"/>
    <w:rsid w:val="009E36DC"/>
    <w:rsid w:val="009E52FE"/>
    <w:rsid w:val="009E5FDD"/>
    <w:rsid w:val="009E67FA"/>
    <w:rsid w:val="009E75AE"/>
    <w:rsid w:val="009F15A9"/>
    <w:rsid w:val="009F4DF5"/>
    <w:rsid w:val="00A00167"/>
    <w:rsid w:val="00A00C0E"/>
    <w:rsid w:val="00A01176"/>
    <w:rsid w:val="00A024E7"/>
    <w:rsid w:val="00A039E2"/>
    <w:rsid w:val="00A0790E"/>
    <w:rsid w:val="00A119FD"/>
    <w:rsid w:val="00A1400D"/>
    <w:rsid w:val="00A1639F"/>
    <w:rsid w:val="00A176D2"/>
    <w:rsid w:val="00A206A5"/>
    <w:rsid w:val="00A20C24"/>
    <w:rsid w:val="00A21023"/>
    <w:rsid w:val="00A329F1"/>
    <w:rsid w:val="00A337ED"/>
    <w:rsid w:val="00A36169"/>
    <w:rsid w:val="00A406A3"/>
    <w:rsid w:val="00A4114C"/>
    <w:rsid w:val="00A444E7"/>
    <w:rsid w:val="00A45D6F"/>
    <w:rsid w:val="00A4625B"/>
    <w:rsid w:val="00A50C23"/>
    <w:rsid w:val="00A5134C"/>
    <w:rsid w:val="00A5393C"/>
    <w:rsid w:val="00A54753"/>
    <w:rsid w:val="00A56C42"/>
    <w:rsid w:val="00A5782D"/>
    <w:rsid w:val="00A606E5"/>
    <w:rsid w:val="00A60AE3"/>
    <w:rsid w:val="00A60EDE"/>
    <w:rsid w:val="00A64B48"/>
    <w:rsid w:val="00A64B81"/>
    <w:rsid w:val="00A679EA"/>
    <w:rsid w:val="00A67D58"/>
    <w:rsid w:val="00A67EE1"/>
    <w:rsid w:val="00A72277"/>
    <w:rsid w:val="00A72348"/>
    <w:rsid w:val="00A73189"/>
    <w:rsid w:val="00A7384B"/>
    <w:rsid w:val="00A7426B"/>
    <w:rsid w:val="00A74358"/>
    <w:rsid w:val="00A76C98"/>
    <w:rsid w:val="00A77D8A"/>
    <w:rsid w:val="00A80E1E"/>
    <w:rsid w:val="00A81D34"/>
    <w:rsid w:val="00A83430"/>
    <w:rsid w:val="00A8417C"/>
    <w:rsid w:val="00A84EA3"/>
    <w:rsid w:val="00A85AF3"/>
    <w:rsid w:val="00A860C0"/>
    <w:rsid w:val="00A865E6"/>
    <w:rsid w:val="00A86E9F"/>
    <w:rsid w:val="00A907EC"/>
    <w:rsid w:val="00A90A38"/>
    <w:rsid w:val="00A918C2"/>
    <w:rsid w:val="00A92547"/>
    <w:rsid w:val="00A94745"/>
    <w:rsid w:val="00A94B49"/>
    <w:rsid w:val="00A95243"/>
    <w:rsid w:val="00A96680"/>
    <w:rsid w:val="00A96BAE"/>
    <w:rsid w:val="00AA0B7D"/>
    <w:rsid w:val="00AA1688"/>
    <w:rsid w:val="00AA5CC2"/>
    <w:rsid w:val="00AB056D"/>
    <w:rsid w:val="00AB0BDF"/>
    <w:rsid w:val="00AB29B8"/>
    <w:rsid w:val="00AB3204"/>
    <w:rsid w:val="00AB3C47"/>
    <w:rsid w:val="00AB3FD8"/>
    <w:rsid w:val="00AB46F4"/>
    <w:rsid w:val="00AB4B54"/>
    <w:rsid w:val="00AB7818"/>
    <w:rsid w:val="00AB7BC5"/>
    <w:rsid w:val="00AC0063"/>
    <w:rsid w:val="00AC0A68"/>
    <w:rsid w:val="00AC1197"/>
    <w:rsid w:val="00AC2C37"/>
    <w:rsid w:val="00AC5540"/>
    <w:rsid w:val="00AC5B68"/>
    <w:rsid w:val="00AC692D"/>
    <w:rsid w:val="00AC6DD7"/>
    <w:rsid w:val="00AD03FF"/>
    <w:rsid w:val="00AD21D7"/>
    <w:rsid w:val="00AD34F0"/>
    <w:rsid w:val="00AD7C5B"/>
    <w:rsid w:val="00AE1407"/>
    <w:rsid w:val="00AE1A1C"/>
    <w:rsid w:val="00AE2329"/>
    <w:rsid w:val="00AE345F"/>
    <w:rsid w:val="00AE417F"/>
    <w:rsid w:val="00AE4F23"/>
    <w:rsid w:val="00AE6135"/>
    <w:rsid w:val="00AF00C8"/>
    <w:rsid w:val="00AF0AEE"/>
    <w:rsid w:val="00AF2884"/>
    <w:rsid w:val="00AF2C2F"/>
    <w:rsid w:val="00AF480F"/>
    <w:rsid w:val="00AF5319"/>
    <w:rsid w:val="00AF5CDF"/>
    <w:rsid w:val="00AF7F0C"/>
    <w:rsid w:val="00B003C5"/>
    <w:rsid w:val="00B0189D"/>
    <w:rsid w:val="00B042EA"/>
    <w:rsid w:val="00B049B0"/>
    <w:rsid w:val="00B04AE6"/>
    <w:rsid w:val="00B0594B"/>
    <w:rsid w:val="00B05D53"/>
    <w:rsid w:val="00B06536"/>
    <w:rsid w:val="00B068D6"/>
    <w:rsid w:val="00B072B0"/>
    <w:rsid w:val="00B078F0"/>
    <w:rsid w:val="00B07D70"/>
    <w:rsid w:val="00B1490B"/>
    <w:rsid w:val="00B15499"/>
    <w:rsid w:val="00B16D3D"/>
    <w:rsid w:val="00B17851"/>
    <w:rsid w:val="00B205C3"/>
    <w:rsid w:val="00B23E5C"/>
    <w:rsid w:val="00B25497"/>
    <w:rsid w:val="00B2720D"/>
    <w:rsid w:val="00B2789C"/>
    <w:rsid w:val="00B3391B"/>
    <w:rsid w:val="00B33D0E"/>
    <w:rsid w:val="00B351DF"/>
    <w:rsid w:val="00B35325"/>
    <w:rsid w:val="00B358F7"/>
    <w:rsid w:val="00B36654"/>
    <w:rsid w:val="00B37C33"/>
    <w:rsid w:val="00B40A59"/>
    <w:rsid w:val="00B40CED"/>
    <w:rsid w:val="00B418CF"/>
    <w:rsid w:val="00B45337"/>
    <w:rsid w:val="00B45BD8"/>
    <w:rsid w:val="00B46351"/>
    <w:rsid w:val="00B468F8"/>
    <w:rsid w:val="00B46EE2"/>
    <w:rsid w:val="00B4765E"/>
    <w:rsid w:val="00B477C7"/>
    <w:rsid w:val="00B50CB4"/>
    <w:rsid w:val="00B51EDF"/>
    <w:rsid w:val="00B524FD"/>
    <w:rsid w:val="00B53291"/>
    <w:rsid w:val="00B54381"/>
    <w:rsid w:val="00B57F09"/>
    <w:rsid w:val="00B62B62"/>
    <w:rsid w:val="00B6436E"/>
    <w:rsid w:val="00B669C6"/>
    <w:rsid w:val="00B66B24"/>
    <w:rsid w:val="00B6737F"/>
    <w:rsid w:val="00B67768"/>
    <w:rsid w:val="00B70703"/>
    <w:rsid w:val="00B714AC"/>
    <w:rsid w:val="00B73E5C"/>
    <w:rsid w:val="00B76E7B"/>
    <w:rsid w:val="00B77C3C"/>
    <w:rsid w:val="00B77D94"/>
    <w:rsid w:val="00B82334"/>
    <w:rsid w:val="00B828AE"/>
    <w:rsid w:val="00B83CF5"/>
    <w:rsid w:val="00B84187"/>
    <w:rsid w:val="00B8453C"/>
    <w:rsid w:val="00B90B1C"/>
    <w:rsid w:val="00B9119B"/>
    <w:rsid w:val="00B912D1"/>
    <w:rsid w:val="00B9372B"/>
    <w:rsid w:val="00B94BFC"/>
    <w:rsid w:val="00B9535D"/>
    <w:rsid w:val="00B95AF0"/>
    <w:rsid w:val="00B95DEF"/>
    <w:rsid w:val="00B966BB"/>
    <w:rsid w:val="00B97EC2"/>
    <w:rsid w:val="00BA0B63"/>
    <w:rsid w:val="00BA2C9E"/>
    <w:rsid w:val="00BA5B44"/>
    <w:rsid w:val="00BA6869"/>
    <w:rsid w:val="00BB0426"/>
    <w:rsid w:val="00BB137C"/>
    <w:rsid w:val="00BB1CAB"/>
    <w:rsid w:val="00BB3D57"/>
    <w:rsid w:val="00BB4108"/>
    <w:rsid w:val="00BB5C2F"/>
    <w:rsid w:val="00BB63C7"/>
    <w:rsid w:val="00BB7C46"/>
    <w:rsid w:val="00BC1CFC"/>
    <w:rsid w:val="00BC2031"/>
    <w:rsid w:val="00BC2672"/>
    <w:rsid w:val="00BC3258"/>
    <w:rsid w:val="00BC4A49"/>
    <w:rsid w:val="00BC6C2F"/>
    <w:rsid w:val="00BC712B"/>
    <w:rsid w:val="00BC7868"/>
    <w:rsid w:val="00BC7904"/>
    <w:rsid w:val="00BC7B5B"/>
    <w:rsid w:val="00BD05C2"/>
    <w:rsid w:val="00BD107B"/>
    <w:rsid w:val="00BD2335"/>
    <w:rsid w:val="00BD2EEF"/>
    <w:rsid w:val="00BD3820"/>
    <w:rsid w:val="00BD49B6"/>
    <w:rsid w:val="00BD558F"/>
    <w:rsid w:val="00BD5AC1"/>
    <w:rsid w:val="00BE01D8"/>
    <w:rsid w:val="00BE3A0F"/>
    <w:rsid w:val="00BE3FEE"/>
    <w:rsid w:val="00BE5255"/>
    <w:rsid w:val="00BE6E46"/>
    <w:rsid w:val="00BF234C"/>
    <w:rsid w:val="00BF27FE"/>
    <w:rsid w:val="00BF74FD"/>
    <w:rsid w:val="00BF776E"/>
    <w:rsid w:val="00C00F52"/>
    <w:rsid w:val="00C014AF"/>
    <w:rsid w:val="00C01723"/>
    <w:rsid w:val="00C0235B"/>
    <w:rsid w:val="00C02A9E"/>
    <w:rsid w:val="00C03594"/>
    <w:rsid w:val="00C03A42"/>
    <w:rsid w:val="00C03FDD"/>
    <w:rsid w:val="00C04793"/>
    <w:rsid w:val="00C04C59"/>
    <w:rsid w:val="00C05500"/>
    <w:rsid w:val="00C06852"/>
    <w:rsid w:val="00C06B63"/>
    <w:rsid w:val="00C06E48"/>
    <w:rsid w:val="00C103BA"/>
    <w:rsid w:val="00C10DB7"/>
    <w:rsid w:val="00C1177F"/>
    <w:rsid w:val="00C1340B"/>
    <w:rsid w:val="00C1406F"/>
    <w:rsid w:val="00C16A37"/>
    <w:rsid w:val="00C17867"/>
    <w:rsid w:val="00C205FE"/>
    <w:rsid w:val="00C20BBC"/>
    <w:rsid w:val="00C20D36"/>
    <w:rsid w:val="00C20F9B"/>
    <w:rsid w:val="00C21194"/>
    <w:rsid w:val="00C212F4"/>
    <w:rsid w:val="00C21D83"/>
    <w:rsid w:val="00C24B31"/>
    <w:rsid w:val="00C24D4C"/>
    <w:rsid w:val="00C2521B"/>
    <w:rsid w:val="00C26072"/>
    <w:rsid w:val="00C2613E"/>
    <w:rsid w:val="00C27C6F"/>
    <w:rsid w:val="00C3355A"/>
    <w:rsid w:val="00C33617"/>
    <w:rsid w:val="00C33ABE"/>
    <w:rsid w:val="00C346D2"/>
    <w:rsid w:val="00C35891"/>
    <w:rsid w:val="00C35D00"/>
    <w:rsid w:val="00C365E2"/>
    <w:rsid w:val="00C36674"/>
    <w:rsid w:val="00C368E0"/>
    <w:rsid w:val="00C37E8E"/>
    <w:rsid w:val="00C41322"/>
    <w:rsid w:val="00C458A5"/>
    <w:rsid w:val="00C45C96"/>
    <w:rsid w:val="00C462C1"/>
    <w:rsid w:val="00C46909"/>
    <w:rsid w:val="00C5084F"/>
    <w:rsid w:val="00C50BA7"/>
    <w:rsid w:val="00C5135B"/>
    <w:rsid w:val="00C51C55"/>
    <w:rsid w:val="00C52E1F"/>
    <w:rsid w:val="00C53182"/>
    <w:rsid w:val="00C53E08"/>
    <w:rsid w:val="00C54118"/>
    <w:rsid w:val="00C602DE"/>
    <w:rsid w:val="00C60984"/>
    <w:rsid w:val="00C60A3A"/>
    <w:rsid w:val="00C61547"/>
    <w:rsid w:val="00C63482"/>
    <w:rsid w:val="00C63F58"/>
    <w:rsid w:val="00C6404D"/>
    <w:rsid w:val="00C64191"/>
    <w:rsid w:val="00C64EF8"/>
    <w:rsid w:val="00C669DA"/>
    <w:rsid w:val="00C67501"/>
    <w:rsid w:val="00C7107D"/>
    <w:rsid w:val="00C71D95"/>
    <w:rsid w:val="00C720A4"/>
    <w:rsid w:val="00C72262"/>
    <w:rsid w:val="00C76F16"/>
    <w:rsid w:val="00C77E66"/>
    <w:rsid w:val="00C80669"/>
    <w:rsid w:val="00C811A7"/>
    <w:rsid w:val="00C814F0"/>
    <w:rsid w:val="00C823F8"/>
    <w:rsid w:val="00C846E4"/>
    <w:rsid w:val="00C8599E"/>
    <w:rsid w:val="00C9040C"/>
    <w:rsid w:val="00C918C7"/>
    <w:rsid w:val="00C91FFA"/>
    <w:rsid w:val="00C92F53"/>
    <w:rsid w:val="00C9330A"/>
    <w:rsid w:val="00C93383"/>
    <w:rsid w:val="00C938A8"/>
    <w:rsid w:val="00C93B11"/>
    <w:rsid w:val="00C93DAE"/>
    <w:rsid w:val="00C95213"/>
    <w:rsid w:val="00C95D8A"/>
    <w:rsid w:val="00C9746D"/>
    <w:rsid w:val="00C9794C"/>
    <w:rsid w:val="00CA0C10"/>
    <w:rsid w:val="00CA0E31"/>
    <w:rsid w:val="00CA1143"/>
    <w:rsid w:val="00CA13E9"/>
    <w:rsid w:val="00CA154B"/>
    <w:rsid w:val="00CA2DCB"/>
    <w:rsid w:val="00CA3C73"/>
    <w:rsid w:val="00CB4E4D"/>
    <w:rsid w:val="00CB6A5F"/>
    <w:rsid w:val="00CB6DCF"/>
    <w:rsid w:val="00CC02A5"/>
    <w:rsid w:val="00CC043E"/>
    <w:rsid w:val="00CC0A6C"/>
    <w:rsid w:val="00CC0AC9"/>
    <w:rsid w:val="00CC2D5E"/>
    <w:rsid w:val="00CC2E3D"/>
    <w:rsid w:val="00CC43C5"/>
    <w:rsid w:val="00CC65CB"/>
    <w:rsid w:val="00CC6DF6"/>
    <w:rsid w:val="00CD0416"/>
    <w:rsid w:val="00CD0BAC"/>
    <w:rsid w:val="00CD161B"/>
    <w:rsid w:val="00CD26E0"/>
    <w:rsid w:val="00CD2F86"/>
    <w:rsid w:val="00CD3434"/>
    <w:rsid w:val="00CD5394"/>
    <w:rsid w:val="00CD671F"/>
    <w:rsid w:val="00CE0543"/>
    <w:rsid w:val="00CE0699"/>
    <w:rsid w:val="00CE30B2"/>
    <w:rsid w:val="00CE6014"/>
    <w:rsid w:val="00CF19C9"/>
    <w:rsid w:val="00CF4A3C"/>
    <w:rsid w:val="00CF5A7D"/>
    <w:rsid w:val="00CF73F7"/>
    <w:rsid w:val="00CF7B59"/>
    <w:rsid w:val="00D00D41"/>
    <w:rsid w:val="00D0236A"/>
    <w:rsid w:val="00D023A1"/>
    <w:rsid w:val="00D02670"/>
    <w:rsid w:val="00D02F4A"/>
    <w:rsid w:val="00D02F8F"/>
    <w:rsid w:val="00D04C94"/>
    <w:rsid w:val="00D05B9C"/>
    <w:rsid w:val="00D06211"/>
    <w:rsid w:val="00D12F49"/>
    <w:rsid w:val="00D16472"/>
    <w:rsid w:val="00D169A5"/>
    <w:rsid w:val="00D201F4"/>
    <w:rsid w:val="00D20AD4"/>
    <w:rsid w:val="00D21B3B"/>
    <w:rsid w:val="00D22660"/>
    <w:rsid w:val="00D25FC1"/>
    <w:rsid w:val="00D26469"/>
    <w:rsid w:val="00D27F1E"/>
    <w:rsid w:val="00D34ED7"/>
    <w:rsid w:val="00D40DF5"/>
    <w:rsid w:val="00D41AD2"/>
    <w:rsid w:val="00D42863"/>
    <w:rsid w:val="00D44E5C"/>
    <w:rsid w:val="00D45550"/>
    <w:rsid w:val="00D47046"/>
    <w:rsid w:val="00D47264"/>
    <w:rsid w:val="00D5319C"/>
    <w:rsid w:val="00D5342F"/>
    <w:rsid w:val="00D55688"/>
    <w:rsid w:val="00D5577B"/>
    <w:rsid w:val="00D60161"/>
    <w:rsid w:val="00D60FFF"/>
    <w:rsid w:val="00D657EA"/>
    <w:rsid w:val="00D65C90"/>
    <w:rsid w:val="00D65E85"/>
    <w:rsid w:val="00D6641D"/>
    <w:rsid w:val="00D667E4"/>
    <w:rsid w:val="00D66F0F"/>
    <w:rsid w:val="00D7228A"/>
    <w:rsid w:val="00D7256A"/>
    <w:rsid w:val="00D73575"/>
    <w:rsid w:val="00D73A99"/>
    <w:rsid w:val="00D73E6A"/>
    <w:rsid w:val="00D771C2"/>
    <w:rsid w:val="00D81BFB"/>
    <w:rsid w:val="00D8364E"/>
    <w:rsid w:val="00D84A55"/>
    <w:rsid w:val="00D85955"/>
    <w:rsid w:val="00D91D26"/>
    <w:rsid w:val="00D940B2"/>
    <w:rsid w:val="00D9534F"/>
    <w:rsid w:val="00D96257"/>
    <w:rsid w:val="00D9707A"/>
    <w:rsid w:val="00D979F3"/>
    <w:rsid w:val="00DA183E"/>
    <w:rsid w:val="00DA1988"/>
    <w:rsid w:val="00DA2076"/>
    <w:rsid w:val="00DA3007"/>
    <w:rsid w:val="00DA47E2"/>
    <w:rsid w:val="00DA72F5"/>
    <w:rsid w:val="00DA79D8"/>
    <w:rsid w:val="00DB05CD"/>
    <w:rsid w:val="00DB0B34"/>
    <w:rsid w:val="00DB192D"/>
    <w:rsid w:val="00DC2B0C"/>
    <w:rsid w:val="00DC34BB"/>
    <w:rsid w:val="00DC4195"/>
    <w:rsid w:val="00DC52DF"/>
    <w:rsid w:val="00DC5D36"/>
    <w:rsid w:val="00DC6F8A"/>
    <w:rsid w:val="00DC7BD6"/>
    <w:rsid w:val="00DD32E4"/>
    <w:rsid w:val="00DD6BB1"/>
    <w:rsid w:val="00DD748D"/>
    <w:rsid w:val="00DD7C98"/>
    <w:rsid w:val="00DD7EB8"/>
    <w:rsid w:val="00DE0D3E"/>
    <w:rsid w:val="00DE300D"/>
    <w:rsid w:val="00DE389C"/>
    <w:rsid w:val="00DE39D1"/>
    <w:rsid w:val="00DE3B3D"/>
    <w:rsid w:val="00DE3CBF"/>
    <w:rsid w:val="00DE5087"/>
    <w:rsid w:val="00DE6D58"/>
    <w:rsid w:val="00DF2D74"/>
    <w:rsid w:val="00DF6677"/>
    <w:rsid w:val="00DF7D96"/>
    <w:rsid w:val="00E00473"/>
    <w:rsid w:val="00E00832"/>
    <w:rsid w:val="00E011F3"/>
    <w:rsid w:val="00E032CF"/>
    <w:rsid w:val="00E03BD7"/>
    <w:rsid w:val="00E03D40"/>
    <w:rsid w:val="00E04502"/>
    <w:rsid w:val="00E0497E"/>
    <w:rsid w:val="00E04E96"/>
    <w:rsid w:val="00E05D29"/>
    <w:rsid w:val="00E0606B"/>
    <w:rsid w:val="00E106EA"/>
    <w:rsid w:val="00E12571"/>
    <w:rsid w:val="00E130C1"/>
    <w:rsid w:val="00E136F6"/>
    <w:rsid w:val="00E14E1E"/>
    <w:rsid w:val="00E17786"/>
    <w:rsid w:val="00E17C8B"/>
    <w:rsid w:val="00E2099F"/>
    <w:rsid w:val="00E21A0E"/>
    <w:rsid w:val="00E22973"/>
    <w:rsid w:val="00E23829"/>
    <w:rsid w:val="00E25121"/>
    <w:rsid w:val="00E2733B"/>
    <w:rsid w:val="00E27507"/>
    <w:rsid w:val="00E316A2"/>
    <w:rsid w:val="00E34337"/>
    <w:rsid w:val="00E36727"/>
    <w:rsid w:val="00E4013A"/>
    <w:rsid w:val="00E40B2F"/>
    <w:rsid w:val="00E40ED3"/>
    <w:rsid w:val="00E41389"/>
    <w:rsid w:val="00E451A2"/>
    <w:rsid w:val="00E453FA"/>
    <w:rsid w:val="00E46239"/>
    <w:rsid w:val="00E46DF4"/>
    <w:rsid w:val="00E47891"/>
    <w:rsid w:val="00E50218"/>
    <w:rsid w:val="00E50C48"/>
    <w:rsid w:val="00E52D85"/>
    <w:rsid w:val="00E530D9"/>
    <w:rsid w:val="00E55E76"/>
    <w:rsid w:val="00E56948"/>
    <w:rsid w:val="00E6094C"/>
    <w:rsid w:val="00E61BA2"/>
    <w:rsid w:val="00E630A7"/>
    <w:rsid w:val="00E63225"/>
    <w:rsid w:val="00E63847"/>
    <w:rsid w:val="00E64263"/>
    <w:rsid w:val="00E65CF6"/>
    <w:rsid w:val="00E70C64"/>
    <w:rsid w:val="00E7192F"/>
    <w:rsid w:val="00E71E9A"/>
    <w:rsid w:val="00E74C48"/>
    <w:rsid w:val="00E76E0B"/>
    <w:rsid w:val="00E76F4D"/>
    <w:rsid w:val="00E77269"/>
    <w:rsid w:val="00E84795"/>
    <w:rsid w:val="00E850E2"/>
    <w:rsid w:val="00E85A81"/>
    <w:rsid w:val="00E86E6E"/>
    <w:rsid w:val="00E92168"/>
    <w:rsid w:val="00E94FD4"/>
    <w:rsid w:val="00E9737B"/>
    <w:rsid w:val="00EA086C"/>
    <w:rsid w:val="00EA0A42"/>
    <w:rsid w:val="00EA0A6E"/>
    <w:rsid w:val="00EA0DB9"/>
    <w:rsid w:val="00EA3EDF"/>
    <w:rsid w:val="00EA4739"/>
    <w:rsid w:val="00EA56C5"/>
    <w:rsid w:val="00EA5992"/>
    <w:rsid w:val="00EA6712"/>
    <w:rsid w:val="00EB16CB"/>
    <w:rsid w:val="00EB5BD2"/>
    <w:rsid w:val="00EB63AB"/>
    <w:rsid w:val="00EC0F7C"/>
    <w:rsid w:val="00EC2B7A"/>
    <w:rsid w:val="00EC39EA"/>
    <w:rsid w:val="00EC3A7D"/>
    <w:rsid w:val="00EC3AF9"/>
    <w:rsid w:val="00EC4BD2"/>
    <w:rsid w:val="00EC6D72"/>
    <w:rsid w:val="00EC7DEE"/>
    <w:rsid w:val="00ED0E95"/>
    <w:rsid w:val="00ED2420"/>
    <w:rsid w:val="00ED473F"/>
    <w:rsid w:val="00ED4913"/>
    <w:rsid w:val="00ED4B77"/>
    <w:rsid w:val="00ED5BD6"/>
    <w:rsid w:val="00ED5CA2"/>
    <w:rsid w:val="00ED64B7"/>
    <w:rsid w:val="00ED6949"/>
    <w:rsid w:val="00EE01AF"/>
    <w:rsid w:val="00EE126C"/>
    <w:rsid w:val="00EE239F"/>
    <w:rsid w:val="00EE592A"/>
    <w:rsid w:val="00EE70E6"/>
    <w:rsid w:val="00EE79A4"/>
    <w:rsid w:val="00EF011C"/>
    <w:rsid w:val="00EF0721"/>
    <w:rsid w:val="00EF095C"/>
    <w:rsid w:val="00EF172C"/>
    <w:rsid w:val="00EF1BFB"/>
    <w:rsid w:val="00EF1CDD"/>
    <w:rsid w:val="00EF2430"/>
    <w:rsid w:val="00EF27F8"/>
    <w:rsid w:val="00EF36A3"/>
    <w:rsid w:val="00EF3A86"/>
    <w:rsid w:val="00EF3EC1"/>
    <w:rsid w:val="00EF48FF"/>
    <w:rsid w:val="00EF4AA3"/>
    <w:rsid w:val="00EF5B81"/>
    <w:rsid w:val="00EF6C96"/>
    <w:rsid w:val="00EF74E5"/>
    <w:rsid w:val="00F0106D"/>
    <w:rsid w:val="00F0111E"/>
    <w:rsid w:val="00F02127"/>
    <w:rsid w:val="00F04440"/>
    <w:rsid w:val="00F10679"/>
    <w:rsid w:val="00F12FFB"/>
    <w:rsid w:val="00F1497F"/>
    <w:rsid w:val="00F15C54"/>
    <w:rsid w:val="00F171DE"/>
    <w:rsid w:val="00F17B63"/>
    <w:rsid w:val="00F17D2B"/>
    <w:rsid w:val="00F203B2"/>
    <w:rsid w:val="00F204F5"/>
    <w:rsid w:val="00F20FDB"/>
    <w:rsid w:val="00F21249"/>
    <w:rsid w:val="00F226CF"/>
    <w:rsid w:val="00F23230"/>
    <w:rsid w:val="00F2328E"/>
    <w:rsid w:val="00F242A7"/>
    <w:rsid w:val="00F24E13"/>
    <w:rsid w:val="00F24ECC"/>
    <w:rsid w:val="00F268B5"/>
    <w:rsid w:val="00F2744E"/>
    <w:rsid w:val="00F27D60"/>
    <w:rsid w:val="00F27E09"/>
    <w:rsid w:val="00F31014"/>
    <w:rsid w:val="00F3156B"/>
    <w:rsid w:val="00F327E3"/>
    <w:rsid w:val="00F3406F"/>
    <w:rsid w:val="00F34E45"/>
    <w:rsid w:val="00F364BE"/>
    <w:rsid w:val="00F3665F"/>
    <w:rsid w:val="00F3670B"/>
    <w:rsid w:val="00F370CE"/>
    <w:rsid w:val="00F3771D"/>
    <w:rsid w:val="00F377CD"/>
    <w:rsid w:val="00F37BDB"/>
    <w:rsid w:val="00F41329"/>
    <w:rsid w:val="00F43736"/>
    <w:rsid w:val="00F4406F"/>
    <w:rsid w:val="00F4421B"/>
    <w:rsid w:val="00F445D4"/>
    <w:rsid w:val="00F47724"/>
    <w:rsid w:val="00F47CD3"/>
    <w:rsid w:val="00F51075"/>
    <w:rsid w:val="00F51501"/>
    <w:rsid w:val="00F5275F"/>
    <w:rsid w:val="00F52809"/>
    <w:rsid w:val="00F53334"/>
    <w:rsid w:val="00F53993"/>
    <w:rsid w:val="00F545CF"/>
    <w:rsid w:val="00F56E91"/>
    <w:rsid w:val="00F57227"/>
    <w:rsid w:val="00F579A7"/>
    <w:rsid w:val="00F6156F"/>
    <w:rsid w:val="00F62D33"/>
    <w:rsid w:val="00F630CE"/>
    <w:rsid w:val="00F64A23"/>
    <w:rsid w:val="00F65007"/>
    <w:rsid w:val="00F67406"/>
    <w:rsid w:val="00F6774A"/>
    <w:rsid w:val="00F67A24"/>
    <w:rsid w:val="00F67F4E"/>
    <w:rsid w:val="00F70A54"/>
    <w:rsid w:val="00F70D89"/>
    <w:rsid w:val="00F70F15"/>
    <w:rsid w:val="00F71C37"/>
    <w:rsid w:val="00F72C2F"/>
    <w:rsid w:val="00F737D6"/>
    <w:rsid w:val="00F74324"/>
    <w:rsid w:val="00F762E5"/>
    <w:rsid w:val="00F82F8C"/>
    <w:rsid w:val="00F85AF4"/>
    <w:rsid w:val="00F85B18"/>
    <w:rsid w:val="00F86196"/>
    <w:rsid w:val="00F873E8"/>
    <w:rsid w:val="00F87A6F"/>
    <w:rsid w:val="00F91D71"/>
    <w:rsid w:val="00F92030"/>
    <w:rsid w:val="00F92754"/>
    <w:rsid w:val="00F939D9"/>
    <w:rsid w:val="00F93DA5"/>
    <w:rsid w:val="00F9403F"/>
    <w:rsid w:val="00F942FE"/>
    <w:rsid w:val="00F966CD"/>
    <w:rsid w:val="00FA0603"/>
    <w:rsid w:val="00FA339A"/>
    <w:rsid w:val="00FA342E"/>
    <w:rsid w:val="00FA3651"/>
    <w:rsid w:val="00FA3F62"/>
    <w:rsid w:val="00FA4B1F"/>
    <w:rsid w:val="00FA5958"/>
    <w:rsid w:val="00FA59D2"/>
    <w:rsid w:val="00FA601D"/>
    <w:rsid w:val="00FA75BA"/>
    <w:rsid w:val="00FB2EBC"/>
    <w:rsid w:val="00FB3C86"/>
    <w:rsid w:val="00FB559E"/>
    <w:rsid w:val="00FB784C"/>
    <w:rsid w:val="00FC316F"/>
    <w:rsid w:val="00FC348B"/>
    <w:rsid w:val="00FC3BD6"/>
    <w:rsid w:val="00FC41B5"/>
    <w:rsid w:val="00FC5346"/>
    <w:rsid w:val="00FC715B"/>
    <w:rsid w:val="00FC79BA"/>
    <w:rsid w:val="00FD1289"/>
    <w:rsid w:val="00FD1FB5"/>
    <w:rsid w:val="00FD2154"/>
    <w:rsid w:val="00FD21AB"/>
    <w:rsid w:val="00FD2607"/>
    <w:rsid w:val="00FD3E00"/>
    <w:rsid w:val="00FD58FC"/>
    <w:rsid w:val="00FD6733"/>
    <w:rsid w:val="00FD6961"/>
    <w:rsid w:val="00FE124F"/>
    <w:rsid w:val="00FE4AFD"/>
    <w:rsid w:val="00FE4B5C"/>
    <w:rsid w:val="00FE4BD1"/>
    <w:rsid w:val="00FE77B1"/>
    <w:rsid w:val="00FF04C8"/>
    <w:rsid w:val="00FF1152"/>
    <w:rsid w:val="00FF1A53"/>
    <w:rsid w:val="00FF2B07"/>
    <w:rsid w:val="00FF322D"/>
    <w:rsid w:val="00FF7930"/>
    <w:rsid w:val="00FF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421DE"/>
  <w15:chartTrackingRefBased/>
  <w15:docId w15:val="{989B0373-6124-4BE6-82A6-9733D35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A28"/>
    <w:pPr>
      <w:ind w:left="720"/>
      <w:contextualSpacing/>
    </w:pPr>
  </w:style>
  <w:style w:type="paragraph" w:styleId="Revision">
    <w:name w:val="Revision"/>
    <w:hidden/>
    <w:uiPriority w:val="99"/>
    <w:semiHidden/>
    <w:rsid w:val="00C10DB7"/>
    <w:pPr>
      <w:spacing w:after="0" w:line="240" w:lineRule="auto"/>
    </w:pPr>
  </w:style>
  <w:style w:type="character" w:styleId="PlaceholderText">
    <w:name w:val="Placeholder Text"/>
    <w:basedOn w:val="DefaultParagraphFont"/>
    <w:uiPriority w:val="99"/>
    <w:semiHidden/>
    <w:rsid w:val="00620802"/>
    <w:rPr>
      <w:color w:val="808080"/>
    </w:rPr>
  </w:style>
  <w:style w:type="paragraph" w:styleId="FootnoteText">
    <w:name w:val="footnote text"/>
    <w:basedOn w:val="Normal"/>
    <w:link w:val="FootnoteTextChar"/>
    <w:uiPriority w:val="99"/>
    <w:semiHidden/>
    <w:unhideWhenUsed/>
    <w:rsid w:val="00A50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C23"/>
    <w:rPr>
      <w:sz w:val="20"/>
      <w:szCs w:val="20"/>
    </w:rPr>
  </w:style>
  <w:style w:type="character" w:styleId="FootnoteReference">
    <w:name w:val="footnote reference"/>
    <w:basedOn w:val="DefaultParagraphFont"/>
    <w:uiPriority w:val="99"/>
    <w:semiHidden/>
    <w:unhideWhenUsed/>
    <w:rsid w:val="00A50C23"/>
    <w:rPr>
      <w:vertAlign w:val="superscript"/>
    </w:rPr>
  </w:style>
  <w:style w:type="paragraph" w:styleId="Header">
    <w:name w:val="header"/>
    <w:basedOn w:val="Normal"/>
    <w:link w:val="HeaderChar"/>
    <w:uiPriority w:val="99"/>
    <w:unhideWhenUsed/>
    <w:rsid w:val="00435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3D"/>
  </w:style>
  <w:style w:type="paragraph" w:styleId="Footer">
    <w:name w:val="footer"/>
    <w:basedOn w:val="Normal"/>
    <w:link w:val="FooterChar"/>
    <w:uiPriority w:val="99"/>
    <w:unhideWhenUsed/>
    <w:rsid w:val="00435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33D"/>
  </w:style>
  <w:style w:type="paragraph" w:customStyle="1" w:styleId="MDPI31text">
    <w:name w:val="MDPI_3.1_text"/>
    <w:qFormat/>
    <w:rsid w:val="006D44A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styleId="Hyperlink">
    <w:name w:val="Hyperlink"/>
    <w:basedOn w:val="DefaultParagraphFont"/>
    <w:uiPriority w:val="99"/>
    <w:unhideWhenUsed/>
    <w:rsid w:val="0020459D"/>
    <w:rPr>
      <w:color w:val="0563C1" w:themeColor="hyperlink"/>
      <w:u w:val="single"/>
    </w:rPr>
  </w:style>
  <w:style w:type="character" w:styleId="UnresolvedMention">
    <w:name w:val="Unresolved Mention"/>
    <w:basedOn w:val="DefaultParagraphFont"/>
    <w:uiPriority w:val="99"/>
    <w:semiHidden/>
    <w:unhideWhenUsed/>
    <w:rsid w:val="0020459D"/>
    <w:rPr>
      <w:color w:val="605E5C"/>
      <w:shd w:val="clear" w:color="auto" w:fill="E1DFDD"/>
    </w:rPr>
  </w:style>
  <w:style w:type="character" w:styleId="CommentReference">
    <w:name w:val="annotation reference"/>
    <w:basedOn w:val="DefaultParagraphFont"/>
    <w:uiPriority w:val="99"/>
    <w:semiHidden/>
    <w:unhideWhenUsed/>
    <w:rsid w:val="00411C9A"/>
    <w:rPr>
      <w:sz w:val="16"/>
      <w:szCs w:val="16"/>
    </w:rPr>
  </w:style>
  <w:style w:type="paragraph" w:styleId="CommentText">
    <w:name w:val="annotation text"/>
    <w:basedOn w:val="Normal"/>
    <w:link w:val="CommentTextChar"/>
    <w:uiPriority w:val="99"/>
    <w:unhideWhenUsed/>
    <w:rsid w:val="00411C9A"/>
    <w:pPr>
      <w:spacing w:line="240" w:lineRule="auto"/>
    </w:pPr>
    <w:rPr>
      <w:sz w:val="20"/>
      <w:szCs w:val="20"/>
    </w:rPr>
  </w:style>
  <w:style w:type="character" w:customStyle="1" w:styleId="CommentTextChar">
    <w:name w:val="Comment Text Char"/>
    <w:basedOn w:val="DefaultParagraphFont"/>
    <w:link w:val="CommentText"/>
    <w:uiPriority w:val="99"/>
    <w:rsid w:val="00411C9A"/>
    <w:rPr>
      <w:sz w:val="20"/>
      <w:szCs w:val="20"/>
    </w:rPr>
  </w:style>
  <w:style w:type="paragraph" w:styleId="CommentSubject">
    <w:name w:val="annotation subject"/>
    <w:basedOn w:val="CommentText"/>
    <w:next w:val="CommentText"/>
    <w:link w:val="CommentSubjectChar"/>
    <w:uiPriority w:val="99"/>
    <w:semiHidden/>
    <w:unhideWhenUsed/>
    <w:rsid w:val="00411C9A"/>
    <w:rPr>
      <w:b/>
      <w:bCs/>
    </w:rPr>
  </w:style>
  <w:style w:type="character" w:customStyle="1" w:styleId="CommentSubjectChar">
    <w:name w:val="Comment Subject Char"/>
    <w:basedOn w:val="CommentTextChar"/>
    <w:link w:val="CommentSubject"/>
    <w:uiPriority w:val="99"/>
    <w:semiHidden/>
    <w:rsid w:val="00411C9A"/>
    <w:rPr>
      <w:b/>
      <w:bCs/>
      <w:sz w:val="20"/>
      <w:szCs w:val="20"/>
    </w:rPr>
  </w:style>
  <w:style w:type="paragraph" w:styleId="BalloonText">
    <w:name w:val="Balloon Text"/>
    <w:basedOn w:val="Normal"/>
    <w:link w:val="BalloonTextChar"/>
    <w:uiPriority w:val="99"/>
    <w:semiHidden/>
    <w:unhideWhenUsed/>
    <w:rsid w:val="00411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C9A"/>
    <w:rPr>
      <w:rFonts w:ascii="Segoe UI" w:hAnsi="Segoe UI" w:cs="Segoe UI"/>
      <w:sz w:val="18"/>
      <w:szCs w:val="18"/>
    </w:rPr>
  </w:style>
  <w:style w:type="paragraph" w:customStyle="1" w:styleId="pf0">
    <w:name w:val="pf0"/>
    <w:basedOn w:val="Normal"/>
    <w:rsid w:val="00E413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413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334875">
      <w:bodyDiv w:val="1"/>
      <w:marLeft w:val="0"/>
      <w:marRight w:val="0"/>
      <w:marTop w:val="0"/>
      <w:marBottom w:val="0"/>
      <w:divBdr>
        <w:top w:val="none" w:sz="0" w:space="0" w:color="auto"/>
        <w:left w:val="none" w:sz="0" w:space="0" w:color="auto"/>
        <w:bottom w:val="none" w:sz="0" w:space="0" w:color="auto"/>
        <w:right w:val="none" w:sz="0" w:space="0" w:color="auto"/>
      </w:divBdr>
    </w:div>
    <w:div w:id="1745487339">
      <w:bodyDiv w:val="1"/>
      <w:marLeft w:val="0"/>
      <w:marRight w:val="0"/>
      <w:marTop w:val="0"/>
      <w:marBottom w:val="0"/>
      <w:divBdr>
        <w:top w:val="none" w:sz="0" w:space="0" w:color="auto"/>
        <w:left w:val="none" w:sz="0" w:space="0" w:color="auto"/>
        <w:bottom w:val="none" w:sz="0" w:space="0" w:color="auto"/>
        <w:right w:val="none" w:sz="0" w:space="0" w:color="auto"/>
      </w:divBdr>
    </w:div>
    <w:div w:id="1970432042">
      <w:bodyDiv w:val="1"/>
      <w:marLeft w:val="0"/>
      <w:marRight w:val="0"/>
      <w:marTop w:val="0"/>
      <w:marBottom w:val="0"/>
      <w:divBdr>
        <w:top w:val="none" w:sz="0" w:space="0" w:color="auto"/>
        <w:left w:val="none" w:sz="0" w:space="0" w:color="auto"/>
        <w:bottom w:val="none" w:sz="0" w:space="0" w:color="auto"/>
        <w:right w:val="none" w:sz="0" w:space="0" w:color="auto"/>
      </w:divBdr>
    </w:div>
    <w:div w:id="2065716670">
      <w:bodyDiv w:val="1"/>
      <w:marLeft w:val="0"/>
      <w:marRight w:val="0"/>
      <w:marTop w:val="0"/>
      <w:marBottom w:val="0"/>
      <w:divBdr>
        <w:top w:val="none" w:sz="0" w:space="0" w:color="auto"/>
        <w:left w:val="none" w:sz="0" w:space="0" w:color="auto"/>
        <w:bottom w:val="none" w:sz="0" w:space="0" w:color="auto"/>
        <w:right w:val="none" w:sz="0" w:space="0" w:color="auto"/>
      </w:divBdr>
    </w:div>
    <w:div w:id="210692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global.co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doi.org/10.1142/S0217590821470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fineco.2021.03.005" TargetMode="Externa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ourworldindata.org/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3895B-5EEA-4680-B561-B6AEE87B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35</Pages>
  <Words>12714</Words>
  <Characters>72476</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Imran Yousaf</dc:creator>
  <cp:keywords/>
  <dc:description/>
  <cp:lastModifiedBy>Larisa Yarovaya</cp:lastModifiedBy>
  <cp:revision>12</cp:revision>
  <cp:lastPrinted>2021-03-22T13:09:00Z</cp:lastPrinted>
  <dcterms:created xsi:type="dcterms:W3CDTF">2021-10-09T18:23:00Z</dcterms:created>
  <dcterms:modified xsi:type="dcterms:W3CDTF">2021-10-11T10:46:00Z</dcterms:modified>
</cp:coreProperties>
</file>