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6AA03" w14:textId="6E4B2D40" w:rsidR="00DE29D7" w:rsidRPr="006F4C96" w:rsidRDefault="00F46945" w:rsidP="00075F1E">
      <w:pPr>
        <w:spacing w:after="0" w:line="480" w:lineRule="auto"/>
        <w:rPr>
          <w:rFonts w:ascii="Times New Roman" w:hAnsi="Times New Roman" w:cs="Times New Roman"/>
          <w:b/>
          <w:sz w:val="24"/>
        </w:rPr>
      </w:pPr>
      <w:bookmarkStart w:id="0" w:name="_GoBack"/>
      <w:r w:rsidRPr="006F4C96">
        <w:rPr>
          <w:rFonts w:ascii="Times New Roman" w:hAnsi="Times New Roman" w:cs="Times New Roman"/>
          <w:b/>
          <w:sz w:val="24"/>
        </w:rPr>
        <w:t xml:space="preserve">Association of </w:t>
      </w:r>
      <w:r w:rsidR="00E46CF1" w:rsidRPr="006F4C96">
        <w:rPr>
          <w:rFonts w:ascii="Times New Roman" w:hAnsi="Times New Roman" w:cs="Times New Roman"/>
          <w:b/>
          <w:sz w:val="24"/>
        </w:rPr>
        <w:t xml:space="preserve">shorter </w:t>
      </w:r>
      <w:r w:rsidR="00795384" w:rsidRPr="006F4C96">
        <w:rPr>
          <w:rFonts w:ascii="Times New Roman" w:hAnsi="Times New Roman" w:cs="Times New Roman"/>
          <w:b/>
          <w:sz w:val="24"/>
        </w:rPr>
        <w:t>leucocyte telomere length with</w:t>
      </w:r>
      <w:r w:rsidR="00E07751" w:rsidRPr="006F4C96">
        <w:rPr>
          <w:rFonts w:ascii="Times New Roman" w:hAnsi="Times New Roman" w:cs="Times New Roman"/>
          <w:b/>
          <w:sz w:val="24"/>
        </w:rPr>
        <w:t xml:space="preserve"> </w:t>
      </w:r>
      <w:r w:rsidR="00E46CF1" w:rsidRPr="006F4C96">
        <w:rPr>
          <w:rFonts w:ascii="Times New Roman" w:hAnsi="Times New Roman" w:cs="Times New Roman"/>
          <w:b/>
          <w:sz w:val="24"/>
        </w:rPr>
        <w:t xml:space="preserve">risk of </w:t>
      </w:r>
      <w:r w:rsidR="00E07751" w:rsidRPr="006F4C96">
        <w:rPr>
          <w:rFonts w:ascii="Times New Roman" w:hAnsi="Times New Roman" w:cs="Times New Roman"/>
          <w:b/>
          <w:sz w:val="24"/>
        </w:rPr>
        <w:t>frailty</w:t>
      </w:r>
    </w:p>
    <w:bookmarkEnd w:id="0"/>
    <w:p w14:paraId="2B337913" w14:textId="77777777" w:rsidR="00075F1E" w:rsidRPr="006F4C96" w:rsidRDefault="00075F1E" w:rsidP="00075F1E">
      <w:pPr>
        <w:spacing w:after="0" w:line="480" w:lineRule="auto"/>
        <w:rPr>
          <w:rFonts w:ascii="Times New Roman" w:hAnsi="Times New Roman" w:cs="Times New Roman"/>
        </w:rPr>
      </w:pPr>
    </w:p>
    <w:p w14:paraId="08D21DF9" w14:textId="216A53BA" w:rsidR="00695E9A" w:rsidRPr="006F4C96" w:rsidRDefault="00695E9A" w:rsidP="00075F1E">
      <w:pPr>
        <w:spacing w:after="0" w:line="480" w:lineRule="auto"/>
        <w:rPr>
          <w:rFonts w:ascii="Times New Roman" w:hAnsi="Times New Roman" w:cs="Times New Roman"/>
        </w:rPr>
      </w:pPr>
      <w:r w:rsidRPr="006F4C96">
        <w:rPr>
          <w:rFonts w:ascii="Times New Roman" w:hAnsi="Times New Roman" w:cs="Times New Roman"/>
        </w:rPr>
        <w:t>Vasiliki Bountziouka</w:t>
      </w:r>
      <w:r w:rsidR="00E61249" w:rsidRPr="006F4C96">
        <w:rPr>
          <w:rFonts w:ascii="Times New Roman" w:hAnsi="Times New Roman" w:cs="Times New Roman"/>
        </w:rPr>
        <w:t>,</w:t>
      </w:r>
      <w:r w:rsidRPr="006F4C96">
        <w:rPr>
          <w:rFonts w:ascii="Times New Roman" w:hAnsi="Times New Roman" w:cs="Times New Roman"/>
          <w:vertAlign w:val="superscript"/>
        </w:rPr>
        <w:t>1,2</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Christopher P Nelson</w:t>
      </w:r>
      <w:r w:rsidR="00E61249" w:rsidRPr="006F4C96">
        <w:rPr>
          <w:rFonts w:ascii="Times New Roman" w:hAnsi="Times New Roman" w:cs="Times New Roman"/>
        </w:rPr>
        <w:t>,</w:t>
      </w:r>
      <w:r w:rsidRPr="006F4C96">
        <w:rPr>
          <w:rFonts w:ascii="Times New Roman" w:hAnsi="Times New Roman" w:cs="Times New Roman"/>
          <w:vertAlign w:val="superscript"/>
        </w:rPr>
        <w:t>1,2</w:t>
      </w:r>
      <w:r w:rsidR="00E61249" w:rsidRPr="006F4C96">
        <w:rPr>
          <w:rFonts w:ascii="Times New Roman" w:hAnsi="Times New Roman" w:cs="Times New Roman"/>
        </w:rPr>
        <w:t xml:space="preserve"> PhD, </w:t>
      </w:r>
      <w:r w:rsidRPr="006F4C96">
        <w:rPr>
          <w:rFonts w:ascii="Times New Roman" w:hAnsi="Times New Roman" w:cs="Times New Roman"/>
        </w:rPr>
        <w:t>Veryan Codd</w:t>
      </w:r>
      <w:r w:rsidR="00E61249" w:rsidRPr="006F4C96">
        <w:rPr>
          <w:rFonts w:ascii="Times New Roman" w:hAnsi="Times New Roman" w:cs="Times New Roman"/>
        </w:rPr>
        <w:t>,</w:t>
      </w:r>
      <w:r w:rsidRPr="006F4C96">
        <w:rPr>
          <w:rFonts w:ascii="Times New Roman" w:hAnsi="Times New Roman" w:cs="Times New Roman"/>
          <w:vertAlign w:val="superscript"/>
        </w:rPr>
        <w:t>1,2</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947916" w:rsidRPr="006F4C96">
        <w:rPr>
          <w:rFonts w:ascii="Times New Roman" w:hAnsi="Times New Roman" w:cs="Times New Roman"/>
        </w:rPr>
        <w:t>Qingning Wang</w:t>
      </w:r>
      <w:r w:rsidR="00E61249" w:rsidRPr="006F4C96">
        <w:rPr>
          <w:rFonts w:ascii="Times New Roman" w:hAnsi="Times New Roman" w:cs="Times New Roman"/>
        </w:rPr>
        <w:t>,</w:t>
      </w:r>
      <w:r w:rsidR="00947916" w:rsidRPr="006F4C96">
        <w:rPr>
          <w:rFonts w:ascii="Times New Roman" w:hAnsi="Times New Roman" w:cs="Times New Roman"/>
          <w:vertAlign w:val="superscript"/>
        </w:rPr>
        <w:t>1,2</w:t>
      </w:r>
      <w:r w:rsidR="00947916"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A92E87" w:rsidRPr="006F4C96">
        <w:rPr>
          <w:rFonts w:ascii="Times New Roman" w:hAnsi="Times New Roman" w:cs="Times New Roman"/>
        </w:rPr>
        <w:t>Crispin Musicha</w:t>
      </w:r>
      <w:r w:rsidR="00E61249" w:rsidRPr="006F4C96">
        <w:rPr>
          <w:rFonts w:ascii="Times New Roman" w:hAnsi="Times New Roman" w:cs="Times New Roman"/>
        </w:rPr>
        <w:t>,</w:t>
      </w:r>
      <w:r w:rsidR="00A92E87" w:rsidRPr="006F4C96">
        <w:rPr>
          <w:rFonts w:ascii="Times New Roman" w:hAnsi="Times New Roman" w:cs="Times New Roman"/>
          <w:vertAlign w:val="superscript"/>
        </w:rPr>
        <w:t>1,2</w:t>
      </w:r>
      <w:r w:rsidR="00A92E87" w:rsidRPr="006F4C96">
        <w:rPr>
          <w:rFonts w:ascii="Times New Roman" w:hAnsi="Times New Roman" w:cs="Times New Roman"/>
        </w:rPr>
        <w:t xml:space="preserve"> </w:t>
      </w:r>
      <w:r w:rsidR="00E61249" w:rsidRPr="006F4C96">
        <w:rPr>
          <w:rFonts w:ascii="Times New Roman" w:hAnsi="Times New Roman" w:cs="Times New Roman"/>
        </w:rPr>
        <w:t xml:space="preserve">MSc, </w:t>
      </w:r>
      <w:r w:rsidRPr="006F4C96">
        <w:rPr>
          <w:rFonts w:ascii="Times New Roman" w:hAnsi="Times New Roman" w:cs="Times New Roman"/>
        </w:rPr>
        <w:t>Elias Allara</w:t>
      </w:r>
      <w:r w:rsidR="00E61249" w:rsidRPr="006F4C96">
        <w:rPr>
          <w:rFonts w:ascii="Times New Roman" w:hAnsi="Times New Roman" w:cs="Times New Roman"/>
        </w:rPr>
        <w:t>,</w:t>
      </w:r>
      <w:r w:rsidRPr="006F4C96">
        <w:rPr>
          <w:rFonts w:ascii="Times New Roman" w:hAnsi="Times New Roman" w:cs="Times New Roman"/>
          <w:vertAlign w:val="superscript"/>
        </w:rPr>
        <w:t>3,4</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Stephen Kaptoge</w:t>
      </w:r>
      <w:r w:rsidR="00E61249" w:rsidRPr="006F4C96">
        <w:rPr>
          <w:rFonts w:ascii="Times New Roman" w:hAnsi="Times New Roman" w:cs="Times New Roman"/>
        </w:rPr>
        <w:t>,</w:t>
      </w:r>
      <w:r w:rsidRPr="006F4C96">
        <w:rPr>
          <w:rFonts w:ascii="Times New Roman" w:hAnsi="Times New Roman" w:cs="Times New Roman"/>
          <w:vertAlign w:val="superscript"/>
        </w:rPr>
        <w:t>3,4,5</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Emanuele Di Angelantonio</w:t>
      </w:r>
      <w:r w:rsidR="00E61249" w:rsidRPr="006F4C96">
        <w:rPr>
          <w:rFonts w:ascii="Times New Roman" w:hAnsi="Times New Roman" w:cs="Times New Roman"/>
        </w:rPr>
        <w:t>,</w:t>
      </w:r>
      <w:r w:rsidR="00152968" w:rsidRPr="006F4C96">
        <w:rPr>
          <w:rFonts w:ascii="Times New Roman" w:hAnsi="Times New Roman" w:cs="Times New Roman"/>
          <w:vertAlign w:val="superscript"/>
        </w:rPr>
        <w:t>3,4,5,</w:t>
      </w:r>
      <w:r w:rsidRPr="006F4C96">
        <w:rPr>
          <w:rFonts w:ascii="Times New Roman" w:hAnsi="Times New Roman" w:cs="Times New Roman"/>
          <w:vertAlign w:val="superscript"/>
        </w:rPr>
        <w:t>6</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0D2C6C" w:rsidRPr="006F4C96">
        <w:rPr>
          <w:rFonts w:ascii="Times New Roman" w:hAnsi="Times New Roman" w:cs="Times New Roman"/>
        </w:rPr>
        <w:t>Adam S Butterworth</w:t>
      </w:r>
      <w:r w:rsidR="00E61249" w:rsidRPr="006F4C96">
        <w:rPr>
          <w:rFonts w:ascii="Times New Roman" w:hAnsi="Times New Roman" w:cs="Times New Roman"/>
        </w:rPr>
        <w:t>,</w:t>
      </w:r>
      <w:r w:rsidR="00152968" w:rsidRPr="006F4C96">
        <w:rPr>
          <w:rFonts w:ascii="Times New Roman" w:hAnsi="Times New Roman" w:cs="Times New Roman"/>
          <w:vertAlign w:val="superscript"/>
        </w:rPr>
        <w:t>3,4,5,</w:t>
      </w:r>
      <w:r w:rsidR="000D2C6C" w:rsidRPr="006F4C96">
        <w:rPr>
          <w:rFonts w:ascii="Times New Roman" w:hAnsi="Times New Roman" w:cs="Times New Roman"/>
          <w:vertAlign w:val="superscript"/>
        </w:rPr>
        <w:t xml:space="preserve">6 </w:t>
      </w:r>
      <w:r w:rsidR="00E61249" w:rsidRPr="006F4C96">
        <w:rPr>
          <w:rFonts w:ascii="Times New Roman" w:hAnsi="Times New Roman" w:cs="Times New Roman"/>
        </w:rPr>
        <w:t xml:space="preserve">PhD, </w:t>
      </w:r>
      <w:r w:rsidRPr="006F4C96">
        <w:rPr>
          <w:rFonts w:ascii="Times New Roman" w:hAnsi="Times New Roman" w:cs="Times New Roman"/>
        </w:rPr>
        <w:t>John R Thompson</w:t>
      </w:r>
      <w:r w:rsidR="00E61249" w:rsidRPr="006F4C96">
        <w:rPr>
          <w:rFonts w:ascii="Times New Roman" w:hAnsi="Times New Roman" w:cs="Times New Roman"/>
        </w:rPr>
        <w:t>,</w:t>
      </w:r>
      <w:r w:rsidR="00152968" w:rsidRPr="006F4C96">
        <w:rPr>
          <w:rFonts w:ascii="Times New Roman" w:hAnsi="Times New Roman" w:cs="Times New Roman"/>
          <w:vertAlign w:val="superscript"/>
        </w:rPr>
        <w:t>7</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152968" w:rsidRPr="006F4C96">
        <w:rPr>
          <w:rFonts w:ascii="Times New Roman" w:hAnsi="Times New Roman" w:cs="Times New Roman"/>
        </w:rPr>
        <w:t xml:space="preserve">Elizabeth </w:t>
      </w:r>
      <w:r w:rsidR="00974758" w:rsidRPr="006F4C96">
        <w:rPr>
          <w:rFonts w:ascii="Times New Roman" w:hAnsi="Times New Roman" w:cs="Times New Roman"/>
        </w:rPr>
        <w:t xml:space="preserve">M </w:t>
      </w:r>
      <w:r w:rsidR="00152968" w:rsidRPr="006F4C96">
        <w:rPr>
          <w:rFonts w:ascii="Times New Roman" w:hAnsi="Times New Roman" w:cs="Times New Roman"/>
        </w:rPr>
        <w:t>Curtis</w:t>
      </w:r>
      <w:r w:rsidR="00E61249" w:rsidRPr="006F4C96">
        <w:rPr>
          <w:rFonts w:ascii="Times New Roman" w:hAnsi="Times New Roman" w:cs="Times New Roman"/>
        </w:rPr>
        <w:t>,</w:t>
      </w:r>
      <w:r w:rsidR="00152968" w:rsidRPr="006F4C96">
        <w:rPr>
          <w:rFonts w:ascii="Times New Roman" w:hAnsi="Times New Roman" w:cs="Times New Roman"/>
          <w:vertAlign w:val="superscript"/>
        </w:rPr>
        <w:t>8</w:t>
      </w:r>
      <w:r w:rsidR="00152968"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Angela M Wood</w:t>
      </w:r>
      <w:r w:rsidR="00E61249" w:rsidRPr="006F4C96">
        <w:rPr>
          <w:rFonts w:ascii="Times New Roman" w:hAnsi="Times New Roman" w:cs="Times New Roman"/>
        </w:rPr>
        <w:t>,</w:t>
      </w:r>
      <w:r w:rsidR="00E61249" w:rsidRPr="006F4C96">
        <w:rPr>
          <w:rFonts w:ascii="Times New Roman" w:hAnsi="Times New Roman" w:cs="Times New Roman"/>
          <w:vertAlign w:val="superscript"/>
        </w:rPr>
        <w:t>3,4,5,6</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John N Danesh</w:t>
      </w:r>
      <w:r w:rsidR="00E61249" w:rsidRPr="006F4C96">
        <w:rPr>
          <w:rFonts w:ascii="Times New Roman" w:hAnsi="Times New Roman" w:cs="Times New Roman"/>
        </w:rPr>
        <w:t>,</w:t>
      </w:r>
      <w:r w:rsidR="00152968" w:rsidRPr="006F4C96">
        <w:rPr>
          <w:rFonts w:ascii="Times New Roman" w:hAnsi="Times New Roman" w:cs="Times New Roman"/>
          <w:vertAlign w:val="superscript"/>
        </w:rPr>
        <w:t>3,4,5,6,</w:t>
      </w:r>
      <w:r w:rsidRPr="006F4C96">
        <w:rPr>
          <w:rFonts w:ascii="Times New Roman" w:hAnsi="Times New Roman" w:cs="Times New Roman"/>
          <w:vertAlign w:val="superscript"/>
        </w:rPr>
        <w:t>9</w:t>
      </w:r>
      <w:r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0D2C6C" w:rsidRPr="006F4C96">
        <w:rPr>
          <w:rFonts w:ascii="Times New Roman" w:hAnsi="Times New Roman" w:cs="Times New Roman"/>
        </w:rPr>
        <w:t>Nichol</w:t>
      </w:r>
      <w:r w:rsidR="00A96155" w:rsidRPr="006F4C96">
        <w:rPr>
          <w:rFonts w:ascii="Times New Roman" w:hAnsi="Times New Roman" w:cs="Times New Roman"/>
        </w:rPr>
        <w:t xml:space="preserve">as C </w:t>
      </w:r>
      <w:r w:rsidR="000D2C6C" w:rsidRPr="006F4C96">
        <w:rPr>
          <w:rFonts w:ascii="Times New Roman" w:hAnsi="Times New Roman" w:cs="Times New Roman"/>
        </w:rPr>
        <w:t>Harvey</w:t>
      </w:r>
      <w:r w:rsidR="00E61249" w:rsidRPr="006F4C96">
        <w:rPr>
          <w:rFonts w:ascii="Times New Roman" w:hAnsi="Times New Roman" w:cs="Times New Roman"/>
        </w:rPr>
        <w:t>,</w:t>
      </w:r>
      <w:r w:rsidR="00152968" w:rsidRPr="006F4C96">
        <w:rPr>
          <w:rFonts w:ascii="Times New Roman" w:hAnsi="Times New Roman" w:cs="Times New Roman"/>
          <w:vertAlign w:val="superscript"/>
        </w:rPr>
        <w:t>8,10</w:t>
      </w:r>
      <w:r w:rsidR="000D2C6C" w:rsidRPr="006F4C96">
        <w:rPr>
          <w:rFonts w:ascii="Times New Roman" w:hAnsi="Times New Roman" w:cs="Times New Roman"/>
        </w:rPr>
        <w:t xml:space="preserve"> </w:t>
      </w:r>
      <w:r w:rsidR="00E61249" w:rsidRPr="006F4C96">
        <w:rPr>
          <w:rFonts w:ascii="Times New Roman" w:hAnsi="Times New Roman" w:cs="Times New Roman"/>
        </w:rPr>
        <w:t xml:space="preserve">PhD, </w:t>
      </w:r>
      <w:r w:rsidR="000D2C6C" w:rsidRPr="006F4C96">
        <w:rPr>
          <w:rFonts w:ascii="Times New Roman" w:hAnsi="Times New Roman" w:cs="Times New Roman"/>
        </w:rPr>
        <w:t>Cyrus Cooper</w:t>
      </w:r>
      <w:r w:rsidR="00E61249" w:rsidRPr="006F4C96">
        <w:rPr>
          <w:rFonts w:ascii="Times New Roman" w:hAnsi="Times New Roman" w:cs="Times New Roman"/>
        </w:rPr>
        <w:t>,</w:t>
      </w:r>
      <w:r w:rsidR="00152968" w:rsidRPr="006F4C96">
        <w:rPr>
          <w:rFonts w:ascii="Times New Roman" w:hAnsi="Times New Roman" w:cs="Times New Roman"/>
          <w:vertAlign w:val="superscript"/>
        </w:rPr>
        <w:t>8,10,11</w:t>
      </w:r>
      <w:r w:rsidR="000D2C6C" w:rsidRPr="006F4C96">
        <w:rPr>
          <w:rFonts w:ascii="Times New Roman" w:hAnsi="Times New Roman" w:cs="Times New Roman"/>
        </w:rPr>
        <w:t xml:space="preserve"> </w:t>
      </w:r>
      <w:r w:rsidR="00E61249" w:rsidRPr="006F4C96">
        <w:rPr>
          <w:rFonts w:ascii="Times New Roman" w:hAnsi="Times New Roman" w:cs="Times New Roman"/>
        </w:rPr>
        <w:t xml:space="preserve">PhD, </w:t>
      </w:r>
      <w:r w:rsidRPr="006F4C96">
        <w:rPr>
          <w:rFonts w:ascii="Times New Roman" w:hAnsi="Times New Roman" w:cs="Times New Roman"/>
        </w:rPr>
        <w:t>Nilesh J Samani</w:t>
      </w:r>
      <w:r w:rsidR="00E61249" w:rsidRPr="006F4C96">
        <w:rPr>
          <w:rFonts w:ascii="Times New Roman" w:hAnsi="Times New Roman" w:cs="Times New Roman"/>
        </w:rPr>
        <w:t>,</w:t>
      </w:r>
      <w:r w:rsidRPr="006F4C96">
        <w:rPr>
          <w:rFonts w:ascii="Times New Roman" w:hAnsi="Times New Roman" w:cs="Times New Roman"/>
          <w:vertAlign w:val="superscript"/>
        </w:rPr>
        <w:t>1,2†</w:t>
      </w:r>
      <w:r w:rsidR="00E61249" w:rsidRPr="006F4C96">
        <w:rPr>
          <w:rFonts w:ascii="Times New Roman" w:hAnsi="Times New Roman" w:cs="Times New Roman"/>
        </w:rPr>
        <w:t xml:space="preserve"> PhD</w:t>
      </w:r>
    </w:p>
    <w:p w14:paraId="071ADD91" w14:textId="77777777" w:rsidR="00075F1E" w:rsidRPr="006F4C96" w:rsidRDefault="00075F1E" w:rsidP="00075F1E">
      <w:pPr>
        <w:spacing w:after="0" w:line="480" w:lineRule="auto"/>
        <w:rPr>
          <w:rFonts w:ascii="Times New Roman" w:hAnsi="Times New Roman" w:cs="Times New Roman"/>
        </w:rPr>
      </w:pPr>
    </w:p>
    <w:p w14:paraId="05C48A55" w14:textId="7912072A" w:rsidR="00A96155" w:rsidRPr="006F4C96" w:rsidRDefault="00A96155"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Department of Cardiovascular Sciences, University of Leicester, Leicester, UK</w:t>
      </w:r>
    </w:p>
    <w:p w14:paraId="5FFB931A" w14:textId="5A8ABBAC" w:rsidR="00A96155" w:rsidRPr="006F4C96" w:rsidRDefault="00A96155"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NIHR Leicester Biomedical Research Centre, Glenfield Hospital, Leicester, UK</w:t>
      </w:r>
    </w:p>
    <w:p w14:paraId="51473D70" w14:textId="40D0200B" w:rsidR="00A96155" w:rsidRPr="006F4C96" w:rsidRDefault="00A96155"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British Heart Foundation Cardiovascular Epidemiology Unit, Department of Public Health and Primary Care, University of Cambridge, Cambridge, UK</w:t>
      </w:r>
    </w:p>
    <w:p w14:paraId="350CC83B" w14:textId="746EEB97" w:rsidR="00A96155" w:rsidRPr="006F4C96" w:rsidRDefault="00A96155"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National Institute for Health Research Blood and Transplant Research Unit in Donor Health and Genomics, University of Cambridge, Cambridge, UK</w:t>
      </w:r>
    </w:p>
    <w:p w14:paraId="466A5168" w14:textId="230112DD" w:rsidR="00A96155" w:rsidRPr="006F4C96" w:rsidRDefault="00A96155"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British Heart Foundation Centre of Research Excellence, University of Cambridge, Cambridge, UK</w:t>
      </w:r>
    </w:p>
    <w:p w14:paraId="4933C402" w14:textId="446941F0"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Health Data Research UK Cambridge, Wellcome Genome Campus and University of Cambridge, Cambridge, UK</w:t>
      </w:r>
    </w:p>
    <w:p w14:paraId="7A79AF8E" w14:textId="232D949F"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Department of Health Sciences, University of Leicester, Leicester, UK</w:t>
      </w:r>
    </w:p>
    <w:p w14:paraId="0131D447" w14:textId="0757C155"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MRC Lifecourse Epidemiology Unit, University of Southampton, Southampton, UK</w:t>
      </w:r>
    </w:p>
    <w:p w14:paraId="180601A3" w14:textId="77777777"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Wellcome Sanger Institute, Wellcome Genome Campus, Hinxton, Cambridge, UK</w:t>
      </w:r>
    </w:p>
    <w:p w14:paraId="5B9FA412" w14:textId="6C7D251F"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NIHR Southampton Biomedical Research Centre, University of Southampton and University Hospital Southampton NHS Foundation Trust, Southampton, UK</w:t>
      </w:r>
    </w:p>
    <w:p w14:paraId="55445183" w14:textId="728CFC57" w:rsidR="00152968" w:rsidRPr="006F4C96" w:rsidRDefault="00152968" w:rsidP="008C738E">
      <w:pPr>
        <w:numPr>
          <w:ilvl w:val="0"/>
          <w:numId w:val="7"/>
        </w:numPr>
        <w:adjustRightInd w:val="0"/>
        <w:snapToGrid w:val="0"/>
        <w:spacing w:after="0" w:line="240" w:lineRule="auto"/>
        <w:ind w:left="426" w:hanging="426"/>
        <w:jc w:val="both"/>
        <w:rPr>
          <w:rFonts w:ascii="Times New Roman" w:hAnsi="Times New Roman" w:cs="Times New Roman"/>
        </w:rPr>
      </w:pPr>
      <w:r w:rsidRPr="006F4C96">
        <w:rPr>
          <w:rFonts w:ascii="Times New Roman" w:hAnsi="Times New Roman" w:cs="Times New Roman"/>
        </w:rPr>
        <w:t>NIHR Biomedical Research Centre, University of Oxford, Oxford, UK</w:t>
      </w:r>
    </w:p>
    <w:p w14:paraId="7A977E01" w14:textId="2EF6B77A" w:rsidR="00152968" w:rsidRPr="006F4C96" w:rsidRDefault="00152968" w:rsidP="00075F1E">
      <w:pPr>
        <w:adjustRightInd w:val="0"/>
        <w:snapToGrid w:val="0"/>
        <w:spacing w:after="0" w:line="480" w:lineRule="auto"/>
        <w:jc w:val="both"/>
        <w:rPr>
          <w:rFonts w:ascii="Times New Roman" w:hAnsi="Times New Roman" w:cs="Times New Roman"/>
        </w:rPr>
      </w:pPr>
    </w:p>
    <w:p w14:paraId="1EE83B9F" w14:textId="77777777" w:rsidR="00075F1E" w:rsidRPr="006F4C96" w:rsidRDefault="00152968" w:rsidP="00075F1E">
      <w:pPr>
        <w:spacing w:after="0" w:line="480" w:lineRule="auto"/>
        <w:rPr>
          <w:rFonts w:ascii="Times New Roman" w:hAnsi="Times New Roman" w:cs="Times New Roman"/>
        </w:rPr>
      </w:pPr>
      <w:r w:rsidRPr="006F4C96">
        <w:rPr>
          <w:rFonts w:ascii="Times New Roman" w:hAnsi="Times New Roman" w:cs="Times New Roman"/>
        </w:rPr>
        <w:t xml:space="preserve">† Correspondence should be addressed to: </w:t>
      </w:r>
    </w:p>
    <w:p w14:paraId="368F91D9" w14:textId="072F7812" w:rsidR="00075F1E" w:rsidRPr="006F4C96" w:rsidRDefault="00075F1E" w:rsidP="00075F1E">
      <w:pPr>
        <w:spacing w:after="0" w:line="480" w:lineRule="auto"/>
        <w:rPr>
          <w:rFonts w:ascii="Times New Roman" w:hAnsi="Times New Roman" w:cs="Times New Roman"/>
        </w:rPr>
      </w:pPr>
      <w:r w:rsidRPr="006F4C96">
        <w:rPr>
          <w:rFonts w:ascii="Times New Roman" w:hAnsi="Times New Roman" w:cs="Times New Roman"/>
        </w:rPr>
        <w:t>Professor Sir Nilesh J Samani</w:t>
      </w:r>
    </w:p>
    <w:p w14:paraId="55FA1A4A" w14:textId="77777777" w:rsidR="00075F1E" w:rsidRPr="006F4C96" w:rsidRDefault="00152968" w:rsidP="00075F1E">
      <w:pPr>
        <w:spacing w:after="0" w:line="480" w:lineRule="auto"/>
        <w:rPr>
          <w:rFonts w:ascii="Times New Roman" w:hAnsi="Times New Roman" w:cs="Times New Roman"/>
        </w:rPr>
      </w:pPr>
      <w:r w:rsidRPr="006F4C96">
        <w:rPr>
          <w:rFonts w:ascii="Times New Roman" w:hAnsi="Times New Roman" w:cs="Times New Roman"/>
        </w:rPr>
        <w:t xml:space="preserve">Department of Cardiovascular Sciences, </w:t>
      </w:r>
    </w:p>
    <w:p w14:paraId="7E3597C7" w14:textId="77777777" w:rsidR="00075F1E" w:rsidRPr="006F4C96" w:rsidRDefault="00152968" w:rsidP="00075F1E">
      <w:pPr>
        <w:spacing w:after="0" w:line="480" w:lineRule="auto"/>
        <w:rPr>
          <w:rFonts w:ascii="Times New Roman" w:hAnsi="Times New Roman" w:cs="Times New Roman"/>
        </w:rPr>
      </w:pPr>
      <w:r w:rsidRPr="006F4C96">
        <w:rPr>
          <w:rFonts w:ascii="Times New Roman" w:hAnsi="Times New Roman" w:cs="Times New Roman"/>
        </w:rPr>
        <w:t>University of Leicester, Leicester, UK</w:t>
      </w:r>
      <w:r w:rsidR="0003124C" w:rsidRPr="006F4C96">
        <w:rPr>
          <w:rFonts w:ascii="Times New Roman" w:hAnsi="Times New Roman" w:cs="Times New Roman"/>
        </w:rPr>
        <w:t xml:space="preserve">. </w:t>
      </w:r>
    </w:p>
    <w:p w14:paraId="13A4A633" w14:textId="5F5C97BA" w:rsidR="00152968" w:rsidRPr="006F4C96" w:rsidRDefault="0003124C" w:rsidP="00075F1E">
      <w:pPr>
        <w:spacing w:after="0" w:line="480" w:lineRule="auto"/>
        <w:rPr>
          <w:rFonts w:ascii="Times New Roman" w:hAnsi="Times New Roman" w:cs="Times New Roman"/>
          <w:sz w:val="24"/>
          <w:szCs w:val="24"/>
        </w:rPr>
      </w:pPr>
      <w:r w:rsidRPr="006F4C96">
        <w:rPr>
          <w:rFonts w:ascii="Times New Roman" w:hAnsi="Times New Roman" w:cs="Times New Roman"/>
        </w:rPr>
        <w:t xml:space="preserve">E-mail: </w:t>
      </w:r>
      <w:hyperlink r:id="rId8" w:history="1">
        <w:r w:rsidR="00152968" w:rsidRPr="006F4C96">
          <w:rPr>
            <w:rFonts w:ascii="Times New Roman" w:hAnsi="Times New Roman" w:cs="Times New Roman"/>
          </w:rPr>
          <w:t>njs@le.ac.uk</w:t>
        </w:r>
      </w:hyperlink>
      <w:r w:rsidRPr="006F4C96">
        <w:rPr>
          <w:rFonts w:ascii="Times New Roman" w:hAnsi="Times New Roman" w:cs="Times New Roman"/>
        </w:rPr>
        <w:t xml:space="preserve"> </w:t>
      </w:r>
    </w:p>
    <w:p w14:paraId="5117303A" w14:textId="77777777" w:rsidR="00965D81" w:rsidRPr="006F4C96" w:rsidRDefault="00965D81" w:rsidP="00075F1E">
      <w:pPr>
        <w:spacing w:after="0" w:line="480" w:lineRule="auto"/>
        <w:rPr>
          <w:rFonts w:ascii="Times New Roman" w:hAnsi="Times New Roman" w:cs="Times New Roman"/>
        </w:rPr>
      </w:pPr>
    </w:p>
    <w:p w14:paraId="5F21061C" w14:textId="6C706463" w:rsidR="00DE29D7" w:rsidRPr="006F4C96" w:rsidRDefault="00DE29D7" w:rsidP="00075F1E">
      <w:pPr>
        <w:spacing w:after="0" w:line="480" w:lineRule="auto"/>
        <w:rPr>
          <w:rFonts w:ascii="Times New Roman" w:hAnsi="Times New Roman" w:cs="Times New Roman"/>
        </w:rPr>
      </w:pPr>
      <w:r w:rsidRPr="006F4C96">
        <w:rPr>
          <w:rFonts w:ascii="Times New Roman" w:hAnsi="Times New Roman" w:cs="Times New Roman"/>
        </w:rPr>
        <w:t>Word</w:t>
      </w:r>
      <w:r w:rsidR="000441F4" w:rsidRPr="006F4C96">
        <w:rPr>
          <w:rFonts w:ascii="Times New Roman" w:hAnsi="Times New Roman" w:cs="Times New Roman"/>
        </w:rPr>
        <w:t xml:space="preserve"> </w:t>
      </w:r>
      <w:r w:rsidRPr="006F4C96">
        <w:rPr>
          <w:rFonts w:ascii="Times New Roman" w:hAnsi="Times New Roman" w:cs="Times New Roman"/>
        </w:rPr>
        <w:t>count</w:t>
      </w:r>
      <w:r w:rsidR="000441F4" w:rsidRPr="006F4C96">
        <w:rPr>
          <w:rFonts w:ascii="Times New Roman" w:hAnsi="Times New Roman" w:cs="Times New Roman"/>
        </w:rPr>
        <w:t xml:space="preserve"> </w:t>
      </w:r>
      <w:r w:rsidRPr="006F4C96">
        <w:rPr>
          <w:rFonts w:ascii="Times New Roman" w:hAnsi="Times New Roman" w:cs="Times New Roman"/>
        </w:rPr>
        <w:t>abstract/</w:t>
      </w:r>
      <w:r w:rsidR="000441F4" w:rsidRPr="006F4C96">
        <w:rPr>
          <w:rFonts w:ascii="Times New Roman" w:hAnsi="Times New Roman" w:cs="Times New Roman"/>
        </w:rPr>
        <w:t xml:space="preserve"> </w:t>
      </w:r>
      <w:r w:rsidRPr="006F4C96">
        <w:rPr>
          <w:rFonts w:ascii="Times New Roman" w:hAnsi="Times New Roman" w:cs="Times New Roman"/>
        </w:rPr>
        <w:t>main</w:t>
      </w:r>
      <w:r w:rsidR="000441F4" w:rsidRPr="006F4C96">
        <w:rPr>
          <w:rFonts w:ascii="Times New Roman" w:hAnsi="Times New Roman" w:cs="Times New Roman"/>
        </w:rPr>
        <w:t xml:space="preserve"> </w:t>
      </w:r>
      <w:r w:rsidRPr="006F4C96">
        <w:rPr>
          <w:rFonts w:ascii="Times New Roman" w:hAnsi="Times New Roman" w:cs="Times New Roman"/>
        </w:rPr>
        <w:t>text:</w:t>
      </w:r>
      <w:r w:rsidR="000441F4" w:rsidRPr="006F4C96">
        <w:rPr>
          <w:rFonts w:ascii="Times New Roman" w:hAnsi="Times New Roman" w:cs="Times New Roman"/>
        </w:rPr>
        <w:t xml:space="preserve"> </w:t>
      </w:r>
      <w:r w:rsidR="00456E04" w:rsidRPr="006F4C96">
        <w:rPr>
          <w:rFonts w:ascii="Times New Roman" w:hAnsi="Times New Roman" w:cs="Times New Roman"/>
        </w:rPr>
        <w:t>374</w:t>
      </w:r>
      <w:r w:rsidRPr="006F4C96">
        <w:rPr>
          <w:rFonts w:ascii="Times New Roman" w:hAnsi="Times New Roman" w:cs="Times New Roman"/>
        </w:rPr>
        <w:t>/</w:t>
      </w:r>
      <w:r w:rsidR="000441F4" w:rsidRPr="006F4C96">
        <w:rPr>
          <w:rFonts w:ascii="Times New Roman" w:hAnsi="Times New Roman" w:cs="Times New Roman"/>
        </w:rPr>
        <w:t xml:space="preserve"> </w:t>
      </w:r>
      <w:r w:rsidR="00456E04" w:rsidRPr="006F4C96">
        <w:rPr>
          <w:rFonts w:ascii="Times New Roman" w:hAnsi="Times New Roman" w:cs="Times New Roman"/>
        </w:rPr>
        <w:t>38</w:t>
      </w:r>
      <w:r w:rsidR="00FB0B62" w:rsidRPr="006F4C96">
        <w:rPr>
          <w:rFonts w:ascii="Times New Roman" w:hAnsi="Times New Roman" w:cs="Times New Roman"/>
        </w:rPr>
        <w:t>31</w:t>
      </w:r>
    </w:p>
    <w:p w14:paraId="10F45344" w14:textId="38D4FA7E" w:rsidR="00DE29D7" w:rsidRPr="006F4C96" w:rsidRDefault="00DE29D7" w:rsidP="00075F1E">
      <w:pPr>
        <w:spacing w:after="0" w:line="480" w:lineRule="auto"/>
        <w:rPr>
          <w:rFonts w:ascii="Times New Roman" w:hAnsi="Times New Roman" w:cs="Times New Roman"/>
        </w:rPr>
      </w:pPr>
      <w:r w:rsidRPr="006F4C96">
        <w:rPr>
          <w:rFonts w:ascii="Times New Roman" w:hAnsi="Times New Roman" w:cs="Times New Roman"/>
        </w:rPr>
        <w:t>Number</w:t>
      </w:r>
      <w:r w:rsidR="000441F4" w:rsidRPr="006F4C96">
        <w:rPr>
          <w:rFonts w:ascii="Times New Roman" w:hAnsi="Times New Roman" w:cs="Times New Roman"/>
        </w:rPr>
        <w:t xml:space="preserve"> </w:t>
      </w:r>
      <w:r w:rsidRPr="006F4C96">
        <w:rPr>
          <w:rFonts w:ascii="Times New Roman" w:hAnsi="Times New Roman" w:cs="Times New Roman"/>
        </w:rPr>
        <w:t>of</w:t>
      </w:r>
      <w:r w:rsidR="000441F4" w:rsidRPr="006F4C96">
        <w:rPr>
          <w:rFonts w:ascii="Times New Roman" w:hAnsi="Times New Roman" w:cs="Times New Roman"/>
        </w:rPr>
        <w:t xml:space="preserve"> </w:t>
      </w:r>
      <w:r w:rsidRPr="006F4C96">
        <w:rPr>
          <w:rFonts w:ascii="Times New Roman" w:hAnsi="Times New Roman" w:cs="Times New Roman"/>
        </w:rPr>
        <w:t>tables/</w:t>
      </w:r>
      <w:r w:rsidR="000441F4" w:rsidRPr="006F4C96">
        <w:rPr>
          <w:rFonts w:ascii="Times New Roman" w:hAnsi="Times New Roman" w:cs="Times New Roman"/>
        </w:rPr>
        <w:t xml:space="preserve"> </w:t>
      </w:r>
      <w:r w:rsidRPr="006F4C96">
        <w:rPr>
          <w:rFonts w:ascii="Times New Roman" w:hAnsi="Times New Roman" w:cs="Times New Roman"/>
        </w:rPr>
        <w:t>figures:</w:t>
      </w:r>
      <w:r w:rsidR="000441F4" w:rsidRPr="006F4C96">
        <w:rPr>
          <w:rFonts w:ascii="Times New Roman" w:hAnsi="Times New Roman" w:cs="Times New Roman"/>
        </w:rPr>
        <w:t xml:space="preserve"> </w:t>
      </w:r>
      <w:r w:rsidR="00D17EE0" w:rsidRPr="006F4C96">
        <w:rPr>
          <w:rFonts w:ascii="Times New Roman" w:hAnsi="Times New Roman" w:cs="Times New Roman"/>
        </w:rPr>
        <w:t>4</w:t>
      </w:r>
      <w:r w:rsidRPr="006F4C96">
        <w:rPr>
          <w:rFonts w:ascii="Times New Roman" w:hAnsi="Times New Roman" w:cs="Times New Roman"/>
        </w:rPr>
        <w:t>/</w:t>
      </w:r>
      <w:r w:rsidR="000441F4" w:rsidRPr="006F4C96">
        <w:rPr>
          <w:rFonts w:ascii="Times New Roman" w:hAnsi="Times New Roman" w:cs="Times New Roman"/>
        </w:rPr>
        <w:t xml:space="preserve"> </w:t>
      </w:r>
      <w:r w:rsidR="00E61200" w:rsidRPr="006F4C96">
        <w:rPr>
          <w:rFonts w:ascii="Times New Roman" w:hAnsi="Times New Roman" w:cs="Times New Roman"/>
        </w:rPr>
        <w:t>3</w:t>
      </w:r>
    </w:p>
    <w:p w14:paraId="082B0B2F" w14:textId="271401FC" w:rsidR="00DE29D7" w:rsidRPr="006F4C96" w:rsidRDefault="00DE29D7" w:rsidP="00075F1E">
      <w:pPr>
        <w:spacing w:after="0" w:line="480" w:lineRule="auto"/>
        <w:rPr>
          <w:rFonts w:ascii="Times New Roman" w:hAnsi="Times New Roman" w:cs="Times New Roman"/>
        </w:rPr>
      </w:pPr>
      <w:r w:rsidRPr="006F4C96">
        <w:rPr>
          <w:rFonts w:ascii="Times New Roman" w:hAnsi="Times New Roman" w:cs="Times New Roman"/>
        </w:rPr>
        <w:t>Supplementary</w:t>
      </w:r>
      <w:r w:rsidR="000441F4" w:rsidRPr="006F4C96">
        <w:rPr>
          <w:rFonts w:ascii="Times New Roman" w:hAnsi="Times New Roman" w:cs="Times New Roman"/>
        </w:rPr>
        <w:t xml:space="preserve"> </w:t>
      </w:r>
      <w:r w:rsidRPr="006F4C96">
        <w:rPr>
          <w:rFonts w:ascii="Times New Roman" w:hAnsi="Times New Roman" w:cs="Times New Roman"/>
        </w:rPr>
        <w:t>material:</w:t>
      </w:r>
      <w:r w:rsidR="000441F4" w:rsidRPr="006F4C96">
        <w:rPr>
          <w:rFonts w:ascii="Times New Roman" w:hAnsi="Times New Roman" w:cs="Times New Roman"/>
        </w:rPr>
        <w:t xml:space="preserve"> </w:t>
      </w:r>
      <w:r w:rsidRPr="006F4C96">
        <w:rPr>
          <w:rFonts w:ascii="Times New Roman" w:hAnsi="Times New Roman" w:cs="Times New Roman"/>
        </w:rPr>
        <w:t>Yes</w:t>
      </w:r>
    </w:p>
    <w:p w14:paraId="5AAB987D" w14:textId="77777777" w:rsidR="00D639C9" w:rsidRPr="006F4C96" w:rsidRDefault="00D639C9" w:rsidP="008C738E">
      <w:pPr>
        <w:spacing w:after="0"/>
        <w:rPr>
          <w:rFonts w:ascii="Times New Roman" w:hAnsi="Times New Roman" w:cs="Times New Roman"/>
        </w:rPr>
      </w:pPr>
      <w:r w:rsidRPr="006F4C96">
        <w:rPr>
          <w:rFonts w:ascii="Times New Roman" w:hAnsi="Times New Roman" w:cs="Times New Roman"/>
        </w:rPr>
        <w:br w:type="page"/>
      </w:r>
    </w:p>
    <w:p w14:paraId="33EAE0FE" w14:textId="77777777" w:rsidR="008C738E" w:rsidRPr="006F4C96" w:rsidRDefault="008C738E" w:rsidP="008C738E">
      <w:pPr>
        <w:spacing w:after="0" w:line="480" w:lineRule="auto"/>
        <w:rPr>
          <w:rFonts w:ascii="Times New Roman" w:hAnsi="Times New Roman" w:cs="Times New Roman"/>
          <w:b/>
          <w:sz w:val="24"/>
        </w:rPr>
        <w:sectPr w:rsidR="008C738E" w:rsidRPr="006F4C96" w:rsidSect="009566D9">
          <w:footerReference w:type="default" r:id="rId9"/>
          <w:pgSz w:w="11906" w:h="16838"/>
          <w:pgMar w:top="1440" w:right="1440" w:bottom="1440" w:left="1440" w:header="708" w:footer="708" w:gutter="0"/>
          <w:pgNumType w:start="0"/>
          <w:cols w:space="708"/>
          <w:docGrid w:linePitch="360"/>
        </w:sectPr>
      </w:pPr>
    </w:p>
    <w:p w14:paraId="176C3F62" w14:textId="4C2EA132" w:rsidR="0003124C" w:rsidRPr="006F4C96" w:rsidRDefault="0003124C" w:rsidP="008C738E">
      <w:pPr>
        <w:spacing w:after="0" w:line="480" w:lineRule="auto"/>
        <w:rPr>
          <w:rFonts w:ascii="Times New Roman" w:hAnsi="Times New Roman" w:cs="Times New Roman"/>
          <w:b/>
        </w:rPr>
      </w:pPr>
      <w:r w:rsidRPr="006F4C96">
        <w:rPr>
          <w:rFonts w:ascii="Times New Roman" w:hAnsi="Times New Roman" w:cs="Times New Roman"/>
          <w:b/>
          <w:sz w:val="24"/>
        </w:rPr>
        <w:lastRenderedPageBreak/>
        <w:t>Abstract</w:t>
      </w:r>
    </w:p>
    <w:p w14:paraId="2EC843C2" w14:textId="6DE1901F" w:rsidR="0003124C" w:rsidRPr="006F4C96" w:rsidRDefault="00E61200" w:rsidP="008C738E">
      <w:pPr>
        <w:spacing w:after="0" w:line="480" w:lineRule="auto"/>
        <w:rPr>
          <w:rFonts w:ascii="Times New Roman" w:hAnsi="Times New Roman" w:cs="Times New Roman"/>
        </w:rPr>
      </w:pPr>
      <w:r w:rsidRPr="006F4C96">
        <w:rPr>
          <w:rFonts w:ascii="Times New Roman" w:hAnsi="Times New Roman" w:cs="Times New Roman"/>
          <w:b/>
        </w:rPr>
        <w:t>Background</w:t>
      </w:r>
      <w:r w:rsidR="0003124C" w:rsidRPr="006F4C96">
        <w:rPr>
          <w:rFonts w:ascii="Times New Roman" w:hAnsi="Times New Roman" w:cs="Times New Roman"/>
          <w:b/>
        </w:rPr>
        <w:t>:</w:t>
      </w:r>
      <w:r w:rsidR="0003124C" w:rsidRPr="006F4C96">
        <w:rPr>
          <w:rFonts w:ascii="Times New Roman" w:hAnsi="Times New Roman" w:cs="Times New Roman"/>
        </w:rPr>
        <w:t xml:space="preserve"> </w:t>
      </w:r>
      <w:r w:rsidR="00E614C4" w:rsidRPr="006F4C96">
        <w:rPr>
          <w:rFonts w:ascii="Times New Roman" w:hAnsi="Times New Roman" w:cs="Times New Roman"/>
          <w:szCs w:val="20"/>
        </w:rPr>
        <w:t>Frailty is a multidimensional syndrome of decline that affects multiple systems and predisposes</w:t>
      </w:r>
      <w:r w:rsidR="00E614C4" w:rsidRPr="006F4C96">
        <w:rPr>
          <w:rFonts w:ascii="Times New Roman" w:hAnsi="Times New Roman" w:cs="Times New Roman"/>
          <w:szCs w:val="20"/>
          <w:vertAlign w:val="superscript"/>
        </w:rPr>
        <w:t xml:space="preserve"> </w:t>
      </w:r>
      <w:r w:rsidR="00E614C4" w:rsidRPr="006F4C96">
        <w:rPr>
          <w:rFonts w:ascii="Times New Roman" w:hAnsi="Times New Roman" w:cs="Times New Roman"/>
          <w:szCs w:val="20"/>
        </w:rPr>
        <w:t xml:space="preserve">to adverse health outcomes. Although chronological age is the major risk factor, inter-individual variation in risk is not fully understood. </w:t>
      </w:r>
      <w:r w:rsidR="0003124C" w:rsidRPr="006F4C96">
        <w:rPr>
          <w:rFonts w:ascii="Times New Roman" w:hAnsi="Times New Roman" w:cs="Times New Roman"/>
        </w:rPr>
        <w:t>Leucocyte telomere length (LTL</w:t>
      </w:r>
      <w:r w:rsidR="00BC303B" w:rsidRPr="006F4C96">
        <w:rPr>
          <w:rFonts w:ascii="Times New Roman" w:hAnsi="Times New Roman" w:cs="Times New Roman"/>
        </w:rPr>
        <w:t>)</w:t>
      </w:r>
      <w:r w:rsidR="00E46CF1" w:rsidRPr="006F4C96">
        <w:rPr>
          <w:rFonts w:ascii="Times New Roman" w:hAnsi="Times New Roman" w:cs="Times New Roman"/>
        </w:rPr>
        <w:t xml:space="preserve">, a proposed </w:t>
      </w:r>
      <w:r w:rsidR="0003124C" w:rsidRPr="006F4C96">
        <w:rPr>
          <w:rFonts w:ascii="Times New Roman" w:hAnsi="Times New Roman" w:cs="Times New Roman"/>
        </w:rPr>
        <w:t>marker of biological age</w:t>
      </w:r>
      <w:r w:rsidR="00436D65" w:rsidRPr="006F4C96">
        <w:rPr>
          <w:rFonts w:ascii="Times New Roman" w:hAnsi="Times New Roman" w:cs="Times New Roman"/>
        </w:rPr>
        <w:t>,</w:t>
      </w:r>
      <w:r w:rsidR="00BC303B" w:rsidRPr="006F4C96">
        <w:rPr>
          <w:rFonts w:ascii="Times New Roman" w:hAnsi="Times New Roman" w:cs="Times New Roman"/>
        </w:rPr>
        <w:t xml:space="preserve"> </w:t>
      </w:r>
      <w:r w:rsidR="0003124C" w:rsidRPr="006F4C96">
        <w:rPr>
          <w:rFonts w:ascii="Times New Roman" w:hAnsi="Times New Roman" w:cs="Times New Roman"/>
        </w:rPr>
        <w:t xml:space="preserve">has been associated with risk of many diseases. </w:t>
      </w:r>
      <w:r w:rsidRPr="006F4C96">
        <w:rPr>
          <w:rFonts w:ascii="Times New Roman" w:hAnsi="Times New Roman" w:cs="Times New Roman"/>
        </w:rPr>
        <w:t>We sought t</w:t>
      </w:r>
      <w:r w:rsidR="00BC303B" w:rsidRPr="006F4C96">
        <w:rPr>
          <w:rFonts w:ascii="Times New Roman" w:hAnsi="Times New Roman" w:cs="Times New Roman"/>
        </w:rPr>
        <w:t xml:space="preserve">o </w:t>
      </w:r>
      <w:r w:rsidR="00E614C4" w:rsidRPr="006F4C96">
        <w:rPr>
          <w:rFonts w:ascii="Times New Roman" w:hAnsi="Times New Roman" w:cs="Times New Roman"/>
        </w:rPr>
        <w:t>determine</w:t>
      </w:r>
      <w:r w:rsidR="0003124C" w:rsidRPr="006F4C96">
        <w:rPr>
          <w:rFonts w:ascii="Times New Roman" w:hAnsi="Times New Roman" w:cs="Times New Roman"/>
        </w:rPr>
        <w:t xml:space="preserve"> whether LTL is associated with risk of frailty</w:t>
      </w:r>
      <w:r w:rsidR="00BC303B" w:rsidRPr="006F4C96">
        <w:rPr>
          <w:rFonts w:ascii="Times New Roman" w:hAnsi="Times New Roman" w:cs="Times New Roman"/>
        </w:rPr>
        <w:t xml:space="preserve">. </w:t>
      </w:r>
    </w:p>
    <w:p w14:paraId="53DC22F2" w14:textId="7282C7D2" w:rsidR="0003124C" w:rsidRPr="006F4C96" w:rsidRDefault="00E61200" w:rsidP="008C738E">
      <w:pPr>
        <w:spacing w:after="0" w:line="480" w:lineRule="auto"/>
        <w:rPr>
          <w:rFonts w:ascii="Times New Roman" w:hAnsi="Times New Roman" w:cs="Times New Roman"/>
        </w:rPr>
      </w:pPr>
      <w:r w:rsidRPr="006F4C96">
        <w:rPr>
          <w:rFonts w:ascii="Times New Roman" w:hAnsi="Times New Roman" w:cs="Times New Roman"/>
          <w:b/>
        </w:rPr>
        <w:t>Methods:</w:t>
      </w:r>
      <w:r w:rsidR="0003124C" w:rsidRPr="006F4C96">
        <w:rPr>
          <w:rFonts w:ascii="Times New Roman" w:hAnsi="Times New Roman" w:cs="Times New Roman"/>
        </w:rPr>
        <w:t xml:space="preserve"> </w:t>
      </w:r>
      <w:r w:rsidRPr="006F4C96">
        <w:rPr>
          <w:rFonts w:ascii="Times New Roman" w:hAnsi="Times New Roman" w:cs="Times New Roman"/>
        </w:rPr>
        <w:t>We utilised c</w:t>
      </w:r>
      <w:r w:rsidR="0003124C" w:rsidRPr="006F4C96">
        <w:rPr>
          <w:rFonts w:ascii="Times New Roman" w:hAnsi="Times New Roman" w:cs="Times New Roman"/>
        </w:rPr>
        <w:t xml:space="preserve">ross–sectional </w:t>
      </w:r>
      <w:r w:rsidRPr="006F4C96">
        <w:rPr>
          <w:rFonts w:ascii="Times New Roman" w:hAnsi="Times New Roman" w:cs="Times New Roman"/>
        </w:rPr>
        <w:t>data from 441,781 UK Biobank participants (aged 40–</w:t>
      </w:r>
      <w:r w:rsidR="00EB408F" w:rsidRPr="006F4C96">
        <w:rPr>
          <w:rFonts w:ascii="Times New Roman" w:hAnsi="Times New Roman" w:cs="Times New Roman"/>
        </w:rPr>
        <w:t>69</w:t>
      </w:r>
      <w:r w:rsidRPr="006F4C96">
        <w:rPr>
          <w:rFonts w:ascii="Times New Roman" w:hAnsi="Times New Roman" w:cs="Times New Roman"/>
        </w:rPr>
        <w:t xml:space="preserve"> years), with complete data on frailty indicators and LTL. Frailty was defined as the presence of at least three of five indicators: weaker grip strength, slower walking pace, weight loss in the past year, lower physical activity, and exhaustion in the past two weeks. </w:t>
      </w:r>
      <w:r w:rsidR="009F3F0B" w:rsidRPr="006F4C96">
        <w:rPr>
          <w:rFonts w:ascii="Times New Roman" w:hAnsi="Times New Roman" w:cs="Times New Roman"/>
        </w:rPr>
        <w:t xml:space="preserve">LTL </w:t>
      </w:r>
      <w:r w:rsidR="00436D65" w:rsidRPr="006F4C96">
        <w:rPr>
          <w:rFonts w:ascii="Times New Roman" w:hAnsi="Times New Roman" w:cs="Times New Roman"/>
        </w:rPr>
        <w:t xml:space="preserve">was </w:t>
      </w:r>
      <w:r w:rsidR="009F3F0B" w:rsidRPr="006F4C96">
        <w:rPr>
          <w:rFonts w:ascii="Times New Roman" w:hAnsi="Times New Roman" w:cs="Times New Roman"/>
        </w:rPr>
        <w:t xml:space="preserve">measured using a </w:t>
      </w:r>
      <w:r w:rsidR="009F3F0B" w:rsidRPr="006F4C96">
        <w:rPr>
          <w:rFonts w:ascii="Times New Roman" w:eastAsia="Times New Roman" w:hAnsi="Times New Roman" w:cs="Times New Roman"/>
          <w:szCs w:val="20"/>
          <w:lang w:eastAsia="en-GB"/>
        </w:rPr>
        <w:t xml:space="preserve">validated qPCR method and reported as a ratio of the </w:t>
      </w:r>
      <w:r w:rsidR="009F3F0B" w:rsidRPr="006F4C96">
        <w:rPr>
          <w:rFonts w:ascii="Times New Roman" w:hAnsi="Times New Roman" w:cs="Times New Roman"/>
          <w:szCs w:val="20"/>
        </w:rPr>
        <w:t>telomere repeat number (T) to a single–copy gene (S) (T/S ratio).</w:t>
      </w:r>
      <w:r w:rsidRPr="006F4C96">
        <w:rPr>
          <w:rFonts w:ascii="Times New Roman" w:hAnsi="Times New Roman" w:cs="Times New Roman"/>
        </w:rPr>
        <w:t xml:space="preserve"> </w:t>
      </w:r>
      <w:r w:rsidR="00E614C4" w:rsidRPr="006F4C96">
        <w:rPr>
          <w:rFonts w:ascii="Times New Roman" w:hAnsi="Times New Roman" w:cs="Times New Roman"/>
        </w:rPr>
        <w:t>A</w:t>
      </w:r>
      <w:r w:rsidR="0003124C" w:rsidRPr="006F4C96">
        <w:rPr>
          <w:rFonts w:ascii="Times New Roman" w:hAnsi="Times New Roman" w:cs="Times New Roman"/>
        </w:rPr>
        <w:t xml:space="preserve">ssociation of LTL with frailty </w:t>
      </w:r>
      <w:r w:rsidR="00E614C4" w:rsidRPr="006F4C96">
        <w:rPr>
          <w:rFonts w:ascii="Times New Roman" w:hAnsi="Times New Roman" w:cs="Times New Roman"/>
        </w:rPr>
        <w:t xml:space="preserve">was evaluated </w:t>
      </w:r>
      <w:r w:rsidR="0003124C" w:rsidRPr="006F4C96">
        <w:rPr>
          <w:rFonts w:ascii="Times New Roman" w:hAnsi="Times New Roman" w:cs="Times New Roman"/>
        </w:rPr>
        <w:t>using adjusted (chronological age, sex, deprivation, smoking, alcohol intake, body mass index, multimorbidity) multinomial and ordinal regression models</w:t>
      </w:r>
      <w:r w:rsidR="001B636D" w:rsidRPr="006F4C96">
        <w:rPr>
          <w:rFonts w:ascii="Times New Roman" w:hAnsi="Times New Roman" w:cs="Times New Roman"/>
        </w:rPr>
        <w:t xml:space="preserve"> and results are presented as relative risk (RRR) or odds ratios (OR), respectively, alongside the 95% confidence interval (CI)</w:t>
      </w:r>
      <w:r w:rsidR="0003124C" w:rsidRPr="006F4C96">
        <w:rPr>
          <w:rFonts w:ascii="Times New Roman" w:hAnsi="Times New Roman" w:cs="Times New Roman"/>
        </w:rPr>
        <w:t xml:space="preserve">. Mendelian randomisation (MR), using 131 genetic variants associated with LTL, </w:t>
      </w:r>
      <w:r w:rsidR="009F3F0B" w:rsidRPr="006F4C96">
        <w:rPr>
          <w:rFonts w:ascii="Times New Roman" w:hAnsi="Times New Roman" w:cs="Times New Roman"/>
        </w:rPr>
        <w:t xml:space="preserve">was used </w:t>
      </w:r>
      <w:r w:rsidR="0003124C" w:rsidRPr="006F4C96">
        <w:rPr>
          <w:rFonts w:ascii="Times New Roman" w:hAnsi="Times New Roman" w:cs="Times New Roman"/>
        </w:rPr>
        <w:t>to assess if the association of LTL with frailty was causal.</w:t>
      </w:r>
      <w:r w:rsidR="001B636D" w:rsidRPr="006F4C96">
        <w:rPr>
          <w:rFonts w:ascii="Times New Roman" w:hAnsi="Times New Roman" w:cs="Times New Roman"/>
        </w:rPr>
        <w:t xml:space="preserve"> </w:t>
      </w:r>
    </w:p>
    <w:p w14:paraId="3F3583F7" w14:textId="0657A6E2" w:rsidR="0003124C" w:rsidRPr="006F4C96" w:rsidRDefault="00BC303B" w:rsidP="00051248">
      <w:pPr>
        <w:spacing w:after="0" w:line="480" w:lineRule="auto"/>
        <w:rPr>
          <w:rFonts w:ascii="Times New Roman" w:hAnsi="Times New Roman" w:cs="Times New Roman"/>
        </w:rPr>
      </w:pPr>
      <w:r w:rsidRPr="006F4C96">
        <w:rPr>
          <w:rFonts w:ascii="Times New Roman" w:hAnsi="Times New Roman" w:cs="Times New Roman"/>
          <w:b/>
        </w:rPr>
        <w:t>Results</w:t>
      </w:r>
      <w:r w:rsidR="0003124C" w:rsidRPr="006F4C96">
        <w:rPr>
          <w:rFonts w:ascii="Times New Roman" w:hAnsi="Times New Roman" w:cs="Times New Roman"/>
          <w:b/>
        </w:rPr>
        <w:t xml:space="preserve">: </w:t>
      </w:r>
      <w:r w:rsidR="0003124C" w:rsidRPr="006F4C96">
        <w:rPr>
          <w:rFonts w:ascii="Times New Roman" w:hAnsi="Times New Roman" w:cs="Times New Roman"/>
        </w:rPr>
        <w:t>Frail participants (4</w:t>
      </w:r>
      <w:r w:rsidR="000E3CF2" w:rsidRPr="006F4C96">
        <w:rPr>
          <w:rFonts w:ascii="Times New Roman" w:hAnsi="Times New Roman" w:cs="Times New Roman"/>
        </w:rPr>
        <w:t>.</w:t>
      </w:r>
      <w:r w:rsidR="0003124C" w:rsidRPr="006F4C96">
        <w:rPr>
          <w:rFonts w:ascii="Times New Roman" w:hAnsi="Times New Roman" w:cs="Times New Roman"/>
        </w:rPr>
        <w:t>6%) were older (median age difference (95% CI): 3 (2</w:t>
      </w:r>
      <w:r w:rsidR="000E3CF2" w:rsidRPr="006F4C96">
        <w:rPr>
          <w:rFonts w:ascii="Times New Roman" w:hAnsi="Times New Roman" w:cs="Times New Roman"/>
        </w:rPr>
        <w:t>.</w:t>
      </w:r>
      <w:r w:rsidR="0003124C" w:rsidRPr="006F4C96">
        <w:rPr>
          <w:rFonts w:ascii="Times New Roman" w:hAnsi="Times New Roman" w:cs="Times New Roman"/>
        </w:rPr>
        <w:t>5; 3</w:t>
      </w:r>
      <w:r w:rsidR="000E3CF2" w:rsidRPr="006F4C96">
        <w:rPr>
          <w:rFonts w:ascii="Times New Roman" w:hAnsi="Times New Roman" w:cs="Times New Roman"/>
        </w:rPr>
        <w:t>.</w:t>
      </w:r>
      <w:r w:rsidR="0003124C" w:rsidRPr="006F4C96">
        <w:rPr>
          <w:rFonts w:ascii="Times New Roman" w:hAnsi="Times New Roman" w:cs="Times New Roman"/>
        </w:rPr>
        <w:t>5) years</w:t>
      </w:r>
      <w:r w:rsidR="00744A1D" w:rsidRPr="006F4C96">
        <w:rPr>
          <w:rFonts w:ascii="Times New Roman" w:hAnsi="Times New Roman" w:cs="Times New Roman"/>
        </w:rPr>
        <w:t>,</w:t>
      </w:r>
      <w:r w:rsidR="00EF7BF7" w:rsidRPr="006F4C96">
        <w:rPr>
          <w:rFonts w:ascii="Times New Roman" w:hAnsi="Times New Roman" w:cs="Times New Roman"/>
        </w:rPr>
        <w:t xml:space="preserve"> p=2.73x10</w:t>
      </w:r>
      <w:r w:rsidR="00EF7BF7" w:rsidRPr="006F4C96">
        <w:rPr>
          <w:rFonts w:ascii="Times New Roman" w:hAnsi="Times New Roman" w:cs="Times New Roman"/>
          <w:vertAlign w:val="superscript"/>
        </w:rPr>
        <w:t>-33</w:t>
      </w:r>
      <w:r w:rsidR="0003124C" w:rsidRPr="006F4C96">
        <w:rPr>
          <w:rFonts w:ascii="Times New Roman" w:hAnsi="Times New Roman" w:cs="Times New Roman"/>
        </w:rPr>
        <w:t>), more likely to be female (61%</w:t>
      </w:r>
      <w:r w:rsidR="00744A1D" w:rsidRPr="006F4C96">
        <w:rPr>
          <w:rFonts w:ascii="Times New Roman" w:hAnsi="Times New Roman" w:cs="Times New Roman"/>
        </w:rPr>
        <w:t>, p=1.97x10</w:t>
      </w:r>
      <w:r w:rsidR="00744A1D" w:rsidRPr="006F4C96">
        <w:rPr>
          <w:rFonts w:ascii="Times New Roman" w:hAnsi="Times New Roman" w:cs="Times New Roman"/>
          <w:vertAlign w:val="superscript"/>
        </w:rPr>
        <w:t>-129</w:t>
      </w:r>
      <w:r w:rsidR="0003124C" w:rsidRPr="006F4C96">
        <w:rPr>
          <w:rFonts w:ascii="Times New Roman" w:hAnsi="Times New Roman" w:cs="Times New Roman"/>
        </w:rPr>
        <w:t>), and had shorter LTL (-0</w:t>
      </w:r>
      <w:r w:rsidR="000E3CF2" w:rsidRPr="006F4C96">
        <w:rPr>
          <w:rFonts w:ascii="Times New Roman" w:hAnsi="Times New Roman" w:cs="Times New Roman"/>
        </w:rPr>
        <w:t>.</w:t>
      </w:r>
      <w:r w:rsidR="0003124C" w:rsidRPr="006F4C96">
        <w:rPr>
          <w:rFonts w:ascii="Times New Roman" w:hAnsi="Times New Roman" w:cs="Times New Roman"/>
        </w:rPr>
        <w:t>13SD vs 0</w:t>
      </w:r>
      <w:r w:rsidR="000E3CF2" w:rsidRPr="006F4C96">
        <w:rPr>
          <w:rFonts w:ascii="Times New Roman" w:hAnsi="Times New Roman" w:cs="Times New Roman"/>
        </w:rPr>
        <w:t>.</w:t>
      </w:r>
      <w:r w:rsidR="0003124C" w:rsidRPr="006F4C96">
        <w:rPr>
          <w:rFonts w:ascii="Times New Roman" w:hAnsi="Times New Roman" w:cs="Times New Roman"/>
        </w:rPr>
        <w:t>03SD</w:t>
      </w:r>
      <w:r w:rsidR="00744A1D" w:rsidRPr="006F4C96">
        <w:rPr>
          <w:rFonts w:ascii="Times New Roman" w:hAnsi="Times New Roman" w:cs="Times New Roman"/>
        </w:rPr>
        <w:t>, p=5.43x10</w:t>
      </w:r>
      <w:r w:rsidR="00744A1D" w:rsidRPr="006F4C96">
        <w:rPr>
          <w:rFonts w:ascii="Times New Roman" w:hAnsi="Times New Roman" w:cs="Times New Roman"/>
          <w:vertAlign w:val="superscript"/>
        </w:rPr>
        <w:t>-111</w:t>
      </w:r>
      <w:r w:rsidR="0003124C" w:rsidRPr="006F4C96">
        <w:rPr>
          <w:rFonts w:ascii="Times New Roman" w:hAnsi="Times New Roman" w:cs="Times New Roman"/>
        </w:rPr>
        <w:t>) than non–frail. In adjusted analyses, both age and LTL were associated with frailty (</w:t>
      </w:r>
      <w:r w:rsidR="00D11080" w:rsidRPr="006F4C96">
        <w:rPr>
          <w:rFonts w:ascii="Times New Roman" w:hAnsi="Times New Roman" w:cs="Times New Roman"/>
        </w:rPr>
        <w:t>RRR</w:t>
      </w:r>
      <w:r w:rsidR="0003124C" w:rsidRPr="006F4C96">
        <w:rPr>
          <w:rFonts w:ascii="Times New Roman" w:hAnsi="Times New Roman" w:cs="Times New Roman"/>
        </w:rPr>
        <w:t>=1</w:t>
      </w:r>
      <w:r w:rsidR="000E3CF2" w:rsidRPr="006F4C96">
        <w:rPr>
          <w:rFonts w:ascii="Times New Roman" w:hAnsi="Times New Roman" w:cs="Times New Roman"/>
        </w:rPr>
        <w:t>.</w:t>
      </w:r>
      <w:r w:rsidR="0003124C" w:rsidRPr="006F4C96">
        <w:rPr>
          <w:rFonts w:ascii="Times New Roman" w:hAnsi="Times New Roman" w:cs="Times New Roman"/>
        </w:rPr>
        <w:t>03 (95%CI: 1</w:t>
      </w:r>
      <w:r w:rsidR="000E3CF2" w:rsidRPr="006F4C96">
        <w:rPr>
          <w:rFonts w:ascii="Times New Roman" w:hAnsi="Times New Roman" w:cs="Times New Roman"/>
        </w:rPr>
        <w:t>.</w:t>
      </w:r>
      <w:r w:rsidR="0003124C" w:rsidRPr="006F4C96">
        <w:rPr>
          <w:rFonts w:ascii="Times New Roman" w:hAnsi="Times New Roman" w:cs="Times New Roman"/>
        </w:rPr>
        <w:t>02–1</w:t>
      </w:r>
      <w:r w:rsidR="000E3CF2" w:rsidRPr="006F4C96">
        <w:rPr>
          <w:rFonts w:ascii="Times New Roman" w:hAnsi="Times New Roman" w:cs="Times New Roman"/>
        </w:rPr>
        <w:t>.</w:t>
      </w:r>
      <w:r w:rsidR="0003124C" w:rsidRPr="006F4C96">
        <w:rPr>
          <w:rFonts w:ascii="Times New Roman" w:hAnsi="Times New Roman" w:cs="Times New Roman"/>
        </w:rPr>
        <w:t>04) per year of older chronological age</w:t>
      </w:r>
      <w:r w:rsidR="00C51B7C" w:rsidRPr="006F4C96">
        <w:rPr>
          <w:rFonts w:ascii="Times New Roman" w:hAnsi="Times New Roman" w:cs="Times New Roman"/>
        </w:rPr>
        <w:t>, p=3.99x10</w:t>
      </w:r>
      <w:r w:rsidR="00C51B7C" w:rsidRPr="006F4C96">
        <w:rPr>
          <w:rFonts w:ascii="Times New Roman" w:hAnsi="Times New Roman" w:cs="Times New Roman"/>
          <w:vertAlign w:val="superscript"/>
        </w:rPr>
        <w:t>-12</w:t>
      </w:r>
      <w:r w:rsidR="0003124C" w:rsidRPr="006F4C96">
        <w:rPr>
          <w:rFonts w:ascii="Times New Roman" w:hAnsi="Times New Roman" w:cs="Times New Roman"/>
        </w:rPr>
        <w:t>; 1</w:t>
      </w:r>
      <w:r w:rsidR="000E3CF2" w:rsidRPr="006F4C96">
        <w:rPr>
          <w:rFonts w:ascii="Times New Roman" w:hAnsi="Times New Roman" w:cs="Times New Roman"/>
        </w:rPr>
        <w:t>.</w:t>
      </w:r>
      <w:r w:rsidR="0003124C" w:rsidRPr="006F4C96">
        <w:rPr>
          <w:rFonts w:ascii="Times New Roman" w:hAnsi="Times New Roman" w:cs="Times New Roman"/>
        </w:rPr>
        <w:t>10 (1</w:t>
      </w:r>
      <w:r w:rsidR="000E3CF2" w:rsidRPr="006F4C96">
        <w:rPr>
          <w:rFonts w:ascii="Times New Roman" w:hAnsi="Times New Roman" w:cs="Times New Roman"/>
        </w:rPr>
        <w:t>.</w:t>
      </w:r>
      <w:r w:rsidR="0003124C" w:rsidRPr="006F4C96">
        <w:rPr>
          <w:rFonts w:ascii="Times New Roman" w:hAnsi="Times New Roman" w:cs="Times New Roman"/>
        </w:rPr>
        <w:t>08; 1</w:t>
      </w:r>
      <w:r w:rsidR="000E3CF2" w:rsidRPr="006F4C96">
        <w:rPr>
          <w:rFonts w:ascii="Times New Roman" w:hAnsi="Times New Roman" w:cs="Times New Roman"/>
        </w:rPr>
        <w:t>.</w:t>
      </w:r>
      <w:r w:rsidR="0003124C" w:rsidRPr="006F4C96">
        <w:rPr>
          <w:rFonts w:ascii="Times New Roman" w:hAnsi="Times New Roman" w:cs="Times New Roman"/>
        </w:rPr>
        <w:t>11)</w:t>
      </w:r>
      <w:r w:rsidR="0003124C" w:rsidRPr="006F4C96">
        <w:rPr>
          <w:rFonts w:ascii="Times New Roman" w:hAnsi="Times New Roman" w:cs="Times New Roman"/>
          <w:b/>
        </w:rPr>
        <w:t xml:space="preserve"> </w:t>
      </w:r>
      <w:r w:rsidR="0003124C" w:rsidRPr="006F4C96">
        <w:rPr>
          <w:rFonts w:ascii="Times New Roman" w:hAnsi="Times New Roman" w:cs="Times New Roman"/>
        </w:rPr>
        <w:t>per SD shorter LTL</w:t>
      </w:r>
      <w:r w:rsidR="00C51B7C" w:rsidRPr="006F4C96">
        <w:rPr>
          <w:rFonts w:ascii="Times New Roman" w:hAnsi="Times New Roman" w:cs="Times New Roman"/>
        </w:rPr>
        <w:t>, p=1.46x10</w:t>
      </w:r>
      <w:r w:rsidR="00C51B7C" w:rsidRPr="006F4C96">
        <w:rPr>
          <w:rFonts w:ascii="Times New Roman" w:hAnsi="Times New Roman" w:cs="Times New Roman"/>
          <w:vertAlign w:val="superscript"/>
        </w:rPr>
        <w:t>-30</w:t>
      </w:r>
      <w:r w:rsidR="0003124C" w:rsidRPr="006F4C96">
        <w:rPr>
          <w:rFonts w:ascii="Times New Roman" w:hAnsi="Times New Roman" w:cs="Times New Roman"/>
        </w:rPr>
        <w:t>). Within each age group (40–49, 50–59, 60–69 years) the prevalence of frailty was about 33% higher in participants with shorter (-2SD) versus longer telomeres (+2SD). MR analysis showed an association of LTL with frailty that was directionally consistent with the observational association, but not statistically significant</w:t>
      </w:r>
      <w:r w:rsidR="00E61200" w:rsidRPr="006F4C96">
        <w:rPr>
          <w:rFonts w:ascii="Times New Roman" w:hAnsi="Times New Roman" w:cs="Times New Roman"/>
        </w:rPr>
        <w:t xml:space="preserve"> (MR-Median: OR (95% confidence interval): 1.08 (0.98; 1.19) per SD shorter LTL, p=0.13)</w:t>
      </w:r>
      <w:r w:rsidR="0003124C" w:rsidRPr="006F4C96">
        <w:rPr>
          <w:rFonts w:ascii="Times New Roman" w:hAnsi="Times New Roman" w:cs="Times New Roman"/>
        </w:rPr>
        <w:t>.</w:t>
      </w:r>
    </w:p>
    <w:p w14:paraId="1681E489" w14:textId="77777777" w:rsidR="008C738E" w:rsidRPr="006F4C96" w:rsidRDefault="00BC303B" w:rsidP="008C738E">
      <w:pPr>
        <w:spacing w:after="0" w:line="480" w:lineRule="auto"/>
        <w:rPr>
          <w:rFonts w:ascii="Times New Roman" w:hAnsi="Times New Roman" w:cs="Times New Roman"/>
          <w:szCs w:val="20"/>
        </w:rPr>
      </w:pPr>
      <w:r w:rsidRPr="006F4C96">
        <w:rPr>
          <w:rFonts w:ascii="Times New Roman" w:hAnsi="Times New Roman" w:cs="Times New Roman"/>
          <w:b/>
        </w:rPr>
        <w:t>Conclusion</w:t>
      </w:r>
      <w:r w:rsidR="0003124C" w:rsidRPr="006F4C96">
        <w:rPr>
          <w:rFonts w:ascii="Times New Roman" w:hAnsi="Times New Roman" w:cs="Times New Roman"/>
          <w:b/>
        </w:rPr>
        <w:t xml:space="preserve">: </w:t>
      </w:r>
      <w:r w:rsidR="0003124C" w:rsidRPr="006F4C96">
        <w:rPr>
          <w:rFonts w:ascii="Times New Roman" w:hAnsi="Times New Roman" w:cs="Times New Roman"/>
        </w:rPr>
        <w:t>Inter–individual variation in LTL is associated with the risk of frailty independently of chronological age and other risk factors.</w:t>
      </w:r>
      <w:r w:rsidR="0003124C" w:rsidRPr="006F4C96">
        <w:rPr>
          <w:rFonts w:ascii="Times New Roman" w:hAnsi="Times New Roman" w:cs="Times New Roman"/>
          <w:b/>
        </w:rPr>
        <w:t xml:space="preserve"> </w:t>
      </w:r>
      <w:r w:rsidR="0003124C" w:rsidRPr="006F4C96">
        <w:rPr>
          <w:rFonts w:ascii="Times New Roman" w:hAnsi="Times New Roman" w:cs="Times New Roman"/>
          <w:szCs w:val="20"/>
        </w:rPr>
        <w:t xml:space="preserve">Our findings provide evidence for an additional biological </w:t>
      </w:r>
      <w:r w:rsidR="004D5E99" w:rsidRPr="006F4C96">
        <w:rPr>
          <w:rFonts w:ascii="Times New Roman" w:hAnsi="Times New Roman" w:cs="Times New Roman"/>
          <w:szCs w:val="20"/>
        </w:rPr>
        <w:t>determinant</w:t>
      </w:r>
      <w:r w:rsidR="0003124C" w:rsidRPr="006F4C96">
        <w:rPr>
          <w:rFonts w:ascii="Times New Roman" w:hAnsi="Times New Roman" w:cs="Times New Roman"/>
          <w:szCs w:val="20"/>
        </w:rPr>
        <w:t xml:space="preserve"> of frailty.</w:t>
      </w:r>
    </w:p>
    <w:p w14:paraId="7B0584FD" w14:textId="45E35005" w:rsidR="008C738E" w:rsidRPr="006F4C96" w:rsidRDefault="008C738E" w:rsidP="008C738E">
      <w:pPr>
        <w:spacing w:after="0" w:line="480" w:lineRule="auto"/>
        <w:rPr>
          <w:rFonts w:ascii="Times New Roman" w:hAnsi="Times New Roman" w:cs="Times New Roman"/>
        </w:rPr>
        <w:sectPr w:rsidR="008C738E" w:rsidRPr="006F4C96" w:rsidSect="008C738E">
          <w:pgSz w:w="11906" w:h="16838"/>
          <w:pgMar w:top="1440" w:right="1440" w:bottom="567" w:left="1440" w:header="709" w:footer="709" w:gutter="0"/>
          <w:cols w:space="708"/>
          <w:docGrid w:linePitch="360"/>
        </w:sectPr>
      </w:pPr>
      <w:r w:rsidRPr="006F4C96">
        <w:rPr>
          <w:rFonts w:ascii="Times New Roman" w:hAnsi="Times New Roman" w:cs="Times New Roman"/>
          <w:b/>
        </w:rPr>
        <w:lastRenderedPageBreak/>
        <w:t>Key words:</w:t>
      </w:r>
      <w:r w:rsidRPr="006F4C96">
        <w:rPr>
          <w:rFonts w:ascii="Times New Roman" w:hAnsi="Times New Roman" w:cs="Times New Roman"/>
        </w:rPr>
        <w:t xml:space="preserve"> leucocyte telomere length; frailty; biological age; UK Biobank</w:t>
      </w:r>
    </w:p>
    <w:p w14:paraId="1FEFDF56" w14:textId="3D8A0076" w:rsidR="00C45867" w:rsidRPr="006F4C96" w:rsidRDefault="00C45867" w:rsidP="008C738E">
      <w:pPr>
        <w:spacing w:after="0" w:line="480" w:lineRule="auto"/>
        <w:rPr>
          <w:rFonts w:ascii="Times New Roman" w:hAnsi="Times New Roman" w:cs="Times New Roman"/>
          <w:b/>
          <w:sz w:val="24"/>
          <w:szCs w:val="20"/>
        </w:rPr>
      </w:pPr>
      <w:r w:rsidRPr="006F4C96">
        <w:rPr>
          <w:rFonts w:ascii="Times New Roman" w:hAnsi="Times New Roman" w:cs="Times New Roman"/>
          <w:b/>
          <w:sz w:val="24"/>
          <w:szCs w:val="20"/>
        </w:rPr>
        <w:t>Introduction</w:t>
      </w:r>
      <w:r w:rsidR="000441F4" w:rsidRPr="006F4C96">
        <w:rPr>
          <w:rFonts w:ascii="Times New Roman" w:hAnsi="Times New Roman" w:cs="Times New Roman"/>
          <w:b/>
          <w:sz w:val="24"/>
          <w:szCs w:val="20"/>
        </w:rPr>
        <w:t xml:space="preserve"> </w:t>
      </w:r>
    </w:p>
    <w:p w14:paraId="156CC9B9" w14:textId="470A47FC" w:rsidR="003B7C7B" w:rsidRPr="006F4C96" w:rsidRDefault="00C45867"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multidimensional</w:t>
      </w:r>
      <w:r w:rsidR="000441F4" w:rsidRPr="006F4C96">
        <w:rPr>
          <w:rFonts w:ascii="Times New Roman" w:hAnsi="Times New Roman" w:cs="Times New Roman"/>
          <w:szCs w:val="20"/>
        </w:rPr>
        <w:t xml:space="preserve"> </w:t>
      </w:r>
      <w:r w:rsidRPr="006F4C96">
        <w:rPr>
          <w:rFonts w:ascii="Times New Roman" w:hAnsi="Times New Roman" w:cs="Times New Roman"/>
          <w:szCs w:val="20"/>
        </w:rPr>
        <w:t>syndrome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decline</w:t>
      </w:r>
      <w:r w:rsidR="000441F4" w:rsidRPr="006F4C96">
        <w:rPr>
          <w:rFonts w:ascii="Times New Roman" w:hAnsi="Times New Roman" w:cs="Times New Roman"/>
          <w:szCs w:val="20"/>
        </w:rPr>
        <w:t xml:space="preserve"> </w:t>
      </w:r>
      <w:r w:rsidR="0012430C" w:rsidRPr="006F4C96">
        <w:rPr>
          <w:rFonts w:ascii="Times New Roman" w:hAnsi="Times New Roman" w:cs="Times New Roman"/>
          <w:szCs w:val="20"/>
        </w:rPr>
        <w:t xml:space="preserve">that affects </w:t>
      </w:r>
      <w:r w:rsidRPr="006F4C96">
        <w:rPr>
          <w:rFonts w:ascii="Times New Roman" w:hAnsi="Times New Roman" w:cs="Times New Roman"/>
          <w:szCs w:val="20"/>
        </w:rPr>
        <w:t>multiple</w:t>
      </w:r>
      <w:r w:rsidR="000441F4" w:rsidRPr="006F4C96">
        <w:rPr>
          <w:rFonts w:ascii="Times New Roman" w:hAnsi="Times New Roman" w:cs="Times New Roman"/>
          <w:szCs w:val="20"/>
        </w:rPr>
        <w:t xml:space="preserve"> </w:t>
      </w:r>
      <w:r w:rsidRPr="006F4C96">
        <w:rPr>
          <w:rFonts w:ascii="Times New Roman" w:hAnsi="Times New Roman" w:cs="Times New Roman"/>
          <w:szCs w:val="20"/>
        </w:rPr>
        <w:t>systems</w:t>
      </w:r>
      <w:r w:rsidR="0012430C" w:rsidRPr="006F4C96">
        <w:rPr>
          <w:rFonts w:ascii="Times New Roman" w:hAnsi="Times New Roman" w:cs="Times New Roman"/>
          <w:szCs w:val="20"/>
        </w:rPr>
        <w:t xml:space="preserve"> and predisposes</w:t>
      </w:r>
      <w:r w:rsidR="00131ABB" w:rsidRPr="006F4C96">
        <w:rPr>
          <w:rFonts w:ascii="Times New Roman" w:hAnsi="Times New Roman" w:cs="Times New Roman"/>
          <w:szCs w:val="20"/>
          <w:vertAlign w:val="superscript"/>
        </w:rPr>
        <w:t xml:space="preserve"> </w:t>
      </w:r>
      <w:r w:rsidR="0012430C"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adverse</w:t>
      </w:r>
      <w:r w:rsidR="000441F4" w:rsidRPr="006F4C96">
        <w:rPr>
          <w:rFonts w:ascii="Times New Roman" w:hAnsi="Times New Roman" w:cs="Times New Roman"/>
          <w:szCs w:val="20"/>
        </w:rPr>
        <w:t xml:space="preserve"> </w:t>
      </w:r>
      <w:r w:rsidRPr="006F4C96">
        <w:rPr>
          <w:rFonts w:ascii="Times New Roman" w:hAnsi="Times New Roman" w:cs="Times New Roman"/>
          <w:szCs w:val="20"/>
        </w:rPr>
        <w:t>health</w:t>
      </w:r>
      <w:r w:rsidR="000441F4" w:rsidRPr="006F4C96">
        <w:rPr>
          <w:rFonts w:ascii="Times New Roman" w:hAnsi="Times New Roman" w:cs="Times New Roman"/>
          <w:szCs w:val="20"/>
        </w:rPr>
        <w:t xml:space="preserve"> </w:t>
      </w:r>
      <w:r w:rsidRPr="006F4C96">
        <w:rPr>
          <w:rFonts w:ascii="Times New Roman" w:hAnsi="Times New Roman" w:cs="Times New Roman"/>
          <w:szCs w:val="20"/>
        </w:rPr>
        <w:t>outcomes</w:t>
      </w:r>
      <w:r w:rsidR="00EB408F" w:rsidRPr="006F4C96">
        <w:rPr>
          <w:rFonts w:ascii="Times New Roman" w:hAnsi="Times New Roman" w:cs="Times New Roman"/>
          <w:szCs w:val="20"/>
        </w:rPr>
        <w:t xml:space="preserve"> [1]</w:t>
      </w:r>
      <w:r w:rsidR="007B3FB0"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12430C" w:rsidRPr="006F4C96">
        <w:rPr>
          <w:rFonts w:ascii="Times New Roman" w:hAnsi="Times New Roman" w:cs="Times New Roman"/>
          <w:szCs w:val="20"/>
        </w:rPr>
        <w:t>It is associated with greater vulnerability to stressors and increased risk of adverse health outcomes, including falls, fractures, hospitalisation and death</w:t>
      </w:r>
      <w:r w:rsidR="00EB408F" w:rsidRPr="006F4C96">
        <w:rPr>
          <w:rFonts w:ascii="Times New Roman" w:hAnsi="Times New Roman" w:cs="Times New Roman"/>
          <w:szCs w:val="20"/>
        </w:rPr>
        <w:t xml:space="preserve"> [2]</w:t>
      </w:r>
      <w:r w:rsidR="0012430C"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12430C" w:rsidRPr="006F4C96">
        <w:rPr>
          <w:rFonts w:ascii="Times New Roman" w:hAnsi="Times New Roman" w:cs="Times New Roman"/>
          <w:szCs w:val="20"/>
        </w:rPr>
        <w:t>Frailty is inter–related, but not synonymous, w</w:t>
      </w:r>
      <w:r w:rsidR="003B7C7B" w:rsidRPr="006F4C96">
        <w:rPr>
          <w:rFonts w:ascii="Times New Roman" w:hAnsi="Times New Roman" w:cs="Times New Roman"/>
          <w:szCs w:val="20"/>
        </w:rPr>
        <w:t>ith comorbidity and disability. A</w:t>
      </w:r>
      <w:r w:rsidR="0012430C" w:rsidRPr="006F4C96">
        <w:rPr>
          <w:rFonts w:ascii="Times New Roman" w:hAnsi="Times New Roman" w:cs="Times New Roman"/>
          <w:szCs w:val="20"/>
        </w:rPr>
        <w:t>pproaches to its operational definition include an accumulation of deficits as proposed by Rockwood et al.</w:t>
      </w:r>
      <w:r w:rsidR="00EB408F" w:rsidRPr="006F4C96">
        <w:rPr>
          <w:rFonts w:ascii="Times New Roman" w:hAnsi="Times New Roman" w:cs="Times New Roman"/>
          <w:szCs w:val="20"/>
        </w:rPr>
        <w:t xml:space="preserve"> [1]</w:t>
      </w:r>
      <w:r w:rsidR="0012430C" w:rsidRPr="006F4C96">
        <w:rPr>
          <w:rFonts w:ascii="Times New Roman" w:hAnsi="Times New Roman" w:cs="Times New Roman"/>
          <w:szCs w:val="20"/>
        </w:rPr>
        <w:t xml:space="preserve">, or a specific </w:t>
      </w:r>
      <w:r w:rsidR="00283F66" w:rsidRPr="006F4C96">
        <w:rPr>
          <w:rFonts w:ascii="Times New Roman" w:hAnsi="Times New Roman" w:cs="Times New Roman"/>
          <w:szCs w:val="20"/>
        </w:rPr>
        <w:t>biological</w:t>
      </w:r>
      <w:r w:rsidR="003B7C7B" w:rsidRPr="006F4C96">
        <w:rPr>
          <w:rFonts w:ascii="Times New Roman" w:hAnsi="Times New Roman" w:cs="Times New Roman"/>
          <w:szCs w:val="20"/>
        </w:rPr>
        <w:t xml:space="preserve"> syndrome, </w:t>
      </w:r>
      <w:r w:rsidR="0012430C" w:rsidRPr="006F4C96">
        <w:rPr>
          <w:rFonts w:ascii="Times New Roman" w:hAnsi="Times New Roman" w:cs="Times New Roman"/>
          <w:szCs w:val="20"/>
        </w:rPr>
        <w:t xml:space="preserve">characterised by weight loss, fatigue, reduced muscle strength, reduced walking </w:t>
      </w:r>
      <w:r w:rsidR="003B7C7B" w:rsidRPr="006F4C96">
        <w:rPr>
          <w:rFonts w:ascii="Times New Roman" w:hAnsi="Times New Roman" w:cs="Times New Roman"/>
          <w:szCs w:val="20"/>
        </w:rPr>
        <w:t>speed and low physical activity,</w:t>
      </w:r>
      <w:r w:rsidR="0012430C" w:rsidRPr="006F4C96">
        <w:rPr>
          <w:rFonts w:ascii="Times New Roman" w:hAnsi="Times New Roman" w:cs="Times New Roman"/>
          <w:szCs w:val="20"/>
        </w:rPr>
        <w:t xml:space="preserve"> as proposed by Fried</w:t>
      </w:r>
      <w:r w:rsidR="00EB408F" w:rsidRPr="006F4C96">
        <w:rPr>
          <w:rFonts w:ascii="Times New Roman" w:hAnsi="Times New Roman" w:cs="Times New Roman"/>
          <w:szCs w:val="20"/>
        </w:rPr>
        <w:t xml:space="preserve"> [3]</w:t>
      </w:r>
      <w:r w:rsidR="0012430C" w:rsidRPr="006F4C96">
        <w:rPr>
          <w:rFonts w:ascii="Times New Roman" w:hAnsi="Times New Roman" w:cs="Times New Roman"/>
          <w:szCs w:val="20"/>
        </w:rPr>
        <w:t>. Both definitions have strengths and weaknesses: the Fried physical frailty phenotype includes two components of sarcopenia and may therefore overlap considerably with muscle function; the Rockwood approach essentially assesses the number of comorbidities, with its attendant circularity of cause and effect.</w:t>
      </w:r>
      <w:r w:rsidR="000B081B" w:rsidRPr="006F4C96">
        <w:rPr>
          <w:rFonts w:ascii="Times New Roman" w:hAnsi="Times New Roman" w:cs="Times New Roman"/>
          <w:szCs w:val="20"/>
        </w:rPr>
        <w:t xml:space="preserve"> </w:t>
      </w:r>
      <w:r w:rsidRPr="006F4C96">
        <w:rPr>
          <w:rFonts w:ascii="Times New Roman" w:hAnsi="Times New Roman" w:cs="Times New Roman"/>
          <w:szCs w:val="20"/>
        </w:rPr>
        <w:t>Attempts</w:t>
      </w:r>
      <w:r w:rsidR="000441F4" w:rsidRPr="006F4C96">
        <w:rPr>
          <w:rFonts w:ascii="Times New Roman" w:hAnsi="Times New Roman" w:cs="Times New Roman"/>
          <w:szCs w:val="20"/>
        </w:rPr>
        <w:t xml:space="preserve"> </w:t>
      </w:r>
      <w:r w:rsidRPr="006F4C96">
        <w:rPr>
          <w:rFonts w:ascii="Times New Roman" w:hAnsi="Times New Roman" w:cs="Times New Roman"/>
          <w:szCs w:val="20"/>
        </w:rPr>
        <w:t>have</w:t>
      </w:r>
      <w:r w:rsidR="000441F4" w:rsidRPr="006F4C96">
        <w:rPr>
          <w:rFonts w:ascii="Times New Roman" w:hAnsi="Times New Roman" w:cs="Times New Roman"/>
          <w:szCs w:val="20"/>
        </w:rPr>
        <w:t xml:space="preserve"> </w:t>
      </w:r>
      <w:r w:rsidRPr="006F4C96">
        <w:rPr>
          <w:rFonts w:ascii="Times New Roman" w:hAnsi="Times New Roman" w:cs="Times New Roman"/>
          <w:szCs w:val="20"/>
        </w:rPr>
        <w:t>been</w:t>
      </w:r>
      <w:r w:rsidR="000441F4" w:rsidRPr="006F4C96">
        <w:rPr>
          <w:rFonts w:ascii="Times New Roman" w:hAnsi="Times New Roman" w:cs="Times New Roman"/>
          <w:szCs w:val="20"/>
        </w:rPr>
        <w:t xml:space="preserve"> </w:t>
      </w:r>
      <w:r w:rsidRPr="006F4C96">
        <w:rPr>
          <w:rFonts w:ascii="Times New Roman" w:hAnsi="Times New Roman" w:cs="Times New Roman"/>
          <w:szCs w:val="20"/>
        </w:rPr>
        <w:t>made</w:t>
      </w:r>
      <w:r w:rsidR="000441F4" w:rsidRPr="006F4C96">
        <w:rPr>
          <w:rFonts w:ascii="Times New Roman" w:hAnsi="Times New Roman" w:cs="Times New Roman"/>
          <w:szCs w:val="20"/>
        </w:rPr>
        <w:t xml:space="preserve"> </w:t>
      </w:r>
      <w:r w:rsidR="0012430C" w:rsidRPr="006F4C96">
        <w:rPr>
          <w:rFonts w:ascii="Times New Roman" w:hAnsi="Times New Roman" w:cs="Times New Roman"/>
          <w:szCs w:val="20"/>
        </w:rPr>
        <w:t>to achieve</w:t>
      </w:r>
      <w:r w:rsidR="000441F4" w:rsidRPr="006F4C96">
        <w:rPr>
          <w:rFonts w:ascii="Times New Roman" w:hAnsi="Times New Roman" w:cs="Times New Roman"/>
          <w:szCs w:val="20"/>
        </w:rPr>
        <w:t xml:space="preserve"> </w:t>
      </w:r>
      <w:r w:rsidRPr="006F4C96">
        <w:rPr>
          <w:rFonts w:ascii="Times New Roman" w:hAnsi="Times New Roman" w:cs="Times New Roman"/>
          <w:szCs w:val="20"/>
        </w:rPr>
        <w:t>consensus</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definition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12430C"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recognising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that</w:t>
      </w:r>
      <w:r w:rsidR="000441F4" w:rsidRPr="006F4C96">
        <w:rPr>
          <w:rFonts w:ascii="Times New Roman" w:hAnsi="Times New Roman" w:cs="Times New Roman"/>
          <w:szCs w:val="20"/>
        </w:rPr>
        <w:t xml:space="preserve"> </w:t>
      </w:r>
      <w:r w:rsidR="00267AA9" w:rsidRPr="006F4C96">
        <w:rPr>
          <w:rFonts w:ascii="Times New Roman" w:hAnsi="Times New Roman" w:cs="Times New Roman"/>
          <w:szCs w:val="20"/>
        </w:rPr>
        <w:t xml:space="preserve">it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characterized</w:t>
      </w:r>
      <w:r w:rsidR="000441F4" w:rsidRPr="006F4C96">
        <w:rPr>
          <w:rFonts w:ascii="Times New Roman" w:hAnsi="Times New Roman" w:cs="Times New Roman"/>
          <w:szCs w:val="20"/>
        </w:rPr>
        <w:t xml:space="preserve"> </w:t>
      </w:r>
      <w:r w:rsidRPr="006F4C96">
        <w:rPr>
          <w:rFonts w:ascii="Times New Roman" w:hAnsi="Times New Roman" w:cs="Times New Roman"/>
          <w:szCs w:val="20"/>
        </w:rPr>
        <w:t>by</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plethora</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physical,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psychological,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physiological</w:t>
      </w:r>
      <w:r w:rsidR="000F7A1A"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social</w:t>
      </w:r>
      <w:r w:rsidR="000441F4" w:rsidRPr="006F4C96">
        <w:rPr>
          <w:rFonts w:ascii="Times New Roman" w:hAnsi="Times New Roman" w:cs="Times New Roman"/>
          <w:szCs w:val="20"/>
        </w:rPr>
        <w:t xml:space="preserve"> </w:t>
      </w:r>
      <w:r w:rsidRPr="006F4C96">
        <w:rPr>
          <w:rFonts w:ascii="Times New Roman" w:hAnsi="Times New Roman" w:cs="Times New Roman"/>
          <w:szCs w:val="20"/>
        </w:rPr>
        <w:t>life</w:t>
      </w:r>
      <w:r w:rsidR="000441F4" w:rsidRPr="006F4C96">
        <w:rPr>
          <w:rFonts w:ascii="Times New Roman" w:hAnsi="Times New Roman" w:cs="Times New Roman"/>
          <w:szCs w:val="20"/>
        </w:rPr>
        <w:t xml:space="preserve"> </w:t>
      </w:r>
      <w:r w:rsidRPr="006F4C96">
        <w:rPr>
          <w:rFonts w:ascii="Times New Roman" w:hAnsi="Times New Roman" w:cs="Times New Roman"/>
          <w:szCs w:val="20"/>
        </w:rPr>
        <w:t>aspects</w:t>
      </w:r>
      <w:r w:rsidR="000441F4" w:rsidRPr="006F4C96">
        <w:rPr>
          <w:rFonts w:ascii="Times New Roman" w:hAnsi="Times New Roman" w:cs="Times New Roman"/>
          <w:szCs w:val="20"/>
        </w:rPr>
        <w:t xml:space="preserve"> </w:t>
      </w:r>
      <w:r w:rsidRPr="006F4C96">
        <w:rPr>
          <w:rFonts w:ascii="Times New Roman" w:hAnsi="Times New Roman" w:cs="Times New Roman"/>
          <w:szCs w:val="20"/>
        </w:rPr>
        <w:t>that</w:t>
      </w:r>
      <w:r w:rsidR="000441F4" w:rsidRPr="006F4C96">
        <w:rPr>
          <w:rFonts w:ascii="Times New Roman" w:hAnsi="Times New Roman" w:cs="Times New Roman"/>
          <w:szCs w:val="20"/>
        </w:rPr>
        <w:t xml:space="preserve"> </w:t>
      </w:r>
      <w:r w:rsidRPr="006F4C96">
        <w:rPr>
          <w:rFonts w:ascii="Times New Roman" w:hAnsi="Times New Roman" w:cs="Times New Roman"/>
          <w:szCs w:val="20"/>
        </w:rPr>
        <w:t>co</w:t>
      </w:r>
      <w:r w:rsidR="006D64A6" w:rsidRPr="006F4C96">
        <w:rPr>
          <w:rFonts w:ascii="Times New Roman" w:hAnsi="Times New Roman" w:cs="Times New Roman"/>
          <w:szCs w:val="20"/>
        </w:rPr>
        <w:t>–</w:t>
      </w:r>
      <w:r w:rsidRPr="006F4C96">
        <w:rPr>
          <w:rFonts w:ascii="Times New Roman" w:hAnsi="Times New Roman" w:cs="Times New Roman"/>
          <w:szCs w:val="20"/>
        </w:rPr>
        <w:t>exist</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complex</w:t>
      </w:r>
      <w:r w:rsidR="000441F4" w:rsidRPr="006F4C96">
        <w:rPr>
          <w:rFonts w:ascii="Times New Roman" w:hAnsi="Times New Roman" w:cs="Times New Roman"/>
          <w:szCs w:val="20"/>
        </w:rPr>
        <w:t xml:space="preserve"> </w:t>
      </w:r>
      <w:r w:rsidRPr="006F4C96">
        <w:rPr>
          <w:rFonts w:ascii="Times New Roman" w:hAnsi="Times New Roman" w:cs="Times New Roman"/>
          <w:szCs w:val="20"/>
        </w:rPr>
        <w:t>combinations</w:t>
      </w:r>
      <w:r w:rsidR="00EB408F" w:rsidRPr="006F4C96">
        <w:rPr>
          <w:rFonts w:ascii="Times New Roman" w:hAnsi="Times New Roman" w:cs="Times New Roman"/>
          <w:szCs w:val="20"/>
        </w:rPr>
        <w:t xml:space="preserve"> [4-7]</w:t>
      </w:r>
      <w:r w:rsidR="007B3FB0" w:rsidRPr="006F4C96">
        <w:rPr>
          <w:rFonts w:ascii="Times New Roman" w:hAnsi="Times New Roman" w:cs="Times New Roman"/>
          <w:szCs w:val="20"/>
        </w:rPr>
        <w:t>.</w:t>
      </w:r>
      <w:r w:rsidR="0012430C" w:rsidRPr="006F4C96">
        <w:rPr>
          <w:rFonts w:ascii="Times New Roman" w:hAnsi="Times New Roman" w:cs="Times New Roman"/>
          <w:szCs w:val="20"/>
        </w:rPr>
        <w:t xml:space="preserve"> </w:t>
      </w:r>
    </w:p>
    <w:p w14:paraId="337B2960" w14:textId="2A737A21" w:rsidR="003B7C7B" w:rsidRPr="006F4C96" w:rsidRDefault="00C45867"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Although</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prevalent</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older</w:t>
      </w:r>
      <w:r w:rsidR="000441F4" w:rsidRPr="006F4C96">
        <w:rPr>
          <w:rFonts w:ascii="Times New Roman" w:hAnsi="Times New Roman" w:cs="Times New Roman"/>
          <w:szCs w:val="20"/>
        </w:rPr>
        <w:t xml:space="preserve"> </w:t>
      </w:r>
      <w:r w:rsidR="0012430C" w:rsidRPr="006F4C96">
        <w:rPr>
          <w:rFonts w:ascii="Times New Roman" w:hAnsi="Times New Roman" w:cs="Times New Roman"/>
          <w:szCs w:val="20"/>
        </w:rPr>
        <w:t>people,</w:t>
      </w:r>
      <w:r w:rsidR="000441F4" w:rsidRPr="006F4C96">
        <w:rPr>
          <w:rFonts w:ascii="Times New Roman" w:hAnsi="Times New Roman" w:cs="Times New Roman"/>
          <w:szCs w:val="20"/>
        </w:rPr>
        <w:t xml:space="preserve"> </w:t>
      </w:r>
      <w:r w:rsidRPr="006F4C96">
        <w:rPr>
          <w:rFonts w:ascii="Times New Roman" w:hAnsi="Times New Roman" w:cs="Times New Roman"/>
          <w:szCs w:val="20"/>
        </w:rPr>
        <w:t>it</w:t>
      </w:r>
      <w:r w:rsidR="000441F4" w:rsidRPr="006F4C96">
        <w:rPr>
          <w:rFonts w:ascii="Times New Roman" w:hAnsi="Times New Roman" w:cs="Times New Roman"/>
          <w:szCs w:val="20"/>
        </w:rPr>
        <w:t xml:space="preserve"> </w:t>
      </w:r>
      <w:r w:rsidR="0098580C" w:rsidRPr="006F4C96">
        <w:rPr>
          <w:rFonts w:ascii="Times New Roman" w:hAnsi="Times New Roman" w:cs="Times New Roman"/>
          <w:szCs w:val="20"/>
        </w:rPr>
        <w:t>does not occur</w:t>
      </w:r>
      <w:r w:rsidR="000441F4" w:rsidRPr="006F4C96">
        <w:rPr>
          <w:rFonts w:ascii="Times New Roman" w:hAnsi="Times New Roman" w:cs="Times New Roman"/>
          <w:szCs w:val="20"/>
        </w:rPr>
        <w:t xml:space="preserve"> </w:t>
      </w:r>
      <w:r w:rsidRPr="006F4C96">
        <w:rPr>
          <w:rFonts w:ascii="Times New Roman" w:hAnsi="Times New Roman" w:cs="Times New Roman"/>
          <w:szCs w:val="20"/>
        </w:rPr>
        <w:t>exclusive</w:t>
      </w:r>
      <w:r w:rsidR="0098580C" w:rsidRPr="006F4C96">
        <w:rPr>
          <w:rFonts w:ascii="Times New Roman" w:hAnsi="Times New Roman" w:cs="Times New Roman"/>
          <w:szCs w:val="20"/>
        </w:rPr>
        <w:t>ly above</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98580C" w:rsidRPr="006F4C96">
        <w:rPr>
          <w:rFonts w:ascii="Times New Roman" w:hAnsi="Times New Roman" w:cs="Times New Roman"/>
          <w:szCs w:val="20"/>
        </w:rPr>
        <w:t>ny</w:t>
      </w:r>
      <w:r w:rsidR="000441F4" w:rsidRPr="006F4C96">
        <w:rPr>
          <w:rFonts w:ascii="Times New Roman" w:hAnsi="Times New Roman" w:cs="Times New Roman"/>
          <w:szCs w:val="20"/>
        </w:rPr>
        <w:t xml:space="preserve"> </w:t>
      </w:r>
      <w:r w:rsidRPr="006F4C96">
        <w:rPr>
          <w:rFonts w:ascii="Times New Roman" w:hAnsi="Times New Roman" w:cs="Times New Roman"/>
          <w:szCs w:val="20"/>
        </w:rPr>
        <w:t>specific</w:t>
      </w:r>
      <w:r w:rsidR="000441F4" w:rsidRPr="006F4C96">
        <w:rPr>
          <w:rFonts w:ascii="Times New Roman" w:hAnsi="Times New Roman" w:cs="Times New Roman"/>
          <w:szCs w:val="20"/>
        </w:rPr>
        <w:t xml:space="preserve"> </w:t>
      </w:r>
      <w:r w:rsidRPr="006F4C96">
        <w:rPr>
          <w:rFonts w:ascii="Times New Roman" w:hAnsi="Times New Roman" w:cs="Times New Roman"/>
          <w:szCs w:val="20"/>
        </w:rPr>
        <w:t>chronological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0098580C" w:rsidRPr="006F4C96">
        <w:rPr>
          <w:rFonts w:ascii="Times New Roman" w:hAnsi="Times New Roman" w:cs="Times New Roman"/>
          <w:szCs w:val="20"/>
        </w:rPr>
        <w:t>threshold</w:t>
      </w:r>
      <w:r w:rsidR="00EB408F" w:rsidRPr="006F4C96">
        <w:rPr>
          <w:rFonts w:ascii="Times New Roman" w:hAnsi="Times New Roman" w:cs="Times New Roman"/>
          <w:szCs w:val="20"/>
        </w:rPr>
        <w:t xml:space="preserve"> [8]</w:t>
      </w:r>
      <w:r w:rsidR="000642D8"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0642D8" w:rsidRPr="006F4C96">
        <w:rPr>
          <w:rFonts w:ascii="Times New Roman" w:hAnsi="Times New Roman" w:cs="Times New Roman"/>
          <w:szCs w:val="20"/>
        </w:rPr>
        <w:t>H</w:t>
      </w:r>
      <w:r w:rsidR="00E07751" w:rsidRPr="006F4C96">
        <w:rPr>
          <w:rFonts w:ascii="Times New Roman" w:hAnsi="Times New Roman" w:cs="Times New Roman"/>
          <w:szCs w:val="20"/>
        </w:rPr>
        <w:t>ence</w:t>
      </w:r>
      <w:r w:rsidR="00041145" w:rsidRPr="006F4C96">
        <w:rPr>
          <w:rFonts w:ascii="Times New Roman" w:hAnsi="Times New Roman" w:cs="Times New Roman"/>
          <w:szCs w:val="20"/>
        </w:rPr>
        <w:t>,</w:t>
      </w:r>
      <w:r w:rsidR="00E07751" w:rsidRPr="006F4C96">
        <w:rPr>
          <w:rFonts w:ascii="Times New Roman" w:hAnsi="Times New Roman" w:cs="Times New Roman"/>
          <w:szCs w:val="20"/>
        </w:rPr>
        <w:t xml:space="preserve"> there is a need to identify other biological factors that may predispose to frailty. </w:t>
      </w:r>
      <w:r w:rsidR="000642D8" w:rsidRPr="006F4C96">
        <w:rPr>
          <w:rFonts w:ascii="Times New Roman" w:hAnsi="Times New Roman" w:cs="Times New Roman"/>
          <w:szCs w:val="20"/>
        </w:rPr>
        <w:t>There is a particular interest in whether biological age, as distinct from chronological age, is associated with risk of frailty</w:t>
      </w:r>
      <w:r w:rsidR="00EB408F" w:rsidRPr="006F4C96">
        <w:rPr>
          <w:rFonts w:ascii="Times New Roman" w:hAnsi="Times New Roman" w:cs="Times New Roman"/>
          <w:szCs w:val="20"/>
        </w:rPr>
        <w:t xml:space="preserve"> [9]</w:t>
      </w:r>
      <w:r w:rsidR="000642D8"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Pr="006F4C96">
        <w:rPr>
          <w:rFonts w:ascii="Times New Roman" w:hAnsi="Times New Roman" w:cs="Times New Roman"/>
          <w:szCs w:val="20"/>
        </w:rPr>
        <w:t>Telomere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length</w:t>
      </w:r>
      <w:r w:rsidR="000441F4" w:rsidRPr="006F4C96">
        <w:rPr>
          <w:rFonts w:ascii="Times New Roman" w:hAnsi="Times New Roman" w:cs="Times New Roman"/>
          <w:szCs w:val="20"/>
        </w:rPr>
        <w:t xml:space="preserve"> </w:t>
      </w:r>
      <w:r w:rsidRPr="006F4C96">
        <w:rPr>
          <w:rFonts w:ascii="Times New Roman" w:hAnsi="Times New Roman" w:cs="Times New Roman"/>
          <w:szCs w:val="20"/>
        </w:rPr>
        <w:t>has</w:t>
      </w:r>
      <w:r w:rsidR="000441F4" w:rsidRPr="006F4C96">
        <w:rPr>
          <w:rFonts w:ascii="Times New Roman" w:hAnsi="Times New Roman" w:cs="Times New Roman"/>
          <w:szCs w:val="20"/>
        </w:rPr>
        <w:t xml:space="preserve"> </w:t>
      </w:r>
      <w:r w:rsidRPr="006F4C96">
        <w:rPr>
          <w:rFonts w:ascii="Times New Roman" w:hAnsi="Times New Roman" w:cs="Times New Roman"/>
          <w:szCs w:val="20"/>
        </w:rPr>
        <w:t>emerged</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potential</w:t>
      </w:r>
      <w:r w:rsidR="000441F4" w:rsidRPr="006F4C96">
        <w:rPr>
          <w:rFonts w:ascii="Times New Roman" w:hAnsi="Times New Roman" w:cs="Times New Roman"/>
          <w:szCs w:val="20"/>
        </w:rPr>
        <w:t xml:space="preserve"> </w:t>
      </w:r>
      <w:r w:rsidRPr="006F4C96">
        <w:rPr>
          <w:rFonts w:ascii="Times New Roman" w:hAnsi="Times New Roman" w:cs="Times New Roman"/>
          <w:szCs w:val="20"/>
        </w:rPr>
        <w:t>biomarker</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biological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shorter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telomeres</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advanced</w:t>
      </w:r>
      <w:r w:rsidR="000441F4" w:rsidRPr="006F4C96">
        <w:rPr>
          <w:rFonts w:ascii="Times New Roman" w:hAnsi="Times New Roman" w:cs="Times New Roman"/>
          <w:szCs w:val="20"/>
        </w:rPr>
        <w:t xml:space="preserve"> </w:t>
      </w:r>
      <w:r w:rsidRPr="006F4C96">
        <w:rPr>
          <w:rFonts w:ascii="Times New Roman" w:hAnsi="Times New Roman" w:cs="Times New Roman"/>
          <w:szCs w:val="20"/>
        </w:rPr>
        <w:t>biological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EB408F" w:rsidRPr="006F4C96">
        <w:rPr>
          <w:rFonts w:ascii="Times New Roman" w:hAnsi="Times New Roman" w:cs="Times New Roman"/>
          <w:szCs w:val="20"/>
        </w:rPr>
        <w:t xml:space="preserve"> [10]</w:t>
      </w:r>
      <w:r w:rsidR="007B3FB0"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Pr="006F4C96">
        <w:rPr>
          <w:rFonts w:ascii="Times New Roman" w:hAnsi="Times New Roman" w:cs="Times New Roman"/>
          <w:szCs w:val="20"/>
        </w:rPr>
        <w:t>Shorter</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mean</w:t>
      </w:r>
      <w:r w:rsidR="000441F4" w:rsidRPr="006F4C96">
        <w:rPr>
          <w:rFonts w:ascii="Times New Roman" w:hAnsi="Times New Roman" w:cs="Times New Roman"/>
          <w:szCs w:val="20"/>
        </w:rPr>
        <w:t xml:space="preserve"> </w:t>
      </w:r>
      <w:r w:rsidRPr="006F4C96">
        <w:rPr>
          <w:rFonts w:ascii="Times New Roman" w:hAnsi="Times New Roman" w:cs="Times New Roman"/>
          <w:szCs w:val="20"/>
        </w:rPr>
        <w:t>leucocyte</w:t>
      </w:r>
      <w:r w:rsidR="000441F4" w:rsidRPr="006F4C96">
        <w:rPr>
          <w:rFonts w:ascii="Times New Roman" w:hAnsi="Times New Roman" w:cs="Times New Roman"/>
          <w:szCs w:val="20"/>
        </w:rPr>
        <w:t xml:space="preserve"> </w:t>
      </w:r>
      <w:r w:rsidRPr="006F4C96">
        <w:rPr>
          <w:rFonts w:ascii="Times New Roman" w:hAnsi="Times New Roman" w:cs="Times New Roman"/>
          <w:szCs w:val="20"/>
        </w:rPr>
        <w:t>telomere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length</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0012430C" w:rsidRPr="006F4C96">
        <w:rPr>
          <w:rFonts w:ascii="Times New Roman" w:hAnsi="Times New Roman" w:cs="Times New Roman"/>
          <w:szCs w:val="20"/>
        </w:rPr>
        <w:t xml:space="preserve">has been </w:t>
      </w:r>
      <w:r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several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6D64A6" w:rsidRPr="006F4C96">
        <w:rPr>
          <w:rFonts w:ascii="Times New Roman" w:hAnsi="Times New Roman" w:cs="Times New Roman"/>
          <w:szCs w:val="20"/>
        </w:rPr>
        <w:t>–</w:t>
      </w:r>
      <w:r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diseases</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causal</w:t>
      </w:r>
      <w:r w:rsidR="000441F4" w:rsidRPr="006F4C96">
        <w:rPr>
          <w:rFonts w:ascii="Times New Roman" w:hAnsi="Times New Roman" w:cs="Times New Roman"/>
          <w:szCs w:val="20"/>
        </w:rPr>
        <w:t xml:space="preserve"> </w:t>
      </w:r>
      <w:r w:rsidRPr="006F4C96">
        <w:rPr>
          <w:rFonts w:ascii="Times New Roman" w:hAnsi="Times New Roman" w:cs="Times New Roman"/>
          <w:szCs w:val="20"/>
        </w:rPr>
        <w:t>inference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analys</w:t>
      </w:r>
      <w:r w:rsidR="00267AA9" w:rsidRPr="006F4C96">
        <w:rPr>
          <w:rFonts w:ascii="Times New Roman" w:hAnsi="Times New Roman" w:cs="Times New Roman"/>
          <w:szCs w:val="20"/>
        </w:rPr>
        <w:t>e</w:t>
      </w:r>
      <w:r w:rsidRPr="006F4C96">
        <w:rPr>
          <w:rFonts w:ascii="Times New Roman" w:hAnsi="Times New Roman" w:cs="Times New Roman"/>
          <w:szCs w:val="20"/>
        </w:rPr>
        <w:t>s</w:t>
      </w:r>
      <w:r w:rsidR="000441F4" w:rsidRPr="006F4C96">
        <w:rPr>
          <w:rFonts w:ascii="Times New Roman" w:hAnsi="Times New Roman" w:cs="Times New Roman"/>
          <w:szCs w:val="20"/>
        </w:rPr>
        <w:t xml:space="preserve"> </w:t>
      </w:r>
      <w:r w:rsidRPr="006F4C96">
        <w:rPr>
          <w:rFonts w:ascii="Times New Roman" w:hAnsi="Times New Roman" w:cs="Times New Roman"/>
          <w:szCs w:val="20"/>
        </w:rPr>
        <w:t>suggesting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that</w:t>
      </w:r>
      <w:r w:rsidR="000441F4" w:rsidRPr="006F4C96">
        <w:rPr>
          <w:rFonts w:ascii="Times New Roman" w:hAnsi="Times New Roman" w:cs="Times New Roman"/>
          <w:szCs w:val="20"/>
        </w:rPr>
        <w:t xml:space="preserve"> </w:t>
      </w:r>
      <w:r w:rsidRPr="006F4C96">
        <w:rPr>
          <w:rFonts w:ascii="Times New Roman" w:hAnsi="Times New Roman" w:cs="Times New Roman"/>
          <w:szCs w:val="20"/>
        </w:rPr>
        <w:t>some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associations</w:t>
      </w:r>
      <w:r w:rsidR="000441F4" w:rsidRPr="006F4C96">
        <w:rPr>
          <w:rFonts w:ascii="Times New Roman" w:hAnsi="Times New Roman" w:cs="Times New Roman"/>
          <w:szCs w:val="20"/>
        </w:rPr>
        <w:t xml:space="preserve"> </w:t>
      </w:r>
      <w:r w:rsidR="003B7C7B" w:rsidRPr="006F4C96">
        <w:rPr>
          <w:rFonts w:ascii="Times New Roman" w:hAnsi="Times New Roman" w:cs="Times New Roman"/>
          <w:szCs w:val="20"/>
        </w:rPr>
        <w:t>are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primary</w:t>
      </w:r>
      <w:r w:rsidR="00EB408F" w:rsidRPr="006F4C96">
        <w:rPr>
          <w:rFonts w:ascii="Times New Roman" w:hAnsi="Times New Roman" w:cs="Times New Roman"/>
          <w:szCs w:val="20"/>
        </w:rPr>
        <w:t xml:space="preserve"> [11, 12]</w:t>
      </w:r>
      <w:r w:rsidR="007B3FB0"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0642D8" w:rsidRPr="006F4C96">
        <w:rPr>
          <w:rFonts w:ascii="Times New Roman" w:hAnsi="Times New Roman" w:cs="Times New Roman"/>
          <w:szCs w:val="20"/>
        </w:rPr>
        <w:t xml:space="preserve">However, it should be noted that the relationship between LTL and disease is complex and longer LTL </w:t>
      </w:r>
      <w:r w:rsidR="00041145" w:rsidRPr="006F4C96">
        <w:rPr>
          <w:rFonts w:ascii="Times New Roman" w:hAnsi="Times New Roman" w:cs="Times New Roman"/>
          <w:szCs w:val="20"/>
        </w:rPr>
        <w:t>can</w:t>
      </w:r>
      <w:r w:rsidR="00925313" w:rsidRPr="006F4C96">
        <w:rPr>
          <w:rFonts w:ascii="Times New Roman" w:hAnsi="Times New Roman" w:cs="Times New Roman"/>
          <w:szCs w:val="20"/>
        </w:rPr>
        <w:t xml:space="preserve"> also be</w:t>
      </w:r>
      <w:r w:rsidR="000642D8" w:rsidRPr="006F4C96">
        <w:rPr>
          <w:rFonts w:ascii="Times New Roman" w:hAnsi="Times New Roman" w:cs="Times New Roman"/>
          <w:szCs w:val="20"/>
        </w:rPr>
        <w:t xml:space="preserve"> associated with </w:t>
      </w:r>
      <w:r w:rsidR="00925313" w:rsidRPr="006F4C96">
        <w:rPr>
          <w:rFonts w:ascii="Times New Roman" w:hAnsi="Times New Roman" w:cs="Times New Roman"/>
          <w:szCs w:val="20"/>
        </w:rPr>
        <w:t xml:space="preserve">disease </w:t>
      </w:r>
      <w:r w:rsidR="000642D8" w:rsidRPr="006F4C96">
        <w:rPr>
          <w:rFonts w:ascii="Times New Roman" w:hAnsi="Times New Roman" w:cs="Times New Roman"/>
          <w:szCs w:val="20"/>
        </w:rPr>
        <w:t>risk</w:t>
      </w:r>
      <w:r w:rsidR="00925313" w:rsidRPr="006F4C96">
        <w:rPr>
          <w:rFonts w:ascii="Times New Roman" w:hAnsi="Times New Roman" w:cs="Times New Roman"/>
          <w:szCs w:val="20"/>
        </w:rPr>
        <w:t>, most notably for several cancers</w:t>
      </w:r>
      <w:r w:rsidR="00EB408F" w:rsidRPr="006F4C96">
        <w:rPr>
          <w:rFonts w:ascii="Times New Roman" w:hAnsi="Times New Roman" w:cs="Times New Roman"/>
          <w:szCs w:val="20"/>
        </w:rPr>
        <w:t xml:space="preserve"> [11-13]</w:t>
      </w:r>
      <w:r w:rsidR="00283F66"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283F66" w:rsidRPr="006F4C96">
        <w:rPr>
          <w:rFonts w:ascii="Times New Roman" w:hAnsi="Times New Roman" w:cs="Times New Roman"/>
          <w:szCs w:val="20"/>
        </w:rPr>
        <w:t>C</w:t>
      </w:r>
      <w:r w:rsidRPr="006F4C96">
        <w:rPr>
          <w:rFonts w:ascii="Times New Roman" w:hAnsi="Times New Roman" w:cs="Times New Roman"/>
          <w:szCs w:val="20"/>
        </w:rPr>
        <w:t>urrent</w:t>
      </w:r>
      <w:r w:rsidR="000441F4" w:rsidRPr="006F4C96">
        <w:rPr>
          <w:rFonts w:ascii="Times New Roman" w:hAnsi="Times New Roman" w:cs="Times New Roman"/>
          <w:szCs w:val="20"/>
        </w:rPr>
        <w:t xml:space="preserve"> </w:t>
      </w:r>
      <w:r w:rsidRPr="006F4C96">
        <w:rPr>
          <w:rFonts w:ascii="Times New Roman" w:hAnsi="Times New Roman" w:cs="Times New Roman"/>
          <w:szCs w:val="20"/>
        </w:rPr>
        <w:t>evidence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whether</w:t>
      </w:r>
      <w:r w:rsidR="000441F4" w:rsidRPr="006F4C96">
        <w:rPr>
          <w:rFonts w:ascii="Times New Roman" w:hAnsi="Times New Roman" w:cs="Times New Roman"/>
          <w:szCs w:val="20"/>
        </w:rPr>
        <w:t xml:space="preserve"> </w:t>
      </w:r>
      <w:r w:rsidR="00E67FED" w:rsidRPr="006F4C96">
        <w:rPr>
          <w:rFonts w:ascii="Times New Roman" w:hAnsi="Times New Roman" w:cs="Times New Roman"/>
          <w:szCs w:val="20"/>
        </w:rPr>
        <w:t>inter–</w:t>
      </w:r>
      <w:r w:rsidR="00283F66" w:rsidRPr="006F4C96">
        <w:rPr>
          <w:rFonts w:ascii="Times New Roman" w:hAnsi="Times New Roman" w:cs="Times New Roman"/>
          <w:szCs w:val="20"/>
        </w:rPr>
        <w:t>individual variation in</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65566D" w:rsidRPr="006F4C96">
        <w:rPr>
          <w:rFonts w:ascii="Times New Roman" w:hAnsi="Times New Roman" w:cs="Times New Roman"/>
          <w:szCs w:val="20"/>
        </w:rPr>
        <w:t xml:space="preserve">higher </w:t>
      </w:r>
      <w:r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inconclusive</w:t>
      </w:r>
      <w:r w:rsidR="00EB408F" w:rsidRPr="006F4C96">
        <w:rPr>
          <w:rFonts w:ascii="Times New Roman" w:hAnsi="Times New Roman" w:cs="Times New Roman"/>
          <w:szCs w:val="20"/>
        </w:rPr>
        <w:t xml:space="preserve"> [14-16]</w:t>
      </w:r>
      <w:r w:rsidR="007B3FB0" w:rsidRPr="006F4C96">
        <w:rPr>
          <w:rFonts w:ascii="Times New Roman" w:hAnsi="Times New Roman" w:cs="Times New Roman"/>
          <w:szCs w:val="20"/>
        </w:rPr>
        <w:t>.</w:t>
      </w:r>
      <w:r w:rsidR="002C21E6" w:rsidRPr="006F4C96">
        <w:rPr>
          <w:rFonts w:ascii="Times New Roman" w:hAnsi="Times New Roman" w:cs="Times New Roman"/>
          <w:szCs w:val="20"/>
        </w:rPr>
        <w:t xml:space="preserve"> </w:t>
      </w:r>
    </w:p>
    <w:p w14:paraId="647A30FF" w14:textId="32C3B781" w:rsidR="00C45867" w:rsidRPr="006F4C96" w:rsidRDefault="00C73C54"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We have recently generated cohort</w:t>
      </w:r>
      <w:r w:rsidR="0017668B" w:rsidRPr="006F4C96">
        <w:rPr>
          <w:rFonts w:ascii="Times New Roman" w:hAnsi="Times New Roman" w:cs="Times New Roman"/>
          <w:szCs w:val="20"/>
        </w:rPr>
        <w:t>–</w:t>
      </w:r>
      <w:r w:rsidRPr="006F4C96">
        <w:rPr>
          <w:rFonts w:ascii="Times New Roman" w:hAnsi="Times New Roman" w:cs="Times New Roman"/>
          <w:szCs w:val="20"/>
        </w:rPr>
        <w:t xml:space="preserve">wide LTL measurements in UK Biobank </w:t>
      </w:r>
      <w:r w:rsidR="00B4558B" w:rsidRPr="006F4C96">
        <w:rPr>
          <w:rFonts w:ascii="Times New Roman" w:hAnsi="Times New Roman" w:cs="Times New Roman"/>
          <w:szCs w:val="20"/>
        </w:rPr>
        <w:t>(UKB)</w:t>
      </w:r>
      <w:r w:rsidR="00EB408F" w:rsidRPr="006F4C96">
        <w:rPr>
          <w:rFonts w:ascii="Times New Roman" w:hAnsi="Times New Roman" w:cs="Times New Roman"/>
          <w:szCs w:val="20"/>
        </w:rPr>
        <w:t xml:space="preserve"> [17]</w:t>
      </w:r>
      <w:r w:rsidR="007B3FB0"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65566D" w:rsidRPr="006F4C96">
        <w:rPr>
          <w:rFonts w:ascii="Times New Roman" w:hAnsi="Times New Roman" w:cs="Times New Roman"/>
          <w:szCs w:val="20"/>
        </w:rPr>
        <w:t>U</w:t>
      </w:r>
      <w:r w:rsidRPr="006F4C96">
        <w:rPr>
          <w:rFonts w:ascii="Times New Roman" w:hAnsi="Times New Roman" w:cs="Times New Roman"/>
          <w:szCs w:val="20"/>
        </w:rPr>
        <w:t xml:space="preserve">sing this </w:t>
      </w:r>
      <w:r w:rsidR="0065566D" w:rsidRPr="006F4C96">
        <w:rPr>
          <w:rFonts w:ascii="Times New Roman" w:hAnsi="Times New Roman" w:cs="Times New Roman"/>
          <w:szCs w:val="20"/>
        </w:rPr>
        <w:t xml:space="preserve">large–scale </w:t>
      </w:r>
      <w:r w:rsidRPr="006F4C96">
        <w:rPr>
          <w:rFonts w:ascii="Times New Roman" w:hAnsi="Times New Roman" w:cs="Times New Roman"/>
          <w:szCs w:val="20"/>
        </w:rPr>
        <w:t>resource</w:t>
      </w:r>
      <w:r w:rsidR="0065566D" w:rsidRPr="006F4C96">
        <w:rPr>
          <w:rFonts w:ascii="Times New Roman" w:hAnsi="Times New Roman" w:cs="Times New Roman"/>
          <w:szCs w:val="20"/>
        </w:rPr>
        <w:t xml:space="preserve"> we</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investigate</w:t>
      </w:r>
      <w:r w:rsidR="0065566D" w:rsidRPr="006F4C96">
        <w:rPr>
          <w:rFonts w:ascii="Times New Roman" w:hAnsi="Times New Roman" w:cs="Times New Roman"/>
          <w:szCs w:val="20"/>
        </w:rPr>
        <w:t>d</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whether</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0065566D" w:rsidRPr="006F4C96">
        <w:rPr>
          <w:rFonts w:ascii="Times New Roman" w:hAnsi="Times New Roman" w:cs="Times New Roman"/>
          <w:szCs w:val="20"/>
        </w:rPr>
        <w:t>independently of</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chronological</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other</w:t>
      </w:r>
      <w:r w:rsidR="000441F4" w:rsidRPr="006F4C96">
        <w:rPr>
          <w:rFonts w:ascii="Times New Roman" w:hAnsi="Times New Roman" w:cs="Times New Roman"/>
          <w:szCs w:val="20"/>
        </w:rPr>
        <w:t xml:space="preserve"> </w:t>
      </w:r>
      <w:r w:rsidR="0065566D" w:rsidRPr="006F4C96">
        <w:rPr>
          <w:rFonts w:ascii="Times New Roman" w:hAnsi="Times New Roman" w:cs="Times New Roman"/>
          <w:szCs w:val="20"/>
        </w:rPr>
        <w:t xml:space="preserve">established </w:t>
      </w:r>
      <w:r w:rsidR="00C45867"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factors.</w:t>
      </w:r>
      <w:r w:rsidR="000441F4" w:rsidRPr="006F4C96">
        <w:rPr>
          <w:rFonts w:ascii="Times New Roman" w:hAnsi="Times New Roman" w:cs="Times New Roman"/>
          <w:szCs w:val="20"/>
        </w:rPr>
        <w:t xml:space="preserve"> </w:t>
      </w:r>
    </w:p>
    <w:p w14:paraId="7FBE1CB0" w14:textId="29491CE8" w:rsidR="00C45867" w:rsidRPr="006F4C96" w:rsidRDefault="00C45867" w:rsidP="008C738E">
      <w:pPr>
        <w:spacing w:after="0" w:line="480" w:lineRule="auto"/>
        <w:rPr>
          <w:rFonts w:ascii="Times New Roman" w:hAnsi="Times New Roman" w:cs="Times New Roman"/>
          <w:b/>
          <w:sz w:val="24"/>
          <w:szCs w:val="20"/>
        </w:rPr>
      </w:pPr>
      <w:r w:rsidRPr="006F4C96">
        <w:rPr>
          <w:rFonts w:ascii="Times New Roman" w:hAnsi="Times New Roman" w:cs="Times New Roman"/>
          <w:b/>
          <w:sz w:val="24"/>
          <w:szCs w:val="20"/>
        </w:rPr>
        <w:t>Methods</w:t>
      </w:r>
      <w:r w:rsidR="000441F4" w:rsidRPr="006F4C96">
        <w:rPr>
          <w:rFonts w:ascii="Times New Roman" w:hAnsi="Times New Roman" w:cs="Times New Roman"/>
          <w:b/>
          <w:sz w:val="24"/>
          <w:szCs w:val="20"/>
        </w:rPr>
        <w:t xml:space="preserve"> </w:t>
      </w:r>
    </w:p>
    <w:p w14:paraId="3B5F8ED6" w14:textId="0F13B865" w:rsidR="00C45867" w:rsidRPr="006F4C96" w:rsidRDefault="00C45867" w:rsidP="008C738E">
      <w:pPr>
        <w:spacing w:after="0" w:line="480" w:lineRule="auto"/>
        <w:rPr>
          <w:rFonts w:ascii="Times New Roman" w:hAnsi="Times New Roman" w:cs="Times New Roman"/>
          <w:b/>
          <w:szCs w:val="20"/>
        </w:rPr>
      </w:pPr>
      <w:r w:rsidRPr="006F4C96">
        <w:rPr>
          <w:rFonts w:ascii="Times New Roman" w:hAnsi="Times New Roman" w:cs="Times New Roman"/>
          <w:b/>
          <w:szCs w:val="20"/>
        </w:rPr>
        <w:t>Participants</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and</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Data</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Collection</w:t>
      </w:r>
    </w:p>
    <w:p w14:paraId="679F25E0" w14:textId="227DF790" w:rsidR="00E401DD" w:rsidRPr="006F4C96" w:rsidRDefault="000B081B"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As previously described</w:t>
      </w:r>
      <w:r w:rsidR="00EB408F" w:rsidRPr="006F4C96">
        <w:rPr>
          <w:rFonts w:ascii="Times New Roman" w:hAnsi="Times New Roman" w:cs="Times New Roman"/>
          <w:szCs w:val="20"/>
        </w:rPr>
        <w:t xml:space="preserve"> [18]</w:t>
      </w:r>
      <w:r w:rsidRPr="006F4C96">
        <w:rPr>
          <w:rFonts w:ascii="Times New Roman" w:hAnsi="Times New Roman" w:cs="Times New Roman"/>
          <w:szCs w:val="20"/>
        </w:rPr>
        <w:t>,</w:t>
      </w:r>
      <w:r w:rsidR="002C21E6" w:rsidRPr="006F4C96">
        <w:rPr>
          <w:rFonts w:ascii="Times New Roman" w:hAnsi="Times New Roman" w:cs="Times New Roman"/>
          <w:szCs w:val="20"/>
        </w:rPr>
        <w:t xml:space="preserve"> </w:t>
      </w:r>
      <w:r w:rsidRPr="006F4C96">
        <w:rPr>
          <w:rFonts w:ascii="Times New Roman" w:hAnsi="Times New Roman" w:cs="Times New Roman"/>
          <w:szCs w:val="20"/>
        </w:rPr>
        <w:t xml:space="preserve">UKB recruited </w:t>
      </w:r>
      <w:r w:rsidR="002F1CB6" w:rsidRPr="006F4C96">
        <w:rPr>
          <w:rFonts w:ascii="Times New Roman" w:hAnsi="Times New Roman" w:cs="Times New Roman"/>
          <w:szCs w:val="20"/>
        </w:rPr>
        <w:t>502</w:t>
      </w:r>
      <w:r w:rsidRPr="006F4C96">
        <w:rPr>
          <w:rFonts w:ascii="Times New Roman" w:hAnsi="Times New Roman" w:cs="Times New Roman"/>
          <w:szCs w:val="20"/>
        </w:rPr>
        <w:t>,</w:t>
      </w:r>
      <w:r w:rsidR="002F1CB6" w:rsidRPr="006F4C96">
        <w:rPr>
          <w:rFonts w:ascii="Times New Roman" w:hAnsi="Times New Roman" w:cs="Times New Roman"/>
          <w:szCs w:val="20"/>
        </w:rPr>
        <w:t xml:space="preserve">478 </w:t>
      </w:r>
      <w:r w:rsidRPr="006F4C96">
        <w:rPr>
          <w:rFonts w:ascii="Times New Roman" w:hAnsi="Times New Roman" w:cs="Times New Roman"/>
          <w:szCs w:val="20"/>
        </w:rPr>
        <w:t xml:space="preserve">participants aged 40–69 years during the years 2006–2010. Participants have been characterised in detail using questionnaires, physical measurements, biological assays and longitudinal linkage with multiple health record systems. </w:t>
      </w:r>
      <w:r w:rsidR="00C45867" w:rsidRPr="006F4C96">
        <w:rPr>
          <w:rFonts w:ascii="Times New Roman" w:hAnsi="Times New Roman" w:cs="Times New Roman"/>
          <w:szCs w:val="20"/>
        </w:rPr>
        <w:t>Detailed</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information</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regarding</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physical</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assessments</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undertaken</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available</w:t>
      </w:r>
      <w:r w:rsidR="000441F4" w:rsidRPr="006F4C96">
        <w:rPr>
          <w:rFonts w:ascii="Times New Roman" w:hAnsi="Times New Roman" w:cs="Times New Roman"/>
          <w:szCs w:val="20"/>
        </w:rPr>
        <w:t xml:space="preserve"> </w:t>
      </w:r>
      <w:r w:rsidR="00C45867" w:rsidRPr="006F4C96">
        <w:rPr>
          <w:rFonts w:ascii="Times New Roman" w:hAnsi="Times New Roman" w:cs="Times New Roman"/>
          <w:szCs w:val="20"/>
        </w:rPr>
        <w:t>at</w:t>
      </w:r>
      <w:r w:rsidR="000441F4" w:rsidRPr="006F4C96">
        <w:rPr>
          <w:rFonts w:ascii="Times New Roman" w:hAnsi="Times New Roman" w:cs="Times New Roman"/>
          <w:szCs w:val="20"/>
        </w:rPr>
        <w:t xml:space="preserve"> </w:t>
      </w:r>
      <w:hyperlink r:id="rId10" w:history="1">
        <w:r w:rsidR="00E401DD" w:rsidRPr="006F4C96">
          <w:rPr>
            <w:rStyle w:val="Hyperlink"/>
            <w:rFonts w:ascii="Times New Roman" w:hAnsi="Times New Roman" w:cs="Times New Roman"/>
            <w:color w:val="auto"/>
            <w:szCs w:val="20"/>
          </w:rPr>
          <w:t>https://www.ukbiobank.ac.uk/</w:t>
        </w:r>
      </w:hyperlink>
      <w:r w:rsidR="00C45867" w:rsidRPr="006F4C96">
        <w:rPr>
          <w:rFonts w:ascii="Times New Roman" w:hAnsi="Times New Roman" w:cs="Times New Roman"/>
          <w:szCs w:val="20"/>
        </w:rPr>
        <w:t>.</w:t>
      </w:r>
      <w:r w:rsidR="007B3FB0" w:rsidRPr="006F4C96">
        <w:rPr>
          <w:rFonts w:ascii="Times New Roman" w:hAnsi="Times New Roman" w:cs="Times New Roman"/>
          <w:szCs w:val="20"/>
        </w:rPr>
        <w:t xml:space="preserve"> </w:t>
      </w:r>
      <w:r w:rsidR="00E401DD" w:rsidRPr="006F4C96">
        <w:rPr>
          <w:rFonts w:ascii="Times New Roman" w:hAnsi="Times New Roman" w:cs="Times New Roman"/>
          <w:szCs w:val="20"/>
        </w:rPr>
        <w:t xml:space="preserve">UKB </w:t>
      </w:r>
      <w:r w:rsidR="0065566D" w:rsidRPr="006F4C96">
        <w:rPr>
          <w:rFonts w:ascii="Times New Roman" w:hAnsi="Times New Roman" w:cs="Times New Roman"/>
          <w:szCs w:val="20"/>
        </w:rPr>
        <w:t>received</w:t>
      </w:r>
      <w:r w:rsidR="00E401DD" w:rsidRPr="006F4C96">
        <w:rPr>
          <w:rFonts w:ascii="Times New Roman" w:hAnsi="Times New Roman" w:cs="Times New Roman"/>
          <w:szCs w:val="20"/>
        </w:rPr>
        <w:t xml:space="preserve"> approval from the North West Centre for Resear</w:t>
      </w:r>
      <w:r w:rsidR="00800E4D" w:rsidRPr="006F4C96">
        <w:rPr>
          <w:rFonts w:ascii="Times New Roman" w:hAnsi="Times New Roman" w:cs="Times New Roman"/>
          <w:szCs w:val="20"/>
        </w:rPr>
        <w:t>ch Ethics Committee (11/NW/0382) and have therefore been performed in accordance with the ethical standards laid down in the 1964 Declaration of Helsinki and its later amendments</w:t>
      </w:r>
      <w:r w:rsidR="00E401DD" w:rsidRPr="006F4C96">
        <w:rPr>
          <w:rFonts w:ascii="Times New Roman" w:hAnsi="Times New Roman" w:cs="Times New Roman"/>
          <w:szCs w:val="20"/>
        </w:rPr>
        <w:t xml:space="preserve">. </w:t>
      </w:r>
      <w:r w:rsidR="00115CB7" w:rsidRPr="006F4C96">
        <w:rPr>
          <w:rFonts w:ascii="Times New Roman" w:hAnsi="Times New Roman" w:cs="Times New Roman"/>
          <w:szCs w:val="20"/>
        </w:rPr>
        <w:t>The use of data presented in this paper was approved by the Access Committee of UKB under application number 6077.</w:t>
      </w:r>
    </w:p>
    <w:p w14:paraId="3B34C97E" w14:textId="2FBCEF58" w:rsidR="00C410C8" w:rsidRPr="006F4C96" w:rsidRDefault="00C410C8" w:rsidP="008C738E">
      <w:pPr>
        <w:spacing w:after="0" w:line="480" w:lineRule="auto"/>
        <w:rPr>
          <w:rFonts w:ascii="Times New Roman" w:hAnsi="Times New Roman" w:cs="Times New Roman"/>
          <w:b/>
          <w:szCs w:val="20"/>
        </w:rPr>
      </w:pPr>
      <w:r w:rsidRPr="006F4C96">
        <w:rPr>
          <w:rFonts w:ascii="Times New Roman" w:hAnsi="Times New Roman" w:cs="Times New Roman"/>
          <w:b/>
          <w:szCs w:val="20"/>
        </w:rPr>
        <w:t>Frailty</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phenotype</w:t>
      </w:r>
    </w:p>
    <w:p w14:paraId="3219195F" w14:textId="6980A805" w:rsidR="00C410C8" w:rsidRPr="006F4C96" w:rsidRDefault="00C410C8"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Based</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3B7C7B" w:rsidRPr="006F4C96">
        <w:rPr>
          <w:rFonts w:ascii="Times New Roman" w:hAnsi="Times New Roman" w:cs="Times New Roman"/>
          <w:szCs w:val="20"/>
        </w:rPr>
        <w:t>concept</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biological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syndrome,</w:t>
      </w:r>
      <w:r w:rsidR="000441F4" w:rsidRPr="006F4C96">
        <w:rPr>
          <w:rFonts w:ascii="Times New Roman" w:hAnsi="Times New Roman" w:cs="Times New Roman"/>
          <w:szCs w:val="20"/>
        </w:rPr>
        <w:t xml:space="preserve"> </w:t>
      </w:r>
      <w:r w:rsidRPr="006F4C96">
        <w:rPr>
          <w:rFonts w:ascii="Times New Roman" w:hAnsi="Times New Roman" w:cs="Times New Roman"/>
          <w:szCs w:val="20"/>
        </w:rPr>
        <w:t>we</w:t>
      </w:r>
      <w:r w:rsidR="000441F4" w:rsidRPr="006F4C96">
        <w:rPr>
          <w:rFonts w:ascii="Times New Roman" w:hAnsi="Times New Roman" w:cs="Times New Roman"/>
          <w:szCs w:val="20"/>
        </w:rPr>
        <w:t xml:space="preserve"> </w:t>
      </w:r>
      <w:r w:rsidRPr="006F4C96">
        <w:rPr>
          <w:rFonts w:ascii="Times New Roman" w:hAnsi="Times New Roman" w:cs="Times New Roman"/>
          <w:szCs w:val="20"/>
        </w:rPr>
        <w:t>implement</w:t>
      </w:r>
      <w:r w:rsidR="000B081B" w:rsidRPr="006F4C96">
        <w:rPr>
          <w:rFonts w:ascii="Times New Roman" w:hAnsi="Times New Roman" w:cs="Times New Roman"/>
          <w:szCs w:val="20"/>
        </w:rPr>
        <w: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i/>
          <w:szCs w:val="20"/>
        </w:rPr>
        <w:t>phenotype</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B081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developed</w:t>
      </w:r>
      <w:r w:rsidR="000441F4" w:rsidRPr="006F4C96">
        <w:rPr>
          <w:rFonts w:ascii="Times New Roman" w:hAnsi="Times New Roman" w:cs="Times New Roman"/>
          <w:szCs w:val="20"/>
        </w:rPr>
        <w:t xml:space="preserve"> </w:t>
      </w:r>
      <w:r w:rsidRPr="006F4C96">
        <w:rPr>
          <w:rFonts w:ascii="Times New Roman" w:hAnsi="Times New Roman" w:cs="Times New Roman"/>
          <w:szCs w:val="20"/>
        </w:rPr>
        <w:t>by</w:t>
      </w:r>
      <w:r w:rsidR="000441F4" w:rsidRPr="006F4C96">
        <w:rPr>
          <w:rFonts w:ascii="Times New Roman" w:hAnsi="Times New Roman" w:cs="Times New Roman"/>
          <w:szCs w:val="20"/>
        </w:rPr>
        <w:t xml:space="preserve"> </w:t>
      </w:r>
      <w:r w:rsidRPr="006F4C96">
        <w:rPr>
          <w:rFonts w:ascii="Times New Roman" w:hAnsi="Times New Roman" w:cs="Times New Roman"/>
          <w:szCs w:val="20"/>
        </w:rPr>
        <w:t>Fried</w:t>
      </w:r>
      <w:r w:rsidR="000441F4" w:rsidRPr="006F4C96">
        <w:rPr>
          <w:rFonts w:ascii="Times New Roman" w:hAnsi="Times New Roman" w:cs="Times New Roman"/>
          <w:szCs w:val="20"/>
        </w:rPr>
        <w:t xml:space="preserve"> </w:t>
      </w:r>
      <w:r w:rsidRPr="006F4C96">
        <w:rPr>
          <w:rFonts w:ascii="Times New Roman" w:hAnsi="Times New Roman" w:cs="Times New Roman"/>
          <w:szCs w:val="20"/>
        </w:rPr>
        <w:t>et</w:t>
      </w:r>
      <w:r w:rsidR="000441F4" w:rsidRPr="006F4C96">
        <w:rPr>
          <w:rFonts w:ascii="Times New Roman" w:hAnsi="Times New Roman" w:cs="Times New Roman"/>
          <w:szCs w:val="20"/>
        </w:rPr>
        <w:t xml:space="preserve"> </w:t>
      </w:r>
      <w:r w:rsidRPr="006F4C96">
        <w:rPr>
          <w:rFonts w:ascii="Times New Roman" w:hAnsi="Times New Roman" w:cs="Times New Roman"/>
          <w:szCs w:val="20"/>
        </w:rPr>
        <w:t>al.</w:t>
      </w:r>
      <w:r w:rsidR="00EB408F" w:rsidRPr="006F4C96">
        <w:rPr>
          <w:rFonts w:ascii="Times New Roman" w:hAnsi="Times New Roman" w:cs="Times New Roman"/>
          <w:szCs w:val="20"/>
        </w:rPr>
        <w:t xml:space="preserve"> [3]</w:t>
      </w:r>
      <w:r w:rsidR="000B081B" w:rsidRPr="006F4C96">
        <w:rPr>
          <w:rFonts w:ascii="Times New Roman" w:hAnsi="Times New Roman" w:cs="Times New Roman"/>
          <w:szCs w:val="20"/>
        </w:rPr>
        <w:t xml:space="preserve">, </w:t>
      </w:r>
      <w:r w:rsidRPr="006F4C96">
        <w:rPr>
          <w:rFonts w:ascii="Times New Roman" w:hAnsi="Times New Roman" w:cs="Times New Roman"/>
          <w:szCs w:val="20"/>
        </w:rPr>
        <w:t>which</w:t>
      </w:r>
      <w:r w:rsidR="000441F4" w:rsidRPr="006F4C96">
        <w:rPr>
          <w:rFonts w:ascii="Times New Roman" w:hAnsi="Times New Roman" w:cs="Times New Roman"/>
          <w:szCs w:val="20"/>
        </w:rPr>
        <w:t xml:space="preserve"> </w:t>
      </w:r>
      <w:r w:rsidRPr="006F4C96">
        <w:rPr>
          <w:rFonts w:ascii="Times New Roman" w:hAnsi="Times New Roman" w:cs="Times New Roman"/>
          <w:szCs w:val="20"/>
        </w:rPr>
        <w:t>has</w:t>
      </w:r>
      <w:r w:rsidR="000441F4" w:rsidRPr="006F4C96">
        <w:rPr>
          <w:rFonts w:ascii="Times New Roman" w:hAnsi="Times New Roman" w:cs="Times New Roman"/>
          <w:szCs w:val="20"/>
        </w:rPr>
        <w:t xml:space="preserve"> </w:t>
      </w:r>
      <w:r w:rsidRPr="006F4C96">
        <w:rPr>
          <w:rFonts w:ascii="Times New Roman" w:hAnsi="Times New Roman" w:cs="Times New Roman"/>
          <w:szCs w:val="20"/>
        </w:rPr>
        <w:t>been</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previously</w:t>
      </w:r>
      <w:r w:rsidR="000441F4" w:rsidRPr="006F4C96">
        <w:rPr>
          <w:rFonts w:ascii="Times New Roman" w:hAnsi="Times New Roman" w:cs="Times New Roman"/>
          <w:szCs w:val="20"/>
        </w:rPr>
        <w:t xml:space="preserve"> </w:t>
      </w:r>
      <w:r w:rsidRPr="006F4C96">
        <w:rPr>
          <w:rFonts w:ascii="Times New Roman" w:hAnsi="Times New Roman" w:cs="Times New Roman"/>
          <w:szCs w:val="20"/>
        </w:rPr>
        <w:t>utilised</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UKB</w:t>
      </w:r>
      <w:r w:rsidR="00EB408F" w:rsidRPr="006F4C96">
        <w:rPr>
          <w:rFonts w:ascii="Times New Roman" w:hAnsi="Times New Roman" w:cs="Times New Roman"/>
          <w:szCs w:val="20"/>
        </w:rPr>
        <w:t xml:space="preserve"> [</w:t>
      </w:r>
      <w:r w:rsidR="002C21E6" w:rsidRPr="006F4C96">
        <w:rPr>
          <w:rFonts w:ascii="Times New Roman" w:hAnsi="Times New Roman" w:cs="Times New Roman"/>
          <w:szCs w:val="20"/>
        </w:rPr>
        <w:t>19</w:t>
      </w:r>
      <w:r w:rsidR="000C576E" w:rsidRPr="006F4C96">
        <w:rPr>
          <w:rFonts w:ascii="Times New Roman" w:hAnsi="Times New Roman" w:cs="Times New Roman"/>
          <w:szCs w:val="20"/>
        </w:rPr>
        <w:t>,</w:t>
      </w:r>
      <w:r w:rsidR="00EB408F" w:rsidRPr="006F4C96">
        <w:rPr>
          <w:rFonts w:ascii="Times New Roman" w:hAnsi="Times New Roman" w:cs="Times New Roman"/>
          <w:szCs w:val="20"/>
        </w:rPr>
        <w:t xml:space="preserve"> </w:t>
      </w:r>
      <w:r w:rsidR="002C21E6" w:rsidRPr="006F4C96">
        <w:rPr>
          <w:rFonts w:ascii="Times New Roman" w:hAnsi="Times New Roman" w:cs="Times New Roman"/>
          <w:szCs w:val="20"/>
        </w:rPr>
        <w:t>2</w:t>
      </w:r>
      <w:r w:rsidR="00EB408F" w:rsidRPr="006F4C96">
        <w:rPr>
          <w:rFonts w:ascii="Times New Roman" w:hAnsi="Times New Roman" w:cs="Times New Roman"/>
          <w:szCs w:val="20"/>
        </w:rPr>
        <w:t xml:space="preserve">0]. </w:t>
      </w:r>
      <w:r w:rsidRPr="006F4C96">
        <w:rPr>
          <w:rFonts w:ascii="Times New Roman" w:hAnsi="Times New Roman" w:cs="Times New Roman"/>
          <w:szCs w:val="20"/>
        </w:rPr>
        <w:t>Under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this</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five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B081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0B081B" w:rsidRPr="006F4C96">
        <w:rPr>
          <w:rFonts w:ascii="Times New Roman" w:hAnsi="Times New Roman" w:cs="Times New Roman"/>
          <w:szCs w:val="20"/>
        </w:rPr>
        <w:t xml:space="preserve">assessed at baseline examination, </w:t>
      </w:r>
      <w:r w:rsidR="00283F66" w:rsidRPr="006F4C96">
        <w:rPr>
          <w:rFonts w:ascii="Times New Roman" w:hAnsi="Times New Roman" w:cs="Times New Roman"/>
          <w:szCs w:val="20"/>
        </w:rPr>
        <w:t>were used to define frailty</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weakness,</w:t>
      </w:r>
      <w:r w:rsidR="000441F4" w:rsidRPr="006F4C96">
        <w:rPr>
          <w:rFonts w:ascii="Times New Roman" w:hAnsi="Times New Roman" w:cs="Times New Roman"/>
          <w:szCs w:val="20"/>
        </w:rPr>
        <w:t xml:space="preserve"> </w:t>
      </w:r>
      <w:r w:rsidRPr="006F4C96">
        <w:rPr>
          <w:rFonts w:ascii="Times New Roman" w:hAnsi="Times New Roman" w:cs="Times New Roman"/>
          <w:szCs w:val="20"/>
        </w:rPr>
        <w:t>slowness,</w:t>
      </w:r>
      <w:r w:rsidR="000441F4" w:rsidRPr="006F4C96">
        <w:rPr>
          <w:rFonts w:ascii="Times New Roman" w:hAnsi="Times New Roman" w:cs="Times New Roman"/>
          <w:szCs w:val="20"/>
        </w:rPr>
        <w:t xml:space="preserve"> </w:t>
      </w:r>
      <w:r w:rsidRPr="006F4C96">
        <w:rPr>
          <w:rFonts w:ascii="Times New Roman" w:hAnsi="Times New Roman" w:cs="Times New Roman"/>
          <w:szCs w:val="20"/>
        </w:rPr>
        <w:t>weight</w:t>
      </w:r>
      <w:r w:rsidR="000441F4" w:rsidRPr="006F4C96">
        <w:rPr>
          <w:rFonts w:ascii="Times New Roman" w:hAnsi="Times New Roman" w:cs="Times New Roman"/>
          <w:szCs w:val="20"/>
        </w:rPr>
        <w:t xml:space="preserve"> </w:t>
      </w:r>
      <w:r w:rsidRPr="006F4C96">
        <w:rPr>
          <w:rFonts w:ascii="Times New Roman" w:hAnsi="Times New Roman" w:cs="Times New Roman"/>
          <w:szCs w:val="20"/>
        </w:rPr>
        <w:t>loss,</w:t>
      </w:r>
      <w:r w:rsidR="000441F4" w:rsidRPr="006F4C96">
        <w:rPr>
          <w:rFonts w:ascii="Times New Roman" w:hAnsi="Times New Roman" w:cs="Times New Roman"/>
          <w:szCs w:val="20"/>
        </w:rPr>
        <w:t xml:space="preserve"> </w:t>
      </w:r>
      <w:r w:rsidRPr="006F4C96">
        <w:rPr>
          <w:rFonts w:ascii="Times New Roman" w:hAnsi="Times New Roman" w:cs="Times New Roman"/>
          <w:szCs w:val="20"/>
        </w:rPr>
        <w:t>low</w:t>
      </w:r>
      <w:r w:rsidR="000441F4" w:rsidRPr="006F4C96">
        <w:rPr>
          <w:rFonts w:ascii="Times New Roman" w:hAnsi="Times New Roman" w:cs="Times New Roman"/>
          <w:szCs w:val="20"/>
        </w:rPr>
        <w:t xml:space="preserve"> </w:t>
      </w:r>
      <w:r w:rsidRPr="006F4C96">
        <w:rPr>
          <w:rFonts w:ascii="Times New Roman" w:hAnsi="Times New Roman" w:cs="Times New Roman"/>
          <w:szCs w:val="20"/>
        </w:rPr>
        <w:t>physical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activity</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exhaustion</w:t>
      </w:r>
      <w:r w:rsidR="00E52898" w:rsidRPr="006F4C96">
        <w:rPr>
          <w:rFonts w:ascii="Times New Roman" w:hAnsi="Times New Roman" w:cs="Times New Roman"/>
          <w:szCs w:val="20"/>
        </w:rPr>
        <w:t xml:space="preserve">. </w:t>
      </w:r>
      <w:r w:rsidR="009C6DA8" w:rsidRPr="006F4C96">
        <w:rPr>
          <w:rFonts w:ascii="Times New Roman" w:hAnsi="Times New Roman" w:cs="Times New Roman"/>
          <w:szCs w:val="20"/>
        </w:rPr>
        <w:t>For each indicator we employed 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following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scoring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system:</w:t>
      </w:r>
      <w:r w:rsidR="000441F4" w:rsidRPr="006F4C96">
        <w:rPr>
          <w:rFonts w:ascii="Times New Roman" w:hAnsi="Times New Roman" w:cs="Times New Roman"/>
          <w:szCs w:val="20"/>
        </w:rPr>
        <w:t xml:space="preserve"> </w:t>
      </w:r>
      <w:r w:rsidR="009C6DA8" w:rsidRPr="006F4C96">
        <w:rPr>
          <w:rFonts w:ascii="Times New Roman" w:hAnsi="Times New Roman" w:cs="Times New Roman"/>
          <w:szCs w:val="20"/>
        </w:rPr>
        <w:t>(i) w</w:t>
      </w:r>
      <w:r w:rsidRPr="006F4C96">
        <w:rPr>
          <w:rFonts w:ascii="Times New Roman" w:hAnsi="Times New Roman" w:cs="Times New Roman"/>
          <w:szCs w:val="20"/>
        </w:rPr>
        <w:t>eakness</w:t>
      </w:r>
      <w:r w:rsidR="009C6DA8"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using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maximum</w:t>
      </w:r>
      <w:r w:rsidR="000441F4" w:rsidRPr="006F4C96">
        <w:rPr>
          <w:rFonts w:ascii="Times New Roman" w:hAnsi="Times New Roman" w:cs="Times New Roman"/>
          <w:szCs w:val="20"/>
        </w:rPr>
        <w:t xml:space="preserve"> </w:t>
      </w:r>
      <w:r w:rsidRPr="006F4C96">
        <w:rPr>
          <w:rFonts w:ascii="Times New Roman" w:hAnsi="Times New Roman" w:cs="Times New Roman"/>
          <w:szCs w:val="20"/>
        </w:rPr>
        <w:t>hand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grip</w:t>
      </w:r>
      <w:r w:rsidR="000441F4" w:rsidRPr="006F4C96">
        <w:rPr>
          <w:rFonts w:ascii="Times New Roman" w:hAnsi="Times New Roman" w:cs="Times New Roman"/>
          <w:szCs w:val="20"/>
        </w:rPr>
        <w:t xml:space="preserve"> </w:t>
      </w:r>
      <w:r w:rsidRPr="006F4C96">
        <w:rPr>
          <w:rFonts w:ascii="Times New Roman" w:hAnsi="Times New Roman" w:cs="Times New Roman"/>
          <w:szCs w:val="20"/>
        </w:rPr>
        <w:t>strength</w:t>
      </w:r>
      <w:r w:rsidR="000441F4" w:rsidRPr="006F4C96">
        <w:rPr>
          <w:rFonts w:ascii="Times New Roman" w:hAnsi="Times New Roman" w:cs="Times New Roman"/>
          <w:szCs w:val="20"/>
        </w:rPr>
        <w:t xml:space="preserve"> </w:t>
      </w:r>
      <w:r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Pr="006F4C96">
        <w:rPr>
          <w:rFonts w:ascii="Times New Roman" w:hAnsi="Times New Roman" w:cs="Times New Roman"/>
          <w:szCs w:val="20"/>
        </w:rPr>
        <w:t>both</w:t>
      </w:r>
      <w:r w:rsidR="000441F4" w:rsidRPr="006F4C96">
        <w:rPr>
          <w:rFonts w:ascii="Times New Roman" w:hAnsi="Times New Roman" w:cs="Times New Roman"/>
          <w:szCs w:val="20"/>
        </w:rPr>
        <w:t xml:space="preserve"> </w:t>
      </w:r>
      <w:r w:rsidRPr="006F4C96">
        <w:rPr>
          <w:rFonts w:ascii="Times New Roman" w:hAnsi="Times New Roman" w:cs="Times New Roman"/>
          <w:szCs w:val="20"/>
        </w:rPr>
        <w:t>arms</w:t>
      </w:r>
      <w:r w:rsidR="00B4558B" w:rsidRPr="006F4C96">
        <w:rPr>
          <w:rFonts w:ascii="Times New Roman" w:hAnsi="Times New Roman" w:cs="Times New Roman"/>
          <w:szCs w:val="20"/>
        </w:rPr>
        <w:t xml:space="preserve"> (</w:t>
      </w:r>
      <w:r w:rsidR="003B7C7B" w:rsidRPr="006F4C96">
        <w:rPr>
          <w:rFonts w:ascii="Times New Roman" w:hAnsi="Times New Roman" w:cs="Times New Roman"/>
          <w:szCs w:val="20"/>
        </w:rPr>
        <w:t xml:space="preserve">UKB </w:t>
      </w:r>
      <w:r w:rsidR="00B4558B" w:rsidRPr="006F4C96">
        <w:rPr>
          <w:rFonts w:ascii="Times New Roman" w:hAnsi="Times New Roman" w:cs="Times New Roman"/>
          <w:szCs w:val="20"/>
        </w:rPr>
        <w:t>field codes</w:t>
      </w:r>
      <w:r w:rsidR="00A826AB" w:rsidRPr="006F4C96">
        <w:rPr>
          <w:rFonts w:ascii="Times New Roman" w:hAnsi="Times New Roman" w:cs="Times New Roman"/>
          <w:szCs w:val="20"/>
        </w:rPr>
        <w:t>:</w:t>
      </w:r>
      <w:r w:rsidR="00B4558B" w:rsidRPr="006F4C96">
        <w:rPr>
          <w:rFonts w:ascii="Times New Roman" w:hAnsi="Times New Roman" w:cs="Times New Roman"/>
          <w:szCs w:val="20"/>
        </w:rPr>
        <w:t xml:space="preserve"> “46” and “47”)</w:t>
      </w:r>
      <w:r w:rsidR="009E74A1"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9E74A1" w:rsidRPr="006F4C96">
        <w:rPr>
          <w:rFonts w:ascii="Times New Roman" w:hAnsi="Times New Roman" w:cs="Times New Roman"/>
          <w:szCs w:val="20"/>
        </w:rPr>
        <w:t>p</w:t>
      </w:r>
      <w:r w:rsidRPr="006F4C96">
        <w:rPr>
          <w:rFonts w:ascii="Times New Roman" w:hAnsi="Times New Roman" w:cs="Times New Roman"/>
          <w:szCs w:val="20"/>
        </w:rPr>
        <w:t>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lowest</w:t>
      </w:r>
      <w:r w:rsidR="000441F4" w:rsidRPr="006F4C96">
        <w:rPr>
          <w:rFonts w:ascii="Times New Roman" w:hAnsi="Times New Roman" w:cs="Times New Roman"/>
          <w:szCs w:val="20"/>
        </w:rPr>
        <w:t xml:space="preserve"> </w:t>
      </w:r>
      <w:r w:rsidRPr="006F4C96">
        <w:rPr>
          <w:rFonts w:ascii="Times New Roman" w:hAnsi="Times New Roman" w:cs="Times New Roman"/>
          <w:szCs w:val="20"/>
        </w:rPr>
        <w:t>20%</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cohort</w:t>
      </w:r>
      <w:r w:rsidR="000441F4" w:rsidRPr="006F4C96">
        <w:rPr>
          <w:rFonts w:ascii="Times New Roman" w:hAnsi="Times New Roman" w:cs="Times New Roman"/>
          <w:szCs w:val="20"/>
        </w:rPr>
        <w:t xml:space="preserve"> </w:t>
      </w:r>
      <w:r w:rsidRPr="006F4C96">
        <w:rPr>
          <w:rFonts w:ascii="Times New Roman" w:hAnsi="Times New Roman" w:cs="Times New Roman"/>
          <w:szCs w:val="20"/>
        </w:rPr>
        <w:t>(sex</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body</w:t>
      </w:r>
      <w:r w:rsidR="000441F4" w:rsidRPr="006F4C96">
        <w:rPr>
          <w:rFonts w:ascii="Times New Roman" w:hAnsi="Times New Roman" w:cs="Times New Roman"/>
          <w:szCs w:val="20"/>
        </w:rPr>
        <w:t xml:space="preserve"> </w:t>
      </w:r>
      <w:r w:rsidRPr="006F4C96">
        <w:rPr>
          <w:rFonts w:ascii="Times New Roman" w:hAnsi="Times New Roman" w:cs="Times New Roman"/>
          <w:szCs w:val="20"/>
        </w:rPr>
        <w:t>mass</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index</w:t>
      </w:r>
      <w:r w:rsidR="00966468" w:rsidRPr="006F4C96">
        <w:rPr>
          <w:rFonts w:ascii="Times New Roman" w:hAnsi="Times New Roman" w:cs="Times New Roman"/>
          <w:szCs w:val="20"/>
        </w:rPr>
        <w:t xml:space="preserve"> (BMI)</w:t>
      </w:r>
      <w:r w:rsidR="000441F4" w:rsidRPr="006F4C96">
        <w:rPr>
          <w:rFonts w:ascii="Times New Roman" w:hAnsi="Times New Roman" w:cs="Times New Roman"/>
          <w:szCs w:val="20"/>
        </w:rPr>
        <w:t xml:space="preserve"> </w:t>
      </w:r>
      <w:r w:rsidRPr="006F4C96">
        <w:rPr>
          <w:rFonts w:ascii="Times New Roman" w:hAnsi="Times New Roman" w:cs="Times New Roman"/>
          <w:szCs w:val="20"/>
        </w:rPr>
        <w:t>adjusted)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considered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meet</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criteria</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thus</w:t>
      </w:r>
      <w:r w:rsidR="000441F4" w:rsidRPr="006F4C96">
        <w:rPr>
          <w:rFonts w:ascii="Times New Roman" w:hAnsi="Times New Roman" w:cs="Times New Roman"/>
          <w:szCs w:val="20"/>
        </w:rPr>
        <w:t xml:space="preserve"> </w:t>
      </w:r>
      <w:r w:rsidRPr="006F4C96">
        <w:rPr>
          <w:rFonts w:ascii="Times New Roman" w:hAnsi="Times New Roman" w:cs="Times New Roman"/>
          <w:szCs w:val="20"/>
        </w:rPr>
        <w:t>given</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score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otherwise;</w:t>
      </w:r>
      <w:r w:rsidR="000441F4" w:rsidRPr="006F4C96">
        <w:rPr>
          <w:rFonts w:ascii="Times New Roman" w:hAnsi="Times New Roman" w:cs="Times New Roman"/>
          <w:szCs w:val="20"/>
        </w:rPr>
        <w:t xml:space="preserve"> </w:t>
      </w:r>
      <w:r w:rsidR="009C6DA8" w:rsidRPr="006F4C96">
        <w:rPr>
          <w:rFonts w:ascii="Times New Roman" w:hAnsi="Times New Roman" w:cs="Times New Roman"/>
          <w:szCs w:val="20"/>
        </w:rPr>
        <w:t>(ii) s</w:t>
      </w:r>
      <w:r w:rsidRPr="006F4C96">
        <w:rPr>
          <w:rFonts w:ascii="Times New Roman" w:hAnsi="Times New Roman" w:cs="Times New Roman"/>
          <w:szCs w:val="20"/>
        </w:rPr>
        <w:t>lowness</w:t>
      </w:r>
      <w:r w:rsidR="009C6DA8"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using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self</w:t>
      </w:r>
      <w:r w:rsidR="006D64A6" w:rsidRPr="006F4C96">
        <w:rPr>
          <w:rFonts w:ascii="Times New Roman" w:hAnsi="Times New Roman" w:cs="Times New Roman"/>
          <w:szCs w:val="20"/>
        </w:rPr>
        <w:t>–</w:t>
      </w:r>
      <w:r w:rsidRPr="006F4C96">
        <w:rPr>
          <w:rFonts w:ascii="Times New Roman" w:hAnsi="Times New Roman" w:cs="Times New Roman"/>
          <w:szCs w:val="20"/>
        </w:rPr>
        <w:t>reported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walking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pace</w:t>
      </w:r>
      <w:r w:rsidR="00B4558B" w:rsidRPr="006F4C96">
        <w:rPr>
          <w:rFonts w:ascii="Times New Roman" w:hAnsi="Times New Roman" w:cs="Times New Roman"/>
          <w:szCs w:val="20"/>
        </w:rPr>
        <w:t xml:space="preserve"> (field code</w:t>
      </w:r>
      <w:r w:rsidR="00A826AB" w:rsidRPr="006F4C96">
        <w:rPr>
          <w:rFonts w:ascii="Times New Roman" w:hAnsi="Times New Roman" w:cs="Times New Roman"/>
          <w:szCs w:val="20"/>
        </w:rPr>
        <w:t>:</w:t>
      </w:r>
      <w:r w:rsidR="00B4558B" w:rsidRPr="006F4C96">
        <w:rPr>
          <w:rFonts w:ascii="Times New Roman" w:hAnsi="Times New Roman" w:cs="Times New Roman"/>
          <w:szCs w:val="20"/>
        </w:rPr>
        <w:t xml:space="preserve"> “924”)</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slow</w:t>
      </w:r>
      <w:r w:rsidR="000441F4" w:rsidRPr="006F4C96">
        <w:rPr>
          <w:rFonts w:ascii="Times New Roman" w:hAnsi="Times New Roman" w:cs="Times New Roman"/>
          <w:szCs w:val="20"/>
        </w:rPr>
        <w:t xml:space="preserve"> </w:t>
      </w:r>
      <w:r w:rsidRPr="006F4C96">
        <w:rPr>
          <w:rFonts w:ascii="Times New Roman" w:hAnsi="Times New Roman" w:cs="Times New Roman"/>
          <w:szCs w:val="20"/>
        </w:rPr>
        <w:t>pace,</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otherwise;</w:t>
      </w:r>
      <w:r w:rsidR="000441F4" w:rsidRPr="006F4C96">
        <w:rPr>
          <w:rFonts w:ascii="Times New Roman" w:hAnsi="Times New Roman" w:cs="Times New Roman"/>
          <w:szCs w:val="20"/>
        </w:rPr>
        <w:t xml:space="preserve"> </w:t>
      </w:r>
      <w:r w:rsidR="009C6DA8" w:rsidRPr="006F4C96">
        <w:rPr>
          <w:rFonts w:ascii="Times New Roman" w:hAnsi="Times New Roman" w:cs="Times New Roman"/>
          <w:szCs w:val="20"/>
        </w:rPr>
        <w:t>(iii) w</w:t>
      </w:r>
      <w:r w:rsidRPr="006F4C96">
        <w:rPr>
          <w:rFonts w:ascii="Times New Roman" w:hAnsi="Times New Roman" w:cs="Times New Roman"/>
          <w:szCs w:val="20"/>
        </w:rPr>
        <w:t>eight</w:t>
      </w:r>
      <w:r w:rsidR="000441F4" w:rsidRPr="006F4C96">
        <w:rPr>
          <w:rFonts w:ascii="Times New Roman" w:hAnsi="Times New Roman" w:cs="Times New Roman"/>
          <w:szCs w:val="20"/>
        </w:rPr>
        <w:t xml:space="preserve"> </w:t>
      </w:r>
      <w:r w:rsidRPr="006F4C96">
        <w:rPr>
          <w:rFonts w:ascii="Times New Roman" w:hAnsi="Times New Roman" w:cs="Times New Roman"/>
          <w:szCs w:val="20"/>
        </w:rPr>
        <w:t>loss</w:t>
      </w:r>
      <w:r w:rsidR="009C6DA8"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through</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self</w:t>
      </w:r>
      <w:r w:rsidR="006D64A6" w:rsidRPr="006F4C96">
        <w:rPr>
          <w:rFonts w:ascii="Times New Roman" w:hAnsi="Times New Roman" w:cs="Times New Roman"/>
          <w:szCs w:val="20"/>
        </w:rPr>
        <w:t>–</w:t>
      </w:r>
      <w:r w:rsidRPr="006F4C96">
        <w:rPr>
          <w:rFonts w:ascii="Times New Roman" w:hAnsi="Times New Roman" w:cs="Times New Roman"/>
          <w:szCs w:val="20"/>
        </w:rPr>
        <w:t>reported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weight</w:t>
      </w:r>
      <w:r w:rsidR="000441F4" w:rsidRPr="006F4C96">
        <w:rPr>
          <w:rFonts w:ascii="Times New Roman" w:hAnsi="Times New Roman" w:cs="Times New Roman"/>
          <w:szCs w:val="20"/>
        </w:rPr>
        <w:t xml:space="preserve"> </w:t>
      </w:r>
      <w:r w:rsidRPr="006F4C96">
        <w:rPr>
          <w:rFonts w:ascii="Times New Roman" w:hAnsi="Times New Roman" w:cs="Times New Roman"/>
          <w:szCs w:val="20"/>
        </w:rPr>
        <w:t>change</w:t>
      </w:r>
      <w:r w:rsidR="000441F4" w:rsidRPr="006F4C96">
        <w:rPr>
          <w:rFonts w:ascii="Times New Roman" w:hAnsi="Times New Roman" w:cs="Times New Roman"/>
          <w:szCs w:val="20"/>
        </w:rPr>
        <w:t xml:space="preserve"> </w:t>
      </w:r>
      <w:r w:rsidR="00B4558B" w:rsidRPr="006F4C96">
        <w:rPr>
          <w:rFonts w:ascii="Times New Roman" w:hAnsi="Times New Roman" w:cs="Times New Roman"/>
          <w:szCs w:val="20"/>
        </w:rPr>
        <w:t>(field code</w:t>
      </w:r>
      <w:r w:rsidR="00A826AB" w:rsidRPr="006F4C96">
        <w:rPr>
          <w:rFonts w:ascii="Times New Roman" w:hAnsi="Times New Roman" w:cs="Times New Roman"/>
          <w:szCs w:val="20"/>
        </w:rPr>
        <w:t>:</w:t>
      </w:r>
      <w:r w:rsidR="00B4558B" w:rsidRPr="006F4C96">
        <w:rPr>
          <w:rFonts w:ascii="Times New Roman" w:hAnsi="Times New Roman" w:cs="Times New Roman"/>
          <w:szCs w:val="20"/>
        </w:rPr>
        <w:t xml:space="preserve"> “2306”) </w:t>
      </w:r>
      <w:r w:rsidRPr="006F4C96">
        <w:rPr>
          <w:rFonts w:ascii="Times New Roman" w:hAnsi="Times New Roman" w:cs="Times New Roman"/>
          <w:szCs w:val="20"/>
        </w:rPr>
        <w:t>compared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one</w:t>
      </w:r>
      <w:r w:rsidR="000441F4" w:rsidRPr="006F4C96">
        <w:rPr>
          <w:rFonts w:ascii="Times New Roman" w:hAnsi="Times New Roman" w:cs="Times New Roman"/>
          <w:szCs w:val="20"/>
        </w:rPr>
        <w:t xml:space="preserve"> </w:t>
      </w:r>
      <w:r w:rsidRPr="006F4C96">
        <w:rPr>
          <w:rFonts w:ascii="Times New Roman" w:hAnsi="Times New Roman" w:cs="Times New Roman"/>
          <w:szCs w:val="20"/>
        </w:rPr>
        <w:t>year</w:t>
      </w:r>
      <w:r w:rsidR="000441F4" w:rsidRPr="006F4C96">
        <w:rPr>
          <w:rFonts w:ascii="Times New Roman" w:hAnsi="Times New Roman" w:cs="Times New Roman"/>
          <w:szCs w:val="20"/>
        </w:rPr>
        <w:t xml:space="preserve"> </w:t>
      </w:r>
      <w:r w:rsidRPr="006F4C96">
        <w:rPr>
          <w:rFonts w:ascii="Times New Roman" w:hAnsi="Times New Roman" w:cs="Times New Roman"/>
          <w:szCs w:val="20"/>
        </w:rPr>
        <w:t>ago:</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0017668B" w:rsidRPr="006F4C96">
        <w:rPr>
          <w:rFonts w:ascii="Times New Roman" w:hAnsi="Times New Roman" w:cs="Times New Roman"/>
          <w:szCs w:val="20"/>
        </w:rPr>
        <w:t xml:space="preserve">for </w:t>
      </w:r>
      <w:r w:rsidRPr="006F4C96">
        <w:rPr>
          <w:rFonts w:ascii="Times New Roman" w:hAnsi="Times New Roman" w:cs="Times New Roman"/>
          <w:szCs w:val="20"/>
        </w:rPr>
        <w:t>yes</w:t>
      </w:r>
      <w:r w:rsidR="006D64A6" w:rsidRPr="006F4C96">
        <w:rPr>
          <w:rFonts w:ascii="Times New Roman" w:hAnsi="Times New Roman" w:cs="Times New Roman"/>
          <w:szCs w:val="20"/>
        </w:rPr>
        <w:t>–</w:t>
      </w:r>
      <w:r w:rsidRPr="006F4C96">
        <w:rPr>
          <w:rFonts w:ascii="Times New Roman" w:hAnsi="Times New Roman" w:cs="Times New Roman"/>
          <w:szCs w:val="20"/>
        </w:rPr>
        <w:t>weight</w:t>
      </w:r>
      <w:r w:rsidR="000441F4" w:rsidRPr="006F4C96">
        <w:rPr>
          <w:rFonts w:ascii="Times New Roman" w:hAnsi="Times New Roman" w:cs="Times New Roman"/>
          <w:szCs w:val="20"/>
        </w:rPr>
        <w:t xml:space="preserve"> </w:t>
      </w:r>
      <w:r w:rsidRPr="006F4C96">
        <w:rPr>
          <w:rFonts w:ascii="Times New Roman" w:hAnsi="Times New Roman" w:cs="Times New Roman"/>
          <w:szCs w:val="20"/>
        </w:rPr>
        <w:t>loss,</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otherwise;</w:t>
      </w:r>
      <w:r w:rsidR="009C6DA8" w:rsidRPr="006F4C96">
        <w:rPr>
          <w:rFonts w:ascii="Times New Roman" w:hAnsi="Times New Roman" w:cs="Times New Roman"/>
          <w:szCs w:val="20"/>
        </w:rPr>
        <w:t xml:space="preserve"> (iv) l</w:t>
      </w:r>
      <w:r w:rsidRPr="006F4C96">
        <w:rPr>
          <w:rFonts w:ascii="Times New Roman" w:hAnsi="Times New Roman" w:cs="Times New Roman"/>
          <w:szCs w:val="20"/>
        </w:rPr>
        <w:t>ow</w:t>
      </w:r>
      <w:r w:rsidR="000441F4" w:rsidRPr="006F4C96">
        <w:rPr>
          <w:rFonts w:ascii="Times New Roman" w:hAnsi="Times New Roman" w:cs="Times New Roman"/>
          <w:szCs w:val="20"/>
        </w:rPr>
        <w:t xml:space="preserve"> </w:t>
      </w:r>
      <w:r w:rsidRPr="006F4C96">
        <w:rPr>
          <w:rFonts w:ascii="Times New Roman" w:hAnsi="Times New Roman" w:cs="Times New Roman"/>
          <w:szCs w:val="20"/>
        </w:rPr>
        <w:t>physical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activity</w:t>
      </w:r>
      <w:r w:rsidR="009C6DA8"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through</w:t>
      </w:r>
      <w:r w:rsidR="000441F4" w:rsidRPr="006F4C96">
        <w:rPr>
          <w:rFonts w:ascii="Times New Roman" w:hAnsi="Times New Roman" w:cs="Times New Roman"/>
          <w:szCs w:val="20"/>
        </w:rPr>
        <w:t xml:space="preserve"> </w:t>
      </w:r>
      <w:r w:rsidRPr="006F4C96">
        <w:rPr>
          <w:rFonts w:ascii="Times New Roman" w:hAnsi="Times New Roman" w:cs="Times New Roman"/>
          <w:szCs w:val="20"/>
        </w:rPr>
        <w:t>self</w:t>
      </w:r>
      <w:r w:rsidR="006D64A6" w:rsidRPr="006F4C96">
        <w:rPr>
          <w:rFonts w:ascii="Times New Roman" w:hAnsi="Times New Roman" w:cs="Times New Roman"/>
          <w:szCs w:val="20"/>
        </w:rPr>
        <w:t>–</w:t>
      </w:r>
      <w:r w:rsidRPr="006F4C96">
        <w:rPr>
          <w:rFonts w:ascii="Times New Roman" w:hAnsi="Times New Roman" w:cs="Times New Roman"/>
          <w:szCs w:val="20"/>
        </w:rPr>
        <w:t>reported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types</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physical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activity</w:t>
      </w:r>
      <w:r w:rsidR="000441F4" w:rsidRPr="006F4C96">
        <w:rPr>
          <w:rFonts w:ascii="Times New Roman" w:hAnsi="Times New Roman" w:cs="Times New Roman"/>
          <w:szCs w:val="20"/>
        </w:rPr>
        <w:t xml:space="preserve"> </w:t>
      </w:r>
      <w:r w:rsidR="00B4558B" w:rsidRPr="006F4C96">
        <w:rPr>
          <w:rFonts w:ascii="Times New Roman" w:hAnsi="Times New Roman" w:cs="Times New Roman"/>
          <w:szCs w:val="20"/>
        </w:rPr>
        <w:t>(field code</w:t>
      </w:r>
      <w:r w:rsidR="00A826AB" w:rsidRPr="006F4C96">
        <w:rPr>
          <w:rFonts w:ascii="Times New Roman" w:hAnsi="Times New Roman" w:cs="Times New Roman"/>
          <w:szCs w:val="20"/>
        </w:rPr>
        <w:t>:</w:t>
      </w:r>
      <w:r w:rsidR="00B4558B" w:rsidRPr="006F4C96">
        <w:rPr>
          <w:rFonts w:ascii="Times New Roman" w:hAnsi="Times New Roman" w:cs="Times New Roman"/>
          <w:szCs w:val="20"/>
        </w:rPr>
        <w:t xml:space="preserve"> “6164”)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last</w:t>
      </w:r>
      <w:r w:rsidR="000441F4" w:rsidRPr="006F4C96">
        <w:rPr>
          <w:rFonts w:ascii="Times New Roman" w:hAnsi="Times New Roman" w:cs="Times New Roman"/>
          <w:szCs w:val="20"/>
        </w:rPr>
        <w:t xml:space="preserve"> </w:t>
      </w:r>
      <w:r w:rsidRPr="006F4C96">
        <w:rPr>
          <w:rFonts w:ascii="Times New Roman" w:hAnsi="Times New Roman" w:cs="Times New Roman"/>
          <w:szCs w:val="20"/>
        </w:rPr>
        <w:t>4</w:t>
      </w:r>
      <w:r w:rsidR="000441F4" w:rsidRPr="006F4C96">
        <w:rPr>
          <w:rFonts w:ascii="Times New Roman" w:hAnsi="Times New Roman" w:cs="Times New Roman"/>
          <w:szCs w:val="20"/>
        </w:rPr>
        <w:t xml:space="preserve"> </w:t>
      </w:r>
      <w:r w:rsidRPr="006F4C96">
        <w:rPr>
          <w:rFonts w:ascii="Times New Roman" w:hAnsi="Times New Roman" w:cs="Times New Roman"/>
          <w:szCs w:val="20"/>
        </w:rPr>
        <w:t>weeks:</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non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light</w:t>
      </w:r>
      <w:r w:rsidR="000441F4" w:rsidRPr="006F4C96">
        <w:rPr>
          <w:rFonts w:ascii="Times New Roman" w:hAnsi="Times New Roman" w:cs="Times New Roman"/>
          <w:szCs w:val="20"/>
        </w:rPr>
        <w:t xml:space="preserve"> </w:t>
      </w:r>
      <w:r w:rsidRPr="006F4C96">
        <w:rPr>
          <w:rFonts w:ascii="Times New Roman" w:hAnsi="Times New Roman" w:cs="Times New Roman"/>
          <w:szCs w:val="20"/>
        </w:rPr>
        <w:t>activity</w:t>
      </w:r>
      <w:r w:rsidR="009C6DA8" w:rsidRPr="006F4C96">
        <w:rPr>
          <w:rFonts w:ascii="Times New Roman" w:hAnsi="Times New Roman" w:cs="Times New Roman"/>
          <w:szCs w:val="20"/>
        </w:rPr>
        <w:t xml:space="preserve"> (e.g. pruning, watering the lawn)</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otherwise</w:t>
      </w:r>
      <w:r w:rsidR="009C6DA8" w:rsidRPr="006F4C96">
        <w:rPr>
          <w:rFonts w:ascii="Times New Roman" w:hAnsi="Times New Roman" w:cs="Times New Roman"/>
          <w:szCs w:val="20"/>
        </w:rPr>
        <w:t xml:space="preserve"> (e.g. weeding, lawn mowing, carpentry and digging, walking for pleasure, swimming, cycling, or other strenuous sports)</w:t>
      </w:r>
      <w:r w:rsidR="00806F80"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9C6DA8" w:rsidRPr="006F4C96">
        <w:rPr>
          <w:rFonts w:ascii="Times New Roman" w:hAnsi="Times New Roman" w:cs="Times New Roman"/>
          <w:szCs w:val="20"/>
        </w:rPr>
        <w:t xml:space="preserve"> v) e</w:t>
      </w:r>
      <w:r w:rsidRPr="006F4C96">
        <w:rPr>
          <w:rFonts w:ascii="Times New Roman" w:hAnsi="Times New Roman" w:cs="Times New Roman"/>
          <w:szCs w:val="20"/>
        </w:rPr>
        <w:t>xhaustion</w:t>
      </w:r>
      <w:r w:rsidR="009C6DA8"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through</w:t>
      </w:r>
      <w:r w:rsidR="000441F4" w:rsidRPr="006F4C96">
        <w:rPr>
          <w:rFonts w:ascii="Times New Roman" w:hAnsi="Times New Roman" w:cs="Times New Roman"/>
          <w:szCs w:val="20"/>
        </w:rPr>
        <w:t xml:space="preserve"> </w:t>
      </w:r>
      <w:r w:rsidRPr="006F4C96">
        <w:rPr>
          <w:rFonts w:ascii="Times New Roman" w:hAnsi="Times New Roman" w:cs="Times New Roman"/>
          <w:szCs w:val="20"/>
        </w:rPr>
        <w:t>self</w:t>
      </w:r>
      <w:r w:rsidR="006D64A6" w:rsidRPr="006F4C96">
        <w:rPr>
          <w:rFonts w:ascii="Times New Roman" w:hAnsi="Times New Roman" w:cs="Times New Roman"/>
          <w:szCs w:val="20"/>
        </w:rPr>
        <w:t>–</w:t>
      </w:r>
      <w:r w:rsidRPr="006F4C96">
        <w:rPr>
          <w:rFonts w:ascii="Times New Roman" w:hAnsi="Times New Roman" w:cs="Times New Roman"/>
          <w:szCs w:val="20"/>
        </w:rPr>
        <w:t>reported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tiredness/</w:t>
      </w:r>
      <w:r w:rsidR="000441F4" w:rsidRPr="006F4C96">
        <w:rPr>
          <w:rFonts w:ascii="Times New Roman" w:hAnsi="Times New Roman" w:cs="Times New Roman"/>
          <w:szCs w:val="20"/>
        </w:rPr>
        <w:t xml:space="preserve"> </w:t>
      </w:r>
      <w:r w:rsidRPr="006F4C96">
        <w:rPr>
          <w:rFonts w:ascii="Times New Roman" w:hAnsi="Times New Roman" w:cs="Times New Roman"/>
          <w:szCs w:val="20"/>
        </w:rPr>
        <w:t>lethargy</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last</w:t>
      </w:r>
      <w:r w:rsidR="000441F4" w:rsidRPr="006F4C96">
        <w:rPr>
          <w:rFonts w:ascii="Times New Roman" w:hAnsi="Times New Roman" w:cs="Times New Roman"/>
          <w:szCs w:val="20"/>
        </w:rPr>
        <w:t xml:space="preserve"> </w:t>
      </w:r>
      <w:r w:rsidRPr="006F4C96">
        <w:rPr>
          <w:rFonts w:ascii="Times New Roman" w:hAnsi="Times New Roman" w:cs="Times New Roman"/>
          <w:szCs w:val="20"/>
        </w:rPr>
        <w:t>2</w:t>
      </w:r>
      <w:r w:rsidR="000441F4" w:rsidRPr="006F4C96">
        <w:rPr>
          <w:rFonts w:ascii="Times New Roman" w:hAnsi="Times New Roman" w:cs="Times New Roman"/>
          <w:szCs w:val="20"/>
        </w:rPr>
        <w:t xml:space="preserve"> </w:t>
      </w:r>
      <w:r w:rsidRPr="006F4C96">
        <w:rPr>
          <w:rFonts w:ascii="Times New Roman" w:hAnsi="Times New Roman" w:cs="Times New Roman"/>
          <w:szCs w:val="20"/>
        </w:rPr>
        <w:t>weeks</w:t>
      </w:r>
      <w:r w:rsidR="00B4558B" w:rsidRPr="006F4C96">
        <w:rPr>
          <w:rFonts w:ascii="Times New Roman" w:hAnsi="Times New Roman" w:cs="Times New Roman"/>
          <w:szCs w:val="20"/>
        </w:rPr>
        <w:t xml:space="preserve"> (field code</w:t>
      </w:r>
      <w:r w:rsidR="00A826AB" w:rsidRPr="006F4C96">
        <w:rPr>
          <w:rFonts w:ascii="Times New Roman" w:hAnsi="Times New Roman" w:cs="Times New Roman"/>
          <w:szCs w:val="20"/>
        </w:rPr>
        <w:t>:</w:t>
      </w:r>
      <w:r w:rsidR="00B4558B" w:rsidRPr="006F4C96">
        <w:rPr>
          <w:rFonts w:ascii="Times New Roman" w:hAnsi="Times New Roman" w:cs="Times New Roman"/>
          <w:szCs w:val="20"/>
        </w:rPr>
        <w:t xml:space="preserve"> “2080”)</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than</w:t>
      </w:r>
      <w:r w:rsidR="000441F4" w:rsidRPr="006F4C96">
        <w:rPr>
          <w:rFonts w:ascii="Times New Roman" w:hAnsi="Times New Roman" w:cs="Times New Roman"/>
          <w:szCs w:val="20"/>
        </w:rPr>
        <w:t xml:space="preserve"> </w:t>
      </w:r>
      <w:r w:rsidRPr="006F4C96">
        <w:rPr>
          <w:rFonts w:ascii="Times New Roman" w:hAnsi="Times New Roman" w:cs="Times New Roman"/>
          <w:szCs w:val="20"/>
        </w:rPr>
        <w:t>half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days</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nearly</w:t>
      </w:r>
      <w:r w:rsidR="000441F4" w:rsidRPr="006F4C96">
        <w:rPr>
          <w:rFonts w:ascii="Times New Roman" w:hAnsi="Times New Roman" w:cs="Times New Roman"/>
          <w:szCs w:val="20"/>
        </w:rPr>
        <w:t xml:space="preserve"> </w:t>
      </w:r>
      <w:r w:rsidRPr="006F4C96">
        <w:rPr>
          <w:rFonts w:ascii="Times New Roman" w:hAnsi="Times New Roman" w:cs="Times New Roman"/>
          <w:szCs w:val="20"/>
        </w:rPr>
        <w:t>every</w:t>
      </w:r>
      <w:r w:rsidR="000441F4" w:rsidRPr="006F4C96">
        <w:rPr>
          <w:rFonts w:ascii="Times New Roman" w:hAnsi="Times New Roman" w:cs="Times New Roman"/>
          <w:szCs w:val="20"/>
        </w:rPr>
        <w:t xml:space="preserve"> </w:t>
      </w:r>
      <w:r w:rsidRPr="006F4C96">
        <w:rPr>
          <w:rFonts w:ascii="Times New Roman" w:hAnsi="Times New Roman" w:cs="Times New Roman"/>
          <w:szCs w:val="20"/>
        </w:rPr>
        <w:t>day,</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otherwise.</w:t>
      </w:r>
      <w:r w:rsidR="000441F4" w:rsidRPr="006F4C96">
        <w:rPr>
          <w:rFonts w:ascii="Times New Roman" w:hAnsi="Times New Roman" w:cs="Times New Roman"/>
          <w:szCs w:val="20"/>
        </w:rPr>
        <w:t xml:space="preserve"> </w:t>
      </w:r>
    </w:p>
    <w:p w14:paraId="15DF8989" w14:textId="562DB443" w:rsidR="00625369" w:rsidRPr="006F4C96" w:rsidRDefault="00C410C8"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who</w:t>
      </w:r>
      <w:r w:rsidR="000441F4" w:rsidRPr="006F4C96">
        <w:rPr>
          <w:rFonts w:ascii="Times New Roman" w:hAnsi="Times New Roman" w:cs="Times New Roman"/>
          <w:szCs w:val="20"/>
        </w:rPr>
        <w:t xml:space="preserve"> </w:t>
      </w:r>
      <w:r w:rsidRPr="006F4C96">
        <w:rPr>
          <w:rFonts w:ascii="Times New Roman" w:hAnsi="Times New Roman" w:cs="Times New Roman"/>
          <w:szCs w:val="20"/>
        </w:rPr>
        <w:t>responded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“Don’t</w:t>
      </w:r>
      <w:r w:rsidR="000441F4" w:rsidRPr="006F4C96">
        <w:rPr>
          <w:rFonts w:ascii="Times New Roman" w:hAnsi="Times New Roman" w:cs="Times New Roman"/>
          <w:szCs w:val="20"/>
        </w:rPr>
        <w:t xml:space="preserve"> </w:t>
      </w:r>
      <w:r w:rsidRPr="006F4C96">
        <w:rPr>
          <w:rFonts w:ascii="Times New Roman" w:hAnsi="Times New Roman" w:cs="Times New Roman"/>
          <w:szCs w:val="20"/>
        </w:rPr>
        <w:t>know”</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“Prefer</w:t>
      </w:r>
      <w:r w:rsidR="000441F4" w:rsidRPr="006F4C96">
        <w:rPr>
          <w:rFonts w:ascii="Times New Roman" w:hAnsi="Times New Roman" w:cs="Times New Roman"/>
          <w:szCs w:val="20"/>
        </w:rPr>
        <w:t xml:space="preserve"> </w:t>
      </w:r>
      <w:r w:rsidRPr="006F4C96">
        <w:rPr>
          <w:rFonts w:ascii="Times New Roman" w:hAnsi="Times New Roman" w:cs="Times New Roman"/>
          <w:szCs w:val="20"/>
        </w:rPr>
        <w:t>not</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answer”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any</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five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B15FF7" w:rsidRPr="006F4C96">
        <w:rPr>
          <w:rFonts w:ascii="Times New Roman" w:hAnsi="Times New Roman" w:cs="Times New Roman"/>
          <w:szCs w:val="20"/>
        </w:rPr>
        <w:t>, or with missing values,</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excluded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analysis.</w:t>
      </w:r>
      <w:r w:rsidR="000441F4" w:rsidRPr="006F4C96">
        <w:rPr>
          <w:rFonts w:ascii="Times New Roman" w:hAnsi="Times New Roman" w:cs="Times New Roman"/>
          <w:szCs w:val="20"/>
        </w:rPr>
        <w:t xml:space="preserve"> </w:t>
      </w:r>
      <w:r w:rsidRPr="006F4C96">
        <w:rPr>
          <w:rFonts w:ascii="Times New Roman" w:hAnsi="Times New Roman" w:cs="Times New Roman"/>
          <w:szCs w:val="20"/>
        </w:rPr>
        <w:t>People</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one</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two</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r w:rsidR="008213DC" w:rsidRPr="006F4C96">
        <w:rPr>
          <w:rFonts w:ascii="Times New Roman" w:hAnsi="Times New Roman" w:cs="Times New Roman"/>
          <w:szCs w:val="20"/>
        </w:rPr>
        <w:t xml:space="preserve">in aggregate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classified</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w:t>
      </w:r>
      <w:r w:rsidR="006D64A6" w:rsidRPr="006F4C96">
        <w:rPr>
          <w:rFonts w:ascii="Times New Roman" w:hAnsi="Times New Roman" w:cs="Times New Roman"/>
          <w:szCs w:val="20"/>
        </w:rPr>
        <w:t>–</w:t>
      </w:r>
      <w:r w:rsidRPr="006F4C96">
        <w:rPr>
          <w:rFonts w:ascii="Times New Roman" w:hAnsi="Times New Roman" w:cs="Times New Roman"/>
          <w:szCs w:val="20"/>
        </w:rPr>
        <w:t>frail,</w:t>
      </w:r>
      <w:r w:rsidR="000441F4" w:rsidRPr="006F4C96">
        <w:rPr>
          <w:rFonts w:ascii="Times New Roman" w:hAnsi="Times New Roman" w:cs="Times New Roman"/>
          <w:szCs w:val="20"/>
        </w:rPr>
        <w:t xml:space="preserve"> </w:t>
      </w:r>
      <w:r w:rsidRPr="006F4C96">
        <w:rPr>
          <w:rFonts w:ascii="Times New Roman" w:hAnsi="Times New Roman" w:cs="Times New Roman"/>
          <w:szCs w:val="20"/>
        </w:rPr>
        <w:t>whilst</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Pr="006F4C96">
        <w:rPr>
          <w:rFonts w:ascii="Times New Roman" w:hAnsi="Times New Roman" w:cs="Times New Roman"/>
          <w:szCs w:val="20"/>
        </w:rPr>
        <w:t>defined</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presence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three</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five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p>
    <w:p w14:paraId="14DB6A58" w14:textId="2B23C23E" w:rsidR="00C410C8" w:rsidRPr="006F4C96" w:rsidRDefault="00C410C8" w:rsidP="008C738E">
      <w:pPr>
        <w:spacing w:after="0" w:line="480" w:lineRule="auto"/>
        <w:rPr>
          <w:rFonts w:ascii="Times New Roman" w:hAnsi="Times New Roman" w:cs="Times New Roman"/>
          <w:b/>
          <w:szCs w:val="20"/>
        </w:rPr>
      </w:pPr>
      <w:r w:rsidRPr="006F4C96">
        <w:rPr>
          <w:rFonts w:ascii="Times New Roman" w:hAnsi="Times New Roman" w:cs="Times New Roman"/>
          <w:b/>
          <w:szCs w:val="20"/>
        </w:rPr>
        <w:t>Leucocyte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telomere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length</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(LTL)</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measurement</w:t>
      </w:r>
    </w:p>
    <w:p w14:paraId="014A603B" w14:textId="6E28D4DD" w:rsidR="003A2520" w:rsidRPr="006F4C96" w:rsidRDefault="00C410C8" w:rsidP="008C738E">
      <w:pPr>
        <w:spacing w:after="0" w:line="480" w:lineRule="auto"/>
        <w:ind w:firstLine="567"/>
        <w:rPr>
          <w:rFonts w:ascii="Times New Roman" w:hAnsi="Times New Roman" w:cs="Times New Roman"/>
          <w:szCs w:val="20"/>
        </w:rPr>
      </w:pPr>
      <w:r w:rsidRPr="006F4C96">
        <w:rPr>
          <w:rFonts w:ascii="Times New Roman" w:eastAsia="Times New Roman" w:hAnsi="Times New Roman" w:cs="Times New Roman"/>
          <w:szCs w:val="20"/>
          <w:lang w:eastAsia="en-GB"/>
        </w:rPr>
        <w:t>LTL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measurements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were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undertaken</w:t>
      </w:r>
      <w:r w:rsidR="000441F4" w:rsidRPr="006F4C96">
        <w:rPr>
          <w:rFonts w:ascii="Times New Roman" w:eastAsia="Times New Roman" w:hAnsi="Times New Roman" w:cs="Times New Roman"/>
          <w:szCs w:val="20"/>
          <w:lang w:eastAsia="en-GB"/>
        </w:rPr>
        <w:t xml:space="preserve"> </w:t>
      </w:r>
      <w:r w:rsidR="008213DC" w:rsidRPr="006F4C96">
        <w:rPr>
          <w:rFonts w:ascii="Times New Roman" w:eastAsia="Times New Roman" w:hAnsi="Times New Roman" w:cs="Times New Roman"/>
          <w:szCs w:val="20"/>
          <w:lang w:eastAsia="en-GB"/>
        </w:rPr>
        <w:t>on DNA collected at</w:t>
      </w:r>
      <w:r w:rsidR="00E52898" w:rsidRPr="006F4C96">
        <w:rPr>
          <w:rFonts w:ascii="Times New Roman" w:eastAsia="Times New Roman" w:hAnsi="Times New Roman" w:cs="Times New Roman"/>
          <w:szCs w:val="20"/>
          <w:lang w:eastAsia="en-GB"/>
        </w:rPr>
        <w:t xml:space="preserve"> baseline </w:t>
      </w:r>
      <w:r w:rsidRPr="006F4C96">
        <w:rPr>
          <w:rFonts w:ascii="Times New Roman" w:eastAsia="Times New Roman" w:hAnsi="Times New Roman" w:cs="Times New Roman"/>
          <w:szCs w:val="20"/>
          <w:lang w:eastAsia="en-GB"/>
        </w:rPr>
        <w:t>and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quality</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controlled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described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elsewhere</w:t>
      </w:r>
      <w:r w:rsidR="00EB408F" w:rsidRPr="006F4C96">
        <w:rPr>
          <w:rFonts w:ascii="Times New Roman" w:eastAsia="Times New Roman" w:hAnsi="Times New Roman" w:cs="Times New Roman"/>
          <w:szCs w:val="20"/>
          <w:lang w:eastAsia="en-GB"/>
        </w:rPr>
        <w:t xml:space="preserve"> [</w:t>
      </w:r>
      <w:r w:rsidR="002C21E6" w:rsidRPr="006F4C96">
        <w:rPr>
          <w:rFonts w:ascii="Times New Roman" w:eastAsia="Times New Roman" w:hAnsi="Times New Roman" w:cs="Times New Roman"/>
          <w:szCs w:val="20"/>
          <w:lang w:eastAsia="en-GB"/>
        </w:rPr>
        <w:t>17</w:t>
      </w:r>
      <w:r w:rsidR="00EB408F" w:rsidRPr="006F4C96">
        <w:rPr>
          <w:rFonts w:ascii="Times New Roman" w:eastAsia="Times New Roman" w:hAnsi="Times New Roman" w:cs="Times New Roman"/>
          <w:szCs w:val="20"/>
          <w:lang w:eastAsia="en-GB"/>
        </w:rPr>
        <w:t>].</w:t>
      </w:r>
      <w:r w:rsidR="002C21E6"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Briefly,</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LTL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was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measured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using</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validated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qPCR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method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w:t>
      </w:r>
      <w:r w:rsidR="008213DC" w:rsidRPr="006F4C96">
        <w:rPr>
          <w:rFonts w:ascii="Times New Roman" w:eastAsia="Times New Roman" w:hAnsi="Times New Roman" w:cs="Times New Roman"/>
          <w:szCs w:val="20"/>
          <w:lang w:eastAsia="en-GB"/>
        </w:rPr>
        <w:t>nd reported a</w:t>
      </w:r>
      <w:r w:rsidRPr="006F4C96">
        <w:rPr>
          <w:rFonts w:ascii="Times New Roman" w:eastAsia="Times New Roman" w:hAnsi="Times New Roman" w:cs="Times New Roman"/>
          <w:szCs w:val="20"/>
          <w:lang w:eastAsia="en-GB"/>
        </w:rPr>
        <w:t>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ratio</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hAnsi="Times New Roman" w:cs="Times New Roman"/>
          <w:szCs w:val="20"/>
        </w:rPr>
        <w:t>telomere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repeat</w:t>
      </w:r>
      <w:r w:rsidR="000441F4" w:rsidRPr="006F4C96">
        <w:rPr>
          <w:rFonts w:ascii="Times New Roman" w:hAnsi="Times New Roman" w:cs="Times New Roman"/>
          <w:szCs w:val="20"/>
        </w:rPr>
        <w:t xml:space="preserve"> </w:t>
      </w:r>
      <w:r w:rsidRPr="006F4C96">
        <w:rPr>
          <w:rFonts w:ascii="Times New Roman" w:hAnsi="Times New Roman" w:cs="Times New Roman"/>
          <w:szCs w:val="20"/>
        </w:rPr>
        <w:t>number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single</w:t>
      </w:r>
      <w:r w:rsidR="006D64A6" w:rsidRPr="006F4C96">
        <w:rPr>
          <w:rFonts w:ascii="Times New Roman" w:hAnsi="Times New Roman" w:cs="Times New Roman"/>
          <w:szCs w:val="20"/>
        </w:rPr>
        <w:t>–</w:t>
      </w:r>
      <w:r w:rsidRPr="006F4C96">
        <w:rPr>
          <w:rFonts w:ascii="Times New Roman" w:hAnsi="Times New Roman" w:cs="Times New Roman"/>
          <w:szCs w:val="20"/>
        </w:rPr>
        <w:t>copy</w:t>
      </w:r>
      <w:r w:rsidR="000441F4" w:rsidRPr="006F4C96">
        <w:rPr>
          <w:rFonts w:ascii="Times New Roman" w:hAnsi="Times New Roman" w:cs="Times New Roman"/>
          <w:szCs w:val="20"/>
        </w:rPr>
        <w:t xml:space="preserve"> </w:t>
      </w:r>
      <w:r w:rsidRPr="006F4C96">
        <w:rPr>
          <w:rFonts w:ascii="Times New Roman" w:hAnsi="Times New Roman" w:cs="Times New Roman"/>
          <w:szCs w:val="20"/>
        </w:rPr>
        <w:t>gene</w:t>
      </w:r>
      <w:r w:rsidR="000441F4" w:rsidRPr="006F4C96">
        <w:rPr>
          <w:rFonts w:ascii="Times New Roman" w:hAnsi="Times New Roman" w:cs="Times New Roman"/>
          <w:szCs w:val="20"/>
        </w:rPr>
        <w:t xml:space="preserve"> </w:t>
      </w:r>
      <w:r w:rsidRPr="006F4C96">
        <w:rPr>
          <w:rFonts w:ascii="Times New Roman" w:hAnsi="Times New Roman" w:cs="Times New Roman"/>
          <w:szCs w:val="20"/>
        </w:rPr>
        <w:t>(S)</w:t>
      </w:r>
      <w:r w:rsidR="000441F4" w:rsidRPr="006F4C96">
        <w:rPr>
          <w:rFonts w:ascii="Times New Roman" w:hAnsi="Times New Roman" w:cs="Times New Roman"/>
          <w:szCs w:val="20"/>
        </w:rPr>
        <w:t xml:space="preserve"> </w:t>
      </w:r>
      <w:r w:rsidRPr="006F4C96">
        <w:rPr>
          <w:rFonts w:ascii="Times New Roman" w:hAnsi="Times New Roman" w:cs="Times New Roman"/>
          <w:szCs w:val="20"/>
        </w:rPr>
        <w:t>(T/S</w:t>
      </w:r>
      <w:r w:rsidR="000441F4" w:rsidRPr="006F4C96">
        <w:rPr>
          <w:rFonts w:ascii="Times New Roman" w:hAnsi="Times New Roman" w:cs="Times New Roman"/>
          <w:szCs w:val="20"/>
        </w:rPr>
        <w:t xml:space="preserve"> </w:t>
      </w:r>
      <w:r w:rsidRPr="006F4C96">
        <w:rPr>
          <w:rFonts w:ascii="Times New Roman" w:hAnsi="Times New Roman" w:cs="Times New Roman"/>
          <w:szCs w:val="20"/>
        </w:rPr>
        <w:t>ratio)</w:t>
      </w:r>
      <w:r w:rsidR="00200D3A" w:rsidRPr="006F4C96">
        <w:rPr>
          <w:rFonts w:ascii="Times New Roman" w:hAnsi="Times New Roman" w:cs="Times New Roman"/>
          <w:szCs w:val="20"/>
        </w:rPr>
        <w:t xml:space="preserve">. The measurements were </w:t>
      </w:r>
      <w:r w:rsidRPr="006F4C96">
        <w:rPr>
          <w:rFonts w:ascii="Times New Roman" w:hAnsi="Times New Roman" w:cs="Times New Roman"/>
          <w:szCs w:val="20"/>
        </w:rPr>
        <w:t>log</w:t>
      </w:r>
      <w:r w:rsidR="00B4558B" w:rsidRPr="006F4C96">
        <w:rPr>
          <w:rFonts w:ascii="Times New Roman" w:hAnsi="Times New Roman" w:cs="Times New Roman"/>
          <w:szCs w:val="20"/>
          <w:vertAlign w:val="subscript"/>
        </w:rPr>
        <w:t>e</w:t>
      </w:r>
      <w:r w:rsidR="006D64A6" w:rsidRPr="006F4C96">
        <w:rPr>
          <w:rFonts w:ascii="Times New Roman" w:hAnsi="Times New Roman" w:cs="Times New Roman"/>
          <w:szCs w:val="20"/>
        </w:rPr>
        <w:t>–</w:t>
      </w:r>
      <w:r w:rsidRPr="006F4C96">
        <w:rPr>
          <w:rFonts w:ascii="Times New Roman" w:hAnsi="Times New Roman" w:cs="Times New Roman"/>
          <w:szCs w:val="20"/>
        </w:rPr>
        <w:t>transformed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approximate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normal</w:t>
      </w:r>
      <w:r w:rsidR="000441F4" w:rsidRPr="006F4C96">
        <w:rPr>
          <w:rFonts w:ascii="Times New Roman" w:hAnsi="Times New Roman" w:cs="Times New Roman"/>
          <w:szCs w:val="20"/>
        </w:rPr>
        <w:t xml:space="preserve"> </w:t>
      </w:r>
      <w:r w:rsidRPr="006F4C96">
        <w:rPr>
          <w:rFonts w:ascii="Times New Roman" w:hAnsi="Times New Roman" w:cs="Times New Roman"/>
          <w:szCs w:val="20"/>
        </w:rPr>
        <w:t>distribution.</w:t>
      </w:r>
      <w:r w:rsidR="000441F4" w:rsidRPr="006F4C96">
        <w:rPr>
          <w:rFonts w:ascii="Times New Roman" w:hAnsi="Times New Roman" w:cs="Times New Roman"/>
          <w:szCs w:val="20"/>
        </w:rPr>
        <w:t xml:space="preserve"> </w:t>
      </w:r>
      <w:r w:rsidR="00200D3A" w:rsidRPr="006F4C96">
        <w:rPr>
          <w:rFonts w:ascii="Times New Roman" w:hAnsi="Times New Roman" w:cs="Times New Roman"/>
          <w:szCs w:val="20"/>
        </w:rPr>
        <w:t xml:space="preserve">We utilised </w:t>
      </w:r>
      <w:r w:rsidR="00125B44" w:rsidRPr="006F4C96">
        <w:rPr>
          <w:rFonts w:ascii="Times New Roman" w:hAnsi="Times New Roman" w:cs="Times New Roman"/>
          <w:szCs w:val="20"/>
        </w:rPr>
        <w:t>z</w:t>
      </w:r>
      <w:r w:rsidR="00860EDE" w:rsidRPr="006F4C96">
        <w:rPr>
          <w:rFonts w:ascii="Times New Roman" w:hAnsi="Times New Roman" w:cs="Times New Roman"/>
          <w:szCs w:val="20"/>
        </w:rPr>
        <w:t>–</w:t>
      </w:r>
      <w:r w:rsidR="00200D3A" w:rsidRPr="006F4C96">
        <w:rPr>
          <w:rFonts w:ascii="Times New Roman" w:hAnsi="Times New Roman" w:cs="Times New Roman"/>
          <w:szCs w:val="20"/>
        </w:rPr>
        <w:t xml:space="preserve">standardised values </w:t>
      </w:r>
      <w:r w:rsidR="003A2520" w:rsidRPr="006F4C96">
        <w:rPr>
          <w:rFonts w:ascii="Times New Roman" w:hAnsi="Times New Roman" w:cs="Times New Roman"/>
          <w:szCs w:val="20"/>
        </w:rPr>
        <w:t xml:space="preserve">of LTL </w:t>
      </w:r>
      <w:r w:rsidR="00200D3A" w:rsidRPr="006F4C96">
        <w:rPr>
          <w:rFonts w:ascii="Times New Roman" w:hAnsi="Times New Roman" w:cs="Times New Roman"/>
          <w:szCs w:val="20"/>
        </w:rPr>
        <w:t>(</w:t>
      </w:r>
      <w:r w:rsidR="003B7C7B" w:rsidRPr="006F4C96">
        <w:rPr>
          <w:rFonts w:ascii="Times New Roman" w:hAnsi="Times New Roman" w:cs="Times New Roman"/>
          <w:szCs w:val="20"/>
        </w:rPr>
        <w:t xml:space="preserve">UKB </w:t>
      </w:r>
      <w:r w:rsidR="00200D3A" w:rsidRPr="006F4C96">
        <w:rPr>
          <w:rFonts w:ascii="Times New Roman" w:hAnsi="Times New Roman" w:cs="Times New Roman"/>
          <w:szCs w:val="20"/>
        </w:rPr>
        <w:t xml:space="preserve">field code: </w:t>
      </w:r>
      <w:r w:rsidR="00526B6C" w:rsidRPr="006F4C96">
        <w:rPr>
          <w:rFonts w:ascii="Times New Roman" w:hAnsi="Times New Roman" w:cs="Times New Roman"/>
          <w:szCs w:val="20"/>
        </w:rPr>
        <w:t>“</w:t>
      </w:r>
      <w:r w:rsidR="00B4558B" w:rsidRPr="006F4C96">
        <w:rPr>
          <w:rFonts w:ascii="Times New Roman" w:hAnsi="Times New Roman" w:cs="Times New Roman"/>
          <w:szCs w:val="20"/>
        </w:rPr>
        <w:t>22192</w:t>
      </w:r>
      <w:r w:rsidR="00526B6C" w:rsidRPr="006F4C96">
        <w:rPr>
          <w:rFonts w:ascii="Times New Roman" w:hAnsi="Times New Roman" w:cs="Times New Roman"/>
          <w:szCs w:val="20"/>
        </w:rPr>
        <w:t>”</w:t>
      </w:r>
      <w:r w:rsidR="00200D3A" w:rsidRPr="006F4C96">
        <w:rPr>
          <w:rFonts w:ascii="Times New Roman" w:hAnsi="Times New Roman" w:cs="Times New Roman"/>
          <w:szCs w:val="20"/>
        </w:rPr>
        <w:t xml:space="preserve">) to facilitate </w:t>
      </w:r>
      <w:r w:rsidRPr="006F4C96">
        <w:rPr>
          <w:rFonts w:ascii="Times New Roman" w:hAnsi="Times New Roman" w:cs="Times New Roman"/>
          <w:szCs w:val="20"/>
        </w:rPr>
        <w:t>comparison</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datasets</w:t>
      </w:r>
      <w:r w:rsidR="00EB408F" w:rsidRPr="006F4C96">
        <w:rPr>
          <w:rFonts w:ascii="Times New Roman" w:hAnsi="Times New Roman" w:cs="Times New Roman"/>
          <w:szCs w:val="20"/>
        </w:rPr>
        <w:t xml:space="preserve"> [</w:t>
      </w:r>
      <w:r w:rsidR="00EB408F" w:rsidRPr="006F4C96">
        <w:rPr>
          <w:rFonts w:ascii="Times New Roman" w:eastAsia="Times New Roman" w:hAnsi="Times New Roman" w:cs="Times New Roman"/>
          <w:szCs w:val="20"/>
          <w:lang w:eastAsia="en-GB"/>
        </w:rPr>
        <w:t>17].</w:t>
      </w:r>
    </w:p>
    <w:p w14:paraId="6F72788B" w14:textId="75955D1C" w:rsidR="003E4ACD" w:rsidRPr="006F4C96" w:rsidRDefault="003E4ACD" w:rsidP="008C738E">
      <w:pPr>
        <w:spacing w:after="0" w:line="480" w:lineRule="auto"/>
        <w:rPr>
          <w:rFonts w:ascii="Times New Roman" w:hAnsi="Times New Roman" w:cs="Times New Roman"/>
          <w:b/>
          <w:szCs w:val="20"/>
        </w:rPr>
      </w:pPr>
      <w:r w:rsidRPr="006F4C96">
        <w:rPr>
          <w:rFonts w:ascii="Times New Roman" w:hAnsi="Times New Roman" w:cs="Times New Roman"/>
          <w:b/>
          <w:szCs w:val="20"/>
        </w:rPr>
        <w:t>Other phenotypes</w:t>
      </w:r>
    </w:p>
    <w:p w14:paraId="61A0EFA2" w14:textId="734CC14B" w:rsidR="00C07AF2" w:rsidRPr="006F4C96" w:rsidRDefault="003E4ACD" w:rsidP="008C738E">
      <w:pPr>
        <w:spacing w:after="0" w:line="480" w:lineRule="auto"/>
        <w:ind w:firstLine="567"/>
        <w:rPr>
          <w:rFonts w:ascii="Times New Roman" w:hAnsi="Times New Roman" w:cs="Times New Roman"/>
        </w:rPr>
      </w:pPr>
      <w:r w:rsidRPr="006F4C96">
        <w:rPr>
          <w:rFonts w:ascii="Times New Roman" w:hAnsi="Times New Roman" w:cs="Times New Roman"/>
        </w:rPr>
        <w:t xml:space="preserve">To adjust for other known or potential determinants </w:t>
      </w:r>
      <w:r w:rsidR="00D211F9" w:rsidRPr="006F4C96">
        <w:rPr>
          <w:rFonts w:ascii="Times New Roman" w:hAnsi="Times New Roman" w:cs="Times New Roman"/>
        </w:rPr>
        <w:t>o</w:t>
      </w:r>
      <w:r w:rsidRPr="006F4C96">
        <w:rPr>
          <w:rFonts w:ascii="Times New Roman" w:hAnsi="Times New Roman" w:cs="Times New Roman"/>
        </w:rPr>
        <w:t>f frailty</w:t>
      </w:r>
      <w:r w:rsidR="00EB408F" w:rsidRPr="006F4C96">
        <w:rPr>
          <w:rFonts w:ascii="Times New Roman" w:hAnsi="Times New Roman" w:cs="Times New Roman"/>
        </w:rPr>
        <w:t xml:space="preserve"> [</w:t>
      </w:r>
      <w:r w:rsidR="002C21E6" w:rsidRPr="006F4C96">
        <w:rPr>
          <w:rFonts w:ascii="Times New Roman" w:hAnsi="Times New Roman" w:cs="Times New Roman"/>
        </w:rPr>
        <w:t>3</w:t>
      </w:r>
      <w:r w:rsidR="00EB408F" w:rsidRPr="006F4C96">
        <w:rPr>
          <w:rFonts w:ascii="Times New Roman" w:hAnsi="Times New Roman" w:cs="Times New Roman"/>
        </w:rPr>
        <w:t>],</w:t>
      </w:r>
      <w:r w:rsidRPr="006F4C96">
        <w:rPr>
          <w:rFonts w:ascii="Times New Roman" w:hAnsi="Times New Roman" w:cs="Times New Roman"/>
        </w:rPr>
        <w:t xml:space="preserve"> we extracted information on the following phenotypes also </w:t>
      </w:r>
      <w:r w:rsidR="00C07AF2" w:rsidRPr="006F4C96">
        <w:rPr>
          <w:rFonts w:ascii="Times New Roman" w:hAnsi="Times New Roman" w:cs="Times New Roman"/>
        </w:rPr>
        <w:t>collected at</w:t>
      </w:r>
      <w:r w:rsidRPr="006F4C96">
        <w:rPr>
          <w:rFonts w:ascii="Times New Roman" w:hAnsi="Times New Roman" w:cs="Times New Roman"/>
        </w:rPr>
        <w:t xml:space="preserve"> baseline: </w:t>
      </w:r>
      <w:r w:rsidR="00C07AF2" w:rsidRPr="006F4C96">
        <w:rPr>
          <w:rFonts w:ascii="Times New Roman" w:hAnsi="Times New Roman" w:cs="Times New Roman"/>
        </w:rPr>
        <w:t>Social deprivation score (based on quintiles of Townsend Index deprivation score at the time of recruitment</w:t>
      </w:r>
      <w:r w:rsidR="002C21E6" w:rsidRPr="006F4C96">
        <w:rPr>
          <w:rFonts w:ascii="Times New Roman" w:hAnsi="Times New Roman" w:cs="Times New Roman"/>
        </w:rPr>
        <w:t xml:space="preserve"> (field code: “189”)</w:t>
      </w:r>
      <w:r w:rsidR="00C07AF2" w:rsidRPr="006F4C96">
        <w:rPr>
          <w:rFonts w:ascii="Times New Roman" w:hAnsi="Times New Roman" w:cs="Times New Roman"/>
        </w:rPr>
        <w:t>, derived from the 2011 Census UK data</w:t>
      </w:r>
      <w:r w:rsidR="00EB408F" w:rsidRPr="006F4C96">
        <w:rPr>
          <w:rFonts w:ascii="Times New Roman" w:hAnsi="Times New Roman" w:cs="Times New Roman"/>
        </w:rPr>
        <w:t xml:space="preserve"> [</w:t>
      </w:r>
      <w:r w:rsidR="00C07AF2" w:rsidRPr="006F4C96">
        <w:rPr>
          <w:rFonts w:ascii="Times New Roman" w:hAnsi="Times New Roman" w:cs="Times New Roman"/>
        </w:rPr>
        <w:t>2</w:t>
      </w:r>
      <w:r w:rsidR="002C21E6" w:rsidRPr="006F4C96">
        <w:rPr>
          <w:rFonts w:ascii="Times New Roman" w:hAnsi="Times New Roman" w:cs="Times New Roman"/>
        </w:rPr>
        <w:t>1</w:t>
      </w:r>
      <w:r w:rsidR="00EB408F" w:rsidRPr="006F4C96">
        <w:rPr>
          <w:rFonts w:ascii="Times New Roman" w:hAnsi="Times New Roman" w:cs="Times New Roman"/>
        </w:rPr>
        <w:t>],</w:t>
      </w:r>
      <w:r w:rsidR="00C07AF2" w:rsidRPr="006F4C96">
        <w:rPr>
          <w:rFonts w:ascii="Times New Roman" w:hAnsi="Times New Roman" w:cs="Times New Roman"/>
        </w:rPr>
        <w:t xml:space="preserve"> with 1st quintile being most affluent), smoking (self–reported </w:t>
      </w:r>
      <w:r w:rsidR="002C21E6" w:rsidRPr="006F4C96">
        <w:rPr>
          <w:rFonts w:ascii="Times New Roman" w:hAnsi="Times New Roman" w:cs="Times New Roman"/>
        </w:rPr>
        <w:t xml:space="preserve">field code “20116” </w:t>
      </w:r>
      <w:r w:rsidR="00C07AF2" w:rsidRPr="006F4C96">
        <w:rPr>
          <w:rFonts w:ascii="Times New Roman" w:hAnsi="Times New Roman" w:cs="Times New Roman"/>
        </w:rPr>
        <w:t xml:space="preserve">and classified as non–smoker; ex–smoker; current smoker), alcohol intake (self–reported frequency of alcohol intake </w:t>
      </w:r>
      <w:r w:rsidR="002C21E6" w:rsidRPr="006F4C96">
        <w:rPr>
          <w:rFonts w:ascii="Times New Roman" w:hAnsi="Times New Roman" w:cs="Times New Roman"/>
        </w:rPr>
        <w:t xml:space="preserve">(field code “1558”) </w:t>
      </w:r>
      <w:r w:rsidR="00C07AF2" w:rsidRPr="006F4C96">
        <w:rPr>
          <w:rFonts w:ascii="Times New Roman" w:hAnsi="Times New Roman" w:cs="Times New Roman"/>
        </w:rPr>
        <w:t>and classified as never/ special occasions only; 1–3 times per month; 1–4 times per week; daily/ almost daily), body mass index (</w:t>
      </w:r>
      <w:r w:rsidR="002C21E6" w:rsidRPr="006F4C96">
        <w:rPr>
          <w:rFonts w:ascii="Times New Roman" w:hAnsi="Times New Roman" w:cs="Times New Roman"/>
        </w:rPr>
        <w:t xml:space="preserve">field code “21001” </w:t>
      </w:r>
      <w:r w:rsidR="00C07AF2" w:rsidRPr="006F4C96">
        <w:rPr>
          <w:rFonts w:ascii="Times New Roman" w:hAnsi="Times New Roman" w:cs="Times New Roman"/>
        </w:rPr>
        <w:t>categorised as underweight (&lt;18</w:t>
      </w:r>
      <w:r w:rsidR="000E3CF2" w:rsidRPr="006F4C96">
        <w:rPr>
          <w:rFonts w:ascii="Times New Roman" w:hAnsi="Times New Roman" w:cs="Times New Roman"/>
        </w:rPr>
        <w:t>.</w:t>
      </w:r>
      <w:r w:rsidR="00C07AF2" w:rsidRPr="006F4C96">
        <w:rPr>
          <w:rFonts w:ascii="Times New Roman" w:hAnsi="Times New Roman" w:cs="Times New Roman"/>
        </w:rPr>
        <w:t>5 kg/m²); normal weight (18</w:t>
      </w:r>
      <w:r w:rsidR="000E3CF2" w:rsidRPr="006F4C96">
        <w:rPr>
          <w:rFonts w:ascii="Times New Roman" w:hAnsi="Times New Roman" w:cs="Times New Roman"/>
        </w:rPr>
        <w:t>.</w:t>
      </w:r>
      <w:r w:rsidR="00C07AF2" w:rsidRPr="006F4C96">
        <w:rPr>
          <w:rFonts w:ascii="Times New Roman" w:hAnsi="Times New Roman" w:cs="Times New Roman"/>
        </w:rPr>
        <w:t>5–24</w:t>
      </w:r>
      <w:r w:rsidR="000E3CF2" w:rsidRPr="006F4C96">
        <w:rPr>
          <w:rFonts w:ascii="Times New Roman" w:hAnsi="Times New Roman" w:cs="Times New Roman"/>
        </w:rPr>
        <w:t>.</w:t>
      </w:r>
      <w:r w:rsidR="00C07AF2" w:rsidRPr="006F4C96">
        <w:rPr>
          <w:rFonts w:ascii="Times New Roman" w:hAnsi="Times New Roman" w:cs="Times New Roman"/>
        </w:rPr>
        <w:t>9 kg/m²); overweight (25–29</w:t>
      </w:r>
      <w:r w:rsidR="000E3CF2" w:rsidRPr="006F4C96">
        <w:rPr>
          <w:rFonts w:ascii="Times New Roman" w:hAnsi="Times New Roman" w:cs="Times New Roman"/>
        </w:rPr>
        <w:t>.</w:t>
      </w:r>
      <w:r w:rsidR="00C07AF2" w:rsidRPr="006F4C96">
        <w:rPr>
          <w:rFonts w:ascii="Times New Roman" w:hAnsi="Times New Roman" w:cs="Times New Roman"/>
        </w:rPr>
        <w:t>9 kg/m²); obese (</w:t>
      </w:r>
      <w:r w:rsidR="00C07AF2" w:rsidRPr="006F4C96">
        <w:rPr>
          <w:rFonts w:ascii="Times New Roman" w:hAnsi="Times New Roman" w:cs="Times New Roman"/>
        </w:rPr>
        <w:sym w:font="Symbol" w:char="F0B3"/>
      </w:r>
      <w:r w:rsidR="00C07AF2" w:rsidRPr="006F4C96">
        <w:rPr>
          <w:rFonts w:ascii="Times New Roman" w:hAnsi="Times New Roman" w:cs="Times New Roman"/>
        </w:rPr>
        <w:t>30 kg/m²)) and multimorbidity</w:t>
      </w:r>
      <w:r w:rsidR="00EB408F" w:rsidRPr="006F4C96">
        <w:rPr>
          <w:rFonts w:ascii="Times New Roman" w:hAnsi="Times New Roman" w:cs="Times New Roman"/>
        </w:rPr>
        <w:t xml:space="preserve"> [</w:t>
      </w:r>
      <w:r w:rsidR="002C21E6" w:rsidRPr="006F4C96">
        <w:rPr>
          <w:rFonts w:ascii="Times New Roman" w:hAnsi="Times New Roman" w:cs="Times New Roman"/>
        </w:rPr>
        <w:t>22</w:t>
      </w:r>
      <w:r w:rsidR="00EB408F" w:rsidRPr="006F4C96">
        <w:rPr>
          <w:rFonts w:ascii="Times New Roman" w:hAnsi="Times New Roman" w:cs="Times New Roman"/>
        </w:rPr>
        <w:t>],</w:t>
      </w:r>
      <w:r w:rsidR="00C07AF2" w:rsidRPr="006F4C96">
        <w:rPr>
          <w:rFonts w:ascii="Times New Roman" w:hAnsi="Times New Roman" w:cs="Times New Roman"/>
        </w:rPr>
        <w:t xml:space="preserve"> measured as the total number of additional long–term medical conditions (LTC; pooled out from the self–reported non–cancer illness code (field</w:t>
      </w:r>
      <w:r w:rsidR="002C21E6" w:rsidRPr="006F4C96">
        <w:rPr>
          <w:rFonts w:ascii="Times New Roman" w:hAnsi="Times New Roman" w:cs="Times New Roman"/>
        </w:rPr>
        <w:t xml:space="preserve"> code</w:t>
      </w:r>
      <w:r w:rsidR="00C07AF2" w:rsidRPr="006F4C96">
        <w:rPr>
          <w:rFonts w:ascii="Times New Roman" w:hAnsi="Times New Roman" w:cs="Times New Roman"/>
        </w:rPr>
        <w:t xml:space="preserve"> “20002”) and the cancer diagnosed by doctor code (field</w:t>
      </w:r>
      <w:r w:rsidR="002C21E6" w:rsidRPr="006F4C96">
        <w:rPr>
          <w:rFonts w:ascii="Times New Roman" w:hAnsi="Times New Roman" w:cs="Times New Roman"/>
        </w:rPr>
        <w:t xml:space="preserve"> code</w:t>
      </w:r>
      <w:r w:rsidR="00C07AF2" w:rsidRPr="006F4C96">
        <w:rPr>
          <w:rFonts w:ascii="Times New Roman" w:hAnsi="Times New Roman" w:cs="Times New Roman"/>
        </w:rPr>
        <w:t xml:space="preserve"> “2453”)) and classified as none; one LTC; two LTC; three LTC; four or more LTC.</w:t>
      </w:r>
    </w:p>
    <w:p w14:paraId="5AC9EB4B" w14:textId="6186E2B0" w:rsidR="006D64A6" w:rsidRPr="006F4C96" w:rsidRDefault="006D64A6" w:rsidP="008C738E">
      <w:pPr>
        <w:spacing w:after="0" w:line="480" w:lineRule="auto"/>
        <w:rPr>
          <w:rFonts w:ascii="Times New Roman" w:hAnsi="Times New Roman" w:cs="Times New Roman"/>
          <w:b/>
          <w:szCs w:val="20"/>
        </w:rPr>
      </w:pPr>
      <w:r w:rsidRPr="006F4C96">
        <w:rPr>
          <w:rFonts w:ascii="Times New Roman" w:hAnsi="Times New Roman" w:cs="Times New Roman"/>
          <w:b/>
          <w:szCs w:val="20"/>
        </w:rPr>
        <w:t>Statistical</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analysis</w:t>
      </w:r>
    </w:p>
    <w:p w14:paraId="0E044327" w14:textId="504C2339" w:rsidR="00942997" w:rsidRPr="006F4C96" w:rsidRDefault="006D64A6"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Descriptive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statistics</w:t>
      </w:r>
      <w:r w:rsidR="000441F4" w:rsidRPr="006F4C96">
        <w:rPr>
          <w:rFonts w:ascii="Times New Roman" w:hAnsi="Times New Roman" w:cs="Times New Roman"/>
          <w:szCs w:val="20"/>
        </w:rPr>
        <w:t xml:space="preserve"> </w:t>
      </w:r>
      <w:r w:rsidRPr="006F4C96">
        <w:rPr>
          <w:rFonts w:ascii="Times New Roman" w:hAnsi="Times New Roman" w:cs="Times New Roman"/>
          <w:szCs w:val="20"/>
        </w:rPr>
        <w:t>are</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shown</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mean</w:t>
      </w:r>
      <w:r w:rsidR="000441F4" w:rsidRPr="006F4C96">
        <w:rPr>
          <w:rFonts w:ascii="Times New Roman" w:hAnsi="Times New Roman" w:cs="Times New Roman"/>
          <w:szCs w:val="20"/>
        </w:rPr>
        <w:t xml:space="preserve"> </w:t>
      </w:r>
      <w:r w:rsidRPr="006F4C96">
        <w:rPr>
          <w:rFonts w:ascii="Times New Roman" w:hAnsi="Times New Roman" w:cs="Times New Roman"/>
          <w:szCs w:val="20"/>
        </w:rPr>
        <w:t>(SD),</w:t>
      </w:r>
      <w:r w:rsidR="000441F4" w:rsidRPr="006F4C96">
        <w:rPr>
          <w:rFonts w:ascii="Times New Roman" w:hAnsi="Times New Roman" w:cs="Times New Roman"/>
          <w:szCs w:val="20"/>
        </w:rPr>
        <w:t xml:space="preserve"> </w:t>
      </w:r>
      <w:r w:rsidRPr="006F4C96">
        <w:rPr>
          <w:rFonts w:ascii="Times New Roman" w:hAnsi="Times New Roman" w:cs="Times New Roman"/>
          <w:szCs w:val="20"/>
        </w:rPr>
        <w:t>median</w:t>
      </w:r>
      <w:r w:rsidR="000441F4" w:rsidRPr="006F4C96">
        <w:rPr>
          <w:rFonts w:ascii="Times New Roman" w:hAnsi="Times New Roman" w:cs="Times New Roman"/>
          <w:szCs w:val="20"/>
        </w:rPr>
        <w:t xml:space="preserve"> </w:t>
      </w:r>
      <w:r w:rsidRPr="006F4C96">
        <w:rPr>
          <w:rFonts w:ascii="Times New Roman" w:hAnsi="Times New Roman" w:cs="Times New Roman"/>
          <w:szCs w:val="20"/>
        </w:rPr>
        <w:t>(1st</w:t>
      </w:r>
      <w:r w:rsidR="000441F4" w:rsidRPr="006F4C96">
        <w:rPr>
          <w:rFonts w:ascii="Times New Roman" w:hAnsi="Times New Roman" w:cs="Times New Roman"/>
          <w:szCs w:val="20"/>
        </w:rPr>
        <w:t xml:space="preserve"> </w:t>
      </w:r>
      <w:r w:rsidRPr="006F4C96">
        <w:rPr>
          <w:rFonts w:ascii="Times New Roman" w:hAnsi="Times New Roman" w:cs="Times New Roman"/>
          <w:szCs w:val="20"/>
        </w:rPr>
        <w:t>quartile,</w:t>
      </w:r>
      <w:r w:rsidR="000441F4" w:rsidRPr="006F4C96">
        <w:rPr>
          <w:rFonts w:ascii="Times New Roman" w:hAnsi="Times New Roman" w:cs="Times New Roman"/>
          <w:szCs w:val="20"/>
        </w:rPr>
        <w:t xml:space="preserve"> </w:t>
      </w:r>
      <w:r w:rsidRPr="006F4C96">
        <w:rPr>
          <w:rFonts w:ascii="Times New Roman" w:hAnsi="Times New Roman" w:cs="Times New Roman"/>
          <w:szCs w:val="20"/>
        </w:rPr>
        <w:t>3rd</w:t>
      </w:r>
      <w:r w:rsidR="000441F4" w:rsidRPr="006F4C96">
        <w:rPr>
          <w:rFonts w:ascii="Times New Roman" w:hAnsi="Times New Roman" w:cs="Times New Roman"/>
          <w:szCs w:val="20"/>
        </w:rPr>
        <w:t xml:space="preserve"> </w:t>
      </w:r>
      <w:r w:rsidRPr="006F4C96">
        <w:rPr>
          <w:rFonts w:ascii="Times New Roman" w:hAnsi="Times New Roman" w:cs="Times New Roman"/>
          <w:szCs w:val="20"/>
        </w:rPr>
        <w:t>quartile)</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frequencies</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942997" w:rsidRPr="006F4C96">
        <w:rPr>
          <w:rFonts w:ascii="Times New Roman" w:hAnsi="Times New Roman" w:cs="Times New Roman"/>
          <w:szCs w:val="20"/>
        </w:rPr>
        <w:t>For primary analysis w</w:t>
      </w:r>
      <w:r w:rsidRPr="006F4C96">
        <w:rPr>
          <w:rFonts w:ascii="Times New Roman" w:hAnsi="Times New Roman" w:cs="Times New Roman"/>
          <w:szCs w:val="20"/>
        </w:rPr>
        <w:t>e</w:t>
      </w:r>
      <w:r w:rsidR="000441F4" w:rsidRPr="006F4C96">
        <w:rPr>
          <w:rFonts w:ascii="Times New Roman" w:hAnsi="Times New Roman" w:cs="Times New Roman"/>
          <w:szCs w:val="20"/>
        </w:rPr>
        <w:t xml:space="preserve"> </w:t>
      </w:r>
      <w:r w:rsidRPr="006F4C96">
        <w:rPr>
          <w:rFonts w:ascii="Times New Roman" w:hAnsi="Times New Roman" w:cs="Times New Roman"/>
          <w:szCs w:val="20"/>
        </w:rPr>
        <w:t>used</w:t>
      </w:r>
      <w:r w:rsidR="000441F4" w:rsidRPr="006F4C96">
        <w:rPr>
          <w:rFonts w:ascii="Times New Roman" w:hAnsi="Times New Roman" w:cs="Times New Roman"/>
          <w:szCs w:val="20"/>
        </w:rPr>
        <w:t xml:space="preserve"> </w:t>
      </w:r>
      <w:r w:rsidRPr="006F4C96">
        <w:rPr>
          <w:rFonts w:ascii="Times New Roman" w:hAnsi="Times New Roman" w:cs="Times New Roman"/>
          <w:szCs w:val="20"/>
        </w:rPr>
        <w:t>multinomial</w:t>
      </w:r>
      <w:r w:rsidR="000441F4" w:rsidRPr="006F4C96">
        <w:rPr>
          <w:rFonts w:ascii="Times New Roman" w:hAnsi="Times New Roman" w:cs="Times New Roman"/>
          <w:szCs w:val="20"/>
        </w:rPr>
        <w:t xml:space="preserve"> </w:t>
      </w:r>
      <w:r w:rsidRPr="006F4C96">
        <w:rPr>
          <w:rFonts w:ascii="Times New Roman" w:hAnsi="Times New Roman" w:cs="Times New Roman"/>
          <w:szCs w:val="20"/>
        </w:rPr>
        <w:t>logistic</w:t>
      </w:r>
      <w:r w:rsidR="000441F4" w:rsidRPr="006F4C96">
        <w:rPr>
          <w:rFonts w:ascii="Times New Roman" w:hAnsi="Times New Roman" w:cs="Times New Roman"/>
          <w:szCs w:val="20"/>
        </w:rPr>
        <w:t xml:space="preserve"> </w:t>
      </w:r>
      <w:r w:rsidRPr="006F4C96">
        <w:rPr>
          <w:rFonts w:ascii="Times New Roman" w:hAnsi="Times New Roman" w:cs="Times New Roman"/>
          <w:szCs w:val="20"/>
        </w:rPr>
        <w:t>regression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models</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investigate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association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chronological</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942997" w:rsidRPr="006F4C96">
        <w:rPr>
          <w:rFonts w:ascii="Times New Roman" w:hAnsi="Times New Roman" w:cs="Times New Roman"/>
          <w:szCs w:val="20"/>
        </w:rPr>
        <w:t xml:space="preserve"> status</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7F3827" w:rsidRPr="006F4C96">
        <w:rPr>
          <w:rFonts w:ascii="Times New Roman" w:hAnsi="Times New Roman" w:cs="Times New Roman"/>
          <w:szCs w:val="20"/>
        </w:rPr>
        <w:t>defined as non–frail, pre–frail and frail</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Interaction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quadratic</w:t>
      </w:r>
      <w:r w:rsidR="000441F4" w:rsidRPr="006F4C96">
        <w:rPr>
          <w:rFonts w:ascii="Times New Roman" w:hAnsi="Times New Roman" w:cs="Times New Roman"/>
          <w:szCs w:val="20"/>
        </w:rPr>
        <w:t xml:space="preserve"> </w:t>
      </w:r>
      <w:r w:rsidRPr="006F4C96">
        <w:rPr>
          <w:rFonts w:ascii="Times New Roman" w:hAnsi="Times New Roman" w:cs="Times New Roman"/>
          <w:szCs w:val="20"/>
        </w:rPr>
        <w:t>terms</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sex</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tested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lowest</w:t>
      </w:r>
      <w:r w:rsidR="000441F4" w:rsidRPr="006F4C96">
        <w:rPr>
          <w:rFonts w:ascii="Times New Roman" w:hAnsi="Times New Roman" w:cs="Times New Roman"/>
          <w:szCs w:val="20"/>
        </w:rPr>
        <w:t xml:space="preserve"> </w:t>
      </w:r>
      <w:r w:rsidRPr="006F4C96">
        <w:rPr>
          <w:rFonts w:ascii="Times New Roman" w:hAnsi="Times New Roman" w:cs="Times New Roman"/>
          <w:szCs w:val="20"/>
        </w:rPr>
        <w:t>Bayesian</w:t>
      </w:r>
      <w:r w:rsidR="000441F4" w:rsidRPr="006F4C96">
        <w:rPr>
          <w:rFonts w:ascii="Times New Roman" w:hAnsi="Times New Roman" w:cs="Times New Roman"/>
          <w:szCs w:val="20"/>
        </w:rPr>
        <w:t xml:space="preserve"> </w:t>
      </w:r>
      <w:r w:rsidRPr="006F4C96">
        <w:rPr>
          <w:rFonts w:ascii="Times New Roman" w:hAnsi="Times New Roman" w:cs="Times New Roman"/>
          <w:szCs w:val="20"/>
        </w:rPr>
        <w:t>information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criterion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(BIC)</w:t>
      </w:r>
      <w:r w:rsidR="000441F4" w:rsidRPr="006F4C96">
        <w:rPr>
          <w:rFonts w:ascii="Times New Roman" w:hAnsi="Times New Roman" w:cs="Times New Roman"/>
          <w:szCs w:val="20"/>
        </w:rPr>
        <w:t xml:space="preserve"> </w:t>
      </w:r>
      <w:r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Pr="006F4C96">
        <w:rPr>
          <w:rFonts w:ascii="Times New Roman" w:hAnsi="Times New Roman" w:cs="Times New Roman"/>
          <w:szCs w:val="20"/>
        </w:rPr>
        <w:t>selected.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best</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00115CB7" w:rsidRPr="006F4C96">
        <w:rPr>
          <w:rFonts w:ascii="Times New Roman" w:hAnsi="Times New Roman" w:cs="Times New Roman"/>
          <w:szCs w:val="20"/>
        </w:rPr>
        <w:t xml:space="preserve">then </w:t>
      </w:r>
      <w:r w:rsidRPr="006F4C96">
        <w:rPr>
          <w:rFonts w:ascii="Times New Roman" w:hAnsi="Times New Roman" w:cs="Times New Roman"/>
          <w:szCs w:val="20"/>
        </w:rPr>
        <w:t>adjusted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potential</w:t>
      </w:r>
      <w:r w:rsidR="000441F4" w:rsidRPr="006F4C96">
        <w:rPr>
          <w:rFonts w:ascii="Times New Roman" w:hAnsi="Times New Roman" w:cs="Times New Roman"/>
          <w:szCs w:val="20"/>
        </w:rPr>
        <w:t xml:space="preserve"> </w:t>
      </w:r>
      <w:r w:rsidRPr="006F4C96">
        <w:rPr>
          <w:rFonts w:ascii="Times New Roman" w:hAnsi="Times New Roman" w:cs="Times New Roman"/>
          <w:szCs w:val="20"/>
        </w:rPr>
        <w:t>determinants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5C7034" w:rsidRPr="006F4C96">
        <w:rPr>
          <w:rFonts w:ascii="Times New Roman" w:hAnsi="Times New Roman" w:cs="Times New Roman"/>
          <w:szCs w:val="20"/>
        </w:rPr>
        <w:t xml:space="preserve">. </w:t>
      </w:r>
      <w:r w:rsidR="009E5DED" w:rsidRPr="006F4C96">
        <w:rPr>
          <w:rFonts w:ascii="Times New Roman" w:hAnsi="Times New Roman" w:cs="Times New Roman"/>
          <w:szCs w:val="20"/>
        </w:rPr>
        <w:t>Results</w:t>
      </w:r>
      <w:r w:rsidR="000441F4" w:rsidRPr="006F4C96">
        <w:rPr>
          <w:rFonts w:ascii="Times New Roman" w:hAnsi="Times New Roman" w:cs="Times New Roman"/>
          <w:szCs w:val="20"/>
        </w:rPr>
        <w:t xml:space="preserve"> </w:t>
      </w:r>
      <w:r w:rsidR="009E5DED" w:rsidRPr="006F4C96">
        <w:rPr>
          <w:rFonts w:ascii="Times New Roman" w:hAnsi="Times New Roman" w:cs="Times New Roman"/>
          <w:szCs w:val="20"/>
        </w:rPr>
        <w:t>are</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shown</w:t>
      </w:r>
      <w:r w:rsidR="000441F4" w:rsidRPr="006F4C96">
        <w:rPr>
          <w:rFonts w:ascii="Times New Roman" w:hAnsi="Times New Roman" w:cs="Times New Roman"/>
          <w:szCs w:val="20"/>
        </w:rPr>
        <w:t xml:space="preserve"> </w:t>
      </w:r>
      <w:r w:rsidRPr="006F4C96">
        <w:rPr>
          <w:rFonts w:ascii="Times New Roman" w:hAnsi="Times New Roman" w:cs="Times New Roman"/>
          <w:szCs w:val="20"/>
        </w:rPr>
        <w:t>as</w:t>
      </w:r>
      <w:r w:rsidR="000441F4" w:rsidRPr="006F4C96">
        <w:rPr>
          <w:rFonts w:ascii="Times New Roman" w:hAnsi="Times New Roman" w:cs="Times New Roman"/>
          <w:szCs w:val="20"/>
        </w:rPr>
        <w:t xml:space="preserve"> </w:t>
      </w:r>
      <w:r w:rsidRPr="006F4C96">
        <w:rPr>
          <w:rFonts w:ascii="Times New Roman" w:hAnsi="Times New Roman" w:cs="Times New Roman"/>
          <w:szCs w:val="20"/>
        </w:rPr>
        <w:t>relative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Pr="006F4C96">
        <w:rPr>
          <w:rFonts w:ascii="Times New Roman" w:hAnsi="Times New Roman" w:cs="Times New Roman"/>
          <w:szCs w:val="20"/>
        </w:rPr>
        <w:t>ratios</w:t>
      </w:r>
      <w:r w:rsidR="000441F4" w:rsidRPr="006F4C96">
        <w:rPr>
          <w:rFonts w:ascii="Times New Roman" w:hAnsi="Times New Roman" w:cs="Times New Roman"/>
          <w:szCs w:val="20"/>
        </w:rPr>
        <w:t xml:space="preserve"> </w:t>
      </w:r>
      <w:r w:rsidRPr="006F4C96">
        <w:rPr>
          <w:rFonts w:ascii="Times New Roman" w:hAnsi="Times New Roman" w:cs="Times New Roman"/>
          <w:szCs w:val="20"/>
        </w:rPr>
        <w:t>(RRR)</w:t>
      </w:r>
      <w:r w:rsidR="000441F4" w:rsidRPr="006F4C96">
        <w:rPr>
          <w:rFonts w:ascii="Times New Roman" w:hAnsi="Times New Roman" w:cs="Times New Roman"/>
          <w:szCs w:val="20"/>
        </w:rPr>
        <w:t xml:space="preserve"> </w:t>
      </w:r>
      <w:r w:rsidRPr="006F4C96">
        <w:rPr>
          <w:rFonts w:ascii="Times New Roman" w:hAnsi="Times New Roman" w:cs="Times New Roman"/>
          <w:szCs w:val="20"/>
        </w:rPr>
        <w:t>along</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their</w:t>
      </w:r>
      <w:r w:rsidR="000441F4" w:rsidRPr="006F4C96">
        <w:rPr>
          <w:rFonts w:ascii="Times New Roman" w:hAnsi="Times New Roman" w:cs="Times New Roman"/>
          <w:szCs w:val="20"/>
        </w:rPr>
        <w:t xml:space="preserve"> </w:t>
      </w:r>
      <w:r w:rsidRPr="006F4C96">
        <w:rPr>
          <w:rFonts w:ascii="Times New Roman" w:hAnsi="Times New Roman" w:cs="Times New Roman"/>
          <w:szCs w:val="20"/>
        </w:rPr>
        <w:t>corresponding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95%</w:t>
      </w:r>
      <w:r w:rsidR="000441F4" w:rsidRPr="006F4C96">
        <w:rPr>
          <w:rFonts w:ascii="Times New Roman" w:hAnsi="Times New Roman" w:cs="Times New Roman"/>
          <w:szCs w:val="20"/>
        </w:rPr>
        <w:t xml:space="preserve"> </w:t>
      </w:r>
      <w:r w:rsidRPr="006F4C96">
        <w:rPr>
          <w:rFonts w:ascii="Times New Roman" w:hAnsi="Times New Roman" w:cs="Times New Roman"/>
          <w:szCs w:val="20"/>
        </w:rPr>
        <w:t>confidence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intervals</w:t>
      </w:r>
      <w:r w:rsidR="000441F4" w:rsidRPr="006F4C96">
        <w:rPr>
          <w:rFonts w:ascii="Times New Roman" w:hAnsi="Times New Roman" w:cs="Times New Roman"/>
          <w:szCs w:val="20"/>
        </w:rPr>
        <w:t xml:space="preserve"> </w:t>
      </w:r>
      <w:r w:rsidRPr="006F4C96">
        <w:rPr>
          <w:rFonts w:ascii="Times New Roman" w:hAnsi="Times New Roman" w:cs="Times New Roman"/>
          <w:szCs w:val="20"/>
        </w:rPr>
        <w:t>(95%</w:t>
      </w:r>
      <w:r w:rsidR="000441F4" w:rsidRPr="006F4C96">
        <w:rPr>
          <w:rFonts w:ascii="Times New Roman" w:hAnsi="Times New Roman" w:cs="Times New Roman"/>
          <w:szCs w:val="20"/>
        </w:rPr>
        <w:t xml:space="preserve"> </w:t>
      </w:r>
      <w:r w:rsidRPr="006F4C96">
        <w:rPr>
          <w:rFonts w:ascii="Times New Roman" w:hAnsi="Times New Roman" w:cs="Times New Roman"/>
          <w:szCs w:val="20"/>
        </w:rPr>
        <w:t>CI).</w:t>
      </w:r>
      <w:r w:rsidR="000441F4" w:rsidRPr="006F4C96">
        <w:rPr>
          <w:rFonts w:ascii="Times New Roman" w:hAnsi="Times New Roman" w:cs="Times New Roman"/>
          <w:szCs w:val="20"/>
        </w:rPr>
        <w:t xml:space="preserve"> </w:t>
      </w:r>
      <w:r w:rsidR="00A826AB" w:rsidRPr="006F4C96">
        <w:rPr>
          <w:rFonts w:ascii="Times New Roman" w:hAnsi="Times New Roman" w:cs="Times New Roman"/>
          <w:szCs w:val="20"/>
        </w:rPr>
        <w:t xml:space="preserve">The </w:t>
      </w:r>
      <w:r w:rsidR="00942997" w:rsidRPr="006F4C96">
        <w:rPr>
          <w:rFonts w:ascii="Times New Roman" w:hAnsi="Times New Roman" w:cs="Times New Roman"/>
          <w:szCs w:val="20"/>
        </w:rPr>
        <w:t>average adjusted prediction</w:t>
      </w:r>
      <w:r w:rsidR="00A826AB" w:rsidRPr="006F4C96">
        <w:rPr>
          <w:rFonts w:ascii="Times New Roman" w:hAnsi="Times New Roman" w:cs="Times New Roman"/>
          <w:szCs w:val="20"/>
        </w:rPr>
        <w:t xml:space="preserve"> for the </w:t>
      </w:r>
      <w:r w:rsidR="00942997" w:rsidRPr="006F4C96">
        <w:rPr>
          <w:rFonts w:ascii="Times New Roman" w:hAnsi="Times New Roman" w:cs="Times New Roman"/>
          <w:szCs w:val="20"/>
        </w:rPr>
        <w:t xml:space="preserve">frequency of </w:t>
      </w:r>
      <w:r w:rsidR="00A826AB" w:rsidRPr="006F4C96">
        <w:rPr>
          <w:rFonts w:ascii="Times New Roman" w:hAnsi="Times New Roman" w:cs="Times New Roman"/>
          <w:szCs w:val="20"/>
        </w:rPr>
        <w:t xml:space="preserve">frailty </w:t>
      </w:r>
      <w:r w:rsidR="00942997" w:rsidRPr="006F4C96">
        <w:rPr>
          <w:rFonts w:ascii="Times New Roman" w:hAnsi="Times New Roman" w:cs="Times New Roman"/>
          <w:szCs w:val="20"/>
        </w:rPr>
        <w:t xml:space="preserve">was </w:t>
      </w:r>
      <w:r w:rsidR="00A826AB" w:rsidRPr="006F4C96">
        <w:rPr>
          <w:rFonts w:ascii="Times New Roman" w:hAnsi="Times New Roman" w:cs="Times New Roman"/>
          <w:szCs w:val="20"/>
        </w:rPr>
        <w:t xml:space="preserve">plotted against </w:t>
      </w:r>
      <w:r w:rsidR="00942997" w:rsidRPr="006F4C96">
        <w:rPr>
          <w:rFonts w:ascii="Times New Roman" w:hAnsi="Times New Roman" w:cs="Times New Roman"/>
          <w:szCs w:val="20"/>
        </w:rPr>
        <w:t>chronological</w:t>
      </w:r>
      <w:r w:rsidR="00A826AB" w:rsidRPr="006F4C96">
        <w:rPr>
          <w:rFonts w:ascii="Times New Roman" w:hAnsi="Times New Roman" w:cs="Times New Roman"/>
          <w:szCs w:val="20"/>
        </w:rPr>
        <w:t xml:space="preserve"> age and LTL. </w:t>
      </w:r>
      <w:r w:rsidR="00772062" w:rsidRPr="006F4C96">
        <w:rPr>
          <w:rFonts w:ascii="Times New Roman" w:hAnsi="Times New Roman" w:cs="Times New Roman"/>
          <w:szCs w:val="20"/>
        </w:rPr>
        <w:t>We also report observed associations of the average (“usual”) LTL values, adjusted for the regression dilution ratio (RDR) of 0</w:t>
      </w:r>
      <w:r w:rsidR="000E3CF2" w:rsidRPr="006F4C96">
        <w:rPr>
          <w:rFonts w:ascii="Times New Roman" w:hAnsi="Times New Roman" w:cs="Times New Roman"/>
          <w:szCs w:val="20"/>
        </w:rPr>
        <w:t>.</w:t>
      </w:r>
      <w:r w:rsidR="00772062" w:rsidRPr="006F4C96">
        <w:rPr>
          <w:rFonts w:ascii="Times New Roman" w:hAnsi="Times New Roman" w:cs="Times New Roman"/>
          <w:szCs w:val="20"/>
        </w:rPr>
        <w:t>68 (0</w:t>
      </w:r>
      <w:r w:rsidR="000E3CF2" w:rsidRPr="006F4C96">
        <w:rPr>
          <w:rFonts w:ascii="Times New Roman" w:hAnsi="Times New Roman" w:cs="Times New Roman"/>
          <w:szCs w:val="20"/>
        </w:rPr>
        <w:t>.</w:t>
      </w:r>
      <w:r w:rsidR="00772062" w:rsidRPr="006F4C96">
        <w:rPr>
          <w:rFonts w:ascii="Times New Roman" w:hAnsi="Times New Roman" w:cs="Times New Roman"/>
          <w:szCs w:val="20"/>
        </w:rPr>
        <w:t>64–0</w:t>
      </w:r>
      <w:r w:rsidR="000E3CF2" w:rsidRPr="006F4C96">
        <w:rPr>
          <w:rFonts w:ascii="Times New Roman" w:hAnsi="Times New Roman" w:cs="Times New Roman"/>
          <w:szCs w:val="20"/>
        </w:rPr>
        <w:t>.</w:t>
      </w:r>
      <w:r w:rsidR="00772062" w:rsidRPr="006F4C96">
        <w:rPr>
          <w:rFonts w:ascii="Times New Roman" w:hAnsi="Times New Roman" w:cs="Times New Roman"/>
          <w:szCs w:val="20"/>
        </w:rPr>
        <w:t>72) for log</w:t>
      </w:r>
      <w:r w:rsidR="002B763E" w:rsidRPr="006F4C96">
        <w:rPr>
          <w:rFonts w:ascii="Times New Roman" w:hAnsi="Times New Roman" w:cs="Times New Roman"/>
          <w:szCs w:val="20"/>
          <w:vertAlign w:val="subscript"/>
        </w:rPr>
        <w:t>e</w:t>
      </w:r>
      <w:r w:rsidR="002B763E" w:rsidRPr="006F4C96">
        <w:rPr>
          <w:rFonts w:ascii="Times New Roman" w:hAnsi="Times New Roman" w:cs="Times New Roman"/>
          <w:szCs w:val="20"/>
        </w:rPr>
        <w:t>–</w:t>
      </w:r>
      <w:r w:rsidR="00772062" w:rsidRPr="006F4C96">
        <w:rPr>
          <w:rFonts w:ascii="Times New Roman" w:hAnsi="Times New Roman" w:cs="Times New Roman"/>
          <w:szCs w:val="20"/>
        </w:rPr>
        <w:t>LTL</w:t>
      </w:r>
      <w:r w:rsidR="002B763E" w:rsidRPr="006F4C96">
        <w:rPr>
          <w:rFonts w:ascii="Times New Roman" w:hAnsi="Times New Roman" w:cs="Times New Roman"/>
          <w:szCs w:val="20"/>
        </w:rPr>
        <w:t xml:space="preserve"> that was derived using 1351 serial measurements of LTL taken at mean interval of 5.5 years (range: 2–10 years)</w:t>
      </w:r>
      <w:r w:rsidR="00547F8A" w:rsidRPr="006F4C96">
        <w:rPr>
          <w:rFonts w:ascii="Times New Roman" w:hAnsi="Times New Roman" w:cs="Times New Roman"/>
          <w:szCs w:val="20"/>
        </w:rPr>
        <w:t xml:space="preserve"> [</w:t>
      </w:r>
      <w:r w:rsidR="002C21E6" w:rsidRPr="006F4C96">
        <w:rPr>
          <w:rFonts w:ascii="Times New Roman" w:hAnsi="Times New Roman" w:cs="Times New Roman"/>
          <w:szCs w:val="20"/>
        </w:rPr>
        <w:t>17</w:t>
      </w:r>
      <w:r w:rsidR="00547F8A" w:rsidRPr="006F4C96">
        <w:rPr>
          <w:rFonts w:ascii="Times New Roman" w:hAnsi="Times New Roman" w:cs="Times New Roman"/>
          <w:szCs w:val="20"/>
        </w:rPr>
        <w:t>].</w:t>
      </w:r>
      <w:r w:rsidR="002C21E6" w:rsidRPr="006F4C96">
        <w:rPr>
          <w:rFonts w:ascii="Times New Roman" w:hAnsi="Times New Roman" w:cs="Times New Roman"/>
          <w:szCs w:val="20"/>
        </w:rPr>
        <w:t xml:space="preserve"> </w:t>
      </w:r>
      <w:r w:rsidR="00942997" w:rsidRPr="006F4C96">
        <w:rPr>
          <w:rFonts w:ascii="Times New Roman" w:hAnsi="Times New Roman" w:cs="Times New Roman"/>
          <w:szCs w:val="20"/>
        </w:rPr>
        <w:t xml:space="preserve">Secondary analysis involved </w:t>
      </w:r>
      <w:r w:rsidR="00FC04CF" w:rsidRPr="006F4C96">
        <w:rPr>
          <w:rFonts w:ascii="Times New Roman" w:hAnsi="Times New Roman" w:cs="Times New Roman"/>
          <w:szCs w:val="20"/>
        </w:rPr>
        <w:t xml:space="preserve">multinomial regression and </w:t>
      </w:r>
      <w:r w:rsidR="00291D6C" w:rsidRPr="006F4C96">
        <w:rPr>
          <w:rFonts w:ascii="Times New Roman" w:hAnsi="Times New Roman" w:cs="Times New Roman"/>
          <w:szCs w:val="20"/>
        </w:rPr>
        <w:t>binary</w:t>
      </w:r>
      <w:r w:rsidR="00942997" w:rsidRPr="006F4C96">
        <w:rPr>
          <w:rFonts w:ascii="Times New Roman" w:hAnsi="Times New Roman" w:cs="Times New Roman"/>
          <w:szCs w:val="20"/>
        </w:rPr>
        <w:t xml:space="preserve"> logistic regression</w:t>
      </w:r>
      <w:r w:rsidR="00291D6C" w:rsidRPr="006F4C96">
        <w:rPr>
          <w:rFonts w:ascii="Times New Roman" w:hAnsi="Times New Roman" w:cs="Times New Roman"/>
          <w:szCs w:val="20"/>
        </w:rPr>
        <w:t xml:space="preserve"> </w:t>
      </w:r>
      <w:r w:rsidR="00942997" w:rsidRPr="006F4C96">
        <w:rPr>
          <w:rFonts w:ascii="Times New Roman" w:hAnsi="Times New Roman" w:cs="Times New Roman"/>
          <w:szCs w:val="20"/>
        </w:rPr>
        <w:t>to assess associations (</w:t>
      </w:r>
      <w:r w:rsidR="00252E0D" w:rsidRPr="006F4C96">
        <w:rPr>
          <w:rFonts w:ascii="Times New Roman" w:hAnsi="Times New Roman" w:cs="Times New Roman"/>
          <w:szCs w:val="20"/>
        </w:rPr>
        <w:t xml:space="preserve">RRR and </w:t>
      </w:r>
      <w:r w:rsidR="00942997" w:rsidRPr="006F4C96">
        <w:rPr>
          <w:rFonts w:ascii="Times New Roman" w:hAnsi="Times New Roman" w:cs="Times New Roman"/>
          <w:szCs w:val="20"/>
        </w:rPr>
        <w:t xml:space="preserve">odds ratios (OR)) with the </w:t>
      </w:r>
      <w:r w:rsidR="00FC04CF" w:rsidRPr="006F4C96">
        <w:rPr>
          <w:rFonts w:ascii="Times New Roman" w:hAnsi="Times New Roman" w:cs="Times New Roman"/>
          <w:szCs w:val="20"/>
        </w:rPr>
        <w:t xml:space="preserve">number of frailty indicators and the </w:t>
      </w:r>
      <w:r w:rsidR="00291D6C" w:rsidRPr="006F4C96">
        <w:rPr>
          <w:rFonts w:ascii="Times New Roman" w:hAnsi="Times New Roman" w:cs="Times New Roman"/>
          <w:szCs w:val="20"/>
        </w:rPr>
        <w:t>individual</w:t>
      </w:r>
      <w:r w:rsidR="00942997" w:rsidRPr="006F4C96">
        <w:rPr>
          <w:rFonts w:ascii="Times New Roman" w:hAnsi="Times New Roman" w:cs="Times New Roman"/>
          <w:szCs w:val="20"/>
        </w:rPr>
        <w:t xml:space="preserve"> frailty indicators</w:t>
      </w:r>
      <w:r w:rsidR="00FC04CF" w:rsidRPr="006F4C96">
        <w:rPr>
          <w:rFonts w:ascii="Times New Roman" w:hAnsi="Times New Roman" w:cs="Times New Roman"/>
          <w:szCs w:val="20"/>
        </w:rPr>
        <w:t xml:space="preserve"> respectively</w:t>
      </w:r>
      <w:r w:rsidR="00942997" w:rsidRPr="006F4C96">
        <w:rPr>
          <w:rFonts w:ascii="Times New Roman" w:hAnsi="Times New Roman" w:cs="Times New Roman"/>
          <w:szCs w:val="20"/>
        </w:rPr>
        <w:t>.</w:t>
      </w:r>
    </w:p>
    <w:p w14:paraId="6DF29E99" w14:textId="11CCA9D5" w:rsidR="00261167" w:rsidRPr="006F4C96" w:rsidRDefault="008D3F4C" w:rsidP="008C738E">
      <w:pPr>
        <w:spacing w:after="0" w:line="480" w:lineRule="auto"/>
        <w:ind w:firstLine="567"/>
        <w:rPr>
          <w:rFonts w:ascii="Times New Roman" w:eastAsia="Times New Roman" w:hAnsi="Times New Roman" w:cs="Times New Roman"/>
          <w:szCs w:val="20"/>
          <w:shd w:val="clear" w:color="auto" w:fill="FFFFFF"/>
          <w:lang w:eastAsia="en-GB"/>
        </w:rPr>
      </w:pPr>
      <w:r w:rsidRPr="006F4C96">
        <w:rPr>
          <w:rFonts w:ascii="Times New Roman" w:eastAsia="Times New Roman" w:hAnsi="Times New Roman" w:cs="Times New Roman"/>
          <w:szCs w:val="20"/>
          <w:shd w:val="clear" w:color="auto" w:fill="FFFFFF"/>
          <w:lang w:eastAsia="en-GB"/>
        </w:rPr>
        <w:t xml:space="preserve">We have previously characterised the association of LTL with 123 diseases, identified using </w:t>
      </w:r>
      <w:r w:rsidR="00942997" w:rsidRPr="006F4C96">
        <w:rPr>
          <w:rFonts w:ascii="Times New Roman" w:eastAsia="Times New Roman" w:hAnsi="Times New Roman" w:cs="Times New Roman"/>
          <w:szCs w:val="20"/>
          <w:shd w:val="clear" w:color="auto" w:fill="FFFFFF"/>
          <w:lang w:eastAsia="en-GB"/>
        </w:rPr>
        <w:t>hospital admissions</w:t>
      </w:r>
      <w:r w:rsidRPr="006F4C96">
        <w:rPr>
          <w:rFonts w:ascii="Times New Roman" w:eastAsia="Times New Roman" w:hAnsi="Times New Roman" w:cs="Times New Roman"/>
          <w:szCs w:val="20"/>
          <w:shd w:val="clear" w:color="auto" w:fill="FFFFFF"/>
          <w:lang w:eastAsia="en-GB"/>
        </w:rPr>
        <w:t>,</w:t>
      </w:r>
      <w:r w:rsidRPr="006F4C96">
        <w:rPr>
          <w:rFonts w:ascii="Times New Roman" w:hAnsi="Times New Roman" w:cs="Times New Roman"/>
          <w:szCs w:val="20"/>
        </w:rPr>
        <w:t xml:space="preserve"> </w:t>
      </w:r>
      <w:r w:rsidR="00942997" w:rsidRPr="006F4C96">
        <w:rPr>
          <w:rFonts w:ascii="Times New Roman" w:eastAsia="Times New Roman" w:hAnsi="Times New Roman" w:cs="Times New Roman"/>
          <w:szCs w:val="20"/>
          <w:shd w:val="clear" w:color="auto" w:fill="FFFFFF"/>
          <w:lang w:eastAsia="en-GB"/>
        </w:rPr>
        <w:t>operations</w:t>
      </w:r>
      <w:r w:rsidRPr="006F4C96">
        <w:rPr>
          <w:rFonts w:ascii="Times New Roman" w:eastAsia="Times New Roman" w:hAnsi="Times New Roman" w:cs="Times New Roman"/>
          <w:szCs w:val="20"/>
          <w:shd w:val="clear" w:color="auto" w:fill="FFFFFF"/>
          <w:lang w:eastAsia="en-GB"/>
        </w:rPr>
        <w:t xml:space="preserve">, </w:t>
      </w:r>
      <w:r w:rsidR="00942997" w:rsidRPr="006F4C96">
        <w:rPr>
          <w:rFonts w:ascii="Times New Roman" w:eastAsia="Times New Roman" w:hAnsi="Times New Roman" w:cs="Times New Roman"/>
          <w:szCs w:val="20"/>
          <w:shd w:val="clear" w:color="auto" w:fill="FFFFFF"/>
          <w:lang w:eastAsia="en-GB"/>
        </w:rPr>
        <w:t xml:space="preserve">death </w:t>
      </w:r>
      <w:r w:rsidRPr="006F4C96">
        <w:rPr>
          <w:rFonts w:ascii="Times New Roman" w:eastAsia="Times New Roman" w:hAnsi="Times New Roman" w:cs="Times New Roman"/>
          <w:szCs w:val="20"/>
          <w:shd w:val="clear" w:color="auto" w:fill="FFFFFF"/>
          <w:lang w:eastAsia="en-GB"/>
        </w:rPr>
        <w:t>registry and self–report data as described elsewhere</w:t>
      </w:r>
      <w:r w:rsidR="00547F8A" w:rsidRPr="006F4C96">
        <w:rPr>
          <w:rFonts w:ascii="Times New Roman" w:eastAsia="Times New Roman" w:hAnsi="Times New Roman" w:cs="Times New Roman"/>
          <w:szCs w:val="20"/>
          <w:shd w:val="clear" w:color="auto" w:fill="FFFFFF"/>
          <w:lang w:eastAsia="en-GB"/>
        </w:rPr>
        <w:t xml:space="preserve"> [</w:t>
      </w:r>
      <w:r w:rsidR="000C576E" w:rsidRPr="006F4C96">
        <w:rPr>
          <w:rFonts w:ascii="Times New Roman" w:eastAsia="Times New Roman" w:hAnsi="Times New Roman" w:cs="Times New Roman"/>
          <w:szCs w:val="20"/>
          <w:shd w:val="clear" w:color="auto" w:fill="FFFFFF"/>
          <w:lang w:eastAsia="en-GB"/>
        </w:rPr>
        <w:t>1</w:t>
      </w:r>
      <w:r w:rsidR="00942997" w:rsidRPr="006F4C96">
        <w:rPr>
          <w:rFonts w:ascii="Times New Roman" w:eastAsia="Times New Roman" w:hAnsi="Times New Roman" w:cs="Times New Roman"/>
          <w:szCs w:val="20"/>
          <w:shd w:val="clear" w:color="auto" w:fill="FFFFFF"/>
          <w:lang w:eastAsia="en-GB"/>
        </w:rPr>
        <w:t>2</w:t>
      </w:r>
      <w:r w:rsidR="00547F8A" w:rsidRPr="006F4C96">
        <w:rPr>
          <w:rFonts w:ascii="Times New Roman" w:eastAsia="Times New Roman" w:hAnsi="Times New Roman" w:cs="Times New Roman"/>
          <w:szCs w:val="20"/>
          <w:shd w:val="clear" w:color="auto" w:fill="FFFFFF"/>
          <w:lang w:eastAsia="en-GB"/>
        </w:rPr>
        <w:t>].</w:t>
      </w:r>
      <w:r w:rsidR="000C576E" w:rsidRPr="006F4C96">
        <w:rPr>
          <w:rFonts w:ascii="Times New Roman" w:eastAsia="Times New Roman" w:hAnsi="Times New Roman" w:cs="Times New Roman"/>
          <w:szCs w:val="20"/>
          <w:shd w:val="clear" w:color="auto" w:fill="FFFFFF"/>
          <w:lang w:eastAsia="en-GB"/>
        </w:rPr>
        <w:t xml:space="preserve"> </w:t>
      </w:r>
      <w:r w:rsidRPr="006F4C96">
        <w:rPr>
          <w:rFonts w:ascii="Times New Roman" w:eastAsia="Times New Roman" w:hAnsi="Times New Roman" w:cs="Times New Roman"/>
          <w:szCs w:val="20"/>
          <w:shd w:val="clear" w:color="auto" w:fill="FFFFFF"/>
          <w:lang w:eastAsia="en-GB"/>
        </w:rPr>
        <w:t xml:space="preserve">To assess the extent to which any association of LTL with frailty </w:t>
      </w:r>
      <w:r w:rsidR="008213DC" w:rsidRPr="006F4C96">
        <w:rPr>
          <w:rFonts w:ascii="Times New Roman" w:eastAsia="Times New Roman" w:hAnsi="Times New Roman" w:cs="Times New Roman"/>
          <w:szCs w:val="20"/>
          <w:shd w:val="clear" w:color="auto" w:fill="FFFFFF"/>
          <w:lang w:eastAsia="en-GB"/>
        </w:rPr>
        <w:t>i</w:t>
      </w:r>
      <w:r w:rsidR="00261167" w:rsidRPr="006F4C96">
        <w:rPr>
          <w:rFonts w:ascii="Times New Roman" w:eastAsia="Times New Roman" w:hAnsi="Times New Roman" w:cs="Times New Roman"/>
          <w:szCs w:val="20"/>
          <w:shd w:val="clear" w:color="auto" w:fill="FFFFFF"/>
          <w:lang w:eastAsia="en-GB"/>
        </w:rPr>
        <w:t>s independent of any association</w:t>
      </w:r>
      <w:r w:rsidRPr="006F4C96">
        <w:rPr>
          <w:rFonts w:ascii="Times New Roman" w:eastAsia="Times New Roman" w:hAnsi="Times New Roman" w:cs="Times New Roman"/>
          <w:szCs w:val="20"/>
          <w:shd w:val="clear" w:color="auto" w:fill="FFFFFF"/>
          <w:lang w:eastAsia="en-GB"/>
        </w:rPr>
        <w:t xml:space="preserve"> of LTL </w:t>
      </w:r>
      <w:r w:rsidR="00261167" w:rsidRPr="006F4C96">
        <w:rPr>
          <w:rFonts w:ascii="Times New Roman" w:eastAsia="Times New Roman" w:hAnsi="Times New Roman" w:cs="Times New Roman"/>
          <w:szCs w:val="20"/>
          <w:shd w:val="clear" w:color="auto" w:fill="FFFFFF"/>
          <w:lang w:eastAsia="en-GB"/>
        </w:rPr>
        <w:t>with</w:t>
      </w:r>
      <w:r w:rsidRPr="006F4C96">
        <w:rPr>
          <w:rFonts w:ascii="Times New Roman" w:eastAsia="Times New Roman" w:hAnsi="Times New Roman" w:cs="Times New Roman"/>
          <w:szCs w:val="20"/>
          <w:shd w:val="clear" w:color="auto" w:fill="FFFFFF"/>
          <w:lang w:eastAsia="en-GB"/>
        </w:rPr>
        <w:t xml:space="preserve"> these disease</w:t>
      </w:r>
      <w:r w:rsidR="008213DC" w:rsidRPr="006F4C96">
        <w:rPr>
          <w:rFonts w:ascii="Times New Roman" w:eastAsia="Times New Roman" w:hAnsi="Times New Roman" w:cs="Times New Roman"/>
          <w:szCs w:val="20"/>
          <w:shd w:val="clear" w:color="auto" w:fill="FFFFFF"/>
          <w:lang w:eastAsia="en-GB"/>
        </w:rPr>
        <w:t>s</w:t>
      </w:r>
      <w:r w:rsidR="00052A2A" w:rsidRPr="006F4C96">
        <w:rPr>
          <w:rFonts w:ascii="Times New Roman" w:eastAsia="Times New Roman" w:hAnsi="Times New Roman" w:cs="Times New Roman"/>
          <w:szCs w:val="20"/>
          <w:shd w:val="clear" w:color="auto" w:fill="FFFFFF"/>
          <w:lang w:eastAsia="en-GB"/>
        </w:rPr>
        <w:t xml:space="preserve"> at baseline</w:t>
      </w:r>
      <w:r w:rsidRPr="006F4C96">
        <w:rPr>
          <w:rFonts w:ascii="Times New Roman" w:eastAsia="Times New Roman" w:hAnsi="Times New Roman" w:cs="Times New Roman"/>
          <w:szCs w:val="20"/>
          <w:shd w:val="clear" w:color="auto" w:fill="FFFFFF"/>
          <w:lang w:eastAsia="en-GB"/>
        </w:rPr>
        <w:t xml:space="preserve">, we </w:t>
      </w:r>
      <w:r w:rsidR="00261167" w:rsidRPr="006F4C96">
        <w:rPr>
          <w:rFonts w:ascii="Times New Roman" w:eastAsia="Times New Roman" w:hAnsi="Times New Roman" w:cs="Times New Roman"/>
          <w:szCs w:val="20"/>
          <w:shd w:val="clear" w:color="auto" w:fill="FFFFFF"/>
          <w:lang w:eastAsia="en-GB"/>
        </w:rPr>
        <w:t xml:space="preserve">conducted regression modelling using standardised residuals after </w:t>
      </w:r>
      <w:r w:rsidRPr="006F4C96">
        <w:rPr>
          <w:rFonts w:ascii="Times New Roman" w:eastAsia="Times New Roman" w:hAnsi="Times New Roman" w:cs="Times New Roman"/>
          <w:szCs w:val="20"/>
          <w:shd w:val="clear" w:color="auto" w:fill="FFFFFF"/>
          <w:lang w:eastAsia="en-GB"/>
        </w:rPr>
        <w:t xml:space="preserve">regressing LTL on </w:t>
      </w:r>
      <w:r w:rsidR="00261167" w:rsidRPr="006F4C96">
        <w:rPr>
          <w:rFonts w:ascii="Times New Roman" w:eastAsia="Times New Roman" w:hAnsi="Times New Roman" w:cs="Times New Roman"/>
          <w:szCs w:val="20"/>
          <w:shd w:val="clear" w:color="auto" w:fill="FFFFFF"/>
          <w:lang w:eastAsia="en-GB"/>
        </w:rPr>
        <w:t xml:space="preserve">indicators of history of </w:t>
      </w:r>
      <w:r w:rsidRPr="006F4C96">
        <w:rPr>
          <w:rFonts w:ascii="Times New Roman" w:eastAsia="Times New Roman" w:hAnsi="Times New Roman" w:cs="Times New Roman"/>
          <w:szCs w:val="20"/>
          <w:shd w:val="clear" w:color="auto" w:fill="FFFFFF"/>
          <w:lang w:eastAsia="en-GB"/>
        </w:rPr>
        <w:t>the 123 diseases.</w:t>
      </w:r>
      <w:r w:rsidR="00244A53" w:rsidRPr="006F4C96">
        <w:rPr>
          <w:rFonts w:ascii="Times New Roman" w:eastAsia="Times New Roman" w:hAnsi="Times New Roman" w:cs="Times New Roman"/>
          <w:szCs w:val="20"/>
          <w:shd w:val="clear" w:color="auto" w:fill="FFFFFF"/>
          <w:lang w:eastAsia="en-GB"/>
        </w:rPr>
        <w:t xml:space="preserve"> </w:t>
      </w:r>
    </w:p>
    <w:p w14:paraId="620500EA" w14:textId="04A1EB43" w:rsidR="00925C73" w:rsidRPr="006F4C96" w:rsidRDefault="00925C73" w:rsidP="008C738E">
      <w:pPr>
        <w:spacing w:after="0" w:line="480" w:lineRule="auto"/>
        <w:ind w:firstLine="567"/>
        <w:rPr>
          <w:rFonts w:ascii="Times New Roman" w:eastAsia="Times New Roman" w:hAnsi="Times New Roman" w:cs="Times New Roman"/>
          <w:szCs w:val="20"/>
          <w:shd w:val="clear" w:color="auto" w:fill="FFFFFF"/>
          <w:lang w:eastAsia="en-GB"/>
        </w:rPr>
      </w:pPr>
      <w:r w:rsidRPr="006F4C96">
        <w:rPr>
          <w:rFonts w:ascii="Times New Roman" w:hAnsi="Times New Roman" w:cs="Times New Roman"/>
          <w:szCs w:val="20"/>
        </w:rPr>
        <w:t>T</w:t>
      </w:r>
      <w:r w:rsidR="004F44BB" w:rsidRPr="006F4C96">
        <w:rPr>
          <w:rFonts w:ascii="Times New Roman" w:hAnsi="Times New Roman" w:cs="Times New Roman"/>
          <w:szCs w:val="20"/>
        </w:rPr>
        <w:t>o investigate</w:t>
      </w:r>
      <w:r w:rsidR="000A26E0" w:rsidRPr="006F4C96">
        <w:rPr>
          <w:rFonts w:ascii="Times New Roman" w:hAnsi="Times New Roman" w:cs="Times New Roman"/>
          <w:szCs w:val="20"/>
        </w:rPr>
        <w:t xml:space="preserve"> </w:t>
      </w:r>
      <w:r w:rsidR="004F44BB" w:rsidRPr="006F4C96">
        <w:rPr>
          <w:rFonts w:ascii="Times New Roman" w:hAnsi="Times New Roman" w:cs="Times New Roman"/>
          <w:szCs w:val="20"/>
        </w:rPr>
        <w:t xml:space="preserve">whether </w:t>
      </w:r>
      <w:r w:rsidR="008213DC" w:rsidRPr="006F4C96">
        <w:rPr>
          <w:rFonts w:ascii="Times New Roman" w:hAnsi="Times New Roman" w:cs="Times New Roman"/>
          <w:szCs w:val="20"/>
        </w:rPr>
        <w:t>any</w:t>
      </w:r>
      <w:r w:rsidR="000A26E0" w:rsidRPr="006F4C96">
        <w:rPr>
          <w:rFonts w:ascii="Times New Roman" w:hAnsi="Times New Roman" w:cs="Times New Roman"/>
          <w:szCs w:val="20"/>
        </w:rPr>
        <w:t xml:space="preserve"> relationship between LTL and frailty </w:t>
      </w:r>
      <w:r w:rsidR="004F44BB" w:rsidRPr="006F4C96">
        <w:rPr>
          <w:rFonts w:ascii="Times New Roman" w:hAnsi="Times New Roman" w:cs="Times New Roman"/>
          <w:szCs w:val="20"/>
        </w:rPr>
        <w:t>is causal</w:t>
      </w:r>
      <w:r w:rsidRPr="006F4C96">
        <w:rPr>
          <w:rFonts w:ascii="Times New Roman" w:hAnsi="Times New Roman" w:cs="Times New Roman"/>
          <w:szCs w:val="20"/>
        </w:rPr>
        <w:t>,</w:t>
      </w:r>
      <w:r w:rsidR="004F44BB" w:rsidRPr="006F4C96">
        <w:rPr>
          <w:rFonts w:ascii="Times New Roman" w:hAnsi="Times New Roman" w:cs="Times New Roman"/>
          <w:szCs w:val="20"/>
        </w:rPr>
        <w:t xml:space="preserve"> </w:t>
      </w:r>
      <w:r w:rsidR="000A26E0" w:rsidRPr="006F4C96">
        <w:rPr>
          <w:rFonts w:ascii="Times New Roman" w:hAnsi="Times New Roman" w:cs="Times New Roman"/>
          <w:szCs w:val="20"/>
        </w:rPr>
        <w:t>we</w:t>
      </w:r>
      <w:r w:rsidR="00D211F9" w:rsidRPr="006F4C96">
        <w:rPr>
          <w:rFonts w:ascii="Times New Roman" w:hAnsi="Times New Roman" w:cs="Times New Roman"/>
          <w:szCs w:val="20"/>
        </w:rPr>
        <w:t xml:space="preserve"> </w:t>
      </w:r>
      <w:r w:rsidRPr="006F4C96">
        <w:rPr>
          <w:rFonts w:ascii="Times New Roman" w:hAnsi="Times New Roman" w:cs="Times New Roman"/>
          <w:szCs w:val="20"/>
        </w:rPr>
        <w:t>conducted</w:t>
      </w:r>
      <w:r w:rsidR="000A26E0" w:rsidRPr="006F4C96">
        <w:rPr>
          <w:rFonts w:ascii="Times New Roman" w:hAnsi="Times New Roman" w:cs="Times New Roman"/>
          <w:szCs w:val="20"/>
        </w:rPr>
        <w:t xml:space="preserve"> </w:t>
      </w:r>
      <w:r w:rsidRPr="006F4C96">
        <w:rPr>
          <w:rFonts w:ascii="Times New Roman" w:hAnsi="Times New Roman" w:cs="Times New Roman"/>
          <w:szCs w:val="20"/>
        </w:rPr>
        <w:t>Mendelian randomisation (MR)</w:t>
      </w:r>
      <w:r w:rsidR="004F44BB" w:rsidRPr="006F4C96">
        <w:rPr>
          <w:rFonts w:ascii="Times New Roman" w:hAnsi="Times New Roman" w:cs="Times New Roman"/>
          <w:szCs w:val="20"/>
        </w:rPr>
        <w:t xml:space="preserve"> </w:t>
      </w:r>
      <w:r w:rsidRPr="006F4C96">
        <w:rPr>
          <w:rFonts w:ascii="Times New Roman" w:hAnsi="Times New Roman" w:cs="Times New Roman"/>
          <w:szCs w:val="20"/>
        </w:rPr>
        <w:t>analyses</w:t>
      </w:r>
      <w:r w:rsidR="009E3B99" w:rsidRPr="006F4C96">
        <w:rPr>
          <w:rFonts w:ascii="Times New Roman" w:hAnsi="Times New Roman" w:cs="Times New Roman"/>
          <w:szCs w:val="20"/>
        </w:rPr>
        <w:t xml:space="preserve"> [</w:t>
      </w:r>
      <w:r w:rsidR="002C21E6" w:rsidRPr="006F4C96">
        <w:rPr>
          <w:rFonts w:ascii="Times New Roman" w:hAnsi="Times New Roman" w:cs="Times New Roman"/>
          <w:szCs w:val="20"/>
        </w:rPr>
        <w:t>23</w:t>
      </w:r>
      <w:r w:rsidR="009E3B99" w:rsidRPr="006F4C96">
        <w:rPr>
          <w:rFonts w:ascii="Times New Roman" w:hAnsi="Times New Roman" w:cs="Times New Roman"/>
          <w:szCs w:val="20"/>
        </w:rPr>
        <w:t>],</w:t>
      </w:r>
      <w:r w:rsidR="002C21E6" w:rsidRPr="006F4C96">
        <w:rPr>
          <w:rFonts w:ascii="Times New Roman" w:hAnsi="Times New Roman" w:cs="Times New Roman"/>
          <w:szCs w:val="20"/>
        </w:rPr>
        <w:t xml:space="preserve"> </w:t>
      </w:r>
      <w:r w:rsidR="00071276" w:rsidRPr="006F4C96">
        <w:rPr>
          <w:rFonts w:ascii="Times New Roman" w:hAnsi="Times New Roman" w:cs="Times New Roman"/>
          <w:szCs w:val="20"/>
        </w:rPr>
        <w:t xml:space="preserve">using 131 </w:t>
      </w:r>
      <w:r w:rsidR="00042F27" w:rsidRPr="006F4C96">
        <w:rPr>
          <w:rFonts w:ascii="Times New Roman" w:hAnsi="Times New Roman" w:cs="Times New Roman"/>
          <w:szCs w:val="20"/>
        </w:rPr>
        <w:t>independent and uncorr</w:t>
      </w:r>
      <w:r w:rsidR="00526B6C" w:rsidRPr="006F4C96">
        <w:rPr>
          <w:rFonts w:ascii="Times New Roman" w:hAnsi="Times New Roman" w:cs="Times New Roman"/>
          <w:szCs w:val="20"/>
        </w:rPr>
        <w:t>e</w:t>
      </w:r>
      <w:r w:rsidR="00042F27" w:rsidRPr="006F4C96">
        <w:rPr>
          <w:rFonts w:ascii="Times New Roman" w:hAnsi="Times New Roman" w:cs="Times New Roman"/>
          <w:szCs w:val="20"/>
        </w:rPr>
        <w:t xml:space="preserve">lated </w:t>
      </w:r>
      <w:r w:rsidR="00071276" w:rsidRPr="006F4C96">
        <w:rPr>
          <w:rFonts w:ascii="Times New Roman" w:hAnsi="Times New Roman" w:cs="Times New Roman"/>
          <w:szCs w:val="20"/>
        </w:rPr>
        <w:t xml:space="preserve">genetic variants </w:t>
      </w:r>
      <w:r w:rsidR="004F44BB" w:rsidRPr="006F4C96">
        <w:rPr>
          <w:rFonts w:ascii="Times New Roman" w:hAnsi="Times New Roman" w:cs="Times New Roman"/>
          <w:szCs w:val="20"/>
        </w:rPr>
        <w:t xml:space="preserve">associated with LTL </w:t>
      </w:r>
      <w:r w:rsidR="00042F27" w:rsidRPr="006F4C96">
        <w:rPr>
          <w:rFonts w:ascii="Times New Roman" w:hAnsi="Times New Roman" w:cs="Times New Roman"/>
          <w:szCs w:val="20"/>
        </w:rPr>
        <w:t>a</w:t>
      </w:r>
      <w:r w:rsidR="00C059B0" w:rsidRPr="006F4C96">
        <w:rPr>
          <w:rFonts w:ascii="Times New Roman" w:hAnsi="Times New Roman" w:cs="Times New Roman"/>
          <w:szCs w:val="20"/>
        </w:rPr>
        <w:t>t</w:t>
      </w:r>
      <w:r w:rsidR="00042F27" w:rsidRPr="006F4C96">
        <w:rPr>
          <w:rFonts w:ascii="Times New Roman" w:hAnsi="Times New Roman" w:cs="Times New Roman"/>
          <w:szCs w:val="20"/>
        </w:rPr>
        <w:t xml:space="preserve"> genome</w:t>
      </w:r>
      <w:r w:rsidRPr="006F4C96">
        <w:rPr>
          <w:rFonts w:ascii="Times New Roman" w:hAnsi="Times New Roman" w:cs="Times New Roman"/>
          <w:szCs w:val="20"/>
        </w:rPr>
        <w:t>–</w:t>
      </w:r>
      <w:r w:rsidR="00042F27" w:rsidRPr="006F4C96">
        <w:rPr>
          <w:rFonts w:ascii="Times New Roman" w:hAnsi="Times New Roman" w:cs="Times New Roman"/>
          <w:szCs w:val="20"/>
        </w:rPr>
        <w:t xml:space="preserve">wide </w:t>
      </w:r>
      <w:r w:rsidRPr="006F4C96">
        <w:rPr>
          <w:rFonts w:ascii="Times New Roman" w:hAnsi="Times New Roman" w:cs="Times New Roman"/>
          <w:szCs w:val="20"/>
        </w:rPr>
        <w:t>significance</w:t>
      </w:r>
      <w:r w:rsidR="009E3B99" w:rsidRPr="006F4C96">
        <w:rPr>
          <w:rFonts w:ascii="Times New Roman" w:hAnsi="Times New Roman" w:cs="Times New Roman"/>
          <w:szCs w:val="20"/>
        </w:rPr>
        <w:t xml:space="preserve"> [</w:t>
      </w:r>
      <w:r w:rsidRPr="006F4C96">
        <w:rPr>
          <w:rFonts w:ascii="Times New Roman" w:hAnsi="Times New Roman" w:cs="Times New Roman"/>
          <w:szCs w:val="20"/>
        </w:rPr>
        <w:t>12</w:t>
      </w:r>
      <w:r w:rsidR="009E3B99" w:rsidRPr="006F4C96">
        <w:rPr>
          <w:rFonts w:ascii="Times New Roman" w:hAnsi="Times New Roman" w:cs="Times New Roman"/>
          <w:szCs w:val="20"/>
        </w:rPr>
        <w:t>]</w:t>
      </w:r>
      <w:r w:rsidRPr="006F4C96">
        <w:rPr>
          <w:rFonts w:ascii="Times New Roman" w:hAnsi="Times New Roman" w:cs="Times New Roman"/>
          <w:szCs w:val="20"/>
        </w:rPr>
        <w:t xml:space="preserve"> </w:t>
      </w:r>
      <w:r w:rsidR="000A26E0" w:rsidRPr="006F4C96">
        <w:rPr>
          <w:rFonts w:ascii="Times New Roman" w:hAnsi="Times New Roman" w:cs="Times New Roman"/>
          <w:szCs w:val="20"/>
        </w:rPr>
        <w:t xml:space="preserve">as instrumental variables. </w:t>
      </w:r>
      <w:r w:rsidR="006D64A6" w:rsidRPr="006F4C96">
        <w:rPr>
          <w:rFonts w:ascii="Times New Roman" w:hAnsi="Times New Roman" w:cs="Times New Roman"/>
          <w:szCs w:val="20"/>
        </w:rPr>
        <w:t>Further</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details</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statistical</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analysis</w:t>
      </w:r>
      <w:r w:rsidR="004F44BB" w:rsidRPr="006F4C96">
        <w:rPr>
          <w:rFonts w:ascii="Times New Roman" w:hAnsi="Times New Roman" w:cs="Times New Roman"/>
          <w:szCs w:val="20"/>
        </w:rPr>
        <w:t>, including the MR analysis,</w:t>
      </w:r>
      <w:r w:rsidR="000441F4" w:rsidRPr="006F4C96">
        <w:rPr>
          <w:rFonts w:ascii="Times New Roman" w:hAnsi="Times New Roman" w:cs="Times New Roman"/>
          <w:szCs w:val="20"/>
        </w:rPr>
        <w:t xml:space="preserve"> </w:t>
      </w:r>
      <w:r w:rsidR="008213DC" w:rsidRPr="006F4C96">
        <w:rPr>
          <w:rFonts w:ascii="Times New Roman" w:hAnsi="Times New Roman" w:cs="Times New Roman"/>
          <w:szCs w:val="20"/>
        </w:rPr>
        <w:t>are provided</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006D64A6"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5C13C0" w:rsidRPr="006F4C96">
        <w:rPr>
          <w:rFonts w:ascii="Times New Roman" w:hAnsi="Times New Roman" w:cs="Times New Roman"/>
          <w:szCs w:val="20"/>
        </w:rPr>
        <w:t>“</w:t>
      </w:r>
      <w:r w:rsidR="005C13C0" w:rsidRPr="006F4C96">
        <w:rPr>
          <w:rFonts w:ascii="Times New Roman" w:hAnsi="Times New Roman" w:cs="Times New Roman"/>
          <w:i/>
          <w:szCs w:val="20"/>
        </w:rPr>
        <w:t>Methods section</w:t>
      </w:r>
      <w:r w:rsidR="005C13C0" w:rsidRPr="006F4C96">
        <w:rPr>
          <w:rFonts w:ascii="Times New Roman" w:hAnsi="Times New Roman" w:cs="Times New Roman"/>
          <w:szCs w:val="20"/>
        </w:rPr>
        <w:t>” of the Supplementary material</w:t>
      </w:r>
      <w:r w:rsidR="006D64A6" w:rsidRPr="006F4C96">
        <w:rPr>
          <w:rFonts w:ascii="Times New Roman" w:hAnsi="Times New Roman" w:cs="Times New Roman"/>
          <w:szCs w:val="20"/>
        </w:rPr>
        <w:t>.</w:t>
      </w:r>
    </w:p>
    <w:p w14:paraId="43E11469" w14:textId="77777777" w:rsidR="009B5530" w:rsidRPr="006F4C96" w:rsidRDefault="009B5530" w:rsidP="008C738E">
      <w:pPr>
        <w:spacing w:after="0" w:line="480" w:lineRule="auto"/>
        <w:rPr>
          <w:rFonts w:ascii="Times New Roman" w:hAnsi="Times New Roman" w:cs="Times New Roman"/>
          <w:b/>
          <w:sz w:val="24"/>
          <w:szCs w:val="20"/>
        </w:rPr>
      </w:pPr>
    </w:p>
    <w:p w14:paraId="031562A6" w14:textId="1C8560D9" w:rsidR="009E5DED" w:rsidRPr="006F4C96" w:rsidRDefault="009E5DED" w:rsidP="008C738E">
      <w:pPr>
        <w:spacing w:after="0" w:line="480" w:lineRule="auto"/>
        <w:rPr>
          <w:rFonts w:ascii="Times New Roman" w:hAnsi="Times New Roman" w:cs="Times New Roman"/>
          <w:b/>
          <w:sz w:val="24"/>
          <w:szCs w:val="20"/>
        </w:rPr>
      </w:pPr>
      <w:r w:rsidRPr="006F4C96">
        <w:rPr>
          <w:rFonts w:ascii="Times New Roman" w:hAnsi="Times New Roman" w:cs="Times New Roman"/>
          <w:b/>
          <w:sz w:val="24"/>
          <w:szCs w:val="20"/>
        </w:rPr>
        <w:t>Results</w:t>
      </w:r>
    </w:p>
    <w:p w14:paraId="0D0632BD" w14:textId="57CB5A79" w:rsidR="00925C73" w:rsidRPr="006F4C96" w:rsidRDefault="009E5DED"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4</w:t>
      </w:r>
      <w:r w:rsidR="000B1CA4" w:rsidRPr="006F4C96">
        <w:rPr>
          <w:rFonts w:ascii="Times New Roman" w:hAnsi="Times New Roman" w:cs="Times New Roman"/>
          <w:szCs w:val="20"/>
        </w:rPr>
        <w:t>72,</w:t>
      </w:r>
      <w:r w:rsidR="00004706" w:rsidRPr="006F4C96">
        <w:rPr>
          <w:rFonts w:ascii="Times New Roman" w:hAnsi="Times New Roman" w:cs="Times New Roman"/>
          <w:szCs w:val="20"/>
        </w:rPr>
        <w:t>174</w:t>
      </w:r>
      <w:r w:rsidR="000441F4" w:rsidRPr="006F4C96">
        <w:rPr>
          <w:rFonts w:ascii="Times New Roman" w:hAnsi="Times New Roman" w:cs="Times New Roman"/>
          <w:szCs w:val="20"/>
        </w:rPr>
        <w:t xml:space="preserve"> </w:t>
      </w:r>
      <w:r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UK</w:t>
      </w:r>
      <w:r w:rsidR="000441F4" w:rsidRPr="006F4C96">
        <w:rPr>
          <w:rFonts w:ascii="Times New Roman" w:hAnsi="Times New Roman" w:cs="Times New Roman"/>
          <w:szCs w:val="20"/>
        </w:rPr>
        <w:t xml:space="preserve"> </w:t>
      </w:r>
      <w:r w:rsidRPr="006F4C96">
        <w:rPr>
          <w:rFonts w:ascii="Times New Roman" w:hAnsi="Times New Roman" w:cs="Times New Roman"/>
          <w:szCs w:val="20"/>
        </w:rPr>
        <w:t>Biobank</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000B1CA4" w:rsidRPr="006F4C96">
        <w:rPr>
          <w:rFonts w:ascii="Times New Roman" w:hAnsi="Times New Roman" w:cs="Times New Roman"/>
          <w:szCs w:val="20"/>
        </w:rPr>
        <w:t>valid</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measurement</w:t>
      </w:r>
      <w:r w:rsidR="00642C9D"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we</w:t>
      </w:r>
      <w:r w:rsidR="000441F4" w:rsidRPr="006F4C96">
        <w:rPr>
          <w:rFonts w:ascii="Times New Roman" w:hAnsi="Times New Roman" w:cs="Times New Roman"/>
          <w:szCs w:val="20"/>
        </w:rPr>
        <w:t xml:space="preserve"> </w:t>
      </w:r>
      <w:r w:rsidRPr="006F4C96">
        <w:rPr>
          <w:rFonts w:ascii="Times New Roman" w:hAnsi="Times New Roman" w:cs="Times New Roman"/>
          <w:szCs w:val="20"/>
        </w:rPr>
        <w:t>excluded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30,393</w:t>
      </w:r>
      <w:r w:rsidR="008D6EC5" w:rsidRPr="006F4C96">
        <w:rPr>
          <w:rFonts w:ascii="Times New Roman" w:hAnsi="Times New Roman" w:cs="Times New Roman"/>
          <w:szCs w:val="20"/>
        </w:rPr>
        <w:t xml:space="preserve"> (6</w:t>
      </w:r>
      <w:r w:rsidR="000E3CF2" w:rsidRPr="006F4C96">
        <w:rPr>
          <w:rFonts w:ascii="Times New Roman" w:hAnsi="Times New Roman" w:cs="Times New Roman"/>
          <w:szCs w:val="20"/>
        </w:rPr>
        <w:t>.</w:t>
      </w:r>
      <w:r w:rsidR="008D6EC5" w:rsidRPr="006F4C96">
        <w:rPr>
          <w:rFonts w:ascii="Times New Roman" w:hAnsi="Times New Roman" w:cs="Times New Roman"/>
          <w:szCs w:val="20"/>
        </w:rPr>
        <w:t xml:space="preserve">4%) </w:t>
      </w:r>
      <w:r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current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analysis</w:t>
      </w:r>
      <w:r w:rsidR="000441F4" w:rsidRPr="006F4C96">
        <w:rPr>
          <w:rFonts w:ascii="Times New Roman" w:hAnsi="Times New Roman" w:cs="Times New Roman"/>
          <w:szCs w:val="20"/>
        </w:rPr>
        <w:t xml:space="preserve"> </w:t>
      </w:r>
      <w:r w:rsidRPr="006F4C96">
        <w:rPr>
          <w:rFonts w:ascii="Times New Roman" w:hAnsi="Times New Roman" w:cs="Times New Roman"/>
          <w:szCs w:val="20"/>
        </w:rPr>
        <w:t>because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they</w:t>
      </w:r>
      <w:r w:rsidR="000441F4" w:rsidRPr="006F4C96">
        <w:rPr>
          <w:rFonts w:ascii="Times New Roman" w:hAnsi="Times New Roman" w:cs="Times New Roman"/>
          <w:szCs w:val="20"/>
        </w:rPr>
        <w:t xml:space="preserve"> </w:t>
      </w:r>
      <w:r w:rsidRPr="006F4C96">
        <w:rPr>
          <w:rFonts w:ascii="Times New Roman" w:hAnsi="Times New Roman" w:cs="Times New Roman"/>
          <w:szCs w:val="20"/>
        </w:rPr>
        <w:t>lacked</w:t>
      </w:r>
      <w:r w:rsidR="000441F4" w:rsidRPr="006F4C96">
        <w:rPr>
          <w:rFonts w:ascii="Times New Roman" w:hAnsi="Times New Roman" w:cs="Times New Roman"/>
          <w:szCs w:val="20"/>
        </w:rPr>
        <w:t xml:space="preserve"> </w:t>
      </w:r>
      <w:r w:rsidRPr="006F4C96">
        <w:rPr>
          <w:rFonts w:ascii="Times New Roman" w:hAnsi="Times New Roman" w:cs="Times New Roman"/>
          <w:szCs w:val="20"/>
        </w:rPr>
        <w:t>information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925C73" w:rsidRPr="006F4C96">
        <w:rPr>
          <w:rFonts w:ascii="Times New Roman" w:hAnsi="Times New Roman" w:cs="Times New Roman"/>
          <w:szCs w:val="20"/>
        </w:rPr>
        <w:t>, relevant covariates, or both</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b/>
          <w:szCs w:val="20"/>
        </w:rPr>
        <w:t>Supplementary</w:t>
      </w:r>
      <w:r w:rsidR="000441F4" w:rsidRPr="006F4C96">
        <w:rPr>
          <w:rFonts w:ascii="Times New Roman" w:hAnsi="Times New Roman" w:cs="Times New Roman"/>
          <w:szCs w:val="20"/>
        </w:rPr>
        <w:t xml:space="preserve"> </w:t>
      </w:r>
      <w:r w:rsidRPr="006F4C96">
        <w:rPr>
          <w:rFonts w:ascii="Times New Roman" w:hAnsi="Times New Roman" w:cs="Times New Roman"/>
          <w:b/>
          <w:szCs w:val="20"/>
        </w:rPr>
        <w:t>Figure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1</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Pr="006F4C96">
        <w:rPr>
          <w:rFonts w:ascii="Times New Roman" w:hAnsi="Times New Roman" w:cs="Times New Roman"/>
          <w:szCs w:val="20"/>
        </w:rPr>
        <w:t>no</w:t>
      </w:r>
      <w:r w:rsidR="000441F4" w:rsidRPr="006F4C96">
        <w:rPr>
          <w:rFonts w:ascii="Times New Roman" w:hAnsi="Times New Roman" w:cs="Times New Roman"/>
          <w:szCs w:val="20"/>
        </w:rPr>
        <w:t xml:space="preserve"> </w:t>
      </w:r>
      <w:r w:rsidRPr="006F4C96">
        <w:rPr>
          <w:rFonts w:ascii="Times New Roman" w:hAnsi="Times New Roman" w:cs="Times New Roman"/>
          <w:szCs w:val="20"/>
        </w:rPr>
        <w:t>difference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distribution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sex</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between</w:t>
      </w:r>
      <w:r w:rsidR="000441F4" w:rsidRPr="006F4C96">
        <w:rPr>
          <w:rFonts w:ascii="Times New Roman" w:hAnsi="Times New Roman" w:cs="Times New Roman"/>
          <w:szCs w:val="20"/>
        </w:rPr>
        <w:t xml:space="preserve"> </w:t>
      </w:r>
      <w:r w:rsidR="008D6EC5"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who</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included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excluded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f</w:t>
      </w:r>
      <w:r w:rsidR="00004706" w:rsidRPr="006F4C96">
        <w:rPr>
          <w:rFonts w:ascii="Times New Roman" w:hAnsi="Times New Roman" w:cs="Times New Roman"/>
          <w:szCs w:val="20"/>
        </w:rPr>
        <w:t>ro</w:t>
      </w:r>
      <w:r w:rsidRPr="006F4C96">
        <w:rPr>
          <w:rFonts w:ascii="Times New Roman" w:hAnsi="Times New Roman" w:cs="Times New Roman"/>
          <w:szCs w:val="20"/>
        </w:rPr>
        <w:t>m</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analysis</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00925C73" w:rsidRPr="006F4C96">
        <w:rPr>
          <w:rFonts w:ascii="Times New Roman" w:hAnsi="Times New Roman" w:cs="Times New Roman"/>
          <w:szCs w:val="20"/>
        </w:rPr>
        <w:t>females 54</w:t>
      </w:r>
      <w:r w:rsidR="000E3CF2" w:rsidRPr="006F4C96">
        <w:rPr>
          <w:rFonts w:ascii="Times New Roman" w:hAnsi="Times New Roman" w:cs="Times New Roman"/>
          <w:szCs w:val="20"/>
        </w:rPr>
        <w:t>.</w:t>
      </w:r>
      <w:r w:rsidR="00925C73" w:rsidRPr="006F4C96">
        <w:rPr>
          <w:rFonts w:ascii="Times New Roman" w:hAnsi="Times New Roman" w:cs="Times New Roman"/>
          <w:szCs w:val="20"/>
        </w:rPr>
        <w:t>2% vs 54</w:t>
      </w:r>
      <w:r w:rsidR="000E3CF2" w:rsidRPr="006F4C96">
        <w:rPr>
          <w:rFonts w:ascii="Times New Roman" w:hAnsi="Times New Roman" w:cs="Times New Roman"/>
          <w:szCs w:val="20"/>
        </w:rPr>
        <w:t>.</w:t>
      </w:r>
      <w:r w:rsidR="00925C73" w:rsidRPr="006F4C96">
        <w:rPr>
          <w:rFonts w:ascii="Times New Roman" w:hAnsi="Times New Roman" w:cs="Times New Roman"/>
          <w:szCs w:val="20"/>
        </w:rPr>
        <w:t>6%</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mean</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56</w:t>
      </w:r>
      <w:r w:rsidR="000E3CF2" w:rsidRPr="006F4C96">
        <w:rPr>
          <w:rFonts w:ascii="Times New Roman" w:hAnsi="Times New Roman" w:cs="Times New Roman"/>
          <w:szCs w:val="20"/>
        </w:rPr>
        <w:t>.</w:t>
      </w:r>
      <w:r w:rsidRPr="006F4C96">
        <w:rPr>
          <w:rFonts w:ascii="Times New Roman" w:hAnsi="Times New Roman" w:cs="Times New Roman"/>
          <w:szCs w:val="20"/>
        </w:rPr>
        <w:t>5</w:t>
      </w:r>
      <w:r w:rsidR="000441F4" w:rsidRPr="006F4C96">
        <w:rPr>
          <w:rFonts w:ascii="Times New Roman" w:hAnsi="Times New Roman" w:cs="Times New Roman"/>
          <w:szCs w:val="20"/>
        </w:rPr>
        <w:t xml:space="preserve"> </w:t>
      </w:r>
      <w:r w:rsidRPr="006F4C96">
        <w:rPr>
          <w:rFonts w:ascii="Times New Roman" w:hAnsi="Times New Roman" w:cs="Times New Roman"/>
          <w:szCs w:val="20"/>
        </w:rPr>
        <w:t>vs</w:t>
      </w:r>
      <w:r w:rsidR="000441F4" w:rsidRPr="006F4C96">
        <w:rPr>
          <w:rFonts w:ascii="Times New Roman" w:hAnsi="Times New Roman" w:cs="Times New Roman"/>
          <w:szCs w:val="20"/>
        </w:rPr>
        <w:t xml:space="preserve"> </w:t>
      </w:r>
      <w:r w:rsidRPr="006F4C96">
        <w:rPr>
          <w:rFonts w:ascii="Times New Roman" w:hAnsi="Times New Roman" w:cs="Times New Roman"/>
          <w:szCs w:val="20"/>
        </w:rPr>
        <w:t>57,</w:t>
      </w:r>
      <w:r w:rsidR="000441F4" w:rsidRPr="006F4C96">
        <w:rPr>
          <w:rFonts w:ascii="Times New Roman" w:hAnsi="Times New Roman" w:cs="Times New Roman"/>
          <w:szCs w:val="20"/>
        </w:rPr>
        <w:t xml:space="preserve"> </w:t>
      </w:r>
      <w:r w:rsidRPr="006F4C96">
        <w:rPr>
          <w:rFonts w:ascii="Times New Roman" w:hAnsi="Times New Roman" w:cs="Times New Roman"/>
          <w:szCs w:val="20"/>
        </w:rPr>
        <w:t>respectively).</w:t>
      </w:r>
      <w:r w:rsidR="000441F4" w:rsidRPr="006F4C96">
        <w:rPr>
          <w:rFonts w:ascii="Times New Roman" w:hAnsi="Times New Roman" w:cs="Times New Roman"/>
          <w:szCs w:val="20"/>
        </w:rPr>
        <w:t xml:space="preserve"> </w:t>
      </w:r>
      <w:r w:rsidRPr="006F4C96">
        <w:rPr>
          <w:rFonts w:ascii="Times New Roman" w:hAnsi="Times New Roman" w:cs="Times New Roman"/>
          <w:szCs w:val="20"/>
        </w:rPr>
        <w:t>However,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those</w:t>
      </w:r>
      <w:r w:rsidR="000441F4" w:rsidRPr="006F4C96">
        <w:rPr>
          <w:rFonts w:ascii="Times New Roman" w:hAnsi="Times New Roman" w:cs="Times New Roman"/>
          <w:szCs w:val="20"/>
        </w:rPr>
        <w:t xml:space="preserve"> </w:t>
      </w:r>
      <w:r w:rsidRPr="006F4C96">
        <w:rPr>
          <w:rFonts w:ascii="Times New Roman" w:hAnsi="Times New Roman" w:cs="Times New Roman"/>
          <w:szCs w:val="20"/>
        </w:rPr>
        <w:t>who</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excluded</w:t>
      </w:r>
      <w:r w:rsidR="000441F4" w:rsidRPr="006F4C96">
        <w:rPr>
          <w:rFonts w:ascii="Times New Roman" w:hAnsi="Times New Roman" w:cs="Times New Roman"/>
          <w:szCs w:val="20"/>
        </w:rPr>
        <w:t xml:space="preserve"> </w:t>
      </w:r>
      <w:r w:rsidRPr="006F4C96">
        <w:rPr>
          <w:rFonts w:ascii="Times New Roman" w:hAnsi="Times New Roman" w:cs="Times New Roman"/>
          <w:szCs w:val="20"/>
        </w:rPr>
        <w:t>had</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average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shorter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telomeres</w:t>
      </w:r>
      <w:r w:rsidR="000441F4" w:rsidRPr="006F4C96">
        <w:rPr>
          <w:rFonts w:ascii="Times New Roman" w:hAnsi="Times New Roman" w:cs="Times New Roman"/>
          <w:szCs w:val="20"/>
        </w:rPr>
        <w:t xml:space="preserve"> </w:t>
      </w:r>
      <w:r w:rsidRPr="006F4C96">
        <w:rPr>
          <w:rFonts w:ascii="Times New Roman" w:hAnsi="Times New Roman" w:cs="Times New Roman"/>
          <w:szCs w:val="20"/>
        </w:rPr>
        <w:t>compared</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complete</w:t>
      </w:r>
      <w:r w:rsidR="000441F4" w:rsidRPr="006F4C96">
        <w:rPr>
          <w:rFonts w:ascii="Times New Roman" w:hAnsi="Times New Roman" w:cs="Times New Roman"/>
          <w:szCs w:val="20"/>
        </w:rPr>
        <w:t xml:space="preserve"> </w:t>
      </w:r>
      <w:r w:rsidRPr="006F4C96">
        <w:rPr>
          <w:rFonts w:ascii="Times New Roman" w:hAnsi="Times New Roman" w:cs="Times New Roman"/>
          <w:szCs w:val="20"/>
        </w:rPr>
        <w:t>cases</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analysis</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005F7DE8" w:rsidRPr="006F4C96">
        <w:rPr>
          <w:rFonts w:ascii="Times New Roman" w:hAnsi="Times New Roman" w:cs="Times New Roman"/>
          <w:szCs w:val="20"/>
        </w:rPr>
        <w:t>-</w:t>
      </w:r>
      <w:r w:rsidRPr="006F4C96">
        <w:rPr>
          <w:rFonts w:ascii="Times New Roman" w:hAnsi="Times New Roman" w:cs="Times New Roman"/>
          <w:szCs w:val="20"/>
        </w:rPr>
        <w:t>0</w:t>
      </w:r>
      <w:r w:rsidR="000E3CF2" w:rsidRPr="006F4C96">
        <w:rPr>
          <w:rFonts w:ascii="Times New Roman" w:hAnsi="Times New Roman" w:cs="Times New Roman"/>
          <w:szCs w:val="20"/>
        </w:rPr>
        <w:t>.</w:t>
      </w:r>
      <w:r w:rsidRPr="006F4C96">
        <w:rPr>
          <w:rFonts w:ascii="Times New Roman" w:hAnsi="Times New Roman" w:cs="Times New Roman"/>
          <w:szCs w:val="20"/>
        </w:rPr>
        <w:t>019SD</w:t>
      </w:r>
      <w:r w:rsidR="000441F4" w:rsidRPr="006F4C96">
        <w:rPr>
          <w:rFonts w:ascii="Times New Roman" w:hAnsi="Times New Roman" w:cs="Times New Roman"/>
          <w:szCs w:val="20"/>
        </w:rPr>
        <w:t xml:space="preserve"> </w:t>
      </w:r>
      <w:r w:rsidRPr="006F4C96">
        <w:rPr>
          <w:rFonts w:ascii="Times New Roman" w:hAnsi="Times New Roman" w:cs="Times New Roman"/>
          <w:szCs w:val="20"/>
        </w:rPr>
        <w:t>vs</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E3CF2" w:rsidRPr="006F4C96">
        <w:rPr>
          <w:rFonts w:ascii="Times New Roman" w:hAnsi="Times New Roman" w:cs="Times New Roman"/>
          <w:szCs w:val="20"/>
        </w:rPr>
        <w:t>.</w:t>
      </w:r>
      <w:r w:rsidRPr="006F4C96">
        <w:rPr>
          <w:rFonts w:ascii="Times New Roman" w:hAnsi="Times New Roman" w:cs="Times New Roman"/>
          <w:szCs w:val="20"/>
        </w:rPr>
        <w:t>001SD).</w:t>
      </w:r>
    </w:p>
    <w:p w14:paraId="23F01567" w14:textId="488C6D3B" w:rsidR="009A7CD8" w:rsidRPr="006F4C96" w:rsidRDefault="00004706"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441,781</w:t>
      </w:r>
      <w:r w:rsidR="000441F4" w:rsidRPr="006F4C96">
        <w:rPr>
          <w:rFonts w:ascii="Times New Roman" w:hAnsi="Times New Roman" w:cs="Times New Roman"/>
          <w:szCs w:val="20"/>
        </w:rPr>
        <w:t xml:space="preserve"> </w:t>
      </w:r>
      <w:r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included in the analysis</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223,648</w:t>
      </w:r>
      <w:r w:rsidR="000441F4" w:rsidRPr="006F4C96">
        <w:rPr>
          <w:rFonts w:ascii="Times New Roman" w:hAnsi="Times New Roman" w:cs="Times New Roman"/>
          <w:szCs w:val="20"/>
        </w:rPr>
        <w:t xml:space="preserve"> </w:t>
      </w:r>
      <w:r w:rsidRPr="006F4C96">
        <w:rPr>
          <w:rFonts w:ascii="Times New Roman" w:hAnsi="Times New Roman" w:cs="Times New Roman"/>
          <w:szCs w:val="20"/>
        </w:rPr>
        <w:t>(51%)</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 xml:space="preserve">had </w:t>
      </w:r>
      <w:r w:rsidRPr="006F4C96">
        <w:rPr>
          <w:rFonts w:ascii="Times New Roman" w:hAnsi="Times New Roman" w:cs="Times New Roman"/>
          <w:szCs w:val="20"/>
        </w:rPr>
        <w:t>no</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147,789</w:t>
      </w:r>
      <w:r w:rsidR="000441F4" w:rsidRPr="006F4C96">
        <w:rPr>
          <w:rFonts w:ascii="Times New Roman" w:hAnsi="Times New Roman" w:cs="Times New Roman"/>
          <w:szCs w:val="20"/>
        </w:rPr>
        <w:t xml:space="preserve"> </w:t>
      </w:r>
      <w:r w:rsidRPr="006F4C96">
        <w:rPr>
          <w:rFonts w:ascii="Times New Roman" w:hAnsi="Times New Roman" w:cs="Times New Roman"/>
          <w:szCs w:val="20"/>
        </w:rPr>
        <w:t>(33%)</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had</w:t>
      </w:r>
      <w:r w:rsidR="000441F4" w:rsidRPr="006F4C96">
        <w:rPr>
          <w:rFonts w:ascii="Times New Roman" w:hAnsi="Times New Roman" w:cs="Times New Roman"/>
          <w:szCs w:val="20"/>
        </w:rPr>
        <w:t xml:space="preserve"> </w:t>
      </w:r>
      <w:r w:rsidRPr="006F4C96">
        <w:rPr>
          <w:rFonts w:ascii="Times New Roman" w:hAnsi="Times New Roman" w:cs="Times New Roman"/>
          <w:szCs w:val="20"/>
        </w:rPr>
        <w:t>one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49,826</w:t>
      </w:r>
      <w:r w:rsidR="000441F4" w:rsidRPr="006F4C96">
        <w:rPr>
          <w:rFonts w:ascii="Times New Roman" w:hAnsi="Times New Roman" w:cs="Times New Roman"/>
          <w:szCs w:val="20"/>
        </w:rPr>
        <w:t xml:space="preserve"> </w:t>
      </w:r>
      <w:r w:rsidRPr="006F4C96">
        <w:rPr>
          <w:rFonts w:ascii="Times New Roman" w:hAnsi="Times New Roman" w:cs="Times New Roman"/>
          <w:szCs w:val="20"/>
        </w:rPr>
        <w:t>(11%)</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had</w:t>
      </w:r>
      <w:r w:rsidR="000441F4" w:rsidRPr="006F4C96">
        <w:rPr>
          <w:rFonts w:ascii="Times New Roman" w:hAnsi="Times New Roman" w:cs="Times New Roman"/>
          <w:szCs w:val="20"/>
        </w:rPr>
        <w:t xml:space="preserve"> </w:t>
      </w:r>
      <w:r w:rsidRPr="006F4C96">
        <w:rPr>
          <w:rFonts w:ascii="Times New Roman" w:hAnsi="Times New Roman" w:cs="Times New Roman"/>
          <w:szCs w:val="20"/>
        </w:rPr>
        <w:t>two</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15,387</w:t>
      </w:r>
      <w:r w:rsidR="000441F4" w:rsidRPr="006F4C96">
        <w:rPr>
          <w:rFonts w:ascii="Times New Roman" w:hAnsi="Times New Roman" w:cs="Times New Roman"/>
          <w:szCs w:val="20"/>
        </w:rPr>
        <w:t xml:space="preserve"> </w:t>
      </w:r>
      <w:r w:rsidRPr="006F4C96">
        <w:rPr>
          <w:rFonts w:ascii="Times New Roman" w:hAnsi="Times New Roman" w:cs="Times New Roman"/>
          <w:szCs w:val="20"/>
        </w:rPr>
        <w:t>(3</w:t>
      </w:r>
      <w:r w:rsidR="000E3CF2" w:rsidRPr="006F4C96">
        <w:rPr>
          <w:rFonts w:ascii="Times New Roman" w:hAnsi="Times New Roman" w:cs="Times New Roman"/>
          <w:szCs w:val="20"/>
        </w:rPr>
        <w:t>.</w:t>
      </w:r>
      <w:r w:rsidRPr="006F4C96">
        <w:rPr>
          <w:rFonts w:ascii="Times New Roman" w:hAnsi="Times New Roman" w:cs="Times New Roman"/>
          <w:szCs w:val="20"/>
        </w:rPr>
        <w:t>5%)</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had</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three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4,473</w:t>
      </w:r>
      <w:r w:rsidR="000441F4" w:rsidRPr="006F4C96">
        <w:rPr>
          <w:rFonts w:ascii="Times New Roman" w:hAnsi="Times New Roman" w:cs="Times New Roman"/>
          <w:szCs w:val="20"/>
        </w:rPr>
        <w:t xml:space="preserve"> </w:t>
      </w:r>
      <w:r w:rsidRPr="006F4C96">
        <w:rPr>
          <w:rFonts w:ascii="Times New Roman" w:hAnsi="Times New Roman" w:cs="Times New Roman"/>
          <w:szCs w:val="20"/>
        </w:rPr>
        <w:t>(1%)</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 xml:space="preserve">had </w:t>
      </w:r>
      <w:r w:rsidR="00177D76" w:rsidRPr="006F4C96">
        <w:rPr>
          <w:rFonts w:ascii="Times New Roman" w:hAnsi="Times New Roman" w:cs="Times New Roman"/>
          <w:szCs w:val="20"/>
        </w:rPr>
        <w:t>four</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BF4266"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658</w:t>
      </w:r>
      <w:r w:rsidR="000441F4" w:rsidRPr="006F4C96">
        <w:rPr>
          <w:rFonts w:ascii="Times New Roman" w:hAnsi="Times New Roman" w:cs="Times New Roman"/>
          <w:szCs w:val="20"/>
        </w:rPr>
        <w:t xml:space="preserve"> </w:t>
      </w:r>
      <w:r w:rsidRPr="006F4C96">
        <w:rPr>
          <w:rFonts w:ascii="Times New Roman" w:hAnsi="Times New Roman" w:cs="Times New Roman"/>
          <w:szCs w:val="20"/>
        </w:rPr>
        <w:t>(0</w:t>
      </w:r>
      <w:r w:rsidR="000E3CF2" w:rsidRPr="006F4C96">
        <w:rPr>
          <w:rFonts w:ascii="Times New Roman" w:hAnsi="Times New Roman" w:cs="Times New Roman"/>
          <w:szCs w:val="20"/>
        </w:rPr>
        <w:t>.</w:t>
      </w:r>
      <w:r w:rsidRPr="006F4C96">
        <w:rPr>
          <w:rFonts w:ascii="Times New Roman" w:hAnsi="Times New Roman" w:cs="Times New Roman"/>
          <w:szCs w:val="20"/>
        </w:rPr>
        <w:t>15%)</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had</w:t>
      </w:r>
      <w:r w:rsidR="000441F4" w:rsidRPr="006F4C96">
        <w:rPr>
          <w:rFonts w:ascii="Times New Roman" w:hAnsi="Times New Roman" w:cs="Times New Roman"/>
          <w:szCs w:val="20"/>
        </w:rPr>
        <w:t xml:space="preserve"> </w:t>
      </w:r>
      <w:r w:rsidRPr="006F4C96">
        <w:rPr>
          <w:rFonts w:ascii="Times New Roman" w:hAnsi="Times New Roman" w:cs="Times New Roman"/>
          <w:szCs w:val="20"/>
        </w:rPr>
        <w:t>all</w:t>
      </w:r>
      <w:r w:rsidR="000441F4" w:rsidRPr="006F4C96">
        <w:rPr>
          <w:rFonts w:ascii="Times New Roman" w:hAnsi="Times New Roman" w:cs="Times New Roman"/>
          <w:szCs w:val="20"/>
        </w:rPr>
        <w:t xml:space="preserve"> </w:t>
      </w:r>
      <w:r w:rsidR="00177D76" w:rsidRPr="006F4C96">
        <w:rPr>
          <w:rFonts w:ascii="Times New Roman" w:hAnsi="Times New Roman" w:cs="Times New Roman"/>
          <w:szCs w:val="20"/>
        </w:rPr>
        <w:t>five</w:t>
      </w:r>
      <w:r w:rsidR="000441F4" w:rsidRPr="006F4C96">
        <w:rPr>
          <w:rFonts w:ascii="Times New Roman" w:hAnsi="Times New Roman" w:cs="Times New Roman"/>
          <w:szCs w:val="20"/>
        </w:rPr>
        <w:t xml:space="preserve"> </w:t>
      </w:r>
      <w:r w:rsidRPr="006F4C96">
        <w:rPr>
          <w:rFonts w:ascii="Times New Roman" w:hAnsi="Times New Roman" w:cs="Times New Roman"/>
          <w:szCs w:val="20"/>
        </w:rPr>
        <w:t>indicators.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Hence,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20,518</w:t>
      </w:r>
      <w:r w:rsidR="000441F4" w:rsidRPr="006F4C96">
        <w:rPr>
          <w:rFonts w:ascii="Times New Roman" w:hAnsi="Times New Roman" w:cs="Times New Roman"/>
          <w:szCs w:val="20"/>
        </w:rPr>
        <w:t xml:space="preserve"> </w:t>
      </w:r>
      <w:r w:rsidRPr="006F4C96">
        <w:rPr>
          <w:rFonts w:ascii="Times New Roman" w:hAnsi="Times New Roman" w:cs="Times New Roman"/>
          <w:szCs w:val="20"/>
        </w:rPr>
        <w:t>(4</w:t>
      </w:r>
      <w:r w:rsidR="000E3CF2" w:rsidRPr="006F4C96">
        <w:rPr>
          <w:rFonts w:ascii="Times New Roman" w:hAnsi="Times New Roman" w:cs="Times New Roman"/>
          <w:szCs w:val="20"/>
        </w:rPr>
        <w:t>.</w:t>
      </w:r>
      <w:r w:rsidRPr="006F4C96">
        <w:rPr>
          <w:rFonts w:ascii="Times New Roman" w:hAnsi="Times New Roman" w:cs="Times New Roman"/>
          <w:szCs w:val="20"/>
        </w:rPr>
        <w:t>6%)</w:t>
      </w:r>
      <w:r w:rsidR="000441F4" w:rsidRPr="006F4C96">
        <w:rPr>
          <w:rFonts w:ascii="Times New Roman" w:hAnsi="Times New Roman" w:cs="Times New Roman"/>
          <w:szCs w:val="20"/>
        </w:rPr>
        <w:t xml:space="preserve"> </w:t>
      </w:r>
      <w:r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met</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criteria</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BF4266"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197,615</w:t>
      </w:r>
      <w:r w:rsidR="000441F4" w:rsidRPr="006F4C96">
        <w:rPr>
          <w:rFonts w:ascii="Times New Roman" w:hAnsi="Times New Roman" w:cs="Times New Roman"/>
          <w:szCs w:val="20"/>
        </w:rPr>
        <w:t xml:space="preserve"> </w:t>
      </w:r>
      <w:r w:rsidRPr="006F4C96">
        <w:rPr>
          <w:rFonts w:ascii="Times New Roman" w:hAnsi="Times New Roman" w:cs="Times New Roman"/>
          <w:szCs w:val="20"/>
        </w:rPr>
        <w:t>(44</w:t>
      </w:r>
      <w:r w:rsidR="000E3CF2" w:rsidRPr="006F4C96">
        <w:rPr>
          <w:rFonts w:ascii="Times New Roman" w:hAnsi="Times New Roman" w:cs="Times New Roman"/>
          <w:szCs w:val="20"/>
        </w:rPr>
        <w:t>.</w:t>
      </w:r>
      <w:r w:rsidRPr="006F4C96">
        <w:rPr>
          <w:rFonts w:ascii="Times New Roman" w:hAnsi="Times New Roman" w:cs="Times New Roman"/>
          <w:szCs w:val="20"/>
        </w:rPr>
        <w:t>7%)</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w:t>
      </w:r>
      <w:r w:rsidR="000441F4" w:rsidRPr="006F4C96">
        <w:rPr>
          <w:rFonts w:ascii="Times New Roman" w:hAnsi="Times New Roman" w:cs="Times New Roman"/>
          <w:szCs w:val="20"/>
        </w:rPr>
        <w:t>–</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1</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925C73" w:rsidRPr="006F4C96">
        <w:rPr>
          <w:rFonts w:ascii="Times New Roman" w:hAnsi="Times New Roman" w:cs="Times New Roman"/>
          <w:szCs w:val="20"/>
        </w:rPr>
        <w:t>Compared to non–frail participants, f</w:t>
      </w:r>
      <w:r w:rsidRPr="006F4C96">
        <w:rPr>
          <w:rFonts w:ascii="Times New Roman" w:hAnsi="Times New Roman" w:cs="Times New Roman"/>
          <w:szCs w:val="20"/>
        </w:rPr>
        <w:t>rail</w:t>
      </w:r>
      <w:r w:rsidR="000441F4" w:rsidRPr="006F4C96">
        <w:rPr>
          <w:rFonts w:ascii="Times New Roman" w:hAnsi="Times New Roman" w:cs="Times New Roman"/>
          <w:szCs w:val="20"/>
        </w:rPr>
        <w:t xml:space="preserve"> </w:t>
      </w:r>
      <w:r w:rsidRPr="006F4C96">
        <w:rPr>
          <w:rFonts w:ascii="Times New Roman" w:hAnsi="Times New Roman" w:cs="Times New Roman"/>
          <w:szCs w:val="20"/>
        </w:rPr>
        <w:t>participants</w:t>
      </w:r>
      <w:r w:rsidR="000441F4" w:rsidRPr="006F4C96">
        <w:rPr>
          <w:rFonts w:ascii="Times New Roman" w:hAnsi="Times New Roman" w:cs="Times New Roman"/>
          <w:szCs w:val="20"/>
        </w:rPr>
        <w:t xml:space="preserve">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older</w:t>
      </w:r>
      <w:r w:rsidR="00A145EA" w:rsidRPr="006F4C96">
        <w:rPr>
          <w:rFonts w:ascii="Times New Roman" w:hAnsi="Times New Roman" w:cs="Times New Roman"/>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likely</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be</w:t>
      </w:r>
      <w:r w:rsidR="000441F4" w:rsidRPr="006F4C96">
        <w:rPr>
          <w:rFonts w:ascii="Times New Roman" w:hAnsi="Times New Roman" w:cs="Times New Roman"/>
          <w:szCs w:val="20"/>
        </w:rPr>
        <w:t xml:space="preserve"> </w:t>
      </w:r>
      <w:r w:rsidRPr="006F4C96">
        <w:rPr>
          <w:rFonts w:ascii="Times New Roman" w:hAnsi="Times New Roman" w:cs="Times New Roman"/>
          <w:szCs w:val="20"/>
        </w:rPr>
        <w:t>female</w:t>
      </w:r>
      <w:r w:rsidR="001D1116" w:rsidRPr="006F4C96">
        <w:rPr>
          <w:rFonts w:ascii="Times New Roman" w:hAnsi="Times New Roman" w:cs="Times New Roman"/>
          <w:szCs w:val="20"/>
        </w:rPr>
        <w:t xml:space="preserve">, </w:t>
      </w:r>
      <w:r w:rsidR="00E97FA3" w:rsidRPr="006F4C96">
        <w:rPr>
          <w:rFonts w:ascii="Times New Roman" w:hAnsi="Times New Roman" w:cs="Times New Roman"/>
          <w:szCs w:val="20"/>
        </w:rPr>
        <w:t>socioeconomically deprived</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1D1116" w:rsidRPr="006F4C96">
        <w:rPr>
          <w:rFonts w:ascii="Times New Roman" w:hAnsi="Times New Roman" w:cs="Times New Roman"/>
          <w:szCs w:val="20"/>
        </w:rPr>
        <w:t xml:space="preserve">current </w:t>
      </w:r>
      <w:r w:rsidRPr="006F4C96">
        <w:rPr>
          <w:rFonts w:ascii="Times New Roman" w:hAnsi="Times New Roman" w:cs="Times New Roman"/>
          <w:szCs w:val="20"/>
        </w:rPr>
        <w:t>smokers,</w:t>
      </w:r>
      <w:r w:rsidR="000441F4" w:rsidRPr="006F4C96">
        <w:rPr>
          <w:rFonts w:ascii="Times New Roman" w:hAnsi="Times New Roman" w:cs="Times New Roman"/>
          <w:szCs w:val="20"/>
        </w:rPr>
        <w:t xml:space="preserve"> </w:t>
      </w:r>
      <w:r w:rsidRPr="006F4C96">
        <w:rPr>
          <w:rFonts w:ascii="Times New Roman" w:hAnsi="Times New Roman" w:cs="Times New Roman"/>
          <w:szCs w:val="20"/>
        </w:rPr>
        <w:t>obese,</w:t>
      </w:r>
      <w:r w:rsidR="000441F4" w:rsidRPr="006F4C96">
        <w:rPr>
          <w:rFonts w:ascii="Times New Roman" w:hAnsi="Times New Roman" w:cs="Times New Roman"/>
          <w:szCs w:val="20"/>
        </w:rPr>
        <w:t xml:space="preserve"> </w:t>
      </w:r>
      <w:r w:rsidR="001D1116" w:rsidRPr="006F4C96">
        <w:rPr>
          <w:rFonts w:ascii="Times New Roman" w:hAnsi="Times New Roman" w:cs="Times New Roman"/>
          <w:szCs w:val="20"/>
        </w:rPr>
        <w:t>alcohol</w:t>
      </w:r>
      <w:r w:rsidR="000441F4" w:rsidRPr="006F4C96">
        <w:rPr>
          <w:rFonts w:ascii="Times New Roman" w:hAnsi="Times New Roman" w:cs="Times New Roman"/>
          <w:szCs w:val="20"/>
        </w:rPr>
        <w:t xml:space="preserve"> </w:t>
      </w:r>
      <w:r w:rsidRPr="006F4C96">
        <w:rPr>
          <w:rFonts w:ascii="Times New Roman" w:hAnsi="Times New Roman" w:cs="Times New Roman"/>
          <w:szCs w:val="20"/>
        </w:rPr>
        <w:t>drinkers</w:t>
      </w:r>
      <w:r w:rsidR="001D1116"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00E97FA3" w:rsidRPr="006F4C96">
        <w:rPr>
          <w:rFonts w:ascii="Times New Roman" w:hAnsi="Times New Roman" w:cs="Times New Roman"/>
          <w:szCs w:val="20"/>
        </w:rPr>
        <w:t>report multiple</w:t>
      </w:r>
      <w:r w:rsidR="000441F4" w:rsidRPr="006F4C96">
        <w:rPr>
          <w:rFonts w:ascii="Times New Roman" w:hAnsi="Times New Roman" w:cs="Times New Roman"/>
          <w:szCs w:val="20"/>
        </w:rPr>
        <w:t xml:space="preserve"> </w:t>
      </w:r>
      <w:r w:rsidR="00860EDE" w:rsidRPr="006F4C96">
        <w:rPr>
          <w:rFonts w:ascii="Times New Roman" w:hAnsi="Times New Roman" w:cs="Times New Roman"/>
          <w:szCs w:val="20"/>
        </w:rPr>
        <w:t>LTC</w:t>
      </w:r>
      <w:r w:rsidR="001D1116" w:rsidRPr="006F4C96">
        <w:rPr>
          <w:rFonts w:ascii="Times New Roman" w:hAnsi="Times New Roman" w:cs="Times New Roman"/>
          <w:szCs w:val="20"/>
        </w:rPr>
        <w:t>s</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1</w:t>
      </w:r>
      <w:r w:rsidRPr="006F4C96">
        <w:rPr>
          <w:rFonts w:ascii="Times New Roman" w:hAnsi="Times New Roman" w:cs="Times New Roman"/>
          <w:szCs w:val="20"/>
        </w:rPr>
        <w:t>).</w:t>
      </w:r>
      <w:r w:rsidR="00052A2A" w:rsidRPr="006F4C96">
        <w:rPr>
          <w:rFonts w:ascii="Times New Roman" w:eastAsia="Times New Roman" w:hAnsi="Times New Roman" w:cs="Times New Roman"/>
          <w:szCs w:val="20"/>
          <w:lang w:eastAsia="en-GB"/>
        </w:rPr>
        <w:t xml:space="preserve"> C</w:t>
      </w:r>
      <w:r w:rsidR="00052A2A" w:rsidRPr="006F4C96">
        <w:rPr>
          <w:rFonts w:ascii="Times New Roman" w:hAnsi="Times New Roman" w:cs="Times New Roman"/>
          <w:szCs w:val="20"/>
        </w:rPr>
        <w:t>ompared with non–frail participants mean LTL was shorter in both frail and in pre–frail participants, with a greater magnitude of difference for frail participants (</w:t>
      </w:r>
      <w:r w:rsidR="00052A2A" w:rsidRPr="006F4C96">
        <w:rPr>
          <w:rFonts w:ascii="Times New Roman" w:hAnsi="Times New Roman" w:cs="Times New Roman"/>
          <w:b/>
          <w:szCs w:val="20"/>
        </w:rPr>
        <w:t>Table 1</w:t>
      </w:r>
      <w:r w:rsidR="00052A2A" w:rsidRPr="006F4C96">
        <w:rPr>
          <w:rFonts w:ascii="Times New Roman" w:hAnsi="Times New Roman" w:cs="Times New Roman"/>
          <w:szCs w:val="20"/>
        </w:rPr>
        <w:t>).</w:t>
      </w:r>
    </w:p>
    <w:p w14:paraId="2F61CA3D" w14:textId="7C4DF3D1" w:rsidR="00925C73" w:rsidRPr="006F4C96" w:rsidRDefault="009A7CD8" w:rsidP="008C738E">
      <w:pPr>
        <w:spacing w:after="0" w:line="480" w:lineRule="auto"/>
        <w:ind w:firstLine="567"/>
        <w:rPr>
          <w:rFonts w:ascii="Times New Roman" w:eastAsia="Times New Roman" w:hAnsi="Times New Roman" w:cs="Times New Roman"/>
          <w:szCs w:val="20"/>
          <w:lang w:eastAsia="en-GB"/>
        </w:rPr>
      </w:pPr>
      <w:r w:rsidRPr="006F4C96">
        <w:rPr>
          <w:rFonts w:ascii="Times New Roman" w:eastAsia="Times New Roman" w:hAnsi="Times New Roman" w:cs="Times New Roman"/>
          <w:szCs w:val="20"/>
          <w:lang w:eastAsia="en-GB"/>
        </w:rPr>
        <w:t>Shorter LTL was associated with higher odds of having each of the individual frailty indicators (</w:t>
      </w:r>
      <w:r w:rsidRPr="006F4C96">
        <w:rPr>
          <w:rFonts w:ascii="Times New Roman" w:eastAsia="Times New Roman" w:hAnsi="Times New Roman" w:cs="Times New Roman"/>
          <w:b/>
          <w:szCs w:val="20"/>
          <w:lang w:eastAsia="en-GB"/>
        </w:rPr>
        <w:t>Table 2)</w:t>
      </w:r>
      <w:r w:rsidRPr="006F4C96">
        <w:rPr>
          <w:rFonts w:ascii="Times New Roman" w:eastAsia="Times New Roman" w:hAnsi="Times New Roman" w:cs="Times New Roman"/>
          <w:szCs w:val="20"/>
          <w:lang w:eastAsia="en-GB"/>
        </w:rPr>
        <w:t xml:space="preserve">. </w:t>
      </w:r>
      <w:r w:rsidR="00FE7387" w:rsidRPr="006F4C96">
        <w:rPr>
          <w:rFonts w:ascii="Times New Roman" w:eastAsia="Times New Roman" w:hAnsi="Times New Roman" w:cs="Times New Roman"/>
          <w:szCs w:val="20"/>
          <w:lang w:eastAsia="en-GB"/>
        </w:rPr>
        <w:t>Similarly, when participants were dichotomised by the number of frailty indicators, we observed that shorter LTL was associated with higher relative risk of having greater number of frailty indicators (</w:t>
      </w:r>
      <w:r w:rsidR="00FE7387" w:rsidRPr="006F4C96">
        <w:rPr>
          <w:rFonts w:ascii="Times New Roman" w:eastAsia="Times New Roman" w:hAnsi="Times New Roman" w:cs="Times New Roman"/>
          <w:b/>
          <w:szCs w:val="20"/>
          <w:lang w:eastAsia="en-GB"/>
        </w:rPr>
        <w:t>Supplementary Table 1</w:t>
      </w:r>
      <w:r w:rsidR="00FE7387" w:rsidRPr="006F4C96">
        <w:rPr>
          <w:rFonts w:ascii="Times New Roman" w:eastAsia="Times New Roman" w:hAnsi="Times New Roman" w:cs="Times New Roman"/>
          <w:szCs w:val="20"/>
          <w:lang w:eastAsia="en-GB"/>
        </w:rPr>
        <w:t xml:space="preserve">). </w:t>
      </w:r>
      <w:r w:rsidR="00925C73" w:rsidRPr="006F4C96">
        <w:rPr>
          <w:rFonts w:ascii="Times New Roman" w:hAnsi="Times New Roman" w:cs="Times New Roman"/>
          <w:szCs w:val="20"/>
        </w:rPr>
        <w:t>In analyses subdivided by age and sex (</w:t>
      </w:r>
      <w:r w:rsidRPr="006F4C96">
        <w:rPr>
          <w:rFonts w:ascii="Times New Roman" w:hAnsi="Times New Roman" w:cs="Times New Roman"/>
          <w:b/>
          <w:szCs w:val="20"/>
        </w:rPr>
        <w:t>Table 3</w:t>
      </w:r>
      <w:r w:rsidR="00925C73" w:rsidRPr="006F4C96">
        <w:rPr>
          <w:rFonts w:ascii="Times New Roman" w:hAnsi="Times New Roman" w:cs="Times New Roman"/>
          <w:szCs w:val="20"/>
        </w:rPr>
        <w:t>), we found higher prevalence of pre–frailty and frailty at older ages for both men and women. Mean LTL was higher in women than men, lower at older ages for both sexes, and declined with frailty across all age groups (</w:t>
      </w:r>
      <w:r w:rsidRPr="006F4C96">
        <w:rPr>
          <w:rFonts w:ascii="Times New Roman" w:hAnsi="Times New Roman" w:cs="Times New Roman"/>
          <w:b/>
          <w:szCs w:val="20"/>
        </w:rPr>
        <w:t>Table 3</w:t>
      </w:r>
      <w:r w:rsidR="00925C73" w:rsidRPr="006F4C96">
        <w:rPr>
          <w:rFonts w:ascii="Times New Roman" w:hAnsi="Times New Roman" w:cs="Times New Roman"/>
          <w:szCs w:val="20"/>
        </w:rPr>
        <w:t xml:space="preserve">). </w:t>
      </w:r>
    </w:p>
    <w:p w14:paraId="2AC82C05" w14:textId="5EB3CF9D" w:rsidR="00004706" w:rsidRPr="006F4C96" w:rsidRDefault="008C79FB"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assess</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relationships</w:t>
      </w:r>
      <w:r w:rsidR="000441F4" w:rsidRPr="006F4C96">
        <w:rPr>
          <w:rFonts w:ascii="Times New Roman" w:hAnsi="Times New Roman" w:cs="Times New Roman"/>
          <w:szCs w:val="20"/>
        </w:rPr>
        <w:t xml:space="preserve"> </w:t>
      </w:r>
      <w:r w:rsidRPr="006F4C96">
        <w:rPr>
          <w:rFonts w:ascii="Times New Roman" w:hAnsi="Times New Roman" w:cs="Times New Roman"/>
          <w:szCs w:val="20"/>
        </w:rPr>
        <w:t>between</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linear</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quadratic</w:t>
      </w:r>
      <w:r w:rsidR="000441F4" w:rsidRPr="006F4C96">
        <w:rPr>
          <w:rFonts w:ascii="Times New Roman" w:hAnsi="Times New Roman" w:cs="Times New Roman"/>
          <w:szCs w:val="20"/>
        </w:rPr>
        <w:t xml:space="preserve"> </w:t>
      </w:r>
      <w:r w:rsidRPr="006F4C96">
        <w:rPr>
          <w:rFonts w:ascii="Times New Roman" w:hAnsi="Times New Roman" w:cs="Times New Roman"/>
          <w:szCs w:val="20"/>
        </w:rPr>
        <w:t>terms</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Pr="006F4C96">
        <w:rPr>
          <w:rFonts w:ascii="Times New Roman" w:hAnsi="Times New Roman" w:cs="Times New Roman"/>
          <w:szCs w:val="20"/>
        </w:rPr>
        <w:t>found</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be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best</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minimizing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BIC</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00C07AF2" w:rsidRPr="006F4C96">
        <w:rPr>
          <w:rFonts w:ascii="Times New Roman" w:hAnsi="Times New Roman" w:cs="Times New Roman"/>
          <w:szCs w:val="20"/>
        </w:rPr>
        <w:t xml:space="preserve">model M5, </w:t>
      </w:r>
      <w:r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2</w:t>
      </w:r>
      <w:r w:rsidRPr="006F4C96">
        <w:rPr>
          <w:rFonts w:ascii="Times New Roman" w:hAnsi="Times New Roman" w:cs="Times New Roman"/>
          <w:szCs w:val="20"/>
        </w:rPr>
        <w:t>).</w:t>
      </w:r>
      <w:r w:rsidR="007B3FB0"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presence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quadratic</w:t>
      </w:r>
      <w:r w:rsidR="000441F4" w:rsidRPr="006F4C96">
        <w:rPr>
          <w:rFonts w:ascii="Times New Roman" w:hAnsi="Times New Roman" w:cs="Times New Roman"/>
          <w:szCs w:val="20"/>
        </w:rPr>
        <w:t xml:space="preserve"> </w:t>
      </w:r>
      <w:r w:rsidRPr="006F4C96">
        <w:rPr>
          <w:rFonts w:ascii="Times New Roman" w:hAnsi="Times New Roman" w:cs="Times New Roman"/>
          <w:szCs w:val="20"/>
        </w:rPr>
        <w:t>terms,</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interaction</w:t>
      </w:r>
      <w:r w:rsidR="000441F4" w:rsidRPr="006F4C96">
        <w:rPr>
          <w:rFonts w:ascii="Times New Roman" w:hAnsi="Times New Roman" w:cs="Times New Roman"/>
          <w:szCs w:val="20"/>
        </w:rPr>
        <w:t xml:space="preserve"> </w:t>
      </w:r>
      <w:r w:rsidR="00125B44" w:rsidRPr="006F4C96">
        <w:rPr>
          <w:rFonts w:ascii="Times New Roman" w:hAnsi="Times New Roman" w:cs="Times New Roman"/>
          <w:szCs w:val="20"/>
        </w:rPr>
        <w:t xml:space="preserve">was </w:t>
      </w:r>
      <w:r w:rsidRPr="006F4C96">
        <w:rPr>
          <w:rFonts w:ascii="Times New Roman" w:hAnsi="Times New Roman" w:cs="Times New Roman"/>
          <w:szCs w:val="20"/>
        </w:rPr>
        <w:t>non</w:t>
      </w:r>
      <w:r w:rsidR="000441F4" w:rsidRPr="006F4C96">
        <w:rPr>
          <w:rFonts w:ascii="Times New Roman" w:hAnsi="Times New Roman" w:cs="Times New Roman"/>
          <w:szCs w:val="20"/>
        </w:rPr>
        <w:t>–</w:t>
      </w:r>
      <w:r w:rsidRPr="006F4C96">
        <w:rPr>
          <w:rFonts w:ascii="Times New Roman" w:hAnsi="Times New Roman" w:cs="Times New Roman"/>
          <w:szCs w:val="20"/>
        </w:rPr>
        <w:t>significant</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2</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Furthermore,</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fitted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values</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prevalence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non</w:t>
      </w:r>
      <w:r w:rsidR="000441F4" w:rsidRPr="006F4C96">
        <w:rPr>
          <w:rFonts w:ascii="Times New Roman" w:hAnsi="Times New Roman" w:cs="Times New Roman"/>
          <w:szCs w:val="20"/>
        </w:rPr>
        <w:t>–</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w:t>
      </w:r>
      <w:r w:rsidR="000441F4" w:rsidRPr="006F4C96">
        <w:rPr>
          <w:rFonts w:ascii="Times New Roman" w:hAnsi="Times New Roman" w:cs="Times New Roman"/>
          <w:szCs w:val="20"/>
        </w:rPr>
        <w:t>–</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obtained</w:t>
      </w:r>
      <w:r w:rsidR="000441F4" w:rsidRPr="006F4C96">
        <w:rPr>
          <w:rFonts w:ascii="Times New Roman" w:hAnsi="Times New Roman" w:cs="Times New Roman"/>
          <w:szCs w:val="20"/>
        </w:rPr>
        <w:t xml:space="preserve"> </w:t>
      </w:r>
      <w:r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Pr="006F4C96">
        <w:rPr>
          <w:rFonts w:ascii="Times New Roman" w:hAnsi="Times New Roman" w:cs="Times New Roman"/>
          <w:szCs w:val="20"/>
        </w:rPr>
        <w:t>M5</w:t>
      </w:r>
      <w:r w:rsidR="004D5C83" w:rsidRPr="006F4C96">
        <w:rPr>
          <w:rFonts w:ascii="Times New Roman" w:hAnsi="Times New Roman" w:cs="Times New Roman"/>
          <w:szCs w:val="20"/>
        </w:rPr>
        <w:t xml:space="preserve">, for the average LTL (i.e. </w:t>
      </w:r>
      <w:r w:rsidR="005F7DE8" w:rsidRPr="006F4C96">
        <w:rPr>
          <w:rFonts w:ascii="Times New Roman" w:hAnsi="Times New Roman" w:cs="Times New Roman"/>
          <w:szCs w:val="20"/>
        </w:rPr>
        <w:t>z</w:t>
      </w:r>
      <w:r w:rsidR="00860EDE" w:rsidRPr="006F4C96">
        <w:rPr>
          <w:rFonts w:ascii="Times New Roman" w:hAnsi="Times New Roman" w:cs="Times New Roman"/>
          <w:szCs w:val="20"/>
        </w:rPr>
        <w:t>–</w:t>
      </w:r>
      <w:r w:rsidR="004D5C83" w:rsidRPr="006F4C96">
        <w:rPr>
          <w:rFonts w:ascii="Times New Roman" w:hAnsi="Times New Roman" w:cs="Times New Roman"/>
          <w:szCs w:val="20"/>
        </w:rPr>
        <w:t xml:space="preserve">LTL=0SD), </w:t>
      </w:r>
      <w:r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Pr="006F4C96">
        <w:rPr>
          <w:rFonts w:ascii="Times New Roman" w:hAnsi="Times New Roman" w:cs="Times New Roman"/>
          <w:szCs w:val="20"/>
        </w:rPr>
        <w:t>similar</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observed</w:t>
      </w:r>
      <w:r w:rsidR="000441F4" w:rsidRPr="006F4C96">
        <w:rPr>
          <w:rFonts w:ascii="Times New Roman" w:hAnsi="Times New Roman" w:cs="Times New Roman"/>
          <w:szCs w:val="20"/>
        </w:rPr>
        <w:t xml:space="preserve"> </w:t>
      </w:r>
      <w:r w:rsidRPr="006F4C96">
        <w:rPr>
          <w:rFonts w:ascii="Times New Roman" w:hAnsi="Times New Roman" w:cs="Times New Roman"/>
          <w:szCs w:val="20"/>
        </w:rPr>
        <w:t>frequencies</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small</w:t>
      </w:r>
      <w:r w:rsidR="000441F4" w:rsidRPr="006F4C96">
        <w:rPr>
          <w:rFonts w:ascii="Times New Roman" w:hAnsi="Times New Roman" w:cs="Times New Roman"/>
          <w:szCs w:val="20"/>
        </w:rPr>
        <w:t xml:space="preserve"> </w:t>
      </w:r>
      <w:r w:rsidRPr="006F4C96">
        <w:rPr>
          <w:rFonts w:ascii="Times New Roman" w:hAnsi="Times New Roman" w:cs="Times New Roman"/>
          <w:szCs w:val="20"/>
        </w:rPr>
        <w:t>caveat</w:t>
      </w:r>
      <w:r w:rsidR="000441F4" w:rsidRPr="006F4C96">
        <w:rPr>
          <w:rFonts w:ascii="Times New Roman" w:hAnsi="Times New Roman" w:cs="Times New Roman"/>
          <w:szCs w:val="20"/>
        </w:rPr>
        <w:t xml:space="preserve"> </w:t>
      </w:r>
      <w:r w:rsidRPr="006F4C96">
        <w:rPr>
          <w:rFonts w:ascii="Times New Roman" w:hAnsi="Times New Roman" w:cs="Times New Roman"/>
          <w:szCs w:val="20"/>
        </w:rPr>
        <w:t>that</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crossover</w:t>
      </w:r>
      <w:r w:rsidR="000441F4" w:rsidRPr="006F4C96">
        <w:rPr>
          <w:rFonts w:ascii="Times New Roman" w:hAnsi="Times New Roman" w:cs="Times New Roman"/>
          <w:szCs w:val="20"/>
        </w:rPr>
        <w:t xml:space="preserve"> </w:t>
      </w:r>
      <w:r w:rsidRPr="006F4C96">
        <w:rPr>
          <w:rFonts w:ascii="Times New Roman" w:hAnsi="Times New Roman" w:cs="Times New Roman"/>
          <w:szCs w:val="20"/>
        </w:rPr>
        <w:t>between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distributions</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non</w:t>
      </w:r>
      <w:r w:rsidR="000441F4" w:rsidRPr="006F4C96">
        <w:rPr>
          <w:rFonts w:ascii="Times New Roman" w:hAnsi="Times New Roman" w:cs="Times New Roman"/>
          <w:szCs w:val="20"/>
        </w:rPr>
        <w:t>–</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w:t>
      </w:r>
      <w:r w:rsidR="000441F4" w:rsidRPr="006F4C96">
        <w:rPr>
          <w:rFonts w:ascii="Times New Roman" w:hAnsi="Times New Roman" w:cs="Times New Roman"/>
          <w:szCs w:val="20"/>
        </w:rPr>
        <w:t>–</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occurs</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Pr="006F4C96">
        <w:rPr>
          <w:rFonts w:ascii="Times New Roman" w:hAnsi="Times New Roman" w:cs="Times New Roman"/>
          <w:szCs w:val="20"/>
        </w:rPr>
        <w:t>year</w:t>
      </w:r>
      <w:r w:rsidR="000441F4" w:rsidRPr="006F4C96">
        <w:rPr>
          <w:rFonts w:ascii="Times New Roman" w:hAnsi="Times New Roman" w:cs="Times New Roman"/>
          <w:szCs w:val="20"/>
        </w:rPr>
        <w:t xml:space="preserve"> </w:t>
      </w:r>
      <w:r w:rsidRPr="006F4C96">
        <w:rPr>
          <w:rFonts w:ascii="Times New Roman" w:hAnsi="Times New Roman" w:cs="Times New Roman"/>
          <w:szCs w:val="20"/>
        </w:rPr>
        <w:t>earlier</w:t>
      </w:r>
      <w:r w:rsidR="000441F4" w:rsidRPr="006F4C96">
        <w:rPr>
          <w:rFonts w:ascii="Times New Roman" w:hAnsi="Times New Roman" w:cs="Times New Roman"/>
          <w:szCs w:val="20"/>
        </w:rPr>
        <w:t xml:space="preserve"> </w:t>
      </w:r>
      <w:r w:rsidRPr="006F4C96">
        <w:rPr>
          <w:rFonts w:ascii="Times New Roman" w:hAnsi="Times New Roman" w:cs="Times New Roman"/>
          <w:szCs w:val="20"/>
        </w:rPr>
        <w:t>(</w:t>
      </w:r>
      <w:r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Figure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2</w:t>
      </w:r>
      <w:r w:rsidRPr="006F4C96">
        <w:rPr>
          <w:rFonts w:ascii="Times New Roman" w:hAnsi="Times New Roman" w:cs="Times New Roman"/>
          <w:szCs w:val="20"/>
        </w:rPr>
        <w:t>).</w:t>
      </w:r>
    </w:p>
    <w:p w14:paraId="620ACE1C" w14:textId="1F9D353E" w:rsidR="0034514C" w:rsidRPr="006F4C96" w:rsidRDefault="0034514C"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A</w:t>
      </w:r>
      <w:r w:rsidR="008C79FB" w:rsidRPr="006F4C96">
        <w:rPr>
          <w:rFonts w:ascii="Times New Roman" w:hAnsi="Times New Roman" w:cs="Times New Roman"/>
          <w:szCs w:val="20"/>
        </w:rPr>
        <w:t>ge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positively</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being</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frail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compared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being</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non</w:t>
      </w:r>
      <w:r w:rsidR="000441F4" w:rsidRPr="006F4C96">
        <w:rPr>
          <w:rFonts w:ascii="Times New Roman" w:hAnsi="Times New Roman" w:cs="Times New Roman"/>
          <w:szCs w:val="20"/>
        </w:rPr>
        <w:t>–</w:t>
      </w:r>
      <w:r w:rsidR="008C79FB" w:rsidRPr="006F4C96">
        <w:rPr>
          <w:rFonts w:ascii="Times New Roman" w:hAnsi="Times New Roman" w:cs="Times New Roman"/>
          <w:szCs w:val="20"/>
        </w:rPr>
        <w:t>frail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an</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average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3</w:t>
      </w:r>
      <w:r w:rsidR="000E3CF2" w:rsidRPr="006F4C96">
        <w:rPr>
          <w:rFonts w:ascii="Times New Roman" w:hAnsi="Times New Roman" w:cs="Times New Roman"/>
          <w:szCs w:val="20"/>
        </w:rPr>
        <w:t>.</w:t>
      </w:r>
      <w:r w:rsidR="008C79FB" w:rsidRPr="006F4C96">
        <w:rPr>
          <w:rFonts w:ascii="Times New Roman" w:hAnsi="Times New Roman" w:cs="Times New Roman"/>
          <w:szCs w:val="20"/>
        </w:rPr>
        <w:t>4%</w:t>
      </w:r>
      <w:r w:rsidR="000441F4" w:rsidRPr="006F4C96">
        <w:rPr>
          <w:rFonts w:ascii="Times New Roman" w:hAnsi="Times New Roman" w:cs="Times New Roman"/>
          <w:szCs w:val="20"/>
        </w:rPr>
        <w:t xml:space="preserve"> </w:t>
      </w:r>
      <w:r w:rsidRPr="006F4C96">
        <w:rPr>
          <w:rFonts w:ascii="Times New Roman" w:hAnsi="Times New Roman" w:cs="Times New Roman"/>
          <w:szCs w:val="20"/>
        </w:rPr>
        <w:t>higher</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per</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year</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 xml:space="preserve">chronological </w:t>
      </w:r>
      <w:r w:rsidR="008C79FB"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t>
      </w:r>
      <w:r w:rsidRPr="006F4C96">
        <w:rPr>
          <w:rFonts w:ascii="Times New Roman" w:hAnsi="Times New Roman" w:cs="Times New Roman"/>
          <w:szCs w:val="20"/>
        </w:rPr>
        <w:t xml:space="preserve">M5; </w:t>
      </w:r>
      <w:r w:rsidR="008C79FB"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008C79FB"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2</w:t>
      </w:r>
      <w:r w:rsidR="008C79F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067765" w:rsidRPr="006F4C96">
        <w:rPr>
          <w:rFonts w:ascii="Times New Roman" w:hAnsi="Times New Roman" w:cs="Times New Roman"/>
          <w:szCs w:val="20"/>
        </w:rPr>
        <w:t>Similarly</w:t>
      </w:r>
      <w:r w:rsidR="008C79F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0D4560" w:rsidRPr="006F4C96">
        <w:rPr>
          <w:rFonts w:ascii="Times New Roman" w:hAnsi="Times New Roman" w:cs="Times New Roman"/>
          <w:szCs w:val="20"/>
        </w:rPr>
        <w:t xml:space="preserve">shorter </w:t>
      </w:r>
      <w:r w:rsidR="008C79FB"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00067765" w:rsidRPr="006F4C96">
        <w:rPr>
          <w:rFonts w:ascii="Times New Roman" w:hAnsi="Times New Roman" w:cs="Times New Roman"/>
          <w:szCs w:val="20"/>
        </w:rPr>
        <w:t xml:space="preserve">positively </w:t>
      </w:r>
      <w:r w:rsidR="008C79FB"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DE31BE" w:rsidRPr="006F4C96">
        <w:rPr>
          <w:rFonts w:ascii="Times New Roman" w:hAnsi="Times New Roman" w:cs="Times New Roman"/>
          <w:szCs w:val="20"/>
        </w:rPr>
        <w:t xml:space="preserve">higher </w:t>
      </w:r>
      <w:r w:rsidR="00763DA1" w:rsidRPr="006F4C96">
        <w:rPr>
          <w:rFonts w:ascii="Times New Roman" w:hAnsi="Times New Roman" w:cs="Times New Roman"/>
          <w:szCs w:val="20"/>
        </w:rPr>
        <w:t xml:space="preserve">risk of </w:t>
      </w:r>
      <w:r w:rsidR="008C79FB" w:rsidRPr="006F4C96">
        <w:rPr>
          <w:rFonts w:ascii="Times New Roman" w:hAnsi="Times New Roman" w:cs="Times New Roman"/>
          <w:szCs w:val="20"/>
        </w:rPr>
        <w:t>frail</w:t>
      </w:r>
      <w:r w:rsidRPr="006F4C96">
        <w:rPr>
          <w:rFonts w:ascii="Times New Roman" w:hAnsi="Times New Roman" w:cs="Times New Roman"/>
          <w:szCs w:val="20"/>
        </w:rPr>
        <w:t>ty</w:t>
      </w:r>
      <w:r w:rsidR="00624F94" w:rsidRPr="006F4C96">
        <w:rPr>
          <w:rFonts w:ascii="Times New Roman" w:hAnsi="Times New Roman" w:cs="Times New Roman"/>
          <w:szCs w:val="20"/>
        </w:rPr>
        <w:t xml:space="preserve"> (11.5% higher risk for </w:t>
      </w:r>
      <w:r w:rsidR="00052A2A" w:rsidRPr="006F4C96">
        <w:rPr>
          <w:rFonts w:ascii="Times New Roman" w:hAnsi="Times New Roman" w:cs="Times New Roman"/>
          <w:szCs w:val="20"/>
        </w:rPr>
        <w:t xml:space="preserve">one SD </w:t>
      </w:r>
      <w:r w:rsidR="00624F94" w:rsidRPr="006F4C96">
        <w:rPr>
          <w:rFonts w:ascii="Times New Roman" w:hAnsi="Times New Roman" w:cs="Times New Roman"/>
          <w:szCs w:val="20"/>
        </w:rPr>
        <w:t>shorter LTL)</w:t>
      </w:r>
      <w:r w:rsidRPr="006F4C96">
        <w:rPr>
          <w:rFonts w:ascii="Times New Roman" w:hAnsi="Times New Roman" w:cs="Times New Roman"/>
          <w:szCs w:val="20"/>
        </w:rPr>
        <w:t xml:space="preserve">, </w:t>
      </w:r>
      <w:r w:rsidR="00DE31BE" w:rsidRPr="006F4C96">
        <w:rPr>
          <w:rFonts w:ascii="Times New Roman" w:hAnsi="Times New Roman" w:cs="Times New Roman"/>
          <w:szCs w:val="20"/>
        </w:rPr>
        <w:t xml:space="preserve">with </w:t>
      </w:r>
      <w:r w:rsidRPr="006F4C96">
        <w:rPr>
          <w:rFonts w:ascii="Times New Roman" w:hAnsi="Times New Roman" w:cs="Times New Roman"/>
          <w:szCs w:val="20"/>
        </w:rPr>
        <w:t xml:space="preserve">the rate of change in the association of LTL with frailty </w:t>
      </w:r>
      <w:r w:rsidR="003C4501" w:rsidRPr="006F4C96">
        <w:rPr>
          <w:rFonts w:ascii="Times New Roman" w:hAnsi="Times New Roman" w:cs="Times New Roman"/>
          <w:szCs w:val="20"/>
        </w:rPr>
        <w:t>dependent</w:t>
      </w:r>
      <w:r w:rsidRPr="006F4C96">
        <w:rPr>
          <w:rFonts w:ascii="Times New Roman" w:hAnsi="Times New Roman" w:cs="Times New Roman"/>
          <w:szCs w:val="20"/>
        </w:rPr>
        <w:t xml:space="preserve"> on the length of the telomere </w:t>
      </w:r>
      <w:r w:rsidR="003C4501" w:rsidRPr="006F4C96">
        <w:rPr>
          <w:rFonts w:ascii="Times New Roman" w:hAnsi="Times New Roman" w:cs="Times New Roman"/>
          <w:szCs w:val="20"/>
        </w:rPr>
        <w:t>and modestly greater for shorter telomeres (</w:t>
      </w:r>
      <w:r w:rsidR="003E21FF" w:rsidRPr="006F4C96">
        <w:rPr>
          <w:rFonts w:ascii="Times New Roman" w:hAnsi="Times New Roman" w:cs="Times New Roman"/>
          <w:szCs w:val="20"/>
        </w:rPr>
        <w:t xml:space="preserve">p for </w:t>
      </w:r>
      <w:r w:rsidR="00763DA1" w:rsidRPr="006F4C96">
        <w:rPr>
          <w:rFonts w:ascii="Times New Roman" w:hAnsi="Times New Roman" w:cs="Times New Roman"/>
          <w:szCs w:val="20"/>
        </w:rPr>
        <w:t>quadratic term</w:t>
      </w:r>
      <w:r w:rsidR="00F043E9" w:rsidRPr="006F4C96">
        <w:rPr>
          <w:rFonts w:ascii="Times New Roman" w:hAnsi="Times New Roman" w:cs="Times New Roman"/>
          <w:szCs w:val="20"/>
        </w:rPr>
        <w:t>=</w:t>
      </w:r>
      <w:r w:rsidR="003C4501" w:rsidRPr="006F4C96">
        <w:rPr>
          <w:rFonts w:ascii="Times New Roman" w:hAnsi="Times New Roman" w:cs="Times New Roman"/>
          <w:szCs w:val="20"/>
        </w:rPr>
        <w:t>0</w:t>
      </w:r>
      <w:r w:rsidR="000E3CF2" w:rsidRPr="006F4C96">
        <w:rPr>
          <w:rFonts w:ascii="Times New Roman" w:hAnsi="Times New Roman" w:cs="Times New Roman"/>
          <w:szCs w:val="20"/>
        </w:rPr>
        <w:t>.</w:t>
      </w:r>
      <w:r w:rsidR="003C4501" w:rsidRPr="006F4C96">
        <w:rPr>
          <w:rFonts w:ascii="Times New Roman" w:hAnsi="Times New Roman" w:cs="Times New Roman"/>
          <w:szCs w:val="20"/>
        </w:rPr>
        <w:t>001</w:t>
      </w:r>
      <w:r w:rsidR="00763DA1" w:rsidRPr="006F4C96">
        <w:rPr>
          <w:rFonts w:ascii="Times New Roman" w:hAnsi="Times New Roman" w:cs="Times New Roman"/>
          <w:szCs w:val="20"/>
        </w:rPr>
        <w:t xml:space="preserve">) </w:t>
      </w:r>
      <w:r w:rsidR="008C79FB" w:rsidRPr="006F4C96">
        <w:rPr>
          <w:rFonts w:ascii="Times New Roman" w:hAnsi="Times New Roman" w:cs="Times New Roman"/>
          <w:szCs w:val="20"/>
        </w:rPr>
        <w:t>(</w:t>
      </w:r>
      <w:r w:rsidR="008C79FB"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008C79FB"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2</w:t>
      </w:r>
      <w:r w:rsidR="008C79F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The</w:t>
      </w:r>
      <w:r w:rsidRPr="006F4C96">
        <w:rPr>
          <w:rFonts w:ascii="Times New Roman" w:hAnsi="Times New Roman" w:cs="Times New Roman"/>
          <w:szCs w:val="20"/>
        </w:rPr>
        <w:t>re were analogous</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associations</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pre</w:t>
      </w:r>
      <w:r w:rsidR="000441F4" w:rsidRPr="006F4C96">
        <w:rPr>
          <w:rFonts w:ascii="Times New Roman" w:hAnsi="Times New Roman" w:cs="Times New Roman"/>
          <w:szCs w:val="20"/>
        </w:rPr>
        <w:t>–</w:t>
      </w:r>
      <w:r w:rsidR="008C79FB" w:rsidRPr="006F4C96">
        <w:rPr>
          <w:rFonts w:ascii="Times New Roman" w:hAnsi="Times New Roman" w:cs="Times New Roman"/>
          <w:szCs w:val="20"/>
        </w:rPr>
        <w:t>frailty</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 xml:space="preserve">but weaker </w:t>
      </w:r>
      <w:r w:rsidR="00966468" w:rsidRPr="006F4C96">
        <w:rPr>
          <w:rFonts w:ascii="Times New Roman" w:hAnsi="Times New Roman" w:cs="Times New Roman"/>
          <w:szCs w:val="20"/>
        </w:rPr>
        <w:t xml:space="preserve">than with </w:t>
      </w:r>
      <w:r w:rsidR="008C79FB"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t>
      </w:r>
      <w:r w:rsidR="008C79FB"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008C79FB"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2</w:t>
      </w:r>
      <w:r w:rsidR="008C79FB"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coefficients</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M5</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were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also</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similar</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ones</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derived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a</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generalised</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ordinal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model</w:t>
      </w:r>
      <w:r w:rsidR="000441F4" w:rsidRPr="006F4C96">
        <w:rPr>
          <w:rFonts w:ascii="Times New Roman" w:hAnsi="Times New Roman" w:cs="Times New Roman"/>
          <w:szCs w:val="20"/>
        </w:rPr>
        <w:t xml:space="preserve"> </w:t>
      </w:r>
      <w:r w:rsidR="008C79FB" w:rsidRPr="006F4C96">
        <w:rPr>
          <w:rFonts w:ascii="Times New Roman" w:hAnsi="Times New Roman" w:cs="Times New Roman"/>
          <w:szCs w:val="20"/>
        </w:rPr>
        <w:t>(</w:t>
      </w:r>
      <w:r w:rsidR="008C79FB" w:rsidRPr="006F4C96">
        <w:rPr>
          <w:rFonts w:ascii="Times New Roman" w:hAnsi="Times New Roman" w:cs="Times New Roman"/>
          <w:b/>
          <w:szCs w:val="20"/>
        </w:rPr>
        <w:t>Supplementary</w:t>
      </w:r>
      <w:r w:rsidR="000441F4" w:rsidRPr="006F4C96">
        <w:rPr>
          <w:rFonts w:ascii="Times New Roman" w:hAnsi="Times New Roman" w:cs="Times New Roman"/>
          <w:b/>
          <w:szCs w:val="20"/>
        </w:rPr>
        <w:t xml:space="preserve"> </w:t>
      </w:r>
      <w:r w:rsidR="008C79FB"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FE7387" w:rsidRPr="006F4C96">
        <w:rPr>
          <w:rFonts w:ascii="Times New Roman" w:hAnsi="Times New Roman" w:cs="Times New Roman"/>
          <w:b/>
          <w:szCs w:val="20"/>
        </w:rPr>
        <w:t>3</w:t>
      </w:r>
      <w:r w:rsidR="008C79FB" w:rsidRPr="006F4C96">
        <w:rPr>
          <w:rFonts w:ascii="Times New Roman" w:hAnsi="Times New Roman" w:cs="Times New Roman"/>
          <w:szCs w:val="20"/>
        </w:rPr>
        <w:t>).</w:t>
      </w:r>
    </w:p>
    <w:p w14:paraId="5CF825F7" w14:textId="4E1BC93D" w:rsidR="006049BB" w:rsidRPr="006F4C96" w:rsidRDefault="008C79FB"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We</w:t>
      </w:r>
      <w:r w:rsidR="000441F4" w:rsidRPr="006F4C96">
        <w:rPr>
          <w:rFonts w:ascii="Times New Roman" w:hAnsi="Times New Roman" w:cs="Times New Roman"/>
          <w:szCs w:val="20"/>
        </w:rPr>
        <w:t xml:space="preserve"> </w:t>
      </w:r>
      <w:r w:rsidRPr="006F4C96">
        <w:rPr>
          <w:rFonts w:ascii="Times New Roman" w:hAnsi="Times New Roman" w:cs="Times New Roman"/>
          <w:szCs w:val="20"/>
        </w:rPr>
        <w:t>next</w:t>
      </w:r>
      <w:r w:rsidR="000441F4" w:rsidRPr="006F4C96">
        <w:rPr>
          <w:rFonts w:ascii="Times New Roman" w:hAnsi="Times New Roman" w:cs="Times New Roman"/>
          <w:szCs w:val="20"/>
        </w:rPr>
        <w:t xml:space="preserve"> </w:t>
      </w:r>
      <w:r w:rsidRPr="006F4C96">
        <w:rPr>
          <w:rFonts w:ascii="Times New Roman" w:hAnsi="Times New Roman" w:cs="Times New Roman"/>
          <w:szCs w:val="20"/>
        </w:rPr>
        <w:t>evaluated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whether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sex</w:t>
      </w:r>
      <w:r w:rsidR="000441F4" w:rsidRPr="006F4C96">
        <w:rPr>
          <w:rFonts w:ascii="Times New Roman" w:hAnsi="Times New Roman" w:cs="Times New Roman"/>
          <w:szCs w:val="20"/>
        </w:rPr>
        <w:t xml:space="preserve"> </w:t>
      </w:r>
      <w:r w:rsidR="003D489E" w:rsidRPr="006F4C96">
        <w:rPr>
          <w:rFonts w:ascii="Times New Roman" w:hAnsi="Times New Roman" w:cs="Times New Roman"/>
          <w:szCs w:val="20"/>
        </w:rPr>
        <w:t xml:space="preserve">(allowing for an interaction with age, </w:t>
      </w:r>
      <w:r w:rsidR="003D489E" w:rsidRPr="006F4C96">
        <w:rPr>
          <w:rFonts w:ascii="Times New Roman" w:hAnsi="Times New Roman" w:cs="Times New Roman"/>
          <w:b/>
          <w:szCs w:val="20"/>
        </w:rPr>
        <w:t>Supplementary Table 4</w:t>
      </w:r>
      <w:r w:rsidR="003D489E" w:rsidRPr="006F4C96">
        <w:rPr>
          <w:rFonts w:ascii="Times New Roman" w:hAnsi="Times New Roman" w:cs="Times New Roman"/>
          <w:szCs w:val="20"/>
        </w:rPr>
        <w:t xml:space="preserve">) </w:t>
      </w:r>
      <w:r w:rsidRPr="006F4C96">
        <w:rPr>
          <w:rFonts w:ascii="Times New Roman" w:hAnsi="Times New Roman" w:cs="Times New Roman"/>
          <w:szCs w:val="20"/>
        </w:rPr>
        <w:t>or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presence</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factors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associated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shown</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Pr="006F4C96">
        <w:rPr>
          <w:rFonts w:ascii="Times New Roman" w:hAnsi="Times New Roman" w:cs="Times New Roman"/>
          <w:b/>
          <w:szCs w:val="20"/>
        </w:rPr>
        <w:t>1</w:t>
      </w:r>
      <w:r w:rsidR="002E177E" w:rsidRPr="006F4C96">
        <w:rPr>
          <w:rFonts w:ascii="Times New Roman" w:hAnsi="Times New Roman" w:cs="Times New Roman"/>
          <w:b/>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impacted</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effects</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on</w:t>
      </w:r>
      <w:r w:rsidR="000441F4" w:rsidRPr="006F4C96">
        <w:rPr>
          <w:rFonts w:ascii="Times New Roman" w:hAnsi="Times New Roman" w:cs="Times New Roman"/>
          <w:szCs w:val="20"/>
        </w:rPr>
        <w:t xml:space="preserve"> </w:t>
      </w:r>
      <w:r w:rsidR="00763DA1" w:rsidRPr="006F4C96">
        <w:rPr>
          <w:rFonts w:ascii="Times New Roman" w:hAnsi="Times New Roman" w:cs="Times New Roman"/>
          <w:szCs w:val="20"/>
        </w:rPr>
        <w:t xml:space="preserve">risk of </w:t>
      </w:r>
      <w:r w:rsidRPr="006F4C96">
        <w:rPr>
          <w:rFonts w:ascii="Times New Roman" w:hAnsi="Times New Roman" w:cs="Times New Roman"/>
          <w:szCs w:val="20"/>
        </w:rPr>
        <w:t>frailty.</w:t>
      </w:r>
      <w:r w:rsidR="00F74B8D" w:rsidRPr="006F4C96">
        <w:rPr>
          <w:rFonts w:ascii="Times New Roman" w:hAnsi="Times New Roman" w:cs="Times New Roman"/>
          <w:szCs w:val="20"/>
        </w:rPr>
        <w:t xml:space="preserve"> Adjustment for these factors </w:t>
      </w:r>
      <w:r w:rsidR="00966468" w:rsidRPr="006F4C96">
        <w:rPr>
          <w:rFonts w:ascii="Times New Roman" w:hAnsi="Times New Roman" w:cs="Times New Roman"/>
          <w:szCs w:val="20"/>
        </w:rPr>
        <w:t xml:space="preserve">did not </w:t>
      </w:r>
      <w:r w:rsidR="00763DA1" w:rsidRPr="006F4C96">
        <w:rPr>
          <w:rFonts w:ascii="Times New Roman" w:hAnsi="Times New Roman" w:cs="Times New Roman"/>
          <w:szCs w:val="20"/>
        </w:rPr>
        <w:t xml:space="preserve">substantially </w:t>
      </w:r>
      <w:r w:rsidR="00966468" w:rsidRPr="006F4C96">
        <w:rPr>
          <w:rFonts w:ascii="Times New Roman" w:hAnsi="Times New Roman" w:cs="Times New Roman"/>
          <w:szCs w:val="20"/>
        </w:rPr>
        <w:t>alter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association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(3</w:t>
      </w:r>
      <w:r w:rsidR="000E3CF2" w:rsidRPr="006F4C96">
        <w:rPr>
          <w:rFonts w:ascii="Times New Roman" w:hAnsi="Times New Roman" w:cs="Times New Roman"/>
          <w:szCs w:val="20"/>
        </w:rPr>
        <w:t>.</w:t>
      </w:r>
      <w:r w:rsidRPr="006F4C96">
        <w:rPr>
          <w:rFonts w:ascii="Times New Roman" w:hAnsi="Times New Roman" w:cs="Times New Roman"/>
          <w:szCs w:val="20"/>
        </w:rPr>
        <w:t>2%</w:t>
      </w:r>
      <w:r w:rsidR="000441F4" w:rsidRPr="006F4C96">
        <w:rPr>
          <w:rFonts w:ascii="Times New Roman" w:hAnsi="Times New Roman" w:cs="Times New Roman"/>
          <w:szCs w:val="20"/>
        </w:rPr>
        <w:t xml:space="preserve"> </w:t>
      </w:r>
      <w:r w:rsidRPr="006F4C96">
        <w:rPr>
          <w:rFonts w:ascii="Times New Roman" w:hAnsi="Times New Roman" w:cs="Times New Roman"/>
          <w:szCs w:val="20"/>
        </w:rPr>
        <w:t>higher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Pr="006F4C96">
        <w:rPr>
          <w:rFonts w:ascii="Times New Roman" w:hAnsi="Times New Roman" w:cs="Times New Roman"/>
          <w:szCs w:val="20"/>
        </w:rPr>
        <w:t>per</w:t>
      </w:r>
      <w:r w:rsidR="000441F4" w:rsidRPr="006F4C96">
        <w:rPr>
          <w:rFonts w:ascii="Times New Roman" w:hAnsi="Times New Roman" w:cs="Times New Roman"/>
          <w:szCs w:val="20"/>
        </w:rPr>
        <w:t xml:space="preserve"> </w:t>
      </w:r>
      <w:r w:rsidRPr="006F4C96">
        <w:rPr>
          <w:rFonts w:ascii="Times New Roman" w:hAnsi="Times New Roman" w:cs="Times New Roman"/>
          <w:szCs w:val="20"/>
        </w:rPr>
        <w:t>year</w:t>
      </w:r>
      <w:r w:rsidR="000441F4" w:rsidRPr="006F4C96">
        <w:rPr>
          <w:rFonts w:ascii="Times New Roman" w:hAnsi="Times New Roman" w:cs="Times New Roman"/>
          <w:szCs w:val="20"/>
        </w:rPr>
        <w:t xml:space="preserve"> </w:t>
      </w:r>
      <w:r w:rsidR="002E177E"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00966468" w:rsidRPr="006F4C96">
        <w:rPr>
          <w:rFonts w:ascii="Times New Roman" w:hAnsi="Times New Roman" w:cs="Times New Roman"/>
          <w:szCs w:val="20"/>
        </w:rPr>
        <w:t xml:space="preserve">chronological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b/>
          <w:szCs w:val="20"/>
        </w:rPr>
        <w:t>Table</w:t>
      </w:r>
      <w:r w:rsidR="000441F4" w:rsidRPr="006F4C96">
        <w:rPr>
          <w:rFonts w:ascii="Times New Roman" w:hAnsi="Times New Roman" w:cs="Times New Roman"/>
          <w:b/>
          <w:szCs w:val="20"/>
        </w:rPr>
        <w:t xml:space="preserve"> </w:t>
      </w:r>
      <w:r w:rsidR="009A7CD8" w:rsidRPr="006F4C96">
        <w:rPr>
          <w:rFonts w:ascii="Times New Roman" w:hAnsi="Times New Roman" w:cs="Times New Roman"/>
          <w:b/>
          <w:szCs w:val="20"/>
        </w:rPr>
        <w:t>4</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000F661D" w:rsidRPr="006F4C96">
        <w:rPr>
          <w:rFonts w:ascii="Times New Roman" w:hAnsi="Times New Roman" w:cs="Times New Roman"/>
          <w:szCs w:val="20"/>
        </w:rPr>
        <w:t xml:space="preserve">Similarly, the association of shorter LTL with </w:t>
      </w:r>
      <w:r w:rsidR="0033434E" w:rsidRPr="006F4C96">
        <w:rPr>
          <w:rFonts w:ascii="Times New Roman" w:hAnsi="Times New Roman" w:cs="Times New Roman"/>
          <w:szCs w:val="20"/>
        </w:rPr>
        <w:t>pre</w:t>
      </w:r>
      <w:r w:rsidR="00D17EE0" w:rsidRPr="006F4C96">
        <w:rPr>
          <w:rFonts w:ascii="Times New Roman" w:hAnsi="Times New Roman" w:cs="Times New Roman"/>
          <w:szCs w:val="20"/>
        </w:rPr>
        <w:t>–</w:t>
      </w:r>
      <w:r w:rsidR="0033434E" w:rsidRPr="006F4C96">
        <w:rPr>
          <w:rFonts w:ascii="Times New Roman" w:hAnsi="Times New Roman" w:cs="Times New Roman"/>
          <w:szCs w:val="20"/>
        </w:rPr>
        <w:t>frailty (</w:t>
      </w:r>
      <w:r w:rsidR="00132B17" w:rsidRPr="006F4C96">
        <w:rPr>
          <w:rFonts w:ascii="Times New Roman" w:hAnsi="Times New Roman" w:cs="Times New Roman"/>
          <w:szCs w:val="20"/>
        </w:rPr>
        <w:t>2</w:t>
      </w:r>
      <w:r w:rsidR="000E3CF2" w:rsidRPr="006F4C96">
        <w:rPr>
          <w:rFonts w:ascii="Times New Roman" w:hAnsi="Times New Roman" w:cs="Times New Roman"/>
          <w:szCs w:val="20"/>
        </w:rPr>
        <w:t>.</w:t>
      </w:r>
      <w:r w:rsidR="00132B17" w:rsidRPr="006F4C96">
        <w:rPr>
          <w:rFonts w:ascii="Times New Roman" w:hAnsi="Times New Roman" w:cs="Times New Roman"/>
          <w:szCs w:val="20"/>
        </w:rPr>
        <w:t>1% (1</w:t>
      </w:r>
      <w:r w:rsidR="000E3CF2" w:rsidRPr="006F4C96">
        <w:rPr>
          <w:rFonts w:ascii="Times New Roman" w:hAnsi="Times New Roman" w:cs="Times New Roman"/>
          <w:szCs w:val="20"/>
        </w:rPr>
        <w:t>.</w:t>
      </w:r>
      <w:r w:rsidR="00132B17" w:rsidRPr="006F4C96">
        <w:rPr>
          <w:rFonts w:ascii="Times New Roman" w:hAnsi="Times New Roman" w:cs="Times New Roman"/>
          <w:szCs w:val="20"/>
        </w:rPr>
        <w:t>4%; 2</w:t>
      </w:r>
      <w:r w:rsidR="000E3CF2" w:rsidRPr="006F4C96">
        <w:rPr>
          <w:rFonts w:ascii="Times New Roman" w:hAnsi="Times New Roman" w:cs="Times New Roman"/>
          <w:szCs w:val="20"/>
        </w:rPr>
        <w:t>.</w:t>
      </w:r>
      <w:r w:rsidR="00132B17" w:rsidRPr="006F4C96">
        <w:rPr>
          <w:rFonts w:ascii="Times New Roman" w:hAnsi="Times New Roman" w:cs="Times New Roman"/>
          <w:szCs w:val="20"/>
        </w:rPr>
        <w:t>7%)</w:t>
      </w:r>
      <w:r w:rsidR="00057F22" w:rsidRPr="006F4C96">
        <w:rPr>
          <w:rFonts w:ascii="Times New Roman" w:hAnsi="Times New Roman" w:cs="Times New Roman"/>
          <w:szCs w:val="20"/>
        </w:rPr>
        <w:t xml:space="preserve"> </w:t>
      </w:r>
      <w:r w:rsidR="0033434E" w:rsidRPr="006F4C96">
        <w:rPr>
          <w:rFonts w:ascii="Times New Roman" w:hAnsi="Times New Roman" w:cs="Times New Roman"/>
          <w:szCs w:val="20"/>
        </w:rPr>
        <w:t>higher relative risk per one SD shorter LTL) and frailty (</w:t>
      </w:r>
      <w:r w:rsidR="00132B17" w:rsidRPr="006F4C96">
        <w:rPr>
          <w:rFonts w:ascii="Times New Roman" w:hAnsi="Times New Roman" w:cs="Times New Roman"/>
          <w:szCs w:val="20"/>
        </w:rPr>
        <w:t>9</w:t>
      </w:r>
      <w:r w:rsidR="000E3CF2" w:rsidRPr="006F4C96">
        <w:rPr>
          <w:rFonts w:ascii="Times New Roman" w:hAnsi="Times New Roman" w:cs="Times New Roman"/>
          <w:szCs w:val="20"/>
        </w:rPr>
        <w:t>.</w:t>
      </w:r>
      <w:r w:rsidR="00132B17" w:rsidRPr="006F4C96">
        <w:rPr>
          <w:rFonts w:ascii="Times New Roman" w:hAnsi="Times New Roman" w:cs="Times New Roman"/>
          <w:szCs w:val="20"/>
        </w:rPr>
        <w:t>6</w:t>
      </w:r>
      <w:r w:rsidR="0033434E" w:rsidRPr="006F4C96">
        <w:rPr>
          <w:rFonts w:ascii="Times New Roman" w:hAnsi="Times New Roman" w:cs="Times New Roman"/>
          <w:szCs w:val="20"/>
        </w:rPr>
        <w:t>% (</w:t>
      </w:r>
      <w:r w:rsidR="00132B17" w:rsidRPr="006F4C96">
        <w:rPr>
          <w:rFonts w:ascii="Times New Roman" w:hAnsi="Times New Roman" w:cs="Times New Roman"/>
          <w:szCs w:val="20"/>
        </w:rPr>
        <w:t>7</w:t>
      </w:r>
      <w:r w:rsidR="000E3CF2" w:rsidRPr="006F4C96">
        <w:rPr>
          <w:rFonts w:ascii="Times New Roman" w:hAnsi="Times New Roman" w:cs="Times New Roman"/>
          <w:szCs w:val="20"/>
        </w:rPr>
        <w:t>.</w:t>
      </w:r>
      <w:r w:rsidR="00132B17" w:rsidRPr="006F4C96">
        <w:rPr>
          <w:rFonts w:ascii="Times New Roman" w:hAnsi="Times New Roman" w:cs="Times New Roman"/>
          <w:szCs w:val="20"/>
        </w:rPr>
        <w:t>9</w:t>
      </w:r>
      <w:r w:rsidR="0033434E" w:rsidRPr="006F4C96">
        <w:rPr>
          <w:rFonts w:ascii="Times New Roman" w:hAnsi="Times New Roman" w:cs="Times New Roman"/>
          <w:szCs w:val="20"/>
        </w:rPr>
        <w:t xml:space="preserve">%; </w:t>
      </w:r>
      <w:r w:rsidR="00132B17" w:rsidRPr="006F4C96">
        <w:rPr>
          <w:rFonts w:ascii="Times New Roman" w:hAnsi="Times New Roman" w:cs="Times New Roman"/>
          <w:szCs w:val="20"/>
        </w:rPr>
        <w:t>11</w:t>
      </w:r>
      <w:r w:rsidR="0033434E" w:rsidRPr="006F4C96">
        <w:rPr>
          <w:rFonts w:ascii="Times New Roman" w:hAnsi="Times New Roman" w:cs="Times New Roman"/>
          <w:szCs w:val="20"/>
        </w:rPr>
        <w:t xml:space="preserve">%) higher relative risk per one SD shorter LTL) </w:t>
      </w:r>
      <w:r w:rsidR="000F661D" w:rsidRPr="006F4C96">
        <w:rPr>
          <w:rFonts w:ascii="Times New Roman" w:hAnsi="Times New Roman" w:cs="Times New Roman"/>
          <w:szCs w:val="20"/>
        </w:rPr>
        <w:t>remained highly significant after adjustment for these factors</w:t>
      </w:r>
      <w:r w:rsidR="00132B17" w:rsidRPr="006F4C96">
        <w:rPr>
          <w:rFonts w:ascii="Times New Roman" w:hAnsi="Times New Roman" w:cs="Times New Roman"/>
          <w:szCs w:val="20"/>
        </w:rPr>
        <w:t xml:space="preserve">, with the rate of change </w:t>
      </w:r>
      <w:r w:rsidR="003C4501" w:rsidRPr="006F4C96">
        <w:rPr>
          <w:rFonts w:ascii="Times New Roman" w:hAnsi="Times New Roman" w:cs="Times New Roman"/>
          <w:szCs w:val="20"/>
        </w:rPr>
        <w:t xml:space="preserve">of the association again </w:t>
      </w:r>
      <w:r w:rsidR="00975DA9" w:rsidRPr="006F4C96">
        <w:rPr>
          <w:rFonts w:ascii="Times New Roman" w:hAnsi="Times New Roman" w:cs="Times New Roman"/>
          <w:szCs w:val="20"/>
        </w:rPr>
        <w:t xml:space="preserve">modestly </w:t>
      </w:r>
      <w:r w:rsidR="003C4501" w:rsidRPr="006F4C96">
        <w:rPr>
          <w:rFonts w:ascii="Times New Roman" w:hAnsi="Times New Roman" w:cs="Times New Roman"/>
          <w:szCs w:val="20"/>
        </w:rPr>
        <w:t>dependent on the length of the telomere</w:t>
      </w:r>
      <w:r w:rsidR="00D05F98" w:rsidRPr="006F4C96">
        <w:rPr>
          <w:rFonts w:ascii="Times New Roman" w:hAnsi="Times New Roman" w:cs="Times New Roman"/>
          <w:szCs w:val="20"/>
        </w:rPr>
        <w:t xml:space="preserve"> (p for LTL quadratic term: 0</w:t>
      </w:r>
      <w:r w:rsidR="000E3CF2" w:rsidRPr="006F4C96">
        <w:rPr>
          <w:rFonts w:ascii="Times New Roman" w:hAnsi="Times New Roman" w:cs="Times New Roman"/>
          <w:szCs w:val="20"/>
        </w:rPr>
        <w:t>.</w:t>
      </w:r>
      <w:r w:rsidR="00D05F98" w:rsidRPr="006F4C96">
        <w:rPr>
          <w:rFonts w:ascii="Times New Roman" w:hAnsi="Times New Roman" w:cs="Times New Roman"/>
          <w:szCs w:val="20"/>
        </w:rPr>
        <w:t>003 for pre–frailty and 0</w:t>
      </w:r>
      <w:r w:rsidR="000E3CF2" w:rsidRPr="006F4C96">
        <w:rPr>
          <w:rFonts w:ascii="Times New Roman" w:hAnsi="Times New Roman" w:cs="Times New Roman"/>
          <w:szCs w:val="20"/>
        </w:rPr>
        <w:t>.</w:t>
      </w:r>
      <w:r w:rsidR="00D05F98" w:rsidRPr="006F4C96">
        <w:rPr>
          <w:rFonts w:ascii="Times New Roman" w:hAnsi="Times New Roman" w:cs="Times New Roman"/>
          <w:szCs w:val="20"/>
        </w:rPr>
        <w:t>03 for frailty)</w:t>
      </w:r>
      <w:r w:rsidR="0033434E" w:rsidRPr="006F4C96">
        <w:rPr>
          <w:rFonts w:ascii="Times New Roman" w:hAnsi="Times New Roman" w:cs="Times New Roman"/>
          <w:szCs w:val="20"/>
        </w:rPr>
        <w:t xml:space="preserve"> (</w:t>
      </w:r>
      <w:r w:rsidR="0033434E" w:rsidRPr="006F4C96">
        <w:rPr>
          <w:rFonts w:ascii="Times New Roman" w:hAnsi="Times New Roman" w:cs="Times New Roman"/>
          <w:b/>
          <w:szCs w:val="20"/>
        </w:rPr>
        <w:t>Tabl</w:t>
      </w:r>
      <w:r w:rsidR="009A7CD8" w:rsidRPr="006F4C96">
        <w:rPr>
          <w:rFonts w:ascii="Times New Roman" w:hAnsi="Times New Roman" w:cs="Times New Roman"/>
          <w:b/>
          <w:szCs w:val="20"/>
        </w:rPr>
        <w:t>e 4</w:t>
      </w:r>
      <w:r w:rsidR="0033434E" w:rsidRPr="006F4C96">
        <w:rPr>
          <w:rFonts w:ascii="Times New Roman" w:hAnsi="Times New Roman" w:cs="Times New Roman"/>
          <w:szCs w:val="20"/>
        </w:rPr>
        <w:t>).</w:t>
      </w:r>
      <w:r w:rsidR="00D211F9" w:rsidRPr="006F4C96">
        <w:rPr>
          <w:rFonts w:ascii="Times New Roman" w:hAnsi="Times New Roman" w:cs="Times New Roman"/>
          <w:szCs w:val="20"/>
        </w:rPr>
        <w:t xml:space="preserve"> </w:t>
      </w:r>
      <w:r w:rsidR="00975DA9" w:rsidRPr="006F4C96">
        <w:rPr>
          <w:rFonts w:ascii="Times New Roman" w:hAnsi="Times New Roman" w:cs="Times New Roman"/>
          <w:szCs w:val="20"/>
        </w:rPr>
        <w:t xml:space="preserve">The relative risk of frailty </w:t>
      </w:r>
      <w:r w:rsidR="00413F2D" w:rsidRPr="006F4C96">
        <w:rPr>
          <w:rFonts w:ascii="Times New Roman" w:hAnsi="Times New Roman" w:cs="Times New Roman"/>
          <w:szCs w:val="20"/>
        </w:rPr>
        <w:t xml:space="preserve">with different LTLs </w:t>
      </w:r>
      <w:r w:rsidR="00975DA9" w:rsidRPr="006F4C96">
        <w:rPr>
          <w:rFonts w:ascii="Times New Roman" w:hAnsi="Times New Roman" w:cs="Times New Roman"/>
          <w:szCs w:val="20"/>
        </w:rPr>
        <w:t xml:space="preserve">in men and women at age 40, 55 and 70, standardised to a 40 year old male, is shown in </w:t>
      </w:r>
      <w:r w:rsidR="00975DA9" w:rsidRPr="006F4C96">
        <w:rPr>
          <w:rFonts w:ascii="Times New Roman" w:hAnsi="Times New Roman" w:cs="Times New Roman"/>
          <w:b/>
          <w:szCs w:val="20"/>
        </w:rPr>
        <w:t>Figure 1</w:t>
      </w:r>
      <w:r w:rsidR="00975DA9" w:rsidRPr="006F4C96">
        <w:rPr>
          <w:rFonts w:ascii="Times New Roman" w:hAnsi="Times New Roman" w:cs="Times New Roman"/>
          <w:szCs w:val="20"/>
        </w:rPr>
        <w:t xml:space="preserve">. </w:t>
      </w:r>
      <w:r w:rsidR="00413F2D" w:rsidRPr="006F4C96">
        <w:rPr>
          <w:rFonts w:ascii="Times New Roman" w:hAnsi="Times New Roman" w:cs="Times New Roman"/>
          <w:szCs w:val="20"/>
        </w:rPr>
        <w:t>Across the spectrum of possible situations there was a greater than three</w:t>
      </w:r>
      <w:r w:rsidR="00414572" w:rsidRPr="006F4C96">
        <w:rPr>
          <w:rFonts w:ascii="Times New Roman" w:hAnsi="Times New Roman" w:cs="Times New Roman"/>
          <w:szCs w:val="20"/>
        </w:rPr>
        <w:t>–</w:t>
      </w:r>
      <w:r w:rsidR="00413F2D" w:rsidRPr="006F4C96">
        <w:rPr>
          <w:rFonts w:ascii="Times New Roman" w:hAnsi="Times New Roman" w:cs="Times New Roman"/>
          <w:szCs w:val="20"/>
        </w:rPr>
        <w:t xml:space="preserve">fold </w:t>
      </w:r>
      <w:r w:rsidR="00EA0224" w:rsidRPr="006F4C96">
        <w:rPr>
          <w:rFonts w:ascii="Times New Roman" w:hAnsi="Times New Roman" w:cs="Times New Roman"/>
          <w:szCs w:val="20"/>
        </w:rPr>
        <w:t xml:space="preserve">difference in the relative risk of frailty associated with variation in LTL. </w:t>
      </w:r>
      <w:r w:rsidR="006049BB" w:rsidRPr="006F4C96">
        <w:rPr>
          <w:rFonts w:ascii="Times New Roman" w:hAnsi="Times New Roman" w:cs="Times New Roman"/>
          <w:szCs w:val="20"/>
        </w:rPr>
        <w:t>In a sensitivity analysis, to exclude the possibility that results are biased due to extreme telomere length, we revised the analysis for those within the -3SD to +3SD range of telomere length (n=439,420 with complete data). Results remained consistent even after removing 2,612 participants with extreme values in telomere length (</w:t>
      </w:r>
      <w:r w:rsidR="006049BB" w:rsidRPr="006F4C96">
        <w:rPr>
          <w:rFonts w:ascii="Times New Roman" w:hAnsi="Times New Roman" w:cs="Times New Roman"/>
          <w:b/>
          <w:szCs w:val="20"/>
        </w:rPr>
        <w:t xml:space="preserve">Supplementary Table </w:t>
      </w:r>
      <w:r w:rsidR="00565FCC" w:rsidRPr="006F4C96">
        <w:rPr>
          <w:rFonts w:ascii="Times New Roman" w:hAnsi="Times New Roman" w:cs="Times New Roman"/>
          <w:b/>
          <w:szCs w:val="20"/>
        </w:rPr>
        <w:t>5</w:t>
      </w:r>
      <w:r w:rsidR="006049BB" w:rsidRPr="006F4C96">
        <w:rPr>
          <w:rFonts w:ascii="Times New Roman" w:hAnsi="Times New Roman" w:cs="Times New Roman"/>
          <w:szCs w:val="20"/>
        </w:rPr>
        <w:t>).</w:t>
      </w:r>
    </w:p>
    <w:p w14:paraId="6F6A32BA" w14:textId="46E08E5D" w:rsidR="00C10246" w:rsidRPr="006F4C96" w:rsidRDefault="0033434E"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Correcting for regression dilution</w:t>
      </w:r>
      <w:r w:rsidR="00975DA9" w:rsidRPr="006F4C96">
        <w:rPr>
          <w:rFonts w:ascii="Times New Roman" w:hAnsi="Times New Roman" w:cs="Times New Roman"/>
          <w:szCs w:val="20"/>
        </w:rPr>
        <w:t xml:space="preserve"> bias further strengthened the</w:t>
      </w:r>
      <w:r w:rsidRPr="006F4C96">
        <w:rPr>
          <w:rFonts w:ascii="Times New Roman" w:hAnsi="Times New Roman" w:cs="Times New Roman"/>
          <w:szCs w:val="20"/>
        </w:rPr>
        <w:t xml:space="preserve"> associations </w:t>
      </w:r>
      <w:r w:rsidR="00975DA9" w:rsidRPr="006F4C96">
        <w:rPr>
          <w:rFonts w:ascii="Times New Roman" w:hAnsi="Times New Roman" w:cs="Times New Roman"/>
          <w:szCs w:val="20"/>
        </w:rPr>
        <w:t xml:space="preserve">of LTL with both frailty conditions </w:t>
      </w:r>
      <w:r w:rsidRPr="006F4C96">
        <w:rPr>
          <w:rFonts w:ascii="Times New Roman" w:eastAsia="Times New Roman" w:hAnsi="Times New Roman" w:cs="Times New Roman"/>
          <w:szCs w:val="20"/>
          <w:lang w:eastAsia="en-GB"/>
        </w:rPr>
        <w:t>(</w:t>
      </w:r>
      <w:r w:rsidR="006E67DF" w:rsidRPr="006F4C96">
        <w:rPr>
          <w:rFonts w:ascii="Times New Roman" w:eastAsia="Times New Roman" w:hAnsi="Times New Roman" w:cs="Times New Roman"/>
          <w:szCs w:val="20"/>
          <w:lang w:eastAsia="en-GB"/>
        </w:rPr>
        <w:t>3</w:t>
      </w:r>
      <w:r w:rsidR="000E3CF2" w:rsidRPr="006F4C96">
        <w:rPr>
          <w:rFonts w:ascii="Times New Roman" w:hAnsi="Times New Roman" w:cs="Times New Roman"/>
          <w:szCs w:val="20"/>
        </w:rPr>
        <w:t>.</w:t>
      </w:r>
      <w:r w:rsidR="00C10246" w:rsidRPr="006F4C96">
        <w:rPr>
          <w:rFonts w:ascii="Times New Roman" w:eastAsia="Times New Roman" w:hAnsi="Times New Roman" w:cs="Times New Roman"/>
          <w:szCs w:val="20"/>
          <w:lang w:eastAsia="en-GB"/>
        </w:rPr>
        <w:t>1</w:t>
      </w:r>
      <w:r w:rsidR="006E67DF" w:rsidRPr="006F4C96">
        <w:rPr>
          <w:rFonts w:ascii="Times New Roman" w:eastAsia="Times New Roman" w:hAnsi="Times New Roman" w:cs="Times New Roman"/>
          <w:szCs w:val="20"/>
          <w:lang w:eastAsia="en-GB"/>
        </w:rPr>
        <w:t>% (2</w:t>
      </w:r>
      <w:r w:rsidR="000E3CF2" w:rsidRPr="006F4C96">
        <w:rPr>
          <w:rFonts w:ascii="Times New Roman" w:hAnsi="Times New Roman" w:cs="Times New Roman"/>
          <w:szCs w:val="20"/>
        </w:rPr>
        <w:t>.</w:t>
      </w:r>
      <w:r w:rsidR="00C10246" w:rsidRPr="006F4C96">
        <w:rPr>
          <w:rFonts w:ascii="Times New Roman" w:eastAsia="Times New Roman" w:hAnsi="Times New Roman" w:cs="Times New Roman"/>
          <w:szCs w:val="20"/>
          <w:lang w:eastAsia="en-GB"/>
        </w:rPr>
        <w:t>1</w:t>
      </w:r>
      <w:r w:rsidR="006E67DF" w:rsidRPr="006F4C96">
        <w:rPr>
          <w:rFonts w:ascii="Times New Roman" w:eastAsia="Times New Roman" w:hAnsi="Times New Roman" w:cs="Times New Roman"/>
          <w:szCs w:val="20"/>
          <w:lang w:eastAsia="en-GB"/>
        </w:rPr>
        <w:t>%; 4</w:t>
      </w:r>
      <w:r w:rsidR="000E3CF2" w:rsidRPr="006F4C96">
        <w:rPr>
          <w:rFonts w:ascii="Times New Roman" w:hAnsi="Times New Roman" w:cs="Times New Roman"/>
          <w:szCs w:val="20"/>
        </w:rPr>
        <w:t>.</w:t>
      </w:r>
      <w:r w:rsidR="00415F32" w:rsidRPr="006F4C96">
        <w:rPr>
          <w:rFonts w:ascii="Times New Roman" w:eastAsia="Times New Roman" w:hAnsi="Times New Roman" w:cs="Times New Roman"/>
          <w:szCs w:val="20"/>
          <w:lang w:eastAsia="en-GB"/>
        </w:rPr>
        <w:t>0</w:t>
      </w:r>
      <w:r w:rsidR="006E67DF" w:rsidRPr="006F4C96">
        <w:rPr>
          <w:rFonts w:ascii="Times New Roman" w:eastAsia="Times New Roman" w:hAnsi="Times New Roman" w:cs="Times New Roman"/>
          <w:szCs w:val="20"/>
          <w:lang w:eastAsia="en-GB"/>
        </w:rPr>
        <w:t xml:space="preserve">%) and </w:t>
      </w:r>
      <w:r w:rsidR="0076581F" w:rsidRPr="006F4C96">
        <w:rPr>
          <w:rFonts w:ascii="Times New Roman" w:eastAsia="Times New Roman" w:hAnsi="Times New Roman" w:cs="Times New Roman"/>
          <w:szCs w:val="20"/>
          <w:lang w:eastAsia="en-GB"/>
        </w:rPr>
        <w:t>14</w:t>
      </w:r>
      <w:r w:rsidR="006E67DF" w:rsidRPr="006F4C96">
        <w:rPr>
          <w:rFonts w:ascii="Times New Roman" w:eastAsia="Times New Roman" w:hAnsi="Times New Roman" w:cs="Times New Roman"/>
          <w:szCs w:val="20"/>
          <w:lang w:eastAsia="en-GB"/>
        </w:rPr>
        <w:t xml:space="preserve">% (12%; </w:t>
      </w:r>
      <w:r w:rsidR="0076581F" w:rsidRPr="006F4C96">
        <w:rPr>
          <w:rFonts w:ascii="Times New Roman" w:eastAsia="Times New Roman" w:hAnsi="Times New Roman" w:cs="Times New Roman"/>
          <w:szCs w:val="20"/>
          <w:lang w:eastAsia="en-GB"/>
        </w:rPr>
        <w:t>17</w:t>
      </w:r>
      <w:r w:rsidR="006E67DF" w:rsidRPr="006F4C96">
        <w:rPr>
          <w:rFonts w:ascii="Times New Roman" w:eastAsia="Times New Roman" w:hAnsi="Times New Roman" w:cs="Times New Roman"/>
          <w:szCs w:val="20"/>
          <w:lang w:eastAsia="en-GB"/>
        </w:rPr>
        <w:t>%) higher</w:t>
      </w:r>
      <w:r w:rsidR="008C0011" w:rsidRPr="006F4C96">
        <w:rPr>
          <w:rFonts w:ascii="Times New Roman" w:eastAsia="Times New Roman" w:hAnsi="Times New Roman" w:cs="Times New Roman"/>
          <w:szCs w:val="20"/>
          <w:lang w:eastAsia="en-GB"/>
        </w:rPr>
        <w:t>,</w:t>
      </w:r>
      <w:r w:rsidR="006E67DF" w:rsidRPr="006F4C96">
        <w:rPr>
          <w:rFonts w:ascii="Times New Roman" w:eastAsia="Times New Roman" w:hAnsi="Times New Roman" w:cs="Times New Roman"/>
          <w:szCs w:val="20"/>
          <w:lang w:eastAsia="en-GB"/>
        </w:rPr>
        <w:t xml:space="preserve"> </w:t>
      </w:r>
      <w:r w:rsidR="00975DA9" w:rsidRPr="006F4C96">
        <w:rPr>
          <w:rFonts w:ascii="Times New Roman" w:eastAsia="Times New Roman" w:hAnsi="Times New Roman" w:cs="Times New Roman"/>
          <w:szCs w:val="20"/>
          <w:lang w:eastAsia="en-GB"/>
        </w:rPr>
        <w:t>for pre</w:t>
      </w:r>
      <w:r w:rsidR="003E21FF" w:rsidRPr="006F4C96">
        <w:rPr>
          <w:rFonts w:ascii="Times New Roman" w:eastAsia="Times New Roman" w:hAnsi="Times New Roman" w:cs="Times New Roman"/>
          <w:szCs w:val="20"/>
          <w:lang w:eastAsia="en-GB"/>
        </w:rPr>
        <w:t>–</w:t>
      </w:r>
      <w:r w:rsidR="00975DA9" w:rsidRPr="006F4C96">
        <w:rPr>
          <w:rFonts w:ascii="Times New Roman" w:eastAsia="Times New Roman" w:hAnsi="Times New Roman" w:cs="Times New Roman"/>
          <w:szCs w:val="20"/>
          <w:lang w:eastAsia="en-GB"/>
        </w:rPr>
        <w:t>frailty and frailty respectively</w:t>
      </w:r>
      <w:r w:rsidR="006E67DF" w:rsidRPr="006F4C96">
        <w:rPr>
          <w:rFonts w:ascii="Times New Roman" w:eastAsia="Times New Roman" w:hAnsi="Times New Roman" w:cs="Times New Roman"/>
          <w:szCs w:val="20"/>
          <w:lang w:eastAsia="en-GB"/>
        </w:rPr>
        <w:t xml:space="preserve"> per one SD shorter LTL</w:t>
      </w:r>
      <w:r w:rsidRPr="006F4C96">
        <w:rPr>
          <w:rFonts w:ascii="Times New Roman" w:eastAsia="Times New Roman" w:hAnsi="Times New Roman" w:cs="Times New Roman"/>
          <w:szCs w:val="20"/>
          <w:lang w:eastAsia="en-GB"/>
        </w:rPr>
        <w:t>)</w:t>
      </w:r>
      <w:r w:rsidR="006E67DF"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Adjustment for the associations of LTL with 123 prevalent diseases reduced the associations of LTL with both pre</w:t>
      </w:r>
      <w:r w:rsidR="004A632A" w:rsidRPr="006F4C96">
        <w:rPr>
          <w:rFonts w:ascii="Times New Roman" w:eastAsia="Times New Roman" w:hAnsi="Times New Roman" w:cs="Times New Roman"/>
          <w:szCs w:val="20"/>
          <w:lang w:eastAsia="en-GB"/>
        </w:rPr>
        <w:t>–</w:t>
      </w:r>
      <w:r w:rsidRPr="006F4C96">
        <w:rPr>
          <w:rFonts w:ascii="Times New Roman" w:eastAsia="Times New Roman" w:hAnsi="Times New Roman" w:cs="Times New Roman"/>
          <w:szCs w:val="20"/>
          <w:lang w:eastAsia="en-GB"/>
        </w:rPr>
        <w:t>frailty and frailty but both remained significant (</w:t>
      </w:r>
      <w:r w:rsidR="00132B17" w:rsidRPr="006F4C96">
        <w:rPr>
          <w:rFonts w:ascii="Times New Roman" w:eastAsia="Times New Roman" w:hAnsi="Times New Roman" w:cs="Times New Roman"/>
          <w:szCs w:val="20"/>
          <w:lang w:eastAsia="en-GB"/>
        </w:rPr>
        <w:t>1</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4</w:t>
      </w:r>
      <w:r w:rsidR="00555211" w:rsidRPr="006F4C96">
        <w:rPr>
          <w:rFonts w:ascii="Times New Roman" w:eastAsia="Times New Roman" w:hAnsi="Times New Roman" w:cs="Times New Roman"/>
          <w:szCs w:val="20"/>
          <w:lang w:eastAsia="en-GB"/>
        </w:rPr>
        <w:t>% (</w:t>
      </w:r>
      <w:r w:rsidR="00132B17" w:rsidRPr="006F4C96">
        <w:rPr>
          <w:rFonts w:ascii="Times New Roman" w:eastAsia="Times New Roman" w:hAnsi="Times New Roman" w:cs="Times New Roman"/>
          <w:szCs w:val="20"/>
          <w:lang w:eastAsia="en-GB"/>
        </w:rPr>
        <w:t>0</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8</w:t>
      </w:r>
      <w:r w:rsidR="00555211" w:rsidRPr="006F4C96">
        <w:rPr>
          <w:rFonts w:ascii="Times New Roman" w:eastAsia="Times New Roman" w:hAnsi="Times New Roman" w:cs="Times New Roman"/>
          <w:szCs w:val="20"/>
          <w:lang w:eastAsia="en-GB"/>
        </w:rPr>
        <w:t xml:space="preserve">%; </w:t>
      </w:r>
      <w:r w:rsidR="0076581F" w:rsidRPr="006F4C96">
        <w:rPr>
          <w:rFonts w:ascii="Times New Roman" w:eastAsia="Times New Roman" w:hAnsi="Times New Roman" w:cs="Times New Roman"/>
          <w:szCs w:val="20"/>
          <w:lang w:eastAsia="en-GB"/>
        </w:rPr>
        <w:t>2</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1</w:t>
      </w:r>
      <w:r w:rsidRPr="006F4C96">
        <w:rPr>
          <w:rFonts w:ascii="Times New Roman" w:eastAsia="Times New Roman" w:hAnsi="Times New Roman" w:cs="Times New Roman"/>
          <w:szCs w:val="20"/>
          <w:lang w:eastAsia="en-GB"/>
        </w:rPr>
        <w:t>%</w:t>
      </w:r>
      <w:r w:rsidR="00555211" w:rsidRPr="006F4C96">
        <w:rPr>
          <w:rFonts w:ascii="Times New Roman" w:eastAsia="Times New Roman" w:hAnsi="Times New Roman" w:cs="Times New Roman"/>
          <w:szCs w:val="20"/>
          <w:lang w:eastAsia="en-GB"/>
        </w:rPr>
        <w:t xml:space="preserve">) and </w:t>
      </w:r>
      <w:r w:rsidR="00132B17" w:rsidRPr="006F4C96">
        <w:rPr>
          <w:rFonts w:ascii="Times New Roman" w:eastAsia="Times New Roman" w:hAnsi="Times New Roman" w:cs="Times New Roman"/>
          <w:szCs w:val="20"/>
          <w:lang w:eastAsia="en-GB"/>
        </w:rPr>
        <w:t>4</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5</w:t>
      </w:r>
      <w:r w:rsidR="00555211" w:rsidRPr="006F4C96">
        <w:rPr>
          <w:rFonts w:ascii="Times New Roman" w:eastAsia="Times New Roman" w:hAnsi="Times New Roman" w:cs="Times New Roman"/>
          <w:szCs w:val="20"/>
          <w:lang w:eastAsia="en-GB"/>
        </w:rPr>
        <w:t>% (</w:t>
      </w:r>
      <w:r w:rsidR="00132B17" w:rsidRPr="006F4C96">
        <w:rPr>
          <w:rFonts w:ascii="Times New Roman" w:eastAsia="Times New Roman" w:hAnsi="Times New Roman" w:cs="Times New Roman"/>
          <w:szCs w:val="20"/>
          <w:lang w:eastAsia="en-GB"/>
        </w:rPr>
        <w:t>2</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9</w:t>
      </w:r>
      <w:r w:rsidR="00555211" w:rsidRPr="006F4C96">
        <w:rPr>
          <w:rFonts w:ascii="Times New Roman" w:eastAsia="Times New Roman" w:hAnsi="Times New Roman" w:cs="Times New Roman"/>
          <w:szCs w:val="20"/>
          <w:lang w:eastAsia="en-GB"/>
        </w:rPr>
        <w:t xml:space="preserve">%; </w:t>
      </w:r>
      <w:r w:rsidR="00132B17" w:rsidRPr="006F4C96">
        <w:rPr>
          <w:rFonts w:ascii="Times New Roman" w:eastAsia="Times New Roman" w:hAnsi="Times New Roman" w:cs="Times New Roman"/>
          <w:szCs w:val="20"/>
          <w:lang w:eastAsia="en-GB"/>
        </w:rPr>
        <w:t>6</w:t>
      </w:r>
      <w:r w:rsidR="000E3CF2" w:rsidRPr="006F4C96">
        <w:rPr>
          <w:rFonts w:ascii="Times New Roman" w:hAnsi="Times New Roman" w:cs="Times New Roman"/>
          <w:szCs w:val="20"/>
        </w:rPr>
        <w:t>.</w:t>
      </w:r>
      <w:r w:rsidR="00132B17" w:rsidRPr="006F4C96">
        <w:rPr>
          <w:rFonts w:ascii="Times New Roman" w:eastAsia="Times New Roman" w:hAnsi="Times New Roman" w:cs="Times New Roman"/>
          <w:szCs w:val="20"/>
          <w:lang w:eastAsia="en-GB"/>
        </w:rPr>
        <w:t>1</w:t>
      </w:r>
      <w:r w:rsidRPr="006F4C96">
        <w:rPr>
          <w:rFonts w:ascii="Times New Roman" w:eastAsia="Times New Roman" w:hAnsi="Times New Roman" w:cs="Times New Roman"/>
          <w:szCs w:val="20"/>
          <w:lang w:eastAsia="en-GB"/>
        </w:rPr>
        <w:t>%) higher per one SD shorter LTL</w:t>
      </w:r>
      <w:r w:rsidR="00555211" w:rsidRPr="006F4C96">
        <w:rPr>
          <w:rFonts w:ascii="Times New Roman" w:eastAsia="Times New Roman" w:hAnsi="Times New Roman" w:cs="Times New Roman"/>
          <w:szCs w:val="20"/>
          <w:lang w:eastAsia="en-GB"/>
        </w:rPr>
        <w:t>, p&lt;0</w:t>
      </w:r>
      <w:r w:rsidR="000E3CF2" w:rsidRPr="006F4C96">
        <w:rPr>
          <w:rFonts w:ascii="Times New Roman" w:hAnsi="Times New Roman" w:cs="Times New Roman"/>
          <w:szCs w:val="20"/>
        </w:rPr>
        <w:t>.</w:t>
      </w:r>
      <w:r w:rsidR="00555211" w:rsidRPr="006F4C96">
        <w:rPr>
          <w:rFonts w:ascii="Times New Roman" w:eastAsia="Times New Roman" w:hAnsi="Times New Roman" w:cs="Times New Roman"/>
          <w:szCs w:val="20"/>
          <w:lang w:eastAsia="en-GB"/>
        </w:rPr>
        <w:t>0001 for both</w:t>
      </w:r>
      <w:r w:rsidRPr="006F4C96">
        <w:rPr>
          <w:rFonts w:ascii="Times New Roman" w:eastAsia="Times New Roman" w:hAnsi="Times New Roman" w:cs="Times New Roman"/>
          <w:szCs w:val="20"/>
          <w:lang w:eastAsia="en-GB"/>
        </w:rPr>
        <w:t>)</w:t>
      </w:r>
      <w:r w:rsidR="001B303A" w:rsidRPr="006F4C96">
        <w:rPr>
          <w:rFonts w:ascii="Times New Roman" w:eastAsia="Times New Roman" w:hAnsi="Times New Roman" w:cs="Times New Roman"/>
          <w:szCs w:val="20"/>
          <w:lang w:eastAsia="en-GB"/>
        </w:rPr>
        <w:t>.</w:t>
      </w:r>
    </w:p>
    <w:p w14:paraId="140FBE9C" w14:textId="5B5FAE1D" w:rsidR="000722BB" w:rsidRPr="006F4C96" w:rsidRDefault="008C79FB" w:rsidP="008C738E">
      <w:pPr>
        <w:spacing w:after="0" w:line="480" w:lineRule="auto"/>
        <w:ind w:firstLine="567"/>
        <w:rPr>
          <w:rFonts w:ascii="Times New Roman" w:eastAsia="Times New Roman" w:hAnsi="Times New Roman" w:cs="Times New Roman"/>
          <w:szCs w:val="20"/>
          <w:lang w:eastAsia="en-GB"/>
        </w:rPr>
      </w:pPr>
      <w:r w:rsidRPr="006F4C96">
        <w:rPr>
          <w:rFonts w:ascii="Times New Roman" w:eastAsia="Times New Roman" w:hAnsi="Times New Roman" w:cs="Times New Roman"/>
          <w:szCs w:val="20"/>
          <w:lang w:eastAsia="en-GB"/>
        </w:rPr>
        <w:t>In</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full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model,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sex</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and</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other established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risk</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factors</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 xml:space="preserve">were substantially associated with both pre–frailty and </w:t>
      </w:r>
      <w:r w:rsidRPr="006F4C96">
        <w:rPr>
          <w:rFonts w:ascii="Times New Roman" w:eastAsia="Times New Roman" w:hAnsi="Times New Roman" w:cs="Times New Roman"/>
          <w:szCs w:val="20"/>
          <w:lang w:eastAsia="en-GB"/>
        </w:rPr>
        <w:t>fra</w:t>
      </w:r>
      <w:r w:rsidR="002E177E" w:rsidRPr="006F4C96">
        <w:rPr>
          <w:rFonts w:ascii="Times New Roman" w:eastAsia="Times New Roman" w:hAnsi="Times New Roman" w:cs="Times New Roman"/>
          <w:szCs w:val="20"/>
          <w:lang w:eastAsia="en-GB"/>
        </w:rPr>
        <w:t>il</w:t>
      </w:r>
      <w:r w:rsidRPr="006F4C96">
        <w:rPr>
          <w:rFonts w:ascii="Times New Roman" w:eastAsia="Times New Roman" w:hAnsi="Times New Roman" w:cs="Times New Roman"/>
          <w:szCs w:val="20"/>
          <w:lang w:eastAsia="en-GB"/>
        </w:rPr>
        <w:t>ty</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w:t>
      </w:r>
      <w:r w:rsidR="00854712" w:rsidRPr="006F4C96">
        <w:rPr>
          <w:rFonts w:ascii="Times New Roman" w:eastAsia="Times New Roman" w:hAnsi="Times New Roman" w:cs="Times New Roman"/>
          <w:b/>
          <w:szCs w:val="20"/>
          <w:lang w:eastAsia="en-GB"/>
        </w:rPr>
        <w:t>Table 4</w:t>
      </w:r>
      <w:r w:rsidR="00854712" w:rsidRPr="006F4C96">
        <w:rPr>
          <w:rFonts w:ascii="Times New Roman" w:eastAsia="Times New Roman" w:hAnsi="Times New Roman" w:cs="Times New Roman"/>
          <w:szCs w:val="20"/>
          <w:lang w:eastAsia="en-GB"/>
        </w:rPr>
        <w:t>)</w:t>
      </w:r>
      <w:r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For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example,</w:t>
      </w:r>
      <w:r w:rsidR="000441F4" w:rsidRPr="006F4C96">
        <w:rPr>
          <w:rFonts w:ascii="Times New Roman" w:eastAsia="Times New Roman" w:hAnsi="Times New Roman" w:cs="Times New Roman"/>
          <w:szCs w:val="20"/>
          <w:lang w:eastAsia="en-GB"/>
        </w:rPr>
        <w:t xml:space="preserve"> </w:t>
      </w:r>
      <w:r w:rsidR="00EB7067" w:rsidRPr="006F4C96">
        <w:rPr>
          <w:rFonts w:ascii="Times New Roman" w:eastAsia="Times New Roman" w:hAnsi="Times New Roman" w:cs="Times New Roman"/>
          <w:szCs w:val="20"/>
          <w:lang w:eastAsia="en-GB"/>
        </w:rPr>
        <w:t xml:space="preserve">compared with </w:t>
      </w:r>
      <w:r w:rsidR="00854712" w:rsidRPr="006F4C96">
        <w:rPr>
          <w:rFonts w:ascii="Times New Roman" w:eastAsia="Times New Roman" w:hAnsi="Times New Roman" w:cs="Times New Roman"/>
          <w:szCs w:val="20"/>
          <w:lang w:eastAsia="en-GB"/>
        </w:rPr>
        <w:t>men</w:t>
      </w:r>
      <w:r w:rsidR="00642C9D" w:rsidRPr="006F4C96">
        <w:rPr>
          <w:rFonts w:ascii="Times New Roman" w:eastAsia="Times New Roman" w:hAnsi="Times New Roman" w:cs="Times New Roman"/>
          <w:szCs w:val="20"/>
          <w:lang w:eastAsia="en-GB"/>
        </w:rPr>
        <w:t>,</w:t>
      </w:r>
      <w:r w:rsidR="00EB7067"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 xml:space="preserve">women </w:t>
      </w:r>
      <w:r w:rsidRPr="006F4C96">
        <w:rPr>
          <w:rFonts w:ascii="Times New Roman" w:eastAsia="Times New Roman" w:hAnsi="Times New Roman" w:cs="Times New Roman"/>
          <w:szCs w:val="20"/>
          <w:lang w:eastAsia="en-GB"/>
        </w:rPr>
        <w:t>had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w:t>
      </w:r>
      <w:r w:rsidR="00854712" w:rsidRPr="006F4C96">
        <w:rPr>
          <w:rFonts w:ascii="Times New Roman" w:eastAsia="Times New Roman" w:hAnsi="Times New Roman" w:cs="Times New Roman"/>
          <w:szCs w:val="20"/>
          <w:lang w:eastAsia="en-GB"/>
        </w:rPr>
        <w:t>bout</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50</w:t>
      </w:r>
      <w:r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 xml:space="preserve">higher </w:t>
      </w:r>
      <w:r w:rsidRPr="006F4C96">
        <w:rPr>
          <w:rFonts w:ascii="Times New Roman" w:eastAsia="Times New Roman" w:hAnsi="Times New Roman" w:cs="Times New Roman"/>
          <w:szCs w:val="20"/>
          <w:lang w:eastAsia="en-GB"/>
        </w:rPr>
        <w:t>relative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risk</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being</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frail</w:t>
      </w:r>
      <w:r w:rsidR="000441F4" w:rsidRPr="006F4C96">
        <w:rPr>
          <w:rFonts w:ascii="Times New Roman" w:eastAsia="Times New Roman" w:hAnsi="Times New Roman" w:cs="Times New Roman"/>
          <w:szCs w:val="20"/>
          <w:lang w:eastAsia="en-GB"/>
        </w:rPr>
        <w:t xml:space="preserve"> </w:t>
      </w:r>
      <w:r w:rsidR="00EB7067" w:rsidRPr="006F4C96">
        <w:rPr>
          <w:rFonts w:ascii="Times New Roman" w:eastAsia="Times New Roman" w:hAnsi="Times New Roman" w:cs="Times New Roman"/>
          <w:szCs w:val="20"/>
          <w:lang w:eastAsia="en-GB"/>
        </w:rPr>
        <w:t>as opposed to</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being</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non</w:t>
      </w:r>
      <w:r w:rsidR="000441F4" w:rsidRPr="006F4C96">
        <w:rPr>
          <w:rFonts w:ascii="Times New Roman" w:eastAsia="Times New Roman" w:hAnsi="Times New Roman" w:cs="Times New Roman"/>
          <w:szCs w:val="20"/>
          <w:lang w:eastAsia="en-GB"/>
        </w:rPr>
        <w:t>–</w:t>
      </w:r>
      <w:r w:rsidRPr="006F4C96">
        <w:rPr>
          <w:rFonts w:ascii="Times New Roman" w:eastAsia="Times New Roman" w:hAnsi="Times New Roman" w:cs="Times New Roman"/>
          <w:szCs w:val="20"/>
          <w:lang w:eastAsia="en-GB"/>
        </w:rPr>
        <w:t>frail</w:t>
      </w:r>
      <w:r w:rsidR="00EB7067"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while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being</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in</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00854712" w:rsidRPr="006F4C96">
        <w:rPr>
          <w:rFonts w:ascii="Times New Roman" w:eastAsia="Times New Roman" w:hAnsi="Times New Roman" w:cs="Times New Roman"/>
          <w:szCs w:val="20"/>
          <w:lang w:eastAsia="en-GB"/>
        </w:rPr>
        <w:t xml:space="preserve">highest </w:t>
      </w:r>
      <w:r w:rsidRPr="006F4C96">
        <w:rPr>
          <w:rFonts w:ascii="Times New Roman" w:eastAsia="Times New Roman" w:hAnsi="Times New Roman" w:cs="Times New Roman"/>
          <w:szCs w:val="20"/>
          <w:lang w:eastAsia="en-GB"/>
        </w:rPr>
        <w:t>fifth</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social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deprivation</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 xml:space="preserve">involved </w:t>
      </w:r>
      <w:r w:rsidRPr="006F4C96">
        <w:rPr>
          <w:rFonts w:ascii="Times New Roman" w:eastAsia="Times New Roman" w:hAnsi="Times New Roman" w:cs="Times New Roman"/>
          <w:szCs w:val="20"/>
          <w:lang w:eastAsia="en-GB"/>
        </w:rPr>
        <w:t>a</w:t>
      </w:r>
      <w:r w:rsidR="00781E6B" w:rsidRPr="006F4C96">
        <w:rPr>
          <w:rFonts w:ascii="Times New Roman" w:eastAsia="Times New Roman" w:hAnsi="Times New Roman" w:cs="Times New Roman"/>
          <w:szCs w:val="20"/>
          <w:lang w:eastAsia="en-GB"/>
        </w:rPr>
        <w:t>bout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3</w:t>
      </w:r>
      <w:r w:rsidR="000E3CF2" w:rsidRPr="006F4C96">
        <w:rPr>
          <w:rFonts w:ascii="Times New Roman" w:eastAsia="Times New Roman" w:hAnsi="Times New Roman" w:cs="Times New Roman"/>
          <w:szCs w:val="20"/>
          <w:lang w:eastAsia="en-GB"/>
        </w:rPr>
        <w:t>.</w:t>
      </w:r>
      <w:r w:rsidR="00781E6B" w:rsidRPr="006F4C96">
        <w:rPr>
          <w:rFonts w:ascii="Times New Roman" w:eastAsia="Times New Roman" w:hAnsi="Times New Roman" w:cs="Times New Roman"/>
          <w:szCs w:val="20"/>
          <w:lang w:eastAsia="en-GB"/>
        </w:rPr>
        <w:t>5–</w:t>
      </w:r>
      <w:r w:rsidRPr="006F4C96">
        <w:rPr>
          <w:rFonts w:ascii="Times New Roman" w:eastAsia="Times New Roman" w:hAnsi="Times New Roman" w:cs="Times New Roman"/>
          <w:szCs w:val="20"/>
          <w:lang w:eastAsia="en-GB"/>
        </w:rPr>
        <w:t>fold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higher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risk</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than being in the lowest fifth</w:t>
      </w:r>
      <w:r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Each</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additional</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LTC</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was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associated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with</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sharply higher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risk</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frail</w:t>
      </w:r>
      <w:r w:rsidR="00781E6B" w:rsidRPr="006F4C96">
        <w:rPr>
          <w:rFonts w:ascii="Times New Roman" w:eastAsia="Times New Roman" w:hAnsi="Times New Roman" w:cs="Times New Roman"/>
          <w:szCs w:val="20"/>
          <w:lang w:eastAsia="en-GB"/>
        </w:rPr>
        <w:t>ty. In particular,</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participants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with</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 xml:space="preserve">at least </w:t>
      </w:r>
      <w:r w:rsidRPr="006F4C96">
        <w:rPr>
          <w:rFonts w:ascii="Times New Roman" w:eastAsia="Times New Roman" w:hAnsi="Times New Roman" w:cs="Times New Roman"/>
          <w:szCs w:val="20"/>
          <w:lang w:eastAsia="en-GB"/>
        </w:rPr>
        <w:t>four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LTCs</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had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w:t>
      </w:r>
      <w:r w:rsidR="00781E6B" w:rsidRPr="006F4C96">
        <w:rPr>
          <w:rFonts w:ascii="Times New Roman" w:eastAsia="Times New Roman" w:hAnsi="Times New Roman" w:cs="Times New Roman"/>
          <w:szCs w:val="20"/>
          <w:lang w:eastAsia="en-GB"/>
        </w:rPr>
        <w:t>bout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12</w:t>
      </w:r>
      <w:r w:rsidR="000E3CF2" w:rsidRPr="006F4C96">
        <w:rPr>
          <w:rFonts w:ascii="Times New Roman" w:eastAsia="Times New Roman" w:hAnsi="Times New Roman" w:cs="Times New Roman"/>
          <w:szCs w:val="20"/>
          <w:lang w:eastAsia="en-GB"/>
        </w:rPr>
        <w:t>.</w:t>
      </w:r>
      <w:r w:rsidR="00781E6B" w:rsidRPr="006F4C96">
        <w:rPr>
          <w:rFonts w:ascii="Times New Roman" w:eastAsia="Times New Roman" w:hAnsi="Times New Roman" w:cs="Times New Roman"/>
          <w:szCs w:val="20"/>
          <w:lang w:eastAsia="en-GB"/>
        </w:rPr>
        <w:t>5–</w:t>
      </w:r>
      <w:r w:rsidRPr="006F4C96">
        <w:rPr>
          <w:rFonts w:ascii="Times New Roman" w:eastAsia="Times New Roman" w:hAnsi="Times New Roman" w:cs="Times New Roman"/>
          <w:szCs w:val="20"/>
          <w:lang w:eastAsia="en-GB"/>
        </w:rPr>
        <w:t>fold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higher</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risk</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 xml:space="preserve">of frailty </w:t>
      </w:r>
      <w:r w:rsidRPr="006F4C96">
        <w:rPr>
          <w:rFonts w:ascii="Times New Roman" w:eastAsia="Times New Roman" w:hAnsi="Times New Roman" w:cs="Times New Roman"/>
          <w:szCs w:val="20"/>
          <w:lang w:eastAsia="en-GB"/>
        </w:rPr>
        <w:t>compared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with</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those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with</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no</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LTC</w:t>
      </w:r>
      <w:r w:rsidR="00781E6B"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b/>
          <w:szCs w:val="20"/>
          <w:lang w:eastAsia="en-GB"/>
        </w:rPr>
        <w:t>Table</w:t>
      </w:r>
      <w:r w:rsidR="000441F4" w:rsidRPr="006F4C96">
        <w:rPr>
          <w:rFonts w:ascii="Times New Roman" w:eastAsia="Times New Roman" w:hAnsi="Times New Roman" w:cs="Times New Roman"/>
          <w:b/>
          <w:szCs w:val="20"/>
          <w:lang w:eastAsia="en-GB"/>
        </w:rPr>
        <w:t xml:space="preserve"> </w:t>
      </w:r>
      <w:r w:rsidRPr="006F4C96">
        <w:rPr>
          <w:rFonts w:ascii="Times New Roman" w:eastAsia="Times New Roman" w:hAnsi="Times New Roman" w:cs="Times New Roman"/>
          <w:b/>
          <w:szCs w:val="20"/>
          <w:lang w:eastAsia="en-GB"/>
        </w:rPr>
        <w:t>4</w:t>
      </w:r>
      <w:r w:rsidR="00781E6B" w:rsidRPr="006F4C96">
        <w:rPr>
          <w:rFonts w:ascii="Times New Roman" w:eastAsia="Times New Roman" w:hAnsi="Times New Roman" w:cs="Times New Roman"/>
          <w:szCs w:val="20"/>
          <w:lang w:eastAsia="en-GB"/>
        </w:rPr>
        <w:t>)</w:t>
      </w:r>
      <w:r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Overall</w:t>
      </w:r>
      <w:r w:rsidRPr="006F4C96">
        <w:rPr>
          <w:rFonts w:ascii="Times New Roman" w:eastAsia="Times New Roman" w:hAnsi="Times New Roman" w:cs="Times New Roman"/>
          <w:szCs w:val="20"/>
          <w:lang w:eastAsia="en-GB"/>
        </w:rPr>
        <w:t>,</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variables</w:t>
      </w:r>
      <w:r w:rsidR="000441F4" w:rsidRPr="006F4C96">
        <w:rPr>
          <w:rFonts w:ascii="Times New Roman" w:eastAsia="Times New Roman" w:hAnsi="Times New Roman" w:cs="Times New Roman"/>
          <w:szCs w:val="20"/>
          <w:lang w:eastAsia="en-GB"/>
        </w:rPr>
        <w:t xml:space="preserve"> </w:t>
      </w:r>
      <w:r w:rsidR="00781E6B" w:rsidRPr="006F4C96">
        <w:rPr>
          <w:rFonts w:ascii="Times New Roman" w:eastAsia="Times New Roman" w:hAnsi="Times New Roman" w:cs="Times New Roman"/>
          <w:szCs w:val="20"/>
          <w:lang w:eastAsia="en-GB"/>
        </w:rPr>
        <w:t xml:space="preserve">we </w:t>
      </w:r>
      <w:r w:rsidRPr="006F4C96">
        <w:rPr>
          <w:rFonts w:ascii="Times New Roman" w:eastAsia="Times New Roman" w:hAnsi="Times New Roman" w:cs="Times New Roman"/>
          <w:szCs w:val="20"/>
          <w:lang w:eastAsia="en-GB"/>
        </w:rPr>
        <w:t>analysed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explained</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approximately</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6</w:t>
      </w:r>
      <w:r w:rsidR="000E3CF2" w:rsidRPr="006F4C96">
        <w:rPr>
          <w:rFonts w:ascii="Times New Roman" w:eastAsia="Times New Roman" w:hAnsi="Times New Roman" w:cs="Times New Roman"/>
          <w:szCs w:val="20"/>
          <w:lang w:eastAsia="en-GB"/>
        </w:rPr>
        <w:t>.</w:t>
      </w:r>
      <w:r w:rsidRPr="006F4C96">
        <w:rPr>
          <w:rFonts w:ascii="Times New Roman" w:eastAsia="Times New Roman" w:hAnsi="Times New Roman" w:cs="Times New Roman"/>
          <w:szCs w:val="20"/>
          <w:lang w:eastAsia="en-GB"/>
        </w:rPr>
        <w:t>6%</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variance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in</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distribution</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of</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the</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frailty</w:t>
      </w:r>
      <w:r w:rsidR="000441F4" w:rsidRPr="006F4C96">
        <w:rPr>
          <w:rFonts w:ascii="Times New Roman" w:eastAsia="Times New Roman" w:hAnsi="Times New Roman" w:cs="Times New Roman"/>
          <w:szCs w:val="20"/>
          <w:lang w:eastAsia="en-GB"/>
        </w:rPr>
        <w:t xml:space="preserve"> </w:t>
      </w:r>
      <w:r w:rsidRPr="006F4C96">
        <w:rPr>
          <w:rFonts w:ascii="Times New Roman" w:eastAsia="Times New Roman" w:hAnsi="Times New Roman" w:cs="Times New Roman"/>
          <w:szCs w:val="20"/>
          <w:lang w:eastAsia="en-GB"/>
        </w:rPr>
        <w:t>phenotypes.</w:t>
      </w:r>
      <w:r w:rsidR="000441F4" w:rsidRPr="006F4C96">
        <w:rPr>
          <w:rFonts w:ascii="Times New Roman" w:eastAsia="Times New Roman" w:hAnsi="Times New Roman" w:cs="Times New Roman"/>
          <w:szCs w:val="20"/>
          <w:lang w:eastAsia="en-GB"/>
        </w:rPr>
        <w:t xml:space="preserve"> </w:t>
      </w:r>
    </w:p>
    <w:p w14:paraId="10B2F693" w14:textId="1A195963" w:rsidR="00F61B23" w:rsidRPr="006F4C96" w:rsidRDefault="002E177E"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predicted</w:t>
      </w:r>
      <w:r w:rsidR="000441F4" w:rsidRPr="006F4C96">
        <w:rPr>
          <w:rFonts w:ascii="Times New Roman" w:hAnsi="Times New Roman" w:cs="Times New Roman"/>
          <w:szCs w:val="20"/>
        </w:rPr>
        <w:t xml:space="preserve"> </w:t>
      </w:r>
      <w:r w:rsidR="00704ECF" w:rsidRPr="006F4C96">
        <w:rPr>
          <w:rFonts w:ascii="Times New Roman" w:hAnsi="Times New Roman" w:cs="Times New Roman"/>
          <w:szCs w:val="20"/>
        </w:rPr>
        <w:t xml:space="preserve">absolute </w:t>
      </w:r>
      <w:r w:rsidR="00F61B23" w:rsidRPr="006F4C96">
        <w:rPr>
          <w:rFonts w:ascii="Times New Roman" w:hAnsi="Times New Roman" w:cs="Times New Roman"/>
          <w:szCs w:val="20"/>
        </w:rPr>
        <w:t xml:space="preserve">frequency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F61B23" w:rsidRPr="006F4C96">
        <w:rPr>
          <w:rFonts w:ascii="Times New Roman" w:hAnsi="Times New Roman" w:cs="Times New Roman"/>
          <w:szCs w:val="20"/>
        </w:rPr>
        <w:t>, derived from the full model,</w:t>
      </w:r>
      <w:r w:rsidR="000441F4" w:rsidRPr="006F4C96">
        <w:rPr>
          <w:rFonts w:ascii="Times New Roman" w:hAnsi="Times New Roman" w:cs="Times New Roman"/>
          <w:szCs w:val="20"/>
        </w:rPr>
        <w:t xml:space="preserve"> </w:t>
      </w:r>
      <w:r w:rsidRPr="006F4C96">
        <w:rPr>
          <w:rFonts w:ascii="Times New Roman" w:hAnsi="Times New Roman" w:cs="Times New Roman"/>
          <w:szCs w:val="20"/>
        </w:rPr>
        <w:t>across</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w:t>
      </w:r>
      <w:r w:rsidR="000441F4" w:rsidRPr="006F4C96">
        <w:rPr>
          <w:rFonts w:ascii="Times New Roman" w:hAnsi="Times New Roman" w:cs="Times New Roman"/>
          <w:szCs w:val="20"/>
        </w:rPr>
        <w:t xml:space="preserve"> </w:t>
      </w:r>
      <w:r w:rsidRPr="006F4C96">
        <w:rPr>
          <w:rFonts w:ascii="Times New Roman" w:hAnsi="Times New Roman" w:cs="Times New Roman"/>
          <w:szCs w:val="20"/>
        </w:rPr>
        <w:t>population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distribution</w:t>
      </w:r>
      <w:r w:rsidR="000441F4" w:rsidRPr="006F4C96">
        <w:rPr>
          <w:rFonts w:ascii="Times New Roman" w:hAnsi="Times New Roman" w:cs="Times New Roman"/>
          <w:szCs w:val="20"/>
        </w:rPr>
        <w:t xml:space="preserve">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00F61B23" w:rsidRPr="006F4C96">
        <w:rPr>
          <w:rFonts w:ascii="Times New Roman" w:hAnsi="Times New Roman" w:cs="Times New Roman"/>
          <w:szCs w:val="20"/>
        </w:rPr>
        <w:t>age</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stratified</w:t>
      </w:r>
      <w:r w:rsidR="000441F4" w:rsidRPr="006F4C96">
        <w:rPr>
          <w:rFonts w:ascii="Times New Roman" w:hAnsi="Times New Roman" w:cs="Times New Roman"/>
          <w:szCs w:val="20"/>
        </w:rPr>
        <w:t xml:space="preserve"> </w:t>
      </w:r>
      <w:r w:rsidRPr="006F4C96">
        <w:rPr>
          <w:rFonts w:ascii="Times New Roman" w:hAnsi="Times New Roman" w:cs="Times New Roman"/>
          <w:szCs w:val="20"/>
        </w:rPr>
        <w:t>by</w:t>
      </w:r>
      <w:r w:rsidR="000441F4" w:rsidRPr="006F4C96">
        <w:rPr>
          <w:rFonts w:ascii="Times New Roman" w:hAnsi="Times New Roman" w:cs="Times New Roman"/>
          <w:szCs w:val="20"/>
        </w:rPr>
        <w:t xml:space="preserve"> </w:t>
      </w:r>
      <w:r w:rsidR="00F61B23" w:rsidRPr="006F4C96">
        <w:rPr>
          <w:rFonts w:ascii="Times New Roman" w:hAnsi="Times New Roman" w:cs="Times New Roman"/>
          <w:szCs w:val="20"/>
        </w:rPr>
        <w:t>LTL</w:t>
      </w:r>
      <w:r w:rsidR="00F61B23" w:rsidRPr="006F4C96" w:rsidDel="00F61B23">
        <w:rPr>
          <w:rFonts w:ascii="Times New Roman" w:hAnsi="Times New Roman" w:cs="Times New Roman"/>
          <w:szCs w:val="20"/>
        </w:rPr>
        <w:t xml:space="preserve"> </w:t>
      </w:r>
      <w:r w:rsidRPr="006F4C96">
        <w:rPr>
          <w:rFonts w:ascii="Times New Roman" w:hAnsi="Times New Roman" w:cs="Times New Roman"/>
          <w:szCs w:val="20"/>
        </w:rPr>
        <w:t>and</w:t>
      </w:r>
      <w:r w:rsidR="000441F4" w:rsidRPr="006F4C96">
        <w:rPr>
          <w:rFonts w:ascii="Times New Roman" w:hAnsi="Times New Roman" w:cs="Times New Roman"/>
          <w:szCs w:val="20"/>
        </w:rPr>
        <w:t xml:space="preserve"> </w:t>
      </w:r>
      <w:r w:rsidRPr="006F4C96">
        <w:rPr>
          <w:rFonts w:ascii="Times New Roman" w:hAnsi="Times New Roman" w:cs="Times New Roman"/>
          <w:szCs w:val="20"/>
        </w:rPr>
        <w:t>accounting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for</w:t>
      </w:r>
      <w:r w:rsidR="000441F4" w:rsidRPr="006F4C96">
        <w:rPr>
          <w:rFonts w:ascii="Times New Roman" w:hAnsi="Times New Roman" w:cs="Times New Roman"/>
          <w:szCs w:val="20"/>
        </w:rPr>
        <w:t xml:space="preserve"> </w:t>
      </w:r>
      <w:r w:rsidRPr="006F4C96">
        <w:rPr>
          <w:rFonts w:ascii="Times New Roman" w:hAnsi="Times New Roman" w:cs="Times New Roman"/>
          <w:szCs w:val="20"/>
        </w:rPr>
        <w:t>other</w:t>
      </w:r>
      <w:r w:rsidR="000441F4" w:rsidRPr="006F4C96">
        <w:rPr>
          <w:rFonts w:ascii="Times New Roman" w:hAnsi="Times New Roman" w:cs="Times New Roman"/>
          <w:szCs w:val="20"/>
        </w:rPr>
        <w:t xml:space="preserve"> </w:t>
      </w:r>
      <w:r w:rsidRPr="006F4C96">
        <w:rPr>
          <w:rFonts w:ascii="Times New Roman" w:hAnsi="Times New Roman" w:cs="Times New Roman"/>
          <w:szCs w:val="20"/>
        </w:rPr>
        <w:t>risk</w:t>
      </w:r>
      <w:r w:rsidR="000441F4" w:rsidRPr="006F4C96">
        <w:rPr>
          <w:rFonts w:ascii="Times New Roman" w:hAnsi="Times New Roman" w:cs="Times New Roman"/>
          <w:szCs w:val="20"/>
        </w:rPr>
        <w:t xml:space="preserve"> </w:t>
      </w:r>
      <w:r w:rsidRPr="006F4C96">
        <w:rPr>
          <w:rFonts w:ascii="Times New Roman" w:hAnsi="Times New Roman" w:cs="Times New Roman"/>
          <w:szCs w:val="20"/>
        </w:rPr>
        <w:t>factors,</w:t>
      </w:r>
      <w:r w:rsidR="000441F4" w:rsidRPr="006F4C96">
        <w:rPr>
          <w:rFonts w:ascii="Times New Roman" w:hAnsi="Times New Roman" w:cs="Times New Roman"/>
          <w:szCs w:val="20"/>
        </w:rPr>
        <w:t xml:space="preserve"> </w:t>
      </w:r>
      <w:r w:rsidRPr="006F4C96">
        <w:rPr>
          <w:rFonts w:ascii="Times New Roman" w:hAnsi="Times New Roman" w:cs="Times New Roman"/>
          <w:szCs w:val="20"/>
        </w:rPr>
        <w:t>is</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shown</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b/>
          <w:szCs w:val="20"/>
        </w:rPr>
        <w:t>Figure</w:t>
      </w:r>
      <w:r w:rsidR="000441F4" w:rsidRPr="006F4C96">
        <w:rPr>
          <w:rFonts w:ascii="Times New Roman" w:hAnsi="Times New Roman" w:cs="Times New Roman"/>
          <w:b/>
          <w:szCs w:val="20"/>
        </w:rPr>
        <w:t xml:space="preserve"> </w:t>
      </w:r>
      <w:r w:rsidR="00975DA9" w:rsidRPr="006F4C96">
        <w:rPr>
          <w:rFonts w:ascii="Times New Roman" w:hAnsi="Times New Roman" w:cs="Times New Roman"/>
          <w:b/>
          <w:szCs w:val="20"/>
        </w:rPr>
        <w:t>2</w:t>
      </w:r>
      <w:r w:rsidRPr="006F4C96">
        <w:rPr>
          <w:rFonts w:ascii="Times New Roman" w:hAnsi="Times New Roman" w:cs="Times New Roman"/>
          <w:szCs w:val="20"/>
        </w:rPr>
        <w:t>.</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each</w:t>
      </w:r>
      <w:r w:rsidR="000441F4" w:rsidRPr="006F4C96">
        <w:rPr>
          <w:rFonts w:ascii="Times New Roman" w:hAnsi="Times New Roman" w:cs="Times New Roman"/>
          <w:szCs w:val="20"/>
        </w:rPr>
        <w:t xml:space="preserve"> </w:t>
      </w:r>
      <w:r w:rsidRPr="006F4C96">
        <w:rPr>
          <w:rFonts w:ascii="Times New Roman" w:hAnsi="Times New Roman" w:cs="Times New Roman"/>
          <w:szCs w:val="20"/>
        </w:rPr>
        <w:t>age</w:t>
      </w:r>
      <w:r w:rsidR="000441F4" w:rsidRPr="006F4C96">
        <w:rPr>
          <w:rFonts w:ascii="Times New Roman" w:hAnsi="Times New Roman" w:cs="Times New Roman"/>
          <w:szCs w:val="20"/>
        </w:rPr>
        <w:t xml:space="preserve"> </w:t>
      </w:r>
      <w:r w:rsidRPr="006F4C96">
        <w:rPr>
          <w:rFonts w:ascii="Times New Roman" w:hAnsi="Times New Roman" w:cs="Times New Roman"/>
          <w:szCs w:val="20"/>
        </w:rPr>
        <w:t>group,</w:t>
      </w:r>
      <w:r w:rsidR="000441F4" w:rsidRPr="006F4C96">
        <w:rPr>
          <w:rFonts w:ascii="Times New Roman" w:hAnsi="Times New Roman" w:cs="Times New Roman"/>
          <w:szCs w:val="20"/>
        </w:rPr>
        <w:t xml:space="preserve"> </w:t>
      </w:r>
      <w:r w:rsidRPr="006F4C96">
        <w:rPr>
          <w:rFonts w:ascii="Times New Roman" w:hAnsi="Times New Roman" w:cs="Times New Roman"/>
          <w:szCs w:val="20"/>
        </w:rPr>
        <w:t>there</w:t>
      </w:r>
      <w:r w:rsidR="000441F4" w:rsidRPr="006F4C96">
        <w:rPr>
          <w:rFonts w:ascii="Times New Roman" w:hAnsi="Times New Roman" w:cs="Times New Roman"/>
          <w:szCs w:val="20"/>
        </w:rPr>
        <w:t xml:space="preserve"> </w:t>
      </w:r>
      <w:r w:rsidR="00555211" w:rsidRPr="006F4C96">
        <w:rPr>
          <w:rFonts w:ascii="Times New Roman" w:hAnsi="Times New Roman" w:cs="Times New Roman"/>
          <w:szCs w:val="20"/>
        </w:rPr>
        <w:t>was</w:t>
      </w:r>
      <w:r w:rsidR="000441F4" w:rsidRPr="006F4C96">
        <w:rPr>
          <w:rFonts w:ascii="Times New Roman" w:hAnsi="Times New Roman" w:cs="Times New Roman"/>
          <w:szCs w:val="20"/>
        </w:rPr>
        <w:t xml:space="preserve"> </w:t>
      </w:r>
      <w:r w:rsidRPr="006F4C96">
        <w:rPr>
          <w:rFonts w:ascii="Times New Roman" w:hAnsi="Times New Roman" w:cs="Times New Roman"/>
          <w:szCs w:val="20"/>
        </w:rPr>
        <w:t>a</w:t>
      </w:r>
      <w:r w:rsidR="00965B98" w:rsidRPr="006F4C96">
        <w:rPr>
          <w:rFonts w:ascii="Times New Roman" w:hAnsi="Times New Roman" w:cs="Times New Roman"/>
          <w:szCs w:val="20"/>
        </w:rPr>
        <w:t xml:space="preserve"> </w:t>
      </w:r>
      <w:r w:rsidRPr="006F4C96">
        <w:rPr>
          <w:rFonts w:ascii="Times New Roman" w:hAnsi="Times New Roman" w:cs="Times New Roman"/>
          <w:szCs w:val="20"/>
        </w:rPr>
        <w:t>gradient</w:t>
      </w:r>
      <w:r w:rsidR="000441F4" w:rsidRPr="006F4C96">
        <w:rPr>
          <w:rFonts w:ascii="Times New Roman" w:hAnsi="Times New Roman" w:cs="Times New Roman"/>
          <w:szCs w:val="20"/>
        </w:rPr>
        <w:t xml:space="preserve"> </w:t>
      </w:r>
      <w:r w:rsidRPr="006F4C96">
        <w:rPr>
          <w:rFonts w:ascii="Times New Roman" w:hAnsi="Times New Roman" w:cs="Times New Roman"/>
          <w:szCs w:val="20"/>
        </w:rPr>
        <w:t>in</w:t>
      </w:r>
      <w:r w:rsidR="000441F4" w:rsidRPr="006F4C96">
        <w:rPr>
          <w:rFonts w:ascii="Times New Roman" w:hAnsi="Times New Roman" w:cs="Times New Roman"/>
          <w:szCs w:val="20"/>
        </w:rPr>
        <w:t xml:space="preserve"> </w:t>
      </w:r>
      <w:r w:rsidRPr="006F4C96">
        <w:rPr>
          <w:rFonts w:ascii="Times New Roman" w:hAnsi="Times New Roman" w:cs="Times New Roman"/>
          <w:szCs w:val="20"/>
        </w:rPr>
        <w:t>increased</w:t>
      </w:r>
      <w:r w:rsidR="000441F4" w:rsidRPr="006F4C96">
        <w:rPr>
          <w:rFonts w:ascii="Times New Roman" w:hAnsi="Times New Roman" w:cs="Times New Roman"/>
          <w:szCs w:val="20"/>
        </w:rPr>
        <w:t xml:space="preserve"> </w:t>
      </w:r>
      <w:r w:rsidR="006543CA" w:rsidRPr="006F4C96">
        <w:rPr>
          <w:rFonts w:ascii="Times New Roman" w:hAnsi="Times New Roman" w:cs="Times New Roman"/>
          <w:szCs w:val="20"/>
        </w:rPr>
        <w:t xml:space="preserve">frequency </w:t>
      </w:r>
      <w:r w:rsidRPr="006F4C96">
        <w:rPr>
          <w:rFonts w:ascii="Times New Roman" w:hAnsi="Times New Roman" w:cs="Times New Roman"/>
          <w:szCs w:val="20"/>
        </w:rPr>
        <w:t>of</w:t>
      </w:r>
      <w:r w:rsidR="000441F4" w:rsidRPr="006F4C96">
        <w:rPr>
          <w:rFonts w:ascii="Times New Roman" w:hAnsi="Times New Roman" w:cs="Times New Roman"/>
          <w:szCs w:val="20"/>
        </w:rPr>
        <w:t xml:space="preserve"> </w:t>
      </w:r>
      <w:r w:rsidRPr="006F4C96">
        <w:rPr>
          <w:rFonts w:ascii="Times New Roman" w:hAnsi="Times New Roman" w:cs="Times New Roman"/>
          <w:szCs w:val="20"/>
        </w:rPr>
        <w:t>frailty</w:t>
      </w:r>
      <w:r w:rsidR="000441F4" w:rsidRPr="006F4C96">
        <w:rPr>
          <w:rFonts w:ascii="Times New Roman" w:hAnsi="Times New Roman" w:cs="Times New Roman"/>
          <w:szCs w:val="20"/>
        </w:rPr>
        <w:t xml:space="preserve"> </w:t>
      </w:r>
      <w:r w:rsidRPr="006F4C96">
        <w:rPr>
          <w:rFonts w:ascii="Times New Roman" w:hAnsi="Times New Roman" w:cs="Times New Roman"/>
          <w:szCs w:val="20"/>
        </w:rPr>
        <w:t>moving</w:t>
      </w:r>
      <w:r w:rsidR="000441F4" w:rsidRPr="006F4C96">
        <w:rPr>
          <w:rFonts w:ascii="Times New Roman" w:hAnsi="Times New Roman" w:cs="Times New Roman"/>
          <w:szCs w:val="20"/>
        </w:rPr>
        <w:t xml:space="preserve"> </w:t>
      </w:r>
      <w:r w:rsidRPr="006F4C96">
        <w:rPr>
          <w:rFonts w:ascii="Times New Roman" w:hAnsi="Times New Roman" w:cs="Times New Roman"/>
          <w:szCs w:val="20"/>
        </w:rPr>
        <w:t>from</w:t>
      </w:r>
      <w:r w:rsidR="000441F4" w:rsidRPr="006F4C96">
        <w:rPr>
          <w:rFonts w:ascii="Times New Roman" w:hAnsi="Times New Roman" w:cs="Times New Roman"/>
          <w:szCs w:val="20"/>
        </w:rPr>
        <w:t xml:space="preserve"> </w:t>
      </w:r>
      <w:r w:rsidRPr="006F4C96">
        <w:rPr>
          <w:rFonts w:ascii="Times New Roman" w:hAnsi="Times New Roman" w:cs="Times New Roman"/>
          <w:szCs w:val="20"/>
        </w:rPr>
        <w:t>longer</w:t>
      </w:r>
      <w:r w:rsidR="000441F4" w:rsidRPr="006F4C96">
        <w:rPr>
          <w:rFonts w:ascii="Times New Roman" w:hAnsi="Times New Roman" w:cs="Times New Roman"/>
          <w:szCs w:val="20"/>
        </w:rPr>
        <w:t xml:space="preserve"> </w:t>
      </w:r>
      <w:r w:rsidRPr="006F4C96">
        <w:rPr>
          <w:rFonts w:ascii="Times New Roman" w:hAnsi="Times New Roman" w:cs="Times New Roman"/>
          <w:szCs w:val="20"/>
        </w:rPr>
        <w:t>to</w:t>
      </w:r>
      <w:r w:rsidR="000441F4" w:rsidRPr="006F4C96">
        <w:rPr>
          <w:rFonts w:ascii="Times New Roman" w:hAnsi="Times New Roman" w:cs="Times New Roman"/>
          <w:szCs w:val="20"/>
        </w:rPr>
        <w:t xml:space="preserve"> </w:t>
      </w:r>
      <w:r w:rsidRPr="006F4C96">
        <w:rPr>
          <w:rFonts w:ascii="Times New Roman" w:hAnsi="Times New Roman" w:cs="Times New Roman"/>
          <w:szCs w:val="20"/>
        </w:rPr>
        <w:t>shorter</w:t>
      </w:r>
      <w:r w:rsidR="000441F4" w:rsidRPr="006F4C96">
        <w:rPr>
          <w:rFonts w:ascii="Times New Roman" w:hAnsi="Times New Roman" w:cs="Times New Roman"/>
          <w:szCs w:val="20"/>
        </w:rPr>
        <w:t xml:space="preserve"> </w:t>
      </w:r>
      <w:r w:rsidR="00555211" w:rsidRPr="006F4C96">
        <w:rPr>
          <w:rFonts w:ascii="Times New Roman" w:hAnsi="Times New Roman" w:cs="Times New Roman"/>
          <w:szCs w:val="20"/>
        </w:rPr>
        <w:t>LTL</w:t>
      </w:r>
      <w:r w:rsidR="000441F4" w:rsidRPr="006F4C96">
        <w:rPr>
          <w:rFonts w:ascii="Times New Roman" w:hAnsi="Times New Roman" w:cs="Times New Roman"/>
          <w:szCs w:val="20"/>
        </w:rPr>
        <w:t xml:space="preserve"> </w:t>
      </w:r>
      <w:r w:rsidRPr="006F4C96">
        <w:rPr>
          <w:rFonts w:ascii="Times New Roman" w:hAnsi="Times New Roman" w:cs="Times New Roman"/>
          <w:szCs w:val="20"/>
        </w:rPr>
        <w:t>without</w:t>
      </w:r>
      <w:r w:rsidR="000441F4" w:rsidRPr="006F4C96">
        <w:rPr>
          <w:rFonts w:ascii="Times New Roman" w:hAnsi="Times New Roman" w:cs="Times New Roman"/>
          <w:szCs w:val="20"/>
        </w:rPr>
        <w:t xml:space="preserve"> </w:t>
      </w:r>
      <w:r w:rsidRPr="006F4C96">
        <w:rPr>
          <w:rFonts w:ascii="Times New Roman" w:hAnsi="Times New Roman" w:cs="Times New Roman"/>
          <w:szCs w:val="20"/>
        </w:rPr>
        <w:t>any</w:t>
      </w:r>
      <w:r w:rsidR="000441F4" w:rsidRPr="006F4C96">
        <w:rPr>
          <w:rFonts w:ascii="Times New Roman" w:hAnsi="Times New Roman" w:cs="Times New Roman"/>
          <w:szCs w:val="20"/>
        </w:rPr>
        <w:t xml:space="preserve"> </w:t>
      </w:r>
      <w:r w:rsidRPr="006F4C96">
        <w:rPr>
          <w:rFonts w:ascii="Times New Roman" w:hAnsi="Times New Roman" w:cs="Times New Roman"/>
          <w:szCs w:val="20"/>
        </w:rPr>
        <w:t>threshold</w:t>
      </w:r>
      <w:r w:rsidR="000441F4" w:rsidRPr="006F4C96">
        <w:rPr>
          <w:rFonts w:ascii="Times New Roman" w:hAnsi="Times New Roman" w:cs="Times New Roman"/>
          <w:szCs w:val="20"/>
        </w:rPr>
        <w:t xml:space="preserve"> </w:t>
      </w:r>
      <w:r w:rsidRPr="006F4C96">
        <w:rPr>
          <w:rFonts w:ascii="Times New Roman" w:hAnsi="Times New Roman" w:cs="Times New Roman"/>
          <w:szCs w:val="20"/>
        </w:rPr>
        <w:t>effect.</w:t>
      </w:r>
      <w:r w:rsidR="00D211F9" w:rsidRPr="006F4C96">
        <w:rPr>
          <w:rFonts w:ascii="Times New Roman" w:hAnsi="Times New Roman" w:cs="Times New Roman"/>
          <w:szCs w:val="20"/>
        </w:rPr>
        <w:t xml:space="preserve"> </w:t>
      </w:r>
      <w:r w:rsidR="00925313" w:rsidRPr="006F4C96">
        <w:rPr>
          <w:rFonts w:ascii="Times New Roman" w:hAnsi="Times New Roman" w:cs="Times New Roman"/>
          <w:szCs w:val="20"/>
        </w:rPr>
        <w:t xml:space="preserve">The </w:t>
      </w:r>
      <w:r w:rsidR="00DE5C1C" w:rsidRPr="006F4C96">
        <w:rPr>
          <w:rFonts w:ascii="Times New Roman" w:hAnsi="Times New Roman" w:cs="Times New Roman"/>
          <w:szCs w:val="20"/>
        </w:rPr>
        <w:t>strength</w:t>
      </w:r>
      <w:r w:rsidR="00925313" w:rsidRPr="006F4C96">
        <w:rPr>
          <w:rFonts w:ascii="Times New Roman" w:hAnsi="Times New Roman" w:cs="Times New Roman"/>
          <w:szCs w:val="20"/>
        </w:rPr>
        <w:t xml:space="preserve"> of the association between LTL and frailty appeared similar in each of the different age categories. Thus,</w:t>
      </w:r>
      <w:r w:rsidR="00FB0B62" w:rsidRPr="006F4C96">
        <w:rPr>
          <w:rFonts w:ascii="Times New Roman" w:hAnsi="Times New Roman" w:cs="Times New Roman"/>
          <w:szCs w:val="20"/>
        </w:rPr>
        <w:t xml:space="preserve"> </w:t>
      </w:r>
      <w:r w:rsidR="00555211" w:rsidRPr="006F4C96">
        <w:rPr>
          <w:rFonts w:ascii="Times New Roman" w:hAnsi="Times New Roman" w:cs="Times New Roman"/>
          <w:szCs w:val="20"/>
        </w:rPr>
        <w:t xml:space="preserve">in each age group, </w:t>
      </w:r>
      <w:r w:rsidR="00F61B23" w:rsidRPr="006F4C96">
        <w:rPr>
          <w:rFonts w:ascii="Times New Roman" w:hAnsi="Times New Roman" w:cs="Times New Roman"/>
        </w:rPr>
        <w:t>the frequency of frailty was</w:t>
      </w:r>
      <w:r w:rsidR="00D211F9" w:rsidRPr="006F4C96">
        <w:rPr>
          <w:rFonts w:ascii="Times New Roman" w:hAnsi="Times New Roman" w:cs="Times New Roman"/>
        </w:rPr>
        <w:t xml:space="preserve"> </w:t>
      </w:r>
      <w:r w:rsidR="00F61B23" w:rsidRPr="006F4C96">
        <w:rPr>
          <w:rFonts w:ascii="Times New Roman" w:hAnsi="Times New Roman" w:cs="Times New Roman"/>
        </w:rPr>
        <w:t xml:space="preserve">about 15% higher in participants with LTL one SD shorter vs one SD longer </w:t>
      </w:r>
      <w:r w:rsidR="00DE5C1C" w:rsidRPr="006F4C96">
        <w:rPr>
          <w:rFonts w:ascii="Times New Roman" w:hAnsi="Times New Roman" w:cs="Times New Roman"/>
        </w:rPr>
        <w:t>than</w:t>
      </w:r>
      <w:r w:rsidR="007040EB" w:rsidRPr="006F4C96">
        <w:rPr>
          <w:rFonts w:ascii="Times New Roman" w:hAnsi="Times New Roman" w:cs="Times New Roman"/>
        </w:rPr>
        <w:t xml:space="preserve"> the mean and about 33% higher </w:t>
      </w:r>
      <w:r w:rsidR="004A632A" w:rsidRPr="006F4C96">
        <w:rPr>
          <w:rFonts w:ascii="Times New Roman" w:hAnsi="Times New Roman" w:cs="Times New Roman"/>
        </w:rPr>
        <w:t xml:space="preserve">between </w:t>
      </w:r>
      <w:r w:rsidR="007040EB" w:rsidRPr="006F4C96">
        <w:rPr>
          <w:rFonts w:ascii="Times New Roman" w:hAnsi="Times New Roman" w:cs="Times New Roman"/>
        </w:rPr>
        <w:t>two SD either side of the mean (</w:t>
      </w:r>
      <w:r w:rsidR="00975DA9" w:rsidRPr="006F4C96">
        <w:rPr>
          <w:rFonts w:ascii="Times New Roman" w:hAnsi="Times New Roman" w:cs="Times New Roman"/>
          <w:b/>
        </w:rPr>
        <w:t>Figure 2</w:t>
      </w:r>
      <w:r w:rsidR="007040EB" w:rsidRPr="006F4C96">
        <w:rPr>
          <w:rFonts w:ascii="Times New Roman" w:hAnsi="Times New Roman" w:cs="Times New Roman"/>
        </w:rPr>
        <w:t xml:space="preserve">). </w:t>
      </w:r>
    </w:p>
    <w:p w14:paraId="5AB067D4" w14:textId="79085861" w:rsidR="00734CF6" w:rsidRPr="006F4C96" w:rsidRDefault="00E24F70" w:rsidP="008C738E">
      <w:pPr>
        <w:tabs>
          <w:tab w:val="left" w:pos="4536"/>
        </w:tabs>
        <w:spacing w:after="0" w:line="480" w:lineRule="auto"/>
        <w:ind w:firstLine="567"/>
        <w:rPr>
          <w:rFonts w:ascii="Times New Roman" w:eastAsia="Times New Roman" w:hAnsi="Times New Roman" w:cs="Times New Roman"/>
          <w:szCs w:val="20"/>
          <w:lang w:eastAsia="en-GB"/>
        </w:rPr>
      </w:pPr>
      <w:r w:rsidRPr="006F4C96">
        <w:rPr>
          <w:rFonts w:ascii="Times New Roman" w:hAnsi="Times New Roman" w:cs="Times New Roman"/>
          <w:szCs w:val="20"/>
        </w:rPr>
        <w:t xml:space="preserve">In the causal inference analysis there was </w:t>
      </w:r>
      <w:r w:rsidR="00375F4B" w:rsidRPr="006F4C96">
        <w:rPr>
          <w:rFonts w:ascii="Times New Roman" w:hAnsi="Times New Roman" w:cs="Times New Roman"/>
          <w:szCs w:val="20"/>
        </w:rPr>
        <w:t xml:space="preserve">a similar </w:t>
      </w:r>
      <w:r w:rsidRPr="006F4C96">
        <w:rPr>
          <w:rFonts w:ascii="Times New Roman" w:hAnsi="Times New Roman" w:cs="Times New Roman"/>
          <w:szCs w:val="20"/>
        </w:rPr>
        <w:t xml:space="preserve">trend towards an association between </w:t>
      </w:r>
      <w:r w:rsidR="00375F4B" w:rsidRPr="006F4C96">
        <w:rPr>
          <w:rFonts w:ascii="Times New Roman" w:hAnsi="Times New Roman" w:cs="Times New Roman"/>
          <w:szCs w:val="20"/>
        </w:rPr>
        <w:t xml:space="preserve">shorter </w:t>
      </w:r>
      <w:r w:rsidRPr="006F4C96">
        <w:rPr>
          <w:rFonts w:ascii="Times New Roman" w:hAnsi="Times New Roman" w:cs="Times New Roman"/>
          <w:szCs w:val="20"/>
        </w:rPr>
        <w:t xml:space="preserve">LTL and </w:t>
      </w:r>
      <w:r w:rsidR="00375F4B" w:rsidRPr="006F4C96">
        <w:rPr>
          <w:rFonts w:ascii="Times New Roman" w:hAnsi="Times New Roman" w:cs="Times New Roman"/>
          <w:szCs w:val="20"/>
        </w:rPr>
        <w:t xml:space="preserve">greater </w:t>
      </w:r>
      <w:r w:rsidRPr="006F4C96">
        <w:rPr>
          <w:rFonts w:ascii="Times New Roman" w:hAnsi="Times New Roman" w:cs="Times New Roman"/>
          <w:szCs w:val="20"/>
        </w:rPr>
        <w:t>risk of frailty with a point estimate that overlapped with the observational association (</w:t>
      </w:r>
      <w:r w:rsidRPr="006F4C96">
        <w:rPr>
          <w:rFonts w:ascii="Times New Roman" w:hAnsi="Times New Roman" w:cs="Times New Roman"/>
          <w:b/>
          <w:szCs w:val="20"/>
        </w:rPr>
        <w:t xml:space="preserve">Figure </w:t>
      </w:r>
      <w:r w:rsidR="00E53280" w:rsidRPr="006F4C96">
        <w:rPr>
          <w:rFonts w:ascii="Times New Roman" w:hAnsi="Times New Roman" w:cs="Times New Roman"/>
          <w:b/>
          <w:szCs w:val="20"/>
        </w:rPr>
        <w:t>3</w:t>
      </w:r>
      <w:r w:rsidRPr="006F4C96">
        <w:rPr>
          <w:rFonts w:ascii="Times New Roman" w:hAnsi="Times New Roman" w:cs="Times New Roman"/>
          <w:szCs w:val="20"/>
        </w:rPr>
        <w:t xml:space="preserve">). However, the 95% </w:t>
      </w:r>
      <w:r w:rsidR="00975DA9" w:rsidRPr="006F4C96">
        <w:rPr>
          <w:rFonts w:ascii="Times New Roman" w:hAnsi="Times New Roman" w:cs="Times New Roman"/>
          <w:szCs w:val="20"/>
        </w:rPr>
        <w:t>confidence intervals were wide</w:t>
      </w:r>
      <w:r w:rsidR="00024173" w:rsidRPr="006F4C96">
        <w:rPr>
          <w:rFonts w:ascii="Times New Roman" w:hAnsi="Times New Roman" w:cs="Times New Roman"/>
          <w:szCs w:val="20"/>
        </w:rPr>
        <w:t xml:space="preserve"> and the association was not significant</w:t>
      </w:r>
      <w:r w:rsidR="007040EB" w:rsidRPr="006F4C96">
        <w:rPr>
          <w:rFonts w:ascii="Times New Roman" w:hAnsi="Times New Roman" w:cs="Times New Roman"/>
          <w:szCs w:val="20"/>
        </w:rPr>
        <w:t xml:space="preserve"> (</w:t>
      </w:r>
      <w:r w:rsidR="00414572" w:rsidRPr="006F4C96">
        <w:rPr>
          <w:rFonts w:ascii="Times New Roman" w:hAnsi="Times New Roman" w:cs="Times New Roman"/>
          <w:szCs w:val="20"/>
        </w:rPr>
        <w:t>OR</w:t>
      </w:r>
      <w:r w:rsidR="003E21FF" w:rsidRPr="006F4C96">
        <w:rPr>
          <w:rFonts w:ascii="Times New Roman" w:hAnsi="Times New Roman" w:cs="Times New Roman"/>
          <w:szCs w:val="20"/>
        </w:rPr>
        <w:t xml:space="preserve"> 1</w:t>
      </w:r>
      <w:r w:rsidR="000E3CF2" w:rsidRPr="006F4C96">
        <w:rPr>
          <w:rFonts w:ascii="Times New Roman" w:hAnsi="Times New Roman" w:cs="Times New Roman"/>
          <w:szCs w:val="20"/>
        </w:rPr>
        <w:t>.</w:t>
      </w:r>
      <w:r w:rsidR="003E21FF" w:rsidRPr="006F4C96">
        <w:rPr>
          <w:rFonts w:ascii="Times New Roman" w:hAnsi="Times New Roman" w:cs="Times New Roman"/>
          <w:szCs w:val="20"/>
        </w:rPr>
        <w:t>08 (0</w:t>
      </w:r>
      <w:r w:rsidR="000E3CF2" w:rsidRPr="006F4C96">
        <w:rPr>
          <w:rFonts w:ascii="Times New Roman" w:hAnsi="Times New Roman" w:cs="Times New Roman"/>
          <w:szCs w:val="20"/>
        </w:rPr>
        <w:t>.</w:t>
      </w:r>
      <w:r w:rsidR="003E21FF" w:rsidRPr="006F4C96">
        <w:rPr>
          <w:rFonts w:ascii="Times New Roman" w:hAnsi="Times New Roman" w:cs="Times New Roman"/>
          <w:szCs w:val="20"/>
        </w:rPr>
        <w:t>98; 1</w:t>
      </w:r>
      <w:r w:rsidR="000E3CF2" w:rsidRPr="006F4C96">
        <w:rPr>
          <w:rFonts w:ascii="Times New Roman" w:hAnsi="Times New Roman" w:cs="Times New Roman"/>
          <w:szCs w:val="20"/>
        </w:rPr>
        <w:t>.</w:t>
      </w:r>
      <w:r w:rsidR="003E21FF" w:rsidRPr="006F4C96">
        <w:rPr>
          <w:rFonts w:ascii="Times New Roman" w:hAnsi="Times New Roman" w:cs="Times New Roman"/>
          <w:szCs w:val="20"/>
        </w:rPr>
        <w:t xml:space="preserve">19) per one </w:t>
      </w:r>
      <w:r w:rsidR="007040EB" w:rsidRPr="006F4C96">
        <w:rPr>
          <w:rFonts w:ascii="Times New Roman" w:hAnsi="Times New Roman" w:cs="Times New Roman"/>
          <w:szCs w:val="20"/>
        </w:rPr>
        <w:t>SD shorter genetically–determined LTL (p=0</w:t>
      </w:r>
      <w:r w:rsidR="000E3CF2" w:rsidRPr="006F4C96">
        <w:rPr>
          <w:rFonts w:ascii="Times New Roman" w:hAnsi="Times New Roman" w:cs="Times New Roman"/>
          <w:szCs w:val="20"/>
        </w:rPr>
        <w:t>.</w:t>
      </w:r>
      <w:r w:rsidR="007040EB" w:rsidRPr="006F4C96">
        <w:rPr>
          <w:rFonts w:ascii="Times New Roman" w:hAnsi="Times New Roman" w:cs="Times New Roman"/>
          <w:szCs w:val="20"/>
        </w:rPr>
        <w:t>13) from the MR</w:t>
      </w:r>
      <w:r w:rsidR="00F043E9" w:rsidRPr="006F4C96">
        <w:rPr>
          <w:rFonts w:ascii="Times New Roman" w:hAnsi="Times New Roman" w:cs="Times New Roman"/>
          <w:szCs w:val="20"/>
        </w:rPr>
        <w:t>–</w:t>
      </w:r>
      <w:r w:rsidR="007040EB" w:rsidRPr="006F4C96">
        <w:rPr>
          <w:rFonts w:ascii="Times New Roman" w:hAnsi="Times New Roman" w:cs="Times New Roman"/>
          <w:szCs w:val="20"/>
        </w:rPr>
        <w:t>Median model)</w:t>
      </w:r>
      <w:r w:rsidR="00024173" w:rsidRPr="006F4C96">
        <w:rPr>
          <w:rFonts w:ascii="Times New Roman" w:hAnsi="Times New Roman" w:cs="Times New Roman"/>
          <w:szCs w:val="20"/>
        </w:rPr>
        <w:t>.</w:t>
      </w:r>
      <w:r w:rsidR="00734CF6" w:rsidRPr="006F4C96">
        <w:rPr>
          <w:rFonts w:ascii="Times New Roman" w:hAnsi="Times New Roman" w:cs="Times New Roman"/>
          <w:szCs w:val="20"/>
        </w:rPr>
        <w:t xml:space="preserve"> </w:t>
      </w:r>
      <w:r w:rsidR="00024173" w:rsidRPr="006F4C96">
        <w:rPr>
          <w:rFonts w:ascii="Times New Roman" w:hAnsi="Times New Roman" w:cs="Times New Roman"/>
          <w:szCs w:val="20"/>
        </w:rPr>
        <w:t xml:space="preserve">Different MR approaches (see </w:t>
      </w:r>
      <w:r w:rsidR="00024173" w:rsidRPr="006F4C96">
        <w:rPr>
          <w:rFonts w:ascii="Times New Roman" w:hAnsi="Times New Roman" w:cs="Times New Roman"/>
          <w:b/>
          <w:szCs w:val="20"/>
        </w:rPr>
        <w:t>Supplementary Methods</w:t>
      </w:r>
      <w:r w:rsidR="00024173" w:rsidRPr="006F4C96">
        <w:rPr>
          <w:rFonts w:ascii="Times New Roman" w:hAnsi="Times New Roman" w:cs="Times New Roman"/>
          <w:szCs w:val="20"/>
        </w:rPr>
        <w:t xml:space="preserve">) </w:t>
      </w:r>
      <w:r w:rsidR="00734CF6" w:rsidRPr="006F4C96">
        <w:rPr>
          <w:rFonts w:ascii="Times New Roman" w:hAnsi="Times New Roman" w:cs="Times New Roman"/>
          <w:szCs w:val="20"/>
        </w:rPr>
        <w:t>yielded similar</w:t>
      </w:r>
      <w:r w:rsidR="00024173" w:rsidRPr="006F4C96">
        <w:rPr>
          <w:rFonts w:ascii="Times New Roman" w:hAnsi="Times New Roman" w:cs="Times New Roman"/>
          <w:szCs w:val="20"/>
        </w:rPr>
        <w:t xml:space="preserve"> results (</w:t>
      </w:r>
      <w:r w:rsidR="00024173" w:rsidRPr="006F4C96">
        <w:rPr>
          <w:rFonts w:ascii="Times New Roman" w:hAnsi="Times New Roman" w:cs="Times New Roman"/>
          <w:b/>
          <w:szCs w:val="20"/>
        </w:rPr>
        <w:t xml:space="preserve">Figure </w:t>
      </w:r>
      <w:r w:rsidR="00E53280" w:rsidRPr="006F4C96">
        <w:rPr>
          <w:rFonts w:ascii="Times New Roman" w:hAnsi="Times New Roman" w:cs="Times New Roman"/>
          <w:b/>
          <w:szCs w:val="20"/>
        </w:rPr>
        <w:t>3</w:t>
      </w:r>
      <w:r w:rsidR="00024173" w:rsidRPr="006F4C96">
        <w:rPr>
          <w:rFonts w:ascii="Times New Roman" w:hAnsi="Times New Roman" w:cs="Times New Roman"/>
          <w:szCs w:val="20"/>
        </w:rPr>
        <w:t>)</w:t>
      </w:r>
      <w:r w:rsidR="00734CF6" w:rsidRPr="006F4C96">
        <w:rPr>
          <w:rFonts w:ascii="Times New Roman" w:hAnsi="Times New Roman" w:cs="Times New Roman"/>
          <w:szCs w:val="20"/>
        </w:rPr>
        <w:t>;</w:t>
      </w:r>
      <w:r w:rsidR="00024173" w:rsidRPr="006F4C96">
        <w:rPr>
          <w:rFonts w:ascii="Times New Roman" w:hAnsi="Times New Roman" w:cs="Times New Roman"/>
          <w:szCs w:val="20"/>
        </w:rPr>
        <w:t xml:space="preserve"> in particular, there was no evidence of substantial pleiotropy</w:t>
      </w:r>
      <w:r w:rsidR="009132B9" w:rsidRPr="006F4C96">
        <w:rPr>
          <w:rFonts w:ascii="Times New Roman" w:hAnsi="Times New Roman" w:cs="Times New Roman"/>
          <w:szCs w:val="20"/>
        </w:rPr>
        <w:t xml:space="preserve"> (MR Egger intercept’s p</w:t>
      </w:r>
      <w:r w:rsidR="00375F4B" w:rsidRPr="006F4C96">
        <w:rPr>
          <w:rFonts w:ascii="Times New Roman" w:hAnsi="Times New Roman" w:cs="Times New Roman"/>
          <w:szCs w:val="20"/>
        </w:rPr>
        <w:t>–</w:t>
      </w:r>
      <w:r w:rsidR="009132B9" w:rsidRPr="006F4C96">
        <w:rPr>
          <w:rFonts w:ascii="Times New Roman" w:hAnsi="Times New Roman" w:cs="Times New Roman"/>
          <w:szCs w:val="20"/>
        </w:rPr>
        <w:t>value=0</w:t>
      </w:r>
      <w:r w:rsidR="000E3CF2" w:rsidRPr="006F4C96">
        <w:rPr>
          <w:rFonts w:ascii="Times New Roman" w:hAnsi="Times New Roman" w:cs="Times New Roman"/>
          <w:szCs w:val="20"/>
        </w:rPr>
        <w:t>.</w:t>
      </w:r>
      <w:r w:rsidR="009132B9" w:rsidRPr="006F4C96">
        <w:rPr>
          <w:rFonts w:ascii="Times New Roman" w:hAnsi="Times New Roman" w:cs="Times New Roman"/>
          <w:szCs w:val="20"/>
        </w:rPr>
        <w:t>60)</w:t>
      </w:r>
      <w:r w:rsidR="00024173" w:rsidRPr="006F4C96">
        <w:rPr>
          <w:rFonts w:ascii="Times New Roman" w:hAnsi="Times New Roman" w:cs="Times New Roman"/>
          <w:szCs w:val="20"/>
        </w:rPr>
        <w:t>. Adjustment for additional covariates did not attenuate the trend (</w:t>
      </w:r>
      <w:r w:rsidR="00024173" w:rsidRPr="006F4C96">
        <w:rPr>
          <w:rFonts w:ascii="Times New Roman" w:hAnsi="Times New Roman" w:cs="Times New Roman"/>
          <w:b/>
          <w:szCs w:val="20"/>
        </w:rPr>
        <w:t xml:space="preserve">Figure </w:t>
      </w:r>
      <w:r w:rsidR="00E53280" w:rsidRPr="006F4C96">
        <w:rPr>
          <w:rFonts w:ascii="Times New Roman" w:hAnsi="Times New Roman" w:cs="Times New Roman"/>
          <w:b/>
          <w:szCs w:val="20"/>
        </w:rPr>
        <w:t>3</w:t>
      </w:r>
      <w:r w:rsidR="00024173" w:rsidRPr="006F4C96">
        <w:rPr>
          <w:rFonts w:ascii="Times New Roman" w:hAnsi="Times New Roman" w:cs="Times New Roman"/>
          <w:szCs w:val="20"/>
        </w:rPr>
        <w:t>)</w:t>
      </w:r>
      <w:r w:rsidR="00404058" w:rsidRPr="006F4C96">
        <w:rPr>
          <w:rFonts w:ascii="Times New Roman" w:hAnsi="Times New Roman" w:cs="Times New Roman"/>
          <w:szCs w:val="20"/>
        </w:rPr>
        <w:t>, whilst we have found no evidence of a quadratic trend in the association between the genetically-determined LTL and frailty (Quadratic p=0.506)</w:t>
      </w:r>
      <w:r w:rsidR="00375F4B" w:rsidRPr="006F4C96">
        <w:rPr>
          <w:rFonts w:ascii="Times New Roman" w:hAnsi="Times New Roman" w:cs="Times New Roman"/>
          <w:szCs w:val="20"/>
        </w:rPr>
        <w:t>.</w:t>
      </w:r>
    </w:p>
    <w:p w14:paraId="7B65792E" w14:textId="77777777" w:rsidR="009B5530" w:rsidRPr="006F4C96" w:rsidRDefault="009B5530" w:rsidP="008C738E">
      <w:pPr>
        <w:spacing w:after="0" w:line="480" w:lineRule="auto"/>
        <w:rPr>
          <w:rFonts w:ascii="Times New Roman" w:hAnsi="Times New Roman" w:cs="Times New Roman"/>
          <w:b/>
          <w:sz w:val="24"/>
          <w:szCs w:val="20"/>
        </w:rPr>
      </w:pPr>
    </w:p>
    <w:p w14:paraId="1679F78B" w14:textId="46A67864" w:rsidR="00A80810" w:rsidRPr="006F4C96" w:rsidRDefault="00A80810" w:rsidP="008C738E">
      <w:pPr>
        <w:spacing w:after="0" w:line="480" w:lineRule="auto"/>
        <w:rPr>
          <w:rFonts w:ascii="Times New Roman" w:hAnsi="Times New Roman" w:cs="Times New Roman"/>
          <w:b/>
          <w:sz w:val="24"/>
          <w:szCs w:val="20"/>
        </w:rPr>
      </w:pPr>
      <w:r w:rsidRPr="006F4C96">
        <w:rPr>
          <w:rFonts w:ascii="Times New Roman" w:hAnsi="Times New Roman" w:cs="Times New Roman"/>
          <w:b/>
          <w:sz w:val="24"/>
          <w:szCs w:val="20"/>
        </w:rPr>
        <w:t>Discussion</w:t>
      </w:r>
    </w:p>
    <w:p w14:paraId="2737DD3B" w14:textId="560C3F42"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Utilising the powerful resource of the UK Biobank, in which we measured LTL in over 472,000 participants, we report a significant association between shorter LTL and greater risk of frailty in a contemporary population. We demonstrate that progressively shorter telomere lengths associate with non–frailty through pre–frailty to frailty across all age groups. The association between shorter LTL and greater risk of frailty remained significant after adjustment for other established determinants of frailty such as age, sex, alcohol intake, smoking, obesity, deprivation and multimorbidity. Furthermore, the associations of shorter LTL with pre</w:t>
      </w:r>
      <w:r w:rsidR="001A3B73" w:rsidRPr="006F4C96">
        <w:rPr>
          <w:rFonts w:ascii="Times New Roman" w:hAnsi="Times New Roman" w:cs="Times New Roman"/>
          <w:szCs w:val="20"/>
        </w:rPr>
        <w:t>–</w:t>
      </w:r>
      <w:r w:rsidRPr="006F4C96">
        <w:rPr>
          <w:rFonts w:ascii="Times New Roman" w:hAnsi="Times New Roman" w:cs="Times New Roman"/>
          <w:szCs w:val="20"/>
        </w:rPr>
        <w:t xml:space="preserve">frailty and frailty were at least partly independent of the potential associations between variation in LTL and 123 prevalent diseases spanning multiple body systems. </w:t>
      </w:r>
    </w:p>
    <w:p w14:paraId="4C05EBB2" w14:textId="75AC3480" w:rsidR="000902C1"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A few studies have previously examined the relationship between frailty and telomere with variable findings. Two recent meta</w:t>
      </w:r>
      <w:r w:rsidR="001A3B73" w:rsidRPr="006F4C96">
        <w:rPr>
          <w:rFonts w:ascii="Times New Roman" w:hAnsi="Times New Roman" w:cs="Times New Roman"/>
          <w:szCs w:val="20"/>
        </w:rPr>
        <w:t>–</w:t>
      </w:r>
      <w:r w:rsidRPr="006F4C96">
        <w:rPr>
          <w:rFonts w:ascii="Times New Roman" w:hAnsi="Times New Roman" w:cs="Times New Roman"/>
          <w:szCs w:val="20"/>
        </w:rPr>
        <w:t>analyses of these studies, including up to 3</w:t>
      </w:r>
      <w:r w:rsidR="00D13D15" w:rsidRPr="006F4C96">
        <w:rPr>
          <w:rFonts w:ascii="Times New Roman" w:hAnsi="Times New Roman" w:cs="Times New Roman"/>
          <w:szCs w:val="20"/>
        </w:rPr>
        <w:t>,</w:t>
      </w:r>
      <w:r w:rsidRPr="006F4C96">
        <w:rPr>
          <w:rFonts w:ascii="Times New Roman" w:hAnsi="Times New Roman" w:cs="Times New Roman"/>
          <w:szCs w:val="20"/>
        </w:rPr>
        <w:t>268</w:t>
      </w:r>
      <w:r w:rsidR="009E3B99" w:rsidRPr="006F4C96">
        <w:rPr>
          <w:rFonts w:ascii="Times New Roman" w:hAnsi="Times New Roman" w:cs="Times New Roman"/>
          <w:szCs w:val="20"/>
        </w:rPr>
        <w:t xml:space="preserve"> [</w:t>
      </w:r>
      <w:r w:rsidR="00D13D15" w:rsidRPr="006F4C96">
        <w:rPr>
          <w:rFonts w:ascii="Times New Roman" w:hAnsi="Times New Roman" w:cs="Times New Roman"/>
          <w:szCs w:val="20"/>
        </w:rPr>
        <w:t>14</w:t>
      </w:r>
      <w:r w:rsidR="009E3B99" w:rsidRPr="006F4C96">
        <w:rPr>
          <w:rFonts w:ascii="Times New Roman" w:hAnsi="Times New Roman" w:cs="Times New Roman"/>
          <w:szCs w:val="20"/>
        </w:rPr>
        <w:t>]</w:t>
      </w:r>
      <w:r w:rsidRPr="006F4C96">
        <w:rPr>
          <w:rFonts w:ascii="Times New Roman" w:hAnsi="Times New Roman" w:cs="Times New Roman"/>
          <w:szCs w:val="20"/>
        </w:rPr>
        <w:t xml:space="preserve"> and 10,079</w:t>
      </w:r>
      <w:r w:rsidR="009E3B99" w:rsidRPr="006F4C96">
        <w:rPr>
          <w:rFonts w:ascii="Times New Roman" w:hAnsi="Times New Roman" w:cs="Times New Roman"/>
          <w:szCs w:val="20"/>
        </w:rPr>
        <w:t xml:space="preserve"> [</w:t>
      </w:r>
      <w:r w:rsidR="00D13D15" w:rsidRPr="006F4C96">
        <w:rPr>
          <w:rFonts w:ascii="Times New Roman" w:hAnsi="Times New Roman" w:cs="Times New Roman"/>
          <w:szCs w:val="20"/>
        </w:rPr>
        <w:t>16</w:t>
      </w:r>
      <w:r w:rsidR="009E3B99" w:rsidRPr="006F4C96">
        <w:rPr>
          <w:rFonts w:ascii="Times New Roman" w:hAnsi="Times New Roman" w:cs="Times New Roman"/>
          <w:szCs w:val="20"/>
        </w:rPr>
        <w:t>]</w:t>
      </w:r>
      <w:r w:rsidR="00D13D15" w:rsidRPr="006F4C96">
        <w:rPr>
          <w:rFonts w:ascii="Times New Roman" w:hAnsi="Times New Roman" w:cs="Times New Roman"/>
          <w:szCs w:val="20"/>
        </w:rPr>
        <w:t xml:space="preserve"> individuals</w:t>
      </w:r>
      <w:r w:rsidRPr="006F4C96">
        <w:rPr>
          <w:rFonts w:ascii="Times New Roman" w:hAnsi="Times New Roman" w:cs="Times New Roman"/>
          <w:szCs w:val="20"/>
        </w:rPr>
        <w:t xml:space="preserve"> </w:t>
      </w:r>
      <w:r w:rsidR="00394818" w:rsidRPr="006F4C96">
        <w:rPr>
          <w:rFonts w:ascii="Times New Roman" w:hAnsi="Times New Roman" w:cs="Times New Roman"/>
          <w:szCs w:val="20"/>
        </w:rPr>
        <w:t>respectively</w:t>
      </w:r>
      <w:r w:rsidR="00FB0B62" w:rsidRPr="006F4C96">
        <w:rPr>
          <w:rFonts w:ascii="Times New Roman" w:hAnsi="Times New Roman" w:cs="Times New Roman"/>
          <w:szCs w:val="20"/>
        </w:rPr>
        <w:t>,</w:t>
      </w:r>
      <w:r w:rsidR="000902C1" w:rsidRPr="006F4C96">
        <w:rPr>
          <w:rFonts w:ascii="Times New Roman" w:hAnsi="Times New Roman" w:cs="Times New Roman"/>
          <w:szCs w:val="20"/>
        </w:rPr>
        <w:t xml:space="preserve"> and a recent MR study [</w:t>
      </w:r>
      <w:r w:rsidR="009A4B6F" w:rsidRPr="006F4C96">
        <w:rPr>
          <w:rFonts w:ascii="Times New Roman" w:hAnsi="Times New Roman" w:cs="Times New Roman"/>
          <w:szCs w:val="20"/>
        </w:rPr>
        <w:t>24</w:t>
      </w:r>
      <w:r w:rsidR="000902C1" w:rsidRPr="006F4C96">
        <w:rPr>
          <w:rFonts w:ascii="Times New Roman" w:hAnsi="Times New Roman" w:cs="Times New Roman"/>
          <w:szCs w:val="20"/>
        </w:rPr>
        <w:t>]</w:t>
      </w:r>
      <w:r w:rsidR="00FB0B62" w:rsidRPr="006F4C96">
        <w:rPr>
          <w:rFonts w:ascii="Times New Roman" w:hAnsi="Times New Roman" w:cs="Times New Roman"/>
          <w:szCs w:val="20"/>
        </w:rPr>
        <w:t>,</w:t>
      </w:r>
      <w:r w:rsidR="00394818" w:rsidRPr="006F4C96">
        <w:rPr>
          <w:rFonts w:ascii="Times New Roman" w:hAnsi="Times New Roman" w:cs="Times New Roman"/>
          <w:szCs w:val="20"/>
        </w:rPr>
        <w:t xml:space="preserve"> </w:t>
      </w:r>
      <w:r w:rsidRPr="006F4C96">
        <w:rPr>
          <w:rFonts w:ascii="Times New Roman" w:hAnsi="Times New Roman" w:cs="Times New Roman"/>
          <w:szCs w:val="20"/>
        </w:rPr>
        <w:t xml:space="preserve">did not show a consistent association between shorter LTL and frailty indices. While several </w:t>
      </w:r>
      <w:r w:rsidR="005A1B8F" w:rsidRPr="006F4C96">
        <w:rPr>
          <w:rFonts w:ascii="Times New Roman" w:hAnsi="Times New Roman" w:cs="Times New Roman"/>
          <w:szCs w:val="20"/>
        </w:rPr>
        <w:t>f</w:t>
      </w:r>
      <w:r w:rsidR="00E03D58" w:rsidRPr="006F4C96">
        <w:rPr>
          <w:rFonts w:ascii="Times New Roman" w:hAnsi="Times New Roman" w:cs="Times New Roman"/>
          <w:szCs w:val="20"/>
        </w:rPr>
        <w:t>actors</w:t>
      </w:r>
      <w:r w:rsidR="004A632A" w:rsidRPr="006F4C96">
        <w:rPr>
          <w:rFonts w:ascii="Times New Roman" w:hAnsi="Times New Roman" w:cs="Times New Roman"/>
          <w:szCs w:val="20"/>
        </w:rPr>
        <w:t>,</w:t>
      </w:r>
      <w:r w:rsidRPr="006F4C96">
        <w:rPr>
          <w:rFonts w:ascii="Times New Roman" w:hAnsi="Times New Roman" w:cs="Times New Roman"/>
          <w:szCs w:val="20"/>
        </w:rPr>
        <w:t xml:space="preserve"> including the age ranges and ethnicities studied, the method </w:t>
      </w:r>
      <w:r w:rsidR="00FB0B62" w:rsidRPr="006F4C96">
        <w:rPr>
          <w:rFonts w:ascii="Times New Roman" w:hAnsi="Times New Roman" w:cs="Times New Roman"/>
          <w:szCs w:val="20"/>
        </w:rPr>
        <w:t xml:space="preserve">to estimate </w:t>
      </w:r>
      <w:r w:rsidRPr="006F4C96">
        <w:rPr>
          <w:rFonts w:ascii="Times New Roman" w:hAnsi="Times New Roman" w:cs="Times New Roman"/>
          <w:szCs w:val="20"/>
        </w:rPr>
        <w:t xml:space="preserve">telomere length and </w:t>
      </w:r>
      <w:r w:rsidR="00FB0B62" w:rsidRPr="006F4C96">
        <w:rPr>
          <w:rFonts w:ascii="Times New Roman" w:hAnsi="Times New Roman" w:cs="Times New Roman"/>
          <w:szCs w:val="20"/>
        </w:rPr>
        <w:t xml:space="preserve">the </w:t>
      </w:r>
      <w:r w:rsidRPr="006F4C96">
        <w:rPr>
          <w:rFonts w:ascii="Times New Roman" w:hAnsi="Times New Roman" w:cs="Times New Roman"/>
          <w:szCs w:val="20"/>
        </w:rPr>
        <w:t>definition of frailty</w:t>
      </w:r>
      <w:r w:rsidR="004A632A" w:rsidRPr="006F4C96">
        <w:rPr>
          <w:rFonts w:ascii="Times New Roman" w:hAnsi="Times New Roman" w:cs="Times New Roman"/>
          <w:szCs w:val="20"/>
        </w:rPr>
        <w:t>,</w:t>
      </w:r>
      <w:r w:rsidRPr="006F4C96">
        <w:rPr>
          <w:rFonts w:ascii="Times New Roman" w:hAnsi="Times New Roman" w:cs="Times New Roman"/>
          <w:szCs w:val="20"/>
        </w:rPr>
        <w:t xml:space="preserve"> may contribute to the heterogeneous findings, the most likely reason is statistical power. Our study analysed over 40</w:t>
      </w:r>
      <w:r w:rsidR="001A3B73" w:rsidRPr="006F4C96">
        <w:rPr>
          <w:rFonts w:ascii="Times New Roman" w:hAnsi="Times New Roman" w:cs="Times New Roman"/>
          <w:szCs w:val="20"/>
        </w:rPr>
        <w:t>–</w:t>
      </w:r>
      <w:r w:rsidRPr="006F4C96">
        <w:rPr>
          <w:rFonts w:ascii="Times New Roman" w:hAnsi="Times New Roman" w:cs="Times New Roman"/>
          <w:szCs w:val="20"/>
        </w:rPr>
        <w:t xml:space="preserve">fold more </w:t>
      </w:r>
      <w:r w:rsidR="00505654" w:rsidRPr="006F4C96">
        <w:rPr>
          <w:rFonts w:ascii="Times New Roman" w:hAnsi="Times New Roman" w:cs="Times New Roman"/>
          <w:szCs w:val="20"/>
        </w:rPr>
        <w:t xml:space="preserve">participants </w:t>
      </w:r>
      <w:r w:rsidRPr="006F4C96">
        <w:rPr>
          <w:rFonts w:ascii="Times New Roman" w:hAnsi="Times New Roman" w:cs="Times New Roman"/>
          <w:szCs w:val="20"/>
        </w:rPr>
        <w:t>than the largest meta</w:t>
      </w:r>
      <w:r w:rsidR="001A3B73" w:rsidRPr="006F4C96">
        <w:rPr>
          <w:rFonts w:ascii="Times New Roman" w:hAnsi="Times New Roman" w:cs="Times New Roman"/>
          <w:szCs w:val="20"/>
        </w:rPr>
        <w:t>–</w:t>
      </w:r>
      <w:r w:rsidRPr="006F4C96">
        <w:rPr>
          <w:rFonts w:ascii="Times New Roman" w:hAnsi="Times New Roman" w:cs="Times New Roman"/>
          <w:szCs w:val="20"/>
        </w:rPr>
        <w:t>analysis providing greater power to detect any association between variation in LTL and frailty as well as pre</w:t>
      </w:r>
      <w:r w:rsidR="001A3B73" w:rsidRPr="006F4C96">
        <w:rPr>
          <w:rFonts w:ascii="Times New Roman" w:hAnsi="Times New Roman" w:cs="Times New Roman"/>
          <w:szCs w:val="20"/>
        </w:rPr>
        <w:t>–</w:t>
      </w:r>
      <w:r w:rsidRPr="006F4C96">
        <w:rPr>
          <w:rFonts w:ascii="Times New Roman" w:hAnsi="Times New Roman" w:cs="Times New Roman"/>
          <w:szCs w:val="20"/>
        </w:rPr>
        <w:t xml:space="preserve">frailty. </w:t>
      </w:r>
      <w:r w:rsidR="009A4B6F" w:rsidRPr="006F4C96">
        <w:rPr>
          <w:rFonts w:ascii="Times New Roman" w:hAnsi="Times New Roman" w:cs="Times New Roman"/>
          <w:szCs w:val="20"/>
        </w:rPr>
        <w:t>Additionally</w:t>
      </w:r>
      <w:r w:rsidR="004952DF" w:rsidRPr="006F4C96">
        <w:rPr>
          <w:rFonts w:ascii="Times New Roman" w:hAnsi="Times New Roman" w:cs="Times New Roman"/>
          <w:szCs w:val="20"/>
        </w:rPr>
        <w:t>,</w:t>
      </w:r>
      <w:r w:rsidR="009A4B6F" w:rsidRPr="006F4C96">
        <w:rPr>
          <w:rFonts w:ascii="Times New Roman" w:hAnsi="Times New Roman" w:cs="Times New Roman"/>
          <w:szCs w:val="20"/>
        </w:rPr>
        <w:t xml:space="preserve"> the genetic instrument we used consisted of </w:t>
      </w:r>
      <w:r w:rsidR="000902C1" w:rsidRPr="006F4C96">
        <w:rPr>
          <w:rFonts w:ascii="Times New Roman" w:hAnsi="Times New Roman" w:cs="Times New Roman"/>
          <w:szCs w:val="20"/>
        </w:rPr>
        <w:t>131 SNPs, whilst</w:t>
      </w:r>
      <w:r w:rsidR="009A4B6F" w:rsidRPr="006F4C96">
        <w:rPr>
          <w:rFonts w:ascii="Times New Roman" w:hAnsi="Times New Roman" w:cs="Times New Roman"/>
          <w:szCs w:val="20"/>
        </w:rPr>
        <w:t xml:space="preserve"> the one used by</w:t>
      </w:r>
      <w:r w:rsidR="000902C1" w:rsidRPr="006F4C96">
        <w:rPr>
          <w:rFonts w:ascii="Times New Roman" w:hAnsi="Times New Roman" w:cs="Times New Roman"/>
          <w:szCs w:val="20"/>
        </w:rPr>
        <w:t xml:space="preserve"> Kuo et al. </w:t>
      </w:r>
      <w:r w:rsidR="00CE1EE7" w:rsidRPr="006F4C96">
        <w:rPr>
          <w:rFonts w:ascii="Times New Roman" w:hAnsi="Times New Roman" w:cs="Times New Roman"/>
          <w:szCs w:val="20"/>
        </w:rPr>
        <w:t xml:space="preserve">[24] </w:t>
      </w:r>
      <w:r w:rsidR="000902C1" w:rsidRPr="006F4C96">
        <w:rPr>
          <w:rFonts w:ascii="Times New Roman" w:hAnsi="Times New Roman" w:cs="Times New Roman"/>
          <w:szCs w:val="20"/>
        </w:rPr>
        <w:t>utilised only 13 available SNPs</w:t>
      </w:r>
      <w:r w:rsidR="004952DF" w:rsidRPr="006F4C96">
        <w:rPr>
          <w:rFonts w:ascii="Times New Roman" w:hAnsi="Times New Roman" w:cs="Times New Roman"/>
          <w:szCs w:val="20"/>
        </w:rPr>
        <w:t xml:space="preserve">, suggesting a difference in the power of the </w:t>
      </w:r>
      <w:r w:rsidR="009A4B6F" w:rsidRPr="006F4C96">
        <w:rPr>
          <w:rFonts w:ascii="Times New Roman" w:hAnsi="Times New Roman" w:cs="Times New Roman"/>
          <w:szCs w:val="20"/>
        </w:rPr>
        <w:t xml:space="preserve">instruments. In producing our genetic instrument [17] we removed potential pleiotropic variants and so therefore feel that this is a robust </w:t>
      </w:r>
      <w:r w:rsidR="00CE1EE7" w:rsidRPr="006F4C96">
        <w:rPr>
          <w:rFonts w:ascii="Times New Roman" w:hAnsi="Times New Roman" w:cs="Times New Roman"/>
          <w:szCs w:val="20"/>
        </w:rPr>
        <w:t>telomere</w:t>
      </w:r>
      <w:r w:rsidR="00FB0B62" w:rsidRPr="006F4C96">
        <w:rPr>
          <w:rFonts w:ascii="Times New Roman" w:hAnsi="Times New Roman" w:cs="Times New Roman"/>
          <w:szCs w:val="20"/>
        </w:rPr>
        <w:t>–</w:t>
      </w:r>
      <w:r w:rsidR="00CE1EE7" w:rsidRPr="006F4C96">
        <w:rPr>
          <w:rFonts w:ascii="Times New Roman" w:hAnsi="Times New Roman" w:cs="Times New Roman"/>
          <w:szCs w:val="20"/>
        </w:rPr>
        <w:t xml:space="preserve">specific </w:t>
      </w:r>
      <w:r w:rsidR="009A4B6F" w:rsidRPr="006F4C96">
        <w:rPr>
          <w:rFonts w:ascii="Times New Roman" w:hAnsi="Times New Roman" w:cs="Times New Roman"/>
          <w:szCs w:val="20"/>
        </w:rPr>
        <w:t>instrument.</w:t>
      </w:r>
    </w:p>
    <w:p w14:paraId="1219B116" w14:textId="1D778DA1"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 xml:space="preserve">Fried’s frailty </w:t>
      </w:r>
      <w:r w:rsidR="008C738E" w:rsidRPr="006F4C96">
        <w:rPr>
          <w:rFonts w:ascii="Times New Roman" w:hAnsi="Times New Roman" w:cs="Times New Roman"/>
          <w:szCs w:val="20"/>
        </w:rPr>
        <w:t>phenotype</w:t>
      </w:r>
      <w:r w:rsidR="009E3B99" w:rsidRPr="006F4C96">
        <w:rPr>
          <w:rFonts w:ascii="Times New Roman" w:hAnsi="Times New Roman" w:cs="Times New Roman"/>
          <w:szCs w:val="20"/>
        </w:rPr>
        <w:t xml:space="preserve"> [</w:t>
      </w:r>
      <w:r w:rsidR="001A3B73" w:rsidRPr="006F4C96">
        <w:rPr>
          <w:rFonts w:ascii="Times New Roman" w:hAnsi="Times New Roman" w:cs="Times New Roman"/>
          <w:szCs w:val="20"/>
        </w:rPr>
        <w:t>3</w:t>
      </w:r>
      <w:r w:rsidR="009E3B99" w:rsidRPr="006F4C96">
        <w:rPr>
          <w:rFonts w:ascii="Times New Roman" w:hAnsi="Times New Roman" w:cs="Times New Roman"/>
          <w:szCs w:val="20"/>
        </w:rPr>
        <w:t>]</w:t>
      </w:r>
      <w:r w:rsidRPr="006F4C96">
        <w:rPr>
          <w:rFonts w:ascii="Times New Roman" w:hAnsi="Times New Roman" w:cs="Times New Roman"/>
          <w:szCs w:val="20"/>
        </w:rPr>
        <w:t xml:space="preserve"> integrates five different functional measures. We confirmed both an association </w:t>
      </w:r>
      <w:r w:rsidR="00435D17" w:rsidRPr="006F4C96">
        <w:rPr>
          <w:rFonts w:ascii="Times New Roman" w:hAnsi="Times New Roman" w:cs="Times New Roman"/>
          <w:szCs w:val="20"/>
        </w:rPr>
        <w:t>of similar magnitude</w:t>
      </w:r>
      <w:r w:rsidR="00704ECF" w:rsidRPr="006F4C96">
        <w:rPr>
          <w:rFonts w:ascii="Times New Roman" w:hAnsi="Times New Roman" w:cs="Times New Roman"/>
          <w:szCs w:val="20"/>
        </w:rPr>
        <w:t>s</w:t>
      </w:r>
      <w:r w:rsidR="00435D17" w:rsidRPr="006F4C96">
        <w:rPr>
          <w:rFonts w:ascii="Times New Roman" w:hAnsi="Times New Roman" w:cs="Times New Roman"/>
          <w:szCs w:val="20"/>
        </w:rPr>
        <w:t xml:space="preserve"> </w:t>
      </w:r>
      <w:r w:rsidRPr="006F4C96">
        <w:rPr>
          <w:rFonts w:ascii="Times New Roman" w:hAnsi="Times New Roman" w:cs="Times New Roman"/>
          <w:szCs w:val="20"/>
        </w:rPr>
        <w:t>of LTL with individ</w:t>
      </w:r>
      <w:r w:rsidR="00704ECF" w:rsidRPr="006F4C96">
        <w:rPr>
          <w:rFonts w:ascii="Times New Roman" w:hAnsi="Times New Roman" w:cs="Times New Roman"/>
          <w:szCs w:val="20"/>
        </w:rPr>
        <w:t xml:space="preserve">ual components of this </w:t>
      </w:r>
      <w:r w:rsidR="008C738E" w:rsidRPr="006F4C96">
        <w:rPr>
          <w:rFonts w:ascii="Times New Roman" w:hAnsi="Times New Roman" w:cs="Times New Roman"/>
          <w:szCs w:val="20"/>
        </w:rPr>
        <w:t>phenotype</w:t>
      </w:r>
      <w:r w:rsidR="00704ECF" w:rsidRPr="006F4C96">
        <w:rPr>
          <w:rFonts w:ascii="Times New Roman" w:hAnsi="Times New Roman" w:cs="Times New Roman"/>
          <w:szCs w:val="20"/>
        </w:rPr>
        <w:t xml:space="preserve"> and</w:t>
      </w:r>
      <w:r w:rsidRPr="006F4C96">
        <w:rPr>
          <w:rFonts w:ascii="Times New Roman" w:hAnsi="Times New Roman" w:cs="Times New Roman"/>
          <w:szCs w:val="20"/>
        </w:rPr>
        <w:t xml:space="preserve"> also, importantly, that the association is stronger as the number of frailty indicators increase. These findings indicate that the observed association </w:t>
      </w:r>
      <w:r w:rsidR="00394818" w:rsidRPr="006F4C96">
        <w:rPr>
          <w:rFonts w:ascii="Times New Roman" w:hAnsi="Times New Roman" w:cs="Times New Roman"/>
          <w:szCs w:val="20"/>
        </w:rPr>
        <w:t xml:space="preserve">is not due to </w:t>
      </w:r>
      <w:r w:rsidRPr="006F4C96">
        <w:rPr>
          <w:rFonts w:ascii="Times New Roman" w:hAnsi="Times New Roman" w:cs="Times New Roman"/>
          <w:szCs w:val="20"/>
        </w:rPr>
        <w:t>one of the component phenotypes.</w:t>
      </w:r>
    </w:p>
    <w:p w14:paraId="7EAB4665" w14:textId="61064D47" w:rsidR="00D211F9" w:rsidRPr="006F4C96" w:rsidRDefault="00857F7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 xml:space="preserve">At a tissue level, LTL is a determinant of </w:t>
      </w:r>
      <w:r w:rsidR="0052067E" w:rsidRPr="006F4C96">
        <w:rPr>
          <w:rFonts w:ascii="Times New Roman" w:hAnsi="Times New Roman" w:cs="Times New Roman"/>
          <w:szCs w:val="20"/>
        </w:rPr>
        <w:t>replicative capacity and tissue repair</w:t>
      </w:r>
      <w:r w:rsidR="009E3B99" w:rsidRPr="006F4C96">
        <w:rPr>
          <w:rFonts w:ascii="Times New Roman" w:hAnsi="Times New Roman" w:cs="Times New Roman"/>
          <w:szCs w:val="20"/>
        </w:rPr>
        <w:t xml:space="preserve"> [</w:t>
      </w:r>
      <w:r w:rsidR="0052067E" w:rsidRPr="006F4C96">
        <w:rPr>
          <w:rFonts w:ascii="Times New Roman" w:hAnsi="Times New Roman" w:cs="Times New Roman"/>
          <w:szCs w:val="20"/>
        </w:rPr>
        <w:t>10,</w:t>
      </w:r>
      <w:r w:rsidR="00E53280" w:rsidRPr="006F4C96">
        <w:rPr>
          <w:rFonts w:ascii="Times New Roman" w:hAnsi="Times New Roman" w:cs="Times New Roman"/>
          <w:szCs w:val="20"/>
        </w:rPr>
        <w:t xml:space="preserve"> </w:t>
      </w:r>
      <w:r w:rsidR="0052067E" w:rsidRPr="006F4C96">
        <w:rPr>
          <w:rFonts w:ascii="Times New Roman" w:hAnsi="Times New Roman" w:cs="Times New Roman"/>
          <w:szCs w:val="20"/>
        </w:rPr>
        <w:t>13</w:t>
      </w:r>
      <w:r w:rsidR="009E3B99" w:rsidRPr="006F4C96">
        <w:rPr>
          <w:rFonts w:ascii="Times New Roman" w:hAnsi="Times New Roman" w:cs="Times New Roman"/>
          <w:szCs w:val="20"/>
        </w:rPr>
        <w:t>].</w:t>
      </w:r>
      <w:r w:rsidR="0052067E" w:rsidRPr="006F4C96">
        <w:rPr>
          <w:rFonts w:ascii="Times New Roman" w:hAnsi="Times New Roman" w:cs="Times New Roman"/>
          <w:szCs w:val="20"/>
        </w:rPr>
        <w:t xml:space="preserve"> Thus, the association of shorter LTL with increased risk of frailty could be explained by earlier exhaustion of these functions across multiple body systems. However, a</w:t>
      </w:r>
      <w:r w:rsidR="00D211F9" w:rsidRPr="006F4C96">
        <w:rPr>
          <w:rFonts w:ascii="Times New Roman" w:hAnsi="Times New Roman" w:cs="Times New Roman"/>
          <w:szCs w:val="20"/>
        </w:rPr>
        <w:t xml:space="preserve"> notable finding was that the </w:t>
      </w:r>
      <w:r w:rsidR="00D211F9" w:rsidRPr="006F4C96">
        <w:rPr>
          <w:rFonts w:ascii="Times New Roman" w:hAnsi="Times New Roman" w:cs="Times New Roman"/>
          <w:i/>
          <w:szCs w:val="20"/>
        </w:rPr>
        <w:t>relative</w:t>
      </w:r>
      <w:r w:rsidR="00D211F9" w:rsidRPr="006F4C96">
        <w:rPr>
          <w:rFonts w:ascii="Times New Roman" w:hAnsi="Times New Roman" w:cs="Times New Roman"/>
          <w:szCs w:val="20"/>
        </w:rPr>
        <w:t xml:space="preserve"> increase in risk of frailty with shorter telomeres was similar in different age groups and did not increase with age</w:t>
      </w:r>
      <w:r w:rsidR="00041145" w:rsidRPr="006F4C96">
        <w:rPr>
          <w:rFonts w:ascii="Times New Roman" w:hAnsi="Times New Roman" w:cs="Times New Roman"/>
          <w:szCs w:val="20"/>
        </w:rPr>
        <w:t>.</w:t>
      </w:r>
      <w:r w:rsidR="00D211F9" w:rsidRPr="006F4C96">
        <w:rPr>
          <w:rFonts w:ascii="Times New Roman" w:hAnsi="Times New Roman" w:cs="Times New Roman"/>
          <w:szCs w:val="20"/>
        </w:rPr>
        <w:t xml:space="preserve"> This suggests that LTL is not simply accelerating the effect of chronological age on risk of frailty </w:t>
      </w:r>
      <w:r w:rsidR="00DE5C1C" w:rsidRPr="006F4C96">
        <w:rPr>
          <w:rFonts w:ascii="Times New Roman" w:hAnsi="Times New Roman" w:cs="Times New Roman"/>
          <w:szCs w:val="20"/>
        </w:rPr>
        <w:t xml:space="preserve">as a biomarker of </w:t>
      </w:r>
      <w:r w:rsidR="00D211F9" w:rsidRPr="006F4C96">
        <w:rPr>
          <w:rFonts w:ascii="Times New Roman" w:hAnsi="Times New Roman" w:cs="Times New Roman"/>
          <w:szCs w:val="20"/>
        </w:rPr>
        <w:t xml:space="preserve">premature ageing. </w:t>
      </w:r>
      <w:r w:rsidR="0052067E" w:rsidRPr="006F4C96">
        <w:rPr>
          <w:rFonts w:ascii="Times New Roman" w:hAnsi="Times New Roman" w:cs="Times New Roman"/>
          <w:szCs w:val="20"/>
        </w:rPr>
        <w:t>This is in accord with recent concepts around telomere dynamics and ageing</w:t>
      </w:r>
      <w:r w:rsidR="00435D17" w:rsidRPr="006F4C96">
        <w:rPr>
          <w:rFonts w:ascii="Times New Roman" w:hAnsi="Times New Roman" w:cs="Times New Roman"/>
          <w:szCs w:val="20"/>
        </w:rPr>
        <w:t>–</w:t>
      </w:r>
      <w:r w:rsidR="009E3B99" w:rsidRPr="006F4C96">
        <w:rPr>
          <w:rFonts w:ascii="Times New Roman" w:hAnsi="Times New Roman" w:cs="Times New Roman"/>
          <w:szCs w:val="20"/>
        </w:rPr>
        <w:t>related diseases [</w:t>
      </w:r>
      <w:r w:rsidR="0052067E" w:rsidRPr="006F4C96">
        <w:rPr>
          <w:rFonts w:ascii="Times New Roman" w:hAnsi="Times New Roman" w:cs="Times New Roman"/>
          <w:szCs w:val="20"/>
        </w:rPr>
        <w:t>13</w:t>
      </w:r>
      <w:r w:rsidR="009E3B99" w:rsidRPr="006F4C96">
        <w:rPr>
          <w:rFonts w:ascii="Times New Roman" w:hAnsi="Times New Roman" w:cs="Times New Roman"/>
          <w:szCs w:val="20"/>
        </w:rPr>
        <w:t>].</w:t>
      </w:r>
      <w:r w:rsidR="0052067E" w:rsidRPr="006F4C96">
        <w:rPr>
          <w:rFonts w:ascii="Times New Roman" w:hAnsi="Times New Roman" w:cs="Times New Roman"/>
          <w:szCs w:val="20"/>
        </w:rPr>
        <w:t xml:space="preserve"> </w:t>
      </w:r>
      <w:r w:rsidR="00D211F9" w:rsidRPr="006F4C96">
        <w:rPr>
          <w:rFonts w:ascii="Times New Roman" w:hAnsi="Times New Roman" w:cs="Times New Roman"/>
          <w:szCs w:val="20"/>
        </w:rPr>
        <w:t>However, it should be noted that the age range at recruitment of participants in UK was relatively narrow at between 40</w:t>
      </w:r>
      <w:r w:rsidR="001A3B73" w:rsidRPr="006F4C96">
        <w:rPr>
          <w:rFonts w:ascii="Times New Roman" w:hAnsi="Times New Roman" w:cs="Times New Roman"/>
          <w:szCs w:val="20"/>
        </w:rPr>
        <w:t>–</w:t>
      </w:r>
      <w:r w:rsidR="00D211F9" w:rsidRPr="006F4C96">
        <w:rPr>
          <w:rFonts w:ascii="Times New Roman" w:hAnsi="Times New Roman" w:cs="Times New Roman"/>
          <w:szCs w:val="20"/>
        </w:rPr>
        <w:t>69 years and we cannot exclude the possibility that the relative association of shorter LTL with risk of frailty m</w:t>
      </w:r>
      <w:r w:rsidR="00DE5C1C" w:rsidRPr="006F4C96">
        <w:rPr>
          <w:rFonts w:ascii="Times New Roman" w:hAnsi="Times New Roman" w:cs="Times New Roman"/>
          <w:szCs w:val="20"/>
        </w:rPr>
        <w:t>ight</w:t>
      </w:r>
      <w:r w:rsidR="00D211F9" w:rsidRPr="006F4C96">
        <w:rPr>
          <w:rFonts w:ascii="Times New Roman" w:hAnsi="Times New Roman" w:cs="Times New Roman"/>
          <w:szCs w:val="20"/>
        </w:rPr>
        <w:t xml:space="preserve"> be stronger at older ages. A further concern about UKB is that, because recruitment was voluntary and required participants to travel to a recruitment centre, it may have recruited relatively “healthy” individuals particularly at older ages (60</w:t>
      </w:r>
      <w:r w:rsidR="001A3B73" w:rsidRPr="006F4C96">
        <w:rPr>
          <w:rFonts w:ascii="Times New Roman" w:hAnsi="Times New Roman" w:cs="Times New Roman"/>
          <w:szCs w:val="20"/>
        </w:rPr>
        <w:t>–</w:t>
      </w:r>
      <w:r w:rsidR="00D211F9" w:rsidRPr="006F4C96">
        <w:rPr>
          <w:rFonts w:ascii="Times New Roman" w:hAnsi="Times New Roman" w:cs="Times New Roman"/>
          <w:szCs w:val="20"/>
        </w:rPr>
        <w:t>69)</w:t>
      </w:r>
      <w:r w:rsidR="009E3B99" w:rsidRPr="006F4C96">
        <w:rPr>
          <w:rFonts w:ascii="Times New Roman" w:hAnsi="Times New Roman" w:cs="Times New Roman"/>
          <w:szCs w:val="20"/>
        </w:rPr>
        <w:t xml:space="preserve"> [</w:t>
      </w:r>
      <w:r w:rsidR="00C53881" w:rsidRPr="006F4C96">
        <w:rPr>
          <w:rFonts w:ascii="Times New Roman" w:hAnsi="Times New Roman" w:cs="Times New Roman"/>
          <w:szCs w:val="20"/>
        </w:rPr>
        <w:t>2</w:t>
      </w:r>
      <w:r w:rsidR="0095100B" w:rsidRPr="006F4C96">
        <w:rPr>
          <w:rFonts w:ascii="Times New Roman" w:hAnsi="Times New Roman" w:cs="Times New Roman"/>
          <w:szCs w:val="20"/>
        </w:rPr>
        <w:t>5</w:t>
      </w:r>
      <w:r w:rsidR="009E3B99" w:rsidRPr="006F4C96">
        <w:rPr>
          <w:rFonts w:ascii="Times New Roman" w:hAnsi="Times New Roman" w:cs="Times New Roman"/>
          <w:szCs w:val="20"/>
        </w:rPr>
        <w:t>].</w:t>
      </w:r>
      <w:r w:rsidR="00D211F9" w:rsidRPr="006F4C96">
        <w:rPr>
          <w:rFonts w:ascii="Times New Roman" w:hAnsi="Times New Roman" w:cs="Times New Roman"/>
          <w:szCs w:val="20"/>
        </w:rPr>
        <w:t xml:space="preserve"> This could impact on the prevalence of the frailty phenotype and hence the generalisability of the findings</w:t>
      </w:r>
      <w:r w:rsidR="009E3B99" w:rsidRPr="006F4C96">
        <w:rPr>
          <w:rFonts w:ascii="Times New Roman" w:hAnsi="Times New Roman" w:cs="Times New Roman"/>
          <w:szCs w:val="20"/>
        </w:rPr>
        <w:t xml:space="preserve"> [2</w:t>
      </w:r>
      <w:r w:rsidR="0095100B" w:rsidRPr="006F4C96">
        <w:rPr>
          <w:rFonts w:ascii="Times New Roman" w:hAnsi="Times New Roman" w:cs="Times New Roman"/>
          <w:szCs w:val="20"/>
        </w:rPr>
        <w:t>5</w:t>
      </w:r>
      <w:r w:rsidR="009E3B99" w:rsidRPr="006F4C96">
        <w:rPr>
          <w:rFonts w:ascii="Times New Roman" w:hAnsi="Times New Roman" w:cs="Times New Roman"/>
          <w:szCs w:val="20"/>
        </w:rPr>
        <w:t xml:space="preserve">]. </w:t>
      </w:r>
      <w:r w:rsidR="00D211F9" w:rsidRPr="006F4C96">
        <w:rPr>
          <w:rFonts w:ascii="Times New Roman" w:hAnsi="Times New Roman" w:cs="Times New Roman"/>
          <w:szCs w:val="20"/>
        </w:rPr>
        <w:t xml:space="preserve">However, we observed similar estimates for the age and sex–specific rates of frailty syndrome at the overlapping age range available (60–75 years) with two other studies available in the UK: those derived from the </w:t>
      </w:r>
      <w:r w:rsidR="00C53881" w:rsidRPr="006F4C96">
        <w:rPr>
          <w:rFonts w:ascii="Times New Roman" w:hAnsi="Times New Roman" w:cs="Times New Roman"/>
          <w:szCs w:val="20"/>
        </w:rPr>
        <w:t>Hertfordshire Cohort Study</w:t>
      </w:r>
      <w:r w:rsidR="00C53881" w:rsidRPr="006F4C96">
        <w:rPr>
          <w:rFonts w:ascii="Times New Roman" w:hAnsi="Times New Roman" w:cs="Times New Roman"/>
          <w:szCs w:val="20"/>
          <w:vertAlign w:val="superscript"/>
        </w:rPr>
        <w:t>25</w:t>
      </w:r>
      <w:r w:rsidR="00C53881" w:rsidRPr="006F4C96">
        <w:rPr>
          <w:rFonts w:ascii="Times New Roman" w:hAnsi="Times New Roman" w:cs="Times New Roman"/>
          <w:szCs w:val="20"/>
        </w:rPr>
        <w:t xml:space="preserve"> and from the </w:t>
      </w:r>
      <w:r w:rsidR="00D211F9" w:rsidRPr="006F4C96">
        <w:rPr>
          <w:rFonts w:ascii="Times New Roman" w:hAnsi="Times New Roman" w:cs="Times New Roman"/>
          <w:szCs w:val="20"/>
        </w:rPr>
        <w:t>English Longitudinal Study of Ageing</w:t>
      </w:r>
      <w:r w:rsidR="009E3B99" w:rsidRPr="006F4C96">
        <w:rPr>
          <w:rFonts w:ascii="Times New Roman" w:hAnsi="Times New Roman" w:cs="Times New Roman"/>
          <w:szCs w:val="20"/>
        </w:rPr>
        <w:t xml:space="preserve"> [</w:t>
      </w:r>
      <w:r w:rsidR="00D211F9" w:rsidRPr="006F4C96">
        <w:rPr>
          <w:rFonts w:ascii="Times New Roman" w:hAnsi="Times New Roman" w:cs="Times New Roman"/>
          <w:szCs w:val="20"/>
        </w:rPr>
        <w:t>2</w:t>
      </w:r>
      <w:r w:rsidR="00C53881" w:rsidRPr="006F4C96">
        <w:rPr>
          <w:rFonts w:ascii="Times New Roman" w:hAnsi="Times New Roman" w:cs="Times New Roman"/>
          <w:szCs w:val="20"/>
        </w:rPr>
        <w:t>6</w:t>
      </w:r>
      <w:r w:rsidR="0095100B" w:rsidRPr="006F4C96">
        <w:rPr>
          <w:rFonts w:ascii="Times New Roman" w:hAnsi="Times New Roman" w:cs="Times New Roman"/>
          <w:szCs w:val="20"/>
        </w:rPr>
        <w:t>, 27</w:t>
      </w:r>
      <w:r w:rsidR="009E3B99" w:rsidRPr="006F4C96">
        <w:rPr>
          <w:rFonts w:ascii="Times New Roman" w:hAnsi="Times New Roman" w:cs="Times New Roman"/>
          <w:szCs w:val="20"/>
        </w:rPr>
        <w:t>].</w:t>
      </w:r>
      <w:r w:rsidR="00965B98" w:rsidRPr="006F4C96">
        <w:rPr>
          <w:rFonts w:ascii="Times New Roman" w:hAnsi="Times New Roman" w:cs="Times New Roman"/>
          <w:szCs w:val="20"/>
        </w:rPr>
        <w:t xml:space="preserve"> </w:t>
      </w:r>
      <w:r w:rsidR="00D211F9" w:rsidRPr="006F4C96">
        <w:rPr>
          <w:rFonts w:ascii="Times New Roman" w:hAnsi="Times New Roman" w:cs="Times New Roman"/>
          <w:szCs w:val="20"/>
        </w:rPr>
        <w:t xml:space="preserve">Furthermore, previous analysis has shown that even if the prevalence of a disorder is different in UKB compared with a general population, it should not impact on its </w:t>
      </w:r>
      <w:r w:rsidR="00394818" w:rsidRPr="006F4C96">
        <w:rPr>
          <w:rFonts w:ascii="Times New Roman" w:hAnsi="Times New Roman" w:cs="Times New Roman"/>
          <w:szCs w:val="20"/>
        </w:rPr>
        <w:t xml:space="preserve">relative </w:t>
      </w:r>
      <w:r w:rsidR="00D211F9" w:rsidRPr="006F4C96">
        <w:rPr>
          <w:rFonts w:ascii="Times New Roman" w:hAnsi="Times New Roman" w:cs="Times New Roman"/>
          <w:szCs w:val="20"/>
        </w:rPr>
        <w:t>association with a risk factor</w:t>
      </w:r>
      <w:r w:rsidR="009E3B99" w:rsidRPr="006F4C96">
        <w:rPr>
          <w:rFonts w:ascii="Times New Roman" w:hAnsi="Times New Roman" w:cs="Times New Roman"/>
          <w:szCs w:val="20"/>
        </w:rPr>
        <w:t xml:space="preserve"> [</w:t>
      </w:r>
      <w:r w:rsidR="00C53881" w:rsidRPr="006F4C96">
        <w:rPr>
          <w:rFonts w:ascii="Times New Roman" w:hAnsi="Times New Roman" w:cs="Times New Roman"/>
          <w:szCs w:val="20"/>
        </w:rPr>
        <w:t>2</w:t>
      </w:r>
      <w:r w:rsidR="0095100B" w:rsidRPr="006F4C96">
        <w:rPr>
          <w:rFonts w:ascii="Times New Roman" w:hAnsi="Times New Roman" w:cs="Times New Roman"/>
          <w:szCs w:val="20"/>
        </w:rPr>
        <w:t>8</w:t>
      </w:r>
      <w:r w:rsidR="009E3B99" w:rsidRPr="006F4C96">
        <w:rPr>
          <w:rFonts w:ascii="Times New Roman" w:hAnsi="Times New Roman" w:cs="Times New Roman"/>
          <w:szCs w:val="20"/>
        </w:rPr>
        <w:t>].</w:t>
      </w:r>
    </w:p>
    <w:p w14:paraId="0BB893BF" w14:textId="1F5021ED"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While the association of shorter LTL with risk of frailty was highly significant and there was a</w:t>
      </w:r>
      <w:r w:rsidR="00704ECF" w:rsidRPr="006F4C96">
        <w:rPr>
          <w:rFonts w:ascii="Times New Roman" w:hAnsi="Times New Roman" w:cs="Times New Roman"/>
          <w:szCs w:val="20"/>
        </w:rPr>
        <w:t xml:space="preserve">pproximately 33% </w:t>
      </w:r>
      <w:r w:rsidRPr="006F4C96">
        <w:rPr>
          <w:rFonts w:ascii="Times New Roman" w:hAnsi="Times New Roman" w:cs="Times New Roman"/>
          <w:szCs w:val="20"/>
        </w:rPr>
        <w:t xml:space="preserve">higher risk of frailty in those with </w:t>
      </w:r>
      <w:r w:rsidR="00D17EE0" w:rsidRPr="006F4C96">
        <w:rPr>
          <w:rFonts w:ascii="Times New Roman" w:hAnsi="Times New Roman" w:cs="Times New Roman"/>
          <w:szCs w:val="20"/>
        </w:rPr>
        <w:t xml:space="preserve">two SD </w:t>
      </w:r>
      <w:r w:rsidRPr="006F4C96">
        <w:rPr>
          <w:rFonts w:ascii="Times New Roman" w:hAnsi="Times New Roman" w:cs="Times New Roman"/>
          <w:szCs w:val="20"/>
        </w:rPr>
        <w:t xml:space="preserve">shorter LTL compared with those with </w:t>
      </w:r>
      <w:r w:rsidR="00D17EE0" w:rsidRPr="006F4C96">
        <w:rPr>
          <w:rFonts w:ascii="Times New Roman" w:hAnsi="Times New Roman" w:cs="Times New Roman"/>
          <w:szCs w:val="20"/>
        </w:rPr>
        <w:t xml:space="preserve">two SD </w:t>
      </w:r>
      <w:r w:rsidRPr="006F4C96">
        <w:rPr>
          <w:rFonts w:ascii="Times New Roman" w:hAnsi="Times New Roman" w:cs="Times New Roman"/>
          <w:szCs w:val="20"/>
        </w:rPr>
        <w:t>longer LTL than average, the association need</w:t>
      </w:r>
      <w:r w:rsidR="009F1A43" w:rsidRPr="006F4C96">
        <w:rPr>
          <w:rFonts w:ascii="Times New Roman" w:hAnsi="Times New Roman" w:cs="Times New Roman"/>
          <w:szCs w:val="20"/>
        </w:rPr>
        <w:t>s</w:t>
      </w:r>
      <w:r w:rsidRPr="006F4C96">
        <w:rPr>
          <w:rFonts w:ascii="Times New Roman" w:hAnsi="Times New Roman" w:cs="Times New Roman"/>
          <w:szCs w:val="20"/>
        </w:rPr>
        <w:t xml:space="preserve"> to be viewed in context of other risk factors for fra</w:t>
      </w:r>
      <w:r w:rsidR="0052067E" w:rsidRPr="006F4C96">
        <w:rPr>
          <w:rFonts w:ascii="Times New Roman" w:hAnsi="Times New Roman" w:cs="Times New Roman"/>
          <w:szCs w:val="20"/>
        </w:rPr>
        <w:t xml:space="preserve">ilty. As shown in </w:t>
      </w:r>
      <w:r w:rsidRPr="006F4C96">
        <w:rPr>
          <w:rFonts w:ascii="Times New Roman" w:hAnsi="Times New Roman" w:cs="Times New Roman"/>
          <w:szCs w:val="20"/>
        </w:rPr>
        <w:t>Table 4, socio</w:t>
      </w:r>
      <w:r w:rsidR="001A3B73" w:rsidRPr="006F4C96">
        <w:rPr>
          <w:rFonts w:ascii="Times New Roman" w:hAnsi="Times New Roman" w:cs="Times New Roman"/>
          <w:szCs w:val="20"/>
        </w:rPr>
        <w:t>–</w:t>
      </w:r>
      <w:r w:rsidRPr="006F4C96">
        <w:rPr>
          <w:rFonts w:ascii="Times New Roman" w:hAnsi="Times New Roman" w:cs="Times New Roman"/>
          <w:szCs w:val="20"/>
        </w:rPr>
        <w:t>demographic and lifestyle factors such as social deprivation, BMI, alcohol intake, smoking and presence of co</w:t>
      </w:r>
      <w:r w:rsidR="001A3B73" w:rsidRPr="006F4C96">
        <w:rPr>
          <w:rFonts w:ascii="Times New Roman" w:hAnsi="Times New Roman" w:cs="Times New Roman"/>
          <w:szCs w:val="20"/>
        </w:rPr>
        <w:t>–</w:t>
      </w:r>
      <w:r w:rsidRPr="006F4C96">
        <w:rPr>
          <w:rFonts w:ascii="Times New Roman" w:hAnsi="Times New Roman" w:cs="Times New Roman"/>
          <w:szCs w:val="20"/>
        </w:rPr>
        <w:t xml:space="preserve">morbidity individually all had much more powerful associations than LTL. </w:t>
      </w:r>
    </w:p>
    <w:p w14:paraId="4308AE06" w14:textId="34C436BB"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Although the richness of the information on participants in UKB allowed us to adjust for several relevant factors in assessing the association of LTL with risk of frailty, a cross</w:t>
      </w:r>
      <w:r w:rsidR="001A3B73" w:rsidRPr="006F4C96">
        <w:rPr>
          <w:rFonts w:ascii="Times New Roman" w:hAnsi="Times New Roman" w:cs="Times New Roman"/>
          <w:szCs w:val="20"/>
        </w:rPr>
        <w:t>–</w:t>
      </w:r>
      <w:r w:rsidRPr="006F4C96">
        <w:rPr>
          <w:rFonts w:ascii="Times New Roman" w:hAnsi="Times New Roman" w:cs="Times New Roman"/>
          <w:szCs w:val="20"/>
        </w:rPr>
        <w:t>sectional analysis cannot infer causation. To investigate whether the association of LTL with risk if frailty was causal, we deployed Mendelian Randomisation using 131 genetic variants associated with LTL</w:t>
      </w:r>
      <w:r w:rsidR="009E3B99" w:rsidRPr="006F4C96">
        <w:rPr>
          <w:rFonts w:ascii="Times New Roman" w:hAnsi="Times New Roman" w:cs="Times New Roman"/>
          <w:szCs w:val="20"/>
        </w:rPr>
        <w:t xml:space="preserve"> [</w:t>
      </w:r>
      <w:r w:rsidR="00525610" w:rsidRPr="006F4C96">
        <w:rPr>
          <w:rFonts w:ascii="Times New Roman" w:hAnsi="Times New Roman" w:cs="Times New Roman"/>
          <w:szCs w:val="20"/>
        </w:rPr>
        <w:t>12</w:t>
      </w:r>
      <w:r w:rsidR="009E3B99" w:rsidRPr="006F4C96">
        <w:rPr>
          <w:rFonts w:ascii="Times New Roman" w:hAnsi="Times New Roman" w:cs="Times New Roman"/>
          <w:szCs w:val="20"/>
        </w:rPr>
        <w:t>]</w:t>
      </w:r>
      <w:r w:rsidRPr="006F4C96">
        <w:rPr>
          <w:rFonts w:ascii="Times New Roman" w:hAnsi="Times New Roman" w:cs="Times New Roman"/>
          <w:szCs w:val="20"/>
        </w:rPr>
        <w:t xml:space="preserve"> as instruments. Although this showed an association that was concordant with the observational finding both directionally and in terms of effect size, the 95% margins were wide</w:t>
      </w:r>
      <w:r w:rsidR="000469AF" w:rsidRPr="006F4C96">
        <w:rPr>
          <w:rFonts w:ascii="Times New Roman" w:hAnsi="Times New Roman" w:cs="Times New Roman"/>
          <w:szCs w:val="20"/>
        </w:rPr>
        <w:t>, indicating limited</w:t>
      </w:r>
      <w:r w:rsidRPr="006F4C96">
        <w:rPr>
          <w:rFonts w:ascii="Times New Roman" w:hAnsi="Times New Roman" w:cs="Times New Roman"/>
          <w:szCs w:val="20"/>
        </w:rPr>
        <w:t xml:space="preserve"> </w:t>
      </w:r>
      <w:r w:rsidR="000469AF" w:rsidRPr="006F4C96">
        <w:rPr>
          <w:rFonts w:ascii="Times New Roman" w:hAnsi="Times New Roman" w:cs="Times New Roman"/>
          <w:szCs w:val="20"/>
        </w:rPr>
        <w:t xml:space="preserve">power to confirm or exclude a genetic association. This probably reflects a combination of the low overall prevalence of frailty in the studied population and the relatively </w:t>
      </w:r>
      <w:r w:rsidR="00394818" w:rsidRPr="006F4C96">
        <w:rPr>
          <w:rFonts w:ascii="Times New Roman" w:hAnsi="Times New Roman" w:cs="Times New Roman"/>
          <w:szCs w:val="20"/>
        </w:rPr>
        <w:t xml:space="preserve">low </w:t>
      </w:r>
      <w:r w:rsidRPr="006F4C96">
        <w:rPr>
          <w:rFonts w:ascii="Times New Roman" w:hAnsi="Times New Roman" w:cs="Times New Roman"/>
          <w:szCs w:val="20"/>
        </w:rPr>
        <w:t>strength of the genetic instruments, which explain less than 5% of the variation in LTL</w:t>
      </w:r>
      <w:r w:rsidR="009E3B99" w:rsidRPr="006F4C96">
        <w:rPr>
          <w:rFonts w:ascii="Times New Roman" w:hAnsi="Times New Roman" w:cs="Times New Roman"/>
          <w:szCs w:val="20"/>
        </w:rPr>
        <w:t xml:space="preserve"> [</w:t>
      </w:r>
      <w:r w:rsidR="00525610" w:rsidRPr="006F4C96">
        <w:rPr>
          <w:rFonts w:ascii="Times New Roman" w:hAnsi="Times New Roman" w:cs="Times New Roman"/>
          <w:szCs w:val="20"/>
        </w:rPr>
        <w:t>12</w:t>
      </w:r>
      <w:r w:rsidR="009E3B99" w:rsidRPr="006F4C96">
        <w:rPr>
          <w:rFonts w:ascii="Times New Roman" w:hAnsi="Times New Roman" w:cs="Times New Roman"/>
          <w:szCs w:val="20"/>
        </w:rPr>
        <w:t>].</w:t>
      </w:r>
      <w:r w:rsidRPr="006F4C96">
        <w:rPr>
          <w:rFonts w:ascii="Times New Roman" w:hAnsi="Times New Roman" w:cs="Times New Roman"/>
          <w:szCs w:val="20"/>
        </w:rPr>
        <w:t xml:space="preserve"> Therefore, we cannot exclude the possibility that the observed association between shorter LTL and increased risk of frailty is due to residual confounding which we have not accounted for. </w:t>
      </w:r>
    </w:p>
    <w:p w14:paraId="468559E1" w14:textId="23D4E6C3" w:rsidR="00B36388" w:rsidRPr="006F4C96" w:rsidRDefault="00B36388"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Telomere length is largely genetically determined</w:t>
      </w:r>
      <w:r w:rsidR="009E3B99" w:rsidRPr="006F4C96">
        <w:rPr>
          <w:rFonts w:ascii="Times New Roman" w:hAnsi="Times New Roman" w:cs="Times New Roman"/>
          <w:szCs w:val="20"/>
        </w:rPr>
        <w:t xml:space="preserve"> [</w:t>
      </w:r>
      <w:r w:rsidR="000E3CF2" w:rsidRPr="006F4C96">
        <w:rPr>
          <w:rFonts w:ascii="Times New Roman" w:hAnsi="Times New Roman" w:cs="Times New Roman"/>
          <w:szCs w:val="20"/>
        </w:rPr>
        <w:t>12, 2</w:t>
      </w:r>
      <w:r w:rsidR="0095100B" w:rsidRPr="006F4C96">
        <w:rPr>
          <w:rFonts w:ascii="Times New Roman" w:hAnsi="Times New Roman" w:cs="Times New Roman"/>
          <w:szCs w:val="20"/>
        </w:rPr>
        <w:t>9</w:t>
      </w:r>
      <w:r w:rsidR="009E3B99" w:rsidRPr="006F4C96">
        <w:rPr>
          <w:rFonts w:ascii="Times New Roman" w:hAnsi="Times New Roman" w:cs="Times New Roman"/>
          <w:szCs w:val="20"/>
        </w:rPr>
        <w:t>].</w:t>
      </w:r>
      <w:r w:rsidRPr="006F4C96">
        <w:rPr>
          <w:rFonts w:ascii="Times New Roman" w:hAnsi="Times New Roman" w:cs="Times New Roman"/>
          <w:szCs w:val="20"/>
        </w:rPr>
        <w:t xml:space="preserve"> However, several studies have shown that lifestyl</w:t>
      </w:r>
      <w:r w:rsidR="006F31F7" w:rsidRPr="006F4C96">
        <w:rPr>
          <w:rFonts w:ascii="Times New Roman" w:hAnsi="Times New Roman" w:cs="Times New Roman"/>
          <w:szCs w:val="20"/>
        </w:rPr>
        <w:t xml:space="preserve">e factors including smoking, </w:t>
      </w:r>
      <w:r w:rsidRPr="006F4C96">
        <w:rPr>
          <w:rFonts w:ascii="Times New Roman" w:hAnsi="Times New Roman" w:cs="Times New Roman"/>
          <w:szCs w:val="20"/>
        </w:rPr>
        <w:t>diet</w:t>
      </w:r>
      <w:r w:rsidR="006F31F7" w:rsidRPr="006F4C96">
        <w:rPr>
          <w:rFonts w:ascii="Times New Roman" w:hAnsi="Times New Roman" w:cs="Times New Roman"/>
          <w:szCs w:val="20"/>
        </w:rPr>
        <w:t>, physical activity</w:t>
      </w:r>
      <w:r w:rsidRPr="006F4C96">
        <w:rPr>
          <w:rFonts w:ascii="Times New Roman" w:hAnsi="Times New Roman" w:cs="Times New Roman"/>
          <w:szCs w:val="20"/>
        </w:rPr>
        <w:t xml:space="preserve"> </w:t>
      </w:r>
      <w:r w:rsidR="006F31F7" w:rsidRPr="006F4C96">
        <w:rPr>
          <w:rFonts w:ascii="Times New Roman" w:hAnsi="Times New Roman" w:cs="Times New Roman"/>
          <w:szCs w:val="20"/>
        </w:rPr>
        <w:t xml:space="preserve">and body mass index </w:t>
      </w:r>
      <w:r w:rsidRPr="006F4C96">
        <w:rPr>
          <w:rFonts w:ascii="Times New Roman" w:hAnsi="Times New Roman" w:cs="Times New Roman"/>
          <w:szCs w:val="20"/>
        </w:rPr>
        <w:t>also associate with LT</w:t>
      </w:r>
      <w:r w:rsidR="00D15D43" w:rsidRPr="006F4C96">
        <w:rPr>
          <w:rFonts w:ascii="Times New Roman" w:hAnsi="Times New Roman" w:cs="Times New Roman"/>
          <w:szCs w:val="20"/>
        </w:rPr>
        <w:t>L</w:t>
      </w:r>
      <w:r w:rsidR="009E3B99" w:rsidRPr="006F4C96">
        <w:rPr>
          <w:rFonts w:ascii="Times New Roman" w:hAnsi="Times New Roman" w:cs="Times New Roman"/>
          <w:szCs w:val="20"/>
        </w:rPr>
        <w:t xml:space="preserve"> [</w:t>
      </w:r>
      <w:r w:rsidR="0095100B" w:rsidRPr="006F4C96">
        <w:rPr>
          <w:rFonts w:ascii="Times New Roman" w:hAnsi="Times New Roman" w:cs="Times New Roman"/>
          <w:szCs w:val="20"/>
        </w:rPr>
        <w:t>30</w:t>
      </w:r>
      <w:r w:rsidR="000E3CF2" w:rsidRPr="006F4C96">
        <w:rPr>
          <w:rFonts w:ascii="Times New Roman" w:hAnsi="Times New Roman" w:cs="Times New Roman"/>
          <w:szCs w:val="20"/>
        </w:rPr>
        <w:t>–3</w:t>
      </w:r>
      <w:r w:rsidR="0095100B" w:rsidRPr="006F4C96">
        <w:rPr>
          <w:rFonts w:ascii="Times New Roman" w:hAnsi="Times New Roman" w:cs="Times New Roman"/>
          <w:szCs w:val="20"/>
        </w:rPr>
        <w:t>4</w:t>
      </w:r>
      <w:r w:rsidR="009E3B99" w:rsidRPr="006F4C96">
        <w:rPr>
          <w:rFonts w:ascii="Times New Roman" w:hAnsi="Times New Roman" w:cs="Times New Roman"/>
          <w:szCs w:val="20"/>
        </w:rPr>
        <w:t>].</w:t>
      </w:r>
      <w:r w:rsidRPr="006F4C96">
        <w:rPr>
          <w:rFonts w:ascii="Times New Roman" w:hAnsi="Times New Roman" w:cs="Times New Roman"/>
          <w:szCs w:val="20"/>
        </w:rPr>
        <w:t xml:space="preserve"> </w:t>
      </w:r>
      <w:r w:rsidR="00D15D43" w:rsidRPr="006F4C96">
        <w:rPr>
          <w:rFonts w:ascii="Times New Roman" w:hAnsi="Times New Roman" w:cs="Times New Roman"/>
          <w:szCs w:val="20"/>
        </w:rPr>
        <w:t>Furthermore, there is evidence from animal studies that restoration of telomere length can reverse age</w:t>
      </w:r>
      <w:r w:rsidR="000E3CF2" w:rsidRPr="006F4C96">
        <w:rPr>
          <w:rFonts w:ascii="Times New Roman" w:hAnsi="Times New Roman" w:cs="Times New Roman"/>
          <w:szCs w:val="20"/>
        </w:rPr>
        <w:t>–</w:t>
      </w:r>
      <w:r w:rsidR="00D15D43" w:rsidRPr="006F4C96">
        <w:rPr>
          <w:rFonts w:ascii="Times New Roman" w:hAnsi="Times New Roman" w:cs="Times New Roman"/>
          <w:szCs w:val="20"/>
        </w:rPr>
        <w:t>related phenotypes</w:t>
      </w:r>
      <w:r w:rsidR="009E3B99" w:rsidRPr="006F4C96">
        <w:rPr>
          <w:rFonts w:ascii="Times New Roman" w:hAnsi="Times New Roman" w:cs="Times New Roman"/>
          <w:szCs w:val="20"/>
        </w:rPr>
        <w:t xml:space="preserve"> [</w:t>
      </w:r>
      <w:r w:rsidR="000E3CF2" w:rsidRPr="006F4C96">
        <w:rPr>
          <w:rFonts w:ascii="Times New Roman" w:hAnsi="Times New Roman" w:cs="Times New Roman"/>
          <w:szCs w:val="20"/>
        </w:rPr>
        <w:t>3</w:t>
      </w:r>
      <w:r w:rsidR="0095100B" w:rsidRPr="006F4C96">
        <w:rPr>
          <w:rFonts w:ascii="Times New Roman" w:hAnsi="Times New Roman" w:cs="Times New Roman"/>
          <w:szCs w:val="20"/>
        </w:rPr>
        <w:t>5</w:t>
      </w:r>
      <w:r w:rsidR="009E3B99" w:rsidRPr="006F4C96">
        <w:rPr>
          <w:rFonts w:ascii="Times New Roman" w:hAnsi="Times New Roman" w:cs="Times New Roman"/>
          <w:szCs w:val="20"/>
        </w:rPr>
        <w:t>].</w:t>
      </w:r>
      <w:r w:rsidR="00D15D43" w:rsidRPr="006F4C96">
        <w:rPr>
          <w:rFonts w:ascii="Times New Roman" w:hAnsi="Times New Roman" w:cs="Times New Roman"/>
          <w:szCs w:val="20"/>
        </w:rPr>
        <w:t xml:space="preserve"> </w:t>
      </w:r>
      <w:r w:rsidR="00CD6722" w:rsidRPr="006F4C96">
        <w:rPr>
          <w:rFonts w:ascii="Times New Roman" w:hAnsi="Times New Roman" w:cs="Times New Roman"/>
          <w:szCs w:val="20"/>
        </w:rPr>
        <w:t>Therefore, if the relationship between shorter LTL and increased risk of frailty can be confirmed to be causal, preservation of LTL through lifestyle changes or safe manipulation of telomere length may emerge as a novel target to reduce the risk of frailty.</w:t>
      </w:r>
    </w:p>
    <w:p w14:paraId="3F08F964" w14:textId="4127BAD7"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More broadly, our analysis and findings have relevance to definitional approaches, which have been developed for the characterisation of frailty</w:t>
      </w:r>
      <w:r w:rsidR="009E3B99" w:rsidRPr="006F4C96">
        <w:rPr>
          <w:rFonts w:ascii="Times New Roman" w:hAnsi="Times New Roman" w:cs="Times New Roman"/>
          <w:szCs w:val="20"/>
        </w:rPr>
        <w:t xml:space="preserve"> [</w:t>
      </w:r>
      <w:r w:rsidR="00394818" w:rsidRPr="006F4C96">
        <w:rPr>
          <w:rFonts w:ascii="Times New Roman" w:hAnsi="Times New Roman" w:cs="Times New Roman"/>
          <w:szCs w:val="20"/>
        </w:rPr>
        <w:t>2,</w:t>
      </w:r>
      <w:r w:rsidR="009E3B99" w:rsidRPr="006F4C96">
        <w:rPr>
          <w:rFonts w:ascii="Times New Roman" w:hAnsi="Times New Roman" w:cs="Times New Roman"/>
          <w:szCs w:val="20"/>
        </w:rPr>
        <w:t xml:space="preserve"> </w:t>
      </w:r>
      <w:r w:rsidR="00394818" w:rsidRPr="006F4C96">
        <w:rPr>
          <w:rFonts w:ascii="Times New Roman" w:hAnsi="Times New Roman" w:cs="Times New Roman"/>
          <w:szCs w:val="20"/>
        </w:rPr>
        <w:t>3</w:t>
      </w:r>
      <w:r w:rsidR="009E3B99" w:rsidRPr="006F4C96">
        <w:rPr>
          <w:rFonts w:ascii="Times New Roman" w:hAnsi="Times New Roman" w:cs="Times New Roman"/>
          <w:szCs w:val="20"/>
        </w:rPr>
        <w:t>].</w:t>
      </w:r>
      <w:r w:rsidRPr="006F4C96">
        <w:rPr>
          <w:rFonts w:ascii="Times New Roman" w:hAnsi="Times New Roman" w:cs="Times New Roman"/>
          <w:szCs w:val="20"/>
        </w:rPr>
        <w:t xml:space="preserve"> The concept of frailty attempts to explain the heterogeneity in health and functional status, as individuals get older, which is thought to arise from a reduction in reserve capacity in various physiologic systems. In the present analysis, LTL–frailty associations were at least partly independent of the presence of long–term comorbidities, included either as number of conditions or via the residuals derived from LTL regressed on the wider set of 123 morbidities. This suggests that there is, in addition to “accumulated morbidity”, an element of the frailty syndrome that is independent of comorbidities, as proposed by Fried et al</w:t>
      </w:r>
      <w:r w:rsidR="00E53280" w:rsidRPr="006F4C96">
        <w:rPr>
          <w:rFonts w:ascii="Times New Roman" w:hAnsi="Times New Roman" w:cs="Times New Roman"/>
          <w:szCs w:val="20"/>
        </w:rPr>
        <w:t>. [</w:t>
      </w:r>
      <w:r w:rsidRPr="006F4C96">
        <w:rPr>
          <w:rFonts w:ascii="Times New Roman" w:hAnsi="Times New Roman" w:cs="Times New Roman"/>
          <w:szCs w:val="20"/>
        </w:rPr>
        <w:t>3</w:t>
      </w:r>
      <w:r w:rsidR="00E53280" w:rsidRPr="006F4C96">
        <w:rPr>
          <w:rFonts w:ascii="Times New Roman" w:hAnsi="Times New Roman" w:cs="Times New Roman"/>
          <w:szCs w:val="20"/>
        </w:rPr>
        <w:t>]</w:t>
      </w:r>
      <w:r w:rsidRPr="006F4C96">
        <w:rPr>
          <w:rFonts w:ascii="Times New Roman" w:hAnsi="Times New Roman" w:cs="Times New Roman"/>
          <w:szCs w:val="20"/>
        </w:rPr>
        <w:t xml:space="preserve"> thereby supporting the notion that the syndromic approach may identify elements of vulnerability and resilience that distinguish frailty from disability or disease that accumulate over time</w:t>
      </w:r>
      <w:r w:rsidR="009E3B99" w:rsidRPr="006F4C96">
        <w:rPr>
          <w:rFonts w:ascii="Times New Roman" w:hAnsi="Times New Roman" w:cs="Times New Roman"/>
          <w:szCs w:val="20"/>
        </w:rPr>
        <w:t xml:space="preserve"> [</w:t>
      </w:r>
      <w:r w:rsidRPr="006F4C96">
        <w:rPr>
          <w:rFonts w:ascii="Times New Roman" w:hAnsi="Times New Roman" w:cs="Times New Roman"/>
          <w:szCs w:val="20"/>
        </w:rPr>
        <w:t>1,</w:t>
      </w:r>
      <w:r w:rsidR="009E3B99" w:rsidRPr="006F4C96">
        <w:rPr>
          <w:rFonts w:ascii="Times New Roman" w:hAnsi="Times New Roman" w:cs="Times New Roman"/>
          <w:szCs w:val="20"/>
        </w:rPr>
        <w:t xml:space="preserve"> </w:t>
      </w:r>
      <w:r w:rsidR="000E3CF2" w:rsidRPr="006F4C96">
        <w:rPr>
          <w:rFonts w:ascii="Times New Roman" w:hAnsi="Times New Roman" w:cs="Times New Roman"/>
          <w:szCs w:val="20"/>
        </w:rPr>
        <w:t>3</w:t>
      </w:r>
      <w:r w:rsidR="004D316E" w:rsidRPr="006F4C96">
        <w:rPr>
          <w:rFonts w:ascii="Times New Roman" w:hAnsi="Times New Roman" w:cs="Times New Roman"/>
          <w:szCs w:val="20"/>
        </w:rPr>
        <w:t>6</w:t>
      </w:r>
      <w:r w:rsidR="009E3B99" w:rsidRPr="006F4C96">
        <w:rPr>
          <w:rFonts w:ascii="Times New Roman" w:hAnsi="Times New Roman" w:cs="Times New Roman"/>
          <w:szCs w:val="20"/>
        </w:rPr>
        <w:t>].</w:t>
      </w:r>
    </w:p>
    <w:p w14:paraId="565449AB" w14:textId="21B36CC0" w:rsidR="00D211F9"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Despite the scale of our study and the uniform and detailed phenotypic characterisation in UKB, some limitations, in addition to those discussed earlier, should be considered in the interpretation of our findings. First, as information to derive the frailty phenotype was only collected at baseline, we are unable to investigate any relationship of inter</w:t>
      </w:r>
      <w:r w:rsidR="001A3B73" w:rsidRPr="006F4C96">
        <w:rPr>
          <w:rFonts w:ascii="Times New Roman" w:hAnsi="Times New Roman" w:cs="Times New Roman"/>
          <w:szCs w:val="20"/>
        </w:rPr>
        <w:t>–</w:t>
      </w:r>
      <w:r w:rsidRPr="006F4C96">
        <w:rPr>
          <w:rFonts w:ascii="Times New Roman" w:hAnsi="Times New Roman" w:cs="Times New Roman"/>
          <w:szCs w:val="20"/>
        </w:rPr>
        <w:t xml:space="preserve">individual variation in LTL to future development of frailty. Similarly, our single point estimate of LTL precludes analysis of the association of any changes in LTL with age and development of frailty. Finally, UKB predominantly comprises individuals of white ethnicity. There are differences in average LTL (adjusting for age and gender) in </w:t>
      </w:r>
      <w:r w:rsidR="00505654" w:rsidRPr="006F4C96">
        <w:rPr>
          <w:rFonts w:ascii="Times New Roman" w:hAnsi="Times New Roman" w:cs="Times New Roman"/>
          <w:szCs w:val="20"/>
        </w:rPr>
        <w:t xml:space="preserve">participants </w:t>
      </w:r>
      <w:r w:rsidRPr="006F4C96">
        <w:rPr>
          <w:rFonts w:ascii="Times New Roman" w:hAnsi="Times New Roman" w:cs="Times New Roman"/>
          <w:szCs w:val="20"/>
        </w:rPr>
        <w:t>from different ethnicities</w:t>
      </w:r>
      <w:r w:rsidR="00E53280" w:rsidRPr="006F4C96">
        <w:rPr>
          <w:rFonts w:ascii="Times New Roman" w:hAnsi="Times New Roman" w:cs="Times New Roman"/>
          <w:szCs w:val="20"/>
        </w:rPr>
        <w:t xml:space="preserve"> [</w:t>
      </w:r>
      <w:r w:rsidR="00525610" w:rsidRPr="006F4C96">
        <w:rPr>
          <w:rFonts w:ascii="Times New Roman" w:hAnsi="Times New Roman" w:cs="Times New Roman"/>
          <w:szCs w:val="20"/>
        </w:rPr>
        <w:t>17</w:t>
      </w:r>
      <w:r w:rsidR="00E53280" w:rsidRPr="006F4C96">
        <w:rPr>
          <w:rFonts w:ascii="Times New Roman" w:hAnsi="Times New Roman" w:cs="Times New Roman"/>
          <w:szCs w:val="20"/>
        </w:rPr>
        <w:t>]</w:t>
      </w:r>
      <w:r w:rsidRPr="006F4C96">
        <w:rPr>
          <w:rFonts w:ascii="Times New Roman" w:hAnsi="Times New Roman" w:cs="Times New Roman"/>
          <w:szCs w:val="20"/>
        </w:rPr>
        <w:t xml:space="preserve"> and whether the association of LTL with risk of frailty differs in </w:t>
      </w:r>
      <w:r w:rsidR="00505654" w:rsidRPr="006F4C96">
        <w:rPr>
          <w:rFonts w:ascii="Times New Roman" w:hAnsi="Times New Roman" w:cs="Times New Roman"/>
          <w:szCs w:val="20"/>
        </w:rPr>
        <w:t xml:space="preserve">participants </w:t>
      </w:r>
      <w:r w:rsidRPr="006F4C96">
        <w:rPr>
          <w:rFonts w:ascii="Times New Roman" w:hAnsi="Times New Roman" w:cs="Times New Roman"/>
          <w:szCs w:val="20"/>
        </w:rPr>
        <w:t>from different backgrounds remains to be investigated.</w:t>
      </w:r>
    </w:p>
    <w:p w14:paraId="11E69006" w14:textId="66551673" w:rsidR="00D7548D" w:rsidRPr="006F4C96" w:rsidRDefault="00D211F9" w:rsidP="008C738E">
      <w:pPr>
        <w:spacing w:after="0" w:line="480" w:lineRule="auto"/>
        <w:ind w:firstLine="567"/>
        <w:rPr>
          <w:rFonts w:ascii="Times New Roman" w:hAnsi="Times New Roman" w:cs="Times New Roman"/>
          <w:szCs w:val="20"/>
        </w:rPr>
      </w:pPr>
      <w:r w:rsidRPr="006F4C96">
        <w:rPr>
          <w:rFonts w:ascii="Times New Roman" w:hAnsi="Times New Roman" w:cs="Times New Roman"/>
          <w:szCs w:val="20"/>
        </w:rPr>
        <w:t>In summary, we show that shorter LTL is associated with greater risk of syndromic frailty and that this association is indepen</w:t>
      </w:r>
      <w:r w:rsidR="000469AF" w:rsidRPr="006F4C96">
        <w:rPr>
          <w:rFonts w:ascii="Times New Roman" w:hAnsi="Times New Roman" w:cs="Times New Roman"/>
          <w:szCs w:val="20"/>
        </w:rPr>
        <w:t xml:space="preserve">dent of other risk factors </w:t>
      </w:r>
      <w:r w:rsidRPr="006F4C96">
        <w:rPr>
          <w:rFonts w:ascii="Times New Roman" w:hAnsi="Times New Roman" w:cs="Times New Roman"/>
          <w:szCs w:val="20"/>
        </w:rPr>
        <w:t>but partly explained by the causal association of LTL with diseases across multiple body systems. Our findings provide evidence for a</w:t>
      </w:r>
      <w:r w:rsidR="000469AF" w:rsidRPr="006F4C96">
        <w:rPr>
          <w:rFonts w:ascii="Times New Roman" w:hAnsi="Times New Roman" w:cs="Times New Roman"/>
          <w:szCs w:val="20"/>
        </w:rPr>
        <w:t xml:space="preserve">n additional biological factor </w:t>
      </w:r>
      <w:r w:rsidR="00435D17" w:rsidRPr="006F4C96">
        <w:rPr>
          <w:rFonts w:ascii="Times New Roman" w:hAnsi="Times New Roman" w:cs="Times New Roman"/>
          <w:szCs w:val="20"/>
        </w:rPr>
        <w:t>associated with the</w:t>
      </w:r>
      <w:r w:rsidRPr="006F4C96">
        <w:rPr>
          <w:rFonts w:ascii="Times New Roman" w:hAnsi="Times New Roman" w:cs="Times New Roman"/>
          <w:szCs w:val="20"/>
        </w:rPr>
        <w:t xml:space="preserve"> risk of frailty.</w:t>
      </w:r>
    </w:p>
    <w:p w14:paraId="6A4F40C7" w14:textId="77777777" w:rsidR="00CB1B4B" w:rsidRPr="006F4C96" w:rsidRDefault="00CB1B4B" w:rsidP="008C738E">
      <w:pPr>
        <w:spacing w:after="0"/>
        <w:rPr>
          <w:rFonts w:ascii="Times New Roman" w:hAnsi="Times New Roman" w:cs="Times New Roman"/>
          <w:b/>
          <w:szCs w:val="20"/>
        </w:rPr>
        <w:sectPr w:rsidR="00CB1B4B" w:rsidRPr="006F4C96" w:rsidSect="00CB1B4B">
          <w:pgSz w:w="11906" w:h="16838"/>
          <w:pgMar w:top="1440" w:right="1440" w:bottom="1418" w:left="1440" w:header="709" w:footer="709" w:gutter="0"/>
          <w:cols w:space="708"/>
          <w:docGrid w:linePitch="360"/>
        </w:sectPr>
      </w:pPr>
    </w:p>
    <w:p w14:paraId="278CFB07" w14:textId="226EC35A" w:rsidR="00765914" w:rsidRPr="006F4C96" w:rsidRDefault="00E25058" w:rsidP="008C738E">
      <w:pPr>
        <w:spacing w:after="0" w:line="480" w:lineRule="auto"/>
        <w:rPr>
          <w:rFonts w:ascii="Times New Roman" w:hAnsi="Times New Roman" w:cs="Times New Roman"/>
          <w:szCs w:val="20"/>
        </w:rPr>
      </w:pPr>
      <w:r w:rsidRPr="006F4C96">
        <w:rPr>
          <w:rFonts w:ascii="Times New Roman" w:hAnsi="Times New Roman" w:cs="Times New Roman"/>
          <w:b/>
          <w:szCs w:val="20"/>
        </w:rPr>
        <w:t xml:space="preserve">Author </w:t>
      </w:r>
      <w:r w:rsidR="006E4D46" w:rsidRPr="006F4C96">
        <w:rPr>
          <w:rFonts w:ascii="Times New Roman" w:hAnsi="Times New Roman" w:cs="Times New Roman"/>
          <w:b/>
          <w:szCs w:val="20"/>
        </w:rPr>
        <w:t>Contributions:</w:t>
      </w:r>
      <w:r w:rsidR="006E4D46" w:rsidRPr="006F4C96">
        <w:rPr>
          <w:rFonts w:ascii="Times New Roman" w:hAnsi="Times New Roman" w:cs="Times New Roman"/>
          <w:szCs w:val="20"/>
        </w:rPr>
        <w:t xml:space="preserve"> </w:t>
      </w:r>
    </w:p>
    <w:p w14:paraId="23008528" w14:textId="74515664" w:rsidR="00765914" w:rsidRPr="006F4C96" w:rsidRDefault="00765914" w:rsidP="008C738E">
      <w:pPr>
        <w:spacing w:after="0" w:line="480" w:lineRule="auto"/>
        <w:rPr>
          <w:rFonts w:ascii="Times New Roman" w:hAnsi="Times New Roman" w:cs="Times New Roman"/>
          <w:szCs w:val="20"/>
        </w:rPr>
      </w:pPr>
      <w:r w:rsidRPr="006F4C96">
        <w:rPr>
          <w:rFonts w:ascii="Times New Roman" w:hAnsi="Times New Roman" w:cs="Times New Roman"/>
          <w:szCs w:val="20"/>
        </w:rPr>
        <w:t xml:space="preserve">Concept and design: </w:t>
      </w:r>
      <w:r w:rsidR="00424148" w:rsidRPr="006F4C96">
        <w:rPr>
          <w:rFonts w:ascii="Times New Roman" w:hAnsi="Times New Roman" w:cs="Times New Roman"/>
          <w:szCs w:val="20"/>
        </w:rPr>
        <w:t xml:space="preserve">VB, CPN, VC and NJS. </w:t>
      </w:r>
    </w:p>
    <w:p w14:paraId="26A360E4" w14:textId="21A4980E" w:rsidR="00765914" w:rsidRPr="006F4C96" w:rsidRDefault="00765914" w:rsidP="008C738E">
      <w:pPr>
        <w:spacing w:after="0" w:line="480" w:lineRule="auto"/>
        <w:rPr>
          <w:rFonts w:ascii="Times New Roman" w:hAnsi="Times New Roman" w:cs="Times New Roman"/>
          <w:szCs w:val="20"/>
        </w:rPr>
      </w:pPr>
      <w:r w:rsidRPr="006F4C96">
        <w:rPr>
          <w:rFonts w:ascii="Times New Roman" w:hAnsi="Times New Roman" w:cs="Times New Roman"/>
          <w:szCs w:val="20"/>
        </w:rPr>
        <w:t xml:space="preserve">Acquisition of data: </w:t>
      </w:r>
      <w:r w:rsidR="00424148" w:rsidRPr="006F4C96">
        <w:rPr>
          <w:rFonts w:ascii="Times New Roman" w:hAnsi="Times New Roman" w:cs="Times New Roman"/>
          <w:szCs w:val="20"/>
        </w:rPr>
        <w:t>VB</w:t>
      </w:r>
      <w:r w:rsidR="00947916" w:rsidRPr="006F4C96">
        <w:rPr>
          <w:rFonts w:ascii="Times New Roman" w:hAnsi="Times New Roman" w:cs="Times New Roman"/>
          <w:szCs w:val="20"/>
        </w:rPr>
        <w:t>, QW</w:t>
      </w:r>
      <w:r w:rsidR="00C42204" w:rsidRPr="006F4C96">
        <w:rPr>
          <w:rFonts w:ascii="Times New Roman" w:hAnsi="Times New Roman" w:cs="Times New Roman"/>
          <w:szCs w:val="20"/>
        </w:rPr>
        <w:t xml:space="preserve"> and</w:t>
      </w:r>
      <w:r w:rsidR="00424148" w:rsidRPr="006F4C96">
        <w:rPr>
          <w:rFonts w:ascii="Times New Roman" w:hAnsi="Times New Roman" w:cs="Times New Roman"/>
          <w:szCs w:val="20"/>
        </w:rPr>
        <w:t xml:space="preserve"> </w:t>
      </w:r>
      <w:r w:rsidR="00A92E87" w:rsidRPr="006F4C96">
        <w:rPr>
          <w:rFonts w:ascii="Times New Roman" w:hAnsi="Times New Roman" w:cs="Times New Roman"/>
          <w:szCs w:val="20"/>
        </w:rPr>
        <w:t>CM</w:t>
      </w:r>
      <w:r w:rsidR="00D32961" w:rsidRPr="006F4C96">
        <w:rPr>
          <w:rFonts w:ascii="Times New Roman" w:hAnsi="Times New Roman" w:cs="Times New Roman"/>
          <w:szCs w:val="20"/>
        </w:rPr>
        <w:t>.</w:t>
      </w:r>
      <w:r w:rsidR="00424148" w:rsidRPr="006F4C96">
        <w:rPr>
          <w:rFonts w:ascii="Times New Roman" w:hAnsi="Times New Roman" w:cs="Times New Roman"/>
          <w:szCs w:val="20"/>
        </w:rPr>
        <w:t xml:space="preserve"> </w:t>
      </w:r>
      <w:r w:rsidR="00895A44" w:rsidRPr="006F4C96">
        <w:rPr>
          <w:rFonts w:ascii="Times New Roman" w:hAnsi="Times New Roman" w:cs="Times New Roman"/>
          <w:szCs w:val="20"/>
        </w:rPr>
        <w:t xml:space="preserve">VB, CPN and VC have verified the underlying data. </w:t>
      </w:r>
    </w:p>
    <w:p w14:paraId="11AEA665" w14:textId="327C5635" w:rsidR="00765914" w:rsidRPr="006F4C96" w:rsidRDefault="00765914" w:rsidP="008C738E">
      <w:pPr>
        <w:spacing w:after="0" w:line="480" w:lineRule="auto"/>
        <w:rPr>
          <w:rFonts w:ascii="Times New Roman" w:hAnsi="Times New Roman" w:cs="Times New Roman"/>
          <w:szCs w:val="20"/>
        </w:rPr>
      </w:pPr>
      <w:r w:rsidRPr="006F4C96">
        <w:rPr>
          <w:rFonts w:ascii="Times New Roman" w:hAnsi="Times New Roman" w:cs="Times New Roman"/>
          <w:szCs w:val="20"/>
        </w:rPr>
        <w:t xml:space="preserve">Data analysis and interpretation: </w:t>
      </w:r>
      <w:r w:rsidR="00424148" w:rsidRPr="006F4C96">
        <w:rPr>
          <w:rFonts w:ascii="Times New Roman" w:hAnsi="Times New Roman" w:cs="Times New Roman"/>
          <w:szCs w:val="20"/>
        </w:rPr>
        <w:t>VB undertook the majority of the analysis with suggestions and input from all the co</w:t>
      </w:r>
      <w:r w:rsidR="00A92E87" w:rsidRPr="006F4C96">
        <w:rPr>
          <w:rFonts w:ascii="Times New Roman" w:hAnsi="Times New Roman" w:cs="Times New Roman"/>
          <w:szCs w:val="20"/>
        </w:rPr>
        <w:softHyphen/>
        <w:t>–</w:t>
      </w:r>
      <w:r w:rsidR="00424148" w:rsidRPr="006F4C96">
        <w:rPr>
          <w:rFonts w:ascii="Times New Roman" w:hAnsi="Times New Roman" w:cs="Times New Roman"/>
          <w:szCs w:val="20"/>
        </w:rPr>
        <w:t xml:space="preserve">authors. </w:t>
      </w:r>
    </w:p>
    <w:p w14:paraId="2B17CCA1" w14:textId="77777777" w:rsidR="00436D65" w:rsidRPr="006F4C96" w:rsidRDefault="00765914" w:rsidP="008C738E">
      <w:pPr>
        <w:spacing w:after="0" w:line="480" w:lineRule="auto"/>
        <w:rPr>
          <w:rFonts w:ascii="Times New Roman" w:hAnsi="Times New Roman" w:cs="Times New Roman"/>
        </w:rPr>
      </w:pPr>
      <w:r w:rsidRPr="006F4C96">
        <w:rPr>
          <w:rFonts w:ascii="Times New Roman" w:hAnsi="Times New Roman" w:cs="Times New Roman"/>
          <w:szCs w:val="20"/>
        </w:rPr>
        <w:t xml:space="preserve">Drafting of the manuscript: </w:t>
      </w:r>
      <w:r w:rsidR="00D83C17" w:rsidRPr="006F4C96">
        <w:rPr>
          <w:rFonts w:ascii="Times New Roman" w:hAnsi="Times New Roman" w:cs="Times New Roman"/>
          <w:szCs w:val="20"/>
        </w:rPr>
        <w:t xml:space="preserve">VB undertook the literature review. </w:t>
      </w:r>
      <w:r w:rsidR="00424148" w:rsidRPr="006F4C96">
        <w:rPr>
          <w:rFonts w:ascii="Times New Roman" w:hAnsi="Times New Roman" w:cs="Times New Roman"/>
          <w:szCs w:val="20"/>
        </w:rPr>
        <w:t>VB</w:t>
      </w:r>
      <w:r w:rsidR="00751028" w:rsidRPr="006F4C96">
        <w:rPr>
          <w:rFonts w:ascii="Times New Roman" w:hAnsi="Times New Roman" w:cs="Times New Roman"/>
          <w:szCs w:val="20"/>
        </w:rPr>
        <w:t>, CPN, VC, EC</w:t>
      </w:r>
      <w:r w:rsidR="00D32961" w:rsidRPr="006F4C96">
        <w:rPr>
          <w:rFonts w:ascii="Times New Roman" w:hAnsi="Times New Roman" w:cs="Times New Roman"/>
          <w:szCs w:val="20"/>
        </w:rPr>
        <w:t>, NH, CC and</w:t>
      </w:r>
      <w:r w:rsidR="00751028" w:rsidRPr="006F4C96">
        <w:rPr>
          <w:rFonts w:ascii="Times New Roman" w:hAnsi="Times New Roman" w:cs="Times New Roman"/>
          <w:szCs w:val="20"/>
        </w:rPr>
        <w:t xml:space="preserve"> </w:t>
      </w:r>
      <w:r w:rsidR="00424148" w:rsidRPr="006F4C96">
        <w:rPr>
          <w:rFonts w:ascii="Times New Roman" w:hAnsi="Times New Roman" w:cs="Times New Roman"/>
          <w:szCs w:val="20"/>
        </w:rPr>
        <w:t>NJS</w:t>
      </w:r>
      <w:r w:rsidR="00D32961" w:rsidRPr="006F4C96">
        <w:rPr>
          <w:rFonts w:ascii="Times New Roman" w:hAnsi="Times New Roman" w:cs="Times New Roman"/>
          <w:szCs w:val="20"/>
        </w:rPr>
        <w:t xml:space="preserve"> </w:t>
      </w:r>
      <w:r w:rsidRPr="006F4C96">
        <w:rPr>
          <w:rFonts w:ascii="Times New Roman" w:hAnsi="Times New Roman" w:cs="Times New Roman"/>
          <w:szCs w:val="20"/>
        </w:rPr>
        <w:t>Critical revision of the manuscript for important intellectual content:</w:t>
      </w:r>
      <w:r w:rsidR="00436D65" w:rsidRPr="006F4C96">
        <w:rPr>
          <w:rFonts w:ascii="Times New Roman" w:hAnsi="Times New Roman" w:cs="Times New Roman"/>
        </w:rPr>
        <w:t xml:space="preserve"> All authors. </w:t>
      </w:r>
    </w:p>
    <w:p w14:paraId="63DC8370" w14:textId="77777777" w:rsidR="00436D65" w:rsidRPr="006F4C96" w:rsidRDefault="00765914" w:rsidP="008C738E">
      <w:pPr>
        <w:spacing w:after="0" w:line="480" w:lineRule="auto"/>
        <w:rPr>
          <w:rFonts w:ascii="Times New Roman" w:hAnsi="Times New Roman" w:cs="Times New Roman"/>
        </w:rPr>
      </w:pPr>
      <w:r w:rsidRPr="006F4C96">
        <w:rPr>
          <w:rFonts w:ascii="Times New Roman" w:hAnsi="Times New Roman" w:cs="Times New Roman"/>
          <w:szCs w:val="20"/>
        </w:rPr>
        <w:t xml:space="preserve">Funding: </w:t>
      </w:r>
      <w:r w:rsidR="00D32961" w:rsidRPr="006F4C96">
        <w:rPr>
          <w:rFonts w:ascii="Times New Roman" w:hAnsi="Times New Roman" w:cs="Times New Roman"/>
        </w:rPr>
        <w:t xml:space="preserve">VC, CPN, JRT, JND and NJS (Principal investigator) secured funding for the telomere length measurements. </w:t>
      </w:r>
    </w:p>
    <w:p w14:paraId="4097CCE5" w14:textId="77777777" w:rsidR="00436D65" w:rsidRPr="006F4C96" w:rsidRDefault="00436D65" w:rsidP="008C738E">
      <w:pPr>
        <w:spacing w:after="0" w:line="480" w:lineRule="auto"/>
        <w:rPr>
          <w:rFonts w:ascii="Times New Roman" w:hAnsi="Times New Roman" w:cs="Times New Roman"/>
          <w:szCs w:val="20"/>
        </w:rPr>
      </w:pPr>
      <w:r w:rsidRPr="006F4C96">
        <w:rPr>
          <w:rFonts w:ascii="Times New Roman" w:hAnsi="Times New Roman" w:cs="Times New Roman"/>
        </w:rPr>
        <w:t>Responsibility for integrity of the work as a whole: VB and NJS</w:t>
      </w:r>
      <w:r w:rsidRPr="006F4C96">
        <w:rPr>
          <w:rFonts w:ascii="Times New Roman" w:hAnsi="Times New Roman" w:cs="Times New Roman"/>
          <w:szCs w:val="20"/>
        </w:rPr>
        <w:t xml:space="preserve">. </w:t>
      </w:r>
      <w:r w:rsidRPr="006F4C96">
        <w:rPr>
          <w:rFonts w:ascii="Times New Roman" w:hAnsi="Times New Roman" w:cs="Times New Roman"/>
        </w:rPr>
        <w:t xml:space="preserve">All authors approved the manuscript and the decision to submit the paper for publication. </w:t>
      </w:r>
    </w:p>
    <w:p w14:paraId="7130F284" w14:textId="69D2225F" w:rsidR="00CB2C1F" w:rsidRPr="006F4C96" w:rsidRDefault="00765914" w:rsidP="00CB2C1F">
      <w:pPr>
        <w:spacing w:after="0" w:line="480" w:lineRule="auto"/>
        <w:rPr>
          <w:rFonts w:ascii="Times New Roman" w:hAnsi="Times New Roman" w:cs="Times New Roman"/>
        </w:rPr>
      </w:pPr>
      <w:r w:rsidRPr="006F4C96">
        <w:rPr>
          <w:rFonts w:ascii="Times New Roman" w:hAnsi="Times New Roman" w:cs="Times New Roman"/>
          <w:b/>
        </w:rPr>
        <w:t>Conflict of Interest Disclosures:</w:t>
      </w:r>
      <w:r w:rsidRPr="006F4C96">
        <w:rPr>
          <w:rFonts w:ascii="Times New Roman" w:hAnsi="Times New Roman" w:cs="Times New Roman"/>
        </w:rPr>
        <w:t xml:space="preserve"> </w:t>
      </w:r>
      <w:r w:rsidR="00CB2C1F" w:rsidRPr="006F4C96">
        <w:rPr>
          <w:rFonts w:ascii="Times New Roman" w:hAnsi="Times New Roman" w:cs="Times New Roman"/>
        </w:rPr>
        <w:t>Vasiliki Bountziouka declares that she has no conflict of interest; Christopher P Nelson declares that he has no conflict of interest; Veryan Codd declares that she has no conflict of interest; Qingning Wang declares that she has no conflict of interest; Crispin Musicha declares that he has no conflict of interest; Elias Allara declares that he has no conflict of interest; Stephen Kaptoge declares that he has no conflict of interest; Emanuele Di Angelantonio declares that he has no conflict of interest; Adam S Butterworth declares that he has no conflict of interest; John R Thompson declares that he has no conflict of interest; Elizabeth M Curtis declares that she has no conflict of interest; Angela M Wood declares that she has no conflict of interest; John N Danesh declares that he has no conflict of interest; Nicholas C Harvey declares that he has no conflict of interest; Cyrus Cooper declares that he has no conflict of interest; Nilesh J Samani declares that he has no conflict of interest</w:t>
      </w:r>
    </w:p>
    <w:p w14:paraId="63FB9F29" w14:textId="7FF7CBE7" w:rsidR="006E4D46" w:rsidRPr="006F4C96" w:rsidRDefault="002A6CE3" w:rsidP="008C738E">
      <w:pPr>
        <w:spacing w:after="0" w:line="480" w:lineRule="auto"/>
        <w:rPr>
          <w:rFonts w:ascii="Times New Roman" w:hAnsi="Times New Roman" w:cs="Times New Roman"/>
        </w:rPr>
      </w:pPr>
      <w:r w:rsidRPr="006F4C96">
        <w:rPr>
          <w:rFonts w:ascii="Times New Roman" w:hAnsi="Times New Roman" w:cs="Times New Roman"/>
          <w:b/>
        </w:rPr>
        <w:t>Data sharing:</w:t>
      </w:r>
      <w:r w:rsidRPr="006F4C96">
        <w:rPr>
          <w:rFonts w:ascii="Times New Roman" w:hAnsi="Times New Roman" w:cs="Times New Roman"/>
        </w:rPr>
        <w:t xml:space="preserve"> The MTA </w:t>
      </w:r>
      <w:r w:rsidR="00D32961" w:rsidRPr="006F4C96">
        <w:rPr>
          <w:rFonts w:ascii="Times New Roman" w:hAnsi="Times New Roman" w:cs="Times New Roman"/>
        </w:rPr>
        <w:t xml:space="preserve">with UK Biobank </w:t>
      </w:r>
      <w:r w:rsidRPr="006F4C96">
        <w:rPr>
          <w:rFonts w:ascii="Times New Roman" w:hAnsi="Times New Roman" w:cs="Times New Roman"/>
        </w:rPr>
        <w:t>precludes direct data sharing. All derived data are deposited back to UK Biobank and are available upon request</w:t>
      </w:r>
      <w:r w:rsidR="0067187A" w:rsidRPr="006F4C96">
        <w:rPr>
          <w:rFonts w:ascii="Times New Roman" w:hAnsi="Times New Roman" w:cs="Times New Roman"/>
        </w:rPr>
        <w:t xml:space="preserve"> to UK Biobank</w:t>
      </w:r>
      <w:r w:rsidRPr="006F4C96">
        <w:rPr>
          <w:rFonts w:ascii="Times New Roman" w:hAnsi="Times New Roman" w:cs="Times New Roman"/>
        </w:rPr>
        <w:t>. Dissemination of the findings to study participants will be through the UK Biobank website.</w:t>
      </w:r>
    </w:p>
    <w:p w14:paraId="59F2AFDD" w14:textId="17D5BD49" w:rsidR="00AA0D89" w:rsidRPr="006F4C96" w:rsidRDefault="00AA0D89" w:rsidP="008C738E">
      <w:pPr>
        <w:spacing w:after="0" w:line="480" w:lineRule="auto"/>
        <w:rPr>
          <w:rFonts w:ascii="Times New Roman" w:hAnsi="Times New Roman" w:cs="Times New Roman"/>
        </w:rPr>
      </w:pPr>
      <w:r w:rsidRPr="006F4C96">
        <w:rPr>
          <w:rFonts w:ascii="Times New Roman" w:hAnsi="Times New Roman" w:cs="Times New Roman"/>
          <w:b/>
        </w:rPr>
        <w:t>Funding</w:t>
      </w:r>
      <w:r w:rsidR="00765914" w:rsidRPr="006F4C96">
        <w:rPr>
          <w:rFonts w:ascii="Times New Roman" w:hAnsi="Times New Roman" w:cs="Times New Roman"/>
          <w:b/>
        </w:rPr>
        <w:t>/ Support</w:t>
      </w:r>
      <w:r w:rsidRPr="006F4C96">
        <w:rPr>
          <w:rFonts w:ascii="Times New Roman" w:hAnsi="Times New Roman" w:cs="Times New Roman"/>
          <w:b/>
        </w:rPr>
        <w:t xml:space="preserve">: </w:t>
      </w:r>
      <w:r w:rsidRPr="006F4C96">
        <w:rPr>
          <w:rFonts w:ascii="Times New Roman" w:hAnsi="Times New Roman" w:cs="Times New Roman"/>
        </w:rPr>
        <w:t>This research has been conducted using the UK Biobank Resource u</w:t>
      </w:r>
      <w:r w:rsidR="000469AF" w:rsidRPr="006F4C96">
        <w:rPr>
          <w:rFonts w:ascii="Times New Roman" w:hAnsi="Times New Roman" w:cs="Times New Roman"/>
        </w:rPr>
        <w:t>nder Application Number 6077. Generation of the LTL measurements</w:t>
      </w:r>
      <w:r w:rsidRPr="006F4C96">
        <w:rPr>
          <w:rFonts w:ascii="Times New Roman" w:hAnsi="Times New Roman" w:cs="Times New Roman"/>
        </w:rPr>
        <w:t xml:space="preserve"> was funded by the UK Medical Research Council (MRC), Biotechnology and Biological Sciences Research Council and British Heart Foundation (BHF) through MRC grant MR/M012816/1. </w:t>
      </w:r>
    </w:p>
    <w:p w14:paraId="45A40C88" w14:textId="2E40B9BE" w:rsidR="00765914" w:rsidRPr="006F4C96" w:rsidRDefault="00765914" w:rsidP="008C738E">
      <w:pPr>
        <w:spacing w:after="0" w:line="480" w:lineRule="auto"/>
        <w:rPr>
          <w:rFonts w:ascii="Times New Roman" w:hAnsi="Times New Roman" w:cs="Times New Roman"/>
          <w:szCs w:val="20"/>
        </w:rPr>
      </w:pPr>
      <w:r w:rsidRPr="006F4C96">
        <w:rPr>
          <w:rFonts w:ascii="Times New Roman" w:hAnsi="Times New Roman" w:cs="Times New Roman"/>
          <w:b/>
          <w:szCs w:val="20"/>
        </w:rPr>
        <w:t xml:space="preserve">Role of funding source: </w:t>
      </w:r>
      <w:r w:rsidRPr="006F4C96">
        <w:rPr>
          <w:rFonts w:ascii="Times New Roman" w:hAnsi="Times New Roman" w:cs="Times New Roman"/>
          <w:szCs w:val="20"/>
        </w:rPr>
        <w:t>The funders had no role in study design; the collection, analysis, and interpretation of data; the writing of the report; and the decision to submit the paper for publication.</w:t>
      </w:r>
    </w:p>
    <w:p w14:paraId="01B4158F" w14:textId="1950DCDE" w:rsidR="000441F4" w:rsidRPr="006F4C96" w:rsidRDefault="00D32961" w:rsidP="008C738E">
      <w:pPr>
        <w:spacing w:after="0" w:line="480" w:lineRule="auto"/>
        <w:rPr>
          <w:rFonts w:ascii="Times New Roman" w:hAnsi="Times New Roman" w:cs="Times New Roman"/>
          <w:b/>
          <w:sz w:val="24"/>
        </w:rPr>
      </w:pPr>
      <w:r w:rsidRPr="006F4C96">
        <w:rPr>
          <w:rFonts w:ascii="Times New Roman" w:hAnsi="Times New Roman" w:cs="Times New Roman"/>
          <w:b/>
        </w:rPr>
        <w:t>Acknowledgments:</w:t>
      </w:r>
      <w:r w:rsidRPr="006F4C96">
        <w:rPr>
          <w:rFonts w:ascii="Times New Roman" w:hAnsi="Times New Roman" w:cs="Times New Roman"/>
        </w:rPr>
        <w:t xml:space="preserve"> </w:t>
      </w:r>
      <w:r w:rsidR="00AA0D89" w:rsidRPr="006F4C96">
        <w:rPr>
          <w:rFonts w:ascii="Times New Roman" w:hAnsi="Times New Roman" w:cs="Times New Roman"/>
        </w:rPr>
        <w:t>University of Leicester investigators are supported by the National Institute for Health Research (NIHR) Leicester Cardiovascular Biomedical Research Centre (BRC</w:t>
      </w:r>
      <w:r w:rsidR="00F043E9" w:rsidRPr="006F4C96">
        <w:rPr>
          <w:rFonts w:ascii="Times New Roman" w:hAnsi="Times New Roman" w:cs="Times New Roman"/>
        </w:rPr>
        <w:t>–</w:t>
      </w:r>
      <w:r w:rsidR="00AA0D89" w:rsidRPr="006F4C96">
        <w:rPr>
          <w:rFonts w:ascii="Times New Roman" w:hAnsi="Times New Roman" w:cs="Times New Roman"/>
        </w:rPr>
        <w:t>1215</w:t>
      </w:r>
      <w:r w:rsidR="00F043E9" w:rsidRPr="006F4C96">
        <w:rPr>
          <w:rFonts w:ascii="Times New Roman" w:hAnsi="Times New Roman" w:cs="Times New Roman"/>
        </w:rPr>
        <w:t>–</w:t>
      </w:r>
      <w:r w:rsidR="00AA0D89" w:rsidRPr="006F4C96">
        <w:rPr>
          <w:rFonts w:ascii="Times New Roman" w:hAnsi="Times New Roman" w:cs="Times New Roman"/>
        </w:rPr>
        <w:t>20010). CPN is funded by the BHF (SP/16/4/32697). Cambridge University investigators are supported by the BHF (RG/13/13/30194; RG/18/13/33946), Health Data Research UK, NIHR Cambridge Biomedical Research Centre (BRC</w:t>
      </w:r>
      <w:r w:rsidR="00F043E9" w:rsidRPr="006F4C96">
        <w:rPr>
          <w:rFonts w:ascii="Times New Roman" w:hAnsi="Times New Roman" w:cs="Times New Roman"/>
        </w:rPr>
        <w:t>–</w:t>
      </w:r>
      <w:r w:rsidR="00AA0D89" w:rsidRPr="006F4C96">
        <w:rPr>
          <w:rFonts w:ascii="Times New Roman" w:hAnsi="Times New Roman" w:cs="Times New Roman"/>
        </w:rPr>
        <w:t>1215</w:t>
      </w:r>
      <w:r w:rsidR="00F043E9" w:rsidRPr="006F4C96">
        <w:rPr>
          <w:rFonts w:ascii="Times New Roman" w:hAnsi="Times New Roman" w:cs="Times New Roman"/>
        </w:rPr>
        <w:t>–</w:t>
      </w:r>
      <w:r w:rsidR="00AA0D89" w:rsidRPr="006F4C96">
        <w:rPr>
          <w:rFonts w:ascii="Times New Roman" w:hAnsi="Times New Roman" w:cs="Times New Roman"/>
        </w:rPr>
        <w:t>20014), NIHR Blood and Transplant Research Unit in Donor Health and Genomics (NIHR BTRU</w:t>
      </w:r>
      <w:r w:rsidR="00F043E9" w:rsidRPr="006F4C96">
        <w:rPr>
          <w:rFonts w:ascii="Times New Roman" w:hAnsi="Times New Roman" w:cs="Times New Roman"/>
        </w:rPr>
        <w:t>–</w:t>
      </w:r>
      <w:r w:rsidR="00AA0D89" w:rsidRPr="006F4C96">
        <w:rPr>
          <w:rFonts w:ascii="Times New Roman" w:hAnsi="Times New Roman" w:cs="Times New Roman"/>
        </w:rPr>
        <w:t>2014</w:t>
      </w:r>
      <w:r w:rsidR="00F043E9" w:rsidRPr="006F4C96">
        <w:rPr>
          <w:rFonts w:ascii="Times New Roman" w:hAnsi="Times New Roman" w:cs="Times New Roman"/>
        </w:rPr>
        <w:t>–</w:t>
      </w:r>
      <w:r w:rsidR="00AA0D89" w:rsidRPr="006F4C96">
        <w:rPr>
          <w:rFonts w:ascii="Times New Roman" w:hAnsi="Times New Roman" w:cs="Times New Roman"/>
        </w:rPr>
        <w:t>10024) and MRC (MR/L003120/1). JD holds a BHF Personal Professorship and NIHR Senior Investigator Award. AMW and EA received support from the EU/EFPIA Innovative Medicines Initiative Joint Undertaking BigData@Heart (11607).</w:t>
      </w:r>
      <w:r w:rsidR="00AA0D89" w:rsidRPr="006F4C96">
        <w:rPr>
          <w:rFonts w:ascii="Times New Roman" w:hAnsi="Times New Roman" w:cs="Times New Roman"/>
          <w:b/>
        </w:rPr>
        <w:t xml:space="preserve"> </w:t>
      </w:r>
      <w:r w:rsidR="00AA0D89" w:rsidRPr="006F4C96">
        <w:rPr>
          <w:rFonts w:ascii="Times New Roman" w:hAnsi="Times New Roman" w:cs="Times New Roman"/>
        </w:rPr>
        <w:t>University of Southampton investigators are supported by</w:t>
      </w:r>
      <w:r w:rsidR="00642C9D" w:rsidRPr="006F4C96">
        <w:rPr>
          <w:rFonts w:ascii="Times New Roman" w:hAnsi="Times New Roman" w:cs="Times New Roman"/>
        </w:rPr>
        <w:t xml:space="preserve"> Medical Research Council (MRC) [4050502589 (MRC LEU)], National Institute for Health Research (NIHR) Southampton Biomedical Research Centre, University of Southampton and University Hospital Southampton NHS Foundation Trust, and NIHR Oxford Biomedical Research Centre, University of Oxford.</w:t>
      </w:r>
      <w:r w:rsidR="00EB408F" w:rsidRPr="006F4C96">
        <w:t xml:space="preserve"> </w:t>
      </w:r>
      <w:r w:rsidR="00EB408F" w:rsidRPr="006F4C96">
        <w:rPr>
          <w:rFonts w:ascii="Times New Roman" w:hAnsi="Times New Roman" w:cs="Times New Roman"/>
        </w:rPr>
        <w:t xml:space="preserve">The authors </w:t>
      </w:r>
      <w:r w:rsidR="00800E4D" w:rsidRPr="006F4C96">
        <w:rPr>
          <w:rFonts w:ascii="Times New Roman" w:hAnsi="Times New Roman" w:cs="Times New Roman"/>
        </w:rPr>
        <w:t xml:space="preserve">of this manuscript </w:t>
      </w:r>
      <w:r w:rsidR="00EB408F" w:rsidRPr="006F4C96">
        <w:rPr>
          <w:rFonts w:ascii="Times New Roman" w:hAnsi="Times New Roman" w:cs="Times New Roman"/>
        </w:rPr>
        <w:t xml:space="preserve">certify that they comply with the ethical guidelines for publishing in the </w:t>
      </w:r>
      <w:r w:rsidR="00EB408F" w:rsidRPr="006F4C96">
        <w:rPr>
          <w:rFonts w:ascii="Times New Roman" w:hAnsi="Times New Roman" w:cs="Times New Roman"/>
          <w:i/>
        </w:rPr>
        <w:t>Journal of Cachexia, Sarcopenia and Muscle</w:t>
      </w:r>
      <w:r w:rsidR="00EB408F" w:rsidRPr="006F4C96">
        <w:rPr>
          <w:rFonts w:ascii="Times New Roman" w:hAnsi="Times New Roman" w:cs="Times New Roman"/>
        </w:rPr>
        <w:t>: update 2019.</w:t>
      </w:r>
      <w:r w:rsidR="00EB408F" w:rsidRPr="006F4C96">
        <w:rPr>
          <w:rFonts w:ascii="Times New Roman" w:hAnsi="Times New Roman" w:cs="Times New Roman"/>
          <w:vertAlign w:val="superscript"/>
        </w:rPr>
        <w:t>3</w:t>
      </w:r>
      <w:r w:rsidR="004D316E" w:rsidRPr="006F4C96">
        <w:rPr>
          <w:rFonts w:ascii="Times New Roman" w:hAnsi="Times New Roman" w:cs="Times New Roman"/>
          <w:vertAlign w:val="superscript"/>
        </w:rPr>
        <w:t>7</w:t>
      </w:r>
    </w:p>
    <w:p w14:paraId="0781191E" w14:textId="77777777" w:rsidR="00346757" w:rsidRPr="006F4C96" w:rsidRDefault="00346757" w:rsidP="008C738E">
      <w:pPr>
        <w:spacing w:after="0"/>
        <w:rPr>
          <w:rFonts w:ascii="Times New Roman" w:hAnsi="Times New Roman" w:cs="Times New Roman"/>
          <w:b/>
          <w:sz w:val="24"/>
        </w:rPr>
      </w:pPr>
      <w:r w:rsidRPr="006F4C96">
        <w:rPr>
          <w:rFonts w:ascii="Times New Roman" w:hAnsi="Times New Roman" w:cs="Times New Roman"/>
          <w:b/>
          <w:sz w:val="24"/>
        </w:rPr>
        <w:br w:type="page"/>
      </w:r>
    </w:p>
    <w:p w14:paraId="26708B0A" w14:textId="5DE3CECB" w:rsidR="00C45867" w:rsidRPr="006F4C96" w:rsidRDefault="00C45867" w:rsidP="008C738E">
      <w:pPr>
        <w:spacing w:after="0"/>
        <w:rPr>
          <w:rFonts w:ascii="Times New Roman" w:hAnsi="Times New Roman" w:cs="Times New Roman"/>
          <w:b/>
          <w:sz w:val="20"/>
        </w:rPr>
      </w:pPr>
      <w:r w:rsidRPr="006F4C96">
        <w:rPr>
          <w:rFonts w:ascii="Times New Roman" w:hAnsi="Times New Roman" w:cs="Times New Roman"/>
          <w:b/>
          <w:sz w:val="24"/>
        </w:rPr>
        <w:t>References</w:t>
      </w:r>
    </w:p>
    <w:p w14:paraId="4692B4A8" w14:textId="5D1D8301" w:rsidR="00C45867" w:rsidRPr="006F4C96" w:rsidRDefault="00CA3C63"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Rockwood K, Song X, MacKnight C, et al. A global clinical measure of fitness and frailty in elderly people. </w:t>
      </w:r>
      <w:r w:rsidR="00A60B14" w:rsidRPr="006F4C96">
        <w:rPr>
          <w:rFonts w:ascii="Times New Roman" w:hAnsi="Times New Roman" w:cs="Times New Roman"/>
          <w:i/>
          <w:sz w:val="20"/>
          <w:szCs w:val="20"/>
        </w:rPr>
        <w:t>CMAJ</w:t>
      </w:r>
      <w:r w:rsidR="00A60B14" w:rsidRPr="006F4C96">
        <w:rPr>
          <w:rFonts w:ascii="Times New Roman" w:hAnsi="Times New Roman" w:cs="Times New Roman"/>
          <w:sz w:val="20"/>
          <w:szCs w:val="20"/>
        </w:rPr>
        <w:t xml:space="preserve"> </w:t>
      </w:r>
      <w:r w:rsidRPr="006F4C96">
        <w:rPr>
          <w:rFonts w:ascii="Times New Roman" w:hAnsi="Times New Roman" w:cs="Times New Roman"/>
          <w:sz w:val="20"/>
          <w:szCs w:val="20"/>
        </w:rPr>
        <w:t xml:space="preserve">2005; </w:t>
      </w:r>
      <w:r w:rsidRPr="006F4C96">
        <w:rPr>
          <w:rFonts w:ascii="Times New Roman" w:hAnsi="Times New Roman" w:cs="Times New Roman"/>
          <w:b/>
          <w:sz w:val="20"/>
          <w:szCs w:val="20"/>
        </w:rPr>
        <w:t>173</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489–</w:t>
      </w:r>
      <w:r w:rsidR="000E3CF2" w:rsidRPr="006F4C96">
        <w:rPr>
          <w:rFonts w:ascii="Times New Roman" w:hAnsi="Times New Roman" w:cs="Times New Roman"/>
          <w:sz w:val="20"/>
          <w:szCs w:val="20"/>
        </w:rPr>
        <w:t>4</w:t>
      </w:r>
      <w:r w:rsidRPr="006F4C96">
        <w:rPr>
          <w:rFonts w:ascii="Times New Roman" w:hAnsi="Times New Roman" w:cs="Times New Roman"/>
          <w:sz w:val="20"/>
          <w:szCs w:val="20"/>
        </w:rPr>
        <w:t>95.</w:t>
      </w:r>
    </w:p>
    <w:p w14:paraId="290C22F2" w14:textId="354392BF" w:rsidR="005B6C5C" w:rsidRPr="006F4C96" w:rsidRDefault="005B6C5C"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Cooper C, Dere W, Evans W, et al. Frailty and sarcopenia: Definitions and outcome parameters. </w:t>
      </w:r>
      <w:r w:rsidRPr="006F4C96">
        <w:rPr>
          <w:rFonts w:ascii="Times New Roman" w:hAnsi="Times New Roman" w:cs="Times New Roman"/>
          <w:i/>
          <w:sz w:val="20"/>
        </w:rPr>
        <w:t>Osteoporos Int</w:t>
      </w:r>
      <w:r w:rsidRPr="006F4C96">
        <w:rPr>
          <w:rFonts w:ascii="Times New Roman" w:hAnsi="Times New Roman" w:cs="Times New Roman"/>
          <w:sz w:val="20"/>
        </w:rPr>
        <w:t xml:space="preserve"> 2012; </w:t>
      </w:r>
      <w:r w:rsidRPr="006F4C96">
        <w:rPr>
          <w:rFonts w:ascii="Times New Roman" w:hAnsi="Times New Roman" w:cs="Times New Roman"/>
          <w:b/>
          <w:sz w:val="20"/>
        </w:rPr>
        <w:t>23</w:t>
      </w:r>
      <w:r w:rsidR="000E3CF2" w:rsidRPr="006F4C96">
        <w:rPr>
          <w:rFonts w:ascii="Times New Roman" w:hAnsi="Times New Roman" w:cs="Times New Roman"/>
          <w:sz w:val="20"/>
        </w:rPr>
        <w:t>:</w:t>
      </w:r>
      <w:r w:rsidRPr="006F4C96">
        <w:rPr>
          <w:rFonts w:ascii="Times New Roman" w:hAnsi="Times New Roman" w:cs="Times New Roman"/>
          <w:sz w:val="20"/>
        </w:rPr>
        <w:t xml:space="preserve"> 1839–</w:t>
      </w:r>
      <w:r w:rsidR="000E3CF2" w:rsidRPr="006F4C96">
        <w:rPr>
          <w:rFonts w:ascii="Times New Roman" w:hAnsi="Times New Roman" w:cs="Times New Roman"/>
          <w:sz w:val="20"/>
        </w:rPr>
        <w:t>18</w:t>
      </w:r>
      <w:r w:rsidRPr="006F4C96">
        <w:rPr>
          <w:rFonts w:ascii="Times New Roman" w:hAnsi="Times New Roman" w:cs="Times New Roman"/>
          <w:sz w:val="20"/>
        </w:rPr>
        <w:t>48.</w:t>
      </w:r>
    </w:p>
    <w:p w14:paraId="7E3F0D06" w14:textId="7D788048" w:rsidR="005B6C5C" w:rsidRPr="006F4C96" w:rsidRDefault="005B6C5C"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Fried LP, Tangen CM, Walston J, et al. Frailty in older adults: evidence for a phenotype. </w:t>
      </w:r>
      <w:r w:rsidRPr="006F4C96">
        <w:rPr>
          <w:rFonts w:ascii="Times New Roman" w:hAnsi="Times New Roman" w:cs="Times New Roman"/>
          <w:i/>
          <w:sz w:val="20"/>
          <w:szCs w:val="20"/>
        </w:rPr>
        <w:t>J Gerontol A Biol Sci Med Sci</w:t>
      </w:r>
      <w:r w:rsidRPr="006F4C96">
        <w:rPr>
          <w:rFonts w:ascii="Times New Roman" w:hAnsi="Times New Roman" w:cs="Times New Roman"/>
          <w:sz w:val="20"/>
          <w:szCs w:val="20"/>
        </w:rPr>
        <w:t xml:space="preserve"> 2001; </w:t>
      </w:r>
      <w:r w:rsidRPr="006F4C96">
        <w:rPr>
          <w:rFonts w:ascii="Times New Roman" w:hAnsi="Times New Roman" w:cs="Times New Roman"/>
          <w:b/>
          <w:sz w:val="20"/>
          <w:szCs w:val="20"/>
        </w:rPr>
        <w:t>56</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M146–</w:t>
      </w:r>
      <w:r w:rsidR="000E3CF2" w:rsidRPr="006F4C96">
        <w:rPr>
          <w:rFonts w:ascii="Times New Roman" w:hAnsi="Times New Roman" w:cs="Times New Roman"/>
          <w:sz w:val="20"/>
          <w:szCs w:val="20"/>
        </w:rPr>
        <w:t>1</w:t>
      </w:r>
      <w:r w:rsidRPr="006F4C96">
        <w:rPr>
          <w:rFonts w:ascii="Times New Roman" w:hAnsi="Times New Roman" w:cs="Times New Roman"/>
          <w:sz w:val="20"/>
          <w:szCs w:val="20"/>
        </w:rPr>
        <w:t>56.</w:t>
      </w:r>
    </w:p>
    <w:p w14:paraId="6207CF65" w14:textId="26EFD590" w:rsidR="000C576E" w:rsidRPr="006F4C96" w:rsidRDefault="000C576E"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Hogan DB, MacKnight C, Bergman H; Steering Committee. Canadian Initiative on Frailty and Aging. Models, definitions, and criteria of frailty. </w:t>
      </w:r>
      <w:r w:rsidRPr="006F4C96">
        <w:rPr>
          <w:rFonts w:ascii="Times New Roman" w:hAnsi="Times New Roman" w:cs="Times New Roman"/>
          <w:i/>
          <w:sz w:val="20"/>
          <w:szCs w:val="20"/>
        </w:rPr>
        <w:t>Aging Clin Exp Res</w:t>
      </w:r>
      <w:r w:rsidRPr="006F4C96">
        <w:rPr>
          <w:rFonts w:ascii="Times New Roman" w:hAnsi="Times New Roman" w:cs="Times New Roman"/>
          <w:sz w:val="20"/>
          <w:szCs w:val="20"/>
        </w:rPr>
        <w:t xml:space="preserve"> 2003; </w:t>
      </w:r>
      <w:r w:rsidRPr="006F4C96">
        <w:rPr>
          <w:rFonts w:ascii="Times New Roman" w:hAnsi="Times New Roman" w:cs="Times New Roman"/>
          <w:b/>
          <w:sz w:val="20"/>
          <w:szCs w:val="20"/>
        </w:rPr>
        <w:t>15</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1–29.</w:t>
      </w:r>
    </w:p>
    <w:p w14:paraId="60AC4F00" w14:textId="01195669" w:rsidR="000C576E" w:rsidRPr="006F4C96" w:rsidRDefault="000C576E"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Fried LP, Ferrucci L, Darer J, Williamson JD, Anderson G. Untangling the concepts of disability, frailty, and comorbidity: implications for improved targeting and care. </w:t>
      </w:r>
      <w:r w:rsidRPr="006F4C96">
        <w:rPr>
          <w:rFonts w:ascii="Times New Roman" w:hAnsi="Times New Roman" w:cs="Times New Roman"/>
          <w:i/>
          <w:sz w:val="20"/>
          <w:szCs w:val="20"/>
        </w:rPr>
        <w:t>J Gerontol A Biol Sci Med Sci</w:t>
      </w:r>
      <w:r w:rsidRPr="006F4C96">
        <w:rPr>
          <w:rFonts w:ascii="Times New Roman" w:hAnsi="Times New Roman" w:cs="Times New Roman"/>
          <w:sz w:val="20"/>
          <w:szCs w:val="20"/>
        </w:rPr>
        <w:t xml:space="preserve"> 2004; </w:t>
      </w:r>
      <w:r w:rsidRPr="006F4C96">
        <w:rPr>
          <w:rFonts w:ascii="Times New Roman" w:hAnsi="Times New Roman" w:cs="Times New Roman"/>
          <w:b/>
          <w:sz w:val="20"/>
          <w:szCs w:val="20"/>
        </w:rPr>
        <w:t>59</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255–</w:t>
      </w:r>
      <w:r w:rsidR="000E3CF2" w:rsidRPr="006F4C96">
        <w:rPr>
          <w:rFonts w:ascii="Times New Roman" w:hAnsi="Times New Roman" w:cs="Times New Roman"/>
          <w:sz w:val="20"/>
          <w:szCs w:val="20"/>
        </w:rPr>
        <w:t>2</w:t>
      </w:r>
      <w:r w:rsidRPr="006F4C96">
        <w:rPr>
          <w:rFonts w:ascii="Times New Roman" w:hAnsi="Times New Roman" w:cs="Times New Roman"/>
          <w:sz w:val="20"/>
          <w:szCs w:val="20"/>
        </w:rPr>
        <w:t>63.</w:t>
      </w:r>
    </w:p>
    <w:p w14:paraId="5F673D0A" w14:textId="1AB6CDDF"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Rodríguez</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Mañas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Féart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Mann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G,</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Viña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FOD</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CC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group.</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Searching</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for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operational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definition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of</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Delphi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method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based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consensus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statement: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the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operative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definition</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consensus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conference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project.</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J</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Gerontol</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A</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Biol</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Sci</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Med</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Sci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2013;</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68</w:t>
      </w:r>
      <w:r w:rsidR="000E3CF2"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62</w:t>
      </w:r>
      <w:r w:rsidR="006D64A6" w:rsidRPr="006F4C96">
        <w:rPr>
          <w:rFonts w:ascii="Times New Roman" w:hAnsi="Times New Roman" w:cs="Times New Roman"/>
          <w:sz w:val="20"/>
          <w:szCs w:val="20"/>
        </w:rPr>
        <w:t>–</w:t>
      </w:r>
      <w:r w:rsidR="000E3CF2" w:rsidRPr="006F4C96">
        <w:rPr>
          <w:rFonts w:ascii="Times New Roman" w:hAnsi="Times New Roman" w:cs="Times New Roman"/>
          <w:sz w:val="20"/>
          <w:szCs w:val="20"/>
        </w:rPr>
        <w:t>6</w:t>
      </w:r>
      <w:r w:rsidRPr="006F4C96">
        <w:rPr>
          <w:rFonts w:ascii="Times New Roman" w:hAnsi="Times New Roman" w:cs="Times New Roman"/>
          <w:sz w:val="20"/>
          <w:szCs w:val="20"/>
        </w:rPr>
        <w:t>7.</w:t>
      </w:r>
    </w:p>
    <w:p w14:paraId="169D961B" w14:textId="042235D7"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Morley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Vellas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van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Kan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GA,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consensus: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call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to</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action.</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J</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Am</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Med</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Dir</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Assoc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2013;</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14</w:t>
      </w:r>
      <w:r w:rsidR="000E3CF2"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392</w:t>
      </w:r>
      <w:r w:rsidR="006D64A6" w:rsidRPr="006F4C96">
        <w:rPr>
          <w:rFonts w:ascii="Times New Roman" w:hAnsi="Times New Roman" w:cs="Times New Roman"/>
          <w:sz w:val="20"/>
          <w:szCs w:val="20"/>
        </w:rPr>
        <w:t>–</w:t>
      </w:r>
      <w:r w:rsidR="000E3CF2" w:rsidRPr="006F4C96">
        <w:rPr>
          <w:rFonts w:ascii="Times New Roman" w:hAnsi="Times New Roman" w:cs="Times New Roman"/>
          <w:sz w:val="20"/>
          <w:szCs w:val="20"/>
        </w:rPr>
        <w:t>39</w:t>
      </w:r>
      <w:r w:rsidRPr="006F4C96">
        <w:rPr>
          <w:rFonts w:ascii="Times New Roman" w:hAnsi="Times New Roman" w:cs="Times New Roman"/>
          <w:sz w:val="20"/>
          <w:szCs w:val="20"/>
        </w:rPr>
        <w:t>7.</w:t>
      </w:r>
    </w:p>
    <w:p w14:paraId="164EAD39" w14:textId="2C71D931" w:rsidR="00BA5250" w:rsidRPr="006F4C96" w:rsidRDefault="00BA5250"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Rockwood K, Hogan DB, MacKnight C. Conceptualisation and measurement of frailty in elderly people. </w:t>
      </w:r>
      <w:r w:rsidRPr="006F4C96">
        <w:rPr>
          <w:rFonts w:ascii="Times New Roman" w:hAnsi="Times New Roman" w:cs="Times New Roman"/>
          <w:i/>
          <w:sz w:val="20"/>
          <w:szCs w:val="20"/>
        </w:rPr>
        <w:t>Drugs Aging</w:t>
      </w:r>
      <w:r w:rsidRPr="006F4C96">
        <w:rPr>
          <w:rFonts w:ascii="Times New Roman" w:hAnsi="Times New Roman" w:cs="Times New Roman"/>
          <w:sz w:val="20"/>
          <w:szCs w:val="20"/>
        </w:rPr>
        <w:t xml:space="preserve"> 2000;</w:t>
      </w:r>
      <w:r w:rsidR="00CA3C63" w:rsidRPr="006F4C96">
        <w:rPr>
          <w:rFonts w:ascii="Times New Roman" w:hAnsi="Times New Roman" w:cs="Times New Roman"/>
          <w:sz w:val="20"/>
          <w:szCs w:val="20"/>
        </w:rPr>
        <w:t xml:space="preserve"> </w:t>
      </w:r>
      <w:r w:rsidRPr="006F4C96">
        <w:rPr>
          <w:rFonts w:ascii="Times New Roman" w:hAnsi="Times New Roman" w:cs="Times New Roman"/>
          <w:b/>
          <w:sz w:val="20"/>
          <w:szCs w:val="20"/>
        </w:rPr>
        <w:t>17</w:t>
      </w:r>
      <w:r w:rsidR="000E3CF2" w:rsidRPr="006F4C96">
        <w:rPr>
          <w:rFonts w:ascii="Times New Roman" w:hAnsi="Times New Roman" w:cs="Times New Roman"/>
          <w:sz w:val="20"/>
          <w:szCs w:val="20"/>
        </w:rPr>
        <w:t>:</w:t>
      </w:r>
      <w:r w:rsidR="00CA3C63" w:rsidRPr="006F4C96">
        <w:rPr>
          <w:rFonts w:ascii="Times New Roman" w:hAnsi="Times New Roman" w:cs="Times New Roman"/>
          <w:sz w:val="20"/>
          <w:szCs w:val="20"/>
        </w:rPr>
        <w:t xml:space="preserve"> </w:t>
      </w:r>
      <w:r w:rsidR="00F043E9" w:rsidRPr="006F4C96">
        <w:rPr>
          <w:rFonts w:ascii="Times New Roman" w:hAnsi="Times New Roman" w:cs="Times New Roman"/>
          <w:sz w:val="20"/>
          <w:szCs w:val="20"/>
        </w:rPr>
        <w:t>295–</w:t>
      </w:r>
      <w:r w:rsidRPr="006F4C96">
        <w:rPr>
          <w:rFonts w:ascii="Times New Roman" w:hAnsi="Times New Roman" w:cs="Times New Roman"/>
          <w:sz w:val="20"/>
          <w:szCs w:val="20"/>
        </w:rPr>
        <w:t>302.</w:t>
      </w:r>
    </w:p>
    <w:p w14:paraId="63E0722E" w14:textId="07EE3BFF"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Mitnitski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AB,</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Graham</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Mogilner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AJ,</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Rockwood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K.</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fitness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late</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life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mortality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in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relation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to</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chronological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biological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age.</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BMC</w:t>
      </w:r>
      <w:r w:rsidR="000441F4" w:rsidRPr="006F4C96">
        <w:rPr>
          <w:rFonts w:ascii="Times New Roman" w:hAnsi="Times New Roman" w:cs="Times New Roman"/>
          <w:i/>
          <w:sz w:val="20"/>
          <w:szCs w:val="20"/>
        </w:rPr>
        <w:t xml:space="preserve"> </w:t>
      </w:r>
      <w:r w:rsidR="00131B9D" w:rsidRPr="006F4C96">
        <w:rPr>
          <w:rFonts w:ascii="Times New Roman" w:hAnsi="Times New Roman" w:cs="Times New Roman"/>
          <w:i/>
          <w:sz w:val="20"/>
          <w:szCs w:val="20"/>
        </w:rPr>
        <w:t>Geriat</w:t>
      </w:r>
      <w:r w:rsidR="00E25058" w:rsidRPr="006F4C96">
        <w:rPr>
          <w:rFonts w:ascii="Times New Roman" w:hAnsi="Times New Roman" w:cs="Times New Roman"/>
          <w:i/>
          <w:sz w:val="20"/>
          <w:szCs w:val="20"/>
        </w:rPr>
        <w:t>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2002;</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2</w:t>
      </w:r>
      <w:r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1</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8.</w:t>
      </w:r>
    </w:p>
    <w:p w14:paraId="00A424B3" w14:textId="19614955" w:rsidR="00C45867" w:rsidRPr="006F4C96" w:rsidRDefault="002C21E6"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Chakravarti D, LaBella KA, DePinho RA. Telomeres: history, health, and hallmarks of aging. </w:t>
      </w:r>
      <w:r w:rsidRPr="006F4C96">
        <w:rPr>
          <w:rFonts w:ascii="Times New Roman" w:hAnsi="Times New Roman" w:cs="Times New Roman"/>
          <w:i/>
          <w:sz w:val="20"/>
          <w:szCs w:val="20"/>
        </w:rPr>
        <w:t>Cell</w:t>
      </w:r>
      <w:r w:rsidR="00FB0B62" w:rsidRPr="006F4C96">
        <w:rPr>
          <w:rFonts w:ascii="Times New Roman" w:hAnsi="Times New Roman" w:cs="Times New Roman"/>
          <w:i/>
          <w:sz w:val="20"/>
          <w:szCs w:val="20"/>
        </w:rPr>
        <w:t xml:space="preserve"> </w:t>
      </w:r>
      <w:r w:rsidRPr="006F4C96">
        <w:rPr>
          <w:rFonts w:ascii="Times New Roman" w:hAnsi="Times New Roman" w:cs="Times New Roman"/>
          <w:sz w:val="20"/>
          <w:szCs w:val="20"/>
        </w:rPr>
        <w:t xml:space="preserve">2021; </w:t>
      </w:r>
      <w:r w:rsidR="008912AD" w:rsidRPr="006F4C96">
        <w:rPr>
          <w:rFonts w:ascii="Times New Roman" w:hAnsi="Times New Roman" w:cs="Times New Roman"/>
          <w:b/>
          <w:sz w:val="20"/>
          <w:szCs w:val="20"/>
        </w:rPr>
        <w:t>184</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306–</w:t>
      </w:r>
      <w:r w:rsidR="000E3CF2" w:rsidRPr="006F4C96">
        <w:rPr>
          <w:rFonts w:ascii="Times New Roman" w:hAnsi="Times New Roman" w:cs="Times New Roman"/>
          <w:sz w:val="20"/>
          <w:szCs w:val="20"/>
        </w:rPr>
        <w:t>3</w:t>
      </w:r>
      <w:r w:rsidRPr="006F4C96">
        <w:rPr>
          <w:rFonts w:ascii="Times New Roman" w:hAnsi="Times New Roman" w:cs="Times New Roman"/>
          <w:sz w:val="20"/>
          <w:szCs w:val="20"/>
        </w:rPr>
        <w:t xml:space="preserve">22. </w:t>
      </w:r>
    </w:p>
    <w:p w14:paraId="34209BB4" w14:textId="718174C5"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Li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Stoma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Lotta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Genome</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wide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Association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Analysis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in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Humans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Links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Nucleotide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Metabolism</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to</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Leukocyte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Telomere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Length.</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Am</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Hum</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Genet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2020;</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106</w:t>
      </w:r>
      <w:r w:rsidR="000E3CF2"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389</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404.</w:t>
      </w:r>
    </w:p>
    <w:p w14:paraId="581AEC07" w14:textId="1721AF85" w:rsidR="002C21E6" w:rsidRPr="006F4C96" w:rsidRDefault="005B6C5C"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Codd V, Wang C, Allara E, et al. Polygenic basis and biomedical consequences of telomere length variation. medRxiv 2021.03.23.21253516; doi: </w:t>
      </w:r>
      <w:hyperlink r:id="rId11" w:history="1">
        <w:r w:rsidR="002C21E6" w:rsidRPr="006F4C96">
          <w:rPr>
            <w:rStyle w:val="Hyperlink"/>
            <w:rFonts w:ascii="Times New Roman" w:hAnsi="Times New Roman" w:cs="Times New Roman"/>
            <w:color w:val="auto"/>
            <w:sz w:val="20"/>
          </w:rPr>
          <w:t>https://doi.org/10.1101/2021.03.23.21253516</w:t>
        </w:r>
      </w:hyperlink>
      <w:r w:rsidRPr="006F4C96">
        <w:rPr>
          <w:rFonts w:ascii="Times New Roman" w:hAnsi="Times New Roman" w:cs="Times New Roman"/>
          <w:sz w:val="20"/>
        </w:rPr>
        <w:t>.</w:t>
      </w:r>
      <w:r w:rsidR="002C21E6" w:rsidRPr="006F4C96">
        <w:rPr>
          <w:rFonts w:ascii="Times New Roman" w:hAnsi="Times New Roman" w:cs="Times New Roman"/>
          <w:sz w:val="20"/>
        </w:rPr>
        <w:t xml:space="preserve"> </w:t>
      </w:r>
    </w:p>
    <w:p w14:paraId="35FA0B80" w14:textId="4E4E0DFE" w:rsidR="005B6C5C" w:rsidRPr="006F4C96" w:rsidRDefault="002C21E6"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Aviv A, Shay JW. Reflections </w:t>
      </w:r>
      <w:r w:rsidR="00F043E9" w:rsidRPr="006F4C96">
        <w:rPr>
          <w:rFonts w:ascii="Times New Roman" w:hAnsi="Times New Roman" w:cs="Times New Roman"/>
          <w:sz w:val="20"/>
        </w:rPr>
        <w:t>on telomere dynamics and ageing–</w:t>
      </w:r>
      <w:r w:rsidRPr="006F4C96">
        <w:rPr>
          <w:rFonts w:ascii="Times New Roman" w:hAnsi="Times New Roman" w:cs="Times New Roman"/>
          <w:sz w:val="20"/>
        </w:rPr>
        <w:t xml:space="preserve">related diseases in humans. </w:t>
      </w:r>
      <w:r w:rsidRPr="006F4C96">
        <w:rPr>
          <w:rFonts w:ascii="Times New Roman" w:hAnsi="Times New Roman" w:cs="Times New Roman"/>
          <w:i/>
          <w:sz w:val="20"/>
        </w:rPr>
        <w:t>Philos Trans R Soc Lond B Biol Sci</w:t>
      </w:r>
      <w:r w:rsidRPr="006F4C96">
        <w:rPr>
          <w:rFonts w:ascii="Times New Roman" w:hAnsi="Times New Roman" w:cs="Times New Roman"/>
          <w:sz w:val="20"/>
        </w:rPr>
        <w:t xml:space="preserve"> 2018; </w:t>
      </w:r>
      <w:r w:rsidRPr="006F4C96">
        <w:rPr>
          <w:rFonts w:ascii="Times New Roman" w:hAnsi="Times New Roman" w:cs="Times New Roman"/>
          <w:b/>
          <w:sz w:val="20"/>
        </w:rPr>
        <w:t>373</w:t>
      </w:r>
      <w:r w:rsidR="000E3CF2" w:rsidRPr="006F4C96">
        <w:rPr>
          <w:rFonts w:ascii="Times New Roman" w:hAnsi="Times New Roman" w:cs="Times New Roman"/>
          <w:sz w:val="20"/>
        </w:rPr>
        <w:t>:</w:t>
      </w:r>
      <w:r w:rsidRPr="006F4C96">
        <w:rPr>
          <w:rFonts w:ascii="Times New Roman" w:hAnsi="Times New Roman" w:cs="Times New Roman"/>
          <w:sz w:val="20"/>
        </w:rPr>
        <w:t xml:space="preserve"> 20160436.</w:t>
      </w:r>
    </w:p>
    <w:p w14:paraId="62021677" w14:textId="6AF1E1D4"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Zhou</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Wang</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Shen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Y,</w:t>
      </w:r>
      <w:r w:rsidR="000441F4" w:rsidRPr="006F4C96">
        <w:rPr>
          <w:rFonts w:ascii="Times New Roman" w:hAnsi="Times New Roman" w:cs="Times New Roman"/>
          <w:sz w:val="20"/>
          <w:szCs w:val="20"/>
        </w:rPr>
        <w:t xml:space="preserve"> </w:t>
      </w:r>
      <w:r w:rsidR="00131B9D" w:rsidRPr="006F4C96">
        <w:rPr>
          <w:rFonts w:ascii="Times New Roman" w:hAnsi="Times New Roman" w:cs="Times New Roman"/>
          <w:sz w:val="20"/>
          <w:szCs w:val="20"/>
        </w:rPr>
        <w:t>et al</w:t>
      </w:r>
      <w:r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The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association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between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telomere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length</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systematic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review</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meta</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analysis.</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Exp</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Gerontol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2018;</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106</w:t>
      </w:r>
      <w:r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16</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20.</w:t>
      </w:r>
      <w:r w:rsidR="000441F4" w:rsidRPr="006F4C96">
        <w:rPr>
          <w:rFonts w:ascii="Times New Roman" w:hAnsi="Times New Roman" w:cs="Times New Roman"/>
          <w:sz w:val="20"/>
          <w:szCs w:val="20"/>
        </w:rPr>
        <w:t xml:space="preserve"> </w:t>
      </w:r>
    </w:p>
    <w:p w14:paraId="72A03337" w14:textId="510F67AD" w:rsidR="00681A98" w:rsidRPr="006F4C96" w:rsidRDefault="00BC17A1"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rPr>
        <w:t xml:space="preserve">Lorenzi M, Bonassi S, Lorenzi T, Giovannini S, Bernabei R, Onder G. A review of telomere length in sarcopenia and frailty. </w:t>
      </w:r>
      <w:r w:rsidRPr="006F4C96">
        <w:rPr>
          <w:rFonts w:ascii="Times New Roman" w:hAnsi="Times New Roman" w:cs="Times New Roman"/>
          <w:i/>
          <w:sz w:val="20"/>
        </w:rPr>
        <w:t>Biogerontology</w:t>
      </w:r>
      <w:r w:rsidRPr="006F4C96">
        <w:rPr>
          <w:rFonts w:ascii="Times New Roman" w:hAnsi="Times New Roman" w:cs="Times New Roman"/>
          <w:sz w:val="20"/>
        </w:rPr>
        <w:t xml:space="preserve"> 2018;</w:t>
      </w:r>
      <w:r w:rsidR="00131B9D" w:rsidRPr="006F4C96">
        <w:rPr>
          <w:rFonts w:ascii="Times New Roman" w:hAnsi="Times New Roman" w:cs="Times New Roman"/>
          <w:sz w:val="20"/>
        </w:rPr>
        <w:t xml:space="preserve"> </w:t>
      </w:r>
      <w:r w:rsidRPr="006F4C96">
        <w:rPr>
          <w:rFonts w:ascii="Times New Roman" w:hAnsi="Times New Roman" w:cs="Times New Roman"/>
          <w:b/>
          <w:sz w:val="20"/>
        </w:rPr>
        <w:t>19</w:t>
      </w:r>
      <w:r w:rsidR="000E3CF2" w:rsidRPr="006F4C96">
        <w:rPr>
          <w:rFonts w:ascii="Times New Roman" w:hAnsi="Times New Roman" w:cs="Times New Roman"/>
          <w:sz w:val="20"/>
        </w:rPr>
        <w:t>:</w:t>
      </w:r>
      <w:r w:rsidR="00131B9D" w:rsidRPr="006F4C96">
        <w:rPr>
          <w:rFonts w:ascii="Times New Roman" w:hAnsi="Times New Roman" w:cs="Times New Roman"/>
          <w:sz w:val="20"/>
        </w:rPr>
        <w:t xml:space="preserve"> </w:t>
      </w:r>
      <w:r w:rsidRPr="006F4C96">
        <w:rPr>
          <w:rFonts w:ascii="Times New Roman" w:hAnsi="Times New Roman" w:cs="Times New Roman"/>
          <w:sz w:val="20"/>
        </w:rPr>
        <w:t>209</w:t>
      </w:r>
      <w:r w:rsidR="00F043E9" w:rsidRPr="006F4C96">
        <w:rPr>
          <w:rFonts w:ascii="Times New Roman" w:hAnsi="Times New Roman" w:cs="Times New Roman"/>
          <w:sz w:val="20"/>
        </w:rPr>
        <w:t>–</w:t>
      </w:r>
      <w:r w:rsidR="000E3CF2" w:rsidRPr="006F4C96">
        <w:rPr>
          <w:rFonts w:ascii="Times New Roman" w:hAnsi="Times New Roman" w:cs="Times New Roman"/>
          <w:sz w:val="20"/>
        </w:rPr>
        <w:t>2</w:t>
      </w:r>
      <w:r w:rsidRPr="006F4C96">
        <w:rPr>
          <w:rFonts w:ascii="Times New Roman" w:hAnsi="Times New Roman" w:cs="Times New Roman"/>
          <w:sz w:val="20"/>
        </w:rPr>
        <w:t>21.</w:t>
      </w:r>
      <w:r w:rsidR="00C059B0" w:rsidRPr="006F4C96">
        <w:rPr>
          <w:rFonts w:ascii="Times New Roman" w:hAnsi="Times New Roman" w:cs="Times New Roman"/>
          <w:sz w:val="20"/>
          <w:szCs w:val="20"/>
        </w:rPr>
        <w:t xml:space="preserve"> </w:t>
      </w:r>
    </w:p>
    <w:p w14:paraId="0C291DD6" w14:textId="2AFBD421" w:rsidR="000C576E" w:rsidRPr="006F4C96" w:rsidRDefault="000C576E"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Araújo Carvalho AC, Tavares Mendes ML, da Silva Reis MC, Santos VS, Tanajura DM, Martins</w:t>
      </w:r>
      <w:r w:rsidR="00F043E9" w:rsidRPr="006F4C96">
        <w:rPr>
          <w:rFonts w:ascii="Times New Roman" w:hAnsi="Times New Roman" w:cs="Times New Roman"/>
          <w:sz w:val="20"/>
          <w:szCs w:val="20"/>
        </w:rPr>
        <w:t>–</w:t>
      </w:r>
      <w:r w:rsidRPr="006F4C96">
        <w:rPr>
          <w:rFonts w:ascii="Times New Roman" w:hAnsi="Times New Roman" w:cs="Times New Roman"/>
          <w:sz w:val="20"/>
          <w:szCs w:val="20"/>
        </w:rPr>
        <w:t>Filho PRS. Telomere length and frailty in older adults</w:t>
      </w:r>
      <w:r w:rsidR="00F043E9" w:rsidRPr="006F4C96">
        <w:rPr>
          <w:rFonts w:ascii="Times New Roman" w:hAnsi="Times New Roman" w:cs="Times New Roman"/>
          <w:sz w:val="20"/>
          <w:szCs w:val="20"/>
        </w:rPr>
        <w:t>–</w:t>
      </w:r>
      <w:r w:rsidRPr="006F4C96">
        <w:rPr>
          <w:rFonts w:ascii="Times New Roman" w:hAnsi="Times New Roman" w:cs="Times New Roman"/>
          <w:sz w:val="20"/>
          <w:szCs w:val="20"/>
        </w:rPr>
        <w:t>A systematic review and meta</w:t>
      </w:r>
      <w:r w:rsidR="00F043E9" w:rsidRPr="006F4C96">
        <w:rPr>
          <w:rFonts w:ascii="Times New Roman" w:hAnsi="Times New Roman" w:cs="Times New Roman"/>
          <w:sz w:val="20"/>
          <w:szCs w:val="20"/>
        </w:rPr>
        <w:t>–</w:t>
      </w:r>
      <w:r w:rsidRPr="006F4C96">
        <w:rPr>
          <w:rFonts w:ascii="Times New Roman" w:hAnsi="Times New Roman" w:cs="Times New Roman"/>
          <w:sz w:val="20"/>
          <w:szCs w:val="20"/>
        </w:rPr>
        <w:t xml:space="preserve">analysis. </w:t>
      </w:r>
      <w:r w:rsidRPr="006F4C96">
        <w:rPr>
          <w:rFonts w:ascii="Times New Roman" w:hAnsi="Times New Roman" w:cs="Times New Roman"/>
          <w:i/>
          <w:sz w:val="20"/>
          <w:szCs w:val="20"/>
        </w:rPr>
        <w:t>Ageing Res Rev</w:t>
      </w:r>
      <w:r w:rsidRPr="006F4C96">
        <w:rPr>
          <w:rFonts w:ascii="Times New Roman" w:hAnsi="Times New Roman" w:cs="Times New Roman"/>
          <w:sz w:val="20"/>
          <w:szCs w:val="20"/>
        </w:rPr>
        <w:t xml:space="preserve"> 2019; </w:t>
      </w:r>
      <w:r w:rsidRPr="006F4C96">
        <w:rPr>
          <w:rFonts w:ascii="Times New Roman" w:hAnsi="Times New Roman" w:cs="Times New Roman"/>
          <w:b/>
          <w:sz w:val="20"/>
          <w:szCs w:val="20"/>
        </w:rPr>
        <w:t>54</w:t>
      </w:r>
      <w:r w:rsidRPr="006F4C96">
        <w:rPr>
          <w:rFonts w:ascii="Times New Roman" w:hAnsi="Times New Roman" w:cs="Times New Roman"/>
          <w:sz w:val="20"/>
          <w:szCs w:val="20"/>
        </w:rPr>
        <w:t>: 100914.</w:t>
      </w:r>
    </w:p>
    <w:p w14:paraId="75A69886" w14:textId="6AAC64B4" w:rsidR="00C059B0" w:rsidRPr="006F4C96" w:rsidRDefault="00526B6C"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 xml:space="preserve">Codd V, Denniff M, Swinfield C, et al. A major population resource of 474,074 participants in UK Biobank to investigate determinants and biomedical consequences of leukocyte telomere length. </w:t>
      </w:r>
      <w:r w:rsidR="00681A98" w:rsidRPr="006F4C96">
        <w:rPr>
          <w:rFonts w:ascii="Times New Roman" w:hAnsi="Times New Roman" w:cs="Times New Roman"/>
          <w:sz w:val="20"/>
          <w:szCs w:val="20"/>
        </w:rPr>
        <w:t>medRxiv 2021.03.18.21253457; doi: https://doi.org/10.1101/2021.03.18.21253457</w:t>
      </w:r>
      <w:r w:rsidRPr="006F4C96">
        <w:rPr>
          <w:rFonts w:ascii="Times New Roman" w:hAnsi="Times New Roman" w:cs="Times New Roman"/>
          <w:sz w:val="20"/>
          <w:szCs w:val="20"/>
        </w:rPr>
        <w:t>.</w:t>
      </w:r>
    </w:p>
    <w:p w14:paraId="0524C2EA" w14:textId="022A5F7A"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Allen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Sudlow</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Downey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UK</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Biobank:</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Current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status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what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it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means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for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epidemiology.</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Health</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Policy</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Techn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2012;</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1</w:t>
      </w:r>
      <w:r w:rsidR="000E3CF2"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123–</w:t>
      </w:r>
      <w:r w:rsidR="000E3CF2" w:rsidRPr="006F4C96">
        <w:rPr>
          <w:rFonts w:ascii="Times New Roman" w:hAnsi="Times New Roman" w:cs="Times New Roman"/>
          <w:sz w:val="20"/>
          <w:szCs w:val="20"/>
        </w:rPr>
        <w:t>12</w:t>
      </w:r>
      <w:r w:rsidRPr="006F4C96">
        <w:rPr>
          <w:rFonts w:ascii="Times New Roman" w:hAnsi="Times New Roman" w:cs="Times New Roman"/>
          <w:sz w:val="20"/>
          <w:szCs w:val="20"/>
        </w:rPr>
        <w:t>6.</w:t>
      </w:r>
    </w:p>
    <w:p w14:paraId="7F03BD11" w14:textId="3D4DF1B4"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Hanlon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Nicholl</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Jani</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Lee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McQueenie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Mair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pre</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frailty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in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middle</w:t>
      </w:r>
      <w:r w:rsidR="006D64A6" w:rsidRPr="006F4C96">
        <w:rPr>
          <w:rFonts w:ascii="Times New Roman" w:hAnsi="Times New Roman" w:cs="Times New Roman"/>
          <w:sz w:val="20"/>
          <w:szCs w:val="20"/>
        </w:rPr>
        <w:t>–</w:t>
      </w:r>
      <w:r w:rsidRPr="006F4C96">
        <w:rPr>
          <w:rFonts w:ascii="Times New Roman" w:hAnsi="Times New Roman" w:cs="Times New Roman"/>
          <w:sz w:val="20"/>
          <w:szCs w:val="20"/>
        </w:rPr>
        <w:t>aged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older</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adults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its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association</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with</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multimorbidity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and</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mortality:</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prospective</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analysis</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of</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493</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737</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UK</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Biobank</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participants.</w:t>
      </w:r>
      <w:r w:rsidR="000441F4" w:rsidRPr="006F4C96">
        <w:rPr>
          <w:rFonts w:ascii="Times New Roman" w:hAnsi="Times New Roman" w:cs="Times New Roman"/>
          <w:sz w:val="20"/>
          <w:szCs w:val="20"/>
        </w:rPr>
        <w:t xml:space="preserve"> </w:t>
      </w:r>
      <w:r w:rsidRPr="006F4C96">
        <w:rPr>
          <w:rFonts w:ascii="Times New Roman" w:hAnsi="Times New Roman" w:cs="Times New Roman"/>
          <w:i/>
          <w:sz w:val="20"/>
          <w:szCs w:val="20"/>
        </w:rPr>
        <w:t>Lancet</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Public</w:t>
      </w:r>
      <w:r w:rsidR="000441F4" w:rsidRPr="006F4C96">
        <w:rPr>
          <w:rFonts w:ascii="Times New Roman" w:hAnsi="Times New Roman" w:cs="Times New Roman"/>
          <w:i/>
          <w:sz w:val="20"/>
          <w:szCs w:val="20"/>
        </w:rPr>
        <w:t xml:space="preserve"> </w:t>
      </w:r>
      <w:r w:rsidRPr="006F4C96">
        <w:rPr>
          <w:rFonts w:ascii="Times New Roman" w:hAnsi="Times New Roman" w:cs="Times New Roman"/>
          <w:i/>
          <w:sz w:val="20"/>
          <w:szCs w:val="20"/>
        </w:rPr>
        <w:t>Health</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2018;</w:t>
      </w:r>
      <w:r w:rsidR="000441F4" w:rsidRPr="006F4C96">
        <w:rPr>
          <w:rFonts w:ascii="Times New Roman" w:hAnsi="Times New Roman" w:cs="Times New Roman"/>
          <w:sz w:val="20"/>
          <w:szCs w:val="20"/>
        </w:rPr>
        <w:t xml:space="preserve"> </w:t>
      </w:r>
      <w:r w:rsidRPr="006F4C96">
        <w:rPr>
          <w:rFonts w:ascii="Times New Roman" w:hAnsi="Times New Roman" w:cs="Times New Roman"/>
          <w:b/>
          <w:sz w:val="20"/>
          <w:szCs w:val="20"/>
        </w:rPr>
        <w:t>3</w:t>
      </w:r>
      <w:r w:rsidR="000E3CF2" w:rsidRPr="006F4C96">
        <w:rPr>
          <w:rFonts w:ascii="Times New Roman" w:hAnsi="Times New Roman" w:cs="Times New Roman"/>
          <w:sz w:val="20"/>
          <w:szCs w:val="20"/>
        </w:rPr>
        <w:t>:</w:t>
      </w:r>
      <w:r w:rsidR="000441F4" w:rsidRPr="006F4C96">
        <w:rPr>
          <w:rFonts w:ascii="Times New Roman" w:hAnsi="Times New Roman" w:cs="Times New Roman"/>
          <w:sz w:val="20"/>
          <w:szCs w:val="20"/>
        </w:rPr>
        <w:t xml:space="preserve"> </w:t>
      </w:r>
      <w:r w:rsidRPr="006F4C96">
        <w:rPr>
          <w:rFonts w:ascii="Times New Roman" w:hAnsi="Times New Roman" w:cs="Times New Roman"/>
          <w:sz w:val="20"/>
          <w:szCs w:val="20"/>
        </w:rPr>
        <w:t>e323–</w:t>
      </w:r>
      <w:r w:rsidR="000E3CF2" w:rsidRPr="006F4C96">
        <w:rPr>
          <w:rFonts w:ascii="Times New Roman" w:hAnsi="Times New Roman" w:cs="Times New Roman"/>
          <w:sz w:val="20"/>
          <w:szCs w:val="20"/>
        </w:rPr>
        <w:t>3</w:t>
      </w:r>
      <w:r w:rsidRPr="006F4C96">
        <w:rPr>
          <w:rFonts w:ascii="Times New Roman" w:hAnsi="Times New Roman" w:cs="Times New Roman"/>
          <w:sz w:val="20"/>
          <w:szCs w:val="20"/>
        </w:rPr>
        <w:t>32.</w:t>
      </w:r>
    </w:p>
    <w:p w14:paraId="79B95E2D" w14:textId="21C8566E" w:rsidR="00CA3C63" w:rsidRPr="006F4C96" w:rsidRDefault="00CA3C63" w:rsidP="008C738E">
      <w:pPr>
        <w:pStyle w:val="ListParagraph"/>
        <w:numPr>
          <w:ilvl w:val="0"/>
          <w:numId w:val="1"/>
        </w:numPr>
        <w:spacing w:after="0" w:line="480" w:lineRule="auto"/>
        <w:ind w:left="0" w:firstLine="0"/>
        <w:rPr>
          <w:rFonts w:ascii="Times New Roman" w:hAnsi="Times New Roman" w:cs="Times New Roman"/>
          <w:sz w:val="20"/>
          <w:szCs w:val="20"/>
        </w:rPr>
      </w:pPr>
      <w:r w:rsidRPr="006F4C96">
        <w:rPr>
          <w:rFonts w:ascii="Times New Roman" w:hAnsi="Times New Roman" w:cs="Times New Roman"/>
          <w:sz w:val="20"/>
          <w:szCs w:val="20"/>
        </w:rPr>
        <w:t>Woolford SJ, D'Angelo S, Curtis EM, et al. COVID</w:t>
      </w:r>
      <w:r w:rsidR="00F043E9" w:rsidRPr="006F4C96">
        <w:rPr>
          <w:rFonts w:ascii="Times New Roman" w:hAnsi="Times New Roman" w:cs="Times New Roman"/>
          <w:sz w:val="20"/>
          <w:szCs w:val="20"/>
        </w:rPr>
        <w:t>–</w:t>
      </w:r>
      <w:r w:rsidRPr="006F4C96">
        <w:rPr>
          <w:rFonts w:ascii="Times New Roman" w:hAnsi="Times New Roman" w:cs="Times New Roman"/>
          <w:sz w:val="20"/>
          <w:szCs w:val="20"/>
        </w:rPr>
        <w:t xml:space="preserve">19 and associations with frailty and multimorbidity: a prospective analysis of UK Biobank participants. </w:t>
      </w:r>
      <w:r w:rsidRPr="006F4C96">
        <w:rPr>
          <w:rFonts w:ascii="Times New Roman" w:hAnsi="Times New Roman" w:cs="Times New Roman"/>
          <w:i/>
          <w:sz w:val="20"/>
          <w:szCs w:val="20"/>
        </w:rPr>
        <w:t>Aging Clin Exp Res</w:t>
      </w:r>
      <w:r w:rsidRPr="006F4C96">
        <w:rPr>
          <w:rFonts w:ascii="Times New Roman" w:hAnsi="Times New Roman" w:cs="Times New Roman"/>
          <w:sz w:val="20"/>
          <w:szCs w:val="20"/>
        </w:rPr>
        <w:t xml:space="preserve"> 2020; </w:t>
      </w:r>
      <w:r w:rsidRPr="006F4C96">
        <w:rPr>
          <w:rFonts w:ascii="Times New Roman" w:hAnsi="Times New Roman" w:cs="Times New Roman"/>
          <w:b/>
          <w:sz w:val="20"/>
          <w:szCs w:val="20"/>
        </w:rPr>
        <w:t>32</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1897</w:t>
      </w:r>
      <w:r w:rsidR="007F3C1F" w:rsidRPr="006F4C96">
        <w:rPr>
          <w:rFonts w:ascii="Times New Roman" w:hAnsi="Times New Roman" w:cs="Times New Roman"/>
          <w:sz w:val="20"/>
          <w:szCs w:val="20"/>
        </w:rPr>
        <w:t>–</w:t>
      </w:r>
      <w:r w:rsidRPr="006F4C96">
        <w:rPr>
          <w:rFonts w:ascii="Times New Roman" w:hAnsi="Times New Roman" w:cs="Times New Roman"/>
          <w:sz w:val="20"/>
          <w:szCs w:val="20"/>
        </w:rPr>
        <w:t>1905.</w:t>
      </w:r>
      <w:r w:rsidR="002C21E6" w:rsidRPr="006F4C96">
        <w:rPr>
          <w:rFonts w:ascii="Times New Roman" w:hAnsi="Times New Roman" w:cs="Times New Roman"/>
          <w:sz w:val="20"/>
          <w:szCs w:val="20"/>
        </w:rPr>
        <w:t xml:space="preserve"> </w:t>
      </w:r>
    </w:p>
    <w:p w14:paraId="48519F06" w14:textId="21D4B9C2" w:rsidR="002C21E6" w:rsidRPr="006F4C96" w:rsidRDefault="002C21E6" w:rsidP="008C738E">
      <w:pPr>
        <w:pStyle w:val="ListParagraph"/>
        <w:numPr>
          <w:ilvl w:val="0"/>
          <w:numId w:val="1"/>
        </w:numPr>
        <w:spacing w:after="0" w:line="480" w:lineRule="auto"/>
        <w:ind w:left="0" w:firstLine="0"/>
        <w:rPr>
          <w:rFonts w:ascii="Times New Roman" w:hAnsi="Times New Roman" w:cs="Times New Roman"/>
          <w:noProof/>
          <w:sz w:val="20"/>
          <w:szCs w:val="20"/>
          <w:lang w:eastAsia="en-GB"/>
        </w:rPr>
      </w:pPr>
      <w:r w:rsidRPr="006F4C96">
        <w:rPr>
          <w:rFonts w:ascii="Times New Roman" w:hAnsi="Times New Roman" w:cs="Times New Roman"/>
          <w:sz w:val="20"/>
          <w:szCs w:val="20"/>
        </w:rPr>
        <w:t xml:space="preserve">Office for National Statistics; National Records of Scotland; Northern Ireland Statistics and Research Agency; UK Data Service. 2011. </w:t>
      </w:r>
      <w:r w:rsidR="000E3CF2" w:rsidRPr="006F4C96">
        <w:rPr>
          <w:rFonts w:ascii="Times New Roman" w:hAnsi="Times New Roman" w:cs="Times New Roman"/>
          <w:sz w:val="20"/>
          <w:szCs w:val="20"/>
        </w:rPr>
        <w:t>doi</w:t>
      </w:r>
      <w:r w:rsidRPr="006F4C96">
        <w:rPr>
          <w:rFonts w:ascii="Times New Roman" w:hAnsi="Times New Roman" w:cs="Times New Roman"/>
          <w:sz w:val="20"/>
          <w:szCs w:val="20"/>
        </w:rPr>
        <w:t>: http://dx.doi.org/10.5257/census/aggregate–2011–2 (assessed July 2020)</w:t>
      </w:r>
      <w:r w:rsidRPr="006F4C96">
        <w:rPr>
          <w:rFonts w:ascii="Times New Roman" w:hAnsi="Times New Roman" w:cs="Times New Roman"/>
          <w:noProof/>
          <w:sz w:val="20"/>
          <w:szCs w:val="20"/>
          <w:lang w:eastAsia="en-GB"/>
        </w:rPr>
        <w:t>.</w:t>
      </w:r>
    </w:p>
    <w:p w14:paraId="2F3078B1" w14:textId="19A302A8" w:rsidR="002C21E6" w:rsidRPr="006F4C96" w:rsidRDefault="002C21E6"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szCs w:val="20"/>
        </w:rPr>
        <w:t>Barnett K, Mercer SW, Norbury M, Watt G, Wyke S, Guthrie B. Epidemiology of multimorbidity and implications for health care, research, and medical education: a cross</w:t>
      </w:r>
      <w:r w:rsidR="00F043E9" w:rsidRPr="006F4C96">
        <w:rPr>
          <w:rFonts w:ascii="Times New Roman" w:hAnsi="Times New Roman" w:cs="Times New Roman"/>
          <w:sz w:val="20"/>
          <w:szCs w:val="20"/>
        </w:rPr>
        <w:t>–</w:t>
      </w:r>
      <w:r w:rsidRPr="006F4C96">
        <w:rPr>
          <w:rFonts w:ascii="Times New Roman" w:hAnsi="Times New Roman" w:cs="Times New Roman"/>
          <w:sz w:val="20"/>
          <w:szCs w:val="20"/>
        </w:rPr>
        <w:t xml:space="preserve">sectional study. </w:t>
      </w:r>
      <w:r w:rsidRPr="006F4C96">
        <w:rPr>
          <w:rFonts w:ascii="Times New Roman" w:hAnsi="Times New Roman" w:cs="Times New Roman"/>
          <w:i/>
          <w:sz w:val="20"/>
          <w:szCs w:val="20"/>
        </w:rPr>
        <w:t xml:space="preserve">Lancet </w:t>
      </w:r>
      <w:r w:rsidRPr="006F4C96">
        <w:rPr>
          <w:rFonts w:ascii="Times New Roman" w:hAnsi="Times New Roman" w:cs="Times New Roman"/>
          <w:sz w:val="20"/>
          <w:szCs w:val="20"/>
        </w:rPr>
        <w:t xml:space="preserve">2012; </w:t>
      </w:r>
      <w:r w:rsidRPr="006F4C96">
        <w:rPr>
          <w:rFonts w:ascii="Times New Roman" w:hAnsi="Times New Roman" w:cs="Times New Roman"/>
          <w:b/>
          <w:sz w:val="20"/>
          <w:szCs w:val="20"/>
        </w:rPr>
        <w:t>380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 xml:space="preserve"> 37–43.</w:t>
      </w:r>
    </w:p>
    <w:p w14:paraId="79B86BA5" w14:textId="73DA57B9" w:rsidR="009132B9" w:rsidRPr="006F4C96" w:rsidRDefault="009132B9"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Minelli C, Del Greco MF, van der Plaat DA, Bowden J, Sheehan NA, Thompson J. The use of two</w:t>
      </w:r>
      <w:r w:rsidR="00F043E9" w:rsidRPr="006F4C96">
        <w:rPr>
          <w:rFonts w:ascii="Times New Roman" w:hAnsi="Times New Roman" w:cs="Times New Roman"/>
          <w:sz w:val="20"/>
        </w:rPr>
        <w:t>–</w:t>
      </w:r>
      <w:r w:rsidRPr="006F4C96">
        <w:rPr>
          <w:rFonts w:ascii="Times New Roman" w:hAnsi="Times New Roman" w:cs="Times New Roman"/>
          <w:sz w:val="20"/>
        </w:rPr>
        <w:t xml:space="preserve">sample methods for Mendelian randomization analyses on single large datasets. </w:t>
      </w:r>
      <w:r w:rsidR="00B820B4" w:rsidRPr="006F4C96">
        <w:rPr>
          <w:rFonts w:ascii="Times New Roman" w:hAnsi="Times New Roman" w:cs="Times New Roman"/>
          <w:i/>
          <w:sz w:val="20"/>
        </w:rPr>
        <w:t>Int J Epidemiol</w:t>
      </w:r>
      <w:r w:rsidR="00B820B4" w:rsidRPr="006F4C96">
        <w:rPr>
          <w:rFonts w:ascii="Times New Roman" w:hAnsi="Times New Roman" w:cs="Times New Roman"/>
          <w:sz w:val="20"/>
        </w:rPr>
        <w:t xml:space="preserve"> 2021: </w:t>
      </w:r>
      <w:r w:rsidR="00B820B4" w:rsidRPr="006F4C96">
        <w:rPr>
          <w:rFonts w:ascii="Times New Roman" w:hAnsi="Times New Roman" w:cs="Times New Roman"/>
          <w:b/>
          <w:sz w:val="20"/>
        </w:rPr>
        <w:t>dyab084</w:t>
      </w:r>
      <w:r w:rsidR="00B820B4" w:rsidRPr="006F4C96">
        <w:rPr>
          <w:rFonts w:ascii="Times New Roman" w:hAnsi="Times New Roman" w:cs="Times New Roman"/>
          <w:sz w:val="20"/>
        </w:rPr>
        <w:t>. doi: 10.1093/ije/dyab084.</w:t>
      </w:r>
      <w:r w:rsidR="00FB0B62" w:rsidRPr="006F4C96">
        <w:rPr>
          <w:rFonts w:ascii="Times New Roman" w:hAnsi="Times New Roman" w:cs="Times New Roman"/>
          <w:sz w:val="20"/>
        </w:rPr>
        <w:t xml:space="preserve"> </w:t>
      </w:r>
    </w:p>
    <w:p w14:paraId="43461E2B" w14:textId="3D5D80E1" w:rsidR="000902C1" w:rsidRPr="006F4C96" w:rsidRDefault="0095100B" w:rsidP="0095100B">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Kuo CL, Pilling LC, Kuchel GA, Ferrucci L, Melzer D. Telomere length and aging-related outcomes in humans: A Mendelian randomization study in 261,000 older participants. </w:t>
      </w:r>
      <w:r w:rsidRPr="006F4C96">
        <w:rPr>
          <w:rFonts w:ascii="Times New Roman" w:hAnsi="Times New Roman" w:cs="Times New Roman"/>
          <w:i/>
          <w:sz w:val="20"/>
        </w:rPr>
        <w:t>Aging Cell</w:t>
      </w:r>
      <w:r w:rsidRPr="006F4C96">
        <w:rPr>
          <w:rFonts w:ascii="Times New Roman" w:hAnsi="Times New Roman" w:cs="Times New Roman"/>
          <w:sz w:val="20"/>
        </w:rPr>
        <w:t xml:space="preserve"> 2019; </w:t>
      </w:r>
      <w:r w:rsidRPr="006F4C96">
        <w:rPr>
          <w:rFonts w:ascii="Times New Roman" w:hAnsi="Times New Roman" w:cs="Times New Roman"/>
          <w:b/>
          <w:sz w:val="20"/>
        </w:rPr>
        <w:t>18</w:t>
      </w:r>
      <w:r w:rsidRPr="006F4C96">
        <w:rPr>
          <w:rFonts w:ascii="Times New Roman" w:hAnsi="Times New Roman" w:cs="Times New Roman"/>
          <w:sz w:val="20"/>
        </w:rPr>
        <w:t>: e13017.</w:t>
      </w:r>
    </w:p>
    <w:p w14:paraId="1AE6024C" w14:textId="084DD171" w:rsidR="00C53881" w:rsidRPr="006F4C96" w:rsidDel="00C53881" w:rsidRDefault="00C53881" w:rsidP="008C738E">
      <w:pPr>
        <w:pStyle w:val="ListParagraph"/>
        <w:numPr>
          <w:ilvl w:val="0"/>
          <w:numId w:val="1"/>
        </w:numPr>
        <w:spacing w:after="0" w:line="480" w:lineRule="auto"/>
        <w:ind w:left="0" w:firstLine="0"/>
        <w:rPr>
          <w:rFonts w:ascii="Times New Roman" w:hAnsi="Times New Roman" w:cs="Times New Roman"/>
          <w:sz w:val="20"/>
        </w:rPr>
      </w:pPr>
      <w:r w:rsidRPr="006F4C96" w:rsidDel="00C53881">
        <w:rPr>
          <w:rFonts w:ascii="Times New Roman" w:hAnsi="Times New Roman" w:cs="Times New Roman"/>
          <w:sz w:val="20"/>
        </w:rPr>
        <w:t>Fry A, Littlejohns TJ, Sudlow C, et al. Comparison of Sociodemographic and Health</w:t>
      </w:r>
      <w:r w:rsidR="00F043E9" w:rsidRPr="006F4C96">
        <w:rPr>
          <w:rFonts w:ascii="Times New Roman" w:hAnsi="Times New Roman" w:cs="Times New Roman"/>
          <w:sz w:val="20"/>
        </w:rPr>
        <w:t>–</w:t>
      </w:r>
      <w:r w:rsidRPr="006F4C96" w:rsidDel="00C53881">
        <w:rPr>
          <w:rFonts w:ascii="Times New Roman" w:hAnsi="Times New Roman" w:cs="Times New Roman"/>
          <w:sz w:val="20"/>
        </w:rPr>
        <w:t xml:space="preserve">Related Characteristics of UK Biobank Participants With Those of the General Population. </w:t>
      </w:r>
      <w:r w:rsidRPr="006F4C96" w:rsidDel="00C53881">
        <w:rPr>
          <w:rFonts w:ascii="Times New Roman" w:hAnsi="Times New Roman" w:cs="Times New Roman"/>
          <w:i/>
          <w:sz w:val="20"/>
        </w:rPr>
        <w:t>Am J Epidemiol</w:t>
      </w:r>
      <w:r w:rsidRPr="006F4C96" w:rsidDel="00C53881">
        <w:rPr>
          <w:rFonts w:ascii="Times New Roman" w:hAnsi="Times New Roman" w:cs="Times New Roman"/>
          <w:sz w:val="20"/>
        </w:rPr>
        <w:t xml:space="preserve"> 2017; </w:t>
      </w:r>
      <w:r w:rsidRPr="006F4C96" w:rsidDel="00C53881">
        <w:rPr>
          <w:rFonts w:ascii="Times New Roman" w:hAnsi="Times New Roman" w:cs="Times New Roman"/>
          <w:b/>
          <w:sz w:val="20"/>
        </w:rPr>
        <w:t>186</w:t>
      </w:r>
      <w:r w:rsidR="000E3CF2" w:rsidRPr="006F4C96">
        <w:rPr>
          <w:rFonts w:ascii="Times New Roman" w:hAnsi="Times New Roman" w:cs="Times New Roman"/>
          <w:sz w:val="20"/>
        </w:rPr>
        <w:t>:</w:t>
      </w:r>
      <w:r w:rsidRPr="006F4C96" w:rsidDel="00C53881">
        <w:rPr>
          <w:rFonts w:ascii="Times New Roman" w:hAnsi="Times New Roman" w:cs="Times New Roman"/>
          <w:sz w:val="20"/>
        </w:rPr>
        <w:t xml:space="preserve"> 1026–</w:t>
      </w:r>
      <w:r w:rsidR="000E3CF2" w:rsidRPr="006F4C96">
        <w:rPr>
          <w:rFonts w:ascii="Times New Roman" w:hAnsi="Times New Roman" w:cs="Times New Roman"/>
          <w:sz w:val="20"/>
        </w:rPr>
        <w:t>10</w:t>
      </w:r>
      <w:r w:rsidRPr="006F4C96" w:rsidDel="00C53881">
        <w:rPr>
          <w:rFonts w:ascii="Times New Roman" w:hAnsi="Times New Roman" w:cs="Times New Roman"/>
          <w:sz w:val="20"/>
        </w:rPr>
        <w:t>34.</w:t>
      </w:r>
    </w:p>
    <w:p w14:paraId="6DB16C6F" w14:textId="713CFA92" w:rsidR="00C53881" w:rsidRPr="006F4C96" w:rsidRDefault="00C53881"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Syddall H, Roberts HC, Evandrou M, Cooper C, Bergman H, Aihie Sayer A. Prevalence and correlates of frailty among community</w:t>
      </w:r>
      <w:r w:rsidR="00F043E9" w:rsidRPr="006F4C96">
        <w:rPr>
          <w:rFonts w:ascii="Times New Roman" w:hAnsi="Times New Roman" w:cs="Times New Roman"/>
          <w:sz w:val="20"/>
        </w:rPr>
        <w:t>–</w:t>
      </w:r>
      <w:r w:rsidRPr="006F4C96">
        <w:rPr>
          <w:rFonts w:ascii="Times New Roman" w:hAnsi="Times New Roman" w:cs="Times New Roman"/>
          <w:sz w:val="20"/>
        </w:rPr>
        <w:t xml:space="preserve">dwelling older men and women: findings from the Hertfordshire Cohort Study. </w:t>
      </w:r>
      <w:r w:rsidRPr="006F4C96">
        <w:rPr>
          <w:rFonts w:ascii="Times New Roman" w:hAnsi="Times New Roman" w:cs="Times New Roman"/>
          <w:i/>
          <w:sz w:val="20"/>
        </w:rPr>
        <w:t>Age Agein</w:t>
      </w:r>
      <w:r w:rsidR="00E25058" w:rsidRPr="006F4C96">
        <w:rPr>
          <w:rFonts w:ascii="Times New Roman" w:hAnsi="Times New Roman" w:cs="Times New Roman"/>
          <w:i/>
          <w:sz w:val="20"/>
        </w:rPr>
        <w:t>g</w:t>
      </w:r>
      <w:r w:rsidRPr="006F4C96">
        <w:rPr>
          <w:rFonts w:ascii="Times New Roman" w:hAnsi="Times New Roman" w:cs="Times New Roman"/>
          <w:sz w:val="20"/>
        </w:rPr>
        <w:t xml:space="preserve"> 2010; </w:t>
      </w:r>
      <w:r w:rsidRPr="006F4C96">
        <w:rPr>
          <w:rFonts w:ascii="Times New Roman" w:hAnsi="Times New Roman" w:cs="Times New Roman"/>
          <w:b/>
          <w:sz w:val="20"/>
        </w:rPr>
        <w:t>39</w:t>
      </w:r>
      <w:r w:rsidR="000E3CF2" w:rsidRPr="006F4C96">
        <w:rPr>
          <w:rFonts w:ascii="Times New Roman" w:hAnsi="Times New Roman" w:cs="Times New Roman"/>
          <w:sz w:val="20"/>
        </w:rPr>
        <w:t>:</w:t>
      </w:r>
      <w:r w:rsidRPr="006F4C96">
        <w:rPr>
          <w:rFonts w:ascii="Times New Roman" w:hAnsi="Times New Roman" w:cs="Times New Roman"/>
          <w:sz w:val="20"/>
        </w:rPr>
        <w:t xml:space="preserve"> 197–203.</w:t>
      </w:r>
    </w:p>
    <w:p w14:paraId="19AA9E0F" w14:textId="2092A130" w:rsidR="00C53881" w:rsidRPr="006F4C96" w:rsidRDefault="00C53881"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Gale CR, Cooper C, Aihie Sayer A. Prevalence of frailty and disability: Findings from the English Longitudinal Study of Ageing. </w:t>
      </w:r>
      <w:r w:rsidRPr="006F4C96">
        <w:rPr>
          <w:rFonts w:ascii="Times New Roman" w:hAnsi="Times New Roman" w:cs="Times New Roman"/>
          <w:i/>
          <w:sz w:val="20"/>
        </w:rPr>
        <w:t>Age Ageing</w:t>
      </w:r>
      <w:r w:rsidRPr="006F4C96">
        <w:rPr>
          <w:rFonts w:ascii="Times New Roman" w:hAnsi="Times New Roman" w:cs="Times New Roman"/>
          <w:sz w:val="20"/>
        </w:rPr>
        <w:t xml:space="preserve"> 2014; </w:t>
      </w:r>
      <w:r w:rsidRPr="006F4C96">
        <w:rPr>
          <w:rFonts w:ascii="Times New Roman" w:hAnsi="Times New Roman" w:cs="Times New Roman"/>
          <w:b/>
          <w:sz w:val="20"/>
        </w:rPr>
        <w:t>44</w:t>
      </w:r>
      <w:r w:rsidR="000E3CF2" w:rsidRPr="006F4C96">
        <w:rPr>
          <w:rFonts w:ascii="Times New Roman" w:hAnsi="Times New Roman" w:cs="Times New Roman"/>
          <w:sz w:val="20"/>
        </w:rPr>
        <w:t>:</w:t>
      </w:r>
      <w:r w:rsidRPr="006F4C96">
        <w:rPr>
          <w:rFonts w:ascii="Times New Roman" w:hAnsi="Times New Roman" w:cs="Times New Roman"/>
          <w:sz w:val="20"/>
        </w:rPr>
        <w:t xml:space="preserve"> 162–</w:t>
      </w:r>
      <w:r w:rsidR="000E3CF2" w:rsidRPr="006F4C96">
        <w:rPr>
          <w:rFonts w:ascii="Times New Roman" w:hAnsi="Times New Roman" w:cs="Times New Roman"/>
          <w:sz w:val="20"/>
        </w:rPr>
        <w:t>16</w:t>
      </w:r>
      <w:r w:rsidRPr="006F4C96">
        <w:rPr>
          <w:rFonts w:ascii="Times New Roman" w:hAnsi="Times New Roman" w:cs="Times New Roman"/>
          <w:sz w:val="20"/>
        </w:rPr>
        <w:t>5.</w:t>
      </w:r>
    </w:p>
    <w:p w14:paraId="63A27C05" w14:textId="02E5A6BC" w:rsidR="00C53881" w:rsidRPr="006F4C96" w:rsidRDefault="00C53881" w:rsidP="008C738E">
      <w:pPr>
        <w:pStyle w:val="ListParagraph"/>
        <w:numPr>
          <w:ilvl w:val="0"/>
          <w:numId w:val="1"/>
        </w:numPr>
        <w:spacing w:after="0" w:line="480" w:lineRule="auto"/>
        <w:ind w:left="0" w:firstLine="0"/>
        <w:rPr>
          <w:rFonts w:ascii="Times New Roman" w:hAnsi="Times New Roman" w:cs="Times New Roman"/>
          <w:sz w:val="20"/>
        </w:rPr>
      </w:pPr>
      <w:r w:rsidRPr="006F4C96" w:rsidDel="00C53881">
        <w:rPr>
          <w:rFonts w:ascii="Times New Roman" w:hAnsi="Times New Roman" w:cs="Times New Roman"/>
          <w:sz w:val="20"/>
        </w:rPr>
        <w:t>Batty GD, Gale CR, Kivimäki M, Deary IJ, Bell S. Comparison of risk factor associations in UK Biobank against representative, general population based studies with conventional response rates: prospective cohort study and individual participant meta</w:t>
      </w:r>
      <w:r w:rsidR="00F043E9" w:rsidRPr="006F4C96">
        <w:rPr>
          <w:rFonts w:ascii="Times New Roman" w:hAnsi="Times New Roman" w:cs="Times New Roman"/>
          <w:sz w:val="20"/>
        </w:rPr>
        <w:t>–</w:t>
      </w:r>
      <w:r w:rsidRPr="006F4C96" w:rsidDel="00C53881">
        <w:rPr>
          <w:rFonts w:ascii="Times New Roman" w:hAnsi="Times New Roman" w:cs="Times New Roman"/>
          <w:sz w:val="20"/>
        </w:rPr>
        <w:t xml:space="preserve">analysis. </w:t>
      </w:r>
      <w:r w:rsidRPr="006F4C96" w:rsidDel="00C53881">
        <w:rPr>
          <w:rFonts w:ascii="Times New Roman" w:hAnsi="Times New Roman" w:cs="Times New Roman"/>
          <w:i/>
          <w:sz w:val="20"/>
        </w:rPr>
        <w:t>BMJ</w:t>
      </w:r>
      <w:r w:rsidRPr="006F4C96" w:rsidDel="00C53881">
        <w:rPr>
          <w:rFonts w:ascii="Times New Roman" w:hAnsi="Times New Roman" w:cs="Times New Roman"/>
          <w:sz w:val="20"/>
        </w:rPr>
        <w:t xml:space="preserve"> 2020; </w:t>
      </w:r>
      <w:r w:rsidRPr="006F4C96" w:rsidDel="00C53881">
        <w:rPr>
          <w:rFonts w:ascii="Times New Roman" w:hAnsi="Times New Roman" w:cs="Times New Roman"/>
          <w:b/>
          <w:sz w:val="20"/>
        </w:rPr>
        <w:t>368</w:t>
      </w:r>
      <w:r w:rsidRPr="006F4C96">
        <w:rPr>
          <w:rFonts w:ascii="Times New Roman" w:hAnsi="Times New Roman" w:cs="Times New Roman"/>
          <w:sz w:val="20"/>
        </w:rPr>
        <w:t>:</w:t>
      </w:r>
      <w:r w:rsidRPr="006F4C96" w:rsidDel="00C53881">
        <w:rPr>
          <w:rFonts w:ascii="Times New Roman" w:hAnsi="Times New Roman" w:cs="Times New Roman"/>
          <w:sz w:val="20"/>
        </w:rPr>
        <w:t xml:space="preserve"> m131.</w:t>
      </w:r>
    </w:p>
    <w:p w14:paraId="5B723C74" w14:textId="28E0C96A"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Broer L, Codd V, Nyholt DR, et al. Meta-analysis of telomere length in 19,713 subjects reveals high heritability, stronger maternal inheritance and a paternal age effect. </w:t>
      </w:r>
      <w:r w:rsidRPr="006F4C96">
        <w:rPr>
          <w:rFonts w:ascii="Times New Roman" w:hAnsi="Times New Roman" w:cs="Times New Roman"/>
          <w:i/>
          <w:sz w:val="20"/>
        </w:rPr>
        <w:t>Eur J Hum Genet</w:t>
      </w:r>
      <w:r w:rsidRPr="006F4C96">
        <w:rPr>
          <w:rFonts w:ascii="Times New Roman" w:hAnsi="Times New Roman" w:cs="Times New Roman"/>
          <w:sz w:val="20"/>
        </w:rPr>
        <w:t xml:space="preserve"> 2013; </w:t>
      </w:r>
      <w:r w:rsidRPr="006F4C96">
        <w:rPr>
          <w:rFonts w:ascii="Times New Roman" w:hAnsi="Times New Roman" w:cs="Times New Roman"/>
          <w:b/>
          <w:sz w:val="20"/>
        </w:rPr>
        <w:t>21</w:t>
      </w:r>
      <w:r w:rsidRPr="006F4C96">
        <w:rPr>
          <w:rFonts w:ascii="Times New Roman" w:hAnsi="Times New Roman" w:cs="Times New Roman"/>
          <w:sz w:val="20"/>
        </w:rPr>
        <w:t>: 1163-8.</w:t>
      </w:r>
    </w:p>
    <w:p w14:paraId="4F9BF517" w14:textId="31A8783E"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Valdes AM, Andrew T, Gardner JP, et al. Obesity, cigarette smoking, and telomere length in women. </w:t>
      </w:r>
      <w:r w:rsidRPr="006F4C96">
        <w:rPr>
          <w:rFonts w:ascii="Times New Roman" w:hAnsi="Times New Roman" w:cs="Times New Roman"/>
          <w:i/>
          <w:sz w:val="20"/>
        </w:rPr>
        <w:t>Lancet</w:t>
      </w:r>
      <w:r w:rsidRPr="006F4C96">
        <w:rPr>
          <w:rFonts w:ascii="Times New Roman" w:hAnsi="Times New Roman" w:cs="Times New Roman"/>
          <w:sz w:val="20"/>
        </w:rPr>
        <w:t xml:space="preserve"> 2005; </w:t>
      </w:r>
      <w:r w:rsidRPr="006F4C96">
        <w:rPr>
          <w:rFonts w:ascii="Times New Roman" w:hAnsi="Times New Roman" w:cs="Times New Roman"/>
          <w:b/>
          <w:sz w:val="20"/>
        </w:rPr>
        <w:t>366</w:t>
      </w:r>
      <w:r w:rsidRPr="006F4C96">
        <w:rPr>
          <w:rFonts w:ascii="Times New Roman" w:hAnsi="Times New Roman" w:cs="Times New Roman"/>
          <w:sz w:val="20"/>
        </w:rPr>
        <w:t>: 662–664.</w:t>
      </w:r>
    </w:p>
    <w:p w14:paraId="2D16536A" w14:textId="08D5F411"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Farzaneh-Far R, Lin J, Epel ES, Harris WS, Blackburn EH, Whooley MA. Association of marine omega-3 fatty acid levels with telomeric aging in patients with coronary heart disease. </w:t>
      </w:r>
      <w:r w:rsidRPr="006F4C96">
        <w:rPr>
          <w:rFonts w:ascii="Times New Roman" w:hAnsi="Times New Roman" w:cs="Times New Roman"/>
          <w:i/>
          <w:sz w:val="20"/>
        </w:rPr>
        <w:t>JAMA</w:t>
      </w:r>
      <w:r w:rsidRPr="006F4C96">
        <w:rPr>
          <w:rFonts w:ascii="Times New Roman" w:hAnsi="Times New Roman" w:cs="Times New Roman"/>
          <w:sz w:val="20"/>
        </w:rPr>
        <w:t xml:space="preserve"> 2010; </w:t>
      </w:r>
      <w:r w:rsidRPr="006F4C96">
        <w:rPr>
          <w:rFonts w:ascii="Times New Roman" w:hAnsi="Times New Roman" w:cs="Times New Roman"/>
          <w:b/>
          <w:sz w:val="20"/>
        </w:rPr>
        <w:t>303</w:t>
      </w:r>
      <w:r w:rsidRPr="006F4C96">
        <w:rPr>
          <w:rFonts w:ascii="Times New Roman" w:hAnsi="Times New Roman" w:cs="Times New Roman"/>
          <w:sz w:val="20"/>
        </w:rPr>
        <w:t xml:space="preserve">: 250-257. </w:t>
      </w:r>
    </w:p>
    <w:p w14:paraId="4C8ADE1A" w14:textId="3730F488"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Canudas S, Becerra-Tomás N, Hernández-Alonso P, et al. Mediterranean Diet and Telomere Length: A Systematic Review and Meta-Analysis. </w:t>
      </w:r>
      <w:r w:rsidRPr="006F4C96">
        <w:rPr>
          <w:rFonts w:ascii="Times New Roman" w:hAnsi="Times New Roman" w:cs="Times New Roman"/>
          <w:i/>
          <w:sz w:val="20"/>
        </w:rPr>
        <w:t>Adv Nutr</w:t>
      </w:r>
      <w:r w:rsidRPr="006F4C96">
        <w:rPr>
          <w:rFonts w:ascii="Times New Roman" w:hAnsi="Times New Roman" w:cs="Times New Roman"/>
          <w:sz w:val="20"/>
        </w:rPr>
        <w:t xml:space="preserve"> 2020; </w:t>
      </w:r>
      <w:r w:rsidRPr="006F4C96">
        <w:rPr>
          <w:rFonts w:ascii="Times New Roman" w:hAnsi="Times New Roman" w:cs="Times New Roman"/>
          <w:b/>
          <w:sz w:val="20"/>
        </w:rPr>
        <w:t>11</w:t>
      </w:r>
      <w:r w:rsidRPr="006F4C96">
        <w:rPr>
          <w:rFonts w:ascii="Times New Roman" w:hAnsi="Times New Roman" w:cs="Times New Roman"/>
          <w:sz w:val="20"/>
        </w:rPr>
        <w:t>: 1544–1554.</w:t>
      </w:r>
    </w:p>
    <w:p w14:paraId="0677680F" w14:textId="5EB6EAA9"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Mundstock E, Zatti H, Louzada FM, et al. Effects of physical activity in telomere length: systematic review and meta</w:t>
      </w:r>
      <w:r w:rsidR="00A60B14" w:rsidRPr="006F4C96">
        <w:rPr>
          <w:rFonts w:ascii="Times New Roman" w:hAnsi="Times New Roman" w:cs="Times New Roman"/>
          <w:sz w:val="20"/>
        </w:rPr>
        <w:t>–</w:t>
      </w:r>
      <w:r w:rsidRPr="006F4C96">
        <w:rPr>
          <w:rFonts w:ascii="Times New Roman" w:hAnsi="Times New Roman" w:cs="Times New Roman"/>
          <w:sz w:val="20"/>
        </w:rPr>
        <w:t xml:space="preserve">analysis. </w:t>
      </w:r>
      <w:r w:rsidRPr="006F4C96">
        <w:rPr>
          <w:rFonts w:ascii="Times New Roman" w:hAnsi="Times New Roman" w:cs="Times New Roman"/>
          <w:i/>
          <w:sz w:val="20"/>
        </w:rPr>
        <w:t>Ageing Res Re</w:t>
      </w:r>
      <w:r w:rsidR="00E25058" w:rsidRPr="006F4C96">
        <w:rPr>
          <w:rFonts w:ascii="Times New Roman" w:hAnsi="Times New Roman" w:cs="Times New Roman"/>
          <w:i/>
          <w:sz w:val="20"/>
        </w:rPr>
        <w:t>v</w:t>
      </w:r>
      <w:r w:rsidRPr="006F4C96">
        <w:rPr>
          <w:rFonts w:ascii="Times New Roman" w:hAnsi="Times New Roman" w:cs="Times New Roman"/>
          <w:sz w:val="20"/>
        </w:rPr>
        <w:t xml:space="preserve"> 2015; </w:t>
      </w:r>
      <w:r w:rsidRPr="006F4C96">
        <w:rPr>
          <w:rFonts w:ascii="Times New Roman" w:hAnsi="Times New Roman" w:cs="Times New Roman"/>
          <w:b/>
          <w:sz w:val="20"/>
        </w:rPr>
        <w:t>22</w:t>
      </w:r>
      <w:r w:rsidRPr="006F4C96">
        <w:rPr>
          <w:rFonts w:ascii="Times New Roman" w:hAnsi="Times New Roman" w:cs="Times New Roman"/>
          <w:sz w:val="20"/>
        </w:rPr>
        <w:t>: 72–80.</w:t>
      </w:r>
    </w:p>
    <w:p w14:paraId="566D16D1" w14:textId="6C6979F7" w:rsidR="000E3CF2" w:rsidRPr="006F4C96"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Gielen M, Hageman GJ, Antoniou EE, et al. Body mass index is negatively associated with telomere length: a collaborative cross-sectional meta-analysis of 87 observational studies. </w:t>
      </w:r>
      <w:r w:rsidRPr="006F4C96">
        <w:rPr>
          <w:rFonts w:ascii="Times New Roman" w:hAnsi="Times New Roman" w:cs="Times New Roman"/>
          <w:i/>
          <w:sz w:val="20"/>
        </w:rPr>
        <w:t>Am J Clin Nutr</w:t>
      </w:r>
      <w:r w:rsidRPr="006F4C96">
        <w:rPr>
          <w:rFonts w:ascii="Times New Roman" w:hAnsi="Times New Roman" w:cs="Times New Roman"/>
          <w:sz w:val="20"/>
        </w:rPr>
        <w:t xml:space="preserve"> 2018; </w:t>
      </w:r>
      <w:r w:rsidRPr="006F4C96">
        <w:rPr>
          <w:rFonts w:ascii="Times New Roman" w:hAnsi="Times New Roman" w:cs="Times New Roman"/>
          <w:b/>
          <w:sz w:val="20"/>
        </w:rPr>
        <w:t>108</w:t>
      </w:r>
      <w:r w:rsidR="00E25058" w:rsidRPr="006F4C96">
        <w:rPr>
          <w:rFonts w:ascii="Times New Roman" w:hAnsi="Times New Roman" w:cs="Times New Roman"/>
          <w:sz w:val="20"/>
        </w:rPr>
        <w:t xml:space="preserve">: </w:t>
      </w:r>
      <w:r w:rsidRPr="006F4C96">
        <w:rPr>
          <w:rFonts w:ascii="Times New Roman" w:hAnsi="Times New Roman" w:cs="Times New Roman"/>
          <w:sz w:val="20"/>
        </w:rPr>
        <w:t>453–475.</w:t>
      </w:r>
    </w:p>
    <w:p w14:paraId="790E9A12" w14:textId="141021CB" w:rsidR="000E3CF2" w:rsidRPr="006F4C96" w:rsidDel="00C53881" w:rsidRDefault="000E3CF2" w:rsidP="008C738E">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Jaskelioff M, Muller FL, Paik JH, et al. Telomerase reactivation reverses tissue degeneration in aged telomerase-deficient mice. </w:t>
      </w:r>
      <w:r w:rsidRPr="006F4C96">
        <w:rPr>
          <w:rFonts w:ascii="Times New Roman" w:hAnsi="Times New Roman" w:cs="Times New Roman"/>
          <w:i/>
          <w:sz w:val="20"/>
        </w:rPr>
        <w:t>Nature</w:t>
      </w:r>
      <w:r w:rsidRPr="006F4C96">
        <w:rPr>
          <w:rFonts w:ascii="Times New Roman" w:hAnsi="Times New Roman" w:cs="Times New Roman"/>
          <w:sz w:val="20"/>
        </w:rPr>
        <w:t xml:space="preserve"> 2011; </w:t>
      </w:r>
      <w:r w:rsidRPr="006F4C96">
        <w:rPr>
          <w:rFonts w:ascii="Times New Roman" w:hAnsi="Times New Roman" w:cs="Times New Roman"/>
          <w:b/>
          <w:sz w:val="20"/>
        </w:rPr>
        <w:t>469</w:t>
      </w:r>
      <w:r w:rsidRPr="006F4C96">
        <w:rPr>
          <w:rFonts w:ascii="Times New Roman" w:hAnsi="Times New Roman" w:cs="Times New Roman"/>
          <w:sz w:val="20"/>
        </w:rPr>
        <w:t>: 102–106.</w:t>
      </w:r>
    </w:p>
    <w:p w14:paraId="4F6A3E75" w14:textId="51929158" w:rsidR="00EB408F" w:rsidRPr="006F4C96" w:rsidRDefault="00525610" w:rsidP="00EB408F">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Cesari M, Gambassi G, Abellan van Kan G, Vellas B. The frailty phenotype and the frailty index: different instruments for different purposes. </w:t>
      </w:r>
      <w:r w:rsidRPr="006F4C96">
        <w:rPr>
          <w:rFonts w:ascii="Times New Roman" w:hAnsi="Times New Roman" w:cs="Times New Roman"/>
          <w:i/>
          <w:sz w:val="20"/>
        </w:rPr>
        <w:t>Age Ageing</w:t>
      </w:r>
      <w:r w:rsidRPr="006F4C96">
        <w:rPr>
          <w:rFonts w:ascii="Times New Roman" w:hAnsi="Times New Roman" w:cs="Times New Roman"/>
          <w:sz w:val="20"/>
        </w:rPr>
        <w:t xml:space="preserve"> 2013; </w:t>
      </w:r>
      <w:r w:rsidRPr="006F4C96">
        <w:rPr>
          <w:rFonts w:ascii="Times New Roman" w:hAnsi="Times New Roman" w:cs="Times New Roman"/>
          <w:b/>
          <w:sz w:val="20"/>
        </w:rPr>
        <w:t>43</w:t>
      </w:r>
      <w:r w:rsidR="000E3CF2" w:rsidRPr="006F4C96">
        <w:rPr>
          <w:rFonts w:ascii="Times New Roman" w:hAnsi="Times New Roman" w:cs="Times New Roman"/>
          <w:sz w:val="20"/>
        </w:rPr>
        <w:t>:</w:t>
      </w:r>
      <w:r w:rsidRPr="006F4C96">
        <w:rPr>
          <w:rFonts w:ascii="Times New Roman" w:hAnsi="Times New Roman" w:cs="Times New Roman"/>
          <w:sz w:val="20"/>
        </w:rPr>
        <w:t xml:space="preserve"> 10–</w:t>
      </w:r>
      <w:r w:rsidR="000E3CF2" w:rsidRPr="006F4C96">
        <w:rPr>
          <w:rFonts w:ascii="Times New Roman" w:hAnsi="Times New Roman" w:cs="Times New Roman"/>
          <w:sz w:val="20"/>
        </w:rPr>
        <w:t>1</w:t>
      </w:r>
      <w:r w:rsidRPr="006F4C96">
        <w:rPr>
          <w:rFonts w:ascii="Times New Roman" w:hAnsi="Times New Roman" w:cs="Times New Roman"/>
          <w:sz w:val="20"/>
        </w:rPr>
        <w:t>2.</w:t>
      </w:r>
    </w:p>
    <w:p w14:paraId="1AC643C7" w14:textId="5AB1D548" w:rsidR="00EB408F" w:rsidRPr="006F4C96" w:rsidRDefault="00EB408F" w:rsidP="00EB408F">
      <w:pPr>
        <w:pStyle w:val="ListParagraph"/>
        <w:numPr>
          <w:ilvl w:val="0"/>
          <w:numId w:val="1"/>
        </w:numPr>
        <w:spacing w:after="0" w:line="480" w:lineRule="auto"/>
        <w:ind w:left="0" w:firstLine="0"/>
        <w:rPr>
          <w:rFonts w:ascii="Times New Roman" w:hAnsi="Times New Roman" w:cs="Times New Roman"/>
          <w:sz w:val="20"/>
        </w:rPr>
      </w:pPr>
      <w:r w:rsidRPr="006F4C96">
        <w:rPr>
          <w:rFonts w:ascii="Times New Roman" w:hAnsi="Times New Roman" w:cs="Times New Roman"/>
          <w:sz w:val="20"/>
        </w:rPr>
        <w:t xml:space="preserve">von Haehling S, Morley JE, Coats AJS, Anker SD. Ethical guidelines for publishing in the Journal of Cachexia, Sarcopenia and Muscle: update 2019. </w:t>
      </w:r>
      <w:r w:rsidRPr="006F4C96">
        <w:rPr>
          <w:rFonts w:ascii="Times New Roman" w:hAnsi="Times New Roman" w:cs="Times New Roman"/>
          <w:i/>
          <w:sz w:val="20"/>
        </w:rPr>
        <w:t>J Cachexia Sarcopenia Muscle</w:t>
      </w:r>
      <w:r w:rsidRPr="006F4C96">
        <w:rPr>
          <w:rFonts w:ascii="Times New Roman" w:hAnsi="Times New Roman" w:cs="Times New Roman"/>
          <w:sz w:val="20"/>
        </w:rPr>
        <w:t xml:space="preserve"> 2019; </w:t>
      </w:r>
      <w:r w:rsidRPr="006F4C96">
        <w:rPr>
          <w:rFonts w:ascii="Times New Roman" w:hAnsi="Times New Roman" w:cs="Times New Roman"/>
          <w:b/>
          <w:sz w:val="20"/>
        </w:rPr>
        <w:t>10</w:t>
      </w:r>
      <w:r w:rsidRPr="006F4C96">
        <w:rPr>
          <w:rFonts w:ascii="Times New Roman" w:hAnsi="Times New Roman" w:cs="Times New Roman"/>
          <w:sz w:val="20"/>
        </w:rPr>
        <w:t>: 1143–1145.</w:t>
      </w:r>
    </w:p>
    <w:p w14:paraId="75F3ABBC" w14:textId="563F1931" w:rsidR="00A0305F" w:rsidRPr="006F4C96" w:rsidRDefault="00A0305F" w:rsidP="008C738E">
      <w:pPr>
        <w:pStyle w:val="ListParagraph"/>
        <w:spacing w:after="0" w:line="480" w:lineRule="auto"/>
        <w:ind w:left="0"/>
        <w:rPr>
          <w:rFonts w:ascii="Times New Roman" w:hAnsi="Times New Roman" w:cs="Times New Roman"/>
          <w:sz w:val="20"/>
        </w:rPr>
      </w:pPr>
    </w:p>
    <w:p w14:paraId="64BAFE65" w14:textId="5C04ADBB" w:rsidR="00C45867" w:rsidRPr="006F4C96" w:rsidRDefault="00C45867" w:rsidP="008C738E">
      <w:pPr>
        <w:pStyle w:val="ListParagraph"/>
        <w:numPr>
          <w:ilvl w:val="0"/>
          <w:numId w:val="1"/>
        </w:numPr>
        <w:spacing w:after="0" w:line="480" w:lineRule="auto"/>
        <w:ind w:left="0" w:firstLine="0"/>
        <w:rPr>
          <w:rFonts w:ascii="Times New Roman" w:hAnsi="Times New Roman" w:cs="Times New Roman"/>
          <w:b/>
          <w:iCs/>
          <w:szCs w:val="18"/>
        </w:rPr>
      </w:pPr>
      <w:r w:rsidRPr="006F4C96">
        <w:rPr>
          <w:rFonts w:ascii="Times New Roman" w:hAnsi="Times New Roman" w:cs="Times New Roman"/>
          <w:b/>
          <w:i/>
        </w:rPr>
        <w:br w:type="page"/>
      </w:r>
    </w:p>
    <w:p w14:paraId="1759A2E1" w14:textId="31E3DCE4" w:rsidR="006D58B7" w:rsidRPr="006F4C96" w:rsidRDefault="006D58B7" w:rsidP="008C738E">
      <w:pPr>
        <w:pStyle w:val="Caption"/>
        <w:keepNext/>
        <w:spacing w:after="0" w:line="480" w:lineRule="auto"/>
        <w:rPr>
          <w:rFonts w:ascii="Times New Roman" w:hAnsi="Times New Roman" w:cs="Times New Roman"/>
          <w:b/>
          <w:i w:val="0"/>
          <w:color w:val="auto"/>
          <w:sz w:val="20"/>
        </w:rPr>
      </w:pPr>
      <w:r w:rsidRPr="006F4C96">
        <w:rPr>
          <w:rFonts w:ascii="Times New Roman" w:hAnsi="Times New Roman" w:cs="Times New Roman"/>
          <w:b/>
          <w:i w:val="0"/>
          <w:color w:val="auto"/>
          <w:sz w:val="20"/>
        </w:rPr>
        <w:t xml:space="preserve">Table </w:t>
      </w:r>
      <w:r w:rsidRPr="006F4C96">
        <w:rPr>
          <w:rFonts w:ascii="Times New Roman" w:hAnsi="Times New Roman" w:cs="Times New Roman"/>
          <w:b/>
          <w:i w:val="0"/>
          <w:color w:val="auto"/>
          <w:sz w:val="20"/>
        </w:rPr>
        <w:fldChar w:fldCharType="begin"/>
      </w:r>
      <w:r w:rsidRPr="006F4C96">
        <w:rPr>
          <w:rFonts w:ascii="Times New Roman" w:hAnsi="Times New Roman" w:cs="Times New Roman"/>
          <w:b/>
          <w:i w:val="0"/>
          <w:color w:val="auto"/>
          <w:sz w:val="20"/>
        </w:rPr>
        <w:instrText xml:space="preserve"> SEQ Table \* ARABIC </w:instrText>
      </w:r>
      <w:r w:rsidRPr="006F4C96">
        <w:rPr>
          <w:rFonts w:ascii="Times New Roman" w:hAnsi="Times New Roman" w:cs="Times New Roman"/>
          <w:b/>
          <w:i w:val="0"/>
          <w:color w:val="auto"/>
          <w:sz w:val="20"/>
        </w:rPr>
        <w:fldChar w:fldCharType="separate"/>
      </w:r>
      <w:r w:rsidRPr="006F4C96">
        <w:rPr>
          <w:rFonts w:ascii="Times New Roman" w:hAnsi="Times New Roman" w:cs="Times New Roman"/>
          <w:b/>
          <w:i w:val="0"/>
          <w:noProof/>
          <w:color w:val="auto"/>
          <w:sz w:val="20"/>
        </w:rPr>
        <w:t>1</w:t>
      </w:r>
      <w:r w:rsidRPr="006F4C96">
        <w:rPr>
          <w:rFonts w:ascii="Times New Roman" w:hAnsi="Times New Roman" w:cs="Times New Roman"/>
          <w:b/>
          <w:i w:val="0"/>
          <w:color w:val="auto"/>
          <w:sz w:val="20"/>
        </w:rPr>
        <w:fldChar w:fldCharType="end"/>
      </w:r>
      <w:r w:rsidRPr="006F4C96">
        <w:rPr>
          <w:rFonts w:ascii="Times New Roman" w:hAnsi="Times New Roman" w:cs="Times New Roman"/>
          <w:b/>
          <w:i w:val="0"/>
          <w:color w:val="auto"/>
          <w:sz w:val="20"/>
        </w:rPr>
        <w:t>: Distribution of demographic and clinical characteristics and leucocyte telomere length</w:t>
      </w:r>
      <w:r w:rsidR="00180976" w:rsidRPr="006F4C96">
        <w:rPr>
          <w:rFonts w:ascii="Times New Roman" w:hAnsi="Times New Roman" w:cs="Times New Roman"/>
          <w:b/>
          <w:i w:val="0"/>
          <w:color w:val="auto"/>
          <w:sz w:val="20"/>
        </w:rPr>
        <w:t xml:space="preserve"> (LTL)</w:t>
      </w:r>
      <w:r w:rsidRPr="006F4C96">
        <w:rPr>
          <w:rFonts w:ascii="Times New Roman" w:hAnsi="Times New Roman" w:cs="Times New Roman"/>
          <w:b/>
          <w:i w:val="0"/>
          <w:color w:val="auto"/>
          <w:sz w:val="20"/>
        </w:rPr>
        <w:t xml:space="preserve">, overall and across participants’ frailty status. </w:t>
      </w:r>
    </w:p>
    <w:tbl>
      <w:tblPr>
        <w:tblStyle w:val="TableGrid"/>
        <w:tblW w:w="7949" w:type="dxa"/>
        <w:jc w:val="center"/>
        <w:tblLook w:val="04A0" w:firstRow="1" w:lastRow="0" w:firstColumn="1" w:lastColumn="0" w:noHBand="0" w:noVBand="1"/>
      </w:tblPr>
      <w:tblGrid>
        <w:gridCol w:w="3355"/>
        <w:gridCol w:w="1372"/>
        <w:gridCol w:w="1611"/>
        <w:gridCol w:w="1611"/>
      </w:tblGrid>
      <w:tr w:rsidR="006F4C96" w:rsidRPr="006F4C96" w14:paraId="0DDCD885" w14:textId="77777777" w:rsidTr="003D489E">
        <w:trPr>
          <w:jc w:val="center"/>
        </w:trPr>
        <w:tc>
          <w:tcPr>
            <w:tcW w:w="3355" w:type="dxa"/>
          </w:tcPr>
          <w:p w14:paraId="1847CE4D" w14:textId="77777777" w:rsidR="003D489E" w:rsidRPr="006F4C96" w:rsidRDefault="003D489E" w:rsidP="003D489E">
            <w:pPr>
              <w:spacing w:line="360" w:lineRule="auto"/>
              <w:jc w:val="both"/>
            </w:pPr>
          </w:p>
        </w:tc>
        <w:tc>
          <w:tcPr>
            <w:tcW w:w="4594" w:type="dxa"/>
            <w:gridSpan w:val="3"/>
          </w:tcPr>
          <w:p w14:paraId="3E0CD890" w14:textId="5C72B0E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Frailty status</w:t>
            </w:r>
          </w:p>
        </w:tc>
      </w:tr>
      <w:tr w:rsidR="006F4C96" w:rsidRPr="006F4C96" w14:paraId="36F68408" w14:textId="77777777" w:rsidTr="003D489E">
        <w:trPr>
          <w:jc w:val="center"/>
        </w:trPr>
        <w:tc>
          <w:tcPr>
            <w:tcW w:w="3355" w:type="dxa"/>
          </w:tcPr>
          <w:p w14:paraId="6C6B0F60" w14:textId="77777777" w:rsidR="003D489E" w:rsidRPr="006F4C96" w:rsidRDefault="003D489E" w:rsidP="003D489E">
            <w:pPr>
              <w:spacing w:line="360" w:lineRule="auto"/>
              <w:jc w:val="both"/>
            </w:pPr>
          </w:p>
        </w:tc>
        <w:tc>
          <w:tcPr>
            <w:tcW w:w="1372" w:type="dxa"/>
          </w:tcPr>
          <w:p w14:paraId="6239C464" w14:textId="0C07301B"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Non–frail</w:t>
            </w:r>
          </w:p>
        </w:tc>
        <w:tc>
          <w:tcPr>
            <w:tcW w:w="1611" w:type="dxa"/>
          </w:tcPr>
          <w:p w14:paraId="5D302D88" w14:textId="0ACD3EC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Pre–frail</w:t>
            </w:r>
          </w:p>
        </w:tc>
        <w:tc>
          <w:tcPr>
            <w:tcW w:w="1611" w:type="dxa"/>
          </w:tcPr>
          <w:p w14:paraId="1C4FA841" w14:textId="07048235"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Frail</w:t>
            </w:r>
          </w:p>
        </w:tc>
      </w:tr>
      <w:tr w:rsidR="006F4C96" w:rsidRPr="006F4C96" w14:paraId="2F6B1BA4" w14:textId="77777777" w:rsidTr="003D489E">
        <w:trPr>
          <w:jc w:val="center"/>
        </w:trPr>
        <w:tc>
          <w:tcPr>
            <w:tcW w:w="3355" w:type="dxa"/>
          </w:tcPr>
          <w:p w14:paraId="2A33E626" w14:textId="2C3E318F"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 xml:space="preserve"> </w:t>
            </w:r>
          </w:p>
        </w:tc>
        <w:tc>
          <w:tcPr>
            <w:tcW w:w="1372" w:type="dxa"/>
          </w:tcPr>
          <w:p w14:paraId="2410FEF9" w14:textId="5303EB9E" w:rsidR="003D489E" w:rsidRPr="006F4C96" w:rsidRDefault="003D489E" w:rsidP="003D489E">
            <w:pPr>
              <w:spacing w:line="360" w:lineRule="auto"/>
              <w:jc w:val="center"/>
            </w:pPr>
          </w:p>
        </w:tc>
        <w:tc>
          <w:tcPr>
            <w:tcW w:w="1611" w:type="dxa"/>
          </w:tcPr>
          <w:p w14:paraId="3B124EA7" w14:textId="5872E75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(1–2 indicators)</w:t>
            </w:r>
          </w:p>
        </w:tc>
        <w:tc>
          <w:tcPr>
            <w:tcW w:w="1611" w:type="dxa"/>
          </w:tcPr>
          <w:p w14:paraId="48603F59" w14:textId="4358713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(3–5 indicators)</w:t>
            </w:r>
          </w:p>
        </w:tc>
      </w:tr>
      <w:tr w:rsidR="006F4C96" w:rsidRPr="006F4C96" w14:paraId="0E9F6D0A" w14:textId="77777777" w:rsidTr="003D489E">
        <w:trPr>
          <w:jc w:val="center"/>
        </w:trPr>
        <w:tc>
          <w:tcPr>
            <w:tcW w:w="3355" w:type="dxa"/>
          </w:tcPr>
          <w:p w14:paraId="3B10220B" w14:textId="32FC5659"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n (%)</w:t>
            </w:r>
          </w:p>
        </w:tc>
        <w:tc>
          <w:tcPr>
            <w:tcW w:w="1372" w:type="dxa"/>
          </w:tcPr>
          <w:p w14:paraId="74F6D410" w14:textId="1589687B"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223,648 (51)</w:t>
            </w:r>
          </w:p>
        </w:tc>
        <w:tc>
          <w:tcPr>
            <w:tcW w:w="1611" w:type="dxa"/>
          </w:tcPr>
          <w:p w14:paraId="3C32625F" w14:textId="5379E97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197,615 (45)</w:t>
            </w:r>
          </w:p>
        </w:tc>
        <w:tc>
          <w:tcPr>
            <w:tcW w:w="1611" w:type="dxa"/>
          </w:tcPr>
          <w:p w14:paraId="73F4BA63" w14:textId="06FF19B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20,518 (4.6)</w:t>
            </w:r>
          </w:p>
        </w:tc>
      </w:tr>
      <w:tr w:rsidR="006F4C96" w:rsidRPr="006F4C96" w14:paraId="119FF5BC" w14:textId="77777777" w:rsidTr="003D489E">
        <w:trPr>
          <w:jc w:val="center"/>
        </w:trPr>
        <w:tc>
          <w:tcPr>
            <w:tcW w:w="3355" w:type="dxa"/>
          </w:tcPr>
          <w:p w14:paraId="1526E2E4" w14:textId="038AF30E"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Age, years</w:t>
            </w:r>
          </w:p>
        </w:tc>
        <w:tc>
          <w:tcPr>
            <w:tcW w:w="1372" w:type="dxa"/>
          </w:tcPr>
          <w:p w14:paraId="0FDAF888" w14:textId="049B049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57 (49; 62)</w:t>
            </w:r>
          </w:p>
        </w:tc>
        <w:tc>
          <w:tcPr>
            <w:tcW w:w="1611" w:type="dxa"/>
          </w:tcPr>
          <w:p w14:paraId="5E7D399E" w14:textId="4A0B66D9"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59 (51; 64)</w:t>
            </w:r>
          </w:p>
        </w:tc>
        <w:tc>
          <w:tcPr>
            <w:tcW w:w="1611" w:type="dxa"/>
          </w:tcPr>
          <w:p w14:paraId="051855CB" w14:textId="32757ECE"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60 (53; 64)</w:t>
            </w:r>
          </w:p>
        </w:tc>
      </w:tr>
      <w:tr w:rsidR="006F4C96" w:rsidRPr="006F4C96" w14:paraId="36776EE0" w14:textId="77777777" w:rsidTr="003D489E">
        <w:trPr>
          <w:jc w:val="center"/>
        </w:trPr>
        <w:tc>
          <w:tcPr>
            <w:tcW w:w="3355" w:type="dxa"/>
          </w:tcPr>
          <w:p w14:paraId="40A2EE7C" w14:textId="608E74DC"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Females, n (%)</w:t>
            </w:r>
          </w:p>
        </w:tc>
        <w:tc>
          <w:tcPr>
            <w:tcW w:w="1372" w:type="dxa"/>
          </w:tcPr>
          <w:p w14:paraId="45A3E5EF" w14:textId="5425F576"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115,835 (52)</w:t>
            </w:r>
          </w:p>
        </w:tc>
        <w:tc>
          <w:tcPr>
            <w:tcW w:w="1611" w:type="dxa"/>
          </w:tcPr>
          <w:p w14:paraId="3BB8E854" w14:textId="4F468C07"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111,119 (56)</w:t>
            </w:r>
          </w:p>
        </w:tc>
        <w:tc>
          <w:tcPr>
            <w:tcW w:w="1611" w:type="dxa"/>
          </w:tcPr>
          <w:p w14:paraId="3FB5A493" w14:textId="6076D26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12,436 (61)</w:t>
            </w:r>
          </w:p>
        </w:tc>
      </w:tr>
      <w:tr w:rsidR="006F4C96" w:rsidRPr="006F4C96" w14:paraId="683CD05A" w14:textId="77777777" w:rsidTr="003D489E">
        <w:trPr>
          <w:jc w:val="center"/>
        </w:trPr>
        <w:tc>
          <w:tcPr>
            <w:tcW w:w="3355" w:type="dxa"/>
          </w:tcPr>
          <w:p w14:paraId="1EE54831" w14:textId="49731F99"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LTL, SD</w:t>
            </w:r>
          </w:p>
        </w:tc>
        <w:tc>
          <w:tcPr>
            <w:tcW w:w="1372" w:type="dxa"/>
          </w:tcPr>
          <w:p w14:paraId="5D0F37D8" w14:textId="60900A6B"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0.03 (0.99)</w:t>
            </w:r>
          </w:p>
        </w:tc>
        <w:tc>
          <w:tcPr>
            <w:tcW w:w="1611" w:type="dxa"/>
          </w:tcPr>
          <w:p w14:paraId="2BDE5494" w14:textId="4B22A1E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-0.02 (1.00)</w:t>
            </w:r>
          </w:p>
        </w:tc>
        <w:tc>
          <w:tcPr>
            <w:tcW w:w="1611" w:type="dxa"/>
          </w:tcPr>
          <w:p w14:paraId="0B5F75F4" w14:textId="0AA9902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-0.13 (1.00)</w:t>
            </w:r>
          </w:p>
        </w:tc>
      </w:tr>
      <w:tr w:rsidR="006F4C96" w:rsidRPr="006F4C96" w14:paraId="04BAD636" w14:textId="77777777" w:rsidTr="003D489E">
        <w:trPr>
          <w:jc w:val="center"/>
        </w:trPr>
        <w:tc>
          <w:tcPr>
            <w:tcW w:w="3355" w:type="dxa"/>
          </w:tcPr>
          <w:p w14:paraId="00120E2D" w14:textId="6825CFB5"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Fifths of deprivation, n (%)</w:t>
            </w:r>
          </w:p>
        </w:tc>
        <w:tc>
          <w:tcPr>
            <w:tcW w:w="1372" w:type="dxa"/>
          </w:tcPr>
          <w:p w14:paraId="4FB68307" w14:textId="77777777" w:rsidR="003D489E" w:rsidRPr="006F4C96" w:rsidRDefault="003D489E" w:rsidP="003D489E">
            <w:pPr>
              <w:spacing w:line="360" w:lineRule="auto"/>
              <w:jc w:val="center"/>
            </w:pPr>
          </w:p>
        </w:tc>
        <w:tc>
          <w:tcPr>
            <w:tcW w:w="1611" w:type="dxa"/>
          </w:tcPr>
          <w:p w14:paraId="27CD839B" w14:textId="77777777" w:rsidR="003D489E" w:rsidRPr="006F4C96" w:rsidRDefault="003D489E" w:rsidP="003D489E">
            <w:pPr>
              <w:spacing w:line="360" w:lineRule="auto"/>
              <w:jc w:val="center"/>
            </w:pPr>
          </w:p>
        </w:tc>
        <w:tc>
          <w:tcPr>
            <w:tcW w:w="1611" w:type="dxa"/>
          </w:tcPr>
          <w:p w14:paraId="123E8D2E" w14:textId="77777777" w:rsidR="003D489E" w:rsidRPr="006F4C96" w:rsidRDefault="003D489E" w:rsidP="003D489E">
            <w:pPr>
              <w:spacing w:line="360" w:lineRule="auto"/>
              <w:jc w:val="center"/>
            </w:pPr>
          </w:p>
        </w:tc>
      </w:tr>
      <w:tr w:rsidR="006F4C96" w:rsidRPr="006F4C96" w14:paraId="5CA6DFD2" w14:textId="77777777" w:rsidTr="003D489E">
        <w:trPr>
          <w:jc w:val="center"/>
        </w:trPr>
        <w:tc>
          <w:tcPr>
            <w:tcW w:w="3355" w:type="dxa"/>
          </w:tcPr>
          <w:p w14:paraId="48BEE384" w14:textId="0D9E44E0"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1st (least deprived)</w:t>
            </w:r>
          </w:p>
        </w:tc>
        <w:tc>
          <w:tcPr>
            <w:tcW w:w="1372" w:type="dxa"/>
          </w:tcPr>
          <w:p w14:paraId="5E2B2AA0" w14:textId="0BC4EAFE"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87,138 (39)</w:t>
            </w:r>
          </w:p>
        </w:tc>
        <w:tc>
          <w:tcPr>
            <w:tcW w:w="1611" w:type="dxa"/>
          </w:tcPr>
          <w:p w14:paraId="390F16A4" w14:textId="1C77CCC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63,773 (32)</w:t>
            </w:r>
          </w:p>
        </w:tc>
        <w:tc>
          <w:tcPr>
            <w:tcW w:w="1611" w:type="dxa"/>
          </w:tcPr>
          <w:p w14:paraId="12E4553E" w14:textId="3AF85C4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4,084 (20)</w:t>
            </w:r>
          </w:p>
        </w:tc>
      </w:tr>
      <w:tr w:rsidR="006F4C96" w:rsidRPr="006F4C96" w14:paraId="5E014820" w14:textId="77777777" w:rsidTr="003D489E">
        <w:trPr>
          <w:jc w:val="center"/>
        </w:trPr>
        <w:tc>
          <w:tcPr>
            <w:tcW w:w="3355" w:type="dxa"/>
          </w:tcPr>
          <w:p w14:paraId="08E57341" w14:textId="64F87258"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2nd</w:t>
            </w:r>
          </w:p>
        </w:tc>
        <w:tc>
          <w:tcPr>
            <w:tcW w:w="1372" w:type="dxa"/>
          </w:tcPr>
          <w:p w14:paraId="658330AB" w14:textId="2A478B69"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50,480 (23)</w:t>
            </w:r>
          </w:p>
        </w:tc>
        <w:tc>
          <w:tcPr>
            <w:tcW w:w="1611" w:type="dxa"/>
          </w:tcPr>
          <w:p w14:paraId="74EF08D4" w14:textId="15BC1523"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41,727 (21)</w:t>
            </w:r>
          </w:p>
        </w:tc>
        <w:tc>
          <w:tcPr>
            <w:tcW w:w="1611" w:type="dxa"/>
          </w:tcPr>
          <w:p w14:paraId="11329EC3" w14:textId="6B8398F5"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3,383 (16)</w:t>
            </w:r>
          </w:p>
        </w:tc>
      </w:tr>
      <w:tr w:rsidR="006F4C96" w:rsidRPr="006F4C96" w14:paraId="5909849B" w14:textId="77777777" w:rsidTr="003D489E">
        <w:trPr>
          <w:jc w:val="center"/>
        </w:trPr>
        <w:tc>
          <w:tcPr>
            <w:tcW w:w="3355" w:type="dxa"/>
          </w:tcPr>
          <w:p w14:paraId="7238D0AF" w14:textId="328FE684"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3rd</w:t>
            </w:r>
          </w:p>
        </w:tc>
        <w:tc>
          <w:tcPr>
            <w:tcW w:w="1372" w:type="dxa"/>
          </w:tcPr>
          <w:p w14:paraId="08AABA58" w14:textId="558B2500"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36,698 (16)</w:t>
            </w:r>
          </w:p>
        </w:tc>
        <w:tc>
          <w:tcPr>
            <w:tcW w:w="1611" w:type="dxa"/>
          </w:tcPr>
          <w:p w14:paraId="18BB83AF" w14:textId="5617630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33,617 (17)</w:t>
            </w:r>
          </w:p>
        </w:tc>
        <w:tc>
          <w:tcPr>
            <w:tcW w:w="1611" w:type="dxa"/>
          </w:tcPr>
          <w:p w14:paraId="6CB78F83" w14:textId="5A3F6201"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3,327 (16)</w:t>
            </w:r>
          </w:p>
        </w:tc>
      </w:tr>
      <w:tr w:rsidR="006F4C96" w:rsidRPr="006F4C96" w14:paraId="71D22C83" w14:textId="77777777" w:rsidTr="003D489E">
        <w:trPr>
          <w:jc w:val="center"/>
        </w:trPr>
        <w:tc>
          <w:tcPr>
            <w:tcW w:w="3355" w:type="dxa"/>
          </w:tcPr>
          <w:p w14:paraId="5D311D6D" w14:textId="4C9FA55E"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4th</w:t>
            </w:r>
          </w:p>
        </w:tc>
        <w:tc>
          <w:tcPr>
            <w:tcW w:w="1372" w:type="dxa"/>
          </w:tcPr>
          <w:p w14:paraId="4042C6C0" w14:textId="2397DB4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30,047 (13)</w:t>
            </w:r>
          </w:p>
        </w:tc>
        <w:tc>
          <w:tcPr>
            <w:tcW w:w="1611" w:type="dxa"/>
          </w:tcPr>
          <w:p w14:paraId="5CCF79A8" w14:textId="13C4A56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31,990 (16)</w:t>
            </w:r>
          </w:p>
        </w:tc>
        <w:tc>
          <w:tcPr>
            <w:tcW w:w="1611" w:type="dxa"/>
          </w:tcPr>
          <w:p w14:paraId="1E7B0DEE" w14:textId="7A0A8CD3"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4,389 (21)</w:t>
            </w:r>
          </w:p>
        </w:tc>
      </w:tr>
      <w:tr w:rsidR="006F4C96" w:rsidRPr="006F4C96" w14:paraId="067756A8" w14:textId="77777777" w:rsidTr="003D489E">
        <w:trPr>
          <w:jc w:val="center"/>
        </w:trPr>
        <w:tc>
          <w:tcPr>
            <w:tcW w:w="3355" w:type="dxa"/>
          </w:tcPr>
          <w:p w14:paraId="2702A19E" w14:textId="01C97923"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5th (most deprived)</w:t>
            </w:r>
          </w:p>
        </w:tc>
        <w:tc>
          <w:tcPr>
            <w:tcW w:w="1372" w:type="dxa"/>
          </w:tcPr>
          <w:p w14:paraId="2AFEDFF9" w14:textId="2938D835"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19,285 (8.6)</w:t>
            </w:r>
          </w:p>
        </w:tc>
        <w:tc>
          <w:tcPr>
            <w:tcW w:w="1611" w:type="dxa"/>
          </w:tcPr>
          <w:p w14:paraId="0EE3286E" w14:textId="04CB2E5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26,508 (13)</w:t>
            </w:r>
          </w:p>
        </w:tc>
        <w:tc>
          <w:tcPr>
            <w:tcW w:w="1611" w:type="dxa"/>
          </w:tcPr>
          <w:p w14:paraId="3B92B6B0" w14:textId="01BD9C39"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5,335 (26)</w:t>
            </w:r>
          </w:p>
        </w:tc>
      </w:tr>
      <w:tr w:rsidR="006F4C96" w:rsidRPr="006F4C96" w14:paraId="70955082" w14:textId="77777777" w:rsidTr="003D489E">
        <w:trPr>
          <w:jc w:val="center"/>
        </w:trPr>
        <w:tc>
          <w:tcPr>
            <w:tcW w:w="3355" w:type="dxa"/>
          </w:tcPr>
          <w:p w14:paraId="2B4420E8" w14:textId="621ED74D"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Smoking status, n (%)</w:t>
            </w:r>
          </w:p>
        </w:tc>
        <w:tc>
          <w:tcPr>
            <w:tcW w:w="1372" w:type="dxa"/>
          </w:tcPr>
          <w:p w14:paraId="6FAF2EC2" w14:textId="77777777" w:rsidR="003D489E" w:rsidRPr="006F4C96" w:rsidRDefault="003D489E" w:rsidP="003D489E">
            <w:pPr>
              <w:spacing w:line="360" w:lineRule="auto"/>
              <w:jc w:val="center"/>
            </w:pPr>
          </w:p>
        </w:tc>
        <w:tc>
          <w:tcPr>
            <w:tcW w:w="1611" w:type="dxa"/>
          </w:tcPr>
          <w:p w14:paraId="2EA1B772" w14:textId="77777777" w:rsidR="003D489E" w:rsidRPr="006F4C96" w:rsidRDefault="003D489E" w:rsidP="003D489E">
            <w:pPr>
              <w:spacing w:line="360" w:lineRule="auto"/>
              <w:jc w:val="center"/>
            </w:pPr>
          </w:p>
        </w:tc>
        <w:tc>
          <w:tcPr>
            <w:tcW w:w="1611" w:type="dxa"/>
          </w:tcPr>
          <w:p w14:paraId="0D076AB5" w14:textId="77777777" w:rsidR="003D489E" w:rsidRPr="006F4C96" w:rsidRDefault="003D489E" w:rsidP="003D489E">
            <w:pPr>
              <w:spacing w:line="360" w:lineRule="auto"/>
              <w:jc w:val="center"/>
            </w:pPr>
          </w:p>
        </w:tc>
      </w:tr>
      <w:tr w:rsidR="006F4C96" w:rsidRPr="006F4C96" w14:paraId="5D6F09B9" w14:textId="77777777" w:rsidTr="003D489E">
        <w:trPr>
          <w:jc w:val="center"/>
        </w:trPr>
        <w:tc>
          <w:tcPr>
            <w:tcW w:w="3355" w:type="dxa"/>
          </w:tcPr>
          <w:p w14:paraId="2B3E7241" w14:textId="54367F56"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Never</w:t>
            </w:r>
          </w:p>
        </w:tc>
        <w:tc>
          <w:tcPr>
            <w:tcW w:w="1372" w:type="dxa"/>
          </w:tcPr>
          <w:p w14:paraId="15B1F82A" w14:textId="49BFF955"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126,833 (57)</w:t>
            </w:r>
          </w:p>
        </w:tc>
        <w:tc>
          <w:tcPr>
            <w:tcW w:w="1611" w:type="dxa"/>
          </w:tcPr>
          <w:p w14:paraId="678A20D9" w14:textId="64CD0BB7"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105,566 (53)</w:t>
            </w:r>
          </w:p>
        </w:tc>
        <w:tc>
          <w:tcPr>
            <w:tcW w:w="1611" w:type="dxa"/>
          </w:tcPr>
          <w:p w14:paraId="391B0A83" w14:textId="2947638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9,264 (45)</w:t>
            </w:r>
          </w:p>
        </w:tc>
      </w:tr>
      <w:tr w:rsidR="006F4C96" w:rsidRPr="006F4C96" w14:paraId="048C3F73" w14:textId="77777777" w:rsidTr="003D489E">
        <w:trPr>
          <w:jc w:val="center"/>
        </w:trPr>
        <w:tc>
          <w:tcPr>
            <w:tcW w:w="3355" w:type="dxa"/>
          </w:tcPr>
          <w:p w14:paraId="07D4D8A6" w14:textId="32C19858"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Previous</w:t>
            </w:r>
          </w:p>
        </w:tc>
        <w:tc>
          <w:tcPr>
            <w:tcW w:w="1372" w:type="dxa"/>
          </w:tcPr>
          <w:p w14:paraId="0B881500" w14:textId="47FE363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77,617 (35)</w:t>
            </w:r>
          </w:p>
        </w:tc>
        <w:tc>
          <w:tcPr>
            <w:tcW w:w="1611" w:type="dxa"/>
          </w:tcPr>
          <w:p w14:paraId="7E9A596B" w14:textId="7E71E7E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69,432 (35)</w:t>
            </w:r>
          </w:p>
        </w:tc>
        <w:tc>
          <w:tcPr>
            <w:tcW w:w="1611" w:type="dxa"/>
          </w:tcPr>
          <w:p w14:paraId="02655576" w14:textId="72DAEE5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7,172 (35)</w:t>
            </w:r>
          </w:p>
        </w:tc>
      </w:tr>
      <w:tr w:rsidR="006F4C96" w:rsidRPr="006F4C96" w14:paraId="1A231106" w14:textId="77777777" w:rsidTr="003D489E">
        <w:trPr>
          <w:jc w:val="center"/>
        </w:trPr>
        <w:tc>
          <w:tcPr>
            <w:tcW w:w="3355" w:type="dxa"/>
          </w:tcPr>
          <w:p w14:paraId="72CFEC94" w14:textId="53F6AD5D"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Current</w:t>
            </w:r>
          </w:p>
        </w:tc>
        <w:tc>
          <w:tcPr>
            <w:tcW w:w="1372" w:type="dxa"/>
          </w:tcPr>
          <w:p w14:paraId="2DB3E9E5" w14:textId="3965AB51"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19,198 (8.6)</w:t>
            </w:r>
          </w:p>
        </w:tc>
        <w:tc>
          <w:tcPr>
            <w:tcW w:w="1611" w:type="dxa"/>
          </w:tcPr>
          <w:p w14:paraId="6A20C10B" w14:textId="0C6A16C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22,617 (11)</w:t>
            </w:r>
          </w:p>
        </w:tc>
        <w:tc>
          <w:tcPr>
            <w:tcW w:w="1611" w:type="dxa"/>
          </w:tcPr>
          <w:p w14:paraId="059AAE72" w14:textId="5CF957D0"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4,082 (20)</w:t>
            </w:r>
          </w:p>
        </w:tc>
      </w:tr>
      <w:tr w:rsidR="006F4C96" w:rsidRPr="006F4C96" w14:paraId="56949D71" w14:textId="77777777" w:rsidTr="003D489E">
        <w:trPr>
          <w:jc w:val="center"/>
        </w:trPr>
        <w:tc>
          <w:tcPr>
            <w:tcW w:w="3355" w:type="dxa"/>
          </w:tcPr>
          <w:p w14:paraId="4E50E334" w14:textId="64AAC03E"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Frequency of alcohol intake, n (%)</w:t>
            </w:r>
          </w:p>
        </w:tc>
        <w:tc>
          <w:tcPr>
            <w:tcW w:w="1372" w:type="dxa"/>
          </w:tcPr>
          <w:p w14:paraId="10291B6F" w14:textId="77777777" w:rsidR="003D489E" w:rsidRPr="006F4C96" w:rsidRDefault="003D489E" w:rsidP="003D489E">
            <w:pPr>
              <w:spacing w:line="360" w:lineRule="auto"/>
              <w:jc w:val="center"/>
            </w:pPr>
          </w:p>
        </w:tc>
        <w:tc>
          <w:tcPr>
            <w:tcW w:w="1611" w:type="dxa"/>
          </w:tcPr>
          <w:p w14:paraId="140E2720" w14:textId="77777777" w:rsidR="003D489E" w:rsidRPr="006F4C96" w:rsidRDefault="003D489E" w:rsidP="003D489E">
            <w:pPr>
              <w:spacing w:line="360" w:lineRule="auto"/>
              <w:jc w:val="center"/>
            </w:pPr>
          </w:p>
        </w:tc>
        <w:tc>
          <w:tcPr>
            <w:tcW w:w="1611" w:type="dxa"/>
          </w:tcPr>
          <w:p w14:paraId="7DFFBA22" w14:textId="77777777" w:rsidR="003D489E" w:rsidRPr="006F4C96" w:rsidRDefault="003D489E" w:rsidP="003D489E">
            <w:pPr>
              <w:spacing w:line="360" w:lineRule="auto"/>
              <w:jc w:val="center"/>
            </w:pPr>
          </w:p>
        </w:tc>
      </w:tr>
      <w:tr w:rsidR="006F4C96" w:rsidRPr="006F4C96" w14:paraId="2EDA65D7" w14:textId="77777777" w:rsidTr="003D489E">
        <w:trPr>
          <w:jc w:val="center"/>
        </w:trPr>
        <w:tc>
          <w:tcPr>
            <w:tcW w:w="3355" w:type="dxa"/>
          </w:tcPr>
          <w:p w14:paraId="1E68D1E4" w14:textId="059E0A21"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Daily</w:t>
            </w:r>
          </w:p>
        </w:tc>
        <w:tc>
          <w:tcPr>
            <w:tcW w:w="1372" w:type="dxa"/>
          </w:tcPr>
          <w:p w14:paraId="3648E980" w14:textId="1AF7544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51,759 (23)</w:t>
            </w:r>
          </w:p>
        </w:tc>
        <w:tc>
          <w:tcPr>
            <w:tcW w:w="1611" w:type="dxa"/>
          </w:tcPr>
          <w:p w14:paraId="2632ACE4" w14:textId="1D68FBC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37,374 (19)</w:t>
            </w:r>
          </w:p>
        </w:tc>
        <w:tc>
          <w:tcPr>
            <w:tcW w:w="1611" w:type="dxa"/>
          </w:tcPr>
          <w:p w14:paraId="011F750F" w14:textId="5F903F9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2,484 (12)</w:t>
            </w:r>
          </w:p>
        </w:tc>
      </w:tr>
      <w:tr w:rsidR="006F4C96" w:rsidRPr="006F4C96" w14:paraId="31FA4821" w14:textId="77777777" w:rsidTr="003D489E">
        <w:trPr>
          <w:jc w:val="center"/>
        </w:trPr>
        <w:tc>
          <w:tcPr>
            <w:tcW w:w="3355" w:type="dxa"/>
          </w:tcPr>
          <w:p w14:paraId="0B81B516" w14:textId="3BE52B99"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1–4 times/week</w:t>
            </w:r>
          </w:p>
        </w:tc>
        <w:tc>
          <w:tcPr>
            <w:tcW w:w="1372" w:type="dxa"/>
          </w:tcPr>
          <w:p w14:paraId="0A0CD304" w14:textId="61C663F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118,555 (53)</w:t>
            </w:r>
          </w:p>
        </w:tc>
        <w:tc>
          <w:tcPr>
            <w:tcW w:w="1611" w:type="dxa"/>
          </w:tcPr>
          <w:p w14:paraId="2907FD42" w14:textId="12F5332D"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92,804 (47)</w:t>
            </w:r>
          </w:p>
        </w:tc>
        <w:tc>
          <w:tcPr>
            <w:tcW w:w="1611" w:type="dxa"/>
          </w:tcPr>
          <w:p w14:paraId="328BA308" w14:textId="63B90D47"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6,745 (33)</w:t>
            </w:r>
          </w:p>
        </w:tc>
      </w:tr>
      <w:tr w:rsidR="006F4C96" w:rsidRPr="006F4C96" w14:paraId="4ADA05E9" w14:textId="77777777" w:rsidTr="003D489E">
        <w:trPr>
          <w:jc w:val="center"/>
        </w:trPr>
        <w:tc>
          <w:tcPr>
            <w:tcW w:w="3355" w:type="dxa"/>
          </w:tcPr>
          <w:p w14:paraId="69ADF07E" w14:textId="4D3F4505"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1–3 times/month</w:t>
            </w:r>
          </w:p>
        </w:tc>
        <w:tc>
          <w:tcPr>
            <w:tcW w:w="1372" w:type="dxa"/>
          </w:tcPr>
          <w:p w14:paraId="50EFF371" w14:textId="0F479DB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23,015 (10)</w:t>
            </w:r>
          </w:p>
        </w:tc>
        <w:tc>
          <w:tcPr>
            <w:tcW w:w="1611" w:type="dxa"/>
          </w:tcPr>
          <w:p w14:paraId="205B1A28" w14:textId="4979771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23,627 (12)</w:t>
            </w:r>
          </w:p>
        </w:tc>
        <w:tc>
          <w:tcPr>
            <w:tcW w:w="1611" w:type="dxa"/>
          </w:tcPr>
          <w:p w14:paraId="62073DC8" w14:textId="53DA03B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2,461 (12)</w:t>
            </w:r>
          </w:p>
        </w:tc>
      </w:tr>
      <w:tr w:rsidR="006F4C96" w:rsidRPr="006F4C96" w14:paraId="3CB36193" w14:textId="77777777" w:rsidTr="003D489E">
        <w:trPr>
          <w:jc w:val="center"/>
        </w:trPr>
        <w:tc>
          <w:tcPr>
            <w:tcW w:w="3355" w:type="dxa"/>
          </w:tcPr>
          <w:p w14:paraId="292196D5" w14:textId="6DCC9DCD"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Occasionally/ never</w:t>
            </w:r>
          </w:p>
        </w:tc>
        <w:tc>
          <w:tcPr>
            <w:tcW w:w="1372" w:type="dxa"/>
          </w:tcPr>
          <w:p w14:paraId="08A44565" w14:textId="5DCEAF0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30,319 (14)</w:t>
            </w:r>
          </w:p>
        </w:tc>
        <w:tc>
          <w:tcPr>
            <w:tcW w:w="1611" w:type="dxa"/>
          </w:tcPr>
          <w:p w14:paraId="2106E944" w14:textId="5D1D1BDF"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43,810 (22)</w:t>
            </w:r>
          </w:p>
        </w:tc>
        <w:tc>
          <w:tcPr>
            <w:tcW w:w="1611" w:type="dxa"/>
          </w:tcPr>
          <w:p w14:paraId="212FAAAD" w14:textId="40C317AC"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8,828 (43)</w:t>
            </w:r>
          </w:p>
        </w:tc>
      </w:tr>
      <w:tr w:rsidR="006F4C96" w:rsidRPr="006F4C96" w14:paraId="5F0E52DA" w14:textId="77777777" w:rsidTr="003D489E">
        <w:trPr>
          <w:jc w:val="center"/>
        </w:trPr>
        <w:tc>
          <w:tcPr>
            <w:tcW w:w="3355" w:type="dxa"/>
          </w:tcPr>
          <w:p w14:paraId="48B31D1E" w14:textId="176FFD46"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Categories of body mass index, n (%)</w:t>
            </w:r>
          </w:p>
        </w:tc>
        <w:tc>
          <w:tcPr>
            <w:tcW w:w="1372" w:type="dxa"/>
          </w:tcPr>
          <w:p w14:paraId="1A70E423" w14:textId="77777777" w:rsidR="003D489E" w:rsidRPr="006F4C96" w:rsidRDefault="003D489E" w:rsidP="003D489E">
            <w:pPr>
              <w:spacing w:line="360" w:lineRule="auto"/>
              <w:jc w:val="center"/>
            </w:pPr>
          </w:p>
        </w:tc>
        <w:tc>
          <w:tcPr>
            <w:tcW w:w="1611" w:type="dxa"/>
          </w:tcPr>
          <w:p w14:paraId="77ECDD31" w14:textId="77777777" w:rsidR="003D489E" w:rsidRPr="006F4C96" w:rsidRDefault="003D489E" w:rsidP="003D489E">
            <w:pPr>
              <w:spacing w:line="360" w:lineRule="auto"/>
              <w:jc w:val="center"/>
            </w:pPr>
          </w:p>
        </w:tc>
        <w:tc>
          <w:tcPr>
            <w:tcW w:w="1611" w:type="dxa"/>
          </w:tcPr>
          <w:p w14:paraId="54EE8FC5" w14:textId="77777777" w:rsidR="003D489E" w:rsidRPr="006F4C96" w:rsidRDefault="003D489E" w:rsidP="003D489E">
            <w:pPr>
              <w:spacing w:line="360" w:lineRule="auto"/>
              <w:jc w:val="center"/>
            </w:pPr>
          </w:p>
        </w:tc>
      </w:tr>
      <w:tr w:rsidR="006F4C96" w:rsidRPr="006F4C96" w14:paraId="7F3830B9" w14:textId="77777777" w:rsidTr="003D489E">
        <w:trPr>
          <w:jc w:val="center"/>
        </w:trPr>
        <w:tc>
          <w:tcPr>
            <w:tcW w:w="3355" w:type="dxa"/>
          </w:tcPr>
          <w:p w14:paraId="438D70AD" w14:textId="3E542D76"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&lt;18 kg/m</w:t>
            </w:r>
            <w:r w:rsidRPr="006F4C96">
              <w:rPr>
                <w:rFonts w:ascii="Times New Roman" w:eastAsia="Times New Roman" w:hAnsi="Times New Roman" w:cs="Times New Roman"/>
                <w:sz w:val="20"/>
                <w:szCs w:val="20"/>
                <w:vertAlign w:val="superscript"/>
                <w:lang w:eastAsia="en-GB"/>
              </w:rPr>
              <w:t>2</w:t>
            </w:r>
          </w:p>
        </w:tc>
        <w:tc>
          <w:tcPr>
            <w:tcW w:w="1372" w:type="dxa"/>
          </w:tcPr>
          <w:p w14:paraId="242883E0" w14:textId="3E60E933"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1,071 (0.48)</w:t>
            </w:r>
          </w:p>
        </w:tc>
        <w:tc>
          <w:tcPr>
            <w:tcW w:w="1611" w:type="dxa"/>
          </w:tcPr>
          <w:p w14:paraId="4157F8D9" w14:textId="26DF217F"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992 (0.50)</w:t>
            </w:r>
          </w:p>
        </w:tc>
        <w:tc>
          <w:tcPr>
            <w:tcW w:w="1611" w:type="dxa"/>
          </w:tcPr>
          <w:p w14:paraId="66F279D1" w14:textId="5914C20D"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160 (0.78)</w:t>
            </w:r>
          </w:p>
        </w:tc>
      </w:tr>
      <w:tr w:rsidR="006F4C96" w:rsidRPr="006F4C96" w14:paraId="4B1C3045" w14:textId="77777777" w:rsidTr="003D489E">
        <w:trPr>
          <w:jc w:val="center"/>
        </w:trPr>
        <w:tc>
          <w:tcPr>
            <w:tcW w:w="3355" w:type="dxa"/>
          </w:tcPr>
          <w:p w14:paraId="60578290" w14:textId="0C65606A"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18–25 kg/m</w:t>
            </w:r>
            <w:r w:rsidRPr="006F4C96">
              <w:rPr>
                <w:rFonts w:ascii="Times New Roman" w:eastAsia="Times New Roman" w:hAnsi="Times New Roman" w:cs="Times New Roman"/>
                <w:sz w:val="20"/>
                <w:szCs w:val="20"/>
                <w:vertAlign w:val="superscript"/>
                <w:lang w:eastAsia="en-GB"/>
              </w:rPr>
              <w:t>2</w:t>
            </w:r>
          </w:p>
        </w:tc>
        <w:tc>
          <w:tcPr>
            <w:tcW w:w="1372" w:type="dxa"/>
          </w:tcPr>
          <w:p w14:paraId="1838BB56" w14:textId="2830875E"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81,510 (36)</w:t>
            </w:r>
          </w:p>
        </w:tc>
        <w:tc>
          <w:tcPr>
            <w:tcW w:w="1611" w:type="dxa"/>
          </w:tcPr>
          <w:p w14:paraId="537790BB" w14:textId="68C5F837"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58,962 (30)</w:t>
            </w:r>
          </w:p>
        </w:tc>
        <w:tc>
          <w:tcPr>
            <w:tcW w:w="1611" w:type="dxa"/>
          </w:tcPr>
          <w:p w14:paraId="2CF84282" w14:textId="0DD0325F"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4,138 (20)</w:t>
            </w:r>
          </w:p>
        </w:tc>
      </w:tr>
      <w:tr w:rsidR="006F4C96" w:rsidRPr="006F4C96" w14:paraId="03051912" w14:textId="77777777" w:rsidTr="003D489E">
        <w:trPr>
          <w:jc w:val="center"/>
        </w:trPr>
        <w:tc>
          <w:tcPr>
            <w:tcW w:w="3355" w:type="dxa"/>
          </w:tcPr>
          <w:p w14:paraId="1374A601" w14:textId="07291891"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25–30 kg/m</w:t>
            </w:r>
            <w:r w:rsidRPr="006F4C96">
              <w:rPr>
                <w:rFonts w:ascii="Times New Roman" w:eastAsia="Times New Roman" w:hAnsi="Times New Roman" w:cs="Times New Roman"/>
                <w:sz w:val="20"/>
                <w:szCs w:val="20"/>
                <w:vertAlign w:val="superscript"/>
                <w:lang w:eastAsia="en-GB"/>
              </w:rPr>
              <w:t>2</w:t>
            </w:r>
          </w:p>
        </w:tc>
        <w:tc>
          <w:tcPr>
            <w:tcW w:w="1372" w:type="dxa"/>
          </w:tcPr>
          <w:p w14:paraId="7D112D28" w14:textId="4EA0330A"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98,727 (44)</w:t>
            </w:r>
          </w:p>
        </w:tc>
        <w:tc>
          <w:tcPr>
            <w:tcW w:w="1611" w:type="dxa"/>
          </w:tcPr>
          <w:p w14:paraId="16FE4B99" w14:textId="72D2E19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82,959 (42)</w:t>
            </w:r>
          </w:p>
        </w:tc>
        <w:tc>
          <w:tcPr>
            <w:tcW w:w="1611" w:type="dxa"/>
          </w:tcPr>
          <w:p w14:paraId="34A6EDFF" w14:textId="1F2571B1"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6,707 (33)</w:t>
            </w:r>
          </w:p>
        </w:tc>
      </w:tr>
      <w:tr w:rsidR="006F4C96" w:rsidRPr="006F4C96" w14:paraId="5BC133C3" w14:textId="77777777" w:rsidTr="003D489E">
        <w:trPr>
          <w:jc w:val="center"/>
        </w:trPr>
        <w:tc>
          <w:tcPr>
            <w:tcW w:w="3355" w:type="dxa"/>
          </w:tcPr>
          <w:p w14:paraId="759F7B50" w14:textId="7A87554F"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≥30 kg/m</w:t>
            </w:r>
            <w:r w:rsidRPr="006F4C96">
              <w:rPr>
                <w:rFonts w:ascii="Times New Roman" w:eastAsia="Times New Roman" w:hAnsi="Times New Roman" w:cs="Times New Roman"/>
                <w:sz w:val="20"/>
                <w:szCs w:val="20"/>
                <w:vertAlign w:val="superscript"/>
                <w:lang w:eastAsia="en-GB"/>
              </w:rPr>
              <w:t>2</w:t>
            </w:r>
          </w:p>
        </w:tc>
        <w:tc>
          <w:tcPr>
            <w:tcW w:w="1372" w:type="dxa"/>
          </w:tcPr>
          <w:p w14:paraId="024A999D" w14:textId="34E0B8E0"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42,340 (19)</w:t>
            </w:r>
          </w:p>
        </w:tc>
        <w:tc>
          <w:tcPr>
            <w:tcW w:w="1611" w:type="dxa"/>
          </w:tcPr>
          <w:p w14:paraId="02F3D5A9" w14:textId="2C2148E9"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54,702 (28)</w:t>
            </w:r>
          </w:p>
        </w:tc>
        <w:tc>
          <w:tcPr>
            <w:tcW w:w="1611" w:type="dxa"/>
          </w:tcPr>
          <w:p w14:paraId="5F585BA8" w14:textId="13F6DCD4"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9,513 (46)</w:t>
            </w:r>
          </w:p>
        </w:tc>
      </w:tr>
      <w:tr w:rsidR="006F4C96" w:rsidRPr="006F4C96" w14:paraId="095F936F" w14:textId="77777777" w:rsidTr="003D489E">
        <w:trPr>
          <w:jc w:val="center"/>
        </w:trPr>
        <w:tc>
          <w:tcPr>
            <w:tcW w:w="3355" w:type="dxa"/>
          </w:tcPr>
          <w:p w14:paraId="1DEB9C14" w14:textId="00825DC1" w:rsidR="003D489E" w:rsidRPr="006F4C96" w:rsidRDefault="003D489E" w:rsidP="003D489E">
            <w:pPr>
              <w:spacing w:line="360" w:lineRule="auto"/>
              <w:jc w:val="both"/>
            </w:pPr>
            <w:r w:rsidRPr="006F4C96">
              <w:rPr>
                <w:rFonts w:ascii="Times New Roman" w:eastAsia="Times New Roman" w:hAnsi="Times New Roman" w:cs="Times New Roman"/>
                <w:sz w:val="20"/>
                <w:szCs w:val="20"/>
                <w:lang w:eastAsia="en-GB"/>
              </w:rPr>
              <w:t>Number of comorbidities, n (%)</w:t>
            </w:r>
          </w:p>
        </w:tc>
        <w:tc>
          <w:tcPr>
            <w:tcW w:w="1372" w:type="dxa"/>
          </w:tcPr>
          <w:p w14:paraId="72CF75BE" w14:textId="77777777" w:rsidR="003D489E" w:rsidRPr="006F4C96" w:rsidRDefault="003D489E" w:rsidP="003D489E">
            <w:pPr>
              <w:spacing w:line="360" w:lineRule="auto"/>
              <w:jc w:val="center"/>
            </w:pPr>
          </w:p>
        </w:tc>
        <w:tc>
          <w:tcPr>
            <w:tcW w:w="1611" w:type="dxa"/>
          </w:tcPr>
          <w:p w14:paraId="1BE4E8FF" w14:textId="77777777" w:rsidR="003D489E" w:rsidRPr="006F4C96" w:rsidRDefault="003D489E" w:rsidP="003D489E">
            <w:pPr>
              <w:spacing w:line="360" w:lineRule="auto"/>
              <w:jc w:val="center"/>
            </w:pPr>
          </w:p>
        </w:tc>
        <w:tc>
          <w:tcPr>
            <w:tcW w:w="1611" w:type="dxa"/>
          </w:tcPr>
          <w:p w14:paraId="37CB3290" w14:textId="77777777" w:rsidR="003D489E" w:rsidRPr="006F4C96" w:rsidRDefault="003D489E" w:rsidP="003D489E">
            <w:pPr>
              <w:spacing w:line="360" w:lineRule="auto"/>
              <w:jc w:val="center"/>
            </w:pPr>
          </w:p>
        </w:tc>
      </w:tr>
      <w:tr w:rsidR="006F4C96" w:rsidRPr="006F4C96" w14:paraId="3EEFFE01" w14:textId="77777777" w:rsidTr="003D489E">
        <w:trPr>
          <w:jc w:val="center"/>
        </w:trPr>
        <w:tc>
          <w:tcPr>
            <w:tcW w:w="3355" w:type="dxa"/>
          </w:tcPr>
          <w:p w14:paraId="32A7C9FD" w14:textId="24535316"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None</w:t>
            </w:r>
          </w:p>
        </w:tc>
        <w:tc>
          <w:tcPr>
            <w:tcW w:w="1372" w:type="dxa"/>
          </w:tcPr>
          <w:p w14:paraId="69FCBF62" w14:textId="2BA73FA6"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66,333 (30)</w:t>
            </w:r>
          </w:p>
        </w:tc>
        <w:tc>
          <w:tcPr>
            <w:tcW w:w="1611" w:type="dxa"/>
          </w:tcPr>
          <w:p w14:paraId="2046EF97" w14:textId="4A417B50"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39,732 (20)</w:t>
            </w:r>
          </w:p>
        </w:tc>
        <w:tc>
          <w:tcPr>
            <w:tcW w:w="1611" w:type="dxa"/>
          </w:tcPr>
          <w:p w14:paraId="5C62374A" w14:textId="4D249081"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1,307 (6.4)</w:t>
            </w:r>
          </w:p>
        </w:tc>
      </w:tr>
      <w:tr w:rsidR="006F4C96" w:rsidRPr="006F4C96" w14:paraId="04CAD073" w14:textId="77777777" w:rsidTr="003D489E">
        <w:trPr>
          <w:jc w:val="center"/>
        </w:trPr>
        <w:tc>
          <w:tcPr>
            <w:tcW w:w="3355" w:type="dxa"/>
          </w:tcPr>
          <w:p w14:paraId="17F04A53" w14:textId="0EC87E55"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One long term condition</w:t>
            </w:r>
          </w:p>
        </w:tc>
        <w:tc>
          <w:tcPr>
            <w:tcW w:w="1372" w:type="dxa"/>
          </w:tcPr>
          <w:p w14:paraId="78602372" w14:textId="3CA331B6"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65,376 (29)</w:t>
            </w:r>
          </w:p>
        </w:tc>
        <w:tc>
          <w:tcPr>
            <w:tcW w:w="1611" w:type="dxa"/>
          </w:tcPr>
          <w:p w14:paraId="1B3CCFB1" w14:textId="5BB6DABF"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50,320 (25)</w:t>
            </w:r>
          </w:p>
        </w:tc>
        <w:tc>
          <w:tcPr>
            <w:tcW w:w="1611" w:type="dxa"/>
          </w:tcPr>
          <w:p w14:paraId="06F875C6" w14:textId="10F2C41B"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2,690 (13)</w:t>
            </w:r>
          </w:p>
        </w:tc>
      </w:tr>
      <w:tr w:rsidR="006F4C96" w:rsidRPr="006F4C96" w14:paraId="7B946A36" w14:textId="77777777" w:rsidTr="003D489E">
        <w:trPr>
          <w:jc w:val="center"/>
        </w:trPr>
        <w:tc>
          <w:tcPr>
            <w:tcW w:w="3355" w:type="dxa"/>
          </w:tcPr>
          <w:p w14:paraId="73AB82FF" w14:textId="4C59F6CE"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Two long term conditions</w:t>
            </w:r>
          </w:p>
        </w:tc>
        <w:tc>
          <w:tcPr>
            <w:tcW w:w="1372" w:type="dxa"/>
          </w:tcPr>
          <w:p w14:paraId="15CD6BD2" w14:textId="325E231D"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44,089 (20)</w:t>
            </w:r>
          </w:p>
        </w:tc>
        <w:tc>
          <w:tcPr>
            <w:tcW w:w="1611" w:type="dxa"/>
          </w:tcPr>
          <w:p w14:paraId="04AE2272" w14:textId="6075E70D"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41,618 (21)</w:t>
            </w:r>
          </w:p>
        </w:tc>
        <w:tc>
          <w:tcPr>
            <w:tcW w:w="1611" w:type="dxa"/>
          </w:tcPr>
          <w:p w14:paraId="276C2A03" w14:textId="262DBD8F"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3,483 (17)</w:t>
            </w:r>
          </w:p>
        </w:tc>
      </w:tr>
      <w:tr w:rsidR="006F4C96" w:rsidRPr="006F4C96" w14:paraId="5EE2FF42" w14:textId="77777777" w:rsidTr="003D489E">
        <w:trPr>
          <w:jc w:val="center"/>
        </w:trPr>
        <w:tc>
          <w:tcPr>
            <w:tcW w:w="3355" w:type="dxa"/>
          </w:tcPr>
          <w:p w14:paraId="07BB9182" w14:textId="43CDD6A3"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Three long term conditions</w:t>
            </w:r>
          </w:p>
        </w:tc>
        <w:tc>
          <w:tcPr>
            <w:tcW w:w="1372" w:type="dxa"/>
          </w:tcPr>
          <w:p w14:paraId="41C9CD51" w14:textId="4AB01430"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24,672 (11)</w:t>
            </w:r>
          </w:p>
        </w:tc>
        <w:tc>
          <w:tcPr>
            <w:tcW w:w="1611" w:type="dxa"/>
          </w:tcPr>
          <w:p w14:paraId="75D672E4" w14:textId="600361A2"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28,595 (14)</w:t>
            </w:r>
          </w:p>
        </w:tc>
        <w:tc>
          <w:tcPr>
            <w:tcW w:w="1611" w:type="dxa"/>
          </w:tcPr>
          <w:p w14:paraId="3F028632" w14:textId="7CC568C7"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3,563 (17)</w:t>
            </w:r>
          </w:p>
        </w:tc>
      </w:tr>
      <w:tr w:rsidR="006F4C96" w:rsidRPr="006F4C96" w14:paraId="1C5457DD" w14:textId="77777777" w:rsidTr="003D489E">
        <w:trPr>
          <w:jc w:val="center"/>
        </w:trPr>
        <w:tc>
          <w:tcPr>
            <w:tcW w:w="3355" w:type="dxa"/>
          </w:tcPr>
          <w:p w14:paraId="7ED73751" w14:textId="3C518DD5" w:rsidR="003D489E" w:rsidRPr="006F4C96" w:rsidRDefault="003D489E" w:rsidP="003D489E">
            <w:pPr>
              <w:spacing w:line="360" w:lineRule="auto"/>
              <w:jc w:val="right"/>
            </w:pPr>
            <w:r w:rsidRPr="006F4C96">
              <w:rPr>
                <w:rFonts w:ascii="Times New Roman" w:eastAsia="Times New Roman" w:hAnsi="Times New Roman" w:cs="Times New Roman"/>
                <w:sz w:val="20"/>
                <w:szCs w:val="20"/>
                <w:lang w:eastAsia="en-GB"/>
              </w:rPr>
              <w:t>Four or more long term conditions</w:t>
            </w:r>
          </w:p>
        </w:tc>
        <w:tc>
          <w:tcPr>
            <w:tcW w:w="1372" w:type="dxa"/>
          </w:tcPr>
          <w:p w14:paraId="217216EA" w14:textId="1FBB01D1"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23,178 (10)</w:t>
            </w:r>
          </w:p>
        </w:tc>
        <w:tc>
          <w:tcPr>
            <w:tcW w:w="1611" w:type="dxa"/>
          </w:tcPr>
          <w:p w14:paraId="30E5C57B" w14:textId="644175CE"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37,350 (19)</w:t>
            </w:r>
          </w:p>
        </w:tc>
        <w:tc>
          <w:tcPr>
            <w:tcW w:w="1611" w:type="dxa"/>
          </w:tcPr>
          <w:p w14:paraId="79D5DB8B" w14:textId="3E515998" w:rsidR="003D489E" w:rsidRPr="006F4C96" w:rsidRDefault="003D489E" w:rsidP="003D489E">
            <w:pPr>
              <w:spacing w:line="360" w:lineRule="auto"/>
              <w:jc w:val="center"/>
            </w:pPr>
            <w:r w:rsidRPr="006F4C96">
              <w:rPr>
                <w:rFonts w:ascii="Times New Roman" w:eastAsia="Times New Roman" w:hAnsi="Times New Roman" w:cs="Times New Roman"/>
                <w:sz w:val="20"/>
                <w:szCs w:val="20"/>
                <w:lang w:eastAsia="en-GB"/>
              </w:rPr>
              <w:t>9,475 (46)</w:t>
            </w:r>
          </w:p>
        </w:tc>
      </w:tr>
    </w:tbl>
    <w:p w14:paraId="0953685A" w14:textId="77777777" w:rsidR="003D489E" w:rsidRPr="006F4C96" w:rsidRDefault="006D58B7" w:rsidP="003D489E">
      <w:pPr>
        <w:spacing w:after="0" w:line="480" w:lineRule="auto"/>
        <w:rPr>
          <w:rFonts w:ascii="Times New Roman" w:hAnsi="Times New Roman" w:cs="Times New Roman"/>
          <w:sz w:val="20"/>
        </w:rPr>
      </w:pPr>
      <w:r w:rsidRPr="006F4C96">
        <w:rPr>
          <w:rFonts w:ascii="Times New Roman" w:hAnsi="Times New Roman" w:cs="Times New Roman"/>
          <w:sz w:val="20"/>
        </w:rPr>
        <w:t>Results shown as mean (SD) or median (1</w:t>
      </w:r>
      <w:r w:rsidRPr="006F4C96">
        <w:rPr>
          <w:rFonts w:ascii="Times New Roman" w:hAnsi="Times New Roman" w:cs="Times New Roman"/>
          <w:sz w:val="20"/>
          <w:vertAlign w:val="superscript"/>
        </w:rPr>
        <w:t>st</w:t>
      </w:r>
      <w:r w:rsidRPr="006F4C96">
        <w:rPr>
          <w:rFonts w:ascii="Times New Roman" w:hAnsi="Times New Roman" w:cs="Times New Roman"/>
          <w:sz w:val="20"/>
        </w:rPr>
        <w:t xml:space="preserve"> quartile; 3</w:t>
      </w:r>
      <w:r w:rsidRPr="006F4C96">
        <w:rPr>
          <w:rFonts w:ascii="Times New Roman" w:hAnsi="Times New Roman" w:cs="Times New Roman"/>
          <w:sz w:val="20"/>
          <w:vertAlign w:val="superscript"/>
        </w:rPr>
        <w:t>rd</w:t>
      </w:r>
      <w:r w:rsidRPr="006F4C96">
        <w:rPr>
          <w:rFonts w:ascii="Times New Roman" w:hAnsi="Times New Roman" w:cs="Times New Roman"/>
          <w:sz w:val="20"/>
        </w:rPr>
        <w:t xml:space="preserve"> quartile), unless otherwise indicated. </w:t>
      </w:r>
      <w:r w:rsidR="00180976" w:rsidRPr="006F4C96">
        <w:rPr>
          <w:rFonts w:ascii="Times New Roman" w:hAnsi="Times New Roman" w:cs="Times New Roman"/>
          <w:sz w:val="20"/>
        </w:rPr>
        <w:t>Leucocyte telomere length (LTL) measurements are z–standardised.</w:t>
      </w:r>
    </w:p>
    <w:p w14:paraId="286065F0" w14:textId="670BB3EC" w:rsidR="00D0041C" w:rsidRPr="006F4C96" w:rsidRDefault="00D0041C" w:rsidP="003D489E">
      <w:pPr>
        <w:spacing w:after="0" w:line="480" w:lineRule="auto"/>
        <w:rPr>
          <w:rFonts w:ascii="Times New Roman" w:hAnsi="Times New Roman" w:cs="Times New Roman"/>
          <w:b/>
          <w:sz w:val="20"/>
        </w:rPr>
      </w:pPr>
      <w:r w:rsidRPr="006F4C96">
        <w:rPr>
          <w:rFonts w:ascii="Times New Roman" w:hAnsi="Times New Roman" w:cs="Times New Roman"/>
          <w:b/>
          <w:sz w:val="20"/>
        </w:rPr>
        <w:t>Table 2: Adjusted odds ratios (OR) and 95% confidence intervals (95% CI) from a binary logistic regression model</w:t>
      </w:r>
      <w:r w:rsidRPr="006F4C96">
        <w:rPr>
          <w:rFonts w:ascii="Times New Roman" w:hAnsi="Times New Roman" w:cs="Times New Roman"/>
          <w:b/>
          <w:sz w:val="20"/>
          <w:vertAlign w:val="superscript"/>
        </w:rPr>
        <w:sym w:font="Symbol" w:char="F0F2"/>
      </w:r>
      <w:r w:rsidRPr="006F4C96">
        <w:rPr>
          <w:rFonts w:ascii="Times New Roman" w:hAnsi="Times New Roman" w:cs="Times New Roman"/>
          <w:b/>
          <w:sz w:val="20"/>
        </w:rPr>
        <w:t xml:space="preserve"> of leucocyte telomere length on frailty indicators.</w:t>
      </w:r>
    </w:p>
    <w:tbl>
      <w:tblPr>
        <w:tblStyle w:val="TableGrid"/>
        <w:tblW w:w="0" w:type="auto"/>
        <w:jc w:val="center"/>
        <w:tblLook w:val="04A0" w:firstRow="1" w:lastRow="0" w:firstColumn="1" w:lastColumn="0" w:noHBand="0" w:noVBand="1"/>
      </w:tblPr>
      <w:tblGrid>
        <w:gridCol w:w="3471"/>
        <w:gridCol w:w="1350"/>
        <w:gridCol w:w="666"/>
        <w:gridCol w:w="1305"/>
        <w:gridCol w:w="979"/>
      </w:tblGrid>
      <w:tr w:rsidR="006F4C96" w:rsidRPr="006F4C96" w14:paraId="700DD7CB" w14:textId="77777777" w:rsidTr="003D489E">
        <w:trPr>
          <w:jc w:val="center"/>
        </w:trPr>
        <w:tc>
          <w:tcPr>
            <w:tcW w:w="3471" w:type="dxa"/>
          </w:tcPr>
          <w:p w14:paraId="09DD3E51" w14:textId="77777777" w:rsidR="003D489E" w:rsidRPr="006F4C96" w:rsidRDefault="003D489E" w:rsidP="003D489E">
            <w:pPr>
              <w:spacing w:line="480" w:lineRule="auto"/>
              <w:rPr>
                <w:rFonts w:ascii="Times New Roman" w:hAnsi="Times New Roman" w:cs="Times New Roman"/>
                <w:sz w:val="20"/>
              </w:rPr>
            </w:pPr>
          </w:p>
        </w:tc>
        <w:tc>
          <w:tcPr>
            <w:tcW w:w="1350" w:type="dxa"/>
          </w:tcPr>
          <w:p w14:paraId="07AC6586" w14:textId="108FBD84"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n (%)</w:t>
            </w:r>
          </w:p>
        </w:tc>
        <w:tc>
          <w:tcPr>
            <w:tcW w:w="666" w:type="dxa"/>
          </w:tcPr>
          <w:p w14:paraId="7BBF6CB7" w14:textId="756630F0"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OR</w:t>
            </w:r>
          </w:p>
        </w:tc>
        <w:tc>
          <w:tcPr>
            <w:tcW w:w="1305" w:type="dxa"/>
          </w:tcPr>
          <w:p w14:paraId="79BA9AAB" w14:textId="6C706C08"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(95% CI)</w:t>
            </w:r>
          </w:p>
        </w:tc>
        <w:tc>
          <w:tcPr>
            <w:tcW w:w="979" w:type="dxa"/>
          </w:tcPr>
          <w:p w14:paraId="06CC8B6F" w14:textId="2FED710F"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P</w:t>
            </w:r>
          </w:p>
        </w:tc>
      </w:tr>
      <w:tr w:rsidR="006F4C96" w:rsidRPr="006F4C96" w14:paraId="0D14152F" w14:textId="77777777" w:rsidTr="003D489E">
        <w:trPr>
          <w:jc w:val="center"/>
        </w:trPr>
        <w:tc>
          <w:tcPr>
            <w:tcW w:w="3471" w:type="dxa"/>
          </w:tcPr>
          <w:p w14:paraId="5E1C88F8" w14:textId="4317138E" w:rsidR="003D489E" w:rsidRPr="006F4C96" w:rsidRDefault="003D489E" w:rsidP="003D489E">
            <w:pPr>
              <w:spacing w:line="480" w:lineRule="auto"/>
              <w:rPr>
                <w:rFonts w:ascii="Times New Roman" w:hAnsi="Times New Roman" w:cs="Times New Roman"/>
                <w:sz w:val="20"/>
              </w:rPr>
            </w:pPr>
            <w:r w:rsidRPr="006F4C96">
              <w:rPr>
                <w:rFonts w:ascii="Times New Roman" w:eastAsia="Times New Roman" w:hAnsi="Times New Roman" w:cs="Times New Roman"/>
                <w:i/>
                <w:iCs/>
                <w:sz w:val="20"/>
                <w:szCs w:val="20"/>
                <w:lang w:eastAsia="en-GB"/>
              </w:rPr>
              <w:t>Weakness (hand grip strength)</w:t>
            </w:r>
          </w:p>
        </w:tc>
        <w:tc>
          <w:tcPr>
            <w:tcW w:w="1350" w:type="dxa"/>
          </w:tcPr>
          <w:p w14:paraId="07BF869C" w14:textId="675616E2"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101,179 (23)</w:t>
            </w:r>
          </w:p>
        </w:tc>
        <w:tc>
          <w:tcPr>
            <w:tcW w:w="666" w:type="dxa"/>
          </w:tcPr>
          <w:p w14:paraId="599BD374" w14:textId="77777777" w:rsidR="003D489E" w:rsidRPr="006F4C96" w:rsidRDefault="003D489E" w:rsidP="003D489E">
            <w:pPr>
              <w:spacing w:line="480" w:lineRule="auto"/>
              <w:jc w:val="center"/>
              <w:rPr>
                <w:rFonts w:ascii="Times New Roman" w:hAnsi="Times New Roman" w:cs="Times New Roman"/>
                <w:sz w:val="20"/>
              </w:rPr>
            </w:pPr>
          </w:p>
        </w:tc>
        <w:tc>
          <w:tcPr>
            <w:tcW w:w="1305" w:type="dxa"/>
          </w:tcPr>
          <w:p w14:paraId="4A0BFF9A" w14:textId="77777777" w:rsidR="003D489E" w:rsidRPr="006F4C96" w:rsidRDefault="003D489E" w:rsidP="003D489E">
            <w:pPr>
              <w:spacing w:line="480" w:lineRule="auto"/>
              <w:jc w:val="center"/>
              <w:rPr>
                <w:rFonts w:ascii="Times New Roman" w:hAnsi="Times New Roman" w:cs="Times New Roman"/>
                <w:sz w:val="20"/>
              </w:rPr>
            </w:pPr>
          </w:p>
        </w:tc>
        <w:tc>
          <w:tcPr>
            <w:tcW w:w="979" w:type="dxa"/>
          </w:tcPr>
          <w:p w14:paraId="49599774" w14:textId="77777777" w:rsidR="003D489E" w:rsidRPr="006F4C96" w:rsidRDefault="003D489E" w:rsidP="003D489E">
            <w:pPr>
              <w:spacing w:line="480" w:lineRule="auto"/>
              <w:jc w:val="center"/>
              <w:rPr>
                <w:rFonts w:ascii="Times New Roman" w:hAnsi="Times New Roman" w:cs="Times New Roman"/>
                <w:sz w:val="20"/>
              </w:rPr>
            </w:pPr>
          </w:p>
        </w:tc>
      </w:tr>
      <w:tr w:rsidR="006F4C96" w:rsidRPr="006F4C96" w14:paraId="2FEA330D" w14:textId="77777777" w:rsidTr="003D489E">
        <w:trPr>
          <w:jc w:val="center"/>
        </w:trPr>
        <w:tc>
          <w:tcPr>
            <w:tcW w:w="3471" w:type="dxa"/>
          </w:tcPr>
          <w:p w14:paraId="567D6FF5" w14:textId="6CB8D64F" w:rsidR="003D489E" w:rsidRPr="006F4C96" w:rsidRDefault="003D489E" w:rsidP="003D489E">
            <w:pPr>
              <w:spacing w:line="480" w:lineRule="auto"/>
              <w:jc w:val="right"/>
              <w:rPr>
                <w:rFonts w:ascii="Times New Roman" w:hAnsi="Times New Roman" w:cs="Times New Roman"/>
                <w:sz w:val="20"/>
              </w:rPr>
            </w:pPr>
            <w:r w:rsidRPr="006F4C96">
              <w:rPr>
                <w:rFonts w:ascii="Times New Roman" w:eastAsia="Times New Roman" w:hAnsi="Times New Roman" w:cs="Times New Roman"/>
                <w:sz w:val="20"/>
                <w:szCs w:val="20"/>
                <w:lang w:eastAsia="en-GB"/>
              </w:rPr>
              <w:t>Telomere length, per SD shorter</w:t>
            </w:r>
          </w:p>
        </w:tc>
        <w:tc>
          <w:tcPr>
            <w:tcW w:w="1350" w:type="dxa"/>
          </w:tcPr>
          <w:p w14:paraId="253CF993" w14:textId="77777777" w:rsidR="003D489E" w:rsidRPr="006F4C96" w:rsidRDefault="003D489E" w:rsidP="003D489E">
            <w:pPr>
              <w:spacing w:line="480" w:lineRule="auto"/>
              <w:jc w:val="center"/>
              <w:rPr>
                <w:rFonts w:ascii="Times New Roman" w:hAnsi="Times New Roman" w:cs="Times New Roman"/>
                <w:sz w:val="20"/>
              </w:rPr>
            </w:pPr>
          </w:p>
        </w:tc>
        <w:tc>
          <w:tcPr>
            <w:tcW w:w="666" w:type="dxa"/>
          </w:tcPr>
          <w:p w14:paraId="2F3F41A3" w14:textId="0A02785C"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1.02</w:t>
            </w:r>
          </w:p>
        </w:tc>
        <w:tc>
          <w:tcPr>
            <w:tcW w:w="1305" w:type="dxa"/>
          </w:tcPr>
          <w:p w14:paraId="28C5DDC3" w14:textId="6E9AA759"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(1.01; 1.03)</w:t>
            </w:r>
          </w:p>
        </w:tc>
        <w:tc>
          <w:tcPr>
            <w:tcW w:w="979" w:type="dxa"/>
          </w:tcPr>
          <w:p w14:paraId="49D9499F" w14:textId="165D28A5"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&lt;0.0001</w:t>
            </w:r>
          </w:p>
        </w:tc>
      </w:tr>
      <w:tr w:rsidR="006F4C96" w:rsidRPr="006F4C96" w14:paraId="074D9A37" w14:textId="77777777" w:rsidTr="003D489E">
        <w:trPr>
          <w:jc w:val="center"/>
        </w:trPr>
        <w:tc>
          <w:tcPr>
            <w:tcW w:w="3471" w:type="dxa"/>
          </w:tcPr>
          <w:p w14:paraId="46B54ED7" w14:textId="0EED12A4" w:rsidR="003D489E" w:rsidRPr="006F4C96" w:rsidRDefault="003D489E" w:rsidP="003D489E">
            <w:pPr>
              <w:spacing w:line="480" w:lineRule="auto"/>
              <w:rPr>
                <w:rFonts w:ascii="Times New Roman" w:hAnsi="Times New Roman" w:cs="Times New Roman"/>
                <w:sz w:val="20"/>
              </w:rPr>
            </w:pPr>
            <w:r w:rsidRPr="006F4C96">
              <w:rPr>
                <w:rFonts w:ascii="Times New Roman" w:eastAsia="Times New Roman" w:hAnsi="Times New Roman" w:cs="Times New Roman"/>
                <w:i/>
                <w:iCs/>
                <w:sz w:val="20"/>
                <w:szCs w:val="20"/>
                <w:lang w:eastAsia="en-GB"/>
              </w:rPr>
              <w:t>Slowness (walking pace)</w:t>
            </w:r>
          </w:p>
        </w:tc>
        <w:tc>
          <w:tcPr>
            <w:tcW w:w="1350" w:type="dxa"/>
          </w:tcPr>
          <w:p w14:paraId="349E7522" w14:textId="37F0E91B"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iCs/>
                <w:sz w:val="20"/>
                <w:szCs w:val="20"/>
                <w:lang w:eastAsia="en-GB"/>
              </w:rPr>
              <w:t>34,421 (7.8)</w:t>
            </w:r>
          </w:p>
        </w:tc>
        <w:tc>
          <w:tcPr>
            <w:tcW w:w="666" w:type="dxa"/>
          </w:tcPr>
          <w:p w14:paraId="3E0069D3" w14:textId="77777777" w:rsidR="003D489E" w:rsidRPr="006F4C96" w:rsidRDefault="003D489E" w:rsidP="003D489E">
            <w:pPr>
              <w:spacing w:line="480" w:lineRule="auto"/>
              <w:jc w:val="center"/>
              <w:rPr>
                <w:rFonts w:ascii="Times New Roman" w:hAnsi="Times New Roman" w:cs="Times New Roman"/>
                <w:sz w:val="20"/>
              </w:rPr>
            </w:pPr>
          </w:p>
        </w:tc>
        <w:tc>
          <w:tcPr>
            <w:tcW w:w="1305" w:type="dxa"/>
          </w:tcPr>
          <w:p w14:paraId="30E8A0A4" w14:textId="77777777" w:rsidR="003D489E" w:rsidRPr="006F4C96" w:rsidRDefault="003D489E" w:rsidP="003D489E">
            <w:pPr>
              <w:spacing w:line="480" w:lineRule="auto"/>
              <w:jc w:val="center"/>
              <w:rPr>
                <w:rFonts w:ascii="Times New Roman" w:hAnsi="Times New Roman" w:cs="Times New Roman"/>
                <w:sz w:val="20"/>
              </w:rPr>
            </w:pPr>
          </w:p>
        </w:tc>
        <w:tc>
          <w:tcPr>
            <w:tcW w:w="979" w:type="dxa"/>
          </w:tcPr>
          <w:p w14:paraId="67677703" w14:textId="77777777" w:rsidR="003D489E" w:rsidRPr="006F4C96" w:rsidRDefault="003D489E" w:rsidP="003D489E">
            <w:pPr>
              <w:spacing w:line="480" w:lineRule="auto"/>
              <w:jc w:val="center"/>
              <w:rPr>
                <w:rFonts w:ascii="Times New Roman" w:hAnsi="Times New Roman" w:cs="Times New Roman"/>
                <w:sz w:val="20"/>
              </w:rPr>
            </w:pPr>
          </w:p>
        </w:tc>
      </w:tr>
      <w:tr w:rsidR="006F4C96" w:rsidRPr="006F4C96" w14:paraId="7743D42C" w14:textId="77777777" w:rsidTr="003D489E">
        <w:trPr>
          <w:jc w:val="center"/>
        </w:trPr>
        <w:tc>
          <w:tcPr>
            <w:tcW w:w="3471" w:type="dxa"/>
          </w:tcPr>
          <w:p w14:paraId="4721E794" w14:textId="302B8E3F" w:rsidR="003D489E" w:rsidRPr="006F4C96" w:rsidRDefault="003D489E" w:rsidP="003D489E">
            <w:pPr>
              <w:spacing w:line="480" w:lineRule="auto"/>
              <w:jc w:val="right"/>
              <w:rPr>
                <w:rFonts w:ascii="Times New Roman" w:hAnsi="Times New Roman" w:cs="Times New Roman"/>
                <w:sz w:val="20"/>
              </w:rPr>
            </w:pPr>
            <w:r w:rsidRPr="006F4C96">
              <w:rPr>
                <w:rFonts w:ascii="Times New Roman" w:eastAsia="Times New Roman" w:hAnsi="Times New Roman" w:cs="Times New Roman"/>
                <w:sz w:val="20"/>
                <w:szCs w:val="20"/>
                <w:lang w:eastAsia="en-GB"/>
              </w:rPr>
              <w:t>Telomere length, per SD shorter</w:t>
            </w:r>
          </w:p>
        </w:tc>
        <w:tc>
          <w:tcPr>
            <w:tcW w:w="1350" w:type="dxa"/>
          </w:tcPr>
          <w:p w14:paraId="7ABDEA0F" w14:textId="77777777" w:rsidR="003D489E" w:rsidRPr="006F4C96" w:rsidRDefault="003D489E" w:rsidP="003D489E">
            <w:pPr>
              <w:spacing w:line="480" w:lineRule="auto"/>
              <w:jc w:val="center"/>
              <w:rPr>
                <w:rFonts w:ascii="Times New Roman" w:hAnsi="Times New Roman" w:cs="Times New Roman"/>
                <w:sz w:val="20"/>
              </w:rPr>
            </w:pPr>
          </w:p>
        </w:tc>
        <w:tc>
          <w:tcPr>
            <w:tcW w:w="666" w:type="dxa"/>
          </w:tcPr>
          <w:p w14:paraId="62C944B9" w14:textId="11FCCDC6"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1.06</w:t>
            </w:r>
          </w:p>
        </w:tc>
        <w:tc>
          <w:tcPr>
            <w:tcW w:w="1305" w:type="dxa"/>
          </w:tcPr>
          <w:p w14:paraId="5E5E5009" w14:textId="3E12FD9A"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(1.05; 1.07)</w:t>
            </w:r>
          </w:p>
        </w:tc>
        <w:tc>
          <w:tcPr>
            <w:tcW w:w="979" w:type="dxa"/>
          </w:tcPr>
          <w:p w14:paraId="63315983" w14:textId="7879AA92"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&lt;0.0001</w:t>
            </w:r>
          </w:p>
        </w:tc>
      </w:tr>
      <w:tr w:rsidR="006F4C96" w:rsidRPr="006F4C96" w14:paraId="1ACEB5B8" w14:textId="77777777" w:rsidTr="003D489E">
        <w:trPr>
          <w:jc w:val="center"/>
        </w:trPr>
        <w:tc>
          <w:tcPr>
            <w:tcW w:w="3471" w:type="dxa"/>
          </w:tcPr>
          <w:p w14:paraId="002F972C" w14:textId="6E91ABEE" w:rsidR="003D489E" w:rsidRPr="006F4C96" w:rsidRDefault="003D489E" w:rsidP="003D489E">
            <w:pPr>
              <w:spacing w:line="480" w:lineRule="auto"/>
              <w:rPr>
                <w:rFonts w:ascii="Times New Roman" w:hAnsi="Times New Roman" w:cs="Times New Roman"/>
                <w:sz w:val="20"/>
              </w:rPr>
            </w:pPr>
            <w:r w:rsidRPr="006F4C96">
              <w:rPr>
                <w:rFonts w:ascii="Times New Roman" w:eastAsia="Times New Roman" w:hAnsi="Times New Roman" w:cs="Times New Roman"/>
                <w:i/>
                <w:iCs/>
                <w:sz w:val="20"/>
                <w:szCs w:val="20"/>
                <w:lang w:eastAsia="en-GB"/>
              </w:rPr>
              <w:t>Weight loss</w:t>
            </w:r>
          </w:p>
        </w:tc>
        <w:tc>
          <w:tcPr>
            <w:tcW w:w="1350" w:type="dxa"/>
          </w:tcPr>
          <w:p w14:paraId="3CC717C6" w14:textId="657DC444"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iCs/>
                <w:sz w:val="20"/>
                <w:szCs w:val="20"/>
                <w:lang w:eastAsia="en-GB"/>
              </w:rPr>
              <w:t>67,684 (15)</w:t>
            </w:r>
          </w:p>
        </w:tc>
        <w:tc>
          <w:tcPr>
            <w:tcW w:w="666" w:type="dxa"/>
          </w:tcPr>
          <w:p w14:paraId="3CE7E7E4" w14:textId="77777777" w:rsidR="003D489E" w:rsidRPr="006F4C96" w:rsidRDefault="003D489E" w:rsidP="003D489E">
            <w:pPr>
              <w:spacing w:line="480" w:lineRule="auto"/>
              <w:jc w:val="center"/>
              <w:rPr>
                <w:rFonts w:ascii="Times New Roman" w:hAnsi="Times New Roman" w:cs="Times New Roman"/>
                <w:sz w:val="20"/>
              </w:rPr>
            </w:pPr>
          </w:p>
        </w:tc>
        <w:tc>
          <w:tcPr>
            <w:tcW w:w="1305" w:type="dxa"/>
          </w:tcPr>
          <w:p w14:paraId="27B7D957" w14:textId="77777777" w:rsidR="003D489E" w:rsidRPr="006F4C96" w:rsidRDefault="003D489E" w:rsidP="003D489E">
            <w:pPr>
              <w:spacing w:line="480" w:lineRule="auto"/>
              <w:jc w:val="center"/>
              <w:rPr>
                <w:rFonts w:ascii="Times New Roman" w:hAnsi="Times New Roman" w:cs="Times New Roman"/>
                <w:sz w:val="20"/>
              </w:rPr>
            </w:pPr>
          </w:p>
        </w:tc>
        <w:tc>
          <w:tcPr>
            <w:tcW w:w="979" w:type="dxa"/>
          </w:tcPr>
          <w:p w14:paraId="5319AB55" w14:textId="77777777" w:rsidR="003D489E" w:rsidRPr="006F4C96" w:rsidRDefault="003D489E" w:rsidP="003D489E">
            <w:pPr>
              <w:spacing w:line="480" w:lineRule="auto"/>
              <w:jc w:val="center"/>
              <w:rPr>
                <w:rFonts w:ascii="Times New Roman" w:hAnsi="Times New Roman" w:cs="Times New Roman"/>
                <w:sz w:val="20"/>
              </w:rPr>
            </w:pPr>
          </w:p>
        </w:tc>
      </w:tr>
      <w:tr w:rsidR="006F4C96" w:rsidRPr="006F4C96" w14:paraId="46404737" w14:textId="77777777" w:rsidTr="003D489E">
        <w:trPr>
          <w:jc w:val="center"/>
        </w:trPr>
        <w:tc>
          <w:tcPr>
            <w:tcW w:w="3471" w:type="dxa"/>
          </w:tcPr>
          <w:p w14:paraId="071E2585" w14:textId="24DF59D1" w:rsidR="003D489E" w:rsidRPr="006F4C96" w:rsidRDefault="003D489E" w:rsidP="003D489E">
            <w:pPr>
              <w:spacing w:line="480" w:lineRule="auto"/>
              <w:jc w:val="right"/>
              <w:rPr>
                <w:rFonts w:ascii="Times New Roman" w:hAnsi="Times New Roman" w:cs="Times New Roman"/>
                <w:sz w:val="20"/>
              </w:rPr>
            </w:pPr>
            <w:r w:rsidRPr="006F4C96">
              <w:rPr>
                <w:rFonts w:ascii="Times New Roman" w:eastAsia="Times New Roman" w:hAnsi="Times New Roman" w:cs="Times New Roman"/>
                <w:sz w:val="20"/>
                <w:szCs w:val="20"/>
                <w:lang w:eastAsia="en-GB"/>
              </w:rPr>
              <w:t>Telomere length, per SD shorter</w:t>
            </w:r>
          </w:p>
        </w:tc>
        <w:tc>
          <w:tcPr>
            <w:tcW w:w="1350" w:type="dxa"/>
          </w:tcPr>
          <w:p w14:paraId="2A921258" w14:textId="77777777" w:rsidR="003D489E" w:rsidRPr="006F4C96" w:rsidRDefault="003D489E" w:rsidP="003D489E">
            <w:pPr>
              <w:spacing w:line="480" w:lineRule="auto"/>
              <w:jc w:val="center"/>
              <w:rPr>
                <w:rFonts w:ascii="Times New Roman" w:hAnsi="Times New Roman" w:cs="Times New Roman"/>
                <w:sz w:val="20"/>
              </w:rPr>
            </w:pPr>
          </w:p>
        </w:tc>
        <w:tc>
          <w:tcPr>
            <w:tcW w:w="666" w:type="dxa"/>
          </w:tcPr>
          <w:p w14:paraId="40D68832" w14:textId="27857D18"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1.02</w:t>
            </w:r>
          </w:p>
        </w:tc>
        <w:tc>
          <w:tcPr>
            <w:tcW w:w="1305" w:type="dxa"/>
          </w:tcPr>
          <w:p w14:paraId="0133B1EC" w14:textId="7997CD57"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(1.01; 1.03)</w:t>
            </w:r>
          </w:p>
        </w:tc>
        <w:tc>
          <w:tcPr>
            <w:tcW w:w="979" w:type="dxa"/>
          </w:tcPr>
          <w:p w14:paraId="373D5059" w14:textId="3879161F"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&lt;0.0001</w:t>
            </w:r>
          </w:p>
        </w:tc>
      </w:tr>
      <w:tr w:rsidR="006F4C96" w:rsidRPr="006F4C96" w14:paraId="19DB5791" w14:textId="77777777" w:rsidTr="003D489E">
        <w:trPr>
          <w:jc w:val="center"/>
        </w:trPr>
        <w:tc>
          <w:tcPr>
            <w:tcW w:w="3471" w:type="dxa"/>
          </w:tcPr>
          <w:p w14:paraId="2AF8E8F7" w14:textId="1852857F" w:rsidR="003D489E" w:rsidRPr="006F4C96" w:rsidRDefault="003D489E" w:rsidP="003D489E">
            <w:pPr>
              <w:spacing w:line="480" w:lineRule="auto"/>
              <w:rPr>
                <w:rFonts w:ascii="Times New Roman" w:hAnsi="Times New Roman" w:cs="Times New Roman"/>
                <w:sz w:val="20"/>
              </w:rPr>
            </w:pPr>
            <w:r w:rsidRPr="006F4C96">
              <w:rPr>
                <w:rFonts w:ascii="Times New Roman" w:eastAsia="Times New Roman" w:hAnsi="Times New Roman" w:cs="Times New Roman"/>
                <w:i/>
                <w:iCs/>
                <w:sz w:val="20"/>
                <w:szCs w:val="20"/>
                <w:lang w:eastAsia="en-GB"/>
              </w:rPr>
              <w:t>Low physical activity</w:t>
            </w:r>
          </w:p>
        </w:tc>
        <w:tc>
          <w:tcPr>
            <w:tcW w:w="1350" w:type="dxa"/>
          </w:tcPr>
          <w:p w14:paraId="2A0E195C" w14:textId="30D811A2"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iCs/>
                <w:sz w:val="20"/>
                <w:szCs w:val="20"/>
                <w:lang w:eastAsia="en-GB"/>
              </w:rPr>
              <w:t>56,805 (13)</w:t>
            </w:r>
          </w:p>
        </w:tc>
        <w:tc>
          <w:tcPr>
            <w:tcW w:w="666" w:type="dxa"/>
          </w:tcPr>
          <w:p w14:paraId="79EF98CA" w14:textId="77777777" w:rsidR="003D489E" w:rsidRPr="006F4C96" w:rsidRDefault="003D489E" w:rsidP="003D489E">
            <w:pPr>
              <w:spacing w:line="480" w:lineRule="auto"/>
              <w:jc w:val="center"/>
              <w:rPr>
                <w:rFonts w:ascii="Times New Roman" w:hAnsi="Times New Roman" w:cs="Times New Roman"/>
                <w:sz w:val="20"/>
              </w:rPr>
            </w:pPr>
          </w:p>
        </w:tc>
        <w:tc>
          <w:tcPr>
            <w:tcW w:w="1305" w:type="dxa"/>
          </w:tcPr>
          <w:p w14:paraId="77C56A53" w14:textId="77777777" w:rsidR="003D489E" w:rsidRPr="006F4C96" w:rsidRDefault="003D489E" w:rsidP="003D489E">
            <w:pPr>
              <w:spacing w:line="480" w:lineRule="auto"/>
              <w:jc w:val="center"/>
              <w:rPr>
                <w:rFonts w:ascii="Times New Roman" w:hAnsi="Times New Roman" w:cs="Times New Roman"/>
                <w:sz w:val="20"/>
              </w:rPr>
            </w:pPr>
          </w:p>
        </w:tc>
        <w:tc>
          <w:tcPr>
            <w:tcW w:w="979" w:type="dxa"/>
          </w:tcPr>
          <w:p w14:paraId="6B8CF68C" w14:textId="77777777" w:rsidR="003D489E" w:rsidRPr="006F4C96" w:rsidRDefault="003D489E" w:rsidP="003D489E">
            <w:pPr>
              <w:spacing w:line="480" w:lineRule="auto"/>
              <w:jc w:val="center"/>
              <w:rPr>
                <w:rFonts w:ascii="Times New Roman" w:hAnsi="Times New Roman" w:cs="Times New Roman"/>
                <w:sz w:val="20"/>
              </w:rPr>
            </w:pPr>
          </w:p>
        </w:tc>
      </w:tr>
      <w:tr w:rsidR="006F4C96" w:rsidRPr="006F4C96" w14:paraId="2E993B35" w14:textId="77777777" w:rsidTr="003D489E">
        <w:trPr>
          <w:jc w:val="center"/>
        </w:trPr>
        <w:tc>
          <w:tcPr>
            <w:tcW w:w="3471" w:type="dxa"/>
          </w:tcPr>
          <w:p w14:paraId="37485E3B" w14:textId="61C33DC4" w:rsidR="003D489E" w:rsidRPr="006F4C96" w:rsidRDefault="003D489E" w:rsidP="003D489E">
            <w:pPr>
              <w:spacing w:line="480" w:lineRule="auto"/>
              <w:jc w:val="right"/>
              <w:rPr>
                <w:rFonts w:ascii="Times New Roman" w:eastAsia="Times New Roman" w:hAnsi="Times New Roman" w:cs="Times New Roman"/>
                <w:i/>
                <w:iCs/>
                <w:sz w:val="20"/>
                <w:szCs w:val="20"/>
                <w:lang w:eastAsia="en-GB"/>
              </w:rPr>
            </w:pPr>
            <w:r w:rsidRPr="006F4C96">
              <w:rPr>
                <w:rFonts w:ascii="Times New Roman" w:eastAsia="Times New Roman" w:hAnsi="Times New Roman" w:cs="Times New Roman"/>
                <w:sz w:val="20"/>
                <w:szCs w:val="20"/>
                <w:lang w:eastAsia="en-GB"/>
              </w:rPr>
              <w:t>Telomere length, per SD shorter</w:t>
            </w:r>
          </w:p>
        </w:tc>
        <w:tc>
          <w:tcPr>
            <w:tcW w:w="1350" w:type="dxa"/>
          </w:tcPr>
          <w:p w14:paraId="6E53DE93" w14:textId="77777777" w:rsidR="003D489E" w:rsidRPr="006F4C96" w:rsidRDefault="003D489E" w:rsidP="003D489E">
            <w:pPr>
              <w:spacing w:line="480" w:lineRule="auto"/>
              <w:jc w:val="center"/>
              <w:rPr>
                <w:rFonts w:ascii="Times New Roman" w:eastAsia="Times New Roman" w:hAnsi="Times New Roman" w:cs="Times New Roman"/>
                <w:iCs/>
                <w:sz w:val="20"/>
                <w:szCs w:val="20"/>
                <w:lang w:eastAsia="en-GB"/>
              </w:rPr>
            </w:pPr>
          </w:p>
        </w:tc>
        <w:tc>
          <w:tcPr>
            <w:tcW w:w="666" w:type="dxa"/>
          </w:tcPr>
          <w:p w14:paraId="228EAD88" w14:textId="1A25759A"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1.04</w:t>
            </w:r>
          </w:p>
        </w:tc>
        <w:tc>
          <w:tcPr>
            <w:tcW w:w="1305" w:type="dxa"/>
          </w:tcPr>
          <w:p w14:paraId="56A40542" w14:textId="4FAD7EFC"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(1.03; 1.05)</w:t>
            </w:r>
          </w:p>
        </w:tc>
        <w:tc>
          <w:tcPr>
            <w:tcW w:w="979" w:type="dxa"/>
          </w:tcPr>
          <w:p w14:paraId="6D6AA06C" w14:textId="418F9BF9"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&lt;0.0001</w:t>
            </w:r>
          </w:p>
        </w:tc>
      </w:tr>
      <w:tr w:rsidR="006F4C96" w:rsidRPr="006F4C96" w14:paraId="2341E6E1" w14:textId="77777777" w:rsidTr="003D489E">
        <w:trPr>
          <w:jc w:val="center"/>
        </w:trPr>
        <w:tc>
          <w:tcPr>
            <w:tcW w:w="3471" w:type="dxa"/>
          </w:tcPr>
          <w:p w14:paraId="3BEF7FC7" w14:textId="3D5F82BD" w:rsidR="003D489E" w:rsidRPr="006F4C96" w:rsidRDefault="003D489E" w:rsidP="003D489E">
            <w:pPr>
              <w:spacing w:line="480" w:lineRule="auto"/>
              <w:rPr>
                <w:rFonts w:ascii="Times New Roman" w:eastAsia="Times New Roman" w:hAnsi="Times New Roman" w:cs="Times New Roman"/>
                <w:i/>
                <w:iCs/>
                <w:sz w:val="20"/>
                <w:szCs w:val="20"/>
                <w:lang w:eastAsia="en-GB"/>
              </w:rPr>
            </w:pPr>
            <w:r w:rsidRPr="006F4C96">
              <w:rPr>
                <w:rFonts w:ascii="Times New Roman" w:eastAsia="Times New Roman" w:hAnsi="Times New Roman" w:cs="Times New Roman"/>
                <w:i/>
                <w:iCs/>
                <w:sz w:val="20"/>
                <w:szCs w:val="20"/>
                <w:lang w:eastAsia="en-GB"/>
              </w:rPr>
              <w:t>Exhaustion (tiredness/ lethargy)</w:t>
            </w:r>
          </w:p>
        </w:tc>
        <w:tc>
          <w:tcPr>
            <w:tcW w:w="1350" w:type="dxa"/>
          </w:tcPr>
          <w:p w14:paraId="6E05CB62" w14:textId="142759FD" w:rsidR="003D489E" w:rsidRPr="006F4C96" w:rsidRDefault="003D489E" w:rsidP="003D489E">
            <w:pPr>
              <w:spacing w:line="480" w:lineRule="auto"/>
              <w:jc w:val="center"/>
              <w:rPr>
                <w:rFonts w:ascii="Times New Roman" w:eastAsia="Times New Roman" w:hAnsi="Times New Roman" w:cs="Times New Roman"/>
                <w:iCs/>
                <w:sz w:val="20"/>
                <w:szCs w:val="20"/>
                <w:lang w:eastAsia="en-GB"/>
              </w:rPr>
            </w:pPr>
            <w:r w:rsidRPr="006F4C96">
              <w:rPr>
                <w:rFonts w:ascii="Times New Roman" w:eastAsia="Times New Roman" w:hAnsi="Times New Roman" w:cs="Times New Roman"/>
                <w:iCs/>
                <w:sz w:val="20"/>
                <w:szCs w:val="20"/>
                <w:lang w:eastAsia="en-GB"/>
              </w:rPr>
              <w:t>54,695 (12)</w:t>
            </w:r>
          </w:p>
        </w:tc>
        <w:tc>
          <w:tcPr>
            <w:tcW w:w="666" w:type="dxa"/>
          </w:tcPr>
          <w:p w14:paraId="6F58637D" w14:textId="77777777" w:rsidR="003D489E" w:rsidRPr="006F4C96" w:rsidRDefault="003D489E" w:rsidP="003D489E">
            <w:pPr>
              <w:spacing w:line="480" w:lineRule="auto"/>
              <w:jc w:val="center"/>
              <w:rPr>
                <w:rFonts w:ascii="Times New Roman" w:hAnsi="Times New Roman" w:cs="Times New Roman"/>
                <w:sz w:val="20"/>
              </w:rPr>
            </w:pPr>
          </w:p>
        </w:tc>
        <w:tc>
          <w:tcPr>
            <w:tcW w:w="1305" w:type="dxa"/>
          </w:tcPr>
          <w:p w14:paraId="2CED9A0A" w14:textId="77777777" w:rsidR="003D489E" w:rsidRPr="006F4C96" w:rsidRDefault="003D489E" w:rsidP="003D489E">
            <w:pPr>
              <w:spacing w:line="480" w:lineRule="auto"/>
              <w:jc w:val="center"/>
              <w:rPr>
                <w:rFonts w:ascii="Times New Roman" w:hAnsi="Times New Roman" w:cs="Times New Roman"/>
                <w:sz w:val="20"/>
              </w:rPr>
            </w:pPr>
          </w:p>
        </w:tc>
        <w:tc>
          <w:tcPr>
            <w:tcW w:w="979" w:type="dxa"/>
          </w:tcPr>
          <w:p w14:paraId="323B2D34" w14:textId="77777777" w:rsidR="003D489E" w:rsidRPr="006F4C96" w:rsidRDefault="003D489E" w:rsidP="003D489E">
            <w:pPr>
              <w:spacing w:line="480" w:lineRule="auto"/>
              <w:jc w:val="center"/>
              <w:rPr>
                <w:rFonts w:ascii="Times New Roman" w:hAnsi="Times New Roman" w:cs="Times New Roman"/>
                <w:sz w:val="20"/>
              </w:rPr>
            </w:pPr>
          </w:p>
        </w:tc>
      </w:tr>
      <w:tr w:rsidR="006F4C96" w:rsidRPr="006F4C96" w14:paraId="079BF4AE" w14:textId="77777777" w:rsidTr="003D489E">
        <w:trPr>
          <w:jc w:val="center"/>
        </w:trPr>
        <w:tc>
          <w:tcPr>
            <w:tcW w:w="3471" w:type="dxa"/>
          </w:tcPr>
          <w:p w14:paraId="40924786" w14:textId="666EB3CD" w:rsidR="003D489E" w:rsidRPr="006F4C96" w:rsidRDefault="003D489E" w:rsidP="003D489E">
            <w:pPr>
              <w:spacing w:line="480" w:lineRule="auto"/>
              <w:jc w:val="right"/>
              <w:rPr>
                <w:rFonts w:ascii="Times New Roman" w:eastAsia="Times New Roman" w:hAnsi="Times New Roman" w:cs="Times New Roman"/>
                <w:i/>
                <w:iCs/>
                <w:sz w:val="20"/>
                <w:szCs w:val="20"/>
                <w:lang w:eastAsia="en-GB"/>
              </w:rPr>
            </w:pPr>
            <w:r w:rsidRPr="006F4C96">
              <w:rPr>
                <w:rFonts w:ascii="Times New Roman" w:eastAsia="Times New Roman" w:hAnsi="Times New Roman" w:cs="Times New Roman"/>
                <w:sz w:val="20"/>
                <w:szCs w:val="20"/>
                <w:lang w:eastAsia="en-GB"/>
              </w:rPr>
              <w:t>Telomere length, per SD shorter</w:t>
            </w:r>
          </w:p>
        </w:tc>
        <w:tc>
          <w:tcPr>
            <w:tcW w:w="1350" w:type="dxa"/>
          </w:tcPr>
          <w:p w14:paraId="46CEAB0F" w14:textId="77777777" w:rsidR="003D489E" w:rsidRPr="006F4C96" w:rsidRDefault="003D489E" w:rsidP="003D489E">
            <w:pPr>
              <w:spacing w:line="480" w:lineRule="auto"/>
              <w:jc w:val="center"/>
              <w:rPr>
                <w:rFonts w:ascii="Times New Roman" w:eastAsia="Times New Roman" w:hAnsi="Times New Roman" w:cs="Times New Roman"/>
                <w:iCs/>
                <w:sz w:val="20"/>
                <w:szCs w:val="20"/>
                <w:lang w:eastAsia="en-GB"/>
              </w:rPr>
            </w:pPr>
          </w:p>
        </w:tc>
        <w:tc>
          <w:tcPr>
            <w:tcW w:w="666" w:type="dxa"/>
          </w:tcPr>
          <w:p w14:paraId="01852DF4" w14:textId="3FF4A3E0"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1.03</w:t>
            </w:r>
          </w:p>
        </w:tc>
        <w:tc>
          <w:tcPr>
            <w:tcW w:w="1305" w:type="dxa"/>
          </w:tcPr>
          <w:p w14:paraId="6D409266" w14:textId="4DED7777"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(1.02; 1.04)</w:t>
            </w:r>
          </w:p>
        </w:tc>
        <w:tc>
          <w:tcPr>
            <w:tcW w:w="979" w:type="dxa"/>
          </w:tcPr>
          <w:p w14:paraId="613D4C10" w14:textId="51894F45" w:rsidR="003D489E" w:rsidRPr="006F4C96" w:rsidRDefault="003D489E" w:rsidP="003D489E">
            <w:pPr>
              <w:spacing w:line="480" w:lineRule="auto"/>
              <w:jc w:val="center"/>
              <w:rPr>
                <w:rFonts w:ascii="Times New Roman" w:hAnsi="Times New Roman" w:cs="Times New Roman"/>
                <w:sz w:val="20"/>
              </w:rPr>
            </w:pPr>
            <w:r w:rsidRPr="006F4C96">
              <w:rPr>
                <w:rFonts w:ascii="Times New Roman" w:eastAsia="Times New Roman" w:hAnsi="Times New Roman" w:cs="Times New Roman"/>
                <w:sz w:val="20"/>
                <w:szCs w:val="20"/>
                <w:lang w:eastAsia="en-GB"/>
              </w:rPr>
              <w:t>&lt;0.0001</w:t>
            </w:r>
          </w:p>
        </w:tc>
      </w:tr>
    </w:tbl>
    <w:p w14:paraId="7CC9A383" w14:textId="6B62E268" w:rsidR="00D0041C" w:rsidRPr="006F4C96" w:rsidRDefault="00D0041C" w:rsidP="008C738E">
      <w:pPr>
        <w:spacing w:after="0" w:line="480" w:lineRule="auto"/>
        <w:rPr>
          <w:rFonts w:ascii="Times New Roman" w:hAnsi="Times New Roman" w:cs="Times New Roman"/>
          <w:sz w:val="20"/>
          <w:szCs w:val="20"/>
        </w:rPr>
      </w:pPr>
      <w:r w:rsidRPr="006F4C96">
        <w:rPr>
          <w:rFonts w:ascii="Times New Roman" w:hAnsi="Times New Roman" w:cs="Times New Roman"/>
          <w:sz w:val="20"/>
          <w:szCs w:val="20"/>
          <w:vertAlign w:val="superscript"/>
        </w:rPr>
        <w:sym w:font="Symbol" w:char="F0F2"/>
      </w:r>
      <w:r w:rsidRPr="006F4C96">
        <w:rPr>
          <w:rFonts w:ascii="Times New Roman" w:hAnsi="Times New Roman" w:cs="Times New Roman"/>
          <w:sz w:val="20"/>
          <w:szCs w:val="20"/>
        </w:rPr>
        <w:t xml:space="preserve">Models additionally adjusted for age, sex, quintiles of Townsend index of deprivation (2011), smoking, alcohol intake, body mass index and </w:t>
      </w:r>
      <w:r w:rsidRPr="006F4C96">
        <w:rPr>
          <w:rFonts w:ascii="Times New Roman" w:hAnsi="Times New Roman" w:cs="Times New Roman"/>
          <w:sz w:val="20"/>
        </w:rPr>
        <w:t>number of long–term medical conditions</w:t>
      </w:r>
      <w:r w:rsidRPr="006F4C96">
        <w:rPr>
          <w:rFonts w:ascii="Times New Roman" w:hAnsi="Times New Roman" w:cs="Times New Roman"/>
          <w:sz w:val="20"/>
          <w:szCs w:val="20"/>
        </w:rPr>
        <w:t>.</w:t>
      </w:r>
    </w:p>
    <w:p w14:paraId="5E92CE4D" w14:textId="77777777" w:rsidR="00D0041C" w:rsidRPr="006F4C96" w:rsidRDefault="00D0041C" w:rsidP="008C738E">
      <w:pPr>
        <w:spacing w:after="0" w:line="480" w:lineRule="auto"/>
        <w:rPr>
          <w:rFonts w:ascii="Times New Roman" w:hAnsi="Times New Roman" w:cs="Times New Roman"/>
          <w:sz w:val="20"/>
          <w:szCs w:val="20"/>
        </w:rPr>
      </w:pPr>
    </w:p>
    <w:p w14:paraId="41014799" w14:textId="77777777" w:rsidR="00D0041C" w:rsidRPr="006F4C96" w:rsidRDefault="00D0041C" w:rsidP="008C738E">
      <w:pPr>
        <w:pStyle w:val="Caption"/>
        <w:spacing w:after="0" w:line="480" w:lineRule="auto"/>
        <w:rPr>
          <w:rFonts w:ascii="Times New Roman" w:hAnsi="Times New Roman" w:cs="Times New Roman"/>
          <w:i w:val="0"/>
          <w:color w:val="auto"/>
          <w:sz w:val="20"/>
        </w:rPr>
      </w:pPr>
    </w:p>
    <w:p w14:paraId="5BDF2E82" w14:textId="77777777" w:rsidR="00394818" w:rsidRPr="006F4C96" w:rsidRDefault="00394818" w:rsidP="008C738E">
      <w:pPr>
        <w:spacing w:after="0"/>
        <w:rPr>
          <w:rFonts w:ascii="Times New Roman" w:hAnsi="Times New Roman" w:cs="Times New Roman"/>
          <w:b/>
          <w:iCs/>
          <w:sz w:val="20"/>
          <w:szCs w:val="18"/>
        </w:rPr>
      </w:pPr>
      <w:r w:rsidRPr="006F4C96">
        <w:rPr>
          <w:rFonts w:ascii="Times New Roman" w:hAnsi="Times New Roman" w:cs="Times New Roman"/>
          <w:b/>
          <w:i/>
          <w:sz w:val="20"/>
        </w:rPr>
        <w:br w:type="page"/>
      </w:r>
    </w:p>
    <w:p w14:paraId="5656D4C8" w14:textId="2C21A595" w:rsidR="006D58B7" w:rsidRPr="006F4C96" w:rsidRDefault="00D0041C" w:rsidP="008C738E">
      <w:pPr>
        <w:pStyle w:val="Caption"/>
        <w:keepNext/>
        <w:spacing w:after="0" w:line="480" w:lineRule="auto"/>
        <w:rPr>
          <w:rFonts w:ascii="Times New Roman" w:hAnsi="Times New Roman" w:cs="Times New Roman"/>
          <w:b/>
          <w:i w:val="0"/>
          <w:color w:val="auto"/>
          <w:sz w:val="20"/>
        </w:rPr>
      </w:pPr>
      <w:r w:rsidRPr="006F4C96">
        <w:rPr>
          <w:rFonts w:ascii="Times New Roman" w:hAnsi="Times New Roman" w:cs="Times New Roman"/>
          <w:b/>
          <w:i w:val="0"/>
          <w:color w:val="auto"/>
          <w:sz w:val="20"/>
        </w:rPr>
        <w:t>Table 3</w:t>
      </w:r>
      <w:r w:rsidR="006D58B7" w:rsidRPr="006F4C96">
        <w:rPr>
          <w:rFonts w:ascii="Times New Roman" w:hAnsi="Times New Roman" w:cs="Times New Roman"/>
          <w:b/>
          <w:i w:val="0"/>
          <w:color w:val="auto"/>
          <w:sz w:val="20"/>
        </w:rPr>
        <w:t xml:space="preserve">: Age and leucocyte telomere length </w:t>
      </w:r>
      <w:r w:rsidR="00180976" w:rsidRPr="006F4C96">
        <w:rPr>
          <w:rFonts w:ascii="Times New Roman" w:hAnsi="Times New Roman" w:cs="Times New Roman"/>
          <w:b/>
          <w:i w:val="0"/>
          <w:color w:val="auto"/>
          <w:sz w:val="20"/>
        </w:rPr>
        <w:t xml:space="preserve">(LTL) </w:t>
      </w:r>
      <w:r w:rsidR="006D58B7" w:rsidRPr="006F4C96">
        <w:rPr>
          <w:rFonts w:ascii="Times New Roman" w:hAnsi="Times New Roman" w:cs="Times New Roman"/>
          <w:b/>
          <w:i w:val="0"/>
          <w:color w:val="auto"/>
          <w:sz w:val="20"/>
        </w:rPr>
        <w:t xml:space="preserve">distribution between males and females across their frailty status. </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109"/>
        <w:gridCol w:w="2002"/>
        <w:gridCol w:w="1590"/>
      </w:tblGrid>
      <w:tr w:rsidR="006F4C96" w:rsidRPr="006F4C96" w14:paraId="4FDC2A73" w14:textId="77777777" w:rsidTr="007A4187">
        <w:trPr>
          <w:trHeight w:val="285"/>
          <w:jc w:val="center"/>
        </w:trPr>
        <w:tc>
          <w:tcPr>
            <w:tcW w:w="2835" w:type="dxa"/>
            <w:shd w:val="clear" w:color="auto" w:fill="auto"/>
            <w:noWrap/>
            <w:tcMar>
              <w:top w:w="15" w:type="dxa"/>
              <w:left w:w="15" w:type="dxa"/>
              <w:bottom w:w="0" w:type="dxa"/>
              <w:right w:w="15" w:type="dxa"/>
            </w:tcMar>
            <w:hideMark/>
          </w:tcPr>
          <w:p w14:paraId="5C2DDA04" w14:textId="77777777" w:rsidR="006D58B7" w:rsidRPr="006F4C96" w:rsidRDefault="006D58B7"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 xml:space="preserve"> </w:t>
            </w:r>
          </w:p>
        </w:tc>
        <w:tc>
          <w:tcPr>
            <w:tcW w:w="5701" w:type="dxa"/>
            <w:gridSpan w:val="3"/>
            <w:shd w:val="clear" w:color="auto" w:fill="auto"/>
            <w:noWrap/>
            <w:tcMar>
              <w:top w:w="15" w:type="dxa"/>
              <w:left w:w="15" w:type="dxa"/>
              <w:bottom w:w="0" w:type="dxa"/>
              <w:right w:w="15" w:type="dxa"/>
            </w:tcMar>
            <w:hideMark/>
          </w:tcPr>
          <w:p w14:paraId="6611B1BA"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Frailty status</w:t>
            </w:r>
          </w:p>
        </w:tc>
      </w:tr>
      <w:tr w:rsidR="006F4C96" w:rsidRPr="006F4C96" w14:paraId="6D44CD36" w14:textId="77777777" w:rsidTr="007A4187">
        <w:trPr>
          <w:trHeight w:val="285"/>
          <w:jc w:val="center"/>
        </w:trPr>
        <w:tc>
          <w:tcPr>
            <w:tcW w:w="2835" w:type="dxa"/>
            <w:shd w:val="clear" w:color="auto" w:fill="auto"/>
            <w:noWrap/>
            <w:tcMar>
              <w:top w:w="15" w:type="dxa"/>
              <w:left w:w="15" w:type="dxa"/>
              <w:bottom w:w="0" w:type="dxa"/>
              <w:right w:w="15" w:type="dxa"/>
            </w:tcMar>
            <w:hideMark/>
          </w:tcPr>
          <w:p w14:paraId="4C555D9C" w14:textId="77777777" w:rsidR="006D58B7" w:rsidRPr="006F4C96" w:rsidRDefault="006D58B7" w:rsidP="008C738E">
            <w:pPr>
              <w:spacing w:after="0" w:line="480" w:lineRule="auto"/>
              <w:ind w:right="126"/>
              <w:jc w:val="center"/>
              <w:rPr>
                <w:rFonts w:ascii="Times New Roman" w:hAnsi="Times New Roman" w:cs="Times New Roman"/>
                <w:sz w:val="20"/>
                <w:szCs w:val="20"/>
              </w:rPr>
            </w:pPr>
          </w:p>
        </w:tc>
        <w:tc>
          <w:tcPr>
            <w:tcW w:w="2109" w:type="dxa"/>
            <w:shd w:val="clear" w:color="auto" w:fill="auto"/>
            <w:noWrap/>
            <w:tcMar>
              <w:top w:w="15" w:type="dxa"/>
              <w:left w:w="15" w:type="dxa"/>
              <w:bottom w:w="0" w:type="dxa"/>
              <w:right w:w="15" w:type="dxa"/>
            </w:tcMar>
            <w:hideMark/>
          </w:tcPr>
          <w:p w14:paraId="01F50FBA"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Non–frail</w:t>
            </w:r>
          </w:p>
        </w:tc>
        <w:tc>
          <w:tcPr>
            <w:tcW w:w="2002" w:type="dxa"/>
            <w:shd w:val="clear" w:color="auto" w:fill="auto"/>
            <w:noWrap/>
            <w:tcMar>
              <w:top w:w="15" w:type="dxa"/>
              <w:left w:w="15" w:type="dxa"/>
              <w:bottom w:w="0" w:type="dxa"/>
              <w:right w:w="15" w:type="dxa"/>
            </w:tcMar>
            <w:hideMark/>
          </w:tcPr>
          <w:p w14:paraId="3169152F"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Pre–frail</w:t>
            </w:r>
          </w:p>
        </w:tc>
        <w:tc>
          <w:tcPr>
            <w:tcW w:w="1590" w:type="dxa"/>
            <w:shd w:val="clear" w:color="auto" w:fill="auto"/>
            <w:noWrap/>
            <w:tcMar>
              <w:top w:w="15" w:type="dxa"/>
              <w:left w:w="15" w:type="dxa"/>
              <w:bottom w:w="0" w:type="dxa"/>
              <w:right w:w="15" w:type="dxa"/>
            </w:tcMar>
            <w:hideMark/>
          </w:tcPr>
          <w:p w14:paraId="275E71E9"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 xml:space="preserve">Frail </w:t>
            </w:r>
          </w:p>
        </w:tc>
      </w:tr>
      <w:tr w:rsidR="006F4C96" w:rsidRPr="006F4C96" w14:paraId="52B85F69" w14:textId="77777777" w:rsidTr="007A4187">
        <w:trPr>
          <w:trHeight w:val="285"/>
          <w:jc w:val="center"/>
        </w:trPr>
        <w:tc>
          <w:tcPr>
            <w:tcW w:w="2835" w:type="dxa"/>
            <w:shd w:val="clear" w:color="auto" w:fill="auto"/>
            <w:noWrap/>
            <w:tcMar>
              <w:top w:w="15" w:type="dxa"/>
              <w:left w:w="15" w:type="dxa"/>
              <w:bottom w:w="0" w:type="dxa"/>
              <w:right w:w="15" w:type="dxa"/>
            </w:tcMar>
            <w:hideMark/>
          </w:tcPr>
          <w:p w14:paraId="03817B18" w14:textId="77777777" w:rsidR="006D58B7" w:rsidRPr="006F4C96" w:rsidRDefault="006D58B7"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 xml:space="preserve"> </w:t>
            </w:r>
          </w:p>
        </w:tc>
        <w:tc>
          <w:tcPr>
            <w:tcW w:w="2109" w:type="dxa"/>
            <w:shd w:val="clear" w:color="auto" w:fill="auto"/>
            <w:noWrap/>
            <w:tcMar>
              <w:top w:w="15" w:type="dxa"/>
              <w:left w:w="15" w:type="dxa"/>
              <w:bottom w:w="0" w:type="dxa"/>
              <w:right w:w="15" w:type="dxa"/>
            </w:tcMar>
            <w:hideMark/>
          </w:tcPr>
          <w:p w14:paraId="195BFF8B"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 xml:space="preserve"> </w:t>
            </w:r>
          </w:p>
        </w:tc>
        <w:tc>
          <w:tcPr>
            <w:tcW w:w="2002" w:type="dxa"/>
            <w:shd w:val="clear" w:color="auto" w:fill="auto"/>
            <w:noWrap/>
            <w:tcMar>
              <w:top w:w="15" w:type="dxa"/>
              <w:left w:w="15" w:type="dxa"/>
              <w:bottom w:w="0" w:type="dxa"/>
              <w:right w:w="15" w:type="dxa"/>
            </w:tcMar>
            <w:hideMark/>
          </w:tcPr>
          <w:p w14:paraId="79673755"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 xml:space="preserve"> (1–2 indicators)</w:t>
            </w:r>
          </w:p>
        </w:tc>
        <w:tc>
          <w:tcPr>
            <w:tcW w:w="1590" w:type="dxa"/>
            <w:shd w:val="clear" w:color="auto" w:fill="auto"/>
            <w:noWrap/>
            <w:tcMar>
              <w:top w:w="15" w:type="dxa"/>
              <w:left w:w="15" w:type="dxa"/>
              <w:bottom w:w="0" w:type="dxa"/>
              <w:right w:w="15" w:type="dxa"/>
            </w:tcMar>
            <w:hideMark/>
          </w:tcPr>
          <w:p w14:paraId="07C2AECB"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(3–5 indicators)</w:t>
            </w:r>
          </w:p>
        </w:tc>
      </w:tr>
      <w:tr w:rsidR="006F4C96" w:rsidRPr="006F4C96" w14:paraId="2CAA420D" w14:textId="77777777" w:rsidTr="007A4187">
        <w:trPr>
          <w:trHeight w:val="285"/>
          <w:jc w:val="center"/>
        </w:trPr>
        <w:tc>
          <w:tcPr>
            <w:tcW w:w="2835" w:type="dxa"/>
            <w:shd w:val="clear" w:color="auto" w:fill="auto"/>
            <w:noWrap/>
            <w:tcMar>
              <w:top w:w="15" w:type="dxa"/>
              <w:left w:w="15" w:type="dxa"/>
              <w:bottom w:w="0" w:type="dxa"/>
              <w:right w:w="15" w:type="dxa"/>
            </w:tcMar>
            <w:hideMark/>
          </w:tcPr>
          <w:p w14:paraId="06312BCB" w14:textId="77777777" w:rsidR="006D58B7" w:rsidRPr="006F4C96" w:rsidRDefault="006D58B7" w:rsidP="008C738E">
            <w:pPr>
              <w:spacing w:after="0" w:line="480" w:lineRule="auto"/>
              <w:ind w:right="126"/>
              <w:rPr>
                <w:rFonts w:ascii="Times New Roman" w:hAnsi="Times New Roman" w:cs="Times New Roman"/>
                <w:i/>
                <w:iCs/>
                <w:sz w:val="20"/>
                <w:szCs w:val="20"/>
              </w:rPr>
            </w:pPr>
            <w:r w:rsidRPr="006F4C96">
              <w:rPr>
                <w:rFonts w:ascii="Times New Roman" w:hAnsi="Times New Roman" w:cs="Times New Roman"/>
                <w:i/>
                <w:iCs/>
                <w:sz w:val="20"/>
                <w:szCs w:val="20"/>
              </w:rPr>
              <w:t>Females</w:t>
            </w:r>
          </w:p>
        </w:tc>
        <w:tc>
          <w:tcPr>
            <w:tcW w:w="2109" w:type="dxa"/>
            <w:shd w:val="clear" w:color="auto" w:fill="auto"/>
            <w:noWrap/>
            <w:tcMar>
              <w:top w:w="15" w:type="dxa"/>
              <w:left w:w="15" w:type="dxa"/>
              <w:bottom w:w="0" w:type="dxa"/>
              <w:right w:w="15" w:type="dxa"/>
            </w:tcMar>
            <w:hideMark/>
          </w:tcPr>
          <w:p w14:paraId="2769CCC2" w14:textId="77777777" w:rsidR="006D58B7" w:rsidRPr="006F4C96" w:rsidRDefault="006D58B7" w:rsidP="008C738E">
            <w:pPr>
              <w:spacing w:after="0" w:line="480" w:lineRule="auto"/>
              <w:rPr>
                <w:rFonts w:ascii="Times New Roman" w:hAnsi="Times New Roman" w:cs="Times New Roman"/>
                <w:i/>
                <w:iCs/>
                <w:sz w:val="20"/>
                <w:szCs w:val="20"/>
              </w:rPr>
            </w:pPr>
          </w:p>
        </w:tc>
        <w:tc>
          <w:tcPr>
            <w:tcW w:w="2002" w:type="dxa"/>
            <w:shd w:val="clear" w:color="auto" w:fill="auto"/>
            <w:noWrap/>
            <w:tcMar>
              <w:top w:w="15" w:type="dxa"/>
              <w:left w:w="15" w:type="dxa"/>
              <w:bottom w:w="0" w:type="dxa"/>
              <w:right w:w="15" w:type="dxa"/>
            </w:tcMar>
            <w:hideMark/>
          </w:tcPr>
          <w:p w14:paraId="20E1094B" w14:textId="77777777" w:rsidR="006D58B7" w:rsidRPr="006F4C96" w:rsidRDefault="006D58B7" w:rsidP="008C738E">
            <w:pPr>
              <w:spacing w:after="0" w:line="480" w:lineRule="auto"/>
              <w:jc w:val="center"/>
              <w:rPr>
                <w:rFonts w:ascii="Times New Roman" w:hAnsi="Times New Roman" w:cs="Times New Roman"/>
                <w:sz w:val="20"/>
                <w:szCs w:val="20"/>
              </w:rPr>
            </w:pPr>
          </w:p>
        </w:tc>
        <w:tc>
          <w:tcPr>
            <w:tcW w:w="1590" w:type="dxa"/>
            <w:shd w:val="clear" w:color="auto" w:fill="auto"/>
            <w:noWrap/>
            <w:tcMar>
              <w:top w:w="15" w:type="dxa"/>
              <w:left w:w="15" w:type="dxa"/>
              <w:bottom w:w="0" w:type="dxa"/>
              <w:right w:w="15" w:type="dxa"/>
            </w:tcMar>
            <w:hideMark/>
          </w:tcPr>
          <w:p w14:paraId="742E3B6A" w14:textId="77777777" w:rsidR="006D58B7" w:rsidRPr="006F4C96" w:rsidRDefault="006D58B7" w:rsidP="008C738E">
            <w:pPr>
              <w:spacing w:after="0" w:line="480" w:lineRule="auto"/>
              <w:jc w:val="center"/>
              <w:rPr>
                <w:rFonts w:ascii="Times New Roman" w:hAnsi="Times New Roman" w:cs="Times New Roman"/>
                <w:sz w:val="20"/>
                <w:szCs w:val="20"/>
              </w:rPr>
            </w:pPr>
          </w:p>
        </w:tc>
      </w:tr>
      <w:tr w:rsidR="006F4C96" w:rsidRPr="006F4C96" w14:paraId="7C8451C9" w14:textId="77777777" w:rsidTr="007A4187">
        <w:trPr>
          <w:trHeight w:val="285"/>
          <w:jc w:val="center"/>
        </w:trPr>
        <w:tc>
          <w:tcPr>
            <w:tcW w:w="2835" w:type="dxa"/>
            <w:shd w:val="clear" w:color="auto" w:fill="auto"/>
            <w:noWrap/>
            <w:tcMar>
              <w:top w:w="15" w:type="dxa"/>
              <w:left w:w="15" w:type="dxa"/>
              <w:bottom w:w="0" w:type="dxa"/>
              <w:right w:w="15" w:type="dxa"/>
            </w:tcMar>
            <w:hideMark/>
          </w:tcPr>
          <w:p w14:paraId="1AB4BFF8" w14:textId="77777777" w:rsidR="006D58B7" w:rsidRPr="006F4C96" w:rsidRDefault="006D58B7"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n (%)</w:t>
            </w:r>
          </w:p>
        </w:tc>
        <w:tc>
          <w:tcPr>
            <w:tcW w:w="2109" w:type="dxa"/>
            <w:shd w:val="clear" w:color="auto" w:fill="auto"/>
            <w:noWrap/>
            <w:tcMar>
              <w:top w:w="15" w:type="dxa"/>
              <w:left w:w="15" w:type="dxa"/>
              <w:bottom w:w="0" w:type="dxa"/>
              <w:right w:w="15" w:type="dxa"/>
            </w:tcMar>
            <w:hideMark/>
          </w:tcPr>
          <w:p w14:paraId="23355F5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115,835 (48)</w:t>
            </w:r>
          </w:p>
        </w:tc>
        <w:tc>
          <w:tcPr>
            <w:tcW w:w="2002" w:type="dxa"/>
            <w:shd w:val="clear" w:color="auto" w:fill="auto"/>
            <w:noWrap/>
            <w:tcMar>
              <w:top w:w="15" w:type="dxa"/>
              <w:left w:w="15" w:type="dxa"/>
              <w:bottom w:w="0" w:type="dxa"/>
              <w:right w:w="15" w:type="dxa"/>
            </w:tcMar>
            <w:hideMark/>
          </w:tcPr>
          <w:p w14:paraId="51985D8F"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111,119 (46)</w:t>
            </w:r>
          </w:p>
        </w:tc>
        <w:tc>
          <w:tcPr>
            <w:tcW w:w="1590" w:type="dxa"/>
            <w:shd w:val="clear" w:color="auto" w:fill="auto"/>
            <w:noWrap/>
            <w:tcMar>
              <w:top w:w="15" w:type="dxa"/>
              <w:left w:w="15" w:type="dxa"/>
              <w:bottom w:w="0" w:type="dxa"/>
              <w:right w:w="15" w:type="dxa"/>
            </w:tcMar>
            <w:hideMark/>
          </w:tcPr>
          <w:p w14:paraId="5D4A0A91" w14:textId="7DF43B6E"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12,436 (5</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w:t>
            </w:r>
          </w:p>
        </w:tc>
      </w:tr>
      <w:tr w:rsidR="006F4C96" w:rsidRPr="006F4C96" w14:paraId="33C98973" w14:textId="77777777" w:rsidTr="007A4187">
        <w:trPr>
          <w:trHeight w:val="285"/>
          <w:jc w:val="center"/>
        </w:trPr>
        <w:tc>
          <w:tcPr>
            <w:tcW w:w="2835" w:type="dxa"/>
            <w:shd w:val="clear" w:color="auto" w:fill="auto"/>
            <w:noWrap/>
            <w:tcMar>
              <w:top w:w="15" w:type="dxa"/>
              <w:left w:w="15" w:type="dxa"/>
              <w:bottom w:w="0" w:type="dxa"/>
              <w:right w:w="15" w:type="dxa"/>
            </w:tcMar>
            <w:hideMark/>
          </w:tcPr>
          <w:p w14:paraId="7B42888C" w14:textId="77777777" w:rsidR="006D58B7" w:rsidRPr="006F4C96" w:rsidRDefault="006D58B7"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Age, years</w:t>
            </w:r>
          </w:p>
        </w:tc>
        <w:tc>
          <w:tcPr>
            <w:tcW w:w="2109" w:type="dxa"/>
            <w:shd w:val="clear" w:color="auto" w:fill="auto"/>
            <w:noWrap/>
            <w:tcMar>
              <w:top w:w="15" w:type="dxa"/>
              <w:left w:w="15" w:type="dxa"/>
              <w:bottom w:w="0" w:type="dxa"/>
              <w:right w:w="15" w:type="dxa"/>
            </w:tcMar>
            <w:hideMark/>
          </w:tcPr>
          <w:p w14:paraId="427D5ED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56 (49; 62)</w:t>
            </w:r>
          </w:p>
        </w:tc>
        <w:tc>
          <w:tcPr>
            <w:tcW w:w="2002" w:type="dxa"/>
            <w:shd w:val="clear" w:color="auto" w:fill="auto"/>
            <w:noWrap/>
            <w:tcMar>
              <w:top w:w="15" w:type="dxa"/>
              <w:left w:w="15" w:type="dxa"/>
              <w:bottom w:w="0" w:type="dxa"/>
              <w:right w:w="15" w:type="dxa"/>
            </w:tcMar>
            <w:hideMark/>
          </w:tcPr>
          <w:p w14:paraId="5EAD35CD"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58 (51; 63)</w:t>
            </w:r>
          </w:p>
        </w:tc>
        <w:tc>
          <w:tcPr>
            <w:tcW w:w="1590" w:type="dxa"/>
            <w:shd w:val="clear" w:color="auto" w:fill="auto"/>
            <w:noWrap/>
            <w:tcMar>
              <w:top w:w="15" w:type="dxa"/>
              <w:left w:w="15" w:type="dxa"/>
              <w:bottom w:w="0" w:type="dxa"/>
              <w:right w:w="15" w:type="dxa"/>
            </w:tcMar>
            <w:hideMark/>
          </w:tcPr>
          <w:p w14:paraId="35F5DA6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59 (52; 64)</w:t>
            </w:r>
          </w:p>
        </w:tc>
      </w:tr>
      <w:tr w:rsidR="006F4C96" w:rsidRPr="006F4C96" w14:paraId="61C8F9BB" w14:textId="77777777" w:rsidTr="007A4187">
        <w:trPr>
          <w:trHeight w:val="285"/>
          <w:jc w:val="center"/>
        </w:trPr>
        <w:tc>
          <w:tcPr>
            <w:tcW w:w="2835" w:type="dxa"/>
            <w:shd w:val="clear" w:color="auto" w:fill="auto"/>
            <w:noWrap/>
            <w:tcMar>
              <w:top w:w="15" w:type="dxa"/>
              <w:left w:w="15" w:type="dxa"/>
              <w:bottom w:w="0" w:type="dxa"/>
              <w:right w:w="15" w:type="dxa"/>
            </w:tcMar>
            <w:hideMark/>
          </w:tcPr>
          <w:p w14:paraId="55AAD24C" w14:textId="77777777" w:rsidR="006D58B7" w:rsidRPr="006F4C96" w:rsidRDefault="006D58B7"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40 to 49, n (%)</w:t>
            </w:r>
          </w:p>
        </w:tc>
        <w:tc>
          <w:tcPr>
            <w:tcW w:w="2109" w:type="dxa"/>
            <w:shd w:val="clear" w:color="auto" w:fill="auto"/>
            <w:noWrap/>
            <w:tcMar>
              <w:top w:w="15" w:type="dxa"/>
              <w:left w:w="15" w:type="dxa"/>
              <w:bottom w:w="0" w:type="dxa"/>
              <w:right w:w="15" w:type="dxa"/>
            </w:tcMar>
            <w:hideMark/>
          </w:tcPr>
          <w:p w14:paraId="15529F6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30,965 (54)</w:t>
            </w:r>
          </w:p>
        </w:tc>
        <w:tc>
          <w:tcPr>
            <w:tcW w:w="2002" w:type="dxa"/>
            <w:shd w:val="clear" w:color="auto" w:fill="auto"/>
            <w:noWrap/>
            <w:tcMar>
              <w:top w:w="15" w:type="dxa"/>
              <w:left w:w="15" w:type="dxa"/>
              <w:bottom w:w="0" w:type="dxa"/>
              <w:right w:w="15" w:type="dxa"/>
            </w:tcMar>
            <w:hideMark/>
          </w:tcPr>
          <w:p w14:paraId="1DBAEF11"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23,783 (42)</w:t>
            </w:r>
          </w:p>
        </w:tc>
        <w:tc>
          <w:tcPr>
            <w:tcW w:w="1590" w:type="dxa"/>
            <w:shd w:val="clear" w:color="auto" w:fill="auto"/>
            <w:noWrap/>
            <w:tcMar>
              <w:top w:w="15" w:type="dxa"/>
              <w:left w:w="15" w:type="dxa"/>
              <w:bottom w:w="0" w:type="dxa"/>
              <w:right w:w="15" w:type="dxa"/>
            </w:tcMar>
            <w:hideMark/>
          </w:tcPr>
          <w:p w14:paraId="27722A2E" w14:textId="1D98EBB1"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2,140 (3</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8)</w:t>
            </w:r>
          </w:p>
        </w:tc>
      </w:tr>
      <w:tr w:rsidR="006F4C96" w:rsidRPr="006F4C96" w14:paraId="4DE4EEB5" w14:textId="77777777" w:rsidTr="007A4187">
        <w:trPr>
          <w:trHeight w:val="285"/>
          <w:jc w:val="center"/>
        </w:trPr>
        <w:tc>
          <w:tcPr>
            <w:tcW w:w="2835" w:type="dxa"/>
            <w:shd w:val="clear" w:color="auto" w:fill="auto"/>
            <w:noWrap/>
            <w:tcMar>
              <w:top w:w="15" w:type="dxa"/>
              <w:left w:w="15" w:type="dxa"/>
              <w:bottom w:w="0" w:type="dxa"/>
              <w:right w:w="15" w:type="dxa"/>
            </w:tcMar>
            <w:hideMark/>
          </w:tcPr>
          <w:p w14:paraId="76215EA9" w14:textId="77777777" w:rsidR="006D58B7" w:rsidRPr="006F4C96" w:rsidRDefault="006D58B7"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50 to 59, n (%)</w:t>
            </w:r>
          </w:p>
        </w:tc>
        <w:tc>
          <w:tcPr>
            <w:tcW w:w="2109" w:type="dxa"/>
            <w:shd w:val="clear" w:color="auto" w:fill="auto"/>
            <w:noWrap/>
            <w:tcMar>
              <w:top w:w="15" w:type="dxa"/>
              <w:left w:w="15" w:type="dxa"/>
              <w:bottom w:w="0" w:type="dxa"/>
              <w:right w:w="15" w:type="dxa"/>
            </w:tcMar>
            <w:hideMark/>
          </w:tcPr>
          <w:p w14:paraId="79397087"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41,018 (50)</w:t>
            </w:r>
          </w:p>
        </w:tc>
        <w:tc>
          <w:tcPr>
            <w:tcW w:w="2002" w:type="dxa"/>
            <w:shd w:val="clear" w:color="auto" w:fill="auto"/>
            <w:noWrap/>
            <w:tcMar>
              <w:top w:w="15" w:type="dxa"/>
              <w:left w:w="15" w:type="dxa"/>
              <w:bottom w:w="0" w:type="dxa"/>
              <w:right w:w="15" w:type="dxa"/>
            </w:tcMar>
            <w:hideMark/>
          </w:tcPr>
          <w:p w14:paraId="2B9EE40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37,231 (45)</w:t>
            </w:r>
          </w:p>
        </w:tc>
        <w:tc>
          <w:tcPr>
            <w:tcW w:w="1590" w:type="dxa"/>
            <w:shd w:val="clear" w:color="auto" w:fill="auto"/>
            <w:noWrap/>
            <w:tcMar>
              <w:top w:w="15" w:type="dxa"/>
              <w:left w:w="15" w:type="dxa"/>
              <w:bottom w:w="0" w:type="dxa"/>
              <w:right w:w="15" w:type="dxa"/>
            </w:tcMar>
            <w:hideMark/>
          </w:tcPr>
          <w:p w14:paraId="099FAE0D" w14:textId="0E969B2D"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4,427 (5</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4)</w:t>
            </w:r>
          </w:p>
        </w:tc>
      </w:tr>
      <w:tr w:rsidR="006F4C96" w:rsidRPr="006F4C96" w14:paraId="0445D21D" w14:textId="77777777" w:rsidTr="007A4187">
        <w:trPr>
          <w:trHeight w:val="285"/>
          <w:jc w:val="center"/>
        </w:trPr>
        <w:tc>
          <w:tcPr>
            <w:tcW w:w="2835" w:type="dxa"/>
            <w:shd w:val="clear" w:color="auto" w:fill="auto"/>
            <w:noWrap/>
            <w:tcMar>
              <w:top w:w="15" w:type="dxa"/>
              <w:left w:w="15" w:type="dxa"/>
              <w:bottom w:w="0" w:type="dxa"/>
              <w:right w:w="15" w:type="dxa"/>
            </w:tcMar>
            <w:hideMark/>
          </w:tcPr>
          <w:p w14:paraId="62A66241" w14:textId="77777777" w:rsidR="006D58B7" w:rsidRPr="006F4C96" w:rsidRDefault="006D58B7"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60 to 70, n (%)</w:t>
            </w:r>
          </w:p>
        </w:tc>
        <w:tc>
          <w:tcPr>
            <w:tcW w:w="2109" w:type="dxa"/>
            <w:shd w:val="clear" w:color="auto" w:fill="auto"/>
            <w:noWrap/>
            <w:tcMar>
              <w:top w:w="15" w:type="dxa"/>
              <w:left w:w="15" w:type="dxa"/>
              <w:bottom w:w="0" w:type="dxa"/>
              <w:right w:w="15" w:type="dxa"/>
            </w:tcMar>
            <w:hideMark/>
          </w:tcPr>
          <w:p w14:paraId="241442EA"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43,852 (44)</w:t>
            </w:r>
          </w:p>
        </w:tc>
        <w:tc>
          <w:tcPr>
            <w:tcW w:w="2002" w:type="dxa"/>
            <w:shd w:val="clear" w:color="auto" w:fill="auto"/>
            <w:noWrap/>
            <w:tcMar>
              <w:top w:w="15" w:type="dxa"/>
              <w:left w:w="15" w:type="dxa"/>
              <w:bottom w:w="0" w:type="dxa"/>
              <w:right w:w="15" w:type="dxa"/>
            </w:tcMar>
            <w:hideMark/>
          </w:tcPr>
          <w:p w14:paraId="3857C2AE" w14:textId="77777777"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50,105 (50)</w:t>
            </w:r>
          </w:p>
        </w:tc>
        <w:tc>
          <w:tcPr>
            <w:tcW w:w="1590" w:type="dxa"/>
            <w:shd w:val="clear" w:color="auto" w:fill="auto"/>
            <w:noWrap/>
            <w:tcMar>
              <w:top w:w="15" w:type="dxa"/>
              <w:left w:w="15" w:type="dxa"/>
              <w:bottom w:w="0" w:type="dxa"/>
              <w:right w:w="15" w:type="dxa"/>
            </w:tcMar>
            <w:hideMark/>
          </w:tcPr>
          <w:p w14:paraId="19D4657B" w14:textId="42CBD7D4" w:rsidR="006D58B7" w:rsidRPr="006F4C96" w:rsidRDefault="006D58B7"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5,869 (5</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w:t>
            </w:r>
          </w:p>
        </w:tc>
      </w:tr>
      <w:tr w:rsidR="006F4C96" w:rsidRPr="006F4C96" w14:paraId="1258E546" w14:textId="77777777" w:rsidTr="00180976">
        <w:trPr>
          <w:trHeight w:val="285"/>
          <w:jc w:val="center"/>
        </w:trPr>
        <w:tc>
          <w:tcPr>
            <w:tcW w:w="2835" w:type="dxa"/>
            <w:shd w:val="clear" w:color="auto" w:fill="auto"/>
            <w:noWrap/>
            <w:tcMar>
              <w:top w:w="15" w:type="dxa"/>
              <w:left w:w="15" w:type="dxa"/>
              <w:bottom w:w="0" w:type="dxa"/>
              <w:right w:w="15" w:type="dxa"/>
            </w:tcMar>
            <w:hideMark/>
          </w:tcPr>
          <w:p w14:paraId="059A5F61" w14:textId="26E6C650" w:rsidR="006D58B7" w:rsidRPr="006F4C96" w:rsidRDefault="00244A53"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LTL</w:t>
            </w:r>
            <w:r w:rsidR="006D58B7" w:rsidRPr="006F4C96">
              <w:rPr>
                <w:rFonts w:ascii="Times New Roman" w:hAnsi="Times New Roman" w:cs="Times New Roman"/>
                <w:sz w:val="20"/>
                <w:szCs w:val="20"/>
              </w:rPr>
              <w:t>, SD</w:t>
            </w:r>
          </w:p>
        </w:tc>
        <w:tc>
          <w:tcPr>
            <w:tcW w:w="2109" w:type="dxa"/>
            <w:shd w:val="clear" w:color="auto" w:fill="auto"/>
            <w:noWrap/>
            <w:tcMar>
              <w:top w:w="15" w:type="dxa"/>
              <w:left w:w="15" w:type="dxa"/>
              <w:bottom w:w="0" w:type="dxa"/>
              <w:right w:w="15" w:type="dxa"/>
            </w:tcMar>
          </w:tcPr>
          <w:p w14:paraId="0E49D299" w14:textId="7E52AAE6" w:rsidR="006D58B7" w:rsidRPr="006F4C96" w:rsidRDefault="006D58B7" w:rsidP="008C738E">
            <w:pPr>
              <w:spacing w:after="0" w:line="480" w:lineRule="auto"/>
              <w:jc w:val="center"/>
              <w:rPr>
                <w:rFonts w:ascii="Times New Roman" w:hAnsi="Times New Roman" w:cs="Times New Roman"/>
                <w:sz w:val="20"/>
                <w:szCs w:val="20"/>
              </w:rPr>
            </w:pPr>
          </w:p>
        </w:tc>
        <w:tc>
          <w:tcPr>
            <w:tcW w:w="2002" w:type="dxa"/>
            <w:shd w:val="clear" w:color="auto" w:fill="auto"/>
            <w:noWrap/>
            <w:tcMar>
              <w:top w:w="15" w:type="dxa"/>
              <w:left w:w="15" w:type="dxa"/>
              <w:bottom w:w="0" w:type="dxa"/>
              <w:right w:w="15" w:type="dxa"/>
            </w:tcMar>
          </w:tcPr>
          <w:p w14:paraId="41210090" w14:textId="12172943" w:rsidR="006D58B7" w:rsidRPr="006F4C96" w:rsidRDefault="006D58B7" w:rsidP="008C738E">
            <w:pPr>
              <w:spacing w:after="0" w:line="480" w:lineRule="auto"/>
              <w:jc w:val="center"/>
              <w:rPr>
                <w:rFonts w:ascii="Times New Roman" w:hAnsi="Times New Roman" w:cs="Times New Roman"/>
                <w:sz w:val="20"/>
                <w:szCs w:val="20"/>
              </w:rPr>
            </w:pPr>
          </w:p>
        </w:tc>
        <w:tc>
          <w:tcPr>
            <w:tcW w:w="1590" w:type="dxa"/>
            <w:shd w:val="clear" w:color="auto" w:fill="auto"/>
            <w:noWrap/>
            <w:tcMar>
              <w:top w:w="15" w:type="dxa"/>
              <w:left w:w="15" w:type="dxa"/>
              <w:bottom w:w="0" w:type="dxa"/>
              <w:right w:w="15" w:type="dxa"/>
            </w:tcMar>
          </w:tcPr>
          <w:p w14:paraId="2A1F6B02" w14:textId="1D96B5A0" w:rsidR="006D58B7" w:rsidRPr="006F4C96" w:rsidRDefault="006D58B7" w:rsidP="008C738E">
            <w:pPr>
              <w:spacing w:after="0" w:line="480" w:lineRule="auto"/>
              <w:jc w:val="center"/>
              <w:rPr>
                <w:rFonts w:ascii="Times New Roman" w:hAnsi="Times New Roman" w:cs="Times New Roman"/>
                <w:sz w:val="20"/>
                <w:szCs w:val="20"/>
              </w:rPr>
            </w:pPr>
          </w:p>
        </w:tc>
      </w:tr>
      <w:tr w:rsidR="006F4C96" w:rsidRPr="006F4C96" w14:paraId="7E734A17" w14:textId="77777777" w:rsidTr="007A4187">
        <w:trPr>
          <w:trHeight w:val="285"/>
          <w:jc w:val="center"/>
        </w:trPr>
        <w:tc>
          <w:tcPr>
            <w:tcW w:w="2835" w:type="dxa"/>
            <w:shd w:val="clear" w:color="auto" w:fill="auto"/>
            <w:noWrap/>
            <w:tcMar>
              <w:top w:w="15" w:type="dxa"/>
              <w:left w:w="15" w:type="dxa"/>
              <w:bottom w:w="0" w:type="dxa"/>
              <w:right w:w="15" w:type="dxa"/>
            </w:tcMar>
          </w:tcPr>
          <w:p w14:paraId="5E19633B" w14:textId="1DBB05DC"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Overall</w:t>
            </w:r>
          </w:p>
        </w:tc>
        <w:tc>
          <w:tcPr>
            <w:tcW w:w="2109" w:type="dxa"/>
            <w:shd w:val="clear" w:color="auto" w:fill="auto"/>
            <w:noWrap/>
            <w:tcMar>
              <w:top w:w="15" w:type="dxa"/>
              <w:left w:w="15" w:type="dxa"/>
              <w:bottom w:w="0" w:type="dxa"/>
              <w:right w:w="15" w:type="dxa"/>
            </w:tcMar>
          </w:tcPr>
          <w:p w14:paraId="0F00BBE8" w14:textId="7008B5F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98)</w:t>
            </w:r>
          </w:p>
        </w:tc>
        <w:tc>
          <w:tcPr>
            <w:tcW w:w="2002" w:type="dxa"/>
            <w:shd w:val="clear" w:color="auto" w:fill="auto"/>
            <w:noWrap/>
            <w:tcMar>
              <w:top w:w="15" w:type="dxa"/>
              <w:left w:w="15" w:type="dxa"/>
              <w:bottom w:w="0" w:type="dxa"/>
              <w:right w:w="15" w:type="dxa"/>
            </w:tcMar>
          </w:tcPr>
          <w:p w14:paraId="2A357538" w14:textId="6203E650"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06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99)</w:t>
            </w:r>
          </w:p>
        </w:tc>
        <w:tc>
          <w:tcPr>
            <w:tcW w:w="1590" w:type="dxa"/>
            <w:shd w:val="clear" w:color="auto" w:fill="auto"/>
            <w:noWrap/>
            <w:tcMar>
              <w:top w:w="15" w:type="dxa"/>
              <w:left w:w="15" w:type="dxa"/>
              <w:bottom w:w="0" w:type="dxa"/>
              <w:right w:w="15" w:type="dxa"/>
            </w:tcMar>
          </w:tcPr>
          <w:p w14:paraId="5FDEB930" w14:textId="182C262A"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03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99)</w:t>
            </w:r>
          </w:p>
        </w:tc>
      </w:tr>
      <w:tr w:rsidR="006F4C96" w:rsidRPr="006F4C96" w14:paraId="4BCCC759" w14:textId="77777777" w:rsidTr="007A4187">
        <w:trPr>
          <w:trHeight w:val="285"/>
          <w:jc w:val="center"/>
        </w:trPr>
        <w:tc>
          <w:tcPr>
            <w:tcW w:w="2835" w:type="dxa"/>
            <w:shd w:val="clear" w:color="auto" w:fill="auto"/>
            <w:noWrap/>
            <w:tcMar>
              <w:top w:w="15" w:type="dxa"/>
              <w:left w:w="15" w:type="dxa"/>
              <w:bottom w:w="0" w:type="dxa"/>
              <w:right w:w="15" w:type="dxa"/>
            </w:tcMar>
            <w:hideMark/>
          </w:tcPr>
          <w:p w14:paraId="77607516"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40 to 49</w:t>
            </w:r>
          </w:p>
        </w:tc>
        <w:tc>
          <w:tcPr>
            <w:tcW w:w="2109" w:type="dxa"/>
            <w:shd w:val="clear" w:color="auto" w:fill="auto"/>
            <w:noWrap/>
            <w:tcMar>
              <w:top w:w="15" w:type="dxa"/>
              <w:left w:w="15" w:type="dxa"/>
              <w:bottom w:w="0" w:type="dxa"/>
              <w:right w:w="15" w:type="dxa"/>
            </w:tcMar>
            <w:hideMark/>
          </w:tcPr>
          <w:p w14:paraId="4A78B1D8" w14:textId="2F447C6D"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32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2002" w:type="dxa"/>
            <w:shd w:val="clear" w:color="auto" w:fill="auto"/>
            <w:noWrap/>
            <w:tcMar>
              <w:top w:w="15" w:type="dxa"/>
              <w:left w:w="15" w:type="dxa"/>
              <w:bottom w:w="0" w:type="dxa"/>
              <w:right w:w="15" w:type="dxa"/>
            </w:tcMar>
            <w:hideMark/>
          </w:tcPr>
          <w:p w14:paraId="134B9831" w14:textId="7A31074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31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99)</w:t>
            </w:r>
          </w:p>
        </w:tc>
        <w:tc>
          <w:tcPr>
            <w:tcW w:w="1590" w:type="dxa"/>
            <w:shd w:val="clear" w:color="auto" w:fill="auto"/>
            <w:noWrap/>
            <w:tcMar>
              <w:top w:w="15" w:type="dxa"/>
              <w:left w:w="15" w:type="dxa"/>
              <w:bottom w:w="0" w:type="dxa"/>
              <w:right w:w="15" w:type="dxa"/>
            </w:tcMar>
            <w:hideMark/>
          </w:tcPr>
          <w:p w14:paraId="561A58C8" w14:textId="5DB6A7D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26 (1</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00)</w:t>
            </w:r>
          </w:p>
        </w:tc>
      </w:tr>
      <w:tr w:rsidR="006F4C96" w:rsidRPr="006F4C96" w14:paraId="6F33CD82" w14:textId="77777777" w:rsidTr="007A4187">
        <w:trPr>
          <w:trHeight w:val="285"/>
          <w:jc w:val="center"/>
        </w:trPr>
        <w:tc>
          <w:tcPr>
            <w:tcW w:w="2835" w:type="dxa"/>
            <w:shd w:val="clear" w:color="auto" w:fill="auto"/>
            <w:noWrap/>
            <w:tcMar>
              <w:top w:w="15" w:type="dxa"/>
              <w:left w:w="15" w:type="dxa"/>
              <w:bottom w:w="0" w:type="dxa"/>
              <w:right w:w="15" w:type="dxa"/>
            </w:tcMar>
            <w:hideMark/>
          </w:tcPr>
          <w:p w14:paraId="0A08813E"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50 to 59</w:t>
            </w:r>
          </w:p>
        </w:tc>
        <w:tc>
          <w:tcPr>
            <w:tcW w:w="2109" w:type="dxa"/>
            <w:shd w:val="clear" w:color="auto" w:fill="auto"/>
            <w:noWrap/>
            <w:tcMar>
              <w:top w:w="15" w:type="dxa"/>
              <w:left w:w="15" w:type="dxa"/>
              <w:bottom w:w="0" w:type="dxa"/>
              <w:right w:w="15" w:type="dxa"/>
            </w:tcMar>
            <w:hideMark/>
          </w:tcPr>
          <w:p w14:paraId="0352EE2F" w14:textId="3E0A747E"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16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2002" w:type="dxa"/>
            <w:shd w:val="clear" w:color="auto" w:fill="auto"/>
            <w:noWrap/>
            <w:tcMar>
              <w:top w:w="15" w:type="dxa"/>
              <w:left w:w="15" w:type="dxa"/>
              <w:bottom w:w="0" w:type="dxa"/>
              <w:right w:w="15" w:type="dxa"/>
            </w:tcMar>
            <w:hideMark/>
          </w:tcPr>
          <w:p w14:paraId="1F883F91" w14:textId="2412C98C"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13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98)</w:t>
            </w:r>
          </w:p>
        </w:tc>
        <w:tc>
          <w:tcPr>
            <w:tcW w:w="1590" w:type="dxa"/>
            <w:shd w:val="clear" w:color="auto" w:fill="auto"/>
            <w:noWrap/>
            <w:tcMar>
              <w:top w:w="15" w:type="dxa"/>
              <w:left w:w="15" w:type="dxa"/>
              <w:bottom w:w="0" w:type="dxa"/>
              <w:right w:w="15" w:type="dxa"/>
            </w:tcMar>
            <w:hideMark/>
          </w:tcPr>
          <w:p w14:paraId="48FB63E3" w14:textId="2114BBF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95)</w:t>
            </w:r>
          </w:p>
        </w:tc>
      </w:tr>
      <w:tr w:rsidR="006F4C96" w:rsidRPr="006F4C96" w14:paraId="470F285A" w14:textId="77777777" w:rsidTr="007A4187">
        <w:trPr>
          <w:trHeight w:val="285"/>
          <w:jc w:val="center"/>
        </w:trPr>
        <w:tc>
          <w:tcPr>
            <w:tcW w:w="2835" w:type="dxa"/>
            <w:shd w:val="clear" w:color="auto" w:fill="auto"/>
            <w:noWrap/>
            <w:tcMar>
              <w:top w:w="15" w:type="dxa"/>
              <w:left w:w="15" w:type="dxa"/>
              <w:bottom w:w="0" w:type="dxa"/>
              <w:right w:w="15" w:type="dxa"/>
            </w:tcMar>
            <w:hideMark/>
          </w:tcPr>
          <w:p w14:paraId="315FF075"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60 to 70</w:t>
            </w:r>
          </w:p>
        </w:tc>
        <w:tc>
          <w:tcPr>
            <w:tcW w:w="2109" w:type="dxa"/>
            <w:shd w:val="clear" w:color="auto" w:fill="auto"/>
            <w:noWrap/>
            <w:tcMar>
              <w:top w:w="15" w:type="dxa"/>
              <w:left w:w="15" w:type="dxa"/>
              <w:bottom w:w="0" w:type="dxa"/>
              <w:right w:w="15" w:type="dxa"/>
            </w:tcMar>
            <w:hideMark/>
          </w:tcPr>
          <w:p w14:paraId="489898A3" w14:textId="37C42E3C"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06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2002" w:type="dxa"/>
            <w:shd w:val="clear" w:color="auto" w:fill="auto"/>
            <w:noWrap/>
            <w:tcMar>
              <w:top w:w="15" w:type="dxa"/>
              <w:left w:w="15" w:type="dxa"/>
              <w:bottom w:w="0" w:type="dxa"/>
              <w:right w:w="15" w:type="dxa"/>
            </w:tcMar>
            <w:hideMark/>
          </w:tcPr>
          <w:p w14:paraId="212480C8" w14:textId="202201B8"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10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1590" w:type="dxa"/>
            <w:shd w:val="clear" w:color="auto" w:fill="auto"/>
            <w:noWrap/>
            <w:tcMar>
              <w:top w:w="15" w:type="dxa"/>
              <w:left w:w="15" w:type="dxa"/>
              <w:bottom w:w="0" w:type="dxa"/>
              <w:right w:w="15" w:type="dxa"/>
            </w:tcMar>
            <w:hideMark/>
          </w:tcPr>
          <w:p w14:paraId="106D2AC9" w14:textId="0874481E"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19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99)</w:t>
            </w:r>
          </w:p>
        </w:tc>
      </w:tr>
      <w:tr w:rsidR="006F4C96" w:rsidRPr="006F4C96" w14:paraId="588C74C9" w14:textId="77777777" w:rsidTr="007A4187">
        <w:trPr>
          <w:trHeight w:val="285"/>
          <w:jc w:val="center"/>
        </w:trPr>
        <w:tc>
          <w:tcPr>
            <w:tcW w:w="2835" w:type="dxa"/>
            <w:shd w:val="clear" w:color="auto" w:fill="auto"/>
            <w:noWrap/>
            <w:tcMar>
              <w:top w:w="15" w:type="dxa"/>
              <w:left w:w="15" w:type="dxa"/>
              <w:bottom w:w="0" w:type="dxa"/>
              <w:right w:w="15" w:type="dxa"/>
            </w:tcMar>
            <w:hideMark/>
          </w:tcPr>
          <w:p w14:paraId="2B8BDB8A" w14:textId="77777777" w:rsidR="00180976" w:rsidRPr="006F4C96" w:rsidRDefault="00180976" w:rsidP="008C738E">
            <w:pPr>
              <w:spacing w:after="0" w:line="480" w:lineRule="auto"/>
              <w:ind w:right="126"/>
              <w:rPr>
                <w:rFonts w:ascii="Times New Roman" w:hAnsi="Times New Roman" w:cs="Times New Roman"/>
                <w:i/>
                <w:iCs/>
                <w:sz w:val="20"/>
                <w:szCs w:val="20"/>
              </w:rPr>
            </w:pPr>
            <w:r w:rsidRPr="006F4C96">
              <w:rPr>
                <w:rFonts w:ascii="Times New Roman" w:hAnsi="Times New Roman" w:cs="Times New Roman"/>
                <w:i/>
                <w:iCs/>
                <w:sz w:val="20"/>
                <w:szCs w:val="20"/>
              </w:rPr>
              <w:t>Males</w:t>
            </w:r>
          </w:p>
        </w:tc>
        <w:tc>
          <w:tcPr>
            <w:tcW w:w="2109" w:type="dxa"/>
            <w:shd w:val="clear" w:color="auto" w:fill="auto"/>
            <w:noWrap/>
            <w:tcMar>
              <w:top w:w="15" w:type="dxa"/>
              <w:left w:w="15" w:type="dxa"/>
              <w:bottom w:w="0" w:type="dxa"/>
              <w:right w:w="15" w:type="dxa"/>
            </w:tcMar>
            <w:hideMark/>
          </w:tcPr>
          <w:p w14:paraId="2F72049E" w14:textId="77777777" w:rsidR="00180976" w:rsidRPr="006F4C96" w:rsidRDefault="00180976" w:rsidP="008C738E">
            <w:pPr>
              <w:spacing w:after="0" w:line="480" w:lineRule="auto"/>
              <w:rPr>
                <w:rFonts w:ascii="Times New Roman" w:hAnsi="Times New Roman" w:cs="Times New Roman"/>
                <w:i/>
                <w:iCs/>
                <w:sz w:val="20"/>
                <w:szCs w:val="20"/>
              </w:rPr>
            </w:pPr>
          </w:p>
        </w:tc>
        <w:tc>
          <w:tcPr>
            <w:tcW w:w="2002" w:type="dxa"/>
            <w:shd w:val="clear" w:color="auto" w:fill="auto"/>
            <w:noWrap/>
            <w:tcMar>
              <w:top w:w="15" w:type="dxa"/>
              <w:left w:w="15" w:type="dxa"/>
              <w:bottom w:w="0" w:type="dxa"/>
              <w:right w:w="15" w:type="dxa"/>
            </w:tcMar>
            <w:hideMark/>
          </w:tcPr>
          <w:p w14:paraId="4427DFD0" w14:textId="77777777" w:rsidR="00180976" w:rsidRPr="006F4C96" w:rsidRDefault="00180976" w:rsidP="008C738E">
            <w:pPr>
              <w:spacing w:after="0" w:line="480" w:lineRule="auto"/>
              <w:jc w:val="center"/>
              <w:rPr>
                <w:rFonts w:ascii="Times New Roman" w:hAnsi="Times New Roman" w:cs="Times New Roman"/>
                <w:sz w:val="20"/>
                <w:szCs w:val="20"/>
              </w:rPr>
            </w:pPr>
          </w:p>
        </w:tc>
        <w:tc>
          <w:tcPr>
            <w:tcW w:w="1590" w:type="dxa"/>
            <w:shd w:val="clear" w:color="auto" w:fill="auto"/>
            <w:noWrap/>
            <w:tcMar>
              <w:top w:w="15" w:type="dxa"/>
              <w:left w:w="15" w:type="dxa"/>
              <w:bottom w:w="0" w:type="dxa"/>
              <w:right w:w="15" w:type="dxa"/>
            </w:tcMar>
            <w:hideMark/>
          </w:tcPr>
          <w:p w14:paraId="48C2142A" w14:textId="77777777" w:rsidR="00180976" w:rsidRPr="006F4C96" w:rsidRDefault="00180976" w:rsidP="008C738E">
            <w:pPr>
              <w:spacing w:after="0" w:line="480" w:lineRule="auto"/>
              <w:jc w:val="center"/>
              <w:rPr>
                <w:rFonts w:ascii="Times New Roman" w:hAnsi="Times New Roman" w:cs="Times New Roman"/>
                <w:sz w:val="20"/>
                <w:szCs w:val="20"/>
              </w:rPr>
            </w:pPr>
          </w:p>
        </w:tc>
      </w:tr>
      <w:tr w:rsidR="006F4C96" w:rsidRPr="006F4C96" w14:paraId="5AD6628D" w14:textId="77777777" w:rsidTr="007A4187">
        <w:trPr>
          <w:trHeight w:val="285"/>
          <w:jc w:val="center"/>
        </w:trPr>
        <w:tc>
          <w:tcPr>
            <w:tcW w:w="2835" w:type="dxa"/>
            <w:shd w:val="clear" w:color="auto" w:fill="auto"/>
            <w:noWrap/>
            <w:tcMar>
              <w:top w:w="15" w:type="dxa"/>
              <w:left w:w="15" w:type="dxa"/>
              <w:bottom w:w="0" w:type="dxa"/>
              <w:right w:w="15" w:type="dxa"/>
            </w:tcMar>
            <w:hideMark/>
          </w:tcPr>
          <w:p w14:paraId="1F692195" w14:textId="34B73A66" w:rsidR="00180976" w:rsidRPr="006F4C96" w:rsidRDefault="000616C3"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 xml:space="preserve">n </w:t>
            </w:r>
            <w:r w:rsidR="00180976" w:rsidRPr="006F4C96">
              <w:rPr>
                <w:rFonts w:ascii="Times New Roman" w:hAnsi="Times New Roman" w:cs="Times New Roman"/>
                <w:sz w:val="20"/>
                <w:szCs w:val="20"/>
              </w:rPr>
              <w:t>(%)</w:t>
            </w:r>
          </w:p>
        </w:tc>
        <w:tc>
          <w:tcPr>
            <w:tcW w:w="2109" w:type="dxa"/>
            <w:shd w:val="clear" w:color="auto" w:fill="auto"/>
            <w:noWrap/>
            <w:tcMar>
              <w:top w:w="15" w:type="dxa"/>
              <w:left w:w="15" w:type="dxa"/>
              <w:bottom w:w="0" w:type="dxa"/>
              <w:right w:w="15" w:type="dxa"/>
            </w:tcMar>
            <w:hideMark/>
          </w:tcPr>
          <w:p w14:paraId="1F3A0D73"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107,813 (53)</w:t>
            </w:r>
          </w:p>
        </w:tc>
        <w:tc>
          <w:tcPr>
            <w:tcW w:w="2002" w:type="dxa"/>
            <w:shd w:val="clear" w:color="auto" w:fill="auto"/>
            <w:noWrap/>
            <w:tcMar>
              <w:top w:w="15" w:type="dxa"/>
              <w:left w:w="15" w:type="dxa"/>
              <w:bottom w:w="0" w:type="dxa"/>
              <w:right w:w="15" w:type="dxa"/>
            </w:tcMar>
            <w:hideMark/>
          </w:tcPr>
          <w:p w14:paraId="1122B0B9"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86,496 (43)</w:t>
            </w:r>
          </w:p>
        </w:tc>
        <w:tc>
          <w:tcPr>
            <w:tcW w:w="1590" w:type="dxa"/>
            <w:shd w:val="clear" w:color="auto" w:fill="auto"/>
            <w:noWrap/>
            <w:tcMar>
              <w:top w:w="15" w:type="dxa"/>
              <w:left w:w="15" w:type="dxa"/>
              <w:bottom w:w="0" w:type="dxa"/>
              <w:right w:w="15" w:type="dxa"/>
            </w:tcMar>
            <w:hideMark/>
          </w:tcPr>
          <w:p w14:paraId="7AE268AB" w14:textId="6FFF6982"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8,082 (4</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w:t>
            </w:r>
          </w:p>
        </w:tc>
      </w:tr>
      <w:tr w:rsidR="006F4C96" w:rsidRPr="006F4C96" w14:paraId="08EDE092" w14:textId="77777777" w:rsidTr="007A4187">
        <w:trPr>
          <w:trHeight w:val="285"/>
          <w:jc w:val="center"/>
        </w:trPr>
        <w:tc>
          <w:tcPr>
            <w:tcW w:w="2835" w:type="dxa"/>
            <w:shd w:val="clear" w:color="auto" w:fill="auto"/>
            <w:noWrap/>
            <w:tcMar>
              <w:top w:w="15" w:type="dxa"/>
              <w:left w:w="15" w:type="dxa"/>
              <w:bottom w:w="0" w:type="dxa"/>
              <w:right w:w="15" w:type="dxa"/>
            </w:tcMar>
            <w:hideMark/>
          </w:tcPr>
          <w:p w14:paraId="6D8FB3EE" w14:textId="77777777" w:rsidR="00180976" w:rsidRPr="006F4C96" w:rsidRDefault="00180976"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Age, years</w:t>
            </w:r>
          </w:p>
        </w:tc>
        <w:tc>
          <w:tcPr>
            <w:tcW w:w="2109" w:type="dxa"/>
            <w:shd w:val="clear" w:color="auto" w:fill="auto"/>
            <w:noWrap/>
            <w:tcMar>
              <w:top w:w="15" w:type="dxa"/>
              <w:left w:w="15" w:type="dxa"/>
              <w:bottom w:w="0" w:type="dxa"/>
              <w:right w:w="15" w:type="dxa"/>
            </w:tcMar>
            <w:hideMark/>
          </w:tcPr>
          <w:p w14:paraId="3CF6A334"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57 (49; 63)</w:t>
            </w:r>
          </w:p>
        </w:tc>
        <w:tc>
          <w:tcPr>
            <w:tcW w:w="2002" w:type="dxa"/>
            <w:shd w:val="clear" w:color="auto" w:fill="auto"/>
            <w:noWrap/>
            <w:tcMar>
              <w:top w:w="15" w:type="dxa"/>
              <w:left w:w="15" w:type="dxa"/>
              <w:bottom w:w="0" w:type="dxa"/>
              <w:right w:w="15" w:type="dxa"/>
            </w:tcMar>
            <w:hideMark/>
          </w:tcPr>
          <w:p w14:paraId="5CDFD18A"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59 (51; 64)</w:t>
            </w:r>
          </w:p>
        </w:tc>
        <w:tc>
          <w:tcPr>
            <w:tcW w:w="1590" w:type="dxa"/>
            <w:shd w:val="clear" w:color="auto" w:fill="auto"/>
            <w:noWrap/>
            <w:tcMar>
              <w:top w:w="15" w:type="dxa"/>
              <w:left w:w="15" w:type="dxa"/>
              <w:bottom w:w="0" w:type="dxa"/>
              <w:right w:w="15" w:type="dxa"/>
            </w:tcMar>
            <w:hideMark/>
          </w:tcPr>
          <w:p w14:paraId="11767832"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60 (54; 65)</w:t>
            </w:r>
          </w:p>
        </w:tc>
      </w:tr>
      <w:tr w:rsidR="006F4C96" w:rsidRPr="006F4C96" w14:paraId="7D480B33" w14:textId="77777777" w:rsidTr="007A4187">
        <w:trPr>
          <w:trHeight w:val="285"/>
          <w:jc w:val="center"/>
        </w:trPr>
        <w:tc>
          <w:tcPr>
            <w:tcW w:w="2835" w:type="dxa"/>
            <w:shd w:val="clear" w:color="auto" w:fill="auto"/>
            <w:noWrap/>
            <w:tcMar>
              <w:top w:w="15" w:type="dxa"/>
              <w:left w:w="15" w:type="dxa"/>
              <w:bottom w:w="0" w:type="dxa"/>
              <w:right w:w="15" w:type="dxa"/>
            </w:tcMar>
            <w:hideMark/>
          </w:tcPr>
          <w:p w14:paraId="28CD02AE"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40 to 49, n (%)</w:t>
            </w:r>
          </w:p>
        </w:tc>
        <w:tc>
          <w:tcPr>
            <w:tcW w:w="2109" w:type="dxa"/>
            <w:shd w:val="clear" w:color="auto" w:fill="auto"/>
            <w:noWrap/>
            <w:tcMar>
              <w:top w:w="15" w:type="dxa"/>
              <w:left w:w="15" w:type="dxa"/>
              <w:bottom w:w="0" w:type="dxa"/>
              <w:right w:w="15" w:type="dxa"/>
            </w:tcMar>
            <w:hideMark/>
          </w:tcPr>
          <w:p w14:paraId="5BEC852E"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26,964 (58)</w:t>
            </w:r>
          </w:p>
        </w:tc>
        <w:tc>
          <w:tcPr>
            <w:tcW w:w="2002" w:type="dxa"/>
            <w:shd w:val="clear" w:color="auto" w:fill="auto"/>
            <w:noWrap/>
            <w:tcMar>
              <w:top w:w="15" w:type="dxa"/>
              <w:left w:w="15" w:type="dxa"/>
              <w:bottom w:w="0" w:type="dxa"/>
              <w:right w:w="15" w:type="dxa"/>
            </w:tcMar>
            <w:hideMark/>
          </w:tcPr>
          <w:p w14:paraId="1BBE29DA"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18,571 (40)</w:t>
            </w:r>
          </w:p>
        </w:tc>
        <w:tc>
          <w:tcPr>
            <w:tcW w:w="1590" w:type="dxa"/>
            <w:shd w:val="clear" w:color="auto" w:fill="auto"/>
            <w:noWrap/>
            <w:tcMar>
              <w:top w:w="15" w:type="dxa"/>
              <w:left w:w="15" w:type="dxa"/>
              <w:bottom w:w="0" w:type="dxa"/>
              <w:right w:w="15" w:type="dxa"/>
            </w:tcMar>
            <w:hideMark/>
          </w:tcPr>
          <w:p w14:paraId="69585880" w14:textId="347F8C6D"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1,202 (2</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6)</w:t>
            </w:r>
          </w:p>
        </w:tc>
      </w:tr>
      <w:tr w:rsidR="006F4C96" w:rsidRPr="006F4C96" w14:paraId="109E5F30" w14:textId="77777777" w:rsidTr="007A4187">
        <w:trPr>
          <w:trHeight w:val="285"/>
          <w:jc w:val="center"/>
        </w:trPr>
        <w:tc>
          <w:tcPr>
            <w:tcW w:w="2835" w:type="dxa"/>
            <w:shd w:val="clear" w:color="auto" w:fill="auto"/>
            <w:noWrap/>
            <w:tcMar>
              <w:top w:w="15" w:type="dxa"/>
              <w:left w:w="15" w:type="dxa"/>
              <w:bottom w:w="0" w:type="dxa"/>
              <w:right w:w="15" w:type="dxa"/>
            </w:tcMar>
            <w:hideMark/>
          </w:tcPr>
          <w:p w14:paraId="4FE2A886"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50 to 59, n (%)</w:t>
            </w:r>
          </w:p>
        </w:tc>
        <w:tc>
          <w:tcPr>
            <w:tcW w:w="2109" w:type="dxa"/>
            <w:shd w:val="clear" w:color="auto" w:fill="auto"/>
            <w:noWrap/>
            <w:tcMar>
              <w:top w:w="15" w:type="dxa"/>
              <w:left w:w="15" w:type="dxa"/>
              <w:bottom w:w="0" w:type="dxa"/>
              <w:right w:w="15" w:type="dxa"/>
            </w:tcMar>
            <w:hideMark/>
          </w:tcPr>
          <w:p w14:paraId="45680667"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35,797 (55)</w:t>
            </w:r>
          </w:p>
        </w:tc>
        <w:tc>
          <w:tcPr>
            <w:tcW w:w="2002" w:type="dxa"/>
            <w:shd w:val="clear" w:color="auto" w:fill="auto"/>
            <w:noWrap/>
            <w:tcMar>
              <w:top w:w="15" w:type="dxa"/>
              <w:left w:w="15" w:type="dxa"/>
              <w:bottom w:w="0" w:type="dxa"/>
              <w:right w:w="15" w:type="dxa"/>
            </w:tcMar>
            <w:hideMark/>
          </w:tcPr>
          <w:p w14:paraId="42CA8292"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26,488 (41)</w:t>
            </w:r>
          </w:p>
        </w:tc>
        <w:tc>
          <w:tcPr>
            <w:tcW w:w="1590" w:type="dxa"/>
            <w:shd w:val="clear" w:color="auto" w:fill="auto"/>
            <w:noWrap/>
            <w:tcMar>
              <w:top w:w="15" w:type="dxa"/>
              <w:left w:w="15" w:type="dxa"/>
              <w:bottom w:w="0" w:type="dxa"/>
              <w:right w:w="15" w:type="dxa"/>
            </w:tcMar>
            <w:hideMark/>
          </w:tcPr>
          <w:p w14:paraId="6DFFFD1E" w14:textId="1C3AF02A"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2,462 (3</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8)</w:t>
            </w:r>
          </w:p>
        </w:tc>
      </w:tr>
      <w:tr w:rsidR="006F4C96" w:rsidRPr="006F4C96" w14:paraId="48985335" w14:textId="77777777" w:rsidTr="007A4187">
        <w:trPr>
          <w:trHeight w:val="285"/>
          <w:jc w:val="center"/>
        </w:trPr>
        <w:tc>
          <w:tcPr>
            <w:tcW w:w="2835" w:type="dxa"/>
            <w:shd w:val="clear" w:color="auto" w:fill="auto"/>
            <w:noWrap/>
            <w:tcMar>
              <w:top w:w="15" w:type="dxa"/>
              <w:left w:w="15" w:type="dxa"/>
              <w:bottom w:w="0" w:type="dxa"/>
              <w:right w:w="15" w:type="dxa"/>
            </w:tcMar>
            <w:hideMark/>
          </w:tcPr>
          <w:p w14:paraId="26B66E82"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60 to 70, n (%)</w:t>
            </w:r>
          </w:p>
        </w:tc>
        <w:tc>
          <w:tcPr>
            <w:tcW w:w="2109" w:type="dxa"/>
            <w:shd w:val="clear" w:color="auto" w:fill="auto"/>
            <w:noWrap/>
            <w:tcMar>
              <w:top w:w="15" w:type="dxa"/>
              <w:left w:w="15" w:type="dxa"/>
              <w:bottom w:w="0" w:type="dxa"/>
              <w:right w:w="15" w:type="dxa"/>
            </w:tcMar>
            <w:hideMark/>
          </w:tcPr>
          <w:p w14:paraId="3FBA424D"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45,052 (50)</w:t>
            </w:r>
          </w:p>
        </w:tc>
        <w:tc>
          <w:tcPr>
            <w:tcW w:w="2002" w:type="dxa"/>
            <w:shd w:val="clear" w:color="auto" w:fill="auto"/>
            <w:noWrap/>
            <w:tcMar>
              <w:top w:w="15" w:type="dxa"/>
              <w:left w:w="15" w:type="dxa"/>
              <w:bottom w:w="0" w:type="dxa"/>
              <w:right w:w="15" w:type="dxa"/>
            </w:tcMar>
            <w:hideMark/>
          </w:tcPr>
          <w:p w14:paraId="678E4BFA" w14:textId="7777777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41,437 (46)</w:t>
            </w:r>
          </w:p>
        </w:tc>
        <w:tc>
          <w:tcPr>
            <w:tcW w:w="1590" w:type="dxa"/>
            <w:shd w:val="clear" w:color="auto" w:fill="auto"/>
            <w:noWrap/>
            <w:tcMar>
              <w:top w:w="15" w:type="dxa"/>
              <w:left w:w="15" w:type="dxa"/>
              <w:bottom w:w="0" w:type="dxa"/>
              <w:right w:w="15" w:type="dxa"/>
            </w:tcMar>
            <w:hideMark/>
          </w:tcPr>
          <w:p w14:paraId="5905A503" w14:textId="1C1C4870"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4,418 (4</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w:t>
            </w:r>
          </w:p>
        </w:tc>
      </w:tr>
      <w:tr w:rsidR="006F4C96" w:rsidRPr="006F4C96" w14:paraId="36FE4BC5" w14:textId="77777777" w:rsidTr="00180976">
        <w:trPr>
          <w:trHeight w:val="285"/>
          <w:jc w:val="center"/>
        </w:trPr>
        <w:tc>
          <w:tcPr>
            <w:tcW w:w="2835" w:type="dxa"/>
            <w:shd w:val="clear" w:color="auto" w:fill="auto"/>
            <w:noWrap/>
            <w:tcMar>
              <w:top w:w="15" w:type="dxa"/>
              <w:left w:w="15" w:type="dxa"/>
              <w:bottom w:w="0" w:type="dxa"/>
              <w:right w:w="15" w:type="dxa"/>
            </w:tcMar>
            <w:hideMark/>
          </w:tcPr>
          <w:p w14:paraId="16BD0068" w14:textId="60351339" w:rsidR="00180976" w:rsidRPr="006F4C96" w:rsidRDefault="00180976" w:rsidP="008C738E">
            <w:pPr>
              <w:spacing w:after="0" w:line="480" w:lineRule="auto"/>
              <w:ind w:right="126"/>
              <w:rPr>
                <w:rFonts w:ascii="Times New Roman" w:hAnsi="Times New Roman" w:cs="Times New Roman"/>
                <w:sz w:val="20"/>
                <w:szCs w:val="20"/>
              </w:rPr>
            </w:pPr>
            <w:r w:rsidRPr="006F4C96">
              <w:rPr>
                <w:rFonts w:ascii="Times New Roman" w:hAnsi="Times New Roman" w:cs="Times New Roman"/>
                <w:sz w:val="20"/>
                <w:szCs w:val="20"/>
              </w:rPr>
              <w:t>LTL, SD</w:t>
            </w:r>
          </w:p>
        </w:tc>
        <w:tc>
          <w:tcPr>
            <w:tcW w:w="2109" w:type="dxa"/>
            <w:shd w:val="clear" w:color="auto" w:fill="auto"/>
            <w:noWrap/>
            <w:tcMar>
              <w:top w:w="15" w:type="dxa"/>
              <w:left w:w="15" w:type="dxa"/>
              <w:bottom w:w="0" w:type="dxa"/>
              <w:right w:w="15" w:type="dxa"/>
            </w:tcMar>
          </w:tcPr>
          <w:p w14:paraId="6BC55BB0" w14:textId="3E247C05" w:rsidR="00180976" w:rsidRPr="006F4C96" w:rsidRDefault="00180976" w:rsidP="008C738E">
            <w:pPr>
              <w:spacing w:after="0" w:line="480" w:lineRule="auto"/>
              <w:jc w:val="center"/>
              <w:rPr>
                <w:rFonts w:ascii="Times New Roman" w:hAnsi="Times New Roman" w:cs="Times New Roman"/>
                <w:sz w:val="20"/>
                <w:szCs w:val="20"/>
              </w:rPr>
            </w:pPr>
          </w:p>
        </w:tc>
        <w:tc>
          <w:tcPr>
            <w:tcW w:w="2002" w:type="dxa"/>
            <w:shd w:val="clear" w:color="auto" w:fill="auto"/>
            <w:noWrap/>
            <w:tcMar>
              <w:top w:w="15" w:type="dxa"/>
              <w:left w:w="15" w:type="dxa"/>
              <w:bottom w:w="0" w:type="dxa"/>
              <w:right w:w="15" w:type="dxa"/>
            </w:tcMar>
          </w:tcPr>
          <w:p w14:paraId="0D5B5AD6" w14:textId="18B6A5E2" w:rsidR="00180976" w:rsidRPr="006F4C96" w:rsidRDefault="00180976" w:rsidP="008C738E">
            <w:pPr>
              <w:spacing w:after="0" w:line="480" w:lineRule="auto"/>
              <w:jc w:val="center"/>
              <w:rPr>
                <w:rFonts w:ascii="Times New Roman" w:hAnsi="Times New Roman" w:cs="Times New Roman"/>
                <w:sz w:val="20"/>
                <w:szCs w:val="20"/>
              </w:rPr>
            </w:pPr>
          </w:p>
        </w:tc>
        <w:tc>
          <w:tcPr>
            <w:tcW w:w="1590" w:type="dxa"/>
            <w:shd w:val="clear" w:color="auto" w:fill="auto"/>
            <w:noWrap/>
            <w:tcMar>
              <w:top w:w="15" w:type="dxa"/>
              <w:left w:w="15" w:type="dxa"/>
              <w:bottom w:w="0" w:type="dxa"/>
              <w:right w:w="15" w:type="dxa"/>
            </w:tcMar>
          </w:tcPr>
          <w:p w14:paraId="04B88CCD" w14:textId="32068F51" w:rsidR="00180976" w:rsidRPr="006F4C96" w:rsidRDefault="00180976" w:rsidP="008C738E">
            <w:pPr>
              <w:spacing w:after="0" w:line="480" w:lineRule="auto"/>
              <w:jc w:val="center"/>
              <w:rPr>
                <w:rFonts w:ascii="Times New Roman" w:hAnsi="Times New Roman" w:cs="Times New Roman"/>
                <w:sz w:val="20"/>
                <w:szCs w:val="20"/>
              </w:rPr>
            </w:pPr>
          </w:p>
        </w:tc>
      </w:tr>
      <w:tr w:rsidR="006F4C96" w:rsidRPr="006F4C96" w14:paraId="6CFBC2AD" w14:textId="77777777" w:rsidTr="007A4187">
        <w:trPr>
          <w:trHeight w:val="285"/>
          <w:jc w:val="center"/>
        </w:trPr>
        <w:tc>
          <w:tcPr>
            <w:tcW w:w="2835" w:type="dxa"/>
            <w:shd w:val="clear" w:color="auto" w:fill="auto"/>
            <w:noWrap/>
            <w:tcMar>
              <w:top w:w="15" w:type="dxa"/>
              <w:left w:w="15" w:type="dxa"/>
              <w:bottom w:w="0" w:type="dxa"/>
              <w:right w:w="15" w:type="dxa"/>
            </w:tcMar>
          </w:tcPr>
          <w:p w14:paraId="18DB295E" w14:textId="28D378BF"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Overall</w:t>
            </w:r>
          </w:p>
        </w:tc>
        <w:tc>
          <w:tcPr>
            <w:tcW w:w="2109" w:type="dxa"/>
            <w:shd w:val="clear" w:color="auto" w:fill="auto"/>
            <w:noWrap/>
            <w:tcMar>
              <w:top w:w="15" w:type="dxa"/>
              <w:left w:w="15" w:type="dxa"/>
              <w:bottom w:w="0" w:type="dxa"/>
              <w:right w:w="15" w:type="dxa"/>
            </w:tcMar>
          </w:tcPr>
          <w:p w14:paraId="2ACEA7F5" w14:textId="0111EAFC"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07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98)</w:t>
            </w:r>
          </w:p>
        </w:tc>
        <w:tc>
          <w:tcPr>
            <w:tcW w:w="2002" w:type="dxa"/>
            <w:shd w:val="clear" w:color="auto" w:fill="auto"/>
            <w:noWrap/>
            <w:tcMar>
              <w:top w:w="15" w:type="dxa"/>
              <w:left w:w="15" w:type="dxa"/>
              <w:bottom w:w="0" w:type="dxa"/>
              <w:right w:w="15" w:type="dxa"/>
            </w:tcMar>
          </w:tcPr>
          <w:p w14:paraId="550E2D4E" w14:textId="2124A9C0"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99)</w:t>
            </w:r>
          </w:p>
        </w:tc>
        <w:tc>
          <w:tcPr>
            <w:tcW w:w="1590" w:type="dxa"/>
            <w:shd w:val="clear" w:color="auto" w:fill="auto"/>
            <w:noWrap/>
            <w:tcMar>
              <w:top w:w="15" w:type="dxa"/>
              <w:left w:w="15" w:type="dxa"/>
              <w:bottom w:w="0" w:type="dxa"/>
              <w:right w:w="15" w:type="dxa"/>
            </w:tcMar>
          </w:tcPr>
          <w:p w14:paraId="1BECF83B" w14:textId="52BF09BB"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28 (1</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01)</w:t>
            </w:r>
          </w:p>
        </w:tc>
      </w:tr>
      <w:tr w:rsidR="006F4C96" w:rsidRPr="006F4C96" w14:paraId="0A24595A" w14:textId="77777777" w:rsidTr="007A4187">
        <w:trPr>
          <w:trHeight w:val="285"/>
          <w:jc w:val="center"/>
        </w:trPr>
        <w:tc>
          <w:tcPr>
            <w:tcW w:w="2835" w:type="dxa"/>
            <w:shd w:val="clear" w:color="auto" w:fill="auto"/>
            <w:noWrap/>
            <w:tcMar>
              <w:top w:w="15" w:type="dxa"/>
              <w:left w:w="15" w:type="dxa"/>
              <w:bottom w:w="0" w:type="dxa"/>
              <w:right w:w="15" w:type="dxa"/>
            </w:tcMar>
            <w:hideMark/>
          </w:tcPr>
          <w:p w14:paraId="54ADA05A"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40 to 49</w:t>
            </w:r>
          </w:p>
        </w:tc>
        <w:tc>
          <w:tcPr>
            <w:tcW w:w="2109" w:type="dxa"/>
            <w:shd w:val="clear" w:color="auto" w:fill="auto"/>
            <w:noWrap/>
            <w:tcMar>
              <w:top w:w="15" w:type="dxa"/>
              <w:left w:w="15" w:type="dxa"/>
              <w:bottom w:w="0" w:type="dxa"/>
              <w:right w:w="15" w:type="dxa"/>
            </w:tcMar>
            <w:hideMark/>
          </w:tcPr>
          <w:p w14:paraId="23ED8A18" w14:textId="4548C47A"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96)</w:t>
            </w:r>
          </w:p>
        </w:tc>
        <w:tc>
          <w:tcPr>
            <w:tcW w:w="2002" w:type="dxa"/>
            <w:shd w:val="clear" w:color="auto" w:fill="auto"/>
            <w:noWrap/>
            <w:tcMar>
              <w:top w:w="15" w:type="dxa"/>
              <w:left w:w="15" w:type="dxa"/>
              <w:bottom w:w="0" w:type="dxa"/>
              <w:right w:w="15" w:type="dxa"/>
            </w:tcMar>
            <w:hideMark/>
          </w:tcPr>
          <w:p w14:paraId="6AD775AF" w14:textId="6E6F7E22"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21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1590" w:type="dxa"/>
            <w:shd w:val="clear" w:color="auto" w:fill="auto"/>
            <w:noWrap/>
            <w:tcMar>
              <w:top w:w="15" w:type="dxa"/>
              <w:left w:w="15" w:type="dxa"/>
              <w:bottom w:w="0" w:type="dxa"/>
              <w:right w:w="15" w:type="dxa"/>
            </w:tcMar>
            <w:hideMark/>
          </w:tcPr>
          <w:p w14:paraId="66CAB8E7" w14:textId="2778C37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11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96)</w:t>
            </w:r>
          </w:p>
        </w:tc>
      </w:tr>
      <w:tr w:rsidR="006F4C96" w:rsidRPr="006F4C96" w14:paraId="1689B7A2" w14:textId="77777777" w:rsidTr="007A4187">
        <w:trPr>
          <w:trHeight w:val="285"/>
          <w:jc w:val="center"/>
        </w:trPr>
        <w:tc>
          <w:tcPr>
            <w:tcW w:w="2835" w:type="dxa"/>
            <w:shd w:val="clear" w:color="auto" w:fill="auto"/>
            <w:noWrap/>
            <w:tcMar>
              <w:top w:w="15" w:type="dxa"/>
              <w:left w:w="15" w:type="dxa"/>
              <w:bottom w:w="0" w:type="dxa"/>
              <w:right w:w="15" w:type="dxa"/>
            </w:tcMar>
            <w:hideMark/>
          </w:tcPr>
          <w:p w14:paraId="2F848699"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50 to 59</w:t>
            </w:r>
          </w:p>
        </w:tc>
        <w:tc>
          <w:tcPr>
            <w:tcW w:w="2109" w:type="dxa"/>
            <w:shd w:val="clear" w:color="auto" w:fill="auto"/>
            <w:noWrap/>
            <w:tcMar>
              <w:top w:w="15" w:type="dxa"/>
              <w:left w:w="15" w:type="dxa"/>
              <w:bottom w:w="0" w:type="dxa"/>
              <w:right w:w="15" w:type="dxa"/>
            </w:tcMar>
            <w:hideMark/>
          </w:tcPr>
          <w:p w14:paraId="0A2C5834" w14:textId="2F34E7C7"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03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96)</w:t>
            </w:r>
          </w:p>
        </w:tc>
        <w:tc>
          <w:tcPr>
            <w:tcW w:w="2002" w:type="dxa"/>
            <w:shd w:val="clear" w:color="auto" w:fill="auto"/>
            <w:noWrap/>
            <w:tcMar>
              <w:top w:w="15" w:type="dxa"/>
              <w:left w:w="15" w:type="dxa"/>
              <w:bottom w:w="0" w:type="dxa"/>
              <w:right w:w="15" w:type="dxa"/>
            </w:tcMar>
            <w:hideMark/>
          </w:tcPr>
          <w:p w14:paraId="62407457" w14:textId="44C4C0D4"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05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1590" w:type="dxa"/>
            <w:shd w:val="clear" w:color="auto" w:fill="auto"/>
            <w:noWrap/>
            <w:tcMar>
              <w:top w:w="15" w:type="dxa"/>
              <w:left w:w="15" w:type="dxa"/>
              <w:bottom w:w="0" w:type="dxa"/>
              <w:right w:w="15" w:type="dxa"/>
            </w:tcMar>
            <w:hideMark/>
          </w:tcPr>
          <w:p w14:paraId="5DBC2950" w14:textId="1A8D63AC"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19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r>
      <w:tr w:rsidR="006F4C96" w:rsidRPr="006F4C96" w14:paraId="2019A832" w14:textId="77777777" w:rsidTr="007A4187">
        <w:trPr>
          <w:trHeight w:val="285"/>
          <w:jc w:val="center"/>
        </w:trPr>
        <w:tc>
          <w:tcPr>
            <w:tcW w:w="2835" w:type="dxa"/>
            <w:shd w:val="clear" w:color="auto" w:fill="auto"/>
            <w:noWrap/>
            <w:tcMar>
              <w:top w:w="15" w:type="dxa"/>
              <w:left w:w="15" w:type="dxa"/>
              <w:bottom w:w="0" w:type="dxa"/>
              <w:right w:w="15" w:type="dxa"/>
            </w:tcMar>
            <w:hideMark/>
          </w:tcPr>
          <w:p w14:paraId="3C5685F6" w14:textId="77777777" w:rsidR="00180976" w:rsidRPr="006F4C96" w:rsidRDefault="00180976" w:rsidP="008C738E">
            <w:pPr>
              <w:spacing w:after="0" w:line="480" w:lineRule="auto"/>
              <w:ind w:right="126"/>
              <w:jc w:val="right"/>
              <w:rPr>
                <w:rFonts w:ascii="Times New Roman" w:hAnsi="Times New Roman" w:cs="Times New Roman"/>
                <w:sz w:val="20"/>
                <w:szCs w:val="20"/>
              </w:rPr>
            </w:pPr>
            <w:r w:rsidRPr="006F4C96">
              <w:rPr>
                <w:rFonts w:ascii="Times New Roman" w:hAnsi="Times New Roman" w:cs="Times New Roman"/>
                <w:sz w:val="20"/>
                <w:szCs w:val="20"/>
              </w:rPr>
              <w:t>60 to 70</w:t>
            </w:r>
          </w:p>
        </w:tc>
        <w:tc>
          <w:tcPr>
            <w:tcW w:w="2109" w:type="dxa"/>
            <w:shd w:val="clear" w:color="auto" w:fill="auto"/>
            <w:noWrap/>
            <w:tcMar>
              <w:top w:w="15" w:type="dxa"/>
              <w:left w:w="15" w:type="dxa"/>
              <w:bottom w:w="0" w:type="dxa"/>
              <w:right w:w="15" w:type="dxa"/>
            </w:tcMar>
            <w:hideMark/>
          </w:tcPr>
          <w:p w14:paraId="5E5E0C7A" w14:textId="485AA699"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27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96)</w:t>
            </w:r>
          </w:p>
        </w:tc>
        <w:tc>
          <w:tcPr>
            <w:tcW w:w="2002" w:type="dxa"/>
            <w:shd w:val="clear" w:color="auto" w:fill="auto"/>
            <w:noWrap/>
            <w:tcMar>
              <w:top w:w="15" w:type="dxa"/>
              <w:left w:w="15" w:type="dxa"/>
              <w:bottom w:w="0" w:type="dxa"/>
              <w:right w:w="15" w:type="dxa"/>
            </w:tcMar>
            <w:hideMark/>
          </w:tcPr>
          <w:p w14:paraId="5911838E" w14:textId="5A91D6BA"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32 (0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97)</w:t>
            </w:r>
          </w:p>
        </w:tc>
        <w:tc>
          <w:tcPr>
            <w:tcW w:w="1590" w:type="dxa"/>
            <w:shd w:val="clear" w:color="auto" w:fill="auto"/>
            <w:noWrap/>
            <w:tcMar>
              <w:top w:w="15" w:type="dxa"/>
              <w:left w:w="15" w:type="dxa"/>
              <w:bottom w:w="0" w:type="dxa"/>
              <w:right w:w="15" w:type="dxa"/>
            </w:tcMar>
            <w:hideMark/>
          </w:tcPr>
          <w:p w14:paraId="0FF0B342" w14:textId="777D9610" w:rsidR="00180976" w:rsidRPr="006F4C96" w:rsidRDefault="00180976" w:rsidP="008C738E">
            <w:pPr>
              <w:spacing w:after="0" w:line="480" w:lineRule="auto"/>
              <w:jc w:val="center"/>
              <w:rPr>
                <w:rFonts w:ascii="Times New Roman" w:hAnsi="Times New Roman" w:cs="Times New Roman"/>
                <w:sz w:val="20"/>
                <w:szCs w:val="20"/>
              </w:rPr>
            </w:pPr>
            <w:r w:rsidRPr="006F4C96">
              <w:rPr>
                <w:rFonts w:ascii="Times New Roman" w:hAnsi="Times New Roman" w:cs="Times New Roman"/>
                <w:sz w:val="20"/>
                <w:szCs w:val="20"/>
              </w:rPr>
              <w:t>-0</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43 (1</w:t>
            </w:r>
            <w:r w:rsidR="000E3CF2" w:rsidRPr="006F4C96">
              <w:rPr>
                <w:rFonts w:ascii="Times New Roman" w:hAnsi="Times New Roman" w:cs="Times New Roman"/>
                <w:sz w:val="20"/>
                <w:szCs w:val="20"/>
              </w:rPr>
              <w:t>.</w:t>
            </w:r>
            <w:r w:rsidRPr="006F4C96">
              <w:rPr>
                <w:rFonts w:ascii="Times New Roman" w:hAnsi="Times New Roman" w:cs="Times New Roman"/>
                <w:sz w:val="20"/>
                <w:szCs w:val="20"/>
              </w:rPr>
              <w:t>01)</w:t>
            </w:r>
          </w:p>
        </w:tc>
      </w:tr>
    </w:tbl>
    <w:p w14:paraId="13564901" w14:textId="40B4E374" w:rsidR="006D58B7" w:rsidRPr="006F4C96" w:rsidRDefault="006D58B7" w:rsidP="008C738E">
      <w:pPr>
        <w:spacing w:after="0" w:line="480" w:lineRule="auto"/>
        <w:rPr>
          <w:rFonts w:ascii="Times New Roman" w:hAnsi="Times New Roman" w:cs="Times New Roman"/>
          <w:sz w:val="20"/>
        </w:rPr>
      </w:pPr>
      <w:r w:rsidRPr="006F4C96">
        <w:rPr>
          <w:rFonts w:ascii="Times New Roman" w:hAnsi="Times New Roman" w:cs="Times New Roman"/>
          <w:sz w:val="20"/>
        </w:rPr>
        <w:t xml:space="preserve"> Results shown as mean (SD) or median (1</w:t>
      </w:r>
      <w:r w:rsidRPr="006F4C96">
        <w:rPr>
          <w:rFonts w:ascii="Times New Roman" w:hAnsi="Times New Roman" w:cs="Times New Roman"/>
          <w:sz w:val="20"/>
          <w:vertAlign w:val="superscript"/>
        </w:rPr>
        <w:t>st</w:t>
      </w:r>
      <w:r w:rsidRPr="006F4C96">
        <w:rPr>
          <w:rFonts w:ascii="Times New Roman" w:hAnsi="Times New Roman" w:cs="Times New Roman"/>
          <w:sz w:val="20"/>
        </w:rPr>
        <w:t xml:space="preserve"> quartile; 3</w:t>
      </w:r>
      <w:r w:rsidRPr="006F4C96">
        <w:rPr>
          <w:rFonts w:ascii="Times New Roman" w:hAnsi="Times New Roman" w:cs="Times New Roman"/>
          <w:sz w:val="20"/>
          <w:vertAlign w:val="superscript"/>
        </w:rPr>
        <w:t>rd</w:t>
      </w:r>
      <w:r w:rsidRPr="006F4C96">
        <w:rPr>
          <w:rFonts w:ascii="Times New Roman" w:hAnsi="Times New Roman" w:cs="Times New Roman"/>
          <w:sz w:val="20"/>
        </w:rPr>
        <w:t xml:space="preserve"> quartile), unless otherwise indicated. </w:t>
      </w:r>
      <w:r w:rsidR="00180976" w:rsidRPr="006F4C96">
        <w:rPr>
          <w:rFonts w:ascii="Times New Roman" w:hAnsi="Times New Roman" w:cs="Times New Roman"/>
          <w:sz w:val="20"/>
        </w:rPr>
        <w:t>Leucocyte t</w:t>
      </w:r>
      <w:r w:rsidR="00244A53" w:rsidRPr="006F4C96">
        <w:rPr>
          <w:rFonts w:ascii="Times New Roman" w:hAnsi="Times New Roman" w:cs="Times New Roman"/>
          <w:sz w:val="20"/>
        </w:rPr>
        <w:t xml:space="preserve">elomere length (LTL) measurements are </w:t>
      </w:r>
      <w:r w:rsidR="007F3C1F" w:rsidRPr="006F4C96">
        <w:rPr>
          <w:rFonts w:ascii="Times New Roman" w:hAnsi="Times New Roman" w:cs="Times New Roman"/>
          <w:sz w:val="20"/>
        </w:rPr>
        <w:t>z–</w:t>
      </w:r>
      <w:r w:rsidR="00244A53" w:rsidRPr="006F4C96">
        <w:rPr>
          <w:rFonts w:ascii="Times New Roman" w:hAnsi="Times New Roman" w:cs="Times New Roman"/>
          <w:sz w:val="20"/>
        </w:rPr>
        <w:t>standardised</w:t>
      </w:r>
      <w:r w:rsidR="007F3C1F" w:rsidRPr="006F4C96">
        <w:rPr>
          <w:rFonts w:ascii="Times New Roman" w:hAnsi="Times New Roman" w:cs="Times New Roman"/>
          <w:sz w:val="20"/>
        </w:rPr>
        <w:t>.</w:t>
      </w:r>
    </w:p>
    <w:p w14:paraId="30D4AE3A" w14:textId="37C17A91" w:rsidR="006D58B7" w:rsidRPr="006F4C96" w:rsidRDefault="006D58B7" w:rsidP="008C738E">
      <w:pPr>
        <w:spacing w:after="0" w:line="480" w:lineRule="auto"/>
        <w:rPr>
          <w:rFonts w:ascii="Times New Roman" w:hAnsi="Times New Roman" w:cs="Times New Roman"/>
          <w:b/>
          <w:sz w:val="20"/>
        </w:rPr>
      </w:pPr>
      <w:r w:rsidRPr="006F4C96">
        <w:rPr>
          <w:rFonts w:ascii="Times New Roman" w:hAnsi="Times New Roman" w:cs="Times New Roman"/>
        </w:rPr>
        <w:br w:type="page"/>
      </w:r>
      <w:r w:rsidR="00D0041C" w:rsidRPr="006F4C96">
        <w:rPr>
          <w:rFonts w:ascii="Times New Roman" w:hAnsi="Times New Roman" w:cs="Times New Roman"/>
          <w:b/>
          <w:sz w:val="20"/>
        </w:rPr>
        <w:t>Table 4</w:t>
      </w:r>
      <w:r w:rsidRPr="006F4C96">
        <w:rPr>
          <w:rFonts w:ascii="Times New Roman" w:hAnsi="Times New Roman" w:cs="Times New Roman"/>
          <w:b/>
          <w:sz w:val="20"/>
        </w:rPr>
        <w:t>: Adjusted relative risk ratios (RRR) and 95% confidence intervals (95% CI) from a multinomial logit model</w:t>
      </w:r>
      <w:r w:rsidRPr="006F4C96">
        <w:rPr>
          <w:rFonts w:ascii="Times New Roman" w:hAnsi="Times New Roman" w:cs="Times New Roman"/>
          <w:b/>
          <w:sz w:val="20"/>
          <w:vertAlign w:val="superscript"/>
        </w:rPr>
        <w:sym w:font="Symbol" w:char="F0F2"/>
      </w:r>
      <w:r w:rsidRPr="006F4C96">
        <w:rPr>
          <w:rFonts w:ascii="Times New Roman" w:hAnsi="Times New Roman" w:cs="Times New Roman"/>
          <w:b/>
          <w:sz w:val="20"/>
        </w:rPr>
        <w:t xml:space="preserve"> on frailty.</w:t>
      </w:r>
    </w:p>
    <w:tbl>
      <w:tblPr>
        <w:tblW w:w="8468" w:type="dxa"/>
        <w:jc w:val="center"/>
        <w:tblLook w:val="04A0" w:firstRow="1" w:lastRow="0" w:firstColumn="1" w:lastColumn="0" w:noHBand="0" w:noVBand="1"/>
      </w:tblPr>
      <w:tblGrid>
        <w:gridCol w:w="3449"/>
        <w:gridCol w:w="1566"/>
        <w:gridCol w:w="919"/>
        <w:gridCol w:w="1538"/>
        <w:gridCol w:w="996"/>
      </w:tblGrid>
      <w:tr w:rsidR="006F4C96" w:rsidRPr="006F4C96" w14:paraId="738B73D5" w14:textId="77777777" w:rsidTr="003E21FF">
        <w:trPr>
          <w:trHeight w:val="285"/>
          <w:jc w:val="center"/>
        </w:trPr>
        <w:tc>
          <w:tcPr>
            <w:tcW w:w="3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420CD"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24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CB25DF" w14:textId="708F917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Pre–frail vs Non–frail</w:t>
            </w:r>
          </w:p>
        </w:tc>
        <w:tc>
          <w:tcPr>
            <w:tcW w:w="25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8CE34" w14:textId="1C79AB1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Frail vs Non–frail</w:t>
            </w:r>
          </w:p>
        </w:tc>
      </w:tr>
      <w:tr w:rsidR="006F4C96" w:rsidRPr="006F4C96" w14:paraId="611D9509"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7E7B581"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1F2AEAE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RRR (95% CI) </w:t>
            </w:r>
          </w:p>
        </w:tc>
        <w:tc>
          <w:tcPr>
            <w:tcW w:w="919" w:type="dxa"/>
            <w:tcBorders>
              <w:top w:val="nil"/>
              <w:left w:val="nil"/>
              <w:bottom w:val="single" w:sz="4" w:space="0" w:color="auto"/>
              <w:right w:val="single" w:sz="4" w:space="0" w:color="auto"/>
            </w:tcBorders>
            <w:shd w:val="clear" w:color="auto" w:fill="auto"/>
            <w:noWrap/>
            <w:vAlign w:val="center"/>
            <w:hideMark/>
          </w:tcPr>
          <w:p w14:paraId="4C82A657" w14:textId="77777777" w:rsidR="00052A2A" w:rsidRPr="006F4C96" w:rsidRDefault="00052A2A" w:rsidP="008C738E">
            <w:pPr>
              <w:spacing w:after="0" w:line="480" w:lineRule="auto"/>
              <w:jc w:val="center"/>
              <w:rPr>
                <w:rFonts w:ascii="Times New Roman" w:eastAsia="Times New Roman" w:hAnsi="Times New Roman" w:cs="Times New Roman"/>
                <w:i/>
                <w:iCs/>
                <w:sz w:val="20"/>
                <w:szCs w:val="20"/>
                <w:lang w:eastAsia="en-GB"/>
              </w:rPr>
            </w:pPr>
            <w:r w:rsidRPr="006F4C96">
              <w:rPr>
                <w:rFonts w:ascii="Times New Roman" w:eastAsia="Times New Roman" w:hAnsi="Times New Roman" w:cs="Times New Roman"/>
                <w:i/>
                <w:iCs/>
                <w:sz w:val="20"/>
                <w:szCs w:val="20"/>
                <w:lang w:eastAsia="en-GB"/>
              </w:rPr>
              <w:t>P</w:t>
            </w:r>
          </w:p>
        </w:tc>
        <w:tc>
          <w:tcPr>
            <w:tcW w:w="1538" w:type="dxa"/>
            <w:tcBorders>
              <w:top w:val="nil"/>
              <w:left w:val="nil"/>
              <w:bottom w:val="single" w:sz="4" w:space="0" w:color="auto"/>
              <w:right w:val="single" w:sz="4" w:space="0" w:color="auto"/>
            </w:tcBorders>
            <w:shd w:val="clear" w:color="auto" w:fill="auto"/>
            <w:noWrap/>
            <w:vAlign w:val="center"/>
            <w:hideMark/>
          </w:tcPr>
          <w:p w14:paraId="4B342C33"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RRR (95% CI)</w:t>
            </w:r>
          </w:p>
        </w:tc>
        <w:tc>
          <w:tcPr>
            <w:tcW w:w="996" w:type="dxa"/>
            <w:tcBorders>
              <w:top w:val="nil"/>
              <w:left w:val="nil"/>
              <w:bottom w:val="single" w:sz="4" w:space="0" w:color="auto"/>
              <w:right w:val="single" w:sz="4" w:space="0" w:color="auto"/>
            </w:tcBorders>
            <w:shd w:val="clear" w:color="auto" w:fill="auto"/>
            <w:noWrap/>
            <w:vAlign w:val="center"/>
            <w:hideMark/>
          </w:tcPr>
          <w:p w14:paraId="2B907D24" w14:textId="77777777" w:rsidR="00052A2A" w:rsidRPr="006F4C96" w:rsidRDefault="00052A2A" w:rsidP="008C738E">
            <w:pPr>
              <w:spacing w:after="0" w:line="480" w:lineRule="auto"/>
              <w:jc w:val="center"/>
              <w:rPr>
                <w:rFonts w:ascii="Times New Roman" w:eastAsia="Times New Roman" w:hAnsi="Times New Roman" w:cs="Times New Roman"/>
                <w:i/>
                <w:iCs/>
                <w:sz w:val="20"/>
                <w:szCs w:val="20"/>
                <w:lang w:eastAsia="en-GB"/>
              </w:rPr>
            </w:pPr>
            <w:r w:rsidRPr="006F4C96">
              <w:rPr>
                <w:rFonts w:ascii="Times New Roman" w:eastAsia="Times New Roman" w:hAnsi="Times New Roman" w:cs="Times New Roman"/>
                <w:i/>
                <w:iCs/>
                <w:sz w:val="20"/>
                <w:szCs w:val="20"/>
                <w:lang w:eastAsia="en-GB"/>
              </w:rPr>
              <w:t>P</w:t>
            </w:r>
          </w:p>
        </w:tc>
      </w:tr>
      <w:tr w:rsidR="006F4C96" w:rsidRPr="006F4C96" w14:paraId="18D13746"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6EB54A2"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Age, per year</w:t>
            </w:r>
          </w:p>
        </w:tc>
        <w:tc>
          <w:tcPr>
            <w:tcW w:w="1566" w:type="dxa"/>
            <w:tcBorders>
              <w:top w:val="nil"/>
              <w:left w:val="nil"/>
              <w:bottom w:val="single" w:sz="4" w:space="0" w:color="auto"/>
              <w:right w:val="single" w:sz="4" w:space="0" w:color="auto"/>
            </w:tcBorders>
            <w:shd w:val="clear" w:color="auto" w:fill="auto"/>
            <w:noWrap/>
            <w:vAlign w:val="center"/>
            <w:hideMark/>
          </w:tcPr>
          <w:p w14:paraId="4D1AA6F0" w14:textId="27F2CD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992</w:t>
            </w:r>
          </w:p>
        </w:tc>
        <w:tc>
          <w:tcPr>
            <w:tcW w:w="919" w:type="dxa"/>
            <w:tcBorders>
              <w:top w:val="nil"/>
              <w:left w:val="nil"/>
              <w:bottom w:val="single" w:sz="4" w:space="0" w:color="auto"/>
              <w:right w:val="single" w:sz="4" w:space="0" w:color="auto"/>
            </w:tcBorders>
            <w:shd w:val="clear" w:color="auto" w:fill="auto"/>
            <w:noWrap/>
            <w:vAlign w:val="center"/>
            <w:hideMark/>
          </w:tcPr>
          <w:p w14:paraId="12832819" w14:textId="28C10634"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4CA5F191" w14:textId="1017C6A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032</w:t>
            </w:r>
          </w:p>
        </w:tc>
        <w:tc>
          <w:tcPr>
            <w:tcW w:w="996" w:type="dxa"/>
            <w:tcBorders>
              <w:top w:val="nil"/>
              <w:left w:val="nil"/>
              <w:bottom w:val="single" w:sz="4" w:space="0" w:color="auto"/>
              <w:right w:val="single" w:sz="4" w:space="0" w:color="auto"/>
            </w:tcBorders>
            <w:shd w:val="clear" w:color="auto" w:fill="auto"/>
            <w:noWrap/>
            <w:vAlign w:val="center"/>
            <w:hideMark/>
          </w:tcPr>
          <w:p w14:paraId="15312125" w14:textId="7B2D566C"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2F01489F"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2D424010"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61A0722A" w14:textId="2469009C"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989;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995)</w:t>
            </w:r>
          </w:p>
        </w:tc>
        <w:tc>
          <w:tcPr>
            <w:tcW w:w="919" w:type="dxa"/>
            <w:tcBorders>
              <w:top w:val="nil"/>
              <w:left w:val="nil"/>
              <w:bottom w:val="single" w:sz="4" w:space="0" w:color="auto"/>
              <w:right w:val="single" w:sz="4" w:space="0" w:color="auto"/>
            </w:tcBorders>
            <w:shd w:val="clear" w:color="auto" w:fill="auto"/>
            <w:noWrap/>
            <w:vAlign w:val="center"/>
            <w:hideMark/>
          </w:tcPr>
          <w:p w14:paraId="6348929E"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722D9DAC" w14:textId="6FF54C3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023;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041)</w:t>
            </w:r>
          </w:p>
        </w:tc>
        <w:tc>
          <w:tcPr>
            <w:tcW w:w="996" w:type="dxa"/>
            <w:tcBorders>
              <w:top w:val="nil"/>
              <w:left w:val="nil"/>
              <w:bottom w:val="single" w:sz="4" w:space="0" w:color="auto"/>
              <w:right w:val="single" w:sz="4" w:space="0" w:color="auto"/>
            </w:tcBorders>
            <w:shd w:val="clear" w:color="auto" w:fill="auto"/>
            <w:noWrap/>
            <w:vAlign w:val="center"/>
            <w:hideMark/>
          </w:tcPr>
          <w:p w14:paraId="5B06CD5D"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5CB0963A"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5F4BBB73"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Age^2</w:t>
            </w:r>
          </w:p>
        </w:tc>
        <w:tc>
          <w:tcPr>
            <w:tcW w:w="1566" w:type="dxa"/>
            <w:tcBorders>
              <w:top w:val="nil"/>
              <w:left w:val="nil"/>
              <w:bottom w:val="single" w:sz="4" w:space="0" w:color="auto"/>
              <w:right w:val="single" w:sz="4" w:space="0" w:color="auto"/>
            </w:tcBorders>
            <w:shd w:val="clear" w:color="auto" w:fill="auto"/>
            <w:noWrap/>
            <w:vAlign w:val="center"/>
            <w:hideMark/>
          </w:tcPr>
          <w:p w14:paraId="776313C0" w14:textId="3078B3B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001</w:t>
            </w:r>
          </w:p>
        </w:tc>
        <w:tc>
          <w:tcPr>
            <w:tcW w:w="919" w:type="dxa"/>
            <w:tcBorders>
              <w:top w:val="nil"/>
              <w:left w:val="nil"/>
              <w:bottom w:val="single" w:sz="4" w:space="0" w:color="auto"/>
              <w:right w:val="single" w:sz="4" w:space="0" w:color="auto"/>
            </w:tcBorders>
            <w:shd w:val="clear" w:color="auto" w:fill="auto"/>
            <w:noWrap/>
            <w:vAlign w:val="center"/>
            <w:hideMark/>
          </w:tcPr>
          <w:p w14:paraId="2EF998F3" w14:textId="21934B1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386D60D8"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p>
        </w:tc>
        <w:tc>
          <w:tcPr>
            <w:tcW w:w="996" w:type="dxa"/>
            <w:tcBorders>
              <w:top w:val="nil"/>
              <w:left w:val="nil"/>
              <w:bottom w:val="single" w:sz="4" w:space="0" w:color="auto"/>
              <w:right w:val="single" w:sz="4" w:space="0" w:color="auto"/>
            </w:tcBorders>
            <w:shd w:val="clear" w:color="auto" w:fill="auto"/>
            <w:noWrap/>
            <w:vAlign w:val="center"/>
            <w:hideMark/>
          </w:tcPr>
          <w:p w14:paraId="57290BA5" w14:textId="2AB3D85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03</w:t>
            </w:r>
          </w:p>
        </w:tc>
      </w:tr>
      <w:tr w:rsidR="006F4C96" w:rsidRPr="006F4C96" w14:paraId="7342B51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D800E60"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34B47AE0" w14:textId="421A681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001;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001)</w:t>
            </w:r>
          </w:p>
        </w:tc>
        <w:tc>
          <w:tcPr>
            <w:tcW w:w="919" w:type="dxa"/>
            <w:tcBorders>
              <w:top w:val="nil"/>
              <w:left w:val="nil"/>
              <w:bottom w:val="single" w:sz="4" w:space="0" w:color="auto"/>
              <w:right w:val="single" w:sz="4" w:space="0" w:color="auto"/>
            </w:tcBorders>
            <w:shd w:val="clear" w:color="auto" w:fill="auto"/>
            <w:noWrap/>
            <w:vAlign w:val="center"/>
            <w:hideMark/>
          </w:tcPr>
          <w:p w14:paraId="0ADAC2EA"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05742ED4" w14:textId="0A192F94"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999; 1)</w:t>
            </w:r>
          </w:p>
        </w:tc>
        <w:tc>
          <w:tcPr>
            <w:tcW w:w="996" w:type="dxa"/>
            <w:tcBorders>
              <w:top w:val="nil"/>
              <w:left w:val="nil"/>
              <w:bottom w:val="single" w:sz="4" w:space="0" w:color="auto"/>
              <w:right w:val="single" w:sz="4" w:space="0" w:color="auto"/>
            </w:tcBorders>
            <w:shd w:val="clear" w:color="auto" w:fill="auto"/>
            <w:noWrap/>
            <w:vAlign w:val="center"/>
            <w:hideMark/>
          </w:tcPr>
          <w:p w14:paraId="553527B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50C3EC08"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129D9A4"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Telomere length, per SD shorter</w:t>
            </w:r>
          </w:p>
        </w:tc>
        <w:tc>
          <w:tcPr>
            <w:tcW w:w="1566" w:type="dxa"/>
            <w:tcBorders>
              <w:top w:val="nil"/>
              <w:left w:val="nil"/>
              <w:bottom w:val="single" w:sz="4" w:space="0" w:color="auto"/>
              <w:right w:val="single" w:sz="4" w:space="0" w:color="auto"/>
            </w:tcBorders>
            <w:shd w:val="clear" w:color="auto" w:fill="auto"/>
            <w:noWrap/>
            <w:vAlign w:val="center"/>
            <w:hideMark/>
          </w:tcPr>
          <w:p w14:paraId="1D8F61E4" w14:textId="0342EAB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021</w:t>
            </w:r>
          </w:p>
        </w:tc>
        <w:tc>
          <w:tcPr>
            <w:tcW w:w="919" w:type="dxa"/>
            <w:tcBorders>
              <w:top w:val="nil"/>
              <w:left w:val="nil"/>
              <w:bottom w:val="single" w:sz="4" w:space="0" w:color="auto"/>
              <w:right w:val="single" w:sz="4" w:space="0" w:color="auto"/>
            </w:tcBorders>
            <w:shd w:val="clear" w:color="auto" w:fill="auto"/>
            <w:noWrap/>
            <w:vAlign w:val="center"/>
            <w:hideMark/>
          </w:tcPr>
          <w:p w14:paraId="20AB1E3A" w14:textId="3933B09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5FB36BF6" w14:textId="0F0B8F7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096</w:t>
            </w:r>
          </w:p>
        </w:tc>
        <w:tc>
          <w:tcPr>
            <w:tcW w:w="996" w:type="dxa"/>
            <w:tcBorders>
              <w:top w:val="nil"/>
              <w:left w:val="nil"/>
              <w:bottom w:val="single" w:sz="4" w:space="0" w:color="auto"/>
              <w:right w:val="single" w:sz="4" w:space="0" w:color="auto"/>
            </w:tcBorders>
            <w:shd w:val="clear" w:color="auto" w:fill="auto"/>
            <w:noWrap/>
            <w:vAlign w:val="center"/>
            <w:hideMark/>
          </w:tcPr>
          <w:p w14:paraId="0141B4DB" w14:textId="498ABE1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2B57D7C3"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0742CAC6"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2869C108" w14:textId="218F65B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014;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027)</w:t>
            </w:r>
          </w:p>
        </w:tc>
        <w:tc>
          <w:tcPr>
            <w:tcW w:w="919" w:type="dxa"/>
            <w:tcBorders>
              <w:top w:val="nil"/>
              <w:left w:val="nil"/>
              <w:bottom w:val="single" w:sz="4" w:space="0" w:color="auto"/>
              <w:right w:val="single" w:sz="4" w:space="0" w:color="auto"/>
            </w:tcBorders>
            <w:shd w:val="clear" w:color="auto" w:fill="auto"/>
            <w:noWrap/>
            <w:vAlign w:val="center"/>
            <w:hideMark/>
          </w:tcPr>
          <w:p w14:paraId="7C1F251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51DF1E13" w14:textId="0AE8D58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079;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113)</w:t>
            </w:r>
          </w:p>
        </w:tc>
        <w:tc>
          <w:tcPr>
            <w:tcW w:w="996" w:type="dxa"/>
            <w:tcBorders>
              <w:top w:val="nil"/>
              <w:left w:val="nil"/>
              <w:bottom w:val="single" w:sz="4" w:space="0" w:color="auto"/>
              <w:right w:val="single" w:sz="4" w:space="0" w:color="auto"/>
            </w:tcBorders>
            <w:shd w:val="clear" w:color="auto" w:fill="auto"/>
            <w:noWrap/>
            <w:vAlign w:val="center"/>
            <w:hideMark/>
          </w:tcPr>
          <w:p w14:paraId="7791B19D"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3B6B892B"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3FD13E7"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Telomere length^2</w:t>
            </w:r>
          </w:p>
        </w:tc>
        <w:tc>
          <w:tcPr>
            <w:tcW w:w="1566" w:type="dxa"/>
            <w:tcBorders>
              <w:top w:val="nil"/>
              <w:left w:val="nil"/>
              <w:bottom w:val="single" w:sz="4" w:space="0" w:color="auto"/>
              <w:right w:val="single" w:sz="4" w:space="0" w:color="auto"/>
            </w:tcBorders>
            <w:shd w:val="clear" w:color="auto" w:fill="auto"/>
            <w:noWrap/>
            <w:vAlign w:val="center"/>
            <w:hideMark/>
          </w:tcPr>
          <w:p w14:paraId="7EF16A5E" w14:textId="2154EB5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006</w:t>
            </w:r>
          </w:p>
        </w:tc>
        <w:tc>
          <w:tcPr>
            <w:tcW w:w="919" w:type="dxa"/>
            <w:tcBorders>
              <w:top w:val="nil"/>
              <w:left w:val="nil"/>
              <w:bottom w:val="single" w:sz="4" w:space="0" w:color="auto"/>
              <w:right w:val="single" w:sz="4" w:space="0" w:color="auto"/>
            </w:tcBorders>
            <w:shd w:val="clear" w:color="auto" w:fill="auto"/>
            <w:noWrap/>
            <w:vAlign w:val="center"/>
            <w:hideMark/>
          </w:tcPr>
          <w:p w14:paraId="0E8A961B" w14:textId="51D665F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003</w:t>
            </w:r>
          </w:p>
        </w:tc>
        <w:tc>
          <w:tcPr>
            <w:tcW w:w="1538" w:type="dxa"/>
            <w:tcBorders>
              <w:top w:val="nil"/>
              <w:left w:val="nil"/>
              <w:bottom w:val="single" w:sz="4" w:space="0" w:color="auto"/>
              <w:right w:val="single" w:sz="4" w:space="0" w:color="auto"/>
            </w:tcBorders>
            <w:shd w:val="clear" w:color="auto" w:fill="auto"/>
            <w:noWrap/>
            <w:vAlign w:val="center"/>
            <w:hideMark/>
          </w:tcPr>
          <w:p w14:paraId="75AD4A52" w14:textId="291389E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010</w:t>
            </w:r>
          </w:p>
        </w:tc>
        <w:tc>
          <w:tcPr>
            <w:tcW w:w="996" w:type="dxa"/>
            <w:tcBorders>
              <w:top w:val="nil"/>
              <w:left w:val="nil"/>
              <w:bottom w:val="single" w:sz="4" w:space="0" w:color="auto"/>
              <w:right w:val="single" w:sz="4" w:space="0" w:color="auto"/>
            </w:tcBorders>
            <w:shd w:val="clear" w:color="auto" w:fill="auto"/>
            <w:noWrap/>
            <w:vAlign w:val="center"/>
            <w:hideMark/>
          </w:tcPr>
          <w:p w14:paraId="140914B1" w14:textId="6D9D56F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03</w:t>
            </w:r>
          </w:p>
        </w:tc>
      </w:tr>
      <w:tr w:rsidR="006F4C96" w:rsidRPr="006F4C96" w14:paraId="503BF807"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2779F94F"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0D5E1881" w14:textId="3314DC9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002;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01)</w:t>
            </w:r>
          </w:p>
        </w:tc>
        <w:tc>
          <w:tcPr>
            <w:tcW w:w="919" w:type="dxa"/>
            <w:tcBorders>
              <w:top w:val="nil"/>
              <w:left w:val="nil"/>
              <w:bottom w:val="single" w:sz="4" w:space="0" w:color="auto"/>
              <w:right w:val="single" w:sz="4" w:space="0" w:color="auto"/>
            </w:tcBorders>
            <w:shd w:val="clear" w:color="auto" w:fill="auto"/>
            <w:noWrap/>
            <w:vAlign w:val="center"/>
            <w:hideMark/>
          </w:tcPr>
          <w:p w14:paraId="6DDEC74E"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1690EF41" w14:textId="7788284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001;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w:t>
            </w:r>
          </w:p>
        </w:tc>
        <w:tc>
          <w:tcPr>
            <w:tcW w:w="996" w:type="dxa"/>
            <w:tcBorders>
              <w:top w:val="nil"/>
              <w:left w:val="nil"/>
              <w:bottom w:val="single" w:sz="4" w:space="0" w:color="auto"/>
              <w:right w:val="single" w:sz="4" w:space="0" w:color="auto"/>
            </w:tcBorders>
            <w:shd w:val="clear" w:color="auto" w:fill="auto"/>
            <w:noWrap/>
            <w:vAlign w:val="center"/>
            <w:hideMark/>
          </w:tcPr>
          <w:p w14:paraId="51374417"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4BFBDC4B"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27A6FDEF"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Females vs Males</w:t>
            </w:r>
          </w:p>
        </w:tc>
        <w:tc>
          <w:tcPr>
            <w:tcW w:w="1566" w:type="dxa"/>
            <w:tcBorders>
              <w:top w:val="nil"/>
              <w:left w:val="nil"/>
              <w:bottom w:val="single" w:sz="4" w:space="0" w:color="auto"/>
              <w:right w:val="single" w:sz="4" w:space="0" w:color="auto"/>
            </w:tcBorders>
            <w:shd w:val="clear" w:color="auto" w:fill="auto"/>
            <w:noWrap/>
            <w:vAlign w:val="center"/>
            <w:hideMark/>
          </w:tcPr>
          <w:p w14:paraId="4C68880D" w14:textId="3D7D6AC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110</w:t>
            </w:r>
          </w:p>
        </w:tc>
        <w:tc>
          <w:tcPr>
            <w:tcW w:w="919" w:type="dxa"/>
            <w:tcBorders>
              <w:top w:val="nil"/>
              <w:left w:val="nil"/>
              <w:bottom w:val="single" w:sz="4" w:space="0" w:color="auto"/>
              <w:right w:val="single" w:sz="4" w:space="0" w:color="auto"/>
            </w:tcBorders>
            <w:shd w:val="clear" w:color="auto" w:fill="auto"/>
            <w:noWrap/>
            <w:vAlign w:val="center"/>
            <w:hideMark/>
          </w:tcPr>
          <w:p w14:paraId="61382679" w14:textId="0F7554D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4228E24C" w14:textId="2344971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538</w:t>
            </w:r>
          </w:p>
        </w:tc>
        <w:tc>
          <w:tcPr>
            <w:tcW w:w="996" w:type="dxa"/>
            <w:tcBorders>
              <w:top w:val="nil"/>
              <w:left w:val="nil"/>
              <w:bottom w:val="single" w:sz="4" w:space="0" w:color="auto"/>
              <w:right w:val="single" w:sz="4" w:space="0" w:color="auto"/>
            </w:tcBorders>
            <w:shd w:val="clear" w:color="auto" w:fill="auto"/>
            <w:noWrap/>
            <w:vAlign w:val="center"/>
            <w:hideMark/>
          </w:tcPr>
          <w:p w14:paraId="357E5E7E" w14:textId="196454A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6E8B6113"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83EFEE4"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43C53BE8" w14:textId="3B97EC5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079;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142)</w:t>
            </w:r>
          </w:p>
        </w:tc>
        <w:tc>
          <w:tcPr>
            <w:tcW w:w="919" w:type="dxa"/>
            <w:tcBorders>
              <w:top w:val="nil"/>
              <w:left w:val="nil"/>
              <w:bottom w:val="single" w:sz="4" w:space="0" w:color="auto"/>
              <w:right w:val="single" w:sz="4" w:space="0" w:color="auto"/>
            </w:tcBorders>
            <w:shd w:val="clear" w:color="auto" w:fill="auto"/>
            <w:noWrap/>
            <w:vAlign w:val="center"/>
            <w:hideMark/>
          </w:tcPr>
          <w:p w14:paraId="00980D46"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6441EFAC" w14:textId="7C7269A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420;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665)</w:t>
            </w:r>
          </w:p>
        </w:tc>
        <w:tc>
          <w:tcPr>
            <w:tcW w:w="996" w:type="dxa"/>
            <w:tcBorders>
              <w:top w:val="nil"/>
              <w:left w:val="nil"/>
              <w:bottom w:val="single" w:sz="4" w:space="0" w:color="auto"/>
              <w:right w:val="single" w:sz="4" w:space="0" w:color="auto"/>
            </w:tcBorders>
            <w:shd w:val="clear" w:color="auto" w:fill="auto"/>
            <w:noWrap/>
            <w:vAlign w:val="center"/>
            <w:hideMark/>
          </w:tcPr>
          <w:p w14:paraId="509490F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7668945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417F8F4"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Age*Females</w:t>
            </w:r>
          </w:p>
        </w:tc>
        <w:tc>
          <w:tcPr>
            <w:tcW w:w="1566" w:type="dxa"/>
            <w:tcBorders>
              <w:top w:val="nil"/>
              <w:left w:val="nil"/>
              <w:bottom w:val="single" w:sz="4" w:space="0" w:color="auto"/>
              <w:right w:val="single" w:sz="4" w:space="0" w:color="auto"/>
            </w:tcBorders>
            <w:shd w:val="clear" w:color="auto" w:fill="auto"/>
            <w:noWrap/>
            <w:vAlign w:val="center"/>
            <w:hideMark/>
          </w:tcPr>
          <w:p w14:paraId="56B6ADF0" w14:textId="4C4B8F3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004</w:t>
            </w:r>
          </w:p>
        </w:tc>
        <w:tc>
          <w:tcPr>
            <w:tcW w:w="919" w:type="dxa"/>
            <w:tcBorders>
              <w:top w:val="nil"/>
              <w:left w:val="nil"/>
              <w:bottom w:val="single" w:sz="4" w:space="0" w:color="auto"/>
              <w:right w:val="single" w:sz="4" w:space="0" w:color="auto"/>
            </w:tcBorders>
            <w:shd w:val="clear" w:color="auto" w:fill="auto"/>
            <w:noWrap/>
            <w:vAlign w:val="center"/>
            <w:hideMark/>
          </w:tcPr>
          <w:p w14:paraId="393BAF6C" w14:textId="09C14A1C"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41C596E7" w14:textId="5744B89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991</w:t>
            </w:r>
          </w:p>
        </w:tc>
        <w:tc>
          <w:tcPr>
            <w:tcW w:w="996" w:type="dxa"/>
            <w:tcBorders>
              <w:top w:val="nil"/>
              <w:left w:val="nil"/>
              <w:bottom w:val="single" w:sz="4" w:space="0" w:color="auto"/>
              <w:right w:val="single" w:sz="4" w:space="0" w:color="auto"/>
            </w:tcBorders>
            <w:shd w:val="clear" w:color="auto" w:fill="auto"/>
            <w:noWrap/>
            <w:vAlign w:val="center"/>
            <w:hideMark/>
          </w:tcPr>
          <w:p w14:paraId="543AFF7F" w14:textId="026A36F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0C33DBB2"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250F81FB"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EFA52D2" w14:textId="0565D91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003;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006)</w:t>
            </w:r>
          </w:p>
        </w:tc>
        <w:tc>
          <w:tcPr>
            <w:tcW w:w="919" w:type="dxa"/>
            <w:tcBorders>
              <w:top w:val="nil"/>
              <w:left w:val="nil"/>
              <w:bottom w:val="single" w:sz="4" w:space="0" w:color="auto"/>
              <w:right w:val="single" w:sz="4" w:space="0" w:color="auto"/>
            </w:tcBorders>
            <w:shd w:val="clear" w:color="auto" w:fill="auto"/>
            <w:noWrap/>
            <w:vAlign w:val="center"/>
            <w:hideMark/>
          </w:tcPr>
          <w:p w14:paraId="44483DEC"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227C5556" w14:textId="2EA2A1C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987;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995)</w:t>
            </w:r>
          </w:p>
        </w:tc>
        <w:tc>
          <w:tcPr>
            <w:tcW w:w="996" w:type="dxa"/>
            <w:tcBorders>
              <w:top w:val="nil"/>
              <w:left w:val="nil"/>
              <w:bottom w:val="single" w:sz="4" w:space="0" w:color="auto"/>
              <w:right w:val="single" w:sz="4" w:space="0" w:color="auto"/>
            </w:tcBorders>
            <w:shd w:val="clear" w:color="auto" w:fill="auto"/>
            <w:noWrap/>
            <w:vAlign w:val="center"/>
            <w:hideMark/>
          </w:tcPr>
          <w:p w14:paraId="16E28C7A"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296BE333"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C7FF80F"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Fifths of deprivation*</w:t>
            </w:r>
          </w:p>
        </w:tc>
        <w:tc>
          <w:tcPr>
            <w:tcW w:w="1566" w:type="dxa"/>
            <w:tcBorders>
              <w:top w:val="nil"/>
              <w:left w:val="nil"/>
              <w:bottom w:val="single" w:sz="4" w:space="0" w:color="auto"/>
              <w:right w:val="single" w:sz="4" w:space="0" w:color="auto"/>
            </w:tcBorders>
            <w:shd w:val="clear" w:color="auto" w:fill="auto"/>
            <w:noWrap/>
            <w:hideMark/>
          </w:tcPr>
          <w:p w14:paraId="145C1A5D"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19" w:type="dxa"/>
            <w:tcBorders>
              <w:top w:val="nil"/>
              <w:left w:val="nil"/>
              <w:bottom w:val="single" w:sz="4" w:space="0" w:color="auto"/>
              <w:right w:val="single" w:sz="4" w:space="0" w:color="auto"/>
            </w:tcBorders>
            <w:shd w:val="clear" w:color="auto" w:fill="auto"/>
            <w:noWrap/>
            <w:hideMark/>
          </w:tcPr>
          <w:p w14:paraId="2C6C1D21"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1538" w:type="dxa"/>
            <w:tcBorders>
              <w:top w:val="nil"/>
              <w:left w:val="nil"/>
              <w:bottom w:val="single" w:sz="4" w:space="0" w:color="auto"/>
              <w:right w:val="single" w:sz="4" w:space="0" w:color="auto"/>
            </w:tcBorders>
            <w:shd w:val="clear" w:color="auto" w:fill="auto"/>
            <w:noWrap/>
            <w:hideMark/>
          </w:tcPr>
          <w:p w14:paraId="4AA64F6F"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96" w:type="dxa"/>
            <w:tcBorders>
              <w:top w:val="nil"/>
              <w:left w:val="nil"/>
              <w:bottom w:val="single" w:sz="4" w:space="0" w:color="auto"/>
              <w:right w:val="single" w:sz="4" w:space="0" w:color="auto"/>
            </w:tcBorders>
            <w:shd w:val="clear" w:color="auto" w:fill="auto"/>
            <w:noWrap/>
            <w:hideMark/>
          </w:tcPr>
          <w:p w14:paraId="694223FF"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r>
      <w:tr w:rsidR="006F4C96" w:rsidRPr="006F4C96" w14:paraId="07CC5C50"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2AF7F525"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2nd vs 1st (least deprived)</w:t>
            </w:r>
          </w:p>
        </w:tc>
        <w:tc>
          <w:tcPr>
            <w:tcW w:w="1566" w:type="dxa"/>
            <w:tcBorders>
              <w:top w:val="nil"/>
              <w:left w:val="nil"/>
              <w:bottom w:val="single" w:sz="4" w:space="0" w:color="auto"/>
              <w:right w:val="single" w:sz="4" w:space="0" w:color="auto"/>
            </w:tcBorders>
            <w:shd w:val="clear" w:color="auto" w:fill="auto"/>
            <w:noWrap/>
            <w:vAlign w:val="center"/>
            <w:hideMark/>
          </w:tcPr>
          <w:p w14:paraId="05844936" w14:textId="302584D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100</w:t>
            </w:r>
          </w:p>
        </w:tc>
        <w:tc>
          <w:tcPr>
            <w:tcW w:w="919" w:type="dxa"/>
            <w:tcBorders>
              <w:top w:val="nil"/>
              <w:left w:val="nil"/>
              <w:bottom w:val="single" w:sz="4" w:space="0" w:color="auto"/>
              <w:right w:val="single" w:sz="4" w:space="0" w:color="auto"/>
            </w:tcBorders>
            <w:shd w:val="clear" w:color="auto" w:fill="auto"/>
            <w:noWrap/>
            <w:vAlign w:val="center"/>
            <w:hideMark/>
          </w:tcPr>
          <w:p w14:paraId="3EF95C02" w14:textId="2A6630B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7F4B85D3" w14:textId="2D683CB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306</w:t>
            </w:r>
          </w:p>
        </w:tc>
        <w:tc>
          <w:tcPr>
            <w:tcW w:w="996" w:type="dxa"/>
            <w:tcBorders>
              <w:top w:val="nil"/>
              <w:left w:val="nil"/>
              <w:bottom w:val="single" w:sz="4" w:space="0" w:color="auto"/>
              <w:right w:val="single" w:sz="4" w:space="0" w:color="auto"/>
            </w:tcBorders>
            <w:shd w:val="clear" w:color="auto" w:fill="auto"/>
            <w:noWrap/>
            <w:vAlign w:val="center"/>
            <w:hideMark/>
          </w:tcPr>
          <w:p w14:paraId="0F59EC56" w14:textId="12EF1174"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15F4B023"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5FE1DF6"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40D04959" w14:textId="7A03E6F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082;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119)</w:t>
            </w:r>
          </w:p>
        </w:tc>
        <w:tc>
          <w:tcPr>
            <w:tcW w:w="919" w:type="dxa"/>
            <w:tcBorders>
              <w:top w:val="nil"/>
              <w:left w:val="nil"/>
              <w:bottom w:val="single" w:sz="4" w:space="0" w:color="auto"/>
              <w:right w:val="single" w:sz="4" w:space="0" w:color="auto"/>
            </w:tcBorders>
            <w:shd w:val="clear" w:color="auto" w:fill="auto"/>
            <w:noWrap/>
            <w:vAlign w:val="center"/>
            <w:hideMark/>
          </w:tcPr>
          <w:p w14:paraId="119AB327"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76D78E25" w14:textId="2AA694E4"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244;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371)</w:t>
            </w:r>
          </w:p>
        </w:tc>
        <w:tc>
          <w:tcPr>
            <w:tcW w:w="996" w:type="dxa"/>
            <w:tcBorders>
              <w:top w:val="nil"/>
              <w:left w:val="nil"/>
              <w:bottom w:val="single" w:sz="4" w:space="0" w:color="auto"/>
              <w:right w:val="single" w:sz="4" w:space="0" w:color="auto"/>
            </w:tcBorders>
            <w:shd w:val="clear" w:color="auto" w:fill="auto"/>
            <w:noWrap/>
            <w:vAlign w:val="center"/>
            <w:hideMark/>
          </w:tcPr>
          <w:p w14:paraId="46751D5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4619DAA2"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715F465"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3rd vs 1st</w:t>
            </w:r>
          </w:p>
        </w:tc>
        <w:tc>
          <w:tcPr>
            <w:tcW w:w="1566" w:type="dxa"/>
            <w:tcBorders>
              <w:top w:val="nil"/>
              <w:left w:val="nil"/>
              <w:bottom w:val="single" w:sz="4" w:space="0" w:color="auto"/>
              <w:right w:val="single" w:sz="4" w:space="0" w:color="auto"/>
            </w:tcBorders>
            <w:shd w:val="clear" w:color="auto" w:fill="auto"/>
            <w:noWrap/>
            <w:vAlign w:val="center"/>
            <w:hideMark/>
          </w:tcPr>
          <w:p w14:paraId="504DC40C" w14:textId="53AABF0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206</w:t>
            </w:r>
          </w:p>
        </w:tc>
        <w:tc>
          <w:tcPr>
            <w:tcW w:w="919" w:type="dxa"/>
            <w:tcBorders>
              <w:top w:val="nil"/>
              <w:left w:val="nil"/>
              <w:bottom w:val="single" w:sz="4" w:space="0" w:color="auto"/>
              <w:right w:val="single" w:sz="4" w:space="0" w:color="auto"/>
            </w:tcBorders>
            <w:shd w:val="clear" w:color="auto" w:fill="auto"/>
            <w:noWrap/>
            <w:vAlign w:val="center"/>
            <w:hideMark/>
          </w:tcPr>
          <w:p w14:paraId="5266D5C7" w14:textId="586E617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4E240FD4" w14:textId="1D9E768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658</w:t>
            </w:r>
          </w:p>
        </w:tc>
        <w:tc>
          <w:tcPr>
            <w:tcW w:w="996" w:type="dxa"/>
            <w:tcBorders>
              <w:top w:val="nil"/>
              <w:left w:val="nil"/>
              <w:bottom w:val="single" w:sz="4" w:space="0" w:color="auto"/>
              <w:right w:val="single" w:sz="4" w:space="0" w:color="auto"/>
            </w:tcBorders>
            <w:shd w:val="clear" w:color="auto" w:fill="auto"/>
            <w:noWrap/>
            <w:vAlign w:val="center"/>
            <w:hideMark/>
          </w:tcPr>
          <w:p w14:paraId="58801E5E" w14:textId="6336513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19B0E767"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8E55490"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40E9FEBD" w14:textId="0469DEA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184;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229)</w:t>
            </w:r>
          </w:p>
        </w:tc>
        <w:tc>
          <w:tcPr>
            <w:tcW w:w="919" w:type="dxa"/>
            <w:tcBorders>
              <w:top w:val="nil"/>
              <w:left w:val="nil"/>
              <w:bottom w:val="single" w:sz="4" w:space="0" w:color="auto"/>
              <w:right w:val="single" w:sz="4" w:space="0" w:color="auto"/>
            </w:tcBorders>
            <w:shd w:val="clear" w:color="auto" w:fill="auto"/>
            <w:noWrap/>
            <w:vAlign w:val="center"/>
            <w:hideMark/>
          </w:tcPr>
          <w:p w14:paraId="6BDE7E1C"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5198F620" w14:textId="6A5BB4C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578;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741)</w:t>
            </w:r>
          </w:p>
        </w:tc>
        <w:tc>
          <w:tcPr>
            <w:tcW w:w="996" w:type="dxa"/>
            <w:tcBorders>
              <w:top w:val="nil"/>
              <w:left w:val="nil"/>
              <w:bottom w:val="single" w:sz="4" w:space="0" w:color="auto"/>
              <w:right w:val="single" w:sz="4" w:space="0" w:color="auto"/>
            </w:tcBorders>
            <w:shd w:val="clear" w:color="auto" w:fill="auto"/>
            <w:noWrap/>
            <w:vAlign w:val="center"/>
            <w:hideMark/>
          </w:tcPr>
          <w:p w14:paraId="74271080"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3A5CB7CA"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2AA1949"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4th vs 1st</w:t>
            </w:r>
          </w:p>
        </w:tc>
        <w:tc>
          <w:tcPr>
            <w:tcW w:w="1566" w:type="dxa"/>
            <w:tcBorders>
              <w:top w:val="nil"/>
              <w:left w:val="nil"/>
              <w:bottom w:val="single" w:sz="4" w:space="0" w:color="auto"/>
              <w:right w:val="single" w:sz="4" w:space="0" w:color="auto"/>
            </w:tcBorders>
            <w:shd w:val="clear" w:color="auto" w:fill="auto"/>
            <w:noWrap/>
            <w:vAlign w:val="center"/>
            <w:hideMark/>
          </w:tcPr>
          <w:p w14:paraId="4298C835" w14:textId="5B32D39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352</w:t>
            </w:r>
          </w:p>
        </w:tc>
        <w:tc>
          <w:tcPr>
            <w:tcW w:w="919" w:type="dxa"/>
            <w:tcBorders>
              <w:top w:val="nil"/>
              <w:left w:val="nil"/>
              <w:bottom w:val="single" w:sz="4" w:space="0" w:color="auto"/>
              <w:right w:val="single" w:sz="4" w:space="0" w:color="auto"/>
            </w:tcBorders>
            <w:shd w:val="clear" w:color="auto" w:fill="auto"/>
            <w:noWrap/>
            <w:vAlign w:val="center"/>
            <w:hideMark/>
          </w:tcPr>
          <w:p w14:paraId="7A45660D" w14:textId="47EC228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536907E4" w14:textId="48F519E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322</w:t>
            </w:r>
          </w:p>
        </w:tc>
        <w:tc>
          <w:tcPr>
            <w:tcW w:w="996" w:type="dxa"/>
            <w:tcBorders>
              <w:top w:val="nil"/>
              <w:left w:val="nil"/>
              <w:bottom w:val="single" w:sz="4" w:space="0" w:color="auto"/>
              <w:right w:val="single" w:sz="4" w:space="0" w:color="auto"/>
            </w:tcBorders>
            <w:shd w:val="clear" w:color="auto" w:fill="auto"/>
            <w:noWrap/>
            <w:vAlign w:val="center"/>
            <w:hideMark/>
          </w:tcPr>
          <w:p w14:paraId="7F60A9BD" w14:textId="7DEFF86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6BCD527C"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2038B3D"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2D01683F" w14:textId="61D3B02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326;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379)</w:t>
            </w:r>
          </w:p>
        </w:tc>
        <w:tc>
          <w:tcPr>
            <w:tcW w:w="919" w:type="dxa"/>
            <w:tcBorders>
              <w:top w:val="nil"/>
              <w:left w:val="nil"/>
              <w:bottom w:val="single" w:sz="4" w:space="0" w:color="auto"/>
              <w:right w:val="single" w:sz="4" w:space="0" w:color="auto"/>
            </w:tcBorders>
            <w:shd w:val="clear" w:color="auto" w:fill="auto"/>
            <w:noWrap/>
            <w:vAlign w:val="center"/>
            <w:hideMark/>
          </w:tcPr>
          <w:p w14:paraId="2A08FE7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36181E29" w14:textId="1EEA7E1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215;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434)</w:t>
            </w:r>
          </w:p>
        </w:tc>
        <w:tc>
          <w:tcPr>
            <w:tcW w:w="996" w:type="dxa"/>
            <w:tcBorders>
              <w:top w:val="nil"/>
              <w:left w:val="nil"/>
              <w:bottom w:val="single" w:sz="4" w:space="0" w:color="auto"/>
              <w:right w:val="single" w:sz="4" w:space="0" w:color="auto"/>
            </w:tcBorders>
            <w:shd w:val="clear" w:color="auto" w:fill="auto"/>
            <w:noWrap/>
            <w:vAlign w:val="center"/>
            <w:hideMark/>
          </w:tcPr>
          <w:p w14:paraId="5649E46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0FF81882"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EE248EC"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5ht (most deprived) vs 1st</w:t>
            </w:r>
          </w:p>
        </w:tc>
        <w:tc>
          <w:tcPr>
            <w:tcW w:w="1566" w:type="dxa"/>
            <w:tcBorders>
              <w:top w:val="nil"/>
              <w:left w:val="nil"/>
              <w:bottom w:val="single" w:sz="4" w:space="0" w:color="auto"/>
              <w:right w:val="single" w:sz="4" w:space="0" w:color="auto"/>
            </w:tcBorders>
            <w:shd w:val="clear" w:color="auto" w:fill="auto"/>
            <w:noWrap/>
            <w:vAlign w:val="center"/>
            <w:hideMark/>
          </w:tcPr>
          <w:p w14:paraId="0A14528A" w14:textId="24F4074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648</w:t>
            </w:r>
          </w:p>
        </w:tc>
        <w:tc>
          <w:tcPr>
            <w:tcW w:w="919" w:type="dxa"/>
            <w:tcBorders>
              <w:top w:val="nil"/>
              <w:left w:val="nil"/>
              <w:bottom w:val="single" w:sz="4" w:space="0" w:color="auto"/>
              <w:right w:val="single" w:sz="4" w:space="0" w:color="auto"/>
            </w:tcBorders>
            <w:shd w:val="clear" w:color="auto" w:fill="auto"/>
            <w:noWrap/>
            <w:vAlign w:val="center"/>
            <w:hideMark/>
          </w:tcPr>
          <w:p w14:paraId="48AF3294" w14:textId="40C72CB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04342552" w14:textId="340B5C1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645</w:t>
            </w:r>
          </w:p>
        </w:tc>
        <w:tc>
          <w:tcPr>
            <w:tcW w:w="996" w:type="dxa"/>
            <w:tcBorders>
              <w:top w:val="nil"/>
              <w:left w:val="nil"/>
              <w:bottom w:val="single" w:sz="4" w:space="0" w:color="auto"/>
              <w:right w:val="single" w:sz="4" w:space="0" w:color="auto"/>
            </w:tcBorders>
            <w:shd w:val="clear" w:color="auto" w:fill="auto"/>
            <w:noWrap/>
            <w:vAlign w:val="center"/>
            <w:hideMark/>
          </w:tcPr>
          <w:p w14:paraId="5F886E30" w14:textId="32D8E8F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05188811"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BD0EA60"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8BC32B9" w14:textId="16575CF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612;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685)</w:t>
            </w:r>
          </w:p>
        </w:tc>
        <w:tc>
          <w:tcPr>
            <w:tcW w:w="919" w:type="dxa"/>
            <w:tcBorders>
              <w:top w:val="nil"/>
              <w:left w:val="nil"/>
              <w:bottom w:val="single" w:sz="4" w:space="0" w:color="auto"/>
              <w:right w:val="single" w:sz="4" w:space="0" w:color="auto"/>
            </w:tcBorders>
            <w:shd w:val="clear" w:color="auto" w:fill="auto"/>
            <w:noWrap/>
            <w:vAlign w:val="center"/>
            <w:hideMark/>
          </w:tcPr>
          <w:p w14:paraId="46F2D8D8"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6D75B70D" w14:textId="7FA27AB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477;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821)</w:t>
            </w:r>
          </w:p>
        </w:tc>
        <w:tc>
          <w:tcPr>
            <w:tcW w:w="996" w:type="dxa"/>
            <w:tcBorders>
              <w:top w:val="nil"/>
              <w:left w:val="nil"/>
              <w:bottom w:val="single" w:sz="4" w:space="0" w:color="auto"/>
              <w:right w:val="single" w:sz="4" w:space="0" w:color="auto"/>
            </w:tcBorders>
            <w:shd w:val="clear" w:color="auto" w:fill="auto"/>
            <w:noWrap/>
            <w:vAlign w:val="center"/>
            <w:hideMark/>
          </w:tcPr>
          <w:p w14:paraId="57FC4CBB"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7EF3F7C8"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9289765"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Smoking</w:t>
            </w:r>
          </w:p>
        </w:tc>
        <w:tc>
          <w:tcPr>
            <w:tcW w:w="1566" w:type="dxa"/>
            <w:tcBorders>
              <w:top w:val="nil"/>
              <w:left w:val="nil"/>
              <w:bottom w:val="single" w:sz="4" w:space="0" w:color="auto"/>
              <w:right w:val="single" w:sz="4" w:space="0" w:color="auto"/>
            </w:tcBorders>
            <w:shd w:val="clear" w:color="auto" w:fill="auto"/>
            <w:noWrap/>
            <w:hideMark/>
          </w:tcPr>
          <w:p w14:paraId="4544BF67"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19" w:type="dxa"/>
            <w:tcBorders>
              <w:top w:val="nil"/>
              <w:left w:val="nil"/>
              <w:bottom w:val="single" w:sz="4" w:space="0" w:color="auto"/>
              <w:right w:val="single" w:sz="4" w:space="0" w:color="auto"/>
            </w:tcBorders>
            <w:shd w:val="clear" w:color="auto" w:fill="auto"/>
            <w:noWrap/>
            <w:hideMark/>
          </w:tcPr>
          <w:p w14:paraId="796FB7B8"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1538" w:type="dxa"/>
            <w:tcBorders>
              <w:top w:val="nil"/>
              <w:left w:val="nil"/>
              <w:bottom w:val="single" w:sz="4" w:space="0" w:color="auto"/>
              <w:right w:val="single" w:sz="4" w:space="0" w:color="auto"/>
            </w:tcBorders>
            <w:shd w:val="clear" w:color="auto" w:fill="auto"/>
            <w:noWrap/>
            <w:hideMark/>
          </w:tcPr>
          <w:p w14:paraId="4DE7FDDC"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96" w:type="dxa"/>
            <w:tcBorders>
              <w:top w:val="nil"/>
              <w:left w:val="nil"/>
              <w:bottom w:val="single" w:sz="4" w:space="0" w:color="auto"/>
              <w:right w:val="single" w:sz="4" w:space="0" w:color="auto"/>
            </w:tcBorders>
            <w:shd w:val="clear" w:color="auto" w:fill="auto"/>
            <w:noWrap/>
            <w:hideMark/>
          </w:tcPr>
          <w:p w14:paraId="5802D00A"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r>
      <w:tr w:rsidR="006F4C96" w:rsidRPr="006F4C96" w14:paraId="43E5F3E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0759FED"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Previous vs never</w:t>
            </w:r>
          </w:p>
        </w:tc>
        <w:tc>
          <w:tcPr>
            <w:tcW w:w="1566" w:type="dxa"/>
            <w:tcBorders>
              <w:top w:val="nil"/>
              <w:left w:val="nil"/>
              <w:bottom w:val="single" w:sz="4" w:space="0" w:color="auto"/>
              <w:right w:val="single" w:sz="4" w:space="0" w:color="auto"/>
            </w:tcBorders>
            <w:shd w:val="clear" w:color="auto" w:fill="auto"/>
            <w:noWrap/>
            <w:vAlign w:val="center"/>
            <w:hideMark/>
          </w:tcPr>
          <w:p w14:paraId="6B853311" w14:textId="174B5764"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022</w:t>
            </w:r>
          </w:p>
        </w:tc>
        <w:tc>
          <w:tcPr>
            <w:tcW w:w="919" w:type="dxa"/>
            <w:tcBorders>
              <w:top w:val="nil"/>
              <w:left w:val="nil"/>
              <w:bottom w:val="single" w:sz="4" w:space="0" w:color="auto"/>
              <w:right w:val="single" w:sz="4" w:space="0" w:color="auto"/>
            </w:tcBorders>
            <w:shd w:val="clear" w:color="auto" w:fill="auto"/>
            <w:noWrap/>
            <w:vAlign w:val="center"/>
            <w:hideMark/>
          </w:tcPr>
          <w:p w14:paraId="700509A3" w14:textId="406449C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002</w:t>
            </w:r>
          </w:p>
        </w:tc>
        <w:tc>
          <w:tcPr>
            <w:tcW w:w="1538" w:type="dxa"/>
            <w:tcBorders>
              <w:top w:val="nil"/>
              <w:left w:val="nil"/>
              <w:bottom w:val="single" w:sz="4" w:space="0" w:color="auto"/>
              <w:right w:val="single" w:sz="4" w:space="0" w:color="auto"/>
            </w:tcBorders>
            <w:shd w:val="clear" w:color="auto" w:fill="auto"/>
            <w:noWrap/>
            <w:vAlign w:val="center"/>
            <w:hideMark/>
          </w:tcPr>
          <w:p w14:paraId="0C4F92CD" w14:textId="626E545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098</w:t>
            </w:r>
          </w:p>
        </w:tc>
        <w:tc>
          <w:tcPr>
            <w:tcW w:w="996" w:type="dxa"/>
            <w:tcBorders>
              <w:top w:val="nil"/>
              <w:left w:val="nil"/>
              <w:bottom w:val="single" w:sz="4" w:space="0" w:color="auto"/>
              <w:right w:val="single" w:sz="4" w:space="0" w:color="auto"/>
            </w:tcBorders>
            <w:shd w:val="clear" w:color="auto" w:fill="auto"/>
            <w:noWrap/>
            <w:vAlign w:val="center"/>
            <w:hideMark/>
          </w:tcPr>
          <w:p w14:paraId="63BF7B31" w14:textId="3DA5942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08D42009"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7CA8403"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F374F8A" w14:textId="40427BB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008;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036)</w:t>
            </w:r>
          </w:p>
        </w:tc>
        <w:tc>
          <w:tcPr>
            <w:tcW w:w="919" w:type="dxa"/>
            <w:tcBorders>
              <w:top w:val="nil"/>
              <w:left w:val="nil"/>
              <w:bottom w:val="single" w:sz="4" w:space="0" w:color="auto"/>
              <w:right w:val="single" w:sz="4" w:space="0" w:color="auto"/>
            </w:tcBorders>
            <w:shd w:val="clear" w:color="auto" w:fill="auto"/>
            <w:noWrap/>
            <w:vAlign w:val="center"/>
            <w:hideMark/>
          </w:tcPr>
          <w:p w14:paraId="67F342EA"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7A5AE66B" w14:textId="3C49343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06;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136)</w:t>
            </w:r>
          </w:p>
        </w:tc>
        <w:tc>
          <w:tcPr>
            <w:tcW w:w="996" w:type="dxa"/>
            <w:tcBorders>
              <w:top w:val="nil"/>
              <w:left w:val="nil"/>
              <w:bottom w:val="single" w:sz="4" w:space="0" w:color="auto"/>
              <w:right w:val="single" w:sz="4" w:space="0" w:color="auto"/>
            </w:tcBorders>
            <w:shd w:val="clear" w:color="auto" w:fill="auto"/>
            <w:noWrap/>
            <w:vAlign w:val="center"/>
            <w:hideMark/>
          </w:tcPr>
          <w:p w14:paraId="0C4687CB"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637342AD"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CDDAFF7"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Current vs never</w:t>
            </w:r>
          </w:p>
        </w:tc>
        <w:tc>
          <w:tcPr>
            <w:tcW w:w="1566" w:type="dxa"/>
            <w:tcBorders>
              <w:top w:val="nil"/>
              <w:left w:val="nil"/>
              <w:bottom w:val="single" w:sz="4" w:space="0" w:color="auto"/>
              <w:right w:val="single" w:sz="4" w:space="0" w:color="auto"/>
            </w:tcBorders>
            <w:shd w:val="clear" w:color="auto" w:fill="auto"/>
            <w:noWrap/>
            <w:vAlign w:val="center"/>
            <w:hideMark/>
          </w:tcPr>
          <w:p w14:paraId="6FB4877F" w14:textId="5F646D6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398</w:t>
            </w:r>
          </w:p>
        </w:tc>
        <w:tc>
          <w:tcPr>
            <w:tcW w:w="919" w:type="dxa"/>
            <w:tcBorders>
              <w:top w:val="nil"/>
              <w:left w:val="nil"/>
              <w:bottom w:val="single" w:sz="4" w:space="0" w:color="auto"/>
              <w:right w:val="single" w:sz="4" w:space="0" w:color="auto"/>
            </w:tcBorders>
            <w:shd w:val="clear" w:color="auto" w:fill="auto"/>
            <w:noWrap/>
            <w:vAlign w:val="center"/>
            <w:hideMark/>
          </w:tcPr>
          <w:p w14:paraId="7BBEFB22" w14:textId="2AC50ED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68B54C0C" w14:textId="64D5FC9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598</w:t>
            </w:r>
          </w:p>
        </w:tc>
        <w:tc>
          <w:tcPr>
            <w:tcW w:w="996" w:type="dxa"/>
            <w:tcBorders>
              <w:top w:val="nil"/>
              <w:left w:val="nil"/>
              <w:bottom w:val="single" w:sz="4" w:space="0" w:color="auto"/>
              <w:right w:val="single" w:sz="4" w:space="0" w:color="auto"/>
            </w:tcBorders>
            <w:shd w:val="clear" w:color="auto" w:fill="auto"/>
            <w:noWrap/>
            <w:vAlign w:val="center"/>
            <w:hideMark/>
          </w:tcPr>
          <w:p w14:paraId="0E335C94" w14:textId="0048A53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4FA01D8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57D1C76E"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25DCA5F9" w14:textId="3224794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367;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428)</w:t>
            </w:r>
          </w:p>
        </w:tc>
        <w:tc>
          <w:tcPr>
            <w:tcW w:w="919" w:type="dxa"/>
            <w:tcBorders>
              <w:top w:val="nil"/>
              <w:left w:val="nil"/>
              <w:bottom w:val="single" w:sz="4" w:space="0" w:color="auto"/>
              <w:right w:val="single" w:sz="4" w:space="0" w:color="auto"/>
            </w:tcBorders>
            <w:shd w:val="clear" w:color="auto" w:fill="auto"/>
            <w:noWrap/>
            <w:vAlign w:val="center"/>
            <w:hideMark/>
          </w:tcPr>
          <w:p w14:paraId="1CD8013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25B3B14A" w14:textId="00B253D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486;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715)</w:t>
            </w:r>
          </w:p>
        </w:tc>
        <w:tc>
          <w:tcPr>
            <w:tcW w:w="996" w:type="dxa"/>
            <w:tcBorders>
              <w:top w:val="nil"/>
              <w:left w:val="nil"/>
              <w:bottom w:val="single" w:sz="4" w:space="0" w:color="auto"/>
              <w:right w:val="single" w:sz="4" w:space="0" w:color="auto"/>
            </w:tcBorders>
            <w:shd w:val="clear" w:color="auto" w:fill="auto"/>
            <w:noWrap/>
            <w:vAlign w:val="center"/>
            <w:hideMark/>
          </w:tcPr>
          <w:p w14:paraId="79A52597"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6652DED8"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C996755"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Frequency of alcohol intake</w:t>
            </w:r>
          </w:p>
        </w:tc>
        <w:tc>
          <w:tcPr>
            <w:tcW w:w="1566" w:type="dxa"/>
            <w:tcBorders>
              <w:top w:val="nil"/>
              <w:left w:val="nil"/>
              <w:bottom w:val="single" w:sz="4" w:space="0" w:color="auto"/>
              <w:right w:val="single" w:sz="4" w:space="0" w:color="auto"/>
            </w:tcBorders>
            <w:shd w:val="clear" w:color="auto" w:fill="auto"/>
            <w:noWrap/>
            <w:hideMark/>
          </w:tcPr>
          <w:p w14:paraId="341E16EC"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19" w:type="dxa"/>
            <w:tcBorders>
              <w:top w:val="nil"/>
              <w:left w:val="nil"/>
              <w:bottom w:val="single" w:sz="4" w:space="0" w:color="auto"/>
              <w:right w:val="single" w:sz="4" w:space="0" w:color="auto"/>
            </w:tcBorders>
            <w:shd w:val="clear" w:color="auto" w:fill="auto"/>
            <w:noWrap/>
            <w:hideMark/>
          </w:tcPr>
          <w:p w14:paraId="01623CEC"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1538" w:type="dxa"/>
            <w:tcBorders>
              <w:top w:val="nil"/>
              <w:left w:val="nil"/>
              <w:bottom w:val="single" w:sz="4" w:space="0" w:color="auto"/>
              <w:right w:val="single" w:sz="4" w:space="0" w:color="auto"/>
            </w:tcBorders>
            <w:shd w:val="clear" w:color="auto" w:fill="auto"/>
            <w:noWrap/>
            <w:hideMark/>
          </w:tcPr>
          <w:p w14:paraId="30C7CD67"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96" w:type="dxa"/>
            <w:tcBorders>
              <w:top w:val="nil"/>
              <w:left w:val="nil"/>
              <w:bottom w:val="single" w:sz="4" w:space="0" w:color="auto"/>
              <w:right w:val="single" w:sz="4" w:space="0" w:color="auto"/>
            </w:tcBorders>
            <w:shd w:val="clear" w:color="auto" w:fill="auto"/>
            <w:noWrap/>
            <w:hideMark/>
          </w:tcPr>
          <w:p w14:paraId="7C1FAD93"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r>
      <w:tr w:rsidR="006F4C96" w:rsidRPr="006F4C96" w14:paraId="0CBB6536"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43BDF0F"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Daily vs 1–4 times/week</w:t>
            </w:r>
          </w:p>
        </w:tc>
        <w:tc>
          <w:tcPr>
            <w:tcW w:w="1566" w:type="dxa"/>
            <w:tcBorders>
              <w:top w:val="nil"/>
              <w:left w:val="nil"/>
              <w:bottom w:val="single" w:sz="4" w:space="0" w:color="auto"/>
              <w:right w:val="single" w:sz="4" w:space="0" w:color="auto"/>
            </w:tcBorders>
            <w:shd w:val="clear" w:color="auto" w:fill="auto"/>
            <w:noWrap/>
            <w:vAlign w:val="center"/>
            <w:hideMark/>
          </w:tcPr>
          <w:p w14:paraId="57E90D14" w14:textId="5447BAB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896</w:t>
            </w:r>
          </w:p>
        </w:tc>
        <w:tc>
          <w:tcPr>
            <w:tcW w:w="919" w:type="dxa"/>
            <w:tcBorders>
              <w:top w:val="nil"/>
              <w:left w:val="nil"/>
              <w:bottom w:val="single" w:sz="4" w:space="0" w:color="auto"/>
              <w:right w:val="single" w:sz="4" w:space="0" w:color="auto"/>
            </w:tcBorders>
            <w:shd w:val="clear" w:color="auto" w:fill="auto"/>
            <w:noWrap/>
            <w:vAlign w:val="center"/>
            <w:hideMark/>
          </w:tcPr>
          <w:p w14:paraId="22A78ECF" w14:textId="5ED30D9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111E6D2D" w14:textId="61BD62F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793</w:t>
            </w:r>
          </w:p>
        </w:tc>
        <w:tc>
          <w:tcPr>
            <w:tcW w:w="996" w:type="dxa"/>
            <w:tcBorders>
              <w:top w:val="nil"/>
              <w:left w:val="nil"/>
              <w:bottom w:val="single" w:sz="4" w:space="0" w:color="auto"/>
              <w:right w:val="single" w:sz="4" w:space="0" w:color="auto"/>
            </w:tcBorders>
            <w:shd w:val="clear" w:color="auto" w:fill="auto"/>
            <w:noWrap/>
            <w:vAlign w:val="center"/>
            <w:hideMark/>
          </w:tcPr>
          <w:p w14:paraId="574EFFE2" w14:textId="398AD3B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4D528EF1"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0C266F82"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39908C1E" w14:textId="2411FE0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881;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911)</w:t>
            </w:r>
          </w:p>
        </w:tc>
        <w:tc>
          <w:tcPr>
            <w:tcW w:w="919" w:type="dxa"/>
            <w:tcBorders>
              <w:top w:val="nil"/>
              <w:left w:val="nil"/>
              <w:bottom w:val="single" w:sz="4" w:space="0" w:color="auto"/>
              <w:right w:val="single" w:sz="4" w:space="0" w:color="auto"/>
            </w:tcBorders>
            <w:shd w:val="clear" w:color="auto" w:fill="auto"/>
            <w:noWrap/>
            <w:vAlign w:val="center"/>
            <w:hideMark/>
          </w:tcPr>
          <w:p w14:paraId="795C3615"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6193C601" w14:textId="148672C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755; 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833)</w:t>
            </w:r>
          </w:p>
        </w:tc>
        <w:tc>
          <w:tcPr>
            <w:tcW w:w="996" w:type="dxa"/>
            <w:tcBorders>
              <w:top w:val="nil"/>
              <w:left w:val="nil"/>
              <w:bottom w:val="single" w:sz="4" w:space="0" w:color="auto"/>
              <w:right w:val="single" w:sz="4" w:space="0" w:color="auto"/>
            </w:tcBorders>
            <w:shd w:val="clear" w:color="auto" w:fill="auto"/>
            <w:noWrap/>
            <w:vAlign w:val="center"/>
            <w:hideMark/>
          </w:tcPr>
          <w:p w14:paraId="7D1FF04C"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3332937B"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3428CCA"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1–3 times/month vs 1–4 times/week</w:t>
            </w:r>
          </w:p>
        </w:tc>
        <w:tc>
          <w:tcPr>
            <w:tcW w:w="1566" w:type="dxa"/>
            <w:tcBorders>
              <w:top w:val="nil"/>
              <w:left w:val="nil"/>
              <w:bottom w:val="single" w:sz="4" w:space="0" w:color="auto"/>
              <w:right w:val="single" w:sz="4" w:space="0" w:color="auto"/>
            </w:tcBorders>
            <w:shd w:val="clear" w:color="auto" w:fill="auto"/>
            <w:noWrap/>
            <w:vAlign w:val="center"/>
            <w:hideMark/>
          </w:tcPr>
          <w:p w14:paraId="5B200809" w14:textId="04ED561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219</w:t>
            </w:r>
          </w:p>
        </w:tc>
        <w:tc>
          <w:tcPr>
            <w:tcW w:w="919" w:type="dxa"/>
            <w:tcBorders>
              <w:top w:val="nil"/>
              <w:left w:val="nil"/>
              <w:bottom w:val="single" w:sz="4" w:space="0" w:color="auto"/>
              <w:right w:val="single" w:sz="4" w:space="0" w:color="auto"/>
            </w:tcBorders>
            <w:shd w:val="clear" w:color="auto" w:fill="auto"/>
            <w:noWrap/>
            <w:vAlign w:val="center"/>
            <w:hideMark/>
          </w:tcPr>
          <w:p w14:paraId="76E11569" w14:textId="200C937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33FF5CAC" w14:textId="1D82E1C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522</w:t>
            </w:r>
          </w:p>
        </w:tc>
        <w:tc>
          <w:tcPr>
            <w:tcW w:w="996" w:type="dxa"/>
            <w:tcBorders>
              <w:top w:val="nil"/>
              <w:left w:val="nil"/>
              <w:bottom w:val="single" w:sz="4" w:space="0" w:color="auto"/>
              <w:right w:val="single" w:sz="4" w:space="0" w:color="auto"/>
            </w:tcBorders>
            <w:shd w:val="clear" w:color="auto" w:fill="auto"/>
            <w:noWrap/>
            <w:vAlign w:val="center"/>
            <w:hideMark/>
          </w:tcPr>
          <w:p w14:paraId="66931251" w14:textId="411D429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0E33D711"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650984C"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4CEF6171" w14:textId="1B53914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195;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245)</w:t>
            </w:r>
          </w:p>
        </w:tc>
        <w:tc>
          <w:tcPr>
            <w:tcW w:w="919" w:type="dxa"/>
            <w:tcBorders>
              <w:top w:val="nil"/>
              <w:left w:val="nil"/>
              <w:bottom w:val="single" w:sz="4" w:space="0" w:color="auto"/>
              <w:right w:val="single" w:sz="4" w:space="0" w:color="auto"/>
            </w:tcBorders>
            <w:shd w:val="clear" w:color="auto" w:fill="auto"/>
            <w:noWrap/>
            <w:vAlign w:val="center"/>
            <w:hideMark/>
          </w:tcPr>
          <w:p w14:paraId="167A10FB"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63EA3A5C" w14:textId="3F5C3A4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447;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601)</w:t>
            </w:r>
          </w:p>
        </w:tc>
        <w:tc>
          <w:tcPr>
            <w:tcW w:w="996" w:type="dxa"/>
            <w:tcBorders>
              <w:top w:val="nil"/>
              <w:left w:val="nil"/>
              <w:bottom w:val="single" w:sz="4" w:space="0" w:color="auto"/>
              <w:right w:val="single" w:sz="4" w:space="0" w:color="auto"/>
            </w:tcBorders>
            <w:shd w:val="clear" w:color="auto" w:fill="auto"/>
            <w:noWrap/>
            <w:vAlign w:val="center"/>
            <w:hideMark/>
          </w:tcPr>
          <w:p w14:paraId="2BCDB8B6"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4CA96BC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5CE5C72"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Occasionally/ never vs 1–4 times/week</w:t>
            </w:r>
          </w:p>
        </w:tc>
        <w:tc>
          <w:tcPr>
            <w:tcW w:w="1566" w:type="dxa"/>
            <w:tcBorders>
              <w:top w:val="nil"/>
              <w:left w:val="nil"/>
              <w:bottom w:val="single" w:sz="4" w:space="0" w:color="auto"/>
              <w:right w:val="single" w:sz="4" w:space="0" w:color="auto"/>
            </w:tcBorders>
            <w:shd w:val="clear" w:color="auto" w:fill="auto"/>
            <w:noWrap/>
            <w:vAlign w:val="center"/>
            <w:hideMark/>
          </w:tcPr>
          <w:p w14:paraId="08BD873D" w14:textId="5034B40C"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556</w:t>
            </w:r>
          </w:p>
        </w:tc>
        <w:tc>
          <w:tcPr>
            <w:tcW w:w="919" w:type="dxa"/>
            <w:tcBorders>
              <w:top w:val="nil"/>
              <w:left w:val="nil"/>
              <w:bottom w:val="single" w:sz="4" w:space="0" w:color="auto"/>
              <w:right w:val="single" w:sz="4" w:space="0" w:color="auto"/>
            </w:tcBorders>
            <w:shd w:val="clear" w:color="auto" w:fill="auto"/>
            <w:noWrap/>
            <w:vAlign w:val="center"/>
            <w:hideMark/>
          </w:tcPr>
          <w:p w14:paraId="69F9F285" w14:textId="10EC0CA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34D9BD78" w14:textId="4AAEF3E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238</w:t>
            </w:r>
          </w:p>
        </w:tc>
        <w:tc>
          <w:tcPr>
            <w:tcW w:w="996" w:type="dxa"/>
            <w:tcBorders>
              <w:top w:val="nil"/>
              <w:left w:val="nil"/>
              <w:bottom w:val="single" w:sz="4" w:space="0" w:color="auto"/>
              <w:right w:val="single" w:sz="4" w:space="0" w:color="auto"/>
            </w:tcBorders>
            <w:shd w:val="clear" w:color="auto" w:fill="auto"/>
            <w:noWrap/>
            <w:vAlign w:val="center"/>
            <w:hideMark/>
          </w:tcPr>
          <w:p w14:paraId="204686AD" w14:textId="34D0DC4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7FF91B0D"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A984500"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E9BE212" w14:textId="6BBEEA82"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529;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584)</w:t>
            </w:r>
          </w:p>
        </w:tc>
        <w:tc>
          <w:tcPr>
            <w:tcW w:w="919" w:type="dxa"/>
            <w:tcBorders>
              <w:top w:val="nil"/>
              <w:left w:val="nil"/>
              <w:bottom w:val="single" w:sz="4" w:space="0" w:color="auto"/>
              <w:right w:val="single" w:sz="4" w:space="0" w:color="auto"/>
            </w:tcBorders>
            <w:shd w:val="clear" w:color="auto" w:fill="auto"/>
            <w:noWrap/>
            <w:vAlign w:val="center"/>
            <w:hideMark/>
          </w:tcPr>
          <w:p w14:paraId="1D3CBAE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3DDB457A" w14:textId="69553C6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121;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359)</w:t>
            </w:r>
          </w:p>
        </w:tc>
        <w:tc>
          <w:tcPr>
            <w:tcW w:w="996" w:type="dxa"/>
            <w:tcBorders>
              <w:top w:val="nil"/>
              <w:left w:val="nil"/>
              <w:bottom w:val="single" w:sz="4" w:space="0" w:color="auto"/>
              <w:right w:val="single" w:sz="4" w:space="0" w:color="auto"/>
            </w:tcBorders>
            <w:shd w:val="clear" w:color="auto" w:fill="auto"/>
            <w:noWrap/>
            <w:vAlign w:val="center"/>
            <w:hideMark/>
          </w:tcPr>
          <w:p w14:paraId="20052214"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6751DBD1"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28FADFF"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Categories of body mass index</w:t>
            </w:r>
          </w:p>
        </w:tc>
        <w:tc>
          <w:tcPr>
            <w:tcW w:w="1566" w:type="dxa"/>
            <w:tcBorders>
              <w:top w:val="nil"/>
              <w:left w:val="nil"/>
              <w:bottom w:val="single" w:sz="4" w:space="0" w:color="auto"/>
              <w:right w:val="single" w:sz="4" w:space="0" w:color="auto"/>
            </w:tcBorders>
            <w:shd w:val="clear" w:color="auto" w:fill="auto"/>
            <w:noWrap/>
            <w:hideMark/>
          </w:tcPr>
          <w:p w14:paraId="2D12D53F"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19" w:type="dxa"/>
            <w:tcBorders>
              <w:top w:val="nil"/>
              <w:left w:val="nil"/>
              <w:bottom w:val="single" w:sz="4" w:space="0" w:color="auto"/>
              <w:right w:val="single" w:sz="4" w:space="0" w:color="auto"/>
            </w:tcBorders>
            <w:shd w:val="clear" w:color="auto" w:fill="auto"/>
            <w:noWrap/>
            <w:hideMark/>
          </w:tcPr>
          <w:p w14:paraId="468BA1E9"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1538" w:type="dxa"/>
            <w:tcBorders>
              <w:top w:val="nil"/>
              <w:left w:val="nil"/>
              <w:bottom w:val="single" w:sz="4" w:space="0" w:color="auto"/>
              <w:right w:val="single" w:sz="4" w:space="0" w:color="auto"/>
            </w:tcBorders>
            <w:shd w:val="clear" w:color="auto" w:fill="auto"/>
            <w:noWrap/>
            <w:hideMark/>
          </w:tcPr>
          <w:p w14:paraId="75CF412E"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96" w:type="dxa"/>
            <w:tcBorders>
              <w:top w:val="nil"/>
              <w:left w:val="nil"/>
              <w:bottom w:val="single" w:sz="4" w:space="0" w:color="auto"/>
              <w:right w:val="single" w:sz="4" w:space="0" w:color="auto"/>
            </w:tcBorders>
            <w:shd w:val="clear" w:color="auto" w:fill="auto"/>
            <w:noWrap/>
            <w:hideMark/>
          </w:tcPr>
          <w:p w14:paraId="2B04843D"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r>
      <w:tr w:rsidR="006F4C96" w:rsidRPr="006F4C96" w14:paraId="432E8AB0"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A6AE1F4" w14:textId="2B804379"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&lt;18</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 kg/m</w:t>
            </w:r>
            <w:r w:rsidRPr="006F4C96">
              <w:rPr>
                <w:rFonts w:ascii="Times New Roman" w:eastAsia="Times New Roman" w:hAnsi="Times New Roman" w:cs="Times New Roman"/>
                <w:sz w:val="20"/>
                <w:szCs w:val="20"/>
                <w:vertAlign w:val="superscript"/>
                <w:lang w:eastAsia="en-GB"/>
              </w:rPr>
              <w:t>2</w:t>
            </w:r>
            <w:r w:rsidRPr="006F4C96">
              <w:rPr>
                <w:rFonts w:ascii="Times New Roman" w:eastAsia="Times New Roman" w:hAnsi="Times New Roman" w:cs="Times New Roman"/>
                <w:sz w:val="20"/>
                <w:szCs w:val="20"/>
                <w:lang w:eastAsia="en-GB"/>
              </w:rPr>
              <w:t xml:space="preserve"> vs 18</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5–24</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 kg/m</w:t>
            </w:r>
            <w:r w:rsidRPr="006F4C96">
              <w:rPr>
                <w:rFonts w:ascii="Times New Roman" w:eastAsia="Times New Roman" w:hAnsi="Times New Roman" w:cs="Times New Roman"/>
                <w:sz w:val="20"/>
                <w:szCs w:val="20"/>
                <w:vertAlign w:val="superscript"/>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14:paraId="016B1F3E" w14:textId="72A9335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116</w:t>
            </w:r>
          </w:p>
        </w:tc>
        <w:tc>
          <w:tcPr>
            <w:tcW w:w="919" w:type="dxa"/>
            <w:tcBorders>
              <w:top w:val="nil"/>
              <w:left w:val="nil"/>
              <w:bottom w:val="single" w:sz="4" w:space="0" w:color="auto"/>
              <w:right w:val="single" w:sz="4" w:space="0" w:color="auto"/>
            </w:tcBorders>
            <w:shd w:val="clear" w:color="auto" w:fill="auto"/>
            <w:noWrap/>
            <w:vAlign w:val="center"/>
            <w:hideMark/>
          </w:tcPr>
          <w:p w14:paraId="059A3996" w14:textId="6022E41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w:t>
            </w:r>
          </w:p>
        </w:tc>
        <w:tc>
          <w:tcPr>
            <w:tcW w:w="1538" w:type="dxa"/>
            <w:tcBorders>
              <w:top w:val="nil"/>
              <w:left w:val="nil"/>
              <w:bottom w:val="single" w:sz="4" w:space="0" w:color="auto"/>
              <w:right w:val="single" w:sz="4" w:space="0" w:color="auto"/>
            </w:tcBorders>
            <w:shd w:val="clear" w:color="auto" w:fill="auto"/>
            <w:noWrap/>
            <w:vAlign w:val="center"/>
            <w:hideMark/>
          </w:tcPr>
          <w:p w14:paraId="089FDB7B" w14:textId="3595711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874</w:t>
            </w:r>
          </w:p>
        </w:tc>
        <w:tc>
          <w:tcPr>
            <w:tcW w:w="996" w:type="dxa"/>
            <w:tcBorders>
              <w:top w:val="nil"/>
              <w:left w:val="nil"/>
              <w:bottom w:val="single" w:sz="4" w:space="0" w:color="auto"/>
              <w:right w:val="single" w:sz="4" w:space="0" w:color="auto"/>
            </w:tcBorders>
            <w:shd w:val="clear" w:color="auto" w:fill="auto"/>
            <w:noWrap/>
            <w:vAlign w:val="center"/>
            <w:hideMark/>
          </w:tcPr>
          <w:p w14:paraId="77B3AE31" w14:textId="4121642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33A0B0A4"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B8B5BC6"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C4CB2F7" w14:textId="2E66479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021;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22)</w:t>
            </w:r>
          </w:p>
        </w:tc>
        <w:tc>
          <w:tcPr>
            <w:tcW w:w="919" w:type="dxa"/>
            <w:tcBorders>
              <w:top w:val="nil"/>
              <w:left w:val="nil"/>
              <w:bottom w:val="single" w:sz="4" w:space="0" w:color="auto"/>
              <w:right w:val="single" w:sz="4" w:space="0" w:color="auto"/>
            </w:tcBorders>
            <w:shd w:val="clear" w:color="auto" w:fill="auto"/>
            <w:noWrap/>
            <w:vAlign w:val="center"/>
            <w:hideMark/>
          </w:tcPr>
          <w:p w14:paraId="057A8746"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48A43E3A" w14:textId="7F75BE3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563;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248)</w:t>
            </w:r>
          </w:p>
        </w:tc>
        <w:tc>
          <w:tcPr>
            <w:tcW w:w="996" w:type="dxa"/>
            <w:tcBorders>
              <w:top w:val="nil"/>
              <w:left w:val="nil"/>
              <w:bottom w:val="single" w:sz="4" w:space="0" w:color="auto"/>
              <w:right w:val="single" w:sz="4" w:space="0" w:color="auto"/>
            </w:tcBorders>
            <w:shd w:val="clear" w:color="auto" w:fill="auto"/>
            <w:noWrap/>
            <w:vAlign w:val="center"/>
            <w:hideMark/>
          </w:tcPr>
          <w:p w14:paraId="5FF420F1"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10814137"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6A55D6B" w14:textId="7B4C8964"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25–29</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 kg/m</w:t>
            </w:r>
            <w:r w:rsidRPr="006F4C96">
              <w:rPr>
                <w:rFonts w:ascii="Times New Roman" w:eastAsia="Times New Roman" w:hAnsi="Times New Roman" w:cs="Times New Roman"/>
                <w:sz w:val="20"/>
                <w:szCs w:val="20"/>
                <w:vertAlign w:val="superscript"/>
                <w:lang w:eastAsia="en-GB"/>
              </w:rPr>
              <w:t>2</w:t>
            </w:r>
            <w:r w:rsidRPr="006F4C96">
              <w:rPr>
                <w:rFonts w:ascii="Times New Roman" w:eastAsia="Times New Roman" w:hAnsi="Times New Roman" w:cs="Times New Roman"/>
                <w:sz w:val="20"/>
                <w:szCs w:val="20"/>
                <w:lang w:eastAsia="en-GB"/>
              </w:rPr>
              <w:t xml:space="preserve"> vs 18</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5–24</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 kg/m</w:t>
            </w:r>
            <w:r w:rsidRPr="006F4C96">
              <w:rPr>
                <w:rFonts w:ascii="Times New Roman" w:eastAsia="Times New Roman" w:hAnsi="Times New Roman" w:cs="Times New Roman"/>
                <w:sz w:val="20"/>
                <w:szCs w:val="20"/>
                <w:vertAlign w:val="superscript"/>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14:paraId="00FDA38C" w14:textId="423FC86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122</w:t>
            </w:r>
          </w:p>
        </w:tc>
        <w:tc>
          <w:tcPr>
            <w:tcW w:w="919" w:type="dxa"/>
            <w:tcBorders>
              <w:top w:val="nil"/>
              <w:left w:val="nil"/>
              <w:bottom w:val="single" w:sz="4" w:space="0" w:color="auto"/>
              <w:right w:val="single" w:sz="4" w:space="0" w:color="auto"/>
            </w:tcBorders>
            <w:shd w:val="clear" w:color="auto" w:fill="auto"/>
            <w:noWrap/>
            <w:vAlign w:val="center"/>
            <w:hideMark/>
          </w:tcPr>
          <w:p w14:paraId="1D77E4E3" w14:textId="23F8C44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1B94A6B2" w14:textId="198DD678"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163</w:t>
            </w:r>
          </w:p>
        </w:tc>
        <w:tc>
          <w:tcPr>
            <w:tcW w:w="996" w:type="dxa"/>
            <w:tcBorders>
              <w:top w:val="nil"/>
              <w:left w:val="nil"/>
              <w:bottom w:val="single" w:sz="4" w:space="0" w:color="auto"/>
              <w:right w:val="single" w:sz="4" w:space="0" w:color="auto"/>
            </w:tcBorders>
            <w:shd w:val="clear" w:color="auto" w:fill="auto"/>
            <w:noWrap/>
            <w:vAlign w:val="center"/>
            <w:hideMark/>
          </w:tcPr>
          <w:p w14:paraId="30CBAB8E" w14:textId="71697FC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6C1F9C68"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49AF95E9"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7016F34E" w14:textId="2252E2A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106;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139)</w:t>
            </w:r>
          </w:p>
        </w:tc>
        <w:tc>
          <w:tcPr>
            <w:tcW w:w="919" w:type="dxa"/>
            <w:tcBorders>
              <w:top w:val="nil"/>
              <w:left w:val="nil"/>
              <w:bottom w:val="single" w:sz="4" w:space="0" w:color="auto"/>
              <w:right w:val="single" w:sz="4" w:space="0" w:color="auto"/>
            </w:tcBorders>
            <w:shd w:val="clear" w:color="auto" w:fill="auto"/>
            <w:noWrap/>
            <w:vAlign w:val="center"/>
            <w:hideMark/>
          </w:tcPr>
          <w:p w14:paraId="3B80EFD2"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5C7D2820" w14:textId="769DCA8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116;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213)</w:t>
            </w:r>
          </w:p>
        </w:tc>
        <w:tc>
          <w:tcPr>
            <w:tcW w:w="996" w:type="dxa"/>
            <w:tcBorders>
              <w:top w:val="nil"/>
              <w:left w:val="nil"/>
              <w:bottom w:val="single" w:sz="4" w:space="0" w:color="auto"/>
              <w:right w:val="single" w:sz="4" w:space="0" w:color="auto"/>
            </w:tcBorders>
            <w:shd w:val="clear" w:color="auto" w:fill="auto"/>
            <w:noWrap/>
            <w:vAlign w:val="center"/>
            <w:hideMark/>
          </w:tcPr>
          <w:p w14:paraId="48792F7D"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660FDE17"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3C0455C" w14:textId="1FA745E6" w:rsidR="00052A2A" w:rsidRPr="006F4C96" w:rsidRDefault="00052A2A" w:rsidP="008C738E">
            <w:pPr>
              <w:spacing w:after="0" w:line="480" w:lineRule="auto"/>
              <w:jc w:val="right"/>
              <w:rPr>
                <w:rFonts w:ascii="Symbol" w:eastAsia="Times New Roman" w:hAnsi="Symbol" w:cs="Arial"/>
                <w:sz w:val="20"/>
                <w:szCs w:val="20"/>
                <w:lang w:eastAsia="en-GB"/>
              </w:rPr>
            </w:pPr>
            <w:r w:rsidRPr="006F4C96">
              <w:rPr>
                <w:rFonts w:ascii="Times New Roman" w:eastAsia="Times New Roman" w:hAnsi="Times New Roman" w:cs="Times New Roman"/>
                <w:sz w:val="20"/>
                <w:szCs w:val="20"/>
                <w:lang w:eastAsia="en-GB"/>
              </w:rPr>
              <w:t>≥30 kg/m</w:t>
            </w:r>
            <w:r w:rsidRPr="006F4C96">
              <w:rPr>
                <w:rFonts w:ascii="Times New Roman" w:eastAsia="Times New Roman" w:hAnsi="Times New Roman" w:cs="Times New Roman"/>
                <w:sz w:val="20"/>
                <w:szCs w:val="20"/>
                <w:vertAlign w:val="superscript"/>
                <w:lang w:eastAsia="en-GB"/>
              </w:rPr>
              <w:t>2</w:t>
            </w:r>
            <w:r w:rsidRPr="006F4C96">
              <w:rPr>
                <w:rFonts w:ascii="Times New Roman" w:eastAsia="Times New Roman" w:hAnsi="Times New Roman" w:cs="Times New Roman"/>
                <w:sz w:val="20"/>
                <w:szCs w:val="20"/>
                <w:lang w:eastAsia="en-GB"/>
              </w:rPr>
              <w:t xml:space="preserve"> vs 18</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5–24</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 kg/m</w:t>
            </w:r>
            <w:r w:rsidRPr="006F4C96">
              <w:rPr>
                <w:rFonts w:ascii="Times New Roman" w:eastAsia="Times New Roman" w:hAnsi="Times New Roman" w:cs="Times New Roman"/>
                <w:sz w:val="20"/>
                <w:szCs w:val="20"/>
                <w:vertAlign w:val="superscript"/>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14:paraId="52318C66" w14:textId="6F3143E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526</w:t>
            </w:r>
          </w:p>
        </w:tc>
        <w:tc>
          <w:tcPr>
            <w:tcW w:w="919" w:type="dxa"/>
            <w:tcBorders>
              <w:top w:val="nil"/>
              <w:left w:val="nil"/>
              <w:bottom w:val="single" w:sz="4" w:space="0" w:color="auto"/>
              <w:right w:val="single" w:sz="4" w:space="0" w:color="auto"/>
            </w:tcBorders>
            <w:shd w:val="clear" w:color="auto" w:fill="auto"/>
            <w:noWrap/>
            <w:vAlign w:val="center"/>
            <w:hideMark/>
          </w:tcPr>
          <w:p w14:paraId="51E404D0" w14:textId="5006A30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33997EA6" w14:textId="29A805C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607</w:t>
            </w:r>
          </w:p>
        </w:tc>
        <w:tc>
          <w:tcPr>
            <w:tcW w:w="996" w:type="dxa"/>
            <w:tcBorders>
              <w:top w:val="nil"/>
              <w:left w:val="nil"/>
              <w:bottom w:val="single" w:sz="4" w:space="0" w:color="auto"/>
              <w:right w:val="single" w:sz="4" w:space="0" w:color="auto"/>
            </w:tcBorders>
            <w:shd w:val="clear" w:color="auto" w:fill="auto"/>
            <w:noWrap/>
            <w:vAlign w:val="center"/>
            <w:hideMark/>
          </w:tcPr>
          <w:p w14:paraId="229C6D0A" w14:textId="2DF16CE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3734DC0D"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09C800CF"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8D3C09E" w14:textId="00B429C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553)</w:t>
            </w:r>
          </w:p>
        </w:tc>
        <w:tc>
          <w:tcPr>
            <w:tcW w:w="919" w:type="dxa"/>
            <w:tcBorders>
              <w:top w:val="nil"/>
              <w:left w:val="nil"/>
              <w:bottom w:val="single" w:sz="4" w:space="0" w:color="auto"/>
              <w:right w:val="single" w:sz="4" w:space="0" w:color="auto"/>
            </w:tcBorders>
            <w:shd w:val="clear" w:color="auto" w:fill="auto"/>
            <w:noWrap/>
            <w:vAlign w:val="center"/>
            <w:hideMark/>
          </w:tcPr>
          <w:p w14:paraId="4E9148CF"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36A31E1E" w14:textId="0854C1E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502;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716)</w:t>
            </w:r>
          </w:p>
        </w:tc>
        <w:tc>
          <w:tcPr>
            <w:tcW w:w="996" w:type="dxa"/>
            <w:tcBorders>
              <w:top w:val="nil"/>
              <w:left w:val="nil"/>
              <w:bottom w:val="single" w:sz="4" w:space="0" w:color="auto"/>
              <w:right w:val="single" w:sz="4" w:space="0" w:color="auto"/>
            </w:tcBorders>
            <w:shd w:val="clear" w:color="auto" w:fill="auto"/>
            <w:noWrap/>
            <w:vAlign w:val="center"/>
            <w:hideMark/>
          </w:tcPr>
          <w:p w14:paraId="2AC7347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0F3217E2"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01EAAD40" w14:textId="77777777" w:rsidR="00052A2A" w:rsidRPr="006F4C96" w:rsidRDefault="00052A2A" w:rsidP="008C738E">
            <w:pPr>
              <w:spacing w:after="0" w:line="480" w:lineRule="auto"/>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Number of comorbidities</w:t>
            </w:r>
          </w:p>
        </w:tc>
        <w:tc>
          <w:tcPr>
            <w:tcW w:w="1566" w:type="dxa"/>
            <w:tcBorders>
              <w:top w:val="nil"/>
              <w:left w:val="nil"/>
              <w:bottom w:val="single" w:sz="4" w:space="0" w:color="auto"/>
              <w:right w:val="single" w:sz="4" w:space="0" w:color="auto"/>
            </w:tcBorders>
            <w:shd w:val="clear" w:color="auto" w:fill="auto"/>
            <w:noWrap/>
            <w:hideMark/>
          </w:tcPr>
          <w:p w14:paraId="23053184"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19" w:type="dxa"/>
            <w:tcBorders>
              <w:top w:val="nil"/>
              <w:left w:val="nil"/>
              <w:bottom w:val="single" w:sz="4" w:space="0" w:color="auto"/>
              <w:right w:val="single" w:sz="4" w:space="0" w:color="auto"/>
            </w:tcBorders>
            <w:shd w:val="clear" w:color="auto" w:fill="auto"/>
            <w:noWrap/>
            <w:hideMark/>
          </w:tcPr>
          <w:p w14:paraId="19495074"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1538" w:type="dxa"/>
            <w:tcBorders>
              <w:top w:val="nil"/>
              <w:left w:val="nil"/>
              <w:bottom w:val="single" w:sz="4" w:space="0" w:color="auto"/>
              <w:right w:val="single" w:sz="4" w:space="0" w:color="auto"/>
            </w:tcBorders>
            <w:shd w:val="clear" w:color="auto" w:fill="auto"/>
            <w:noWrap/>
            <w:hideMark/>
          </w:tcPr>
          <w:p w14:paraId="2CA01ECD"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c>
          <w:tcPr>
            <w:tcW w:w="996" w:type="dxa"/>
            <w:tcBorders>
              <w:top w:val="nil"/>
              <w:left w:val="nil"/>
              <w:bottom w:val="single" w:sz="4" w:space="0" w:color="auto"/>
              <w:right w:val="single" w:sz="4" w:space="0" w:color="auto"/>
            </w:tcBorders>
            <w:shd w:val="clear" w:color="auto" w:fill="auto"/>
            <w:noWrap/>
            <w:hideMark/>
          </w:tcPr>
          <w:p w14:paraId="15CA5BD8" w14:textId="77777777" w:rsidR="00052A2A" w:rsidRPr="006F4C96" w:rsidRDefault="00052A2A" w:rsidP="008C738E">
            <w:pPr>
              <w:spacing w:after="0" w:line="480" w:lineRule="auto"/>
              <w:rPr>
                <w:rFonts w:eastAsia="Times New Roman" w:cs="Arial"/>
                <w:sz w:val="20"/>
                <w:szCs w:val="20"/>
                <w:lang w:eastAsia="en-GB"/>
              </w:rPr>
            </w:pPr>
            <w:r w:rsidRPr="006F4C96">
              <w:rPr>
                <w:rFonts w:eastAsia="Times New Roman" w:cs="Arial"/>
                <w:sz w:val="20"/>
                <w:szCs w:val="20"/>
                <w:lang w:eastAsia="en-GB"/>
              </w:rPr>
              <w:t> </w:t>
            </w:r>
          </w:p>
        </w:tc>
      </w:tr>
      <w:tr w:rsidR="006F4C96" w:rsidRPr="006F4C96" w14:paraId="19AE7715"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0FCAE53D"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One LTC vs none</w:t>
            </w:r>
          </w:p>
        </w:tc>
        <w:tc>
          <w:tcPr>
            <w:tcW w:w="1566" w:type="dxa"/>
            <w:tcBorders>
              <w:top w:val="nil"/>
              <w:left w:val="nil"/>
              <w:bottom w:val="single" w:sz="4" w:space="0" w:color="auto"/>
              <w:right w:val="single" w:sz="4" w:space="0" w:color="auto"/>
            </w:tcBorders>
            <w:shd w:val="clear" w:color="auto" w:fill="auto"/>
            <w:noWrap/>
            <w:vAlign w:val="center"/>
            <w:hideMark/>
          </w:tcPr>
          <w:p w14:paraId="75C9081C" w14:textId="369F51E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219</w:t>
            </w:r>
          </w:p>
        </w:tc>
        <w:tc>
          <w:tcPr>
            <w:tcW w:w="919" w:type="dxa"/>
            <w:tcBorders>
              <w:top w:val="nil"/>
              <w:left w:val="nil"/>
              <w:bottom w:val="single" w:sz="4" w:space="0" w:color="auto"/>
              <w:right w:val="single" w:sz="4" w:space="0" w:color="auto"/>
            </w:tcBorders>
            <w:shd w:val="clear" w:color="auto" w:fill="auto"/>
            <w:noWrap/>
            <w:vAlign w:val="center"/>
            <w:hideMark/>
          </w:tcPr>
          <w:p w14:paraId="3C4907CB" w14:textId="19152B9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58BCC6B2" w14:textId="5C3567B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856</w:t>
            </w:r>
          </w:p>
        </w:tc>
        <w:tc>
          <w:tcPr>
            <w:tcW w:w="996" w:type="dxa"/>
            <w:tcBorders>
              <w:top w:val="nil"/>
              <w:left w:val="nil"/>
              <w:bottom w:val="single" w:sz="4" w:space="0" w:color="auto"/>
              <w:right w:val="single" w:sz="4" w:space="0" w:color="auto"/>
            </w:tcBorders>
            <w:shd w:val="clear" w:color="auto" w:fill="auto"/>
            <w:noWrap/>
            <w:vAlign w:val="center"/>
            <w:hideMark/>
          </w:tcPr>
          <w:p w14:paraId="5D1F6D3C" w14:textId="07D9A67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2B080573"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551B23C4"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0D37E674" w14:textId="5408BA81"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198;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240)</w:t>
            </w:r>
          </w:p>
        </w:tc>
        <w:tc>
          <w:tcPr>
            <w:tcW w:w="919" w:type="dxa"/>
            <w:tcBorders>
              <w:top w:val="nil"/>
              <w:left w:val="nil"/>
              <w:bottom w:val="single" w:sz="4" w:space="0" w:color="auto"/>
              <w:right w:val="single" w:sz="4" w:space="0" w:color="auto"/>
            </w:tcBorders>
            <w:shd w:val="clear" w:color="auto" w:fill="auto"/>
            <w:noWrap/>
            <w:vAlign w:val="center"/>
            <w:hideMark/>
          </w:tcPr>
          <w:p w14:paraId="3490B839"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2EF83282" w14:textId="7295BFFF"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735;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986)</w:t>
            </w:r>
          </w:p>
        </w:tc>
        <w:tc>
          <w:tcPr>
            <w:tcW w:w="996" w:type="dxa"/>
            <w:tcBorders>
              <w:top w:val="nil"/>
              <w:left w:val="nil"/>
              <w:bottom w:val="single" w:sz="4" w:space="0" w:color="auto"/>
              <w:right w:val="single" w:sz="4" w:space="0" w:color="auto"/>
            </w:tcBorders>
            <w:shd w:val="clear" w:color="auto" w:fill="auto"/>
            <w:noWrap/>
            <w:vAlign w:val="center"/>
            <w:hideMark/>
          </w:tcPr>
          <w:p w14:paraId="02B669DD"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1E32B596"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DC5CF2A"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Two LTCs vs none</w:t>
            </w:r>
          </w:p>
        </w:tc>
        <w:tc>
          <w:tcPr>
            <w:tcW w:w="1566" w:type="dxa"/>
            <w:tcBorders>
              <w:top w:val="nil"/>
              <w:left w:val="nil"/>
              <w:bottom w:val="single" w:sz="4" w:space="0" w:color="auto"/>
              <w:right w:val="single" w:sz="4" w:space="0" w:color="auto"/>
            </w:tcBorders>
            <w:shd w:val="clear" w:color="auto" w:fill="auto"/>
            <w:noWrap/>
            <w:vAlign w:val="center"/>
            <w:hideMark/>
          </w:tcPr>
          <w:p w14:paraId="58A96C8D" w14:textId="75F37BDD"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422</w:t>
            </w:r>
          </w:p>
        </w:tc>
        <w:tc>
          <w:tcPr>
            <w:tcW w:w="919" w:type="dxa"/>
            <w:tcBorders>
              <w:top w:val="nil"/>
              <w:left w:val="nil"/>
              <w:bottom w:val="single" w:sz="4" w:space="0" w:color="auto"/>
              <w:right w:val="single" w:sz="4" w:space="0" w:color="auto"/>
            </w:tcBorders>
            <w:shd w:val="clear" w:color="auto" w:fill="auto"/>
            <w:noWrap/>
            <w:vAlign w:val="center"/>
            <w:hideMark/>
          </w:tcPr>
          <w:p w14:paraId="76B64572" w14:textId="18E3D29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499319A7" w14:textId="77127D5C"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207</w:t>
            </w:r>
          </w:p>
        </w:tc>
        <w:tc>
          <w:tcPr>
            <w:tcW w:w="996" w:type="dxa"/>
            <w:tcBorders>
              <w:top w:val="nil"/>
              <w:left w:val="nil"/>
              <w:bottom w:val="single" w:sz="4" w:space="0" w:color="auto"/>
              <w:right w:val="single" w:sz="4" w:space="0" w:color="auto"/>
            </w:tcBorders>
            <w:shd w:val="clear" w:color="auto" w:fill="auto"/>
            <w:noWrap/>
            <w:vAlign w:val="center"/>
            <w:hideMark/>
          </w:tcPr>
          <w:p w14:paraId="2B4C0398" w14:textId="1B602D7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0A716C9E"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A6D0D64"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64A77D42" w14:textId="0627A1CA"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396;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449)</w:t>
            </w:r>
          </w:p>
        </w:tc>
        <w:tc>
          <w:tcPr>
            <w:tcW w:w="919" w:type="dxa"/>
            <w:tcBorders>
              <w:top w:val="nil"/>
              <w:left w:val="nil"/>
              <w:bottom w:val="single" w:sz="4" w:space="0" w:color="auto"/>
              <w:right w:val="single" w:sz="4" w:space="0" w:color="auto"/>
            </w:tcBorders>
            <w:shd w:val="clear" w:color="auto" w:fill="auto"/>
            <w:noWrap/>
            <w:vAlign w:val="center"/>
            <w:hideMark/>
          </w:tcPr>
          <w:p w14:paraId="087D3535"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466ED8C4" w14:textId="0F7A974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002; 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426)</w:t>
            </w:r>
          </w:p>
        </w:tc>
        <w:tc>
          <w:tcPr>
            <w:tcW w:w="996" w:type="dxa"/>
            <w:tcBorders>
              <w:top w:val="nil"/>
              <w:left w:val="nil"/>
              <w:bottom w:val="single" w:sz="4" w:space="0" w:color="auto"/>
              <w:right w:val="single" w:sz="4" w:space="0" w:color="auto"/>
            </w:tcBorders>
            <w:shd w:val="clear" w:color="auto" w:fill="auto"/>
            <w:noWrap/>
            <w:vAlign w:val="center"/>
            <w:hideMark/>
          </w:tcPr>
          <w:p w14:paraId="257EBEFB"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57DABC01"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C609D2D"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Three LTCs vs none</w:t>
            </w:r>
          </w:p>
        </w:tc>
        <w:tc>
          <w:tcPr>
            <w:tcW w:w="1566" w:type="dxa"/>
            <w:tcBorders>
              <w:top w:val="nil"/>
              <w:left w:val="nil"/>
              <w:bottom w:val="single" w:sz="4" w:space="0" w:color="auto"/>
              <w:right w:val="single" w:sz="4" w:space="0" w:color="auto"/>
            </w:tcBorders>
            <w:shd w:val="clear" w:color="auto" w:fill="auto"/>
            <w:noWrap/>
            <w:vAlign w:val="center"/>
            <w:hideMark/>
          </w:tcPr>
          <w:p w14:paraId="617A8E87" w14:textId="6D09F952"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660</w:t>
            </w:r>
          </w:p>
        </w:tc>
        <w:tc>
          <w:tcPr>
            <w:tcW w:w="919" w:type="dxa"/>
            <w:tcBorders>
              <w:top w:val="nil"/>
              <w:left w:val="nil"/>
              <w:bottom w:val="single" w:sz="4" w:space="0" w:color="auto"/>
              <w:right w:val="single" w:sz="4" w:space="0" w:color="auto"/>
            </w:tcBorders>
            <w:shd w:val="clear" w:color="auto" w:fill="auto"/>
            <w:noWrap/>
            <w:vAlign w:val="center"/>
            <w:hideMark/>
          </w:tcPr>
          <w:p w14:paraId="35BAC050" w14:textId="32AEB50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58708CC9" w14:textId="7363994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5</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250</w:t>
            </w:r>
          </w:p>
        </w:tc>
        <w:tc>
          <w:tcPr>
            <w:tcW w:w="996" w:type="dxa"/>
            <w:tcBorders>
              <w:top w:val="nil"/>
              <w:left w:val="nil"/>
              <w:bottom w:val="single" w:sz="4" w:space="0" w:color="auto"/>
              <w:right w:val="single" w:sz="4" w:space="0" w:color="auto"/>
            </w:tcBorders>
            <w:shd w:val="clear" w:color="auto" w:fill="auto"/>
            <w:noWrap/>
            <w:vAlign w:val="center"/>
            <w:hideMark/>
          </w:tcPr>
          <w:p w14:paraId="70D5DF0C" w14:textId="4EFCC49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39E38B37"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D6B5AE3"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1A8A9F38" w14:textId="13A4EA23"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624; 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697)</w:t>
            </w:r>
          </w:p>
        </w:tc>
        <w:tc>
          <w:tcPr>
            <w:tcW w:w="919" w:type="dxa"/>
            <w:tcBorders>
              <w:top w:val="nil"/>
              <w:left w:val="nil"/>
              <w:bottom w:val="single" w:sz="4" w:space="0" w:color="auto"/>
              <w:right w:val="single" w:sz="4" w:space="0" w:color="auto"/>
            </w:tcBorders>
            <w:shd w:val="clear" w:color="auto" w:fill="auto"/>
            <w:noWrap/>
            <w:vAlign w:val="center"/>
            <w:hideMark/>
          </w:tcPr>
          <w:p w14:paraId="530AD86C"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621D8019" w14:textId="61A560B9"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(4</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910; 5</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614)</w:t>
            </w:r>
          </w:p>
        </w:tc>
        <w:tc>
          <w:tcPr>
            <w:tcW w:w="996" w:type="dxa"/>
            <w:tcBorders>
              <w:top w:val="nil"/>
              <w:left w:val="nil"/>
              <w:bottom w:val="single" w:sz="4" w:space="0" w:color="auto"/>
              <w:right w:val="single" w:sz="4" w:space="0" w:color="auto"/>
            </w:tcBorders>
            <w:shd w:val="clear" w:color="auto" w:fill="auto"/>
            <w:noWrap/>
            <w:vAlign w:val="center"/>
            <w:hideMark/>
          </w:tcPr>
          <w:p w14:paraId="20C82942"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r w:rsidR="006F4C96" w:rsidRPr="006F4C96" w14:paraId="77644E00"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9608655"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Four or more LTCs vs none</w:t>
            </w:r>
          </w:p>
        </w:tc>
        <w:tc>
          <w:tcPr>
            <w:tcW w:w="1566" w:type="dxa"/>
            <w:tcBorders>
              <w:top w:val="nil"/>
              <w:left w:val="nil"/>
              <w:bottom w:val="single" w:sz="4" w:space="0" w:color="auto"/>
              <w:right w:val="single" w:sz="4" w:space="0" w:color="auto"/>
            </w:tcBorders>
            <w:shd w:val="clear" w:color="auto" w:fill="auto"/>
            <w:noWrap/>
            <w:vAlign w:val="center"/>
            <w:hideMark/>
          </w:tcPr>
          <w:p w14:paraId="370E646A" w14:textId="207C928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148</w:t>
            </w:r>
          </w:p>
        </w:tc>
        <w:tc>
          <w:tcPr>
            <w:tcW w:w="919" w:type="dxa"/>
            <w:tcBorders>
              <w:top w:val="nil"/>
              <w:left w:val="nil"/>
              <w:bottom w:val="single" w:sz="4" w:space="0" w:color="auto"/>
              <w:right w:val="single" w:sz="4" w:space="0" w:color="auto"/>
            </w:tcBorders>
            <w:shd w:val="clear" w:color="auto" w:fill="auto"/>
            <w:noWrap/>
            <w:vAlign w:val="center"/>
            <w:hideMark/>
          </w:tcPr>
          <w:p w14:paraId="3E2F01D0" w14:textId="660DAEB6"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c>
          <w:tcPr>
            <w:tcW w:w="1538" w:type="dxa"/>
            <w:tcBorders>
              <w:top w:val="nil"/>
              <w:left w:val="nil"/>
              <w:bottom w:val="single" w:sz="4" w:space="0" w:color="auto"/>
              <w:right w:val="single" w:sz="4" w:space="0" w:color="auto"/>
            </w:tcBorders>
            <w:shd w:val="clear" w:color="auto" w:fill="auto"/>
            <w:noWrap/>
            <w:vAlign w:val="center"/>
            <w:hideMark/>
          </w:tcPr>
          <w:p w14:paraId="2C655118" w14:textId="35F47760"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12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51</w:t>
            </w:r>
          </w:p>
        </w:tc>
        <w:tc>
          <w:tcPr>
            <w:tcW w:w="996" w:type="dxa"/>
            <w:tcBorders>
              <w:top w:val="nil"/>
              <w:left w:val="nil"/>
              <w:bottom w:val="single" w:sz="4" w:space="0" w:color="auto"/>
              <w:right w:val="single" w:sz="4" w:space="0" w:color="auto"/>
            </w:tcBorders>
            <w:shd w:val="clear" w:color="auto" w:fill="auto"/>
            <w:noWrap/>
            <w:vAlign w:val="center"/>
            <w:hideMark/>
          </w:tcPr>
          <w:p w14:paraId="45E4D8F7" w14:textId="7E946FFE"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&lt;0</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0001</w:t>
            </w:r>
          </w:p>
        </w:tc>
      </w:tr>
      <w:tr w:rsidR="006F4C96" w:rsidRPr="006F4C96" w14:paraId="1E710B6D" w14:textId="77777777" w:rsidTr="003E21FF">
        <w:trPr>
          <w:trHeight w:val="285"/>
          <w:jc w:val="center"/>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5E1140C5" w14:textId="77777777" w:rsidR="00052A2A" w:rsidRPr="006F4C96" w:rsidRDefault="00052A2A" w:rsidP="008C738E">
            <w:pPr>
              <w:spacing w:after="0" w:line="480" w:lineRule="auto"/>
              <w:jc w:val="right"/>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66" w:type="dxa"/>
            <w:tcBorders>
              <w:top w:val="nil"/>
              <w:left w:val="nil"/>
              <w:bottom w:val="single" w:sz="4" w:space="0" w:color="auto"/>
              <w:right w:val="single" w:sz="4" w:space="0" w:color="auto"/>
            </w:tcBorders>
            <w:shd w:val="clear" w:color="auto" w:fill="auto"/>
            <w:noWrap/>
            <w:vAlign w:val="center"/>
            <w:hideMark/>
          </w:tcPr>
          <w:p w14:paraId="56EEBFA0" w14:textId="5AFD0BE5"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102; 2</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195)</w:t>
            </w:r>
          </w:p>
        </w:tc>
        <w:tc>
          <w:tcPr>
            <w:tcW w:w="919" w:type="dxa"/>
            <w:tcBorders>
              <w:top w:val="nil"/>
              <w:left w:val="nil"/>
              <w:bottom w:val="single" w:sz="4" w:space="0" w:color="auto"/>
              <w:right w:val="single" w:sz="4" w:space="0" w:color="auto"/>
            </w:tcBorders>
            <w:shd w:val="clear" w:color="auto" w:fill="auto"/>
            <w:noWrap/>
            <w:vAlign w:val="center"/>
            <w:hideMark/>
          </w:tcPr>
          <w:p w14:paraId="203A32D8"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c>
          <w:tcPr>
            <w:tcW w:w="1538" w:type="dxa"/>
            <w:tcBorders>
              <w:top w:val="nil"/>
              <w:left w:val="nil"/>
              <w:bottom w:val="single" w:sz="4" w:space="0" w:color="auto"/>
              <w:right w:val="single" w:sz="4" w:space="0" w:color="auto"/>
            </w:tcBorders>
            <w:shd w:val="clear" w:color="auto" w:fill="auto"/>
            <w:noWrap/>
            <w:vAlign w:val="center"/>
            <w:hideMark/>
          </w:tcPr>
          <w:p w14:paraId="73BD5A83" w14:textId="71A46EFB"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xml:space="preserve"> (11</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75; 13</w:t>
            </w:r>
            <w:r w:rsidR="000E3CF2" w:rsidRPr="006F4C96">
              <w:rPr>
                <w:rFonts w:ascii="Times New Roman" w:eastAsia="Times New Roman" w:hAnsi="Times New Roman" w:cs="Times New Roman"/>
                <w:sz w:val="20"/>
                <w:szCs w:val="20"/>
                <w:lang w:eastAsia="en-GB"/>
              </w:rPr>
              <w:t>.</w:t>
            </w:r>
            <w:r w:rsidRPr="006F4C96">
              <w:rPr>
                <w:rFonts w:ascii="Times New Roman" w:eastAsia="Times New Roman" w:hAnsi="Times New Roman" w:cs="Times New Roman"/>
                <w:sz w:val="20"/>
                <w:szCs w:val="20"/>
                <w:lang w:eastAsia="en-GB"/>
              </w:rPr>
              <w:t>31)</w:t>
            </w:r>
          </w:p>
        </w:tc>
        <w:tc>
          <w:tcPr>
            <w:tcW w:w="996" w:type="dxa"/>
            <w:tcBorders>
              <w:top w:val="nil"/>
              <w:left w:val="nil"/>
              <w:bottom w:val="single" w:sz="4" w:space="0" w:color="auto"/>
              <w:right w:val="single" w:sz="4" w:space="0" w:color="auto"/>
            </w:tcBorders>
            <w:shd w:val="clear" w:color="auto" w:fill="auto"/>
            <w:noWrap/>
            <w:vAlign w:val="center"/>
            <w:hideMark/>
          </w:tcPr>
          <w:p w14:paraId="42464FD2" w14:textId="77777777" w:rsidR="00052A2A" w:rsidRPr="006F4C96" w:rsidRDefault="00052A2A" w:rsidP="008C738E">
            <w:pPr>
              <w:spacing w:after="0" w:line="480" w:lineRule="auto"/>
              <w:jc w:val="center"/>
              <w:rPr>
                <w:rFonts w:ascii="Times New Roman" w:eastAsia="Times New Roman" w:hAnsi="Times New Roman" w:cs="Times New Roman"/>
                <w:sz w:val="20"/>
                <w:szCs w:val="20"/>
                <w:lang w:eastAsia="en-GB"/>
              </w:rPr>
            </w:pPr>
            <w:r w:rsidRPr="006F4C96">
              <w:rPr>
                <w:rFonts w:ascii="Times New Roman" w:eastAsia="Times New Roman" w:hAnsi="Times New Roman" w:cs="Times New Roman"/>
                <w:sz w:val="20"/>
                <w:szCs w:val="20"/>
                <w:lang w:eastAsia="en-GB"/>
              </w:rPr>
              <w:t> </w:t>
            </w:r>
          </w:p>
        </w:tc>
      </w:tr>
    </w:tbl>
    <w:p w14:paraId="44A14C7F" w14:textId="4C429243" w:rsidR="003E21FF" w:rsidRPr="006F4C96" w:rsidRDefault="006D58B7" w:rsidP="008C738E">
      <w:pPr>
        <w:spacing w:after="0" w:line="480" w:lineRule="auto"/>
        <w:rPr>
          <w:rFonts w:ascii="Times New Roman" w:hAnsi="Times New Roman" w:cs="Times New Roman"/>
          <w:sz w:val="20"/>
        </w:rPr>
      </w:pPr>
      <w:r w:rsidRPr="006F4C96">
        <w:rPr>
          <w:rFonts w:ascii="Times New Roman" w:hAnsi="Times New Roman" w:cs="Times New Roman"/>
          <w:sz w:val="20"/>
          <w:szCs w:val="20"/>
          <w:vertAlign w:val="superscript"/>
        </w:rPr>
        <w:sym w:font="Symbol" w:char="F0F2"/>
      </w:r>
      <w:r w:rsidR="003E21FF" w:rsidRPr="006F4C96">
        <w:rPr>
          <w:rFonts w:ascii="Times New Roman" w:hAnsi="Times New Roman" w:cs="Times New Roman"/>
          <w:sz w:val="20"/>
        </w:rPr>
        <w:t xml:space="preserve"> BIC=699491; pseudo–R</w:t>
      </w:r>
      <w:r w:rsidR="003E21FF" w:rsidRPr="006F4C96">
        <w:rPr>
          <w:rFonts w:ascii="Times New Roman" w:hAnsi="Times New Roman" w:cs="Times New Roman"/>
          <w:sz w:val="20"/>
          <w:vertAlign w:val="superscript"/>
        </w:rPr>
        <w:t>2</w:t>
      </w:r>
      <w:r w:rsidR="003E21FF" w:rsidRPr="006F4C96">
        <w:rPr>
          <w:rFonts w:ascii="Times New Roman" w:hAnsi="Times New Roman" w:cs="Times New Roman"/>
          <w:sz w:val="20"/>
        </w:rPr>
        <w:t>=6</w:t>
      </w:r>
      <w:r w:rsidR="000E3CF2" w:rsidRPr="006F4C96">
        <w:rPr>
          <w:rFonts w:ascii="Times New Roman" w:hAnsi="Times New Roman" w:cs="Times New Roman"/>
          <w:sz w:val="20"/>
        </w:rPr>
        <w:t>.</w:t>
      </w:r>
      <w:r w:rsidR="003E21FF" w:rsidRPr="006F4C96">
        <w:rPr>
          <w:rFonts w:ascii="Times New Roman" w:hAnsi="Times New Roman" w:cs="Times New Roman"/>
          <w:sz w:val="20"/>
        </w:rPr>
        <w:t>6%. *Fifths of deprivation were derived from the Townsend index of deprivation (2011). LTC: long–term medical condition.</w:t>
      </w:r>
    </w:p>
    <w:p w14:paraId="31456D02" w14:textId="0A30FCFD" w:rsidR="003E21FF" w:rsidRPr="006F4C96" w:rsidRDefault="003E21FF" w:rsidP="008C738E">
      <w:pPr>
        <w:spacing w:after="0"/>
        <w:rPr>
          <w:rFonts w:ascii="Times New Roman" w:hAnsi="Times New Roman" w:cs="Times New Roman"/>
          <w:sz w:val="20"/>
        </w:rPr>
      </w:pPr>
      <w:r w:rsidRPr="006F4C96">
        <w:rPr>
          <w:rFonts w:ascii="Times New Roman" w:hAnsi="Times New Roman" w:cs="Times New Roman"/>
          <w:sz w:val="20"/>
        </w:rPr>
        <w:br w:type="page"/>
      </w:r>
    </w:p>
    <w:p w14:paraId="43F5701D" w14:textId="759B16BB" w:rsidR="003E21FF" w:rsidRPr="006F4C96" w:rsidRDefault="003E21FF" w:rsidP="008C738E">
      <w:pPr>
        <w:pStyle w:val="Caption"/>
        <w:spacing w:after="0" w:line="480" w:lineRule="auto"/>
        <w:rPr>
          <w:rFonts w:ascii="Times New Roman" w:hAnsi="Times New Roman" w:cs="Times New Roman"/>
          <w:b/>
          <w:i w:val="0"/>
          <w:color w:val="auto"/>
          <w:sz w:val="22"/>
          <w:szCs w:val="20"/>
        </w:rPr>
      </w:pPr>
      <w:r w:rsidRPr="006F4C96">
        <w:rPr>
          <w:rFonts w:ascii="Times New Roman" w:hAnsi="Times New Roman" w:cs="Times New Roman"/>
          <w:b/>
          <w:i w:val="0"/>
          <w:color w:val="auto"/>
          <w:sz w:val="22"/>
          <w:szCs w:val="20"/>
        </w:rPr>
        <w:t>Figure 1: Relative risk ratios for the association of standardised leucocyte telomere length with frailty, by age and sex.</w:t>
      </w:r>
    </w:p>
    <w:p w14:paraId="690DAF9D" w14:textId="30F1F094" w:rsidR="003E21FF" w:rsidRPr="006F4C96" w:rsidRDefault="003E21FF" w:rsidP="008C738E">
      <w:pPr>
        <w:spacing w:after="0" w:line="480" w:lineRule="auto"/>
        <w:rPr>
          <w:rFonts w:ascii="Times New Roman" w:hAnsi="Times New Roman" w:cs="Times New Roman"/>
          <w:sz w:val="20"/>
        </w:rPr>
      </w:pPr>
      <w:r w:rsidRPr="006F4C96">
        <w:rPr>
          <w:rFonts w:ascii="Times New Roman" w:hAnsi="Times New Roman" w:cs="Times New Roman"/>
          <w:b/>
          <w:sz w:val="20"/>
        </w:rPr>
        <w:t>Legend:</w:t>
      </w:r>
      <w:r w:rsidRPr="006F4C96">
        <w:rPr>
          <w:rFonts w:ascii="Times New Roman" w:hAnsi="Times New Roman" w:cs="Times New Roman"/>
          <w:sz w:val="20"/>
        </w:rPr>
        <w:t xml:space="preserve"> Relative risk ratios derived from the estimates of age and leucocyte telomere length (LTL) for the frailty vs non–frailty model shown in Table 4, compared to a 40 year old male whilst holding all the rest of the covariates constant. The gradient in the association between age and LTL is shown, with a </w:t>
      </w:r>
      <w:r w:rsidR="00D037ED" w:rsidRPr="006F4C96">
        <w:rPr>
          <w:rFonts w:ascii="Times New Roman" w:hAnsi="Times New Roman" w:cs="Times New Roman"/>
          <w:sz w:val="20"/>
        </w:rPr>
        <w:t xml:space="preserve">slightly </w:t>
      </w:r>
      <w:r w:rsidRPr="006F4C96">
        <w:rPr>
          <w:rFonts w:ascii="Times New Roman" w:hAnsi="Times New Roman" w:cs="Times New Roman"/>
          <w:sz w:val="20"/>
        </w:rPr>
        <w:t>sharper decline for participants with LTL &lt;0SD compared to &gt;0SD (p for LTL quadratic term=0.03) in both males and females. Compared to males, females have a higher risk of frailty in any given age or LTL group. Within sex, the age differences are more evident in males (p for interaction &lt;0</w:t>
      </w:r>
      <w:r w:rsidR="000E3CF2" w:rsidRPr="006F4C96">
        <w:rPr>
          <w:rFonts w:ascii="Times New Roman" w:hAnsi="Times New Roman" w:cs="Times New Roman"/>
          <w:sz w:val="20"/>
        </w:rPr>
        <w:t>.</w:t>
      </w:r>
      <w:r w:rsidRPr="006F4C96">
        <w:rPr>
          <w:rFonts w:ascii="Times New Roman" w:hAnsi="Times New Roman" w:cs="Times New Roman"/>
          <w:sz w:val="20"/>
        </w:rPr>
        <w:t>0001).</w:t>
      </w:r>
    </w:p>
    <w:p w14:paraId="7696394D" w14:textId="52DD4A42" w:rsidR="003E21FF" w:rsidRPr="006F4C96" w:rsidRDefault="003E21FF" w:rsidP="008C738E">
      <w:pPr>
        <w:spacing w:after="0"/>
        <w:rPr>
          <w:rFonts w:ascii="Times New Roman" w:hAnsi="Times New Roman" w:cs="Times New Roman"/>
          <w:b/>
        </w:rPr>
      </w:pPr>
    </w:p>
    <w:p w14:paraId="22EF400D" w14:textId="39AE80F6" w:rsidR="00D0041C" w:rsidRPr="006F4C96" w:rsidRDefault="00D0041C" w:rsidP="008C738E">
      <w:pPr>
        <w:spacing w:after="0" w:line="480" w:lineRule="auto"/>
        <w:rPr>
          <w:rFonts w:ascii="Times New Roman" w:hAnsi="Times New Roman" w:cs="Times New Roman"/>
          <w:sz w:val="20"/>
        </w:rPr>
      </w:pPr>
      <w:r w:rsidRPr="006F4C96">
        <w:rPr>
          <w:rFonts w:ascii="Times New Roman" w:hAnsi="Times New Roman" w:cs="Times New Roman"/>
          <w:b/>
        </w:rPr>
        <w:t xml:space="preserve">Figure </w:t>
      </w:r>
      <w:r w:rsidR="003E21FF" w:rsidRPr="006F4C96">
        <w:rPr>
          <w:rFonts w:ascii="Times New Roman" w:hAnsi="Times New Roman" w:cs="Times New Roman"/>
          <w:b/>
        </w:rPr>
        <w:t>2</w:t>
      </w:r>
      <w:r w:rsidRPr="006F4C96">
        <w:rPr>
          <w:rFonts w:ascii="Times New Roman" w:hAnsi="Times New Roman" w:cs="Times New Roman"/>
          <w:b/>
        </w:rPr>
        <w:t xml:space="preserve">: Predicted </w:t>
      </w:r>
      <w:r w:rsidR="000616C3" w:rsidRPr="006F4C96">
        <w:rPr>
          <w:rFonts w:ascii="Times New Roman" w:hAnsi="Times New Roman" w:cs="Times New Roman"/>
          <w:b/>
        </w:rPr>
        <w:t xml:space="preserve">frequencies </w:t>
      </w:r>
      <w:r w:rsidRPr="006F4C96">
        <w:rPr>
          <w:rFonts w:ascii="Times New Roman" w:hAnsi="Times New Roman" w:cs="Times New Roman"/>
          <w:b/>
        </w:rPr>
        <w:t xml:space="preserve">of frailty </w:t>
      </w:r>
      <w:r w:rsidR="000616C3" w:rsidRPr="006F4C96">
        <w:rPr>
          <w:rFonts w:ascii="Times New Roman" w:hAnsi="Times New Roman" w:cs="Times New Roman"/>
          <w:b/>
        </w:rPr>
        <w:t>by</w:t>
      </w:r>
      <w:r w:rsidRPr="006F4C96">
        <w:rPr>
          <w:rFonts w:ascii="Times New Roman" w:hAnsi="Times New Roman" w:cs="Times New Roman"/>
          <w:b/>
        </w:rPr>
        <w:t xml:space="preserve"> chronological age, over four specific telomere lengths.</w:t>
      </w:r>
    </w:p>
    <w:p w14:paraId="3D27EC7D" w14:textId="2C4AC869" w:rsidR="00D0041C" w:rsidRPr="006F4C96" w:rsidRDefault="00D0041C" w:rsidP="008C738E">
      <w:pPr>
        <w:spacing w:after="0" w:line="480" w:lineRule="auto"/>
        <w:rPr>
          <w:rFonts w:ascii="Times New Roman" w:hAnsi="Times New Roman" w:cs="Times New Roman"/>
          <w:sz w:val="20"/>
        </w:rPr>
      </w:pPr>
      <w:r w:rsidRPr="006F4C96">
        <w:rPr>
          <w:rFonts w:ascii="Times New Roman" w:hAnsi="Times New Roman" w:cs="Times New Roman"/>
          <w:b/>
          <w:sz w:val="20"/>
        </w:rPr>
        <w:t>Legend:</w:t>
      </w:r>
      <w:r w:rsidRPr="006F4C96">
        <w:rPr>
          <w:rFonts w:ascii="Times New Roman" w:hAnsi="Times New Roman" w:cs="Times New Roman"/>
          <w:sz w:val="20"/>
        </w:rPr>
        <w:t xml:space="preserve"> </w:t>
      </w:r>
      <w:r w:rsidR="00F043E9" w:rsidRPr="006F4C96">
        <w:rPr>
          <w:rFonts w:ascii="Times New Roman" w:hAnsi="Times New Roman" w:cs="Times New Roman"/>
          <w:sz w:val="20"/>
        </w:rPr>
        <w:t>Predicted frequency of frailty is derived from the estimates of age and leucocyte telomere length (LTL) for the frailty vs non–frailty model shown in Table 4, holding all the rest of the covariates at their observed values</w:t>
      </w:r>
      <w:r w:rsidRPr="006F4C96">
        <w:rPr>
          <w:rFonts w:ascii="Times New Roman" w:hAnsi="Times New Roman" w:cs="Times New Roman"/>
          <w:sz w:val="20"/>
        </w:rPr>
        <w:t>. Bars indicate the average predicted frequency of frailty, whilst error bars indicate the 95% confidence interval</w:t>
      </w:r>
      <w:r w:rsidR="00B278BE" w:rsidRPr="006F4C96">
        <w:rPr>
          <w:rFonts w:ascii="Times New Roman" w:hAnsi="Times New Roman" w:cs="Times New Roman"/>
          <w:sz w:val="20"/>
        </w:rPr>
        <w:t xml:space="preserve"> (CI)</w:t>
      </w:r>
      <w:r w:rsidRPr="006F4C96">
        <w:rPr>
          <w:rFonts w:ascii="Times New Roman" w:hAnsi="Times New Roman" w:cs="Times New Roman"/>
          <w:sz w:val="20"/>
        </w:rPr>
        <w:t xml:space="preserve">. </w:t>
      </w:r>
      <w:r w:rsidR="00B278BE" w:rsidRPr="006F4C96">
        <w:rPr>
          <w:rFonts w:ascii="Times New Roman" w:hAnsi="Times New Roman" w:cs="Times New Roman"/>
          <w:sz w:val="20"/>
        </w:rPr>
        <w:t xml:space="preserve">The ratio between two predicted frequencies (95% CI) is also given. </w:t>
      </w:r>
      <w:r w:rsidRPr="006F4C96">
        <w:rPr>
          <w:rFonts w:ascii="Times New Roman" w:hAnsi="Times New Roman" w:cs="Times New Roman"/>
          <w:sz w:val="20"/>
        </w:rPr>
        <w:t xml:space="preserve">There are approximately 2% (8,364) participants with LTL equal to -2SD or +2SD, and 9% (41,768) participants with LTL equal to -1SD or +1SD. </w:t>
      </w:r>
    </w:p>
    <w:p w14:paraId="4BF73418" w14:textId="0743DD3B" w:rsidR="00E53280" w:rsidRPr="006F4C96" w:rsidRDefault="00E53280" w:rsidP="008C738E">
      <w:pPr>
        <w:spacing w:after="0" w:line="480" w:lineRule="auto"/>
        <w:rPr>
          <w:rFonts w:ascii="Times New Roman" w:hAnsi="Times New Roman" w:cs="Times New Roman"/>
          <w:sz w:val="20"/>
        </w:rPr>
      </w:pPr>
    </w:p>
    <w:p w14:paraId="76B46730" w14:textId="77777777" w:rsidR="00E53280" w:rsidRPr="006F4C96" w:rsidRDefault="00E53280" w:rsidP="00E53280">
      <w:pPr>
        <w:spacing w:after="0" w:line="480" w:lineRule="auto"/>
        <w:rPr>
          <w:rFonts w:ascii="Times New Roman" w:hAnsi="Times New Roman" w:cs="Times New Roman"/>
          <w:b/>
        </w:rPr>
      </w:pPr>
      <w:r w:rsidRPr="006F4C96">
        <w:rPr>
          <w:rFonts w:ascii="Times New Roman" w:hAnsi="Times New Roman" w:cs="Times New Roman"/>
          <w:b/>
        </w:rPr>
        <w:t>Figure 3: Results (odds ratios (95% confidence intervals)) from mendelian randomization (MR) and multinomial regression to assess respectively the causal (</w:t>
      </w:r>
      <w:r w:rsidRPr="006F4C96">
        <w:rPr>
          <w:rFonts w:ascii="Times New Roman" w:hAnsi="Times New Roman" w:cs="Times New Roman"/>
          <w:b/>
          <w:i/>
        </w:rPr>
        <w:t>MR</w:t>
      </w:r>
      <w:r w:rsidRPr="006F4C96">
        <w:rPr>
          <w:rFonts w:ascii="Times New Roman" w:hAnsi="Times New Roman" w:cs="Times New Roman"/>
          <w:b/>
        </w:rPr>
        <w:t>) and the observational (</w:t>
      </w:r>
      <w:r w:rsidRPr="006F4C96">
        <w:rPr>
          <w:rFonts w:ascii="Times New Roman" w:hAnsi="Times New Roman" w:cs="Times New Roman"/>
          <w:b/>
          <w:i/>
        </w:rPr>
        <w:t>Data</w:t>
      </w:r>
      <w:r w:rsidRPr="006F4C96">
        <w:rPr>
          <w:rFonts w:ascii="Times New Roman" w:hAnsi="Times New Roman" w:cs="Times New Roman"/>
          <w:b/>
        </w:rPr>
        <w:t>) association between telomere length and frailty.</w:t>
      </w:r>
    </w:p>
    <w:p w14:paraId="69ED19B4" w14:textId="7A7507AD" w:rsidR="00E53280" w:rsidRPr="006F4C96" w:rsidRDefault="00E53280" w:rsidP="00E53280">
      <w:pPr>
        <w:spacing w:after="0" w:line="480" w:lineRule="auto"/>
        <w:rPr>
          <w:rFonts w:ascii="Times New Roman" w:hAnsi="Times New Roman" w:cs="Times New Roman"/>
          <w:sz w:val="20"/>
        </w:rPr>
      </w:pPr>
      <w:r w:rsidRPr="006F4C96">
        <w:rPr>
          <w:rFonts w:ascii="Times New Roman" w:hAnsi="Times New Roman" w:cs="Times New Roman"/>
          <w:b/>
          <w:sz w:val="20"/>
        </w:rPr>
        <w:t>Legend:</w:t>
      </w:r>
      <w:r w:rsidRPr="006F4C96">
        <w:rPr>
          <w:rFonts w:ascii="Times New Roman" w:hAnsi="Times New Roman" w:cs="Times New Roman"/>
          <w:sz w:val="20"/>
        </w:rPr>
        <w:t xml:space="preserve"> In addition to array and first 10 principal components of the age &amp; sex adjusted causal model, covariates included in the fully adjusted causal model were deprivation, alcohol intake, smoking, body mass index, and number of long–term medical conditions.</w:t>
      </w:r>
    </w:p>
    <w:p w14:paraId="1F9B271B" w14:textId="77777777" w:rsidR="00E53280" w:rsidRPr="006F4C96" w:rsidRDefault="00E53280" w:rsidP="008C738E">
      <w:pPr>
        <w:spacing w:after="0" w:line="480" w:lineRule="auto"/>
      </w:pPr>
    </w:p>
    <w:sectPr w:rsidR="00E53280" w:rsidRPr="006F4C9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1F17" w16cex:dateUtc="2021-05-21T10:59:00Z"/>
  <w16cex:commentExtensible w16cex:durableId="24521EDB" w16cex:dateUtc="2021-05-21T10:58:00Z"/>
  <w16cex:commentExtensible w16cex:durableId="24515D10" w16cex:dateUtc="2021-05-20T21:11:00Z"/>
  <w16cex:commentExtensible w16cex:durableId="24516843" w16cex:dateUtc="2021-05-20T21:59:00Z"/>
  <w16cex:commentExtensible w16cex:durableId="2451693E" w16cex:dateUtc="2021-05-20T22:03:00Z"/>
  <w16cex:commentExtensible w16cex:durableId="24521C7E" w16cex:dateUtc="2021-05-21T10:48:00Z"/>
  <w16cex:commentExtensible w16cex:durableId="24516AA1" w16cex:dateUtc="2021-05-20T22:09:00Z"/>
  <w16cex:commentExtensible w16cex:durableId="24516B42" w16cex:dateUtc="2021-05-20T22:12:00Z"/>
  <w16cex:commentExtensible w16cex:durableId="24516BAE" w16cex:dateUtc="2021-05-20T22:13:00Z"/>
  <w16cex:commentExtensible w16cex:durableId="24516CF0" w16cex:dateUtc="2021-05-20T22:19:00Z"/>
  <w16cex:commentExtensible w16cex:durableId="24516EFB" w16cex:dateUtc="2021-05-20T22:27:00Z"/>
  <w16cex:commentExtensible w16cex:durableId="24517222" w16cex:dateUtc="2021-05-20T22:41:00Z"/>
  <w16cex:commentExtensible w16cex:durableId="24517053" w16cex:dateUtc="2021-05-20T22:33:00Z"/>
  <w16cex:commentExtensible w16cex:durableId="24517022" w16cex:dateUtc="2021-05-20T22:32:00Z"/>
  <w16cex:commentExtensible w16cex:durableId="24521C2D" w16cex:dateUtc="2021-05-21T10:46:00Z"/>
  <w16cex:commentExtensible w16cex:durableId="24521BC5" w16cex:dateUtc="2021-05-21T10:45:00Z"/>
  <w16cex:commentExtensible w16cex:durableId="24521BDA" w16cex:dateUtc="2021-05-21T10:45:00Z"/>
  <w16cex:commentExtensible w16cex:durableId="24521DB5" w16cex:dateUtc="2021-05-21T10:53:00Z"/>
  <w16cex:commentExtensible w16cex:durableId="24521FAC" w16cex:dateUtc="2021-05-2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21707" w16cid:durableId="24521F17"/>
  <w16cid:commentId w16cid:paraId="742995CC" w16cid:durableId="24521EDB"/>
  <w16cid:commentId w16cid:paraId="3CC8FD07" w16cid:durableId="24515D10"/>
  <w16cid:commentId w16cid:paraId="71669A15" w16cid:durableId="24515B0C"/>
  <w16cid:commentId w16cid:paraId="1332F898" w16cid:durableId="24516843"/>
  <w16cid:commentId w16cid:paraId="15ED93BC" w16cid:durableId="2451693E"/>
  <w16cid:commentId w16cid:paraId="56EED8A3" w16cid:durableId="24521C7E"/>
  <w16cid:commentId w16cid:paraId="0B177ACE" w16cid:durableId="24516AA1"/>
  <w16cid:commentId w16cid:paraId="6D77AE2D" w16cid:durableId="24516B42"/>
  <w16cid:commentId w16cid:paraId="7AE985BA" w16cid:durableId="24516BAE"/>
  <w16cid:commentId w16cid:paraId="44B596FD" w16cid:durableId="24516CF0"/>
  <w16cid:commentId w16cid:paraId="62F738B0" w16cid:durableId="24516EFB"/>
  <w16cid:commentId w16cid:paraId="3858AFAE" w16cid:durableId="24517222"/>
  <w16cid:commentId w16cid:paraId="4319956D" w16cid:durableId="24517053"/>
  <w16cid:commentId w16cid:paraId="1F256FF2" w16cid:durableId="24517022"/>
  <w16cid:commentId w16cid:paraId="1EC8C510" w16cid:durableId="24515B0D"/>
  <w16cid:commentId w16cid:paraId="4E504EF1" w16cid:durableId="24515B0E"/>
  <w16cid:commentId w16cid:paraId="5A43058D" w16cid:durableId="24515B0F"/>
  <w16cid:commentId w16cid:paraId="657197D6" w16cid:durableId="24521C2D"/>
  <w16cid:commentId w16cid:paraId="7182B01F" w16cid:durableId="24521BC5"/>
  <w16cid:commentId w16cid:paraId="3E6AC08E" w16cid:durableId="24521BDA"/>
  <w16cid:commentId w16cid:paraId="25D3BD9A" w16cid:durableId="24521DB5"/>
  <w16cid:commentId w16cid:paraId="2AE7D350" w16cid:durableId="24521F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4615" w14:textId="77777777" w:rsidR="006049BB" w:rsidRDefault="006049BB" w:rsidP="00933B53">
      <w:pPr>
        <w:spacing w:after="0" w:line="240" w:lineRule="auto"/>
      </w:pPr>
      <w:r>
        <w:separator/>
      </w:r>
    </w:p>
  </w:endnote>
  <w:endnote w:type="continuationSeparator" w:id="0">
    <w:p w14:paraId="3B2FA686" w14:textId="77777777" w:rsidR="006049BB" w:rsidRDefault="006049BB" w:rsidP="0093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43528"/>
      <w:docPartObj>
        <w:docPartGallery w:val="Page Numbers (Bottom of Page)"/>
        <w:docPartUnique/>
      </w:docPartObj>
    </w:sdtPr>
    <w:sdtEndPr>
      <w:rPr>
        <w:noProof/>
      </w:rPr>
    </w:sdtEndPr>
    <w:sdtContent>
      <w:p w14:paraId="5D3A89DA" w14:textId="6BA9E3F9" w:rsidR="006049BB" w:rsidRDefault="006049BB">
        <w:pPr>
          <w:pStyle w:val="Footer"/>
          <w:jc w:val="right"/>
        </w:pPr>
        <w:r>
          <w:fldChar w:fldCharType="begin"/>
        </w:r>
        <w:r>
          <w:instrText xml:space="preserve"> PAGE   \* MERGEFORMAT </w:instrText>
        </w:r>
        <w:r>
          <w:fldChar w:fldCharType="separate"/>
        </w:r>
        <w:r w:rsidR="0052436F">
          <w:rPr>
            <w:noProof/>
          </w:rPr>
          <w:t>0</w:t>
        </w:r>
        <w:r>
          <w:rPr>
            <w:noProof/>
          </w:rPr>
          <w:fldChar w:fldCharType="end"/>
        </w:r>
      </w:p>
    </w:sdtContent>
  </w:sdt>
  <w:p w14:paraId="1CC34464" w14:textId="77777777" w:rsidR="006049BB" w:rsidRDefault="006049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3F05A" w14:textId="77777777" w:rsidR="006049BB" w:rsidRDefault="006049BB" w:rsidP="00933B53">
      <w:pPr>
        <w:spacing w:after="0" w:line="240" w:lineRule="auto"/>
      </w:pPr>
      <w:r>
        <w:separator/>
      </w:r>
    </w:p>
  </w:footnote>
  <w:footnote w:type="continuationSeparator" w:id="0">
    <w:p w14:paraId="6250F1B6" w14:textId="77777777" w:rsidR="006049BB" w:rsidRDefault="006049BB" w:rsidP="00933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B00"/>
    <w:multiLevelType w:val="hybridMultilevel"/>
    <w:tmpl w:val="7D90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3E5137"/>
    <w:multiLevelType w:val="multilevel"/>
    <w:tmpl w:val="EB62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E6316"/>
    <w:multiLevelType w:val="hybridMultilevel"/>
    <w:tmpl w:val="04AA3FD0"/>
    <w:lvl w:ilvl="0" w:tplc="6FE2A9DC">
      <w:start w:val="1"/>
      <w:numFmt w:val="decimal"/>
      <w:lvlText w:val="%1."/>
      <w:lvlJc w:val="left"/>
      <w:pPr>
        <w:ind w:left="720" w:hanging="360"/>
      </w:pPr>
      <w:rPr>
        <w:rFonts w:ascii="Times New Roman" w:hAnsi="Times New Roman" w:cs="Arial" w:hint="default"/>
        <w:b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E3F01A7"/>
    <w:multiLevelType w:val="hybridMultilevel"/>
    <w:tmpl w:val="81C290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BE6598D-30D2-4AFA-AF96-67BADA0D9F82}"/>
    <w:docVar w:name="dgnword-eventsink" w:val="2675638461920"/>
  </w:docVars>
  <w:rsids>
    <w:rsidRoot w:val="00C3096D"/>
    <w:rsid w:val="00004706"/>
    <w:rsid w:val="00007511"/>
    <w:rsid w:val="00021FD6"/>
    <w:rsid w:val="00024173"/>
    <w:rsid w:val="000268E5"/>
    <w:rsid w:val="0003124C"/>
    <w:rsid w:val="0003147C"/>
    <w:rsid w:val="000344D7"/>
    <w:rsid w:val="000362A9"/>
    <w:rsid w:val="0003659D"/>
    <w:rsid w:val="00041145"/>
    <w:rsid w:val="000412B8"/>
    <w:rsid w:val="00042F27"/>
    <w:rsid w:val="000441F4"/>
    <w:rsid w:val="000469AF"/>
    <w:rsid w:val="00051248"/>
    <w:rsid w:val="00052A2A"/>
    <w:rsid w:val="00057F22"/>
    <w:rsid w:val="000616C3"/>
    <w:rsid w:val="00063071"/>
    <w:rsid w:val="000641D5"/>
    <w:rsid w:val="000642D8"/>
    <w:rsid w:val="00065DD5"/>
    <w:rsid w:val="00066634"/>
    <w:rsid w:val="00067765"/>
    <w:rsid w:val="00071276"/>
    <w:rsid w:val="000722BB"/>
    <w:rsid w:val="00075F1E"/>
    <w:rsid w:val="000902C1"/>
    <w:rsid w:val="000947F8"/>
    <w:rsid w:val="000973D5"/>
    <w:rsid w:val="000A26E0"/>
    <w:rsid w:val="000A4B0E"/>
    <w:rsid w:val="000B081B"/>
    <w:rsid w:val="000B1CA4"/>
    <w:rsid w:val="000B1F1D"/>
    <w:rsid w:val="000B436D"/>
    <w:rsid w:val="000B7E46"/>
    <w:rsid w:val="000C576E"/>
    <w:rsid w:val="000D2C6C"/>
    <w:rsid w:val="000D4560"/>
    <w:rsid w:val="000E3CF2"/>
    <w:rsid w:val="000F2515"/>
    <w:rsid w:val="000F661D"/>
    <w:rsid w:val="000F7A1A"/>
    <w:rsid w:val="00115680"/>
    <w:rsid w:val="00115CB7"/>
    <w:rsid w:val="00115F64"/>
    <w:rsid w:val="00122C9D"/>
    <w:rsid w:val="0012430C"/>
    <w:rsid w:val="00125B44"/>
    <w:rsid w:val="00125F7E"/>
    <w:rsid w:val="00131ABB"/>
    <w:rsid w:val="00131B9D"/>
    <w:rsid w:val="00132B17"/>
    <w:rsid w:val="00132DBE"/>
    <w:rsid w:val="001446CC"/>
    <w:rsid w:val="00152968"/>
    <w:rsid w:val="00165471"/>
    <w:rsid w:val="00166378"/>
    <w:rsid w:val="00174574"/>
    <w:rsid w:val="0017668B"/>
    <w:rsid w:val="00177D76"/>
    <w:rsid w:val="00180976"/>
    <w:rsid w:val="001A0980"/>
    <w:rsid w:val="001A3B73"/>
    <w:rsid w:val="001A4F2B"/>
    <w:rsid w:val="001B303A"/>
    <w:rsid w:val="001B636D"/>
    <w:rsid w:val="001B6A17"/>
    <w:rsid w:val="001C1E4D"/>
    <w:rsid w:val="001C3FBD"/>
    <w:rsid w:val="001D0D78"/>
    <w:rsid w:val="001D1116"/>
    <w:rsid w:val="001E1315"/>
    <w:rsid w:val="001F3E13"/>
    <w:rsid w:val="00200D3A"/>
    <w:rsid w:val="00214AB5"/>
    <w:rsid w:val="00227C97"/>
    <w:rsid w:val="00237260"/>
    <w:rsid w:val="00244A53"/>
    <w:rsid w:val="00252E0D"/>
    <w:rsid w:val="00261167"/>
    <w:rsid w:val="002613C3"/>
    <w:rsid w:val="00266306"/>
    <w:rsid w:val="00267AA9"/>
    <w:rsid w:val="00283F66"/>
    <w:rsid w:val="00291D6C"/>
    <w:rsid w:val="00293081"/>
    <w:rsid w:val="00297743"/>
    <w:rsid w:val="002A524C"/>
    <w:rsid w:val="002A6CE3"/>
    <w:rsid w:val="002B4641"/>
    <w:rsid w:val="002B763E"/>
    <w:rsid w:val="002C21E6"/>
    <w:rsid w:val="002C4AFD"/>
    <w:rsid w:val="002D5A2C"/>
    <w:rsid w:val="002E177E"/>
    <w:rsid w:val="002E6C20"/>
    <w:rsid w:val="002F1C61"/>
    <w:rsid w:val="002F1CB6"/>
    <w:rsid w:val="002F2F45"/>
    <w:rsid w:val="002F5513"/>
    <w:rsid w:val="00320D56"/>
    <w:rsid w:val="00326EF8"/>
    <w:rsid w:val="0033434E"/>
    <w:rsid w:val="0033513B"/>
    <w:rsid w:val="00337BEE"/>
    <w:rsid w:val="003403A2"/>
    <w:rsid w:val="00341706"/>
    <w:rsid w:val="0034514C"/>
    <w:rsid w:val="00346757"/>
    <w:rsid w:val="003539B2"/>
    <w:rsid w:val="00356C23"/>
    <w:rsid w:val="00363730"/>
    <w:rsid w:val="00375A5E"/>
    <w:rsid w:val="00375F4B"/>
    <w:rsid w:val="00383E1F"/>
    <w:rsid w:val="00394818"/>
    <w:rsid w:val="00394F06"/>
    <w:rsid w:val="003A2520"/>
    <w:rsid w:val="003A55FB"/>
    <w:rsid w:val="003B037E"/>
    <w:rsid w:val="003B322D"/>
    <w:rsid w:val="003B4396"/>
    <w:rsid w:val="003B5536"/>
    <w:rsid w:val="003B7C7B"/>
    <w:rsid w:val="003C4501"/>
    <w:rsid w:val="003D012F"/>
    <w:rsid w:val="003D2A43"/>
    <w:rsid w:val="003D489E"/>
    <w:rsid w:val="003D4CBC"/>
    <w:rsid w:val="003E1A72"/>
    <w:rsid w:val="003E21FF"/>
    <w:rsid w:val="003E4ACD"/>
    <w:rsid w:val="003E5D1C"/>
    <w:rsid w:val="003F776D"/>
    <w:rsid w:val="00404058"/>
    <w:rsid w:val="004119DB"/>
    <w:rsid w:val="00413F2D"/>
    <w:rsid w:val="00414572"/>
    <w:rsid w:val="00415F32"/>
    <w:rsid w:val="0041602E"/>
    <w:rsid w:val="0042090B"/>
    <w:rsid w:val="00422086"/>
    <w:rsid w:val="0042281E"/>
    <w:rsid w:val="004237AF"/>
    <w:rsid w:val="00424148"/>
    <w:rsid w:val="00435D17"/>
    <w:rsid w:val="00436D65"/>
    <w:rsid w:val="0044097D"/>
    <w:rsid w:val="004558C2"/>
    <w:rsid w:val="00456E04"/>
    <w:rsid w:val="00470E06"/>
    <w:rsid w:val="004739BD"/>
    <w:rsid w:val="00476161"/>
    <w:rsid w:val="00477342"/>
    <w:rsid w:val="00480910"/>
    <w:rsid w:val="004952DF"/>
    <w:rsid w:val="004A499C"/>
    <w:rsid w:val="004A5E16"/>
    <w:rsid w:val="004A632A"/>
    <w:rsid w:val="004A6EF8"/>
    <w:rsid w:val="004A6FB7"/>
    <w:rsid w:val="004C1C50"/>
    <w:rsid w:val="004C31D7"/>
    <w:rsid w:val="004D316E"/>
    <w:rsid w:val="004D5C83"/>
    <w:rsid w:val="004D5E99"/>
    <w:rsid w:val="004D6B05"/>
    <w:rsid w:val="004E3C97"/>
    <w:rsid w:val="004F0B75"/>
    <w:rsid w:val="004F229D"/>
    <w:rsid w:val="004F23FC"/>
    <w:rsid w:val="004F44BB"/>
    <w:rsid w:val="004F46AB"/>
    <w:rsid w:val="0050050C"/>
    <w:rsid w:val="00505654"/>
    <w:rsid w:val="0050652E"/>
    <w:rsid w:val="005067FD"/>
    <w:rsid w:val="00514300"/>
    <w:rsid w:val="0052067E"/>
    <w:rsid w:val="00520785"/>
    <w:rsid w:val="0052436F"/>
    <w:rsid w:val="00525610"/>
    <w:rsid w:val="00526B6C"/>
    <w:rsid w:val="0054712B"/>
    <w:rsid w:val="00547213"/>
    <w:rsid w:val="00547F8A"/>
    <w:rsid w:val="00555211"/>
    <w:rsid w:val="00565193"/>
    <w:rsid w:val="00565FCC"/>
    <w:rsid w:val="00571D70"/>
    <w:rsid w:val="00572F1A"/>
    <w:rsid w:val="005835BB"/>
    <w:rsid w:val="00586CFD"/>
    <w:rsid w:val="00594D2B"/>
    <w:rsid w:val="005A1B8F"/>
    <w:rsid w:val="005A673E"/>
    <w:rsid w:val="005B1932"/>
    <w:rsid w:val="005B20C2"/>
    <w:rsid w:val="005B2FA9"/>
    <w:rsid w:val="005B4049"/>
    <w:rsid w:val="005B6C5C"/>
    <w:rsid w:val="005C13C0"/>
    <w:rsid w:val="005C7034"/>
    <w:rsid w:val="005E67E7"/>
    <w:rsid w:val="005F2C03"/>
    <w:rsid w:val="005F3B72"/>
    <w:rsid w:val="005F7DE8"/>
    <w:rsid w:val="006049BB"/>
    <w:rsid w:val="00605B02"/>
    <w:rsid w:val="00612053"/>
    <w:rsid w:val="00624F94"/>
    <w:rsid w:val="00625369"/>
    <w:rsid w:val="006258ED"/>
    <w:rsid w:val="00625C53"/>
    <w:rsid w:val="006302D3"/>
    <w:rsid w:val="0063585A"/>
    <w:rsid w:val="00642C9D"/>
    <w:rsid w:val="00645D14"/>
    <w:rsid w:val="006532E0"/>
    <w:rsid w:val="00653DB5"/>
    <w:rsid w:val="006543CA"/>
    <w:rsid w:val="00654E5A"/>
    <w:rsid w:val="0065566D"/>
    <w:rsid w:val="00656806"/>
    <w:rsid w:val="006634E3"/>
    <w:rsid w:val="00666D75"/>
    <w:rsid w:val="0067187A"/>
    <w:rsid w:val="00675E39"/>
    <w:rsid w:val="00681A98"/>
    <w:rsid w:val="00692018"/>
    <w:rsid w:val="00695E9A"/>
    <w:rsid w:val="006B237C"/>
    <w:rsid w:val="006B5162"/>
    <w:rsid w:val="006C2BEE"/>
    <w:rsid w:val="006C55C4"/>
    <w:rsid w:val="006C5B06"/>
    <w:rsid w:val="006D58B7"/>
    <w:rsid w:val="006D64A6"/>
    <w:rsid w:val="006E4D46"/>
    <w:rsid w:val="006E67DF"/>
    <w:rsid w:val="006F31F7"/>
    <w:rsid w:val="006F4C96"/>
    <w:rsid w:val="0070226E"/>
    <w:rsid w:val="007040EB"/>
    <w:rsid w:val="00704ECF"/>
    <w:rsid w:val="007239D9"/>
    <w:rsid w:val="00734CF6"/>
    <w:rsid w:val="00744A1D"/>
    <w:rsid w:val="0074799D"/>
    <w:rsid w:val="00751028"/>
    <w:rsid w:val="00754107"/>
    <w:rsid w:val="00754174"/>
    <w:rsid w:val="0075661F"/>
    <w:rsid w:val="00761C5F"/>
    <w:rsid w:val="00763DA1"/>
    <w:rsid w:val="00763FA4"/>
    <w:rsid w:val="0076581F"/>
    <w:rsid w:val="00765914"/>
    <w:rsid w:val="007664F8"/>
    <w:rsid w:val="007678CF"/>
    <w:rsid w:val="00772062"/>
    <w:rsid w:val="00775D8B"/>
    <w:rsid w:val="00775FDC"/>
    <w:rsid w:val="00777950"/>
    <w:rsid w:val="00780325"/>
    <w:rsid w:val="007816F7"/>
    <w:rsid w:val="00781E6B"/>
    <w:rsid w:val="00785DA3"/>
    <w:rsid w:val="00795384"/>
    <w:rsid w:val="00796645"/>
    <w:rsid w:val="00796DF5"/>
    <w:rsid w:val="007A4187"/>
    <w:rsid w:val="007B2DE7"/>
    <w:rsid w:val="007B3FB0"/>
    <w:rsid w:val="007B552A"/>
    <w:rsid w:val="007C2297"/>
    <w:rsid w:val="007C6CD7"/>
    <w:rsid w:val="007D5E1E"/>
    <w:rsid w:val="007E4B99"/>
    <w:rsid w:val="007E7DA8"/>
    <w:rsid w:val="007F3827"/>
    <w:rsid w:val="007F3C1F"/>
    <w:rsid w:val="00800650"/>
    <w:rsid w:val="00800E4D"/>
    <w:rsid w:val="00801AC7"/>
    <w:rsid w:val="008038BC"/>
    <w:rsid w:val="00806F80"/>
    <w:rsid w:val="008115C7"/>
    <w:rsid w:val="008213DC"/>
    <w:rsid w:val="00824774"/>
    <w:rsid w:val="00824BBA"/>
    <w:rsid w:val="00831281"/>
    <w:rsid w:val="008401C8"/>
    <w:rsid w:val="00845920"/>
    <w:rsid w:val="00854712"/>
    <w:rsid w:val="00857F79"/>
    <w:rsid w:val="00860EDE"/>
    <w:rsid w:val="0086569E"/>
    <w:rsid w:val="0088685D"/>
    <w:rsid w:val="008912AD"/>
    <w:rsid w:val="00893149"/>
    <w:rsid w:val="008937C4"/>
    <w:rsid w:val="0089509F"/>
    <w:rsid w:val="00895A44"/>
    <w:rsid w:val="008B0391"/>
    <w:rsid w:val="008B45C4"/>
    <w:rsid w:val="008C0011"/>
    <w:rsid w:val="008C2322"/>
    <w:rsid w:val="008C62B9"/>
    <w:rsid w:val="008C738E"/>
    <w:rsid w:val="008C79FB"/>
    <w:rsid w:val="008D3F4C"/>
    <w:rsid w:val="008D6EC5"/>
    <w:rsid w:val="00906A61"/>
    <w:rsid w:val="009132B9"/>
    <w:rsid w:val="00925313"/>
    <w:rsid w:val="0092536E"/>
    <w:rsid w:val="00925C73"/>
    <w:rsid w:val="009268BE"/>
    <w:rsid w:val="00933B53"/>
    <w:rsid w:val="00942997"/>
    <w:rsid w:val="009460E7"/>
    <w:rsid w:val="00947916"/>
    <w:rsid w:val="0095100B"/>
    <w:rsid w:val="009551BA"/>
    <w:rsid w:val="009566D9"/>
    <w:rsid w:val="00963E53"/>
    <w:rsid w:val="00965B98"/>
    <w:rsid w:val="00965D81"/>
    <w:rsid w:val="00966468"/>
    <w:rsid w:val="00974758"/>
    <w:rsid w:val="00975DA9"/>
    <w:rsid w:val="0098107E"/>
    <w:rsid w:val="0098580C"/>
    <w:rsid w:val="00990075"/>
    <w:rsid w:val="00992B86"/>
    <w:rsid w:val="00994BD4"/>
    <w:rsid w:val="009A4B6F"/>
    <w:rsid w:val="009A7CD8"/>
    <w:rsid w:val="009B342F"/>
    <w:rsid w:val="009B5530"/>
    <w:rsid w:val="009B6FF8"/>
    <w:rsid w:val="009C536C"/>
    <w:rsid w:val="009C6DA8"/>
    <w:rsid w:val="009D09A3"/>
    <w:rsid w:val="009D4C2F"/>
    <w:rsid w:val="009E016F"/>
    <w:rsid w:val="009E3B99"/>
    <w:rsid w:val="009E5DED"/>
    <w:rsid w:val="009E74A1"/>
    <w:rsid w:val="009E76C5"/>
    <w:rsid w:val="009F1A43"/>
    <w:rsid w:val="009F3F0B"/>
    <w:rsid w:val="00A00FB8"/>
    <w:rsid w:val="00A0305F"/>
    <w:rsid w:val="00A03662"/>
    <w:rsid w:val="00A048EC"/>
    <w:rsid w:val="00A145EA"/>
    <w:rsid w:val="00A34362"/>
    <w:rsid w:val="00A44581"/>
    <w:rsid w:val="00A453AE"/>
    <w:rsid w:val="00A53216"/>
    <w:rsid w:val="00A54D10"/>
    <w:rsid w:val="00A60B14"/>
    <w:rsid w:val="00A65001"/>
    <w:rsid w:val="00A66AE4"/>
    <w:rsid w:val="00A709AA"/>
    <w:rsid w:val="00A77536"/>
    <w:rsid w:val="00A80810"/>
    <w:rsid w:val="00A80B12"/>
    <w:rsid w:val="00A826AB"/>
    <w:rsid w:val="00A83D08"/>
    <w:rsid w:val="00A90EA5"/>
    <w:rsid w:val="00A92E87"/>
    <w:rsid w:val="00A9471D"/>
    <w:rsid w:val="00A9485C"/>
    <w:rsid w:val="00A96155"/>
    <w:rsid w:val="00AA0D89"/>
    <w:rsid w:val="00AA687F"/>
    <w:rsid w:val="00AB01FE"/>
    <w:rsid w:val="00AB4D89"/>
    <w:rsid w:val="00AC7908"/>
    <w:rsid w:val="00AD5EFD"/>
    <w:rsid w:val="00AE2EF5"/>
    <w:rsid w:val="00AF0DFC"/>
    <w:rsid w:val="00AF1421"/>
    <w:rsid w:val="00AF6166"/>
    <w:rsid w:val="00B04A6F"/>
    <w:rsid w:val="00B11B90"/>
    <w:rsid w:val="00B13C76"/>
    <w:rsid w:val="00B15FF7"/>
    <w:rsid w:val="00B278BE"/>
    <w:rsid w:val="00B356CD"/>
    <w:rsid w:val="00B36388"/>
    <w:rsid w:val="00B368BD"/>
    <w:rsid w:val="00B40C82"/>
    <w:rsid w:val="00B4558B"/>
    <w:rsid w:val="00B633FD"/>
    <w:rsid w:val="00B738FF"/>
    <w:rsid w:val="00B73B04"/>
    <w:rsid w:val="00B820B4"/>
    <w:rsid w:val="00B90D5D"/>
    <w:rsid w:val="00BA5250"/>
    <w:rsid w:val="00BB7BDC"/>
    <w:rsid w:val="00BC17A1"/>
    <w:rsid w:val="00BC303B"/>
    <w:rsid w:val="00BD28EB"/>
    <w:rsid w:val="00BD294E"/>
    <w:rsid w:val="00BD2989"/>
    <w:rsid w:val="00BD66C4"/>
    <w:rsid w:val="00BD7D2E"/>
    <w:rsid w:val="00BE214D"/>
    <w:rsid w:val="00BE50F7"/>
    <w:rsid w:val="00BF0CD1"/>
    <w:rsid w:val="00BF0FDF"/>
    <w:rsid w:val="00BF4266"/>
    <w:rsid w:val="00C059B0"/>
    <w:rsid w:val="00C07AF2"/>
    <w:rsid w:val="00C10246"/>
    <w:rsid w:val="00C11F9B"/>
    <w:rsid w:val="00C15B4E"/>
    <w:rsid w:val="00C3096D"/>
    <w:rsid w:val="00C410C8"/>
    <w:rsid w:val="00C415FF"/>
    <w:rsid w:val="00C42204"/>
    <w:rsid w:val="00C44692"/>
    <w:rsid w:val="00C45867"/>
    <w:rsid w:val="00C475B0"/>
    <w:rsid w:val="00C51B7C"/>
    <w:rsid w:val="00C53881"/>
    <w:rsid w:val="00C645F4"/>
    <w:rsid w:val="00C73C54"/>
    <w:rsid w:val="00C76BF1"/>
    <w:rsid w:val="00C806DC"/>
    <w:rsid w:val="00C91801"/>
    <w:rsid w:val="00C96AE0"/>
    <w:rsid w:val="00C9725B"/>
    <w:rsid w:val="00CA3C63"/>
    <w:rsid w:val="00CA5754"/>
    <w:rsid w:val="00CB1B4B"/>
    <w:rsid w:val="00CB2C1F"/>
    <w:rsid w:val="00CB6919"/>
    <w:rsid w:val="00CC0727"/>
    <w:rsid w:val="00CC1367"/>
    <w:rsid w:val="00CC2751"/>
    <w:rsid w:val="00CD2209"/>
    <w:rsid w:val="00CD3488"/>
    <w:rsid w:val="00CD3C1F"/>
    <w:rsid w:val="00CD6722"/>
    <w:rsid w:val="00CD774B"/>
    <w:rsid w:val="00CE0F54"/>
    <w:rsid w:val="00CE1EE7"/>
    <w:rsid w:val="00CE70D5"/>
    <w:rsid w:val="00CF0768"/>
    <w:rsid w:val="00CF07FA"/>
    <w:rsid w:val="00CF360E"/>
    <w:rsid w:val="00D0041C"/>
    <w:rsid w:val="00D037ED"/>
    <w:rsid w:val="00D05F98"/>
    <w:rsid w:val="00D11080"/>
    <w:rsid w:val="00D13D15"/>
    <w:rsid w:val="00D15D43"/>
    <w:rsid w:val="00D17EE0"/>
    <w:rsid w:val="00D211F9"/>
    <w:rsid w:val="00D22CA2"/>
    <w:rsid w:val="00D32961"/>
    <w:rsid w:val="00D32982"/>
    <w:rsid w:val="00D33B96"/>
    <w:rsid w:val="00D52EAC"/>
    <w:rsid w:val="00D606DC"/>
    <w:rsid w:val="00D61E0B"/>
    <w:rsid w:val="00D639C9"/>
    <w:rsid w:val="00D711FD"/>
    <w:rsid w:val="00D74E62"/>
    <w:rsid w:val="00D7516D"/>
    <w:rsid w:val="00D7548D"/>
    <w:rsid w:val="00D776DF"/>
    <w:rsid w:val="00D82F27"/>
    <w:rsid w:val="00D83C17"/>
    <w:rsid w:val="00D83F08"/>
    <w:rsid w:val="00D84532"/>
    <w:rsid w:val="00D849FD"/>
    <w:rsid w:val="00D87CD3"/>
    <w:rsid w:val="00D93D2F"/>
    <w:rsid w:val="00DA581B"/>
    <w:rsid w:val="00DB4154"/>
    <w:rsid w:val="00DC35C1"/>
    <w:rsid w:val="00DD0662"/>
    <w:rsid w:val="00DD40DF"/>
    <w:rsid w:val="00DE29D7"/>
    <w:rsid w:val="00DE31BE"/>
    <w:rsid w:val="00DE5C1C"/>
    <w:rsid w:val="00DE60A8"/>
    <w:rsid w:val="00DF02E9"/>
    <w:rsid w:val="00DF1876"/>
    <w:rsid w:val="00DF435C"/>
    <w:rsid w:val="00E02641"/>
    <w:rsid w:val="00E03D58"/>
    <w:rsid w:val="00E04C3C"/>
    <w:rsid w:val="00E070D1"/>
    <w:rsid w:val="00E07751"/>
    <w:rsid w:val="00E11D66"/>
    <w:rsid w:val="00E24F70"/>
    <w:rsid w:val="00E25058"/>
    <w:rsid w:val="00E26C45"/>
    <w:rsid w:val="00E325EB"/>
    <w:rsid w:val="00E401DD"/>
    <w:rsid w:val="00E433AD"/>
    <w:rsid w:val="00E46CF1"/>
    <w:rsid w:val="00E52898"/>
    <w:rsid w:val="00E53280"/>
    <w:rsid w:val="00E54F1F"/>
    <w:rsid w:val="00E60258"/>
    <w:rsid w:val="00E60E2C"/>
    <w:rsid w:val="00E61200"/>
    <w:rsid w:val="00E61249"/>
    <w:rsid w:val="00E614C4"/>
    <w:rsid w:val="00E66213"/>
    <w:rsid w:val="00E66268"/>
    <w:rsid w:val="00E67FED"/>
    <w:rsid w:val="00E75668"/>
    <w:rsid w:val="00E80DEB"/>
    <w:rsid w:val="00E96028"/>
    <w:rsid w:val="00E9699C"/>
    <w:rsid w:val="00E97FA3"/>
    <w:rsid w:val="00EA0224"/>
    <w:rsid w:val="00EA0EB8"/>
    <w:rsid w:val="00EA14E2"/>
    <w:rsid w:val="00EB126B"/>
    <w:rsid w:val="00EB408F"/>
    <w:rsid w:val="00EB7067"/>
    <w:rsid w:val="00EC6737"/>
    <w:rsid w:val="00ED1BFF"/>
    <w:rsid w:val="00ED55F8"/>
    <w:rsid w:val="00EE67C0"/>
    <w:rsid w:val="00EE7D00"/>
    <w:rsid w:val="00EF7BF7"/>
    <w:rsid w:val="00F043E9"/>
    <w:rsid w:val="00F047A1"/>
    <w:rsid w:val="00F07589"/>
    <w:rsid w:val="00F20815"/>
    <w:rsid w:val="00F21993"/>
    <w:rsid w:val="00F22D23"/>
    <w:rsid w:val="00F2636B"/>
    <w:rsid w:val="00F27E07"/>
    <w:rsid w:val="00F31DC5"/>
    <w:rsid w:val="00F41371"/>
    <w:rsid w:val="00F4350E"/>
    <w:rsid w:val="00F46945"/>
    <w:rsid w:val="00F52AD3"/>
    <w:rsid w:val="00F53930"/>
    <w:rsid w:val="00F56067"/>
    <w:rsid w:val="00F61B23"/>
    <w:rsid w:val="00F67AE8"/>
    <w:rsid w:val="00F738BF"/>
    <w:rsid w:val="00F7451B"/>
    <w:rsid w:val="00F74B8D"/>
    <w:rsid w:val="00F866A9"/>
    <w:rsid w:val="00F936BF"/>
    <w:rsid w:val="00F97FD8"/>
    <w:rsid w:val="00FB0B62"/>
    <w:rsid w:val="00FC04CF"/>
    <w:rsid w:val="00FC6369"/>
    <w:rsid w:val="00FD2105"/>
    <w:rsid w:val="00FE7387"/>
    <w:rsid w:val="00FF0DA9"/>
    <w:rsid w:val="00FF6DF6"/>
    <w:rsid w:val="00FF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C214F"/>
  <w15:chartTrackingRefBased/>
  <w15:docId w15:val="{46AD937E-9BAD-451A-9284-00BA6884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6D"/>
  </w:style>
  <w:style w:type="paragraph" w:styleId="Heading1">
    <w:name w:val="heading 1"/>
    <w:basedOn w:val="Normal"/>
    <w:link w:val="Heading1Char"/>
    <w:uiPriority w:val="9"/>
    <w:qFormat/>
    <w:rsid w:val="00D15D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3096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3096D"/>
    <w:rPr>
      <w:sz w:val="16"/>
      <w:szCs w:val="16"/>
    </w:rPr>
  </w:style>
  <w:style w:type="paragraph" w:styleId="CommentText">
    <w:name w:val="annotation text"/>
    <w:basedOn w:val="Normal"/>
    <w:link w:val="CommentTextChar"/>
    <w:uiPriority w:val="99"/>
    <w:unhideWhenUsed/>
    <w:rsid w:val="00C3096D"/>
    <w:pPr>
      <w:spacing w:line="240" w:lineRule="auto"/>
    </w:pPr>
    <w:rPr>
      <w:sz w:val="20"/>
      <w:szCs w:val="20"/>
    </w:rPr>
  </w:style>
  <w:style w:type="character" w:customStyle="1" w:styleId="CommentTextChar">
    <w:name w:val="Comment Text Char"/>
    <w:basedOn w:val="DefaultParagraphFont"/>
    <w:link w:val="CommentText"/>
    <w:uiPriority w:val="99"/>
    <w:rsid w:val="00C3096D"/>
    <w:rPr>
      <w:sz w:val="20"/>
      <w:szCs w:val="20"/>
    </w:rPr>
  </w:style>
  <w:style w:type="paragraph" w:styleId="BalloonText">
    <w:name w:val="Balloon Text"/>
    <w:basedOn w:val="Normal"/>
    <w:link w:val="BalloonTextChar"/>
    <w:uiPriority w:val="99"/>
    <w:semiHidden/>
    <w:unhideWhenUsed/>
    <w:rsid w:val="00C30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6D"/>
    <w:rPr>
      <w:rFonts w:ascii="Segoe UI" w:hAnsi="Segoe UI" w:cs="Segoe UI"/>
      <w:sz w:val="18"/>
      <w:szCs w:val="18"/>
    </w:rPr>
  </w:style>
  <w:style w:type="paragraph" w:styleId="ListParagraph">
    <w:name w:val="List Paragraph"/>
    <w:basedOn w:val="Normal"/>
    <w:uiPriority w:val="34"/>
    <w:qFormat/>
    <w:rsid w:val="00C45867"/>
    <w:pPr>
      <w:spacing w:after="120" w:line="240" w:lineRule="auto"/>
      <w:ind w:left="720"/>
      <w:contextualSpacing/>
    </w:pPr>
  </w:style>
  <w:style w:type="paragraph" w:styleId="CommentSubject">
    <w:name w:val="annotation subject"/>
    <w:basedOn w:val="CommentText"/>
    <w:next w:val="CommentText"/>
    <w:link w:val="CommentSubjectChar"/>
    <w:uiPriority w:val="99"/>
    <w:semiHidden/>
    <w:unhideWhenUsed/>
    <w:rsid w:val="00C410C8"/>
    <w:rPr>
      <w:b/>
      <w:bCs/>
    </w:rPr>
  </w:style>
  <w:style w:type="character" w:customStyle="1" w:styleId="CommentSubjectChar">
    <w:name w:val="Comment Subject Char"/>
    <w:basedOn w:val="CommentTextChar"/>
    <w:link w:val="CommentSubject"/>
    <w:uiPriority w:val="99"/>
    <w:semiHidden/>
    <w:rsid w:val="00C410C8"/>
    <w:rPr>
      <w:b/>
      <w:bCs/>
      <w:sz w:val="20"/>
      <w:szCs w:val="20"/>
    </w:rPr>
  </w:style>
  <w:style w:type="paragraph" w:styleId="Header">
    <w:name w:val="header"/>
    <w:basedOn w:val="Normal"/>
    <w:link w:val="HeaderChar"/>
    <w:uiPriority w:val="99"/>
    <w:unhideWhenUsed/>
    <w:rsid w:val="00933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53"/>
  </w:style>
  <w:style w:type="paragraph" w:styleId="Footer">
    <w:name w:val="footer"/>
    <w:basedOn w:val="Normal"/>
    <w:link w:val="FooterChar"/>
    <w:uiPriority w:val="99"/>
    <w:unhideWhenUsed/>
    <w:rsid w:val="00933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B53"/>
  </w:style>
  <w:style w:type="character" w:styleId="Hyperlink">
    <w:name w:val="Hyperlink"/>
    <w:basedOn w:val="DefaultParagraphFont"/>
    <w:uiPriority w:val="99"/>
    <w:unhideWhenUsed/>
    <w:rsid w:val="00A34362"/>
    <w:rPr>
      <w:color w:val="0563C1" w:themeColor="hyperlink"/>
      <w:u w:val="single"/>
    </w:rPr>
  </w:style>
  <w:style w:type="character" w:styleId="FollowedHyperlink">
    <w:name w:val="FollowedHyperlink"/>
    <w:basedOn w:val="DefaultParagraphFont"/>
    <w:uiPriority w:val="99"/>
    <w:semiHidden/>
    <w:unhideWhenUsed/>
    <w:rsid w:val="00AD5EFD"/>
    <w:rPr>
      <w:color w:val="954F72" w:themeColor="followedHyperlink"/>
      <w:u w:val="single"/>
    </w:rPr>
  </w:style>
  <w:style w:type="paragraph" w:styleId="Revision">
    <w:name w:val="Revision"/>
    <w:hidden/>
    <w:uiPriority w:val="99"/>
    <w:semiHidden/>
    <w:rsid w:val="00E325EB"/>
    <w:pPr>
      <w:spacing w:after="0" w:line="240" w:lineRule="auto"/>
    </w:pPr>
  </w:style>
  <w:style w:type="character" w:customStyle="1" w:styleId="referencesyear">
    <w:name w:val="references__year"/>
    <w:basedOn w:val="DefaultParagraphFont"/>
    <w:rsid w:val="006F31F7"/>
  </w:style>
  <w:style w:type="character" w:customStyle="1" w:styleId="referencesarticle-title">
    <w:name w:val="references__article-title"/>
    <w:basedOn w:val="DefaultParagraphFont"/>
    <w:rsid w:val="006F31F7"/>
  </w:style>
  <w:style w:type="character" w:styleId="Strong">
    <w:name w:val="Strong"/>
    <w:basedOn w:val="DefaultParagraphFont"/>
    <w:uiPriority w:val="22"/>
    <w:qFormat/>
    <w:rsid w:val="006F31F7"/>
    <w:rPr>
      <w:b/>
      <w:bCs/>
    </w:rPr>
  </w:style>
  <w:style w:type="character" w:customStyle="1" w:styleId="Heading1Char">
    <w:name w:val="Heading 1 Char"/>
    <w:basedOn w:val="DefaultParagraphFont"/>
    <w:link w:val="Heading1"/>
    <w:uiPriority w:val="9"/>
    <w:rsid w:val="00D15D43"/>
    <w:rPr>
      <w:rFonts w:ascii="Times New Roman" w:eastAsia="Times New Roman" w:hAnsi="Times New Roman" w:cs="Times New Roman"/>
      <w:b/>
      <w:bCs/>
      <w:kern w:val="36"/>
      <w:sz w:val="48"/>
      <w:szCs w:val="48"/>
      <w:lang w:eastAsia="en-GB"/>
    </w:rPr>
  </w:style>
  <w:style w:type="character" w:customStyle="1" w:styleId="docsum-journal-citation">
    <w:name w:val="docsum-journal-citation"/>
    <w:basedOn w:val="DefaultParagraphFont"/>
    <w:rsid w:val="00D15D43"/>
  </w:style>
  <w:style w:type="character" w:customStyle="1" w:styleId="citation-part">
    <w:name w:val="citation-part"/>
    <w:basedOn w:val="DefaultParagraphFont"/>
    <w:rsid w:val="00D15D43"/>
  </w:style>
  <w:style w:type="character" w:customStyle="1" w:styleId="docsum-pmid">
    <w:name w:val="docsum-pmid"/>
    <w:basedOn w:val="DefaultParagraphFont"/>
    <w:rsid w:val="00D15D43"/>
  </w:style>
  <w:style w:type="table" w:styleId="TableGrid">
    <w:name w:val="Table Grid"/>
    <w:basedOn w:val="TableNormal"/>
    <w:uiPriority w:val="39"/>
    <w:rsid w:val="003D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563">
      <w:bodyDiv w:val="1"/>
      <w:marLeft w:val="0"/>
      <w:marRight w:val="0"/>
      <w:marTop w:val="0"/>
      <w:marBottom w:val="0"/>
      <w:divBdr>
        <w:top w:val="none" w:sz="0" w:space="0" w:color="auto"/>
        <w:left w:val="none" w:sz="0" w:space="0" w:color="auto"/>
        <w:bottom w:val="none" w:sz="0" w:space="0" w:color="auto"/>
        <w:right w:val="none" w:sz="0" w:space="0" w:color="auto"/>
      </w:divBdr>
    </w:div>
    <w:div w:id="20598123">
      <w:bodyDiv w:val="1"/>
      <w:marLeft w:val="0"/>
      <w:marRight w:val="0"/>
      <w:marTop w:val="0"/>
      <w:marBottom w:val="0"/>
      <w:divBdr>
        <w:top w:val="none" w:sz="0" w:space="0" w:color="auto"/>
        <w:left w:val="none" w:sz="0" w:space="0" w:color="auto"/>
        <w:bottom w:val="none" w:sz="0" w:space="0" w:color="auto"/>
        <w:right w:val="none" w:sz="0" w:space="0" w:color="auto"/>
      </w:divBdr>
    </w:div>
    <w:div w:id="21827792">
      <w:bodyDiv w:val="1"/>
      <w:marLeft w:val="0"/>
      <w:marRight w:val="0"/>
      <w:marTop w:val="0"/>
      <w:marBottom w:val="0"/>
      <w:divBdr>
        <w:top w:val="none" w:sz="0" w:space="0" w:color="auto"/>
        <w:left w:val="none" w:sz="0" w:space="0" w:color="auto"/>
        <w:bottom w:val="none" w:sz="0" w:space="0" w:color="auto"/>
        <w:right w:val="none" w:sz="0" w:space="0" w:color="auto"/>
      </w:divBdr>
    </w:div>
    <w:div w:id="54089803">
      <w:bodyDiv w:val="1"/>
      <w:marLeft w:val="0"/>
      <w:marRight w:val="0"/>
      <w:marTop w:val="0"/>
      <w:marBottom w:val="0"/>
      <w:divBdr>
        <w:top w:val="none" w:sz="0" w:space="0" w:color="auto"/>
        <w:left w:val="none" w:sz="0" w:space="0" w:color="auto"/>
        <w:bottom w:val="none" w:sz="0" w:space="0" w:color="auto"/>
        <w:right w:val="none" w:sz="0" w:space="0" w:color="auto"/>
      </w:divBdr>
    </w:div>
    <w:div w:id="109008667">
      <w:bodyDiv w:val="1"/>
      <w:marLeft w:val="0"/>
      <w:marRight w:val="0"/>
      <w:marTop w:val="0"/>
      <w:marBottom w:val="0"/>
      <w:divBdr>
        <w:top w:val="none" w:sz="0" w:space="0" w:color="auto"/>
        <w:left w:val="none" w:sz="0" w:space="0" w:color="auto"/>
        <w:bottom w:val="none" w:sz="0" w:space="0" w:color="auto"/>
        <w:right w:val="none" w:sz="0" w:space="0" w:color="auto"/>
      </w:divBdr>
    </w:div>
    <w:div w:id="124860096">
      <w:bodyDiv w:val="1"/>
      <w:marLeft w:val="0"/>
      <w:marRight w:val="0"/>
      <w:marTop w:val="0"/>
      <w:marBottom w:val="0"/>
      <w:divBdr>
        <w:top w:val="none" w:sz="0" w:space="0" w:color="auto"/>
        <w:left w:val="none" w:sz="0" w:space="0" w:color="auto"/>
        <w:bottom w:val="none" w:sz="0" w:space="0" w:color="auto"/>
        <w:right w:val="none" w:sz="0" w:space="0" w:color="auto"/>
      </w:divBdr>
    </w:div>
    <w:div w:id="152255694">
      <w:bodyDiv w:val="1"/>
      <w:marLeft w:val="0"/>
      <w:marRight w:val="0"/>
      <w:marTop w:val="0"/>
      <w:marBottom w:val="0"/>
      <w:divBdr>
        <w:top w:val="none" w:sz="0" w:space="0" w:color="auto"/>
        <w:left w:val="none" w:sz="0" w:space="0" w:color="auto"/>
        <w:bottom w:val="none" w:sz="0" w:space="0" w:color="auto"/>
        <w:right w:val="none" w:sz="0" w:space="0" w:color="auto"/>
      </w:divBdr>
    </w:div>
    <w:div w:id="198595310">
      <w:bodyDiv w:val="1"/>
      <w:marLeft w:val="0"/>
      <w:marRight w:val="0"/>
      <w:marTop w:val="0"/>
      <w:marBottom w:val="0"/>
      <w:divBdr>
        <w:top w:val="none" w:sz="0" w:space="0" w:color="auto"/>
        <w:left w:val="none" w:sz="0" w:space="0" w:color="auto"/>
        <w:bottom w:val="none" w:sz="0" w:space="0" w:color="auto"/>
        <w:right w:val="none" w:sz="0" w:space="0" w:color="auto"/>
      </w:divBdr>
    </w:div>
    <w:div w:id="267785212">
      <w:bodyDiv w:val="1"/>
      <w:marLeft w:val="0"/>
      <w:marRight w:val="0"/>
      <w:marTop w:val="0"/>
      <w:marBottom w:val="0"/>
      <w:divBdr>
        <w:top w:val="none" w:sz="0" w:space="0" w:color="auto"/>
        <w:left w:val="none" w:sz="0" w:space="0" w:color="auto"/>
        <w:bottom w:val="none" w:sz="0" w:space="0" w:color="auto"/>
        <w:right w:val="none" w:sz="0" w:space="0" w:color="auto"/>
      </w:divBdr>
    </w:div>
    <w:div w:id="406273573">
      <w:bodyDiv w:val="1"/>
      <w:marLeft w:val="0"/>
      <w:marRight w:val="0"/>
      <w:marTop w:val="0"/>
      <w:marBottom w:val="0"/>
      <w:divBdr>
        <w:top w:val="none" w:sz="0" w:space="0" w:color="auto"/>
        <w:left w:val="none" w:sz="0" w:space="0" w:color="auto"/>
        <w:bottom w:val="none" w:sz="0" w:space="0" w:color="auto"/>
        <w:right w:val="none" w:sz="0" w:space="0" w:color="auto"/>
      </w:divBdr>
    </w:div>
    <w:div w:id="420151323">
      <w:bodyDiv w:val="1"/>
      <w:marLeft w:val="0"/>
      <w:marRight w:val="0"/>
      <w:marTop w:val="0"/>
      <w:marBottom w:val="0"/>
      <w:divBdr>
        <w:top w:val="none" w:sz="0" w:space="0" w:color="auto"/>
        <w:left w:val="none" w:sz="0" w:space="0" w:color="auto"/>
        <w:bottom w:val="none" w:sz="0" w:space="0" w:color="auto"/>
        <w:right w:val="none" w:sz="0" w:space="0" w:color="auto"/>
      </w:divBdr>
    </w:div>
    <w:div w:id="457575442">
      <w:bodyDiv w:val="1"/>
      <w:marLeft w:val="0"/>
      <w:marRight w:val="0"/>
      <w:marTop w:val="0"/>
      <w:marBottom w:val="0"/>
      <w:divBdr>
        <w:top w:val="none" w:sz="0" w:space="0" w:color="auto"/>
        <w:left w:val="none" w:sz="0" w:space="0" w:color="auto"/>
        <w:bottom w:val="none" w:sz="0" w:space="0" w:color="auto"/>
        <w:right w:val="none" w:sz="0" w:space="0" w:color="auto"/>
      </w:divBdr>
    </w:div>
    <w:div w:id="479617422">
      <w:bodyDiv w:val="1"/>
      <w:marLeft w:val="0"/>
      <w:marRight w:val="0"/>
      <w:marTop w:val="0"/>
      <w:marBottom w:val="0"/>
      <w:divBdr>
        <w:top w:val="none" w:sz="0" w:space="0" w:color="auto"/>
        <w:left w:val="none" w:sz="0" w:space="0" w:color="auto"/>
        <w:bottom w:val="none" w:sz="0" w:space="0" w:color="auto"/>
        <w:right w:val="none" w:sz="0" w:space="0" w:color="auto"/>
      </w:divBdr>
    </w:div>
    <w:div w:id="542836464">
      <w:bodyDiv w:val="1"/>
      <w:marLeft w:val="0"/>
      <w:marRight w:val="0"/>
      <w:marTop w:val="0"/>
      <w:marBottom w:val="0"/>
      <w:divBdr>
        <w:top w:val="none" w:sz="0" w:space="0" w:color="auto"/>
        <w:left w:val="none" w:sz="0" w:space="0" w:color="auto"/>
        <w:bottom w:val="none" w:sz="0" w:space="0" w:color="auto"/>
        <w:right w:val="none" w:sz="0" w:space="0" w:color="auto"/>
      </w:divBdr>
    </w:div>
    <w:div w:id="558172280">
      <w:bodyDiv w:val="1"/>
      <w:marLeft w:val="0"/>
      <w:marRight w:val="0"/>
      <w:marTop w:val="0"/>
      <w:marBottom w:val="0"/>
      <w:divBdr>
        <w:top w:val="none" w:sz="0" w:space="0" w:color="auto"/>
        <w:left w:val="none" w:sz="0" w:space="0" w:color="auto"/>
        <w:bottom w:val="none" w:sz="0" w:space="0" w:color="auto"/>
        <w:right w:val="none" w:sz="0" w:space="0" w:color="auto"/>
      </w:divBdr>
    </w:div>
    <w:div w:id="602541440">
      <w:bodyDiv w:val="1"/>
      <w:marLeft w:val="0"/>
      <w:marRight w:val="0"/>
      <w:marTop w:val="0"/>
      <w:marBottom w:val="0"/>
      <w:divBdr>
        <w:top w:val="none" w:sz="0" w:space="0" w:color="auto"/>
        <w:left w:val="none" w:sz="0" w:space="0" w:color="auto"/>
        <w:bottom w:val="none" w:sz="0" w:space="0" w:color="auto"/>
        <w:right w:val="none" w:sz="0" w:space="0" w:color="auto"/>
      </w:divBdr>
    </w:div>
    <w:div w:id="628631240">
      <w:bodyDiv w:val="1"/>
      <w:marLeft w:val="0"/>
      <w:marRight w:val="0"/>
      <w:marTop w:val="0"/>
      <w:marBottom w:val="0"/>
      <w:divBdr>
        <w:top w:val="none" w:sz="0" w:space="0" w:color="auto"/>
        <w:left w:val="none" w:sz="0" w:space="0" w:color="auto"/>
        <w:bottom w:val="none" w:sz="0" w:space="0" w:color="auto"/>
        <w:right w:val="none" w:sz="0" w:space="0" w:color="auto"/>
      </w:divBdr>
    </w:div>
    <w:div w:id="663124604">
      <w:bodyDiv w:val="1"/>
      <w:marLeft w:val="0"/>
      <w:marRight w:val="0"/>
      <w:marTop w:val="0"/>
      <w:marBottom w:val="0"/>
      <w:divBdr>
        <w:top w:val="none" w:sz="0" w:space="0" w:color="auto"/>
        <w:left w:val="none" w:sz="0" w:space="0" w:color="auto"/>
        <w:bottom w:val="none" w:sz="0" w:space="0" w:color="auto"/>
        <w:right w:val="none" w:sz="0" w:space="0" w:color="auto"/>
      </w:divBdr>
    </w:div>
    <w:div w:id="698704695">
      <w:bodyDiv w:val="1"/>
      <w:marLeft w:val="0"/>
      <w:marRight w:val="0"/>
      <w:marTop w:val="0"/>
      <w:marBottom w:val="0"/>
      <w:divBdr>
        <w:top w:val="none" w:sz="0" w:space="0" w:color="auto"/>
        <w:left w:val="none" w:sz="0" w:space="0" w:color="auto"/>
        <w:bottom w:val="none" w:sz="0" w:space="0" w:color="auto"/>
        <w:right w:val="none" w:sz="0" w:space="0" w:color="auto"/>
      </w:divBdr>
    </w:div>
    <w:div w:id="704136783">
      <w:bodyDiv w:val="1"/>
      <w:marLeft w:val="0"/>
      <w:marRight w:val="0"/>
      <w:marTop w:val="0"/>
      <w:marBottom w:val="0"/>
      <w:divBdr>
        <w:top w:val="none" w:sz="0" w:space="0" w:color="auto"/>
        <w:left w:val="none" w:sz="0" w:space="0" w:color="auto"/>
        <w:bottom w:val="none" w:sz="0" w:space="0" w:color="auto"/>
        <w:right w:val="none" w:sz="0" w:space="0" w:color="auto"/>
      </w:divBdr>
    </w:div>
    <w:div w:id="722142913">
      <w:bodyDiv w:val="1"/>
      <w:marLeft w:val="0"/>
      <w:marRight w:val="0"/>
      <w:marTop w:val="0"/>
      <w:marBottom w:val="0"/>
      <w:divBdr>
        <w:top w:val="none" w:sz="0" w:space="0" w:color="auto"/>
        <w:left w:val="none" w:sz="0" w:space="0" w:color="auto"/>
        <w:bottom w:val="none" w:sz="0" w:space="0" w:color="auto"/>
        <w:right w:val="none" w:sz="0" w:space="0" w:color="auto"/>
      </w:divBdr>
    </w:div>
    <w:div w:id="845367581">
      <w:bodyDiv w:val="1"/>
      <w:marLeft w:val="0"/>
      <w:marRight w:val="0"/>
      <w:marTop w:val="0"/>
      <w:marBottom w:val="0"/>
      <w:divBdr>
        <w:top w:val="none" w:sz="0" w:space="0" w:color="auto"/>
        <w:left w:val="none" w:sz="0" w:space="0" w:color="auto"/>
        <w:bottom w:val="none" w:sz="0" w:space="0" w:color="auto"/>
        <w:right w:val="none" w:sz="0" w:space="0" w:color="auto"/>
      </w:divBdr>
    </w:div>
    <w:div w:id="851456533">
      <w:bodyDiv w:val="1"/>
      <w:marLeft w:val="0"/>
      <w:marRight w:val="0"/>
      <w:marTop w:val="0"/>
      <w:marBottom w:val="0"/>
      <w:divBdr>
        <w:top w:val="none" w:sz="0" w:space="0" w:color="auto"/>
        <w:left w:val="none" w:sz="0" w:space="0" w:color="auto"/>
        <w:bottom w:val="none" w:sz="0" w:space="0" w:color="auto"/>
        <w:right w:val="none" w:sz="0" w:space="0" w:color="auto"/>
      </w:divBdr>
    </w:div>
    <w:div w:id="879784720">
      <w:bodyDiv w:val="1"/>
      <w:marLeft w:val="0"/>
      <w:marRight w:val="0"/>
      <w:marTop w:val="0"/>
      <w:marBottom w:val="0"/>
      <w:divBdr>
        <w:top w:val="none" w:sz="0" w:space="0" w:color="auto"/>
        <w:left w:val="none" w:sz="0" w:space="0" w:color="auto"/>
        <w:bottom w:val="none" w:sz="0" w:space="0" w:color="auto"/>
        <w:right w:val="none" w:sz="0" w:space="0" w:color="auto"/>
      </w:divBdr>
    </w:div>
    <w:div w:id="988099376">
      <w:bodyDiv w:val="1"/>
      <w:marLeft w:val="0"/>
      <w:marRight w:val="0"/>
      <w:marTop w:val="0"/>
      <w:marBottom w:val="0"/>
      <w:divBdr>
        <w:top w:val="none" w:sz="0" w:space="0" w:color="auto"/>
        <w:left w:val="none" w:sz="0" w:space="0" w:color="auto"/>
        <w:bottom w:val="none" w:sz="0" w:space="0" w:color="auto"/>
        <w:right w:val="none" w:sz="0" w:space="0" w:color="auto"/>
      </w:divBdr>
    </w:div>
    <w:div w:id="994917176">
      <w:bodyDiv w:val="1"/>
      <w:marLeft w:val="0"/>
      <w:marRight w:val="0"/>
      <w:marTop w:val="0"/>
      <w:marBottom w:val="0"/>
      <w:divBdr>
        <w:top w:val="none" w:sz="0" w:space="0" w:color="auto"/>
        <w:left w:val="none" w:sz="0" w:space="0" w:color="auto"/>
        <w:bottom w:val="none" w:sz="0" w:space="0" w:color="auto"/>
        <w:right w:val="none" w:sz="0" w:space="0" w:color="auto"/>
      </w:divBdr>
    </w:div>
    <w:div w:id="1115488299">
      <w:bodyDiv w:val="1"/>
      <w:marLeft w:val="0"/>
      <w:marRight w:val="0"/>
      <w:marTop w:val="0"/>
      <w:marBottom w:val="0"/>
      <w:divBdr>
        <w:top w:val="none" w:sz="0" w:space="0" w:color="auto"/>
        <w:left w:val="none" w:sz="0" w:space="0" w:color="auto"/>
        <w:bottom w:val="none" w:sz="0" w:space="0" w:color="auto"/>
        <w:right w:val="none" w:sz="0" w:space="0" w:color="auto"/>
      </w:divBdr>
    </w:div>
    <w:div w:id="1154956855">
      <w:bodyDiv w:val="1"/>
      <w:marLeft w:val="0"/>
      <w:marRight w:val="0"/>
      <w:marTop w:val="0"/>
      <w:marBottom w:val="0"/>
      <w:divBdr>
        <w:top w:val="none" w:sz="0" w:space="0" w:color="auto"/>
        <w:left w:val="none" w:sz="0" w:space="0" w:color="auto"/>
        <w:bottom w:val="none" w:sz="0" w:space="0" w:color="auto"/>
        <w:right w:val="none" w:sz="0" w:space="0" w:color="auto"/>
      </w:divBdr>
    </w:div>
    <w:div w:id="120540797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77">
          <w:marLeft w:val="0"/>
          <w:marRight w:val="0"/>
          <w:marTop w:val="0"/>
          <w:marBottom w:val="0"/>
          <w:divBdr>
            <w:top w:val="none" w:sz="0" w:space="0" w:color="auto"/>
            <w:left w:val="none" w:sz="0" w:space="0" w:color="auto"/>
            <w:bottom w:val="none" w:sz="0" w:space="0" w:color="auto"/>
            <w:right w:val="none" w:sz="0" w:space="0" w:color="auto"/>
          </w:divBdr>
          <w:divsChild>
            <w:div w:id="666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3041">
      <w:bodyDiv w:val="1"/>
      <w:marLeft w:val="0"/>
      <w:marRight w:val="0"/>
      <w:marTop w:val="0"/>
      <w:marBottom w:val="0"/>
      <w:divBdr>
        <w:top w:val="none" w:sz="0" w:space="0" w:color="auto"/>
        <w:left w:val="none" w:sz="0" w:space="0" w:color="auto"/>
        <w:bottom w:val="none" w:sz="0" w:space="0" w:color="auto"/>
        <w:right w:val="none" w:sz="0" w:space="0" w:color="auto"/>
      </w:divBdr>
    </w:div>
    <w:div w:id="1288387471">
      <w:bodyDiv w:val="1"/>
      <w:marLeft w:val="0"/>
      <w:marRight w:val="0"/>
      <w:marTop w:val="0"/>
      <w:marBottom w:val="0"/>
      <w:divBdr>
        <w:top w:val="none" w:sz="0" w:space="0" w:color="auto"/>
        <w:left w:val="none" w:sz="0" w:space="0" w:color="auto"/>
        <w:bottom w:val="none" w:sz="0" w:space="0" w:color="auto"/>
        <w:right w:val="none" w:sz="0" w:space="0" w:color="auto"/>
      </w:divBdr>
    </w:div>
    <w:div w:id="1303149513">
      <w:bodyDiv w:val="1"/>
      <w:marLeft w:val="0"/>
      <w:marRight w:val="0"/>
      <w:marTop w:val="0"/>
      <w:marBottom w:val="0"/>
      <w:divBdr>
        <w:top w:val="none" w:sz="0" w:space="0" w:color="auto"/>
        <w:left w:val="none" w:sz="0" w:space="0" w:color="auto"/>
        <w:bottom w:val="none" w:sz="0" w:space="0" w:color="auto"/>
        <w:right w:val="none" w:sz="0" w:space="0" w:color="auto"/>
      </w:divBdr>
    </w:div>
    <w:div w:id="1319772737">
      <w:bodyDiv w:val="1"/>
      <w:marLeft w:val="0"/>
      <w:marRight w:val="0"/>
      <w:marTop w:val="0"/>
      <w:marBottom w:val="0"/>
      <w:divBdr>
        <w:top w:val="none" w:sz="0" w:space="0" w:color="auto"/>
        <w:left w:val="none" w:sz="0" w:space="0" w:color="auto"/>
        <w:bottom w:val="none" w:sz="0" w:space="0" w:color="auto"/>
        <w:right w:val="none" w:sz="0" w:space="0" w:color="auto"/>
      </w:divBdr>
    </w:div>
    <w:div w:id="1374845530">
      <w:bodyDiv w:val="1"/>
      <w:marLeft w:val="0"/>
      <w:marRight w:val="0"/>
      <w:marTop w:val="0"/>
      <w:marBottom w:val="0"/>
      <w:divBdr>
        <w:top w:val="none" w:sz="0" w:space="0" w:color="auto"/>
        <w:left w:val="none" w:sz="0" w:space="0" w:color="auto"/>
        <w:bottom w:val="none" w:sz="0" w:space="0" w:color="auto"/>
        <w:right w:val="none" w:sz="0" w:space="0" w:color="auto"/>
      </w:divBdr>
    </w:div>
    <w:div w:id="1400009770">
      <w:bodyDiv w:val="1"/>
      <w:marLeft w:val="0"/>
      <w:marRight w:val="0"/>
      <w:marTop w:val="0"/>
      <w:marBottom w:val="0"/>
      <w:divBdr>
        <w:top w:val="none" w:sz="0" w:space="0" w:color="auto"/>
        <w:left w:val="none" w:sz="0" w:space="0" w:color="auto"/>
        <w:bottom w:val="none" w:sz="0" w:space="0" w:color="auto"/>
        <w:right w:val="none" w:sz="0" w:space="0" w:color="auto"/>
      </w:divBdr>
    </w:div>
    <w:div w:id="1417703517">
      <w:bodyDiv w:val="1"/>
      <w:marLeft w:val="0"/>
      <w:marRight w:val="0"/>
      <w:marTop w:val="0"/>
      <w:marBottom w:val="0"/>
      <w:divBdr>
        <w:top w:val="none" w:sz="0" w:space="0" w:color="auto"/>
        <w:left w:val="none" w:sz="0" w:space="0" w:color="auto"/>
        <w:bottom w:val="none" w:sz="0" w:space="0" w:color="auto"/>
        <w:right w:val="none" w:sz="0" w:space="0" w:color="auto"/>
      </w:divBdr>
    </w:div>
    <w:div w:id="1418093484">
      <w:bodyDiv w:val="1"/>
      <w:marLeft w:val="0"/>
      <w:marRight w:val="0"/>
      <w:marTop w:val="0"/>
      <w:marBottom w:val="0"/>
      <w:divBdr>
        <w:top w:val="none" w:sz="0" w:space="0" w:color="auto"/>
        <w:left w:val="none" w:sz="0" w:space="0" w:color="auto"/>
        <w:bottom w:val="none" w:sz="0" w:space="0" w:color="auto"/>
        <w:right w:val="none" w:sz="0" w:space="0" w:color="auto"/>
      </w:divBdr>
    </w:div>
    <w:div w:id="1472020255">
      <w:bodyDiv w:val="1"/>
      <w:marLeft w:val="0"/>
      <w:marRight w:val="0"/>
      <w:marTop w:val="0"/>
      <w:marBottom w:val="0"/>
      <w:divBdr>
        <w:top w:val="none" w:sz="0" w:space="0" w:color="auto"/>
        <w:left w:val="none" w:sz="0" w:space="0" w:color="auto"/>
        <w:bottom w:val="none" w:sz="0" w:space="0" w:color="auto"/>
        <w:right w:val="none" w:sz="0" w:space="0" w:color="auto"/>
      </w:divBdr>
    </w:div>
    <w:div w:id="1564949223">
      <w:bodyDiv w:val="1"/>
      <w:marLeft w:val="0"/>
      <w:marRight w:val="0"/>
      <w:marTop w:val="0"/>
      <w:marBottom w:val="0"/>
      <w:divBdr>
        <w:top w:val="none" w:sz="0" w:space="0" w:color="auto"/>
        <w:left w:val="none" w:sz="0" w:space="0" w:color="auto"/>
        <w:bottom w:val="none" w:sz="0" w:space="0" w:color="auto"/>
        <w:right w:val="none" w:sz="0" w:space="0" w:color="auto"/>
      </w:divBdr>
    </w:div>
    <w:div w:id="1610236874">
      <w:bodyDiv w:val="1"/>
      <w:marLeft w:val="0"/>
      <w:marRight w:val="0"/>
      <w:marTop w:val="0"/>
      <w:marBottom w:val="0"/>
      <w:divBdr>
        <w:top w:val="none" w:sz="0" w:space="0" w:color="auto"/>
        <w:left w:val="none" w:sz="0" w:space="0" w:color="auto"/>
        <w:bottom w:val="none" w:sz="0" w:space="0" w:color="auto"/>
        <w:right w:val="none" w:sz="0" w:space="0" w:color="auto"/>
      </w:divBdr>
    </w:div>
    <w:div w:id="1626230628">
      <w:bodyDiv w:val="1"/>
      <w:marLeft w:val="0"/>
      <w:marRight w:val="0"/>
      <w:marTop w:val="0"/>
      <w:marBottom w:val="0"/>
      <w:divBdr>
        <w:top w:val="none" w:sz="0" w:space="0" w:color="auto"/>
        <w:left w:val="none" w:sz="0" w:space="0" w:color="auto"/>
        <w:bottom w:val="none" w:sz="0" w:space="0" w:color="auto"/>
        <w:right w:val="none" w:sz="0" w:space="0" w:color="auto"/>
      </w:divBdr>
    </w:div>
    <w:div w:id="1677266855">
      <w:bodyDiv w:val="1"/>
      <w:marLeft w:val="0"/>
      <w:marRight w:val="0"/>
      <w:marTop w:val="0"/>
      <w:marBottom w:val="0"/>
      <w:divBdr>
        <w:top w:val="none" w:sz="0" w:space="0" w:color="auto"/>
        <w:left w:val="none" w:sz="0" w:space="0" w:color="auto"/>
        <w:bottom w:val="none" w:sz="0" w:space="0" w:color="auto"/>
        <w:right w:val="none" w:sz="0" w:space="0" w:color="auto"/>
      </w:divBdr>
    </w:div>
    <w:div w:id="1744141903">
      <w:bodyDiv w:val="1"/>
      <w:marLeft w:val="0"/>
      <w:marRight w:val="0"/>
      <w:marTop w:val="0"/>
      <w:marBottom w:val="0"/>
      <w:divBdr>
        <w:top w:val="none" w:sz="0" w:space="0" w:color="auto"/>
        <w:left w:val="none" w:sz="0" w:space="0" w:color="auto"/>
        <w:bottom w:val="none" w:sz="0" w:space="0" w:color="auto"/>
        <w:right w:val="none" w:sz="0" w:space="0" w:color="auto"/>
      </w:divBdr>
    </w:div>
    <w:div w:id="1755586747">
      <w:bodyDiv w:val="1"/>
      <w:marLeft w:val="0"/>
      <w:marRight w:val="0"/>
      <w:marTop w:val="0"/>
      <w:marBottom w:val="0"/>
      <w:divBdr>
        <w:top w:val="none" w:sz="0" w:space="0" w:color="auto"/>
        <w:left w:val="none" w:sz="0" w:space="0" w:color="auto"/>
        <w:bottom w:val="none" w:sz="0" w:space="0" w:color="auto"/>
        <w:right w:val="none" w:sz="0" w:space="0" w:color="auto"/>
      </w:divBdr>
    </w:div>
    <w:div w:id="1773936581">
      <w:bodyDiv w:val="1"/>
      <w:marLeft w:val="0"/>
      <w:marRight w:val="0"/>
      <w:marTop w:val="0"/>
      <w:marBottom w:val="0"/>
      <w:divBdr>
        <w:top w:val="none" w:sz="0" w:space="0" w:color="auto"/>
        <w:left w:val="none" w:sz="0" w:space="0" w:color="auto"/>
        <w:bottom w:val="none" w:sz="0" w:space="0" w:color="auto"/>
        <w:right w:val="none" w:sz="0" w:space="0" w:color="auto"/>
      </w:divBdr>
    </w:div>
    <w:div w:id="1809544890">
      <w:bodyDiv w:val="1"/>
      <w:marLeft w:val="0"/>
      <w:marRight w:val="0"/>
      <w:marTop w:val="0"/>
      <w:marBottom w:val="0"/>
      <w:divBdr>
        <w:top w:val="none" w:sz="0" w:space="0" w:color="auto"/>
        <w:left w:val="none" w:sz="0" w:space="0" w:color="auto"/>
        <w:bottom w:val="none" w:sz="0" w:space="0" w:color="auto"/>
        <w:right w:val="none" w:sz="0" w:space="0" w:color="auto"/>
      </w:divBdr>
    </w:div>
    <w:div w:id="1822693326">
      <w:bodyDiv w:val="1"/>
      <w:marLeft w:val="0"/>
      <w:marRight w:val="0"/>
      <w:marTop w:val="0"/>
      <w:marBottom w:val="0"/>
      <w:divBdr>
        <w:top w:val="none" w:sz="0" w:space="0" w:color="auto"/>
        <w:left w:val="none" w:sz="0" w:space="0" w:color="auto"/>
        <w:bottom w:val="none" w:sz="0" w:space="0" w:color="auto"/>
        <w:right w:val="none" w:sz="0" w:space="0" w:color="auto"/>
      </w:divBdr>
    </w:div>
    <w:div w:id="1862624843">
      <w:bodyDiv w:val="1"/>
      <w:marLeft w:val="0"/>
      <w:marRight w:val="0"/>
      <w:marTop w:val="0"/>
      <w:marBottom w:val="0"/>
      <w:divBdr>
        <w:top w:val="none" w:sz="0" w:space="0" w:color="auto"/>
        <w:left w:val="none" w:sz="0" w:space="0" w:color="auto"/>
        <w:bottom w:val="none" w:sz="0" w:space="0" w:color="auto"/>
        <w:right w:val="none" w:sz="0" w:space="0" w:color="auto"/>
      </w:divBdr>
    </w:div>
    <w:div w:id="1897202737">
      <w:bodyDiv w:val="1"/>
      <w:marLeft w:val="0"/>
      <w:marRight w:val="0"/>
      <w:marTop w:val="0"/>
      <w:marBottom w:val="0"/>
      <w:divBdr>
        <w:top w:val="none" w:sz="0" w:space="0" w:color="auto"/>
        <w:left w:val="none" w:sz="0" w:space="0" w:color="auto"/>
        <w:bottom w:val="none" w:sz="0" w:space="0" w:color="auto"/>
        <w:right w:val="none" w:sz="0" w:space="0" w:color="auto"/>
      </w:divBdr>
    </w:div>
    <w:div w:id="1908035072">
      <w:bodyDiv w:val="1"/>
      <w:marLeft w:val="0"/>
      <w:marRight w:val="0"/>
      <w:marTop w:val="0"/>
      <w:marBottom w:val="0"/>
      <w:divBdr>
        <w:top w:val="none" w:sz="0" w:space="0" w:color="auto"/>
        <w:left w:val="none" w:sz="0" w:space="0" w:color="auto"/>
        <w:bottom w:val="none" w:sz="0" w:space="0" w:color="auto"/>
        <w:right w:val="none" w:sz="0" w:space="0" w:color="auto"/>
      </w:divBdr>
    </w:div>
    <w:div w:id="1959415214">
      <w:bodyDiv w:val="1"/>
      <w:marLeft w:val="0"/>
      <w:marRight w:val="0"/>
      <w:marTop w:val="0"/>
      <w:marBottom w:val="0"/>
      <w:divBdr>
        <w:top w:val="none" w:sz="0" w:space="0" w:color="auto"/>
        <w:left w:val="none" w:sz="0" w:space="0" w:color="auto"/>
        <w:bottom w:val="none" w:sz="0" w:space="0" w:color="auto"/>
        <w:right w:val="none" w:sz="0" w:space="0" w:color="auto"/>
      </w:divBdr>
    </w:div>
    <w:div w:id="2125346456">
      <w:bodyDiv w:val="1"/>
      <w:marLeft w:val="0"/>
      <w:marRight w:val="0"/>
      <w:marTop w:val="0"/>
      <w:marBottom w:val="0"/>
      <w:divBdr>
        <w:top w:val="none" w:sz="0" w:space="0" w:color="auto"/>
        <w:left w:val="none" w:sz="0" w:space="0" w:color="auto"/>
        <w:bottom w:val="none" w:sz="0" w:space="0" w:color="auto"/>
        <w:right w:val="none" w:sz="0" w:space="0" w:color="auto"/>
      </w:divBdr>
    </w:div>
    <w:div w:id="21406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s@le.ac.uk"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1/2021.03.23.21253516" TargetMode="External"/><Relationship Id="rId5" Type="http://schemas.openxmlformats.org/officeDocument/2006/relationships/webSettings" Target="webSettings.xml"/><Relationship Id="rId10" Type="http://schemas.openxmlformats.org/officeDocument/2006/relationships/hyperlink" Target="https://www.ukbiobank.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D364-49E7-4082-A088-08B238DD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7225</Words>
  <Characters>41189</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Bountziouka, Vasiliki (Dr.)</dc:creator>
  <cp:keywords/>
  <dc:description/>
  <cp:lastModifiedBy>Karen Drake</cp:lastModifiedBy>
  <cp:revision>2</cp:revision>
  <dcterms:created xsi:type="dcterms:W3CDTF">2022-02-16T10:37:00Z</dcterms:created>
  <dcterms:modified xsi:type="dcterms:W3CDTF">2022-02-16T10:37:00Z</dcterms:modified>
</cp:coreProperties>
</file>