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F8D5C" w14:textId="77777777" w:rsidR="008A155D" w:rsidRPr="00E9352F" w:rsidRDefault="008A155D" w:rsidP="00F74523">
      <w:pPr>
        <w:spacing w:line="480" w:lineRule="auto"/>
        <w:rPr>
          <w:rFonts w:cs="Times New Roman"/>
          <w:b/>
          <w:bCs/>
        </w:rPr>
      </w:pPr>
      <w:r w:rsidRPr="00E9352F">
        <w:rPr>
          <w:b/>
          <w:bCs/>
        </w:rPr>
        <w:t>The association between midwifery staffing levels and the experiences of mothers on postnatal wards: cross sectional analysis of routine data</w:t>
      </w:r>
      <w:r w:rsidRPr="00E9352F">
        <w:rPr>
          <w:rFonts w:cs="Times New Roman"/>
          <w:b/>
          <w:bCs/>
        </w:rPr>
        <w:br/>
      </w:r>
    </w:p>
    <w:p w14:paraId="37CED8BE" w14:textId="77777777" w:rsidR="008A155D" w:rsidRPr="00510331" w:rsidRDefault="008A155D" w:rsidP="00F74523">
      <w:pPr>
        <w:spacing w:line="480" w:lineRule="auto"/>
        <w:rPr>
          <w:rFonts w:cs="Times New Roman"/>
        </w:rPr>
      </w:pPr>
      <w:r w:rsidRPr="00742DCB">
        <w:rPr>
          <w:rFonts w:cs="Times New Roman"/>
          <w:b/>
          <w:bCs/>
        </w:rPr>
        <w:t>Abstract</w:t>
      </w:r>
      <w:r>
        <w:rPr>
          <w:rFonts w:cs="Times New Roman"/>
          <w:b/>
          <w:bCs/>
        </w:rPr>
        <w:t xml:space="preserve"> </w:t>
      </w:r>
    </w:p>
    <w:p w14:paraId="155DC519" w14:textId="77777777" w:rsidR="008A155D" w:rsidRPr="00742DCB" w:rsidRDefault="008A155D" w:rsidP="00F74523">
      <w:pPr>
        <w:spacing w:line="480" w:lineRule="auto"/>
        <w:rPr>
          <w:rFonts w:cs="Times New Roman"/>
          <w:b/>
          <w:bCs/>
        </w:rPr>
      </w:pPr>
      <w:r w:rsidRPr="00742DCB">
        <w:rPr>
          <w:rFonts w:cs="Times New Roman"/>
          <w:b/>
          <w:bCs/>
        </w:rPr>
        <w:t>Background</w:t>
      </w:r>
    </w:p>
    <w:p w14:paraId="495EFBEA" w14:textId="77777777" w:rsidR="008A155D" w:rsidRPr="00742DCB" w:rsidRDefault="008A155D" w:rsidP="00F74523">
      <w:pPr>
        <w:spacing w:line="480" w:lineRule="auto"/>
      </w:pPr>
      <w:r w:rsidRPr="00742DCB">
        <w:t>Women have consistently reported lower satisfaction with postnatal care compared with antenatal and labour care.  The aim of this research was to examine whether women’s experience of inpatient postnatal care in England is associated with variation in midwifery staffing levels.</w:t>
      </w:r>
      <w:r w:rsidRPr="00742DCB">
        <w:br/>
      </w:r>
    </w:p>
    <w:p w14:paraId="5BF323D0" w14:textId="77777777" w:rsidR="008A155D" w:rsidRPr="00742DCB" w:rsidRDefault="008A155D" w:rsidP="00F74523">
      <w:pPr>
        <w:spacing w:line="480" w:lineRule="auto"/>
        <w:rPr>
          <w:rFonts w:cs="Times New Roman"/>
          <w:b/>
          <w:bCs/>
        </w:rPr>
      </w:pPr>
      <w:r w:rsidRPr="00742DCB">
        <w:rPr>
          <w:rFonts w:cs="Times New Roman"/>
          <w:b/>
          <w:bCs/>
        </w:rPr>
        <w:t>Methods</w:t>
      </w:r>
    </w:p>
    <w:p w14:paraId="19B1BA4E" w14:textId="77777777" w:rsidR="008A155D" w:rsidRPr="00742DCB" w:rsidRDefault="008A155D" w:rsidP="00F74523">
      <w:pPr>
        <w:spacing w:line="480" w:lineRule="auto"/>
        <w:rPr>
          <w:rFonts w:cs="Times New Roman"/>
        </w:rPr>
      </w:pPr>
      <w:r w:rsidRPr="00742DCB">
        <w:rPr>
          <w:rFonts w:cs="Times New Roman"/>
        </w:rPr>
        <w:t>Analysis of data from the National Maternity Survey in 2018 including 17,611 women from 129 organisations.  This was linked to hospital midwifery staffing numbers from the National Health Service (NHS) Workforce Statistics and the number of births from Hospital Episode Statistics.  A two-level logistic regression model was created to examine the association of midwifery staffing levels and experiences in post-natal care.</w:t>
      </w:r>
    </w:p>
    <w:p w14:paraId="524510B6" w14:textId="77777777" w:rsidR="008A155D" w:rsidRPr="00742DCB" w:rsidRDefault="008A155D" w:rsidP="00F74523">
      <w:pPr>
        <w:spacing w:line="480" w:lineRule="auto"/>
        <w:rPr>
          <w:rFonts w:cs="Times New Roman"/>
        </w:rPr>
      </w:pPr>
    </w:p>
    <w:p w14:paraId="3E9EEFCF" w14:textId="77777777" w:rsidR="008A155D" w:rsidRPr="00742DCB" w:rsidRDefault="008A155D" w:rsidP="00F74523">
      <w:pPr>
        <w:spacing w:line="480" w:lineRule="auto"/>
        <w:rPr>
          <w:rFonts w:cs="Times New Roman"/>
          <w:b/>
          <w:bCs/>
        </w:rPr>
      </w:pPr>
      <w:r w:rsidRPr="00742DCB">
        <w:rPr>
          <w:rFonts w:cs="Times New Roman"/>
          <w:b/>
          <w:bCs/>
        </w:rPr>
        <w:t>Results</w:t>
      </w:r>
    </w:p>
    <w:p w14:paraId="72629BEF" w14:textId="77777777" w:rsidR="008A155D" w:rsidRPr="00742DCB" w:rsidRDefault="008A155D" w:rsidP="00F74523">
      <w:pPr>
        <w:spacing w:line="480" w:lineRule="auto"/>
        <w:rPr>
          <w:rFonts w:cs="Times New Roman"/>
        </w:rPr>
      </w:pPr>
      <w:r w:rsidRPr="00742DCB">
        <w:rPr>
          <w:rFonts w:cs="Times New Roman"/>
        </w:rPr>
        <w:t xml:space="preserve">The median full time equivalent midwives per 100 births was </w:t>
      </w:r>
      <w:r w:rsidRPr="00742DCB">
        <w:t>3.55  (interquartile range 3.26 to 3.78)</w:t>
      </w:r>
      <w:r w:rsidRPr="00742DCB">
        <w:rPr>
          <w:rFonts w:cs="Times New Roman"/>
        </w:rPr>
        <w:t xml:space="preserve">.  Higher staffing levels were </w:t>
      </w:r>
      <w:r w:rsidRPr="00742DCB">
        <w:t xml:space="preserve">associated with </w:t>
      </w:r>
      <w:r>
        <w:t xml:space="preserve">less likelihood </w:t>
      </w:r>
      <w:r w:rsidRPr="00742DCB">
        <w:t xml:space="preserve">of </w:t>
      </w:r>
      <w:r>
        <w:t xml:space="preserve">women reporting </w:t>
      </w:r>
      <w:r w:rsidRPr="00742DCB">
        <w:t xml:space="preserve">delay in discharge </w:t>
      </w:r>
      <w:r w:rsidRPr="00742DCB">
        <w:rPr>
          <w:rFonts w:cs="Times New Roman"/>
        </w:rPr>
        <w:t>(adjusted odds ratio [</w:t>
      </w:r>
      <w:proofErr w:type="spellStart"/>
      <w:r w:rsidRPr="00742DCB">
        <w:rPr>
          <w:rFonts w:cs="Times New Roman"/>
        </w:rPr>
        <w:t>aOR</w:t>
      </w:r>
      <w:proofErr w:type="spellEnd"/>
      <w:r w:rsidRPr="00742DCB">
        <w:rPr>
          <w:rFonts w:cs="Times New Roman"/>
        </w:rPr>
        <w:t>] 0.849, 95% CI 0.753 to 0.959, p=0.008), increased</w:t>
      </w:r>
      <w:r w:rsidRPr="00742DCB">
        <w:t xml:space="preserve"> chances of women reporting that staff always helped in a reasonable time aOR1.200 (95% CI 1.052, 1.369, p=0.007) and that they always had the information or explanations they needed </w:t>
      </w:r>
      <w:proofErr w:type="spellStart"/>
      <w:r w:rsidRPr="00742DCB">
        <w:t>aOR</w:t>
      </w:r>
      <w:proofErr w:type="spellEnd"/>
      <w:r w:rsidRPr="00742DCB">
        <w:t xml:space="preserve"> 1.150 (95% CI 1.040, 1.271, p=0.006).  </w:t>
      </w:r>
      <w:r>
        <w:t>W</w:t>
      </w:r>
      <w:r w:rsidRPr="00742DCB">
        <w:t xml:space="preserve">omen </w:t>
      </w:r>
      <w:r>
        <w:t xml:space="preserve">were more likely to report </w:t>
      </w:r>
      <w:r w:rsidRPr="00742DCB">
        <w:t>being treated with kindness and understanding</w:t>
      </w:r>
      <w:r>
        <w:t xml:space="preserve"> with </w:t>
      </w:r>
      <w:r>
        <w:lastRenderedPageBreak/>
        <w:t>higher staffing, but the difference was small and not statistically significant</w:t>
      </w:r>
      <w:r w:rsidRPr="00742DCB">
        <w:t xml:space="preserve"> </w:t>
      </w:r>
      <w:proofErr w:type="spellStart"/>
      <w:r w:rsidRPr="00742DCB">
        <w:t>aOR</w:t>
      </w:r>
      <w:proofErr w:type="spellEnd"/>
      <w:r w:rsidRPr="00742DCB">
        <w:t xml:space="preserve"> 1.059 (0.949, 1.181, p=0.306).  </w:t>
      </w:r>
    </w:p>
    <w:p w14:paraId="4C050175" w14:textId="77777777" w:rsidR="008A155D" w:rsidRPr="00742DCB" w:rsidRDefault="008A155D" w:rsidP="00F74523">
      <w:pPr>
        <w:spacing w:line="480" w:lineRule="auto"/>
        <w:rPr>
          <w:rFonts w:cs="Times New Roman"/>
          <w:b/>
          <w:bCs/>
        </w:rPr>
      </w:pPr>
      <w:r w:rsidRPr="00742DCB">
        <w:rPr>
          <w:rFonts w:cs="Times New Roman"/>
          <w:b/>
          <w:bCs/>
        </w:rPr>
        <w:t>Conclusions</w:t>
      </w:r>
    </w:p>
    <w:p w14:paraId="7715B30D" w14:textId="77777777" w:rsidR="008A155D" w:rsidRPr="00742DCB" w:rsidRDefault="008A155D" w:rsidP="00FA79B6">
      <w:pPr>
        <w:pStyle w:val="CommentText"/>
        <w:spacing w:line="480" w:lineRule="auto"/>
        <w:rPr>
          <w:rFonts w:cs="Times New Roman"/>
          <w:sz w:val="22"/>
          <w:szCs w:val="22"/>
        </w:rPr>
      </w:pPr>
      <w:r>
        <w:rPr>
          <w:rFonts w:cs="Times New Roman"/>
          <w:sz w:val="22"/>
          <w:szCs w:val="22"/>
        </w:rPr>
        <w:t>N</w:t>
      </w:r>
      <w:r w:rsidRPr="00742DCB">
        <w:rPr>
          <w:rFonts w:cs="Times New Roman"/>
          <w:sz w:val="22"/>
          <w:szCs w:val="22"/>
        </w:rPr>
        <w:t>egative experiences for women on postnatal wards</w:t>
      </w:r>
      <w:r>
        <w:rPr>
          <w:rFonts w:cs="Times New Roman"/>
          <w:sz w:val="22"/>
          <w:szCs w:val="22"/>
        </w:rPr>
        <w:t xml:space="preserve"> were more likely to occur in trusts with fewer midwives</w:t>
      </w:r>
      <w:r w:rsidRPr="00742DCB">
        <w:rPr>
          <w:rFonts w:cs="Times New Roman"/>
          <w:sz w:val="22"/>
          <w:szCs w:val="22"/>
        </w:rPr>
        <w:t>.  Low staffing could be contributing to discharge delays and lack of support and information, which may in turn have implications for longer term outcomes for maternal and infant wellbeing.</w:t>
      </w:r>
    </w:p>
    <w:p w14:paraId="1682F9DA" w14:textId="77777777" w:rsidR="008A155D" w:rsidRPr="00742DCB" w:rsidRDefault="008A155D" w:rsidP="00FA79B6">
      <w:pPr>
        <w:spacing w:line="480" w:lineRule="auto"/>
        <w:rPr>
          <w:rFonts w:cs="Times New Roman"/>
        </w:rPr>
      </w:pPr>
      <w:r w:rsidRPr="00742DCB">
        <w:rPr>
          <w:rFonts w:cs="Times New Roman"/>
        </w:rPr>
        <w:br/>
      </w:r>
    </w:p>
    <w:p w14:paraId="39B7EB0D" w14:textId="77777777" w:rsidR="008A155D" w:rsidRPr="00742DCB" w:rsidRDefault="008A155D" w:rsidP="00F74523">
      <w:pPr>
        <w:spacing w:line="480" w:lineRule="auto"/>
        <w:rPr>
          <w:rFonts w:cs="Times New Roman"/>
          <w:b/>
          <w:bCs/>
        </w:rPr>
      </w:pPr>
      <w:r w:rsidRPr="00742DCB">
        <w:rPr>
          <w:rFonts w:cs="Times New Roman"/>
          <w:b/>
          <w:bCs/>
        </w:rPr>
        <w:t>Keywords</w:t>
      </w:r>
    </w:p>
    <w:p w14:paraId="5FC116CE" w14:textId="77777777" w:rsidR="008A155D" w:rsidRPr="00742DCB" w:rsidRDefault="008A155D" w:rsidP="00F74523">
      <w:pPr>
        <w:spacing w:line="480" w:lineRule="auto"/>
        <w:rPr>
          <w:rFonts w:cs="Times New Roman"/>
        </w:rPr>
      </w:pPr>
      <w:r w:rsidRPr="00742DCB">
        <w:rPr>
          <w:rFonts w:cs="Times New Roman"/>
        </w:rPr>
        <w:t>Postnatal, Workforce, Midwife; Staffing, Patient experience, Maternity</w:t>
      </w:r>
    </w:p>
    <w:p w14:paraId="0D94C8D0" w14:textId="77777777" w:rsidR="008A155D" w:rsidRDefault="008A155D">
      <w:pPr>
        <w:rPr>
          <w:b/>
          <w:bCs/>
        </w:rPr>
      </w:pPr>
      <w:r>
        <w:rPr>
          <w:b/>
          <w:bCs/>
        </w:rPr>
        <w:br/>
      </w:r>
    </w:p>
    <w:p w14:paraId="1FE87D3A" w14:textId="77777777" w:rsidR="008A155D" w:rsidRDefault="008A155D">
      <w:pPr>
        <w:rPr>
          <w:b/>
          <w:bCs/>
        </w:rPr>
      </w:pPr>
      <w:r>
        <w:rPr>
          <w:b/>
          <w:bCs/>
        </w:rPr>
        <w:br w:type="page"/>
      </w:r>
    </w:p>
    <w:p w14:paraId="3518CD3F" w14:textId="77777777" w:rsidR="008A155D" w:rsidRDefault="008A155D">
      <w:pPr>
        <w:rPr>
          <w:b/>
          <w:bCs/>
        </w:rPr>
      </w:pPr>
      <w:r>
        <w:rPr>
          <w:b/>
          <w:bCs/>
        </w:rPr>
        <w:lastRenderedPageBreak/>
        <w:t>Explanation</w:t>
      </w:r>
    </w:p>
    <w:p w14:paraId="1386C60D" w14:textId="77777777" w:rsidR="008A155D" w:rsidRDefault="008A155D" w:rsidP="00AF4B92">
      <w:pPr>
        <w:spacing w:line="480" w:lineRule="auto"/>
        <w:rPr>
          <w:rFonts w:cs="Times New Roman"/>
        </w:rPr>
      </w:pPr>
      <w:r>
        <w:rPr>
          <w:rFonts w:cs="Times New Roman"/>
        </w:rPr>
        <w:t>While we recognise that n</w:t>
      </w:r>
      <w:r w:rsidRPr="00AF4B92">
        <w:rPr>
          <w:rFonts w:cs="Times New Roman"/>
        </w:rPr>
        <w:t xml:space="preserve">ot all gestational parents </w:t>
      </w:r>
      <w:r>
        <w:rPr>
          <w:rFonts w:cs="Times New Roman"/>
        </w:rPr>
        <w:t>identify as</w:t>
      </w:r>
      <w:r w:rsidRPr="00AF4B92">
        <w:rPr>
          <w:rFonts w:cs="Times New Roman"/>
        </w:rPr>
        <w:t xml:space="preserve"> women; </w:t>
      </w:r>
      <w:r>
        <w:rPr>
          <w:rFonts w:cs="Times New Roman"/>
        </w:rPr>
        <w:t xml:space="preserve">this term was chosen as it has been used in the data source which was accessed for this study and represents most people having maternities.  </w:t>
      </w:r>
    </w:p>
    <w:p w14:paraId="3468A43C" w14:textId="77777777" w:rsidR="008A155D" w:rsidRDefault="008A155D" w:rsidP="00AF4B92">
      <w:pPr>
        <w:spacing w:line="480" w:lineRule="auto"/>
        <w:rPr>
          <w:rFonts w:cs="Times New Roman"/>
        </w:rPr>
      </w:pPr>
    </w:p>
    <w:p w14:paraId="2D715E86" w14:textId="77777777" w:rsidR="008A155D" w:rsidRDefault="008A155D" w:rsidP="00AF4B92">
      <w:pPr>
        <w:spacing w:line="480" w:lineRule="auto"/>
        <w:rPr>
          <w:rFonts w:cs="Times New Roman"/>
          <w:b/>
          <w:bCs/>
        </w:rPr>
      </w:pPr>
      <w:r>
        <w:rPr>
          <w:rFonts w:cs="Times New Roman"/>
          <w:b/>
          <w:bCs/>
        </w:rPr>
        <w:t>Statement of significance (problem)</w:t>
      </w:r>
    </w:p>
    <w:p w14:paraId="71441484" w14:textId="77777777" w:rsidR="008A155D" w:rsidRPr="006E68DF" w:rsidRDefault="008A155D" w:rsidP="00AF4B92">
      <w:pPr>
        <w:spacing w:line="480" w:lineRule="auto"/>
      </w:pPr>
      <w:r>
        <w:t xml:space="preserve">Women report negative experiences of postnatal care compared with antenatal care and birth.  </w:t>
      </w:r>
      <w:r w:rsidRPr="00510331">
        <w:t>There is a recognised shortage of midwives in maternity services</w:t>
      </w:r>
      <w:r>
        <w:t>, and this may be impacting on the quality of postnatal care.</w:t>
      </w:r>
    </w:p>
    <w:p w14:paraId="5BD403FD" w14:textId="77777777" w:rsidR="008A155D" w:rsidRDefault="008A155D" w:rsidP="00AF4B92">
      <w:pPr>
        <w:spacing w:line="480" w:lineRule="auto"/>
        <w:rPr>
          <w:rFonts w:cs="Times New Roman"/>
          <w:b/>
          <w:bCs/>
        </w:rPr>
      </w:pPr>
    </w:p>
    <w:p w14:paraId="6FA9DA72" w14:textId="77777777" w:rsidR="008A155D" w:rsidRDefault="008A155D" w:rsidP="00AF4B92">
      <w:pPr>
        <w:spacing w:line="480" w:lineRule="auto"/>
        <w:rPr>
          <w:rFonts w:cs="Times New Roman"/>
          <w:b/>
          <w:bCs/>
        </w:rPr>
      </w:pPr>
      <w:r>
        <w:rPr>
          <w:rFonts w:cs="Times New Roman"/>
          <w:b/>
          <w:bCs/>
        </w:rPr>
        <w:t>What is already known?</w:t>
      </w:r>
    </w:p>
    <w:p w14:paraId="622E49F0" w14:textId="77777777" w:rsidR="008A155D" w:rsidRPr="009F2437" w:rsidRDefault="008A155D" w:rsidP="00AF4B92">
      <w:pPr>
        <w:spacing w:line="480" w:lineRule="auto"/>
        <w:rPr>
          <w:rFonts w:cs="Times New Roman"/>
        </w:rPr>
      </w:pPr>
      <w:r>
        <w:rPr>
          <w:rFonts w:cs="Times New Roman"/>
        </w:rPr>
        <w:t>There is evidence that midwifery staffing levels are associated with birth outcomes but little empirical</w:t>
      </w:r>
      <w:r w:rsidRPr="009F2437">
        <w:rPr>
          <w:rFonts w:cs="Times New Roman"/>
        </w:rPr>
        <w:t xml:space="preserve"> evidence on the impact of midwifery staffing levels </w:t>
      </w:r>
      <w:r>
        <w:rPr>
          <w:rFonts w:cs="Times New Roman"/>
        </w:rPr>
        <w:t>in</w:t>
      </w:r>
      <w:r w:rsidRPr="009F2437">
        <w:rPr>
          <w:rFonts w:cs="Times New Roman"/>
        </w:rPr>
        <w:t xml:space="preserve"> postnatal care</w:t>
      </w:r>
    </w:p>
    <w:p w14:paraId="24D76637" w14:textId="77777777" w:rsidR="008A155D" w:rsidRDefault="008A155D" w:rsidP="00AF4B92">
      <w:pPr>
        <w:spacing w:line="480" w:lineRule="auto"/>
        <w:rPr>
          <w:rFonts w:cs="Times New Roman"/>
          <w:b/>
          <w:bCs/>
        </w:rPr>
      </w:pPr>
    </w:p>
    <w:p w14:paraId="76790047" w14:textId="77777777" w:rsidR="008A155D" w:rsidRDefault="008A155D" w:rsidP="00AF4B92">
      <w:pPr>
        <w:spacing w:line="480" w:lineRule="auto"/>
        <w:rPr>
          <w:rFonts w:cs="Times New Roman"/>
          <w:b/>
          <w:bCs/>
        </w:rPr>
      </w:pPr>
      <w:r>
        <w:rPr>
          <w:rFonts w:cs="Times New Roman"/>
          <w:b/>
          <w:bCs/>
        </w:rPr>
        <w:t>What this paper adds?</w:t>
      </w:r>
    </w:p>
    <w:p w14:paraId="1B0C9BC1" w14:textId="77777777" w:rsidR="008A155D" w:rsidRPr="009F2437" w:rsidRDefault="008A155D" w:rsidP="009F2437">
      <w:pPr>
        <w:spacing w:line="480" w:lineRule="auto"/>
      </w:pPr>
      <w:r w:rsidRPr="009F2437">
        <w:t>This analysis of survey data supports previous findings that increased midwifery staffing is associated with benefits</w:t>
      </w:r>
      <w:r>
        <w:t xml:space="preserve">. </w:t>
      </w:r>
      <w:r>
        <w:rPr>
          <w:vertAlign w:val="superscript"/>
        </w:rPr>
        <w:t xml:space="preserve"> </w:t>
      </w:r>
      <w:r w:rsidRPr="009F2437">
        <w:t xml:space="preserve">This is the </w:t>
      </w:r>
      <w:bookmarkStart w:id="0" w:name="_Hlk92213413"/>
      <w:r w:rsidRPr="009F2437">
        <w:t xml:space="preserve">first study to examine the effects of </w:t>
      </w:r>
      <w:r>
        <w:t xml:space="preserve">organisational </w:t>
      </w:r>
      <w:r w:rsidRPr="009F2437">
        <w:t xml:space="preserve">staffing on </w:t>
      </w:r>
      <w:r>
        <w:t xml:space="preserve">women’s experience of </w:t>
      </w:r>
      <w:r w:rsidRPr="009F2437">
        <w:t>postnatal care.</w:t>
      </w:r>
    </w:p>
    <w:bookmarkEnd w:id="0"/>
    <w:p w14:paraId="4DC00D9C" w14:textId="77777777" w:rsidR="008A155D" w:rsidRPr="00AF4B92" w:rsidRDefault="008A155D" w:rsidP="00AF4B92">
      <w:pPr>
        <w:spacing w:line="480" w:lineRule="auto"/>
      </w:pPr>
      <w:r w:rsidRPr="00AF4B92">
        <w:br w:type="page"/>
      </w:r>
    </w:p>
    <w:p w14:paraId="5BD6F2FC" w14:textId="77777777" w:rsidR="008A155D" w:rsidRPr="00E9352F" w:rsidRDefault="008A155D" w:rsidP="00F40B97">
      <w:pPr>
        <w:spacing w:after="240" w:line="480" w:lineRule="auto"/>
        <w:rPr>
          <w:b/>
          <w:bCs/>
        </w:rPr>
      </w:pPr>
      <w:r w:rsidRPr="00E9352F">
        <w:rPr>
          <w:b/>
          <w:bCs/>
        </w:rPr>
        <w:lastRenderedPageBreak/>
        <w:t>The association between midwifery staffing levels and the experiences of mothers on postnatal wards: cross sectional analysis of routine data</w:t>
      </w:r>
      <w:r w:rsidRPr="00E9352F">
        <w:rPr>
          <w:rFonts w:cs="Times New Roman"/>
          <w:b/>
          <w:bCs/>
        </w:rPr>
        <w:br/>
      </w:r>
    </w:p>
    <w:p w14:paraId="60349B2A" w14:textId="77777777" w:rsidR="008A155D" w:rsidRPr="00742DCB" w:rsidRDefault="008A155D" w:rsidP="00F40B97">
      <w:pPr>
        <w:spacing w:after="240" w:line="480" w:lineRule="auto"/>
      </w:pPr>
      <w:r w:rsidRPr="00742DCB">
        <w:t>INTRODUCTION</w:t>
      </w:r>
    </w:p>
    <w:p w14:paraId="5D31907E" w14:textId="77777777" w:rsidR="008A155D" w:rsidRPr="00742DCB" w:rsidRDefault="008A155D" w:rsidP="00F40B97">
      <w:pPr>
        <w:spacing w:after="240" w:line="480" w:lineRule="auto"/>
      </w:pPr>
      <w:r w:rsidRPr="00742DCB">
        <w:t xml:space="preserve">The State of the World’s Midwifery report estimates that 900,000 more midwives are needed internationally to provide safe care and positive birth experiences </w:t>
      </w:r>
      <w:r w:rsidRPr="00D72AAA">
        <w:rPr>
          <w:noProof/>
          <w:vertAlign w:val="superscript"/>
        </w:rPr>
        <w:t>1</w:t>
      </w:r>
      <w:r w:rsidRPr="00742DCB">
        <w:t>. Investment in midwives has been predicted to substantially reduce maternal and infant mortality</w:t>
      </w:r>
      <w:r w:rsidRPr="00D72AAA">
        <w:rPr>
          <w:noProof/>
          <w:vertAlign w:val="superscript"/>
        </w:rPr>
        <w:t>2</w:t>
      </w:r>
      <w:r w:rsidRPr="00742DCB">
        <w:t xml:space="preserve"> and better workforce planning has been at the forefront of recent policy initiatives </w:t>
      </w:r>
      <w:r w:rsidRPr="00D72AAA">
        <w:rPr>
          <w:noProof/>
          <w:vertAlign w:val="superscript"/>
        </w:rPr>
        <w:t>3-5</w:t>
      </w:r>
      <w:r w:rsidRPr="00742DCB">
        <w:t>.</w:t>
      </w:r>
    </w:p>
    <w:p w14:paraId="518123BD" w14:textId="77777777" w:rsidR="008A155D" w:rsidRPr="00742DCB" w:rsidRDefault="008A155D" w:rsidP="00F40B97">
      <w:pPr>
        <w:spacing w:after="240" w:line="480" w:lineRule="auto"/>
        <w:rPr>
          <w:color w:val="4472C4" w:themeColor="accent1"/>
        </w:rPr>
      </w:pPr>
      <w:r w:rsidRPr="00742DCB">
        <w:t>This study focuses on inpatient postnatal care as women have consistently reported lower satisfaction with postnatal care compared with antenatal and labour care</w:t>
      </w:r>
      <w:r w:rsidRPr="00D72AAA">
        <w:rPr>
          <w:noProof/>
          <w:vertAlign w:val="superscript"/>
        </w:rPr>
        <w:t>6-8</w:t>
      </w:r>
      <w:r w:rsidRPr="00742DCB">
        <w:t xml:space="preserve">.  A systematic review of 53 studies on expectations and experiences of inpatient postnatal care concluded that whilst women were generally satisfied with their care, they were sometimes critical of communication, feeding support and a lack of explanations </w:t>
      </w:r>
      <w:r w:rsidRPr="00D72AAA">
        <w:rPr>
          <w:noProof/>
          <w:vertAlign w:val="superscript"/>
        </w:rPr>
        <w:t>9</w:t>
      </w:r>
      <w:r w:rsidRPr="00742DCB">
        <w:t xml:space="preserve">. In a qualitative study of ten women following caesarean section in Norway, women reported that staff had not fully taken on board their need for rest and adequate pain relief, and were more concerned with aiding breastfeeding than with their post-surgical recovery </w:t>
      </w:r>
      <w:r w:rsidRPr="00D72AAA">
        <w:rPr>
          <w:noProof/>
          <w:vertAlign w:val="superscript"/>
        </w:rPr>
        <w:t>10</w:t>
      </w:r>
      <w:r w:rsidRPr="00742DCB">
        <w:t xml:space="preserve">. Similar concerns have been raised by researchers in Sweden, who examined feedback from 150 women.  They reported that women felt insufficient attention was given to their physical and emotional needs and some felt neglected </w:t>
      </w:r>
      <w:r w:rsidRPr="00D72AAA">
        <w:rPr>
          <w:noProof/>
          <w:vertAlign w:val="superscript"/>
        </w:rPr>
        <w:t>11</w:t>
      </w:r>
      <w:r w:rsidRPr="00742DCB">
        <w:t>.  In a survey of 1290 first time mothers relating to care in the first 24 hours after birth, only 41% felt they had all the emotional support they needed, 45% had all the information and advice they needed, and 56% had all their physical care needs met</w:t>
      </w:r>
      <w:r w:rsidRPr="00D72AAA">
        <w:rPr>
          <w:noProof/>
          <w:vertAlign w:val="superscript"/>
        </w:rPr>
        <w:t>12</w:t>
      </w:r>
      <w:r w:rsidRPr="00742DCB">
        <w:rPr>
          <w:color w:val="4472C4" w:themeColor="accent1"/>
        </w:rPr>
        <w:t xml:space="preserve">.  </w:t>
      </w:r>
      <w:r>
        <w:rPr>
          <w:noProof/>
        </w:rPr>
        <w:t xml:space="preserve">Fawcett </w:t>
      </w:r>
      <w:r w:rsidRPr="00D72AAA">
        <w:rPr>
          <w:noProof/>
          <w:vertAlign w:val="superscript"/>
        </w:rPr>
        <w:t>13</w:t>
      </w:r>
      <w:r w:rsidRPr="00742DCB">
        <w:t xml:space="preserve"> conducted a thematic analysis of women’s experience on the postnatal ward.  Some women report that hospital staff seemed stressed and overworked, and this impacted on whether they felt able to ask for help</w:t>
      </w:r>
      <w:r w:rsidRPr="00D72AAA">
        <w:rPr>
          <w:noProof/>
          <w:vertAlign w:val="superscript"/>
        </w:rPr>
        <w:t>13</w:t>
      </w:r>
      <w:r w:rsidRPr="00742DCB">
        <w:t xml:space="preserve">.  </w:t>
      </w:r>
    </w:p>
    <w:p w14:paraId="6244EE10" w14:textId="77777777" w:rsidR="008A155D" w:rsidRPr="00742DCB" w:rsidRDefault="008A155D" w:rsidP="00F40B97">
      <w:pPr>
        <w:spacing w:after="240" w:line="480" w:lineRule="auto"/>
      </w:pPr>
      <w:r w:rsidRPr="00742DCB">
        <w:lastRenderedPageBreak/>
        <w:t>An association between registered nurse staffing and outcomes for acute inpatients has been found in many cross sectional studies, large longitudinal studies and evaluations of staffing policies</w:t>
      </w:r>
      <w:r w:rsidRPr="00D72AAA">
        <w:rPr>
          <w:noProof/>
          <w:vertAlign w:val="superscript"/>
        </w:rPr>
        <w:t>14-16</w:t>
      </w:r>
      <w:r w:rsidRPr="00742DCB">
        <w:t xml:space="preserve">.  Higher skill mix (i.e. total proportion of hours provided by registered nurses) has also been associated with improved outcomes </w:t>
      </w:r>
      <w:r w:rsidRPr="00D72AAA">
        <w:rPr>
          <w:noProof/>
          <w:vertAlign w:val="superscript"/>
        </w:rPr>
        <w:t>17</w:t>
      </w:r>
      <w:r w:rsidRPr="00742DCB">
        <w:t>.  There is much less evidence of the impact of staffing in maternity services.  This is especially notable in postnatal care, as a recent scoping review found a only a small number of studies, which examined outcomes such as breastfeeding and neonatal readmissions, and none looked at the woman’s postnatal experience in relation to staffing levels</w:t>
      </w:r>
      <w:r w:rsidRPr="00D72AAA">
        <w:rPr>
          <w:noProof/>
          <w:vertAlign w:val="superscript"/>
        </w:rPr>
        <w:t>18</w:t>
      </w:r>
      <w:r w:rsidRPr="00742DCB">
        <w:t xml:space="preserve">.   </w:t>
      </w:r>
      <w:r w:rsidRPr="00742DCB">
        <w:br/>
      </w:r>
      <w:r w:rsidRPr="00742DCB">
        <w:br/>
        <w:t>There has been an increase in caesarean section rates worldwide</w:t>
      </w:r>
      <w:r w:rsidRPr="00D72AAA">
        <w:rPr>
          <w:noProof/>
          <w:vertAlign w:val="superscript"/>
        </w:rPr>
        <w:t>19</w:t>
      </w:r>
      <w:r w:rsidRPr="00742DCB">
        <w:t xml:space="preserve"> which impacts on the complexity of care on postnatal wards and length of stay</w:t>
      </w:r>
      <w:r w:rsidRPr="00D72AAA">
        <w:rPr>
          <w:noProof/>
          <w:vertAlign w:val="superscript"/>
        </w:rPr>
        <w:t>20</w:t>
      </w:r>
      <w:r w:rsidRPr="00742DCB">
        <w:t>.  The rise in maternal age and obesity also increases the risk profile for some women</w:t>
      </w:r>
      <w:r w:rsidRPr="007B5026">
        <w:rPr>
          <w:noProof/>
          <w:vertAlign w:val="superscript"/>
        </w:rPr>
        <w:t>21,22</w:t>
      </w:r>
      <w:r w:rsidRPr="00742DCB">
        <w:t>. Women in the UK are now offered discharge from hospital 24 hours after caesarean section if they are recovering well and do not have complications</w:t>
      </w:r>
      <w:r w:rsidRPr="00D72AAA">
        <w:rPr>
          <w:noProof/>
          <w:vertAlign w:val="superscript"/>
        </w:rPr>
        <w:t>20</w:t>
      </w:r>
      <w:r w:rsidRPr="00742DCB">
        <w:t>, which alters the acuity case mix of women remaining in postnatal areas.  It is important to know whether in-patient services are staffed appropriately for the level of demand and patient acuity, as little evidence currently exists on which to base staffing decisions</w:t>
      </w:r>
      <w:r w:rsidRPr="007B5026">
        <w:rPr>
          <w:noProof/>
          <w:vertAlign w:val="superscript"/>
        </w:rPr>
        <w:t>23,24</w:t>
      </w:r>
      <w:r w:rsidRPr="00742DCB">
        <w:t xml:space="preserve">. </w:t>
      </w:r>
      <w:r w:rsidRPr="00742DCB">
        <w:br/>
      </w:r>
    </w:p>
    <w:p w14:paraId="096DC4F1" w14:textId="77777777" w:rsidR="008A155D" w:rsidRPr="00742DCB" w:rsidRDefault="008A155D" w:rsidP="00F40B97">
      <w:pPr>
        <w:spacing w:after="240" w:line="480" w:lineRule="auto"/>
      </w:pPr>
      <w:r w:rsidRPr="00742DCB">
        <w:t xml:space="preserve">In England an annual national survey of maternity care is undertaken which asks all women about experiences of care, including postnatal care.  Similarly, midwifery staffing levels are routinely reported for all National Health Service (NHS) care providers, which deliver the majority of maternity care in England.   Our research aims to examine whether the quality of postnatal care reported by women is associated with variation in midwifery staffing levels.  </w:t>
      </w:r>
    </w:p>
    <w:p w14:paraId="5328FEF5" w14:textId="77777777" w:rsidR="008A155D" w:rsidRPr="00742DCB" w:rsidRDefault="008A155D" w:rsidP="00F40B97">
      <w:pPr>
        <w:spacing w:after="240" w:line="480" w:lineRule="auto"/>
      </w:pPr>
      <w:r w:rsidRPr="00742DCB">
        <w:t>The following research question was addressed: Is registered midwife staffing at organisational level associated with variation in women’s experience of inpatient postnatal care, controlling for other factors?</w:t>
      </w:r>
    </w:p>
    <w:p w14:paraId="66C9D9B0" w14:textId="67E3ED11" w:rsidR="008A155D" w:rsidRPr="00742DCB" w:rsidRDefault="008A155D" w:rsidP="00F40B97">
      <w:pPr>
        <w:spacing w:after="240" w:line="480" w:lineRule="auto"/>
      </w:pPr>
      <w:r w:rsidRPr="00742DCB">
        <w:lastRenderedPageBreak/>
        <w:t xml:space="preserve">METHODS </w:t>
      </w:r>
      <w:r w:rsidRPr="00742DCB">
        <w:br/>
        <w:t>This study is a cross sectional analysis of linked routinely collected datasets in English hospital Trusts.  A hospital Trust is an organisation which provides health services in a geographical area in England and manages one or more acute hospitals.  Individual patient data on women’s experiences of care has been obtained from the National Maternity Survey 2018 via the UK Data Service</w:t>
      </w:r>
      <w:r w:rsidRPr="00D72AAA">
        <w:rPr>
          <w:noProof/>
          <w:vertAlign w:val="superscript"/>
        </w:rPr>
        <w:t>8</w:t>
      </w:r>
      <w:r w:rsidRPr="00742DCB">
        <w:t xml:space="preserve">.  </w:t>
      </w:r>
      <w:r>
        <w:t xml:space="preserve">The Maternity Survey was anonymous, confidential, and approved by the NHS Health Research Authority ethics process.  </w:t>
      </w:r>
      <w:r w:rsidRPr="00742DCB">
        <w:t xml:space="preserve">Staffing and workload data was obtained from the NHS Workforce Statistics dataset </w:t>
      </w:r>
      <w:r w:rsidRPr="00D72AAA">
        <w:rPr>
          <w:noProof/>
          <w:vertAlign w:val="superscript"/>
        </w:rPr>
        <w:t>25</w:t>
      </w:r>
      <w:r w:rsidRPr="00742DCB">
        <w:t xml:space="preserve"> and the Hospital Episode Statistics</w:t>
      </w:r>
      <w:r w:rsidRPr="00D72AAA">
        <w:rPr>
          <w:noProof/>
          <w:vertAlign w:val="superscript"/>
        </w:rPr>
        <w:t>26</w:t>
      </w:r>
      <w:r w:rsidRPr="00742DCB">
        <w:t xml:space="preserve">.  The size of the datasets enables detailed statistical analysis of patient and organisation level variables.   The use of secondary data is a cost effective way of analysing new questions as data has already been subject to cleaning and quality checks </w:t>
      </w:r>
      <w:r w:rsidRPr="00D72AAA">
        <w:rPr>
          <w:noProof/>
          <w:vertAlign w:val="superscript"/>
        </w:rPr>
        <w:t>27</w:t>
      </w:r>
      <w:r w:rsidRPr="00742DCB">
        <w:t xml:space="preserve">.  </w:t>
      </w:r>
      <w:r>
        <w:t xml:space="preserve">Ethics permission was granted for this secondary data analysis by the corresponding authors university (ERGO 62570).  </w:t>
      </w:r>
    </w:p>
    <w:p w14:paraId="68B12939" w14:textId="77777777" w:rsidR="008A155D" w:rsidRPr="00742DCB" w:rsidRDefault="008A155D" w:rsidP="00F40B97">
      <w:pPr>
        <w:tabs>
          <w:tab w:val="left" w:pos="2520"/>
        </w:tabs>
        <w:spacing w:after="240" w:line="480" w:lineRule="auto"/>
      </w:pPr>
      <w:r w:rsidRPr="00742DCB">
        <w:t>Women were eligible for the annual National Maternity Survey if they had a live birth under the care of a participating hospital Trust</w:t>
      </w:r>
      <w:r>
        <w:t xml:space="preserve"> during February 2018 </w:t>
      </w:r>
      <w:r w:rsidRPr="00742DCB">
        <w:t>and were aged 16 years or over.  In 2018, 97.2% of births occurred in an NHS establishment, 0.4% in a non NHS establishment and 2% occurred at home</w:t>
      </w:r>
      <w:r w:rsidRPr="00D72AAA">
        <w:rPr>
          <w:noProof/>
          <w:vertAlign w:val="superscript"/>
        </w:rPr>
        <w:t>28</w:t>
      </w:r>
      <w:r w:rsidRPr="00742DCB">
        <w:t xml:space="preserve">.  </w:t>
      </w:r>
      <w:r>
        <w:t>A</w:t>
      </w:r>
      <w:r w:rsidRPr="00742DCB">
        <w:t xml:space="preserve">ll </w:t>
      </w:r>
      <w:r>
        <w:t xml:space="preserve">eligible </w:t>
      </w:r>
      <w:r w:rsidRPr="00742DCB">
        <w:t>women were invited to participate</w:t>
      </w:r>
      <w:r>
        <w:t xml:space="preserve"> unless they had registered to opt-out</w:t>
      </w:r>
      <w:r w:rsidRPr="00742DCB">
        <w:t xml:space="preserve">.  The survey </w:t>
      </w:r>
      <w:r>
        <w:t>was administered by post and completed on paper but</w:t>
      </w:r>
      <w:r w:rsidRPr="00742DCB">
        <w:t xml:space="preserve"> women could complete it over the phone if their first language was not English</w:t>
      </w:r>
      <w:r w:rsidRPr="00D72AAA">
        <w:rPr>
          <w:noProof/>
          <w:vertAlign w:val="superscript"/>
        </w:rPr>
        <w:t>8</w:t>
      </w:r>
      <w:r w:rsidRPr="00742DCB">
        <w:t xml:space="preserve">.  </w:t>
      </w:r>
      <w:r>
        <w:t xml:space="preserve">Fieldwork for the survey took place between April and August 2018.  Participation was voluntary and return of the questionnaire was taken as consent.  </w:t>
      </w:r>
      <w:r w:rsidRPr="00742DCB">
        <w:t>The Full Time Equivalent (FTE) headcount for midwives was extracted from the NHS Workforce Statistics dataset for February 2018, which corresponds with the same time as the National Maternity survey.  Records were linked by the unique hospital Trust code.  The number of Full Time Equivalent midwives per 100 births for each hospital Trust was calculated using annual births recorded in the Hospital Episode Statistics.</w:t>
      </w:r>
      <w:r>
        <w:t xml:space="preserve">  These data give an indication of the midwifery staffing resource available to provide all maternity care including (but not limited to) post-natal care. Detailed data on deployment of staff to post-natal care were unavailable</w:t>
      </w:r>
      <w:r w:rsidRPr="00742DCB">
        <w:br/>
      </w:r>
      <w:r w:rsidRPr="00742DCB">
        <w:lastRenderedPageBreak/>
        <w:br/>
        <w:t>Data from 129 Trusts and 17,611 women were included in this secondary analysis.   The included Trusts represented 98% (129/132) of those offering maternity services. Three Trusts were not included in the survey as they had less than 300 births in the study period.  The participating Trusts varied in size, with the mean number of births per Trust reported as 4844 births (range 1122 to 15,500).</w:t>
      </w:r>
    </w:p>
    <w:p w14:paraId="6F876C4F" w14:textId="77777777" w:rsidR="008A155D" w:rsidRPr="00742DCB" w:rsidRDefault="008A155D" w:rsidP="00F40B97">
      <w:pPr>
        <w:tabs>
          <w:tab w:val="left" w:pos="2520"/>
        </w:tabs>
        <w:spacing w:after="240" w:line="480" w:lineRule="auto"/>
      </w:pPr>
      <w:r w:rsidRPr="00742DCB">
        <w:t>The overall response rate was 37% (range of response rates 21% to 61% between Trusts).  The majority of women who responded were over 30 years of age (71%).  The age profile differed between Trusts e.g. women aged 35 or more ranged from 17% to 57% between Trusts.  Data on ethnicity and parity are not available at the individual level but have been obtained at a Trust level from data published online.  There is variability in ethnicity of respondents between Trusts, with the lowest proportion of white women in one Trust as 34% and the highest 99%.  Overall, 86% per cent of respondents were from a White eth</w:t>
      </w:r>
      <w:r>
        <w:t>n</w:t>
      </w:r>
      <w:r w:rsidRPr="00742DCB">
        <w:t xml:space="preserve">ic background, with 8% Asian / Asian British, 3% Black or Black British, 2% mixed ethnicity and 1% Arab or other ethnic group </w:t>
      </w:r>
      <w:r w:rsidRPr="00D72AAA">
        <w:rPr>
          <w:noProof/>
          <w:vertAlign w:val="superscript"/>
        </w:rPr>
        <w:t>8</w:t>
      </w:r>
      <w:r w:rsidRPr="00742DCB">
        <w:t>.  Younger women and women from non-white ethnicities were under-represented compared with those giving birth in the same time period</w:t>
      </w:r>
      <w:r w:rsidRPr="00D72AAA">
        <w:rPr>
          <w:noProof/>
          <w:vertAlign w:val="superscript"/>
        </w:rPr>
        <w:t>29</w:t>
      </w:r>
      <w:r w:rsidRPr="00742DCB">
        <w:t xml:space="preserve">.    </w:t>
      </w:r>
    </w:p>
    <w:p w14:paraId="39531586" w14:textId="77777777" w:rsidR="008A155D" w:rsidRPr="00742DCB" w:rsidRDefault="008A155D" w:rsidP="00F40B97">
      <w:pPr>
        <w:spacing w:after="240" w:line="480" w:lineRule="auto"/>
      </w:pPr>
      <w:r w:rsidRPr="00742DCB">
        <w:t>In the survey, four closed questions asked specifically about the woman’s experience of postnatal care.  These relate to whether they experienced a delay in discharge, if they were able to have help within a reasonable time, if they were given the information or explanations they needed, and whether they had been treated with kindness and understanding (Table 1)</w:t>
      </w:r>
      <w:r w:rsidRPr="00742DCB">
        <w:br/>
      </w:r>
      <w:r w:rsidRPr="00742DCB">
        <w:br/>
        <w:t>These four survey questions were only answered by women who had given birth in hospital, and they specifically relate to postnatal care in that setting. The responses were dichotomised into ‘Yes,  Always’ (coded 1)  and the alternative which included both ‘Yes, sometimes’ and ‘No’ (coded 0).  This grouping was decided in advance of the analysis based on the implied quality standard</w:t>
      </w:r>
      <w:r w:rsidRPr="00D72AAA">
        <w:rPr>
          <w:noProof/>
          <w:vertAlign w:val="superscript"/>
        </w:rPr>
        <w:t>30</w:t>
      </w:r>
      <w:r w:rsidRPr="00742DCB">
        <w:t xml:space="preserve">.  A </w:t>
      </w:r>
      <w:r w:rsidRPr="00742DCB">
        <w:lastRenderedPageBreak/>
        <w:t xml:space="preserve">sensitivity analysis was performed by grouping all the ‘Yes’ responses together to examine the effects of this alternative grouping (see </w:t>
      </w:r>
      <w:r>
        <w:t>s</w:t>
      </w:r>
      <w:r w:rsidRPr="00742DCB">
        <w:t xml:space="preserve">upplementary material). Missing values, don’t know or not applicable responses were removed prior to the analysis, using pairwise deletion.  Trust level midwifery staffing levels (as Full Time Equivalent per 100 births) were analysed both as a continuous variable and also divided into </w:t>
      </w:r>
      <w:proofErr w:type="spellStart"/>
      <w:r w:rsidRPr="00742DCB">
        <w:t>tertiles</w:t>
      </w:r>
      <w:proofErr w:type="spellEnd"/>
      <w:r w:rsidRPr="00742DCB">
        <w:t xml:space="preserve"> to explore potential non-linear relationships. Three categories were used to ensure sufficient numbers in each category, as the number of Trusts is limited and to aid interpretability.  </w:t>
      </w:r>
    </w:p>
    <w:p w14:paraId="436D9537" w14:textId="77777777" w:rsidR="008A155D" w:rsidRPr="00742DCB" w:rsidRDefault="008A155D" w:rsidP="00F40B97">
      <w:pPr>
        <w:spacing w:after="240" w:line="480" w:lineRule="auto"/>
      </w:pPr>
      <w:r w:rsidRPr="00742DCB">
        <w:t>A two-level multilevel logistic regression model was created using Level-1 (mothers) nested within Level-2 (Trusts).  Regression coefficients and adjusted odds ratios (</w:t>
      </w:r>
      <w:proofErr w:type="spellStart"/>
      <w:r w:rsidRPr="00742DCB">
        <w:t>aOR</w:t>
      </w:r>
      <w:proofErr w:type="spellEnd"/>
      <w:r w:rsidRPr="00742DCB">
        <w:t xml:space="preserve">) were calculated for individual predictors as a precursor to fitting a full model.  The null model was a two-level random intercept model with no predictors to explore the extent of between-trust variation in the outcomes.  Covariates were added to the multilevel models in 3 blocks: i) staffing and number of births per year (Trust level data)  ii) age group and type of birth (Individual level data)  iii) ethnicity (percentage white) and percentage primiparous respondents (Trust level data).  </w:t>
      </w:r>
    </w:p>
    <w:p w14:paraId="5E022928" w14:textId="77777777" w:rsidR="008A155D" w:rsidRPr="00742DCB" w:rsidRDefault="008A155D" w:rsidP="00F40B97">
      <w:pPr>
        <w:spacing w:after="240" w:line="480" w:lineRule="auto"/>
      </w:pPr>
      <w:r w:rsidRPr="00742DCB">
        <w:t>Akaike's Information criterion (AIC) and Bayesian information criterion (BIC) goodness of fit data were calculated in order to select models which did not to overfit or underfit the data.  Models were selected based on minimising AIC and BIC scores, with lower scores indicating the best fit. Where a difference of less than 2 on the AIC scores was noted, then this was not acted upon as it is not considered to be discriminatory at this level</w:t>
      </w:r>
      <w:r w:rsidRPr="00D72AAA">
        <w:rPr>
          <w:noProof/>
          <w:vertAlign w:val="superscript"/>
        </w:rPr>
        <w:t>31</w:t>
      </w:r>
      <w:r w:rsidRPr="00742DCB">
        <w:t xml:space="preserve">.  If AIC and BIC scores disagreed, then priority was given to the model lowest on AIC, and  the model lower on BIC was scrutinised and compared for a sensitivity check.  Interaction variables of staffing with age, mode of birth and parity were explored to see if this improved model fit using the same method for model selection. To see if results were sensitive to variation in non-responses between Trusts, analyses were repeated including a variable for the Trust response rate and results were scrutinised.  The assumptions of the multivariable logistic regression model were examined using guidance by </w:t>
      </w:r>
      <w:r>
        <w:rPr>
          <w:noProof/>
        </w:rPr>
        <w:t xml:space="preserve">Schreiber-Gregory </w:t>
      </w:r>
      <w:r w:rsidRPr="00D72AAA">
        <w:rPr>
          <w:noProof/>
          <w:vertAlign w:val="superscript"/>
        </w:rPr>
        <w:t>32</w:t>
      </w:r>
      <w:r w:rsidRPr="00742DCB">
        <w:t xml:space="preserve">.   </w:t>
      </w:r>
      <w:r w:rsidRPr="00377209">
        <w:t xml:space="preserve">We calculated the </w:t>
      </w:r>
      <w:r w:rsidRPr="00377209">
        <w:lastRenderedPageBreak/>
        <w:t>number of women who would need to be exposed to a higher staffing level to achieve on additional positive outcome using the reciprocal of the absolute risk difference between staffing tertiles</w:t>
      </w:r>
      <w:r w:rsidRPr="009320FE">
        <w:rPr>
          <w:noProof/>
          <w:vertAlign w:val="superscript"/>
        </w:rPr>
        <w:t>33</w:t>
      </w:r>
      <w:r>
        <w:t xml:space="preserve">.  </w:t>
      </w:r>
      <w:r w:rsidRPr="00742DCB">
        <w:t>All data was analysed in Stata 16.1 and coding is presented in the supplementary material.</w:t>
      </w:r>
    </w:p>
    <w:p w14:paraId="13F1DCFE" w14:textId="77777777" w:rsidR="008A155D" w:rsidRPr="00742DCB" w:rsidRDefault="008A155D" w:rsidP="00F40B97">
      <w:pPr>
        <w:tabs>
          <w:tab w:val="left" w:pos="2520"/>
        </w:tabs>
        <w:spacing w:after="240" w:line="480" w:lineRule="auto"/>
      </w:pPr>
    </w:p>
    <w:p w14:paraId="40B7C09C" w14:textId="77777777" w:rsidR="008A155D" w:rsidRPr="00742DCB" w:rsidRDefault="008A155D" w:rsidP="00F40B97">
      <w:pPr>
        <w:spacing w:after="240" w:line="480" w:lineRule="auto"/>
      </w:pPr>
      <w:r w:rsidRPr="00742DCB">
        <w:t xml:space="preserve">RESULTS </w:t>
      </w:r>
    </w:p>
    <w:p w14:paraId="6464ED52" w14:textId="77777777" w:rsidR="008A155D" w:rsidRPr="001241DF" w:rsidRDefault="008A155D" w:rsidP="00F40B97">
      <w:pPr>
        <w:spacing w:after="240" w:line="480" w:lineRule="auto"/>
        <w:rPr>
          <w:strike/>
        </w:rPr>
      </w:pPr>
      <w:r w:rsidRPr="00742DCB">
        <w:t>For the 129 Trusts studied, the median Full Time Equivalent midwives per 100 births was 3.55 (interquartile range 3.26 to 3.78). This equates to one midwife per 28 births.  The distribution of staffing levels shows variation in staffing between Trusts</w:t>
      </w:r>
      <w:r>
        <w:t>,</w:t>
      </w:r>
      <w:r w:rsidRPr="00742DCB">
        <w:t xml:space="preserve"> with clustering on the left tail (Figure 1).</w:t>
      </w:r>
      <w:r w:rsidRPr="001241DF" w:rsidDel="001241DF">
        <w:rPr>
          <w:rStyle w:val="CommentReference"/>
          <w:strike/>
        </w:rPr>
        <w:t xml:space="preserve"> </w:t>
      </w:r>
    </w:p>
    <w:p w14:paraId="0EF15C07" w14:textId="77777777" w:rsidR="008A155D" w:rsidRPr="00742DCB" w:rsidRDefault="008A155D" w:rsidP="00F40B97">
      <w:pPr>
        <w:spacing w:after="240" w:line="480" w:lineRule="auto"/>
      </w:pPr>
      <w:r w:rsidRPr="00742DCB">
        <w:t xml:space="preserve">The majority of respondents reported that they did not have a delay in discharge (55%) and that staff always helped within a reasonable time (60%), they always had the information or explanations they needed (65%), and were always treated with kindness and understanding (74%).  Response categories and frequencies are shown in the </w:t>
      </w:r>
      <w:r>
        <w:t>s</w:t>
      </w:r>
      <w:r w:rsidRPr="00742DCB">
        <w:t xml:space="preserve">upplementary material.  A small proportion of data was missing for each of the four questions, ranging from 466 to 603 respondents (2.6% to 3.4%).  </w:t>
      </w:r>
    </w:p>
    <w:p w14:paraId="5C6427F9" w14:textId="77777777" w:rsidR="008A155D" w:rsidRPr="00742DCB" w:rsidRDefault="008A155D" w:rsidP="00F40B97">
      <w:pPr>
        <w:spacing w:after="240" w:line="480" w:lineRule="auto"/>
      </w:pPr>
      <w:r w:rsidRPr="00742DCB">
        <w:t>Responses varied by age, type of birth and staffing levels.  All the unadjusted rates for categorical variables are presented in Table 2.</w:t>
      </w:r>
    </w:p>
    <w:p w14:paraId="095E547A" w14:textId="77777777" w:rsidR="008A155D" w:rsidRPr="00742DCB" w:rsidRDefault="008A155D" w:rsidP="00F40B97">
      <w:pPr>
        <w:spacing w:after="240" w:line="480" w:lineRule="auto"/>
      </w:pPr>
      <w:r w:rsidRPr="00742DCB">
        <w:br/>
      </w:r>
      <w:r w:rsidRPr="00742DCB">
        <w:rPr>
          <w:b/>
          <w:bCs/>
        </w:rPr>
        <w:t xml:space="preserve">Predictor variables of age, type of birth, parity, ethnicity, and size of Trust </w:t>
      </w:r>
    </w:p>
    <w:p w14:paraId="02DB77B5" w14:textId="77777777" w:rsidR="008A155D" w:rsidRPr="00742DCB" w:rsidRDefault="008A155D" w:rsidP="00F40B97">
      <w:pPr>
        <w:spacing w:after="240" w:line="480" w:lineRule="auto"/>
      </w:pPr>
      <w:r>
        <w:t>Women in the older age bands</w:t>
      </w:r>
      <w:r w:rsidRPr="00742DCB">
        <w:t xml:space="preserve"> reported a delay in discharge less frequently (adjusted odds ratio [</w:t>
      </w:r>
      <w:proofErr w:type="spellStart"/>
      <w:r w:rsidRPr="00742DCB">
        <w:t>aOR</w:t>
      </w:r>
      <w:proofErr w:type="spellEnd"/>
      <w:r w:rsidRPr="00742DCB">
        <w:t>]  0.808 to 0.892 across older subgroups) and reported more frequently that they were always helped within a reasonable time (</w:t>
      </w:r>
      <w:proofErr w:type="spellStart"/>
      <w:r w:rsidRPr="00742DCB">
        <w:t>aOR</w:t>
      </w:r>
      <w:proofErr w:type="spellEnd"/>
      <w:r w:rsidRPr="00742DCB">
        <w:t xml:space="preserve"> 1.206 to 1.473), they always had the information or explanations they needed (</w:t>
      </w:r>
      <w:proofErr w:type="spellStart"/>
      <w:r w:rsidRPr="00742DCB">
        <w:t>aOR</w:t>
      </w:r>
      <w:proofErr w:type="spellEnd"/>
      <w:r w:rsidRPr="00742DCB">
        <w:t xml:space="preserve"> 1.177 to 1.339), and had always been treated with kindness and understanding (</w:t>
      </w:r>
      <w:proofErr w:type="spellStart"/>
      <w:r w:rsidRPr="00742DCB">
        <w:t>aOR</w:t>
      </w:r>
      <w:proofErr w:type="spellEnd"/>
      <w:r w:rsidRPr="00742DCB">
        <w:t xml:space="preserve"> 1.284 to 1.598).  Some variation was also noted in women who had undergone different types of birth.  Compared to those having </w:t>
      </w:r>
      <w:r>
        <w:t xml:space="preserve">a spontaneous </w:t>
      </w:r>
      <w:r w:rsidRPr="00742DCB">
        <w:t>birt</w:t>
      </w:r>
      <w:r>
        <w:t xml:space="preserve">h with no instrumental </w:t>
      </w:r>
      <w:r>
        <w:lastRenderedPageBreak/>
        <w:t>intervention</w:t>
      </w:r>
      <w:r w:rsidRPr="00742DCB">
        <w:t xml:space="preserve">, those having an </w:t>
      </w:r>
      <w:r>
        <w:t>instrumental</w:t>
      </w:r>
      <w:r w:rsidRPr="00742DCB">
        <w:t xml:space="preserve"> vaginal birth were more likely to report delay in discharge (</w:t>
      </w:r>
      <w:proofErr w:type="spellStart"/>
      <w:r w:rsidRPr="00742DCB">
        <w:t>aOR</w:t>
      </w:r>
      <w:proofErr w:type="spellEnd"/>
      <w:r w:rsidRPr="00742DCB">
        <w:t xml:space="preserve"> 1.406) and less likely to report that staff always helped within a reasonable time (</w:t>
      </w:r>
      <w:proofErr w:type="spellStart"/>
      <w:r w:rsidRPr="00742DCB">
        <w:t>aOR</w:t>
      </w:r>
      <w:proofErr w:type="spellEnd"/>
      <w:r w:rsidRPr="00742DCB">
        <w:t xml:space="preserve"> 0.769), that they were always given the information or explanations they needed (</w:t>
      </w:r>
      <w:proofErr w:type="spellStart"/>
      <w:r w:rsidRPr="00742DCB">
        <w:t>aOR</w:t>
      </w:r>
      <w:proofErr w:type="spellEnd"/>
      <w:r w:rsidRPr="00742DCB">
        <w:t xml:space="preserve"> 0.613) or always treated with kindness and understanding so often (</w:t>
      </w:r>
      <w:proofErr w:type="spellStart"/>
      <w:r w:rsidRPr="00742DCB">
        <w:t>aOR</w:t>
      </w:r>
      <w:proofErr w:type="spellEnd"/>
      <w:r w:rsidRPr="00742DCB">
        <w:t xml:space="preserve"> 0.604).  Similar findings were reported by those who had a caesarean section (Table 3).  Full models for each of the outcomes are presented in the </w:t>
      </w:r>
      <w:r>
        <w:t>s</w:t>
      </w:r>
      <w:r w:rsidRPr="00742DCB">
        <w:t>upplementary material.</w:t>
      </w:r>
      <w:r w:rsidRPr="00742DCB">
        <w:br/>
      </w:r>
      <w:r w:rsidRPr="00742DCB">
        <w:br/>
        <w:t>The case mix of each Trust suggested that there may be small differences in the experience of cohorts of women in Trusts with more primiparous women (</w:t>
      </w:r>
      <w:proofErr w:type="spellStart"/>
      <w:r w:rsidRPr="00742DCB">
        <w:t>aOR</w:t>
      </w:r>
      <w:proofErr w:type="spellEnd"/>
      <w:r w:rsidRPr="00742DCB">
        <w:t xml:space="preserve"> 0.983 to 0.986 for four outcomes) and those with fewer white women  (</w:t>
      </w:r>
      <w:proofErr w:type="spellStart"/>
      <w:r w:rsidRPr="00742DCB">
        <w:t>aOR</w:t>
      </w:r>
      <w:proofErr w:type="spellEnd"/>
      <w:r w:rsidRPr="00742DCB">
        <w:t xml:space="preserve"> 1.003 to </w:t>
      </w:r>
      <w:proofErr w:type="spellStart"/>
      <w:r w:rsidRPr="00742DCB">
        <w:t>aOR</w:t>
      </w:r>
      <w:proofErr w:type="spellEnd"/>
      <w:r w:rsidRPr="00742DCB">
        <w:t xml:space="preserve"> 1.006), however the effect sizes were very small (Table 3).</w:t>
      </w:r>
      <w:r>
        <w:t xml:space="preserve">  </w:t>
      </w:r>
      <w:r w:rsidRPr="00742DCB">
        <w:t xml:space="preserve">The size of the Trust in terms of the annual number of births did not appear to be associated with variation in any of the reported experiences.  </w:t>
      </w:r>
      <w:r w:rsidRPr="00742DCB">
        <w:br/>
      </w:r>
    </w:p>
    <w:p w14:paraId="388C14C0" w14:textId="77777777" w:rsidR="008A155D" w:rsidRPr="00742DCB" w:rsidRDefault="008A155D" w:rsidP="00F40B97">
      <w:pPr>
        <w:pStyle w:val="Heading3"/>
        <w:spacing w:after="240" w:line="480" w:lineRule="auto"/>
        <w:rPr>
          <w:rFonts w:asciiTheme="minorHAnsi" w:eastAsiaTheme="minorHAnsi" w:hAnsiTheme="minorHAnsi" w:cstheme="minorBidi"/>
          <w:b/>
          <w:bCs/>
          <w:color w:val="auto"/>
          <w:sz w:val="22"/>
          <w:szCs w:val="22"/>
        </w:rPr>
      </w:pPr>
      <w:r w:rsidRPr="00742DCB">
        <w:rPr>
          <w:rFonts w:asciiTheme="minorHAnsi" w:eastAsiaTheme="minorHAnsi" w:hAnsiTheme="minorHAnsi" w:cstheme="minorBidi"/>
          <w:b/>
          <w:bCs/>
          <w:color w:val="auto"/>
          <w:sz w:val="22"/>
          <w:szCs w:val="22"/>
        </w:rPr>
        <w:t>Effects of staffing variation</w:t>
      </w:r>
    </w:p>
    <w:p w14:paraId="7104D3DB" w14:textId="7A5CA66B" w:rsidR="008A155D" w:rsidRPr="00742DCB" w:rsidRDefault="00794FE9" w:rsidP="00F40B97">
      <w:pPr>
        <w:spacing w:after="240" w:line="480" w:lineRule="auto"/>
      </w:pPr>
      <w:r>
        <w:t>T</w:t>
      </w:r>
      <w:r w:rsidR="008A155D" w:rsidRPr="00742DCB">
        <w:t xml:space="preserve">he association between midwifery staffing and </w:t>
      </w:r>
      <w:r>
        <w:t xml:space="preserve">patient </w:t>
      </w:r>
      <w:r w:rsidR="008A155D" w:rsidRPr="00742DCB">
        <w:t xml:space="preserve">experience </w:t>
      </w:r>
      <w:r>
        <w:t>is shown in Table 4</w:t>
      </w:r>
      <w:r w:rsidR="008A155D" w:rsidRPr="00742DCB">
        <w:t xml:space="preserve">.  Full models can be found </w:t>
      </w:r>
      <w:r>
        <w:t>i</w:t>
      </w:r>
      <w:r w:rsidR="008A155D" w:rsidRPr="00742DCB">
        <w:t>n the supplementary material.</w:t>
      </w:r>
    </w:p>
    <w:p w14:paraId="61405BB0" w14:textId="77777777" w:rsidR="008A155D" w:rsidRPr="00742DCB" w:rsidRDefault="008A155D" w:rsidP="00F40B97">
      <w:pPr>
        <w:spacing w:after="240" w:line="480" w:lineRule="auto"/>
      </w:pPr>
      <w:r w:rsidRPr="00742DCB">
        <w:t>In the multi-level model we found that every additional Full Time Equivalent midwife per 100 births was associated with 15% reduction in odds of reporting delay in discharge (</w:t>
      </w:r>
      <w:proofErr w:type="spellStart"/>
      <w:r w:rsidRPr="00742DCB">
        <w:t>aOR</w:t>
      </w:r>
      <w:proofErr w:type="spellEnd"/>
      <w:r w:rsidRPr="00742DCB">
        <w:t xml:space="preserve"> 0.849, 95% CI 0.753, 0.959, p=0.008), a 20% increased odds of women reporting that staff always helped in a reasonable time (aOR1.200, 95% CI 1.052, 1.369, p=0.007) and a 15% increased odds of women always having the information or explanations they needed (</w:t>
      </w:r>
      <w:proofErr w:type="spellStart"/>
      <w:r w:rsidRPr="00742DCB">
        <w:t>aOR</w:t>
      </w:r>
      <w:proofErr w:type="spellEnd"/>
      <w:r w:rsidRPr="00742DCB">
        <w:t xml:space="preserve"> 1.150, 95% CI 1.040, 1.271, p=0.006).  For women being treated with kindness and understanding, the point estimate is in the direction of improved experiences with more staffing, but </w:t>
      </w:r>
      <w:bookmarkStart w:id="1" w:name="_Hlk73647626"/>
      <w:r w:rsidRPr="00742DCB">
        <w:t>the relationship was not statistically significant in the adjusted model (</w:t>
      </w:r>
      <w:proofErr w:type="spellStart"/>
      <w:r w:rsidRPr="00742DCB">
        <w:t>aOR</w:t>
      </w:r>
      <w:proofErr w:type="spellEnd"/>
      <w:r w:rsidRPr="00742DCB">
        <w:t xml:space="preserve"> 1.059, 95% CI 0.949, 1.181 p=0.306)  </w:t>
      </w:r>
      <w:bookmarkEnd w:id="1"/>
      <w:r w:rsidRPr="00742DCB">
        <w:t xml:space="preserve">(Table 4).  </w:t>
      </w:r>
    </w:p>
    <w:p w14:paraId="7D0A54C3" w14:textId="77777777" w:rsidR="008A155D" w:rsidRPr="00252B71" w:rsidRDefault="008A155D" w:rsidP="00F40B97">
      <w:pPr>
        <w:spacing w:after="240" w:line="480" w:lineRule="auto"/>
        <w:rPr>
          <w:b/>
          <w:bCs/>
        </w:rPr>
      </w:pPr>
      <w:r>
        <w:rPr>
          <w:b/>
          <w:bCs/>
        </w:rPr>
        <w:lastRenderedPageBreak/>
        <w:t>Estimated differences related to staffing levels</w:t>
      </w:r>
    </w:p>
    <w:p w14:paraId="1062B747" w14:textId="77777777" w:rsidR="008A155D" w:rsidRPr="00742DCB" w:rsidRDefault="008A155D" w:rsidP="00F40B97">
      <w:pPr>
        <w:spacing w:after="240" w:line="480" w:lineRule="auto"/>
      </w:pPr>
      <w:r w:rsidRPr="00650DFF">
        <w:t xml:space="preserve">Based on these models </w:t>
      </w:r>
      <w:r>
        <w:t>it is</w:t>
      </w:r>
      <w:r w:rsidRPr="00650DFF">
        <w:t xml:space="preserve"> estimate</w:t>
      </w:r>
      <w:r>
        <w:t>d</w:t>
      </w:r>
      <w:r w:rsidRPr="00650DFF">
        <w:t xml:space="preserve"> that Trust</w:t>
      </w:r>
      <w:r>
        <w:t>s</w:t>
      </w:r>
      <w:r w:rsidRPr="00650DFF">
        <w:t xml:space="preserve"> in the highest staffing </w:t>
      </w:r>
      <w:proofErr w:type="spellStart"/>
      <w:r w:rsidRPr="00650DFF">
        <w:t>tertile</w:t>
      </w:r>
      <w:proofErr w:type="spellEnd"/>
      <w:r w:rsidRPr="00650DFF">
        <w:t xml:space="preserve"> would have 5.7% </w:t>
      </w:r>
      <w:r>
        <w:t>fewer</w:t>
      </w:r>
      <w:r w:rsidRPr="00650DFF">
        <w:t xml:space="preserve"> women reporting a delay in discharge compared to Trust</w:t>
      </w:r>
      <w:r>
        <w:t>s</w:t>
      </w:r>
      <w:r w:rsidRPr="00650DFF">
        <w:t xml:space="preserve"> with staffing in the lowest </w:t>
      </w:r>
      <w:proofErr w:type="spellStart"/>
      <w:r w:rsidRPr="00650DFF">
        <w:t>tertile</w:t>
      </w:r>
      <w:proofErr w:type="spellEnd"/>
      <w:r>
        <w:t xml:space="preserve"> </w:t>
      </w:r>
      <w:r w:rsidRPr="00650DFF">
        <w:t>(95% CI 2.7%, 8.8%).  For every 18 women who receive care in these Trusts one fewer would experience a discharge delay in the higher staff</w:t>
      </w:r>
      <w:r>
        <w:t>ed</w:t>
      </w:r>
      <w:r w:rsidRPr="00650DFF">
        <w:t xml:space="preserve"> Trust (number needed to be exposed).  Trusts with the highest </w:t>
      </w:r>
      <w:proofErr w:type="spellStart"/>
      <w:r w:rsidRPr="00650DFF">
        <w:t>tertile</w:t>
      </w:r>
      <w:proofErr w:type="spellEnd"/>
      <w:r w:rsidRPr="00650DFF">
        <w:t xml:space="preserve"> of staffing would have 4.1% more women saying that staff always helped in a reasonable time (95% CI 0.9%, 7.3%) and 2.7% more reporting that they had always been given the information or explanations they needed</w:t>
      </w:r>
      <w:r>
        <w:t xml:space="preserve"> </w:t>
      </w:r>
      <w:r w:rsidRPr="00650DFF">
        <w:t xml:space="preserve">(95% CI 0.4%, 5.1%).  This equates to one improved outcome in a high staffed </w:t>
      </w:r>
      <w:r>
        <w:t>T</w:t>
      </w:r>
      <w:r w:rsidRPr="00650DFF">
        <w:t xml:space="preserve">rust for every 24 women or 37 women respectively (Table 4). </w:t>
      </w:r>
      <w:r>
        <w:t xml:space="preserve"> </w:t>
      </w:r>
      <w:r w:rsidRPr="00742DCB">
        <w:t>There appears to be a dose response effect as Trusts with mid-</w:t>
      </w:r>
      <w:proofErr w:type="spellStart"/>
      <w:r w:rsidRPr="00742DCB">
        <w:t>tertile</w:t>
      </w:r>
      <w:proofErr w:type="spellEnd"/>
      <w:r w:rsidRPr="00742DCB">
        <w:t xml:space="preserve"> staffing had predicted effects in between the lowest and highest values (Table 4).  </w:t>
      </w:r>
    </w:p>
    <w:p w14:paraId="361DCAC7" w14:textId="77777777" w:rsidR="008A155D" w:rsidRPr="00742DCB" w:rsidRDefault="008A155D" w:rsidP="00F40B97">
      <w:pPr>
        <w:spacing w:after="240" w:line="480" w:lineRule="auto"/>
        <w:rPr>
          <w:b/>
          <w:bCs/>
        </w:rPr>
      </w:pPr>
      <w:r w:rsidRPr="00742DCB">
        <w:rPr>
          <w:b/>
          <w:bCs/>
        </w:rPr>
        <w:br/>
        <w:t>Sensitivity analyses</w:t>
      </w:r>
    </w:p>
    <w:p w14:paraId="2FF8FFAC" w14:textId="77777777" w:rsidR="008A155D" w:rsidRPr="00742DCB" w:rsidRDefault="008A155D" w:rsidP="00F40B97">
      <w:pPr>
        <w:spacing w:after="240" w:line="480" w:lineRule="auto"/>
      </w:pPr>
      <w:r w:rsidRPr="00742DCB">
        <w:t>As Trust response rates varied (from 21% to 61%)</w:t>
      </w:r>
      <w:r>
        <w:t>,</w:t>
      </w:r>
      <w:r w:rsidRPr="00742DCB">
        <w:t xml:space="preserve"> a variable for the Trust response rate </w:t>
      </w:r>
      <w:r>
        <w:t xml:space="preserve">was added </w:t>
      </w:r>
      <w:r w:rsidRPr="00742DCB">
        <w:t>to the model. This led to slightly larger estimates for the effect of staffing but did not substantively alter results</w:t>
      </w:r>
      <w:r>
        <w:t xml:space="preserve"> (see supplementary material)</w:t>
      </w:r>
      <w:r w:rsidRPr="00742DCB">
        <w:t>.  The model with size of organisation, staffing, age group and parity for the outcome of information and explanations had a better fit by the BIC criterion only, however the staffing coefficients were similar to the full model with six predictor coefficients (</w:t>
      </w:r>
      <w:proofErr w:type="spellStart"/>
      <w:r w:rsidRPr="00742DCB">
        <w:t>aOR</w:t>
      </w:r>
      <w:proofErr w:type="spellEnd"/>
      <w:r w:rsidRPr="00742DCB">
        <w:t xml:space="preserve"> 1.162 vs </w:t>
      </w:r>
      <w:proofErr w:type="spellStart"/>
      <w:r w:rsidRPr="00742DCB">
        <w:t>aOR</w:t>
      </w:r>
      <w:proofErr w:type="spellEnd"/>
      <w:r w:rsidRPr="00742DCB">
        <w:t xml:space="preserve"> 1.150). </w:t>
      </w:r>
      <w:bookmarkStart w:id="2" w:name="_Hlk77238234"/>
      <w:r w:rsidRPr="00742DCB">
        <w:t>When alternative dichotomisation was used (‘yes sometimes’ and ‘yes always’ grouped together versus ‘no’) substantive conclusions were generally unchanged, although effect sizes tended to be larger</w:t>
      </w:r>
      <w:bookmarkEnd w:id="2"/>
      <w:r w:rsidRPr="00742DCB">
        <w:t xml:space="preserve"> (see </w:t>
      </w:r>
      <w:r>
        <w:t>s</w:t>
      </w:r>
      <w:r w:rsidRPr="00742DCB">
        <w:t>upplementary material for all sensitivity analyses).</w:t>
      </w:r>
    </w:p>
    <w:p w14:paraId="7E7538FB" w14:textId="77777777" w:rsidR="008A155D" w:rsidRPr="00742DCB" w:rsidRDefault="008A155D" w:rsidP="00F40B97">
      <w:pPr>
        <w:spacing w:after="240" w:line="480" w:lineRule="auto"/>
      </w:pPr>
      <w:r w:rsidRPr="00742DCB">
        <w:t xml:space="preserve">Interaction variables improved the model fit for kindness and understanding when staffing levels interacted with age group and the percentage of primiparous women.  Some subgroups reported more positive experiences in Trusts with higher staffing, although women aged 25-29 years and </w:t>
      </w:r>
      <w:r w:rsidRPr="00742DCB">
        <w:lastRenderedPageBreak/>
        <w:t xml:space="preserve">Trusts with the smallest proportion of primiparous women had findings in the opposite direction.   Introduction of interaction variables did not improve model fit for the other three measures (see </w:t>
      </w:r>
      <w:r>
        <w:t>s</w:t>
      </w:r>
      <w:r w:rsidRPr="00742DCB">
        <w:t>upplementary material).</w:t>
      </w:r>
    </w:p>
    <w:p w14:paraId="7217EAAB" w14:textId="77777777" w:rsidR="008A155D" w:rsidRPr="00742DCB" w:rsidRDefault="008A155D">
      <w:pPr>
        <w:rPr>
          <w:b/>
          <w:bCs/>
        </w:rPr>
      </w:pPr>
      <w:r w:rsidRPr="00742DCB">
        <w:rPr>
          <w:b/>
          <w:bCs/>
        </w:rPr>
        <w:br w:type="page"/>
      </w:r>
    </w:p>
    <w:p w14:paraId="1A929B22" w14:textId="5FCD94A8" w:rsidR="008A155D" w:rsidRPr="00742DCB" w:rsidRDefault="008A155D" w:rsidP="00F40B97">
      <w:pPr>
        <w:spacing w:after="240" w:line="480" w:lineRule="auto"/>
      </w:pPr>
      <w:r w:rsidRPr="00742DCB">
        <w:lastRenderedPageBreak/>
        <w:t xml:space="preserve">DISCUSSION </w:t>
      </w:r>
      <w:r w:rsidRPr="00742DCB">
        <w:br/>
      </w:r>
      <w:r w:rsidRPr="00742DCB">
        <w:br/>
      </w:r>
      <w:r>
        <w:t>This cross sectional secondary analysis</w:t>
      </w:r>
      <w:r w:rsidRPr="006B4581">
        <w:t xml:space="preserve"> </w:t>
      </w:r>
      <w:r>
        <w:t xml:space="preserve">is the </w:t>
      </w:r>
      <w:r w:rsidRPr="006B4581">
        <w:t>first study to examine the effects of organisational staffing on women’s experience of postnatal care.</w:t>
      </w:r>
      <w:r>
        <w:t xml:space="preserve">  </w:t>
      </w:r>
      <w:r w:rsidRPr="00742DCB">
        <w:t xml:space="preserve">Midwifery staffing levels varied considerably between hospitals and were associated with variation in a number of patient reported experiences of postnatal care, after adjusting for other variables.  Women in Trusts with more midwifery staff were less likely to report they had experienced a delay in discharge.  They were more likely to report that staff always helped them in a reasonable time and were always given the information or explanations they needed. </w:t>
      </w:r>
      <w:bookmarkStart w:id="3" w:name="_Hlk73453840"/>
      <w:r w:rsidRPr="00742DCB">
        <w:t xml:space="preserve"> </w:t>
      </w:r>
    </w:p>
    <w:bookmarkEnd w:id="3"/>
    <w:p w14:paraId="05562851" w14:textId="77777777" w:rsidR="008A155D" w:rsidRPr="00742DCB" w:rsidRDefault="008A155D" w:rsidP="00F40B97">
      <w:pPr>
        <w:spacing w:after="240" w:line="480" w:lineRule="auto"/>
      </w:pPr>
      <w:r>
        <w:t>H</w:t>
      </w:r>
      <w:r w:rsidRPr="00742DCB">
        <w:t xml:space="preserve">igher midwifery staffing levels have been associated with reductions in postpartum haemorrhage </w:t>
      </w:r>
      <w:r w:rsidRPr="009320FE">
        <w:rPr>
          <w:noProof/>
          <w:vertAlign w:val="superscript"/>
        </w:rPr>
        <w:t>34</w:t>
      </w:r>
      <w:r w:rsidRPr="00742DCB">
        <w:t xml:space="preserve">, reduced need for neonatal resuscitation </w:t>
      </w:r>
      <w:r w:rsidRPr="009320FE">
        <w:rPr>
          <w:noProof/>
          <w:vertAlign w:val="superscript"/>
        </w:rPr>
        <w:t>35</w:t>
      </w:r>
      <w:r w:rsidRPr="00742DCB">
        <w:t xml:space="preserve">, maternal readmission </w:t>
      </w:r>
      <w:r w:rsidRPr="007B5026">
        <w:rPr>
          <w:noProof/>
          <w:vertAlign w:val="superscript"/>
        </w:rPr>
        <w:t>36,37</w:t>
      </w:r>
      <w:r w:rsidRPr="00742DCB">
        <w:t xml:space="preserve"> and increased exclusive breastfeeding rates at discharge</w:t>
      </w:r>
      <w:r w:rsidRPr="009320FE">
        <w:rPr>
          <w:noProof/>
          <w:vertAlign w:val="superscript"/>
        </w:rPr>
        <w:t>38</w:t>
      </w:r>
      <w:r w:rsidRPr="00742DCB">
        <w:t xml:space="preserve">.  This analysis of survey data supports and expands upon the previous findings that increased midwifery staffing is associated with benefits, by demonstrating differences in important experiences in post-natal care.  The effect sizes observed are relatively small, but large numbers of women are affected, and the adverse experiences may have economic consequences.  In the lower staffed Trusts, an estimate of 5.7% more women (1 in 18) reported that their discharge had been delayed. </w:t>
      </w:r>
      <w:r>
        <w:t xml:space="preserve">The reason for a delay in discharge is </w:t>
      </w:r>
      <w:r w:rsidRPr="001058A7">
        <w:t>multifactorial</w:t>
      </w:r>
      <w:r>
        <w:t xml:space="preserve"> and may not always be related directly to staffing levels.  In the 2018 Maternity Survey</w:t>
      </w:r>
      <w:r w:rsidRPr="002D5F71">
        <w:rPr>
          <w:noProof/>
          <w:vertAlign w:val="superscript"/>
        </w:rPr>
        <w:t>8</w:t>
      </w:r>
      <w:r>
        <w:t xml:space="preserve">, 21% of women reported they were waiting for medicines and 10% waiting for test results. </w:t>
      </w:r>
      <w:r w:rsidRPr="00742DCB">
        <w:t xml:space="preserve">Delay in discharge contributes to bed pressures </w:t>
      </w:r>
      <w:r w:rsidRPr="009320FE">
        <w:rPr>
          <w:noProof/>
          <w:vertAlign w:val="superscript"/>
        </w:rPr>
        <w:t>39</w:t>
      </w:r>
      <w:r w:rsidRPr="00742DCB">
        <w:t xml:space="preserve"> and has negative consequences for the woman’s experience</w:t>
      </w:r>
      <w:r w:rsidRPr="00D72AAA">
        <w:rPr>
          <w:noProof/>
          <w:vertAlign w:val="superscript"/>
        </w:rPr>
        <w:t>9</w:t>
      </w:r>
      <w:r w:rsidRPr="00742DCB">
        <w:t>.  There is room for improvement as overall 45% of women in the survey reported their discharge had been delayed.  In a previous survey, student midwives and postnatal women identified that the postnatal discharge process was rushed and this resulted in poor quality discharge advice</w:t>
      </w:r>
      <w:r w:rsidRPr="009320FE">
        <w:rPr>
          <w:noProof/>
          <w:vertAlign w:val="superscript"/>
        </w:rPr>
        <w:t>40</w:t>
      </w:r>
      <w:r w:rsidRPr="00742DCB">
        <w:t xml:space="preserve">.  Both a delay in discharge and rushed discharge are unsatisfactory outcomes and have been linked to staffing pressures in postnatal wards.  </w:t>
      </w:r>
    </w:p>
    <w:p w14:paraId="55557168" w14:textId="77777777" w:rsidR="008A155D" w:rsidRPr="00742DCB" w:rsidRDefault="008A155D" w:rsidP="00F40B97">
      <w:pPr>
        <w:spacing w:after="240" w:line="480" w:lineRule="auto"/>
      </w:pPr>
      <w:r w:rsidRPr="00742DCB">
        <w:lastRenderedPageBreak/>
        <w:t>A higher proportion of staff responding in a timely way and providing information may contribute to a mother’s  wellbeing.  Psychological health has been recognised as a major public health challenge</w:t>
      </w:r>
      <w:r w:rsidRPr="009320FE">
        <w:rPr>
          <w:noProof/>
          <w:vertAlign w:val="superscript"/>
        </w:rPr>
        <w:t>41</w:t>
      </w:r>
      <w:r w:rsidRPr="00742DCB">
        <w:t>, with up to one in five women developing mental health problems during pregnancy or in the first year after birth</w:t>
      </w:r>
      <w:r w:rsidRPr="009320FE">
        <w:rPr>
          <w:noProof/>
          <w:vertAlign w:val="superscript"/>
        </w:rPr>
        <w:t>41</w:t>
      </w:r>
      <w:r w:rsidRPr="00742DCB">
        <w:t xml:space="preserve"> .  It is known that women value support, reassurance, and information from health professionals at this time</w:t>
      </w:r>
      <w:r w:rsidRPr="009320FE">
        <w:rPr>
          <w:noProof/>
          <w:vertAlign w:val="superscript"/>
        </w:rPr>
        <w:t>42</w:t>
      </w:r>
      <w:r w:rsidRPr="00742DCB">
        <w:t>.   Previous work has suggested that midwives do not have enough time to talk to women and support them on postnatal wards</w:t>
      </w:r>
      <w:r w:rsidRPr="00D72AAA">
        <w:rPr>
          <w:noProof/>
          <w:vertAlign w:val="superscript"/>
        </w:rPr>
        <w:t>9</w:t>
      </w:r>
      <w:r w:rsidRPr="00742DCB">
        <w:t xml:space="preserve"> and this study provides further evidence that this may sometimes be the case.   There may be yet unrecognised consequences of lack of support, which may manifest in readmissions or a decline in breastfeeding rates if not addressed</w:t>
      </w:r>
      <w:r w:rsidRPr="007B5026">
        <w:rPr>
          <w:noProof/>
          <w:vertAlign w:val="superscript"/>
        </w:rPr>
        <w:t>43,44</w:t>
      </w:r>
      <w:r w:rsidRPr="00742DCB">
        <w:t xml:space="preserve">. The move to a continuity of carer model in some countries may alter the pattern and experience of care for postnatal women.  Such changes require staff to be available at the right time and place to provide this care, and overall staffing levels to facilitate this </w:t>
      </w:r>
      <w:r w:rsidRPr="009320FE">
        <w:rPr>
          <w:noProof/>
          <w:vertAlign w:val="superscript"/>
        </w:rPr>
        <w:t>45</w:t>
      </w:r>
      <w:r w:rsidRPr="00742DCB">
        <w:t>.</w:t>
      </w:r>
    </w:p>
    <w:p w14:paraId="49EC95A5" w14:textId="77777777" w:rsidR="008A155D" w:rsidRPr="00742DCB" w:rsidRDefault="008A155D" w:rsidP="00F40B97">
      <w:pPr>
        <w:spacing w:after="240" w:line="480" w:lineRule="auto"/>
      </w:pPr>
      <w:r w:rsidRPr="00742DCB">
        <w:t>The increased drive to provide personalised, respectful and compassionate care is seen in many national and international initiatives</w:t>
      </w:r>
      <w:r w:rsidRPr="009320FE">
        <w:rPr>
          <w:noProof/>
          <w:vertAlign w:val="superscript"/>
        </w:rPr>
        <w:t>46-48</w:t>
      </w:r>
      <w:r w:rsidRPr="00742DCB">
        <w:t>.  In this study, three quarters of women felt they were always treated with kindness and understanding.</w:t>
      </w:r>
      <w:r>
        <w:t xml:space="preserve"> </w:t>
      </w:r>
      <w:r w:rsidRPr="00742DCB">
        <w:t xml:space="preserve"> Although the primary analysis did not find a significant association for staffing levels, our sensitivity analyses do provide evidence that that women’s experience of kindness and understanding may be affected by staffing levels.  </w:t>
      </w:r>
      <w:r>
        <w:rPr>
          <w:noProof/>
        </w:rPr>
        <w:t xml:space="preserve">Babaei and Taleghani </w:t>
      </w:r>
      <w:r w:rsidRPr="009320FE">
        <w:rPr>
          <w:noProof/>
          <w:vertAlign w:val="superscript"/>
        </w:rPr>
        <w:t>49</w:t>
      </w:r>
      <w:r w:rsidRPr="00742DCB">
        <w:t xml:space="preserve"> suggested that workload can be a barrier to providing compassionate care.   While negative interactions with patients are relatively rare, </w:t>
      </w:r>
      <w:r>
        <w:rPr>
          <w:noProof/>
        </w:rPr>
        <w:t xml:space="preserve">Bridges et al </w:t>
      </w:r>
      <w:r w:rsidRPr="0045207C">
        <w:rPr>
          <w:noProof/>
          <w:vertAlign w:val="superscript"/>
        </w:rPr>
        <w:t>50</w:t>
      </w:r>
      <w:r w:rsidRPr="00742DCB">
        <w:t xml:space="preserve"> found that negative interactions are more common with lower staffing levels.  </w:t>
      </w:r>
    </w:p>
    <w:p w14:paraId="1435C63E" w14:textId="77777777" w:rsidR="008A155D" w:rsidRPr="00742DCB" w:rsidRDefault="008A155D" w:rsidP="005A2689">
      <w:pPr>
        <w:spacing w:after="240" w:line="480" w:lineRule="auto"/>
      </w:pPr>
      <w:r w:rsidRPr="00742DCB">
        <w:t xml:space="preserve">The main limitations of this study are its cross-sectional design and the level at which staffing has been measured.  Data from the Maternity Survey has been linked to staffing data at an organisational level, so </w:t>
      </w:r>
      <w:r>
        <w:t>there is</w:t>
      </w:r>
      <w:r w:rsidRPr="00742DCB">
        <w:t xml:space="preserve"> not an accurate picture of how many midwives were deployed in the postnatal ward area.   It may be proportional to the total number of midwives, although </w:t>
      </w:r>
      <w:r>
        <w:t>this is not</w:t>
      </w:r>
      <w:r w:rsidRPr="00742DCB">
        <w:t xml:space="preserve"> certain</w:t>
      </w:r>
      <w:r>
        <w:t xml:space="preserve">, </w:t>
      </w:r>
      <w:r w:rsidRPr="00742DCB">
        <w:t>and</w:t>
      </w:r>
      <w:r>
        <w:t xml:space="preserve"> </w:t>
      </w:r>
      <w:r w:rsidRPr="00742DCB">
        <w:t xml:space="preserve">there may be variations in how individual Trusts deploy midwives to meet local needs.  There may also be registered nurses and non-registered staff in postnatal areas which have not been </w:t>
      </w:r>
      <w:r w:rsidRPr="00742DCB">
        <w:lastRenderedPageBreak/>
        <w:t>accounted for, or movement within the organisation during shifts as some midwives may be relocated away from the postnatal ward to meet needs in other areas</w:t>
      </w:r>
      <w:r w:rsidRPr="009320FE">
        <w:rPr>
          <w:noProof/>
          <w:vertAlign w:val="superscript"/>
        </w:rPr>
        <w:t>44</w:t>
      </w:r>
      <w:r w:rsidRPr="00742DCB">
        <w:t>.  Confirmation of these results is needed from studies with more direct measures of postnatal ward staffing. New sources of data from electronic rosters has created the potential to undertake longitudinal studies with exposure to staffing measured at a ward or individual patient level, mirroring studies now being undertaken in general nursing</w:t>
      </w:r>
      <w:r w:rsidRPr="009320FE">
        <w:rPr>
          <w:noProof/>
          <w:vertAlign w:val="superscript"/>
        </w:rPr>
        <w:t>51</w:t>
      </w:r>
      <w:r w:rsidRPr="00742DCB">
        <w:t xml:space="preserve"> .  </w:t>
      </w:r>
      <w:r>
        <w:t>Recall bias and cognitive halo effects may have influenced responses to the maternity survey, as data was collected some months after the postnatal stay.</w:t>
      </w:r>
    </w:p>
    <w:p w14:paraId="6E02F031" w14:textId="77777777" w:rsidR="008A155D" w:rsidRPr="00742DCB" w:rsidRDefault="008A155D" w:rsidP="00310F1E">
      <w:pPr>
        <w:spacing w:after="240" w:line="480" w:lineRule="auto"/>
      </w:pPr>
      <w:r w:rsidRPr="00742DCB">
        <w:br/>
        <w:t>We did not consider staffing by other professional groups in this analysis.  It is conceivable that other staff groups, such as doctors, adult nurses, neonatal nurses and nursery nurses contribute to women’s experiences in the postnatal period.  Although this survey data records women’s perceptions of delays in discharge actual delays have not been empirically demonstrated</w:t>
      </w:r>
      <w:r>
        <w:t>.  T</w:t>
      </w:r>
      <w:r w:rsidRPr="00742DCB">
        <w:t>his could be the focus of future research</w:t>
      </w:r>
      <w:r>
        <w:t>, along with midwives’ autonomy in the discharge processes</w:t>
      </w:r>
      <w:r w:rsidRPr="00742DCB">
        <w:t>.</w:t>
      </w:r>
    </w:p>
    <w:p w14:paraId="01C5866F" w14:textId="77777777" w:rsidR="008A155D" w:rsidRPr="00742DCB" w:rsidRDefault="008A155D" w:rsidP="00F40B97">
      <w:pPr>
        <w:spacing w:after="240" w:line="480" w:lineRule="auto"/>
      </w:pPr>
      <w:r w:rsidRPr="00742DCB">
        <w:t>This was a large national study including 129 Trusts and over 17,000 women which aids the generalisability of findings.  Although the response rate of 37% is fairly typical of similar surveys</w:t>
      </w:r>
      <w:r>
        <w:t>,</w:t>
      </w:r>
      <w:r w:rsidRPr="00742DCB">
        <w:t xml:space="preserve"> this does raise questions about the experience and views of non-responders</w:t>
      </w:r>
      <w:r>
        <w:t>, especially in Trusts with a lower response rate</w:t>
      </w:r>
      <w:r w:rsidRPr="00742DCB">
        <w:t xml:space="preserve">.  The study respondents  differed from the target population, for example, there were fewer younger mothers and women from non-white ethnic groups </w:t>
      </w:r>
      <w:r w:rsidRPr="00D72AAA">
        <w:rPr>
          <w:noProof/>
          <w:vertAlign w:val="superscript"/>
        </w:rPr>
        <w:t>29</w:t>
      </w:r>
      <w:r w:rsidRPr="00742DCB">
        <w:t xml:space="preserve">.  </w:t>
      </w:r>
      <w:r>
        <w:t>T</w:t>
      </w:r>
      <w:r w:rsidRPr="00742DCB">
        <w:t>he sensitivity analyses of response rate did not suggest a bias arising from variation in response rates between Trusts.</w:t>
      </w:r>
    </w:p>
    <w:p w14:paraId="11C302E7" w14:textId="77777777" w:rsidR="008A155D" w:rsidRPr="00742DCB" w:rsidRDefault="008A155D" w:rsidP="00F40B97">
      <w:pPr>
        <w:spacing w:after="240" w:line="480" w:lineRule="auto"/>
      </w:pPr>
      <w:r w:rsidRPr="00742DCB">
        <w:t>This analysis of the Maternity Survey in the UK adds to the body of evidence examining staffing and outcomes in maternity care.  We found that that variation in midwifery staffing at organisational level is associated with variation in women’s experiences of postnatal care. Low staffing levels were linked to higher levels of adverse experiences that could have important consequences in terms of hospital resource use and maternal wellbeing.  While we cannot assume the relationship is causal, nonetheless it seems plausible</w:t>
      </w:r>
      <w:r>
        <w:t>,</w:t>
      </w:r>
      <w:r w:rsidRPr="00742DCB">
        <w:t xml:space="preserve"> and this is worthy of further exploration.</w:t>
      </w:r>
    </w:p>
    <w:p w14:paraId="015322B4" w14:textId="10946519" w:rsidR="008A155D" w:rsidRPr="00742DCB" w:rsidRDefault="008A155D" w:rsidP="00A825CF">
      <w:pPr>
        <w:spacing w:line="240" w:lineRule="auto"/>
      </w:pPr>
    </w:p>
    <w:p w14:paraId="6D670225" w14:textId="77777777" w:rsidR="008A155D" w:rsidRPr="00742DCB" w:rsidRDefault="008A155D" w:rsidP="0054614F">
      <w:r w:rsidRPr="00742DCB">
        <w:t>Figure 1 : Distribution of Full Time Equivalent midwives per 100 births in the 129 Trusts</w:t>
      </w:r>
    </w:p>
    <w:p w14:paraId="23CA2C79" w14:textId="77777777" w:rsidR="008A155D" w:rsidRPr="00742DCB" w:rsidRDefault="008A155D" w:rsidP="0054614F">
      <w:pPr>
        <w:spacing w:line="240" w:lineRule="auto"/>
      </w:pPr>
      <w:r w:rsidRPr="00742DCB">
        <w:rPr>
          <w:noProof/>
          <w:lang w:eastAsia="en-GB"/>
        </w:rPr>
        <w:drawing>
          <wp:inline distT="0" distB="0" distL="0" distR="0" wp14:anchorId="4325CAE0" wp14:editId="1BE4C593">
            <wp:extent cx="5029200"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1E18D3AF" w14:textId="77777777" w:rsidR="008A155D" w:rsidRPr="00742DCB" w:rsidRDefault="008A155D" w:rsidP="0054614F">
      <w:pPr>
        <w:spacing w:line="240" w:lineRule="auto"/>
      </w:pPr>
      <w:r w:rsidRPr="00742DCB">
        <w:br/>
      </w:r>
    </w:p>
    <w:p w14:paraId="397D9D1E" w14:textId="77777777" w:rsidR="008A155D" w:rsidRPr="00742DCB" w:rsidRDefault="008A155D">
      <w:r w:rsidRPr="00742DCB">
        <w:br w:type="page"/>
      </w:r>
    </w:p>
    <w:p w14:paraId="230158C0" w14:textId="77777777" w:rsidR="008A155D" w:rsidRPr="00742DCB" w:rsidRDefault="008A155D" w:rsidP="009E78B9">
      <w:pPr>
        <w:spacing w:after="240" w:line="480" w:lineRule="auto"/>
      </w:pPr>
      <w:r w:rsidRPr="00742DCB">
        <w:lastRenderedPageBreak/>
        <w:t xml:space="preserve">Table 1  Questions in maternity survey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3402"/>
      </w:tblGrid>
      <w:tr w:rsidR="008A155D" w:rsidRPr="00742DCB" w14:paraId="789133F5" w14:textId="77777777" w:rsidTr="00E75D3A">
        <w:trPr>
          <w:trHeight w:val="300"/>
        </w:trPr>
        <w:tc>
          <w:tcPr>
            <w:tcW w:w="5954" w:type="dxa"/>
            <w:shd w:val="clear" w:color="auto" w:fill="auto"/>
            <w:noWrap/>
            <w:vAlign w:val="bottom"/>
          </w:tcPr>
          <w:p w14:paraId="05B670DB" w14:textId="77777777" w:rsidR="008A155D" w:rsidRPr="00D74E7A" w:rsidRDefault="008A155D" w:rsidP="00980096">
            <w:pPr>
              <w:spacing w:after="0" w:line="360" w:lineRule="auto"/>
              <w:rPr>
                <w:rFonts w:ascii="Calibri" w:eastAsia="Times New Roman" w:hAnsi="Calibri" w:cs="Calibri"/>
                <w:color w:val="000000"/>
                <w:sz w:val="20"/>
                <w:szCs w:val="20"/>
                <w:lang w:eastAsia="en-GB"/>
              </w:rPr>
            </w:pPr>
            <w:r w:rsidRPr="00D74E7A">
              <w:rPr>
                <w:rFonts w:ascii="Calibri" w:eastAsia="Times New Roman" w:hAnsi="Calibri" w:cs="Calibri"/>
                <w:color w:val="000000"/>
                <w:sz w:val="20"/>
                <w:szCs w:val="20"/>
                <w:lang w:eastAsia="en-GB"/>
              </w:rPr>
              <w:t>Questions in Maternity Survey</w:t>
            </w:r>
          </w:p>
        </w:tc>
        <w:tc>
          <w:tcPr>
            <w:tcW w:w="3402" w:type="dxa"/>
          </w:tcPr>
          <w:p w14:paraId="43143064" w14:textId="77777777" w:rsidR="008A155D" w:rsidRPr="00D74E7A" w:rsidRDefault="008A155D" w:rsidP="00980096">
            <w:pPr>
              <w:spacing w:after="0" w:line="360" w:lineRule="auto"/>
              <w:rPr>
                <w:rFonts w:ascii="Calibri" w:eastAsia="Times New Roman" w:hAnsi="Calibri" w:cs="Calibri"/>
                <w:color w:val="000000"/>
                <w:sz w:val="20"/>
                <w:szCs w:val="20"/>
                <w:lang w:eastAsia="en-GB"/>
              </w:rPr>
            </w:pPr>
            <w:r w:rsidRPr="00D74E7A">
              <w:rPr>
                <w:rFonts w:ascii="Calibri" w:eastAsia="Times New Roman" w:hAnsi="Calibri" w:cs="Calibri"/>
                <w:color w:val="000000"/>
                <w:sz w:val="20"/>
                <w:szCs w:val="20"/>
                <w:lang w:eastAsia="en-GB"/>
              </w:rPr>
              <w:t>Response options</w:t>
            </w:r>
          </w:p>
        </w:tc>
      </w:tr>
      <w:tr w:rsidR="008A155D" w:rsidRPr="00742DCB" w14:paraId="67D8F11C" w14:textId="77777777" w:rsidTr="00E75D3A">
        <w:trPr>
          <w:trHeight w:val="300"/>
        </w:trPr>
        <w:tc>
          <w:tcPr>
            <w:tcW w:w="5954" w:type="dxa"/>
            <w:shd w:val="clear" w:color="auto" w:fill="auto"/>
            <w:noWrap/>
            <w:vAlign w:val="bottom"/>
            <w:hideMark/>
          </w:tcPr>
          <w:p w14:paraId="758330B7" w14:textId="77777777" w:rsidR="008A155D" w:rsidRPr="00D74E7A" w:rsidRDefault="008A155D" w:rsidP="00980096">
            <w:pPr>
              <w:spacing w:after="0" w:line="360" w:lineRule="auto"/>
              <w:rPr>
                <w:rFonts w:ascii="Calibri" w:eastAsia="Times New Roman" w:hAnsi="Calibri" w:cs="Calibri"/>
                <w:color w:val="000000"/>
                <w:sz w:val="20"/>
                <w:szCs w:val="20"/>
                <w:lang w:eastAsia="en-GB"/>
              </w:rPr>
            </w:pPr>
            <w:r w:rsidRPr="00D74E7A">
              <w:rPr>
                <w:rFonts w:ascii="Calibri" w:eastAsia="Times New Roman" w:hAnsi="Calibri" w:cs="Calibri"/>
                <w:color w:val="000000"/>
                <w:sz w:val="20"/>
                <w:szCs w:val="20"/>
                <w:lang w:eastAsia="en-GB"/>
              </w:rPr>
              <w:t xml:space="preserve">On the day you left hospital, was your discharge delayed for any reason? </w:t>
            </w:r>
          </w:p>
        </w:tc>
        <w:tc>
          <w:tcPr>
            <w:tcW w:w="3402" w:type="dxa"/>
          </w:tcPr>
          <w:p w14:paraId="44F0E048" w14:textId="77777777" w:rsidR="008A155D" w:rsidRPr="00D74E7A" w:rsidRDefault="008A155D" w:rsidP="00980096">
            <w:pPr>
              <w:spacing w:after="0" w:line="360" w:lineRule="auto"/>
              <w:rPr>
                <w:rFonts w:ascii="Calibri" w:eastAsia="Times New Roman" w:hAnsi="Calibri" w:cs="Calibri"/>
                <w:color w:val="000000"/>
                <w:sz w:val="20"/>
                <w:szCs w:val="20"/>
                <w:lang w:eastAsia="en-GB"/>
              </w:rPr>
            </w:pPr>
            <w:r w:rsidRPr="00D74E7A">
              <w:rPr>
                <w:rFonts w:ascii="Calibri" w:eastAsia="Times New Roman" w:hAnsi="Calibri" w:cs="Calibri"/>
                <w:color w:val="000000"/>
                <w:sz w:val="20"/>
                <w:szCs w:val="20"/>
                <w:lang w:eastAsia="en-GB"/>
              </w:rPr>
              <w:t>Yes</w:t>
            </w:r>
            <w:r w:rsidRPr="00D74E7A">
              <w:rPr>
                <w:rFonts w:ascii="Calibri" w:eastAsia="Times New Roman" w:hAnsi="Calibri" w:cs="Calibri"/>
                <w:color w:val="000000"/>
                <w:sz w:val="20"/>
                <w:szCs w:val="20"/>
                <w:lang w:eastAsia="en-GB"/>
              </w:rPr>
              <w:br/>
              <w:t>No</w:t>
            </w:r>
          </w:p>
        </w:tc>
      </w:tr>
      <w:tr w:rsidR="008A155D" w:rsidRPr="00742DCB" w14:paraId="1B5661AD" w14:textId="77777777" w:rsidTr="00E75D3A">
        <w:trPr>
          <w:trHeight w:val="300"/>
        </w:trPr>
        <w:tc>
          <w:tcPr>
            <w:tcW w:w="5954" w:type="dxa"/>
            <w:shd w:val="clear" w:color="auto" w:fill="auto"/>
            <w:noWrap/>
            <w:hideMark/>
          </w:tcPr>
          <w:p w14:paraId="08A6BFE7" w14:textId="77777777" w:rsidR="008A155D" w:rsidRPr="00D74E7A" w:rsidRDefault="008A155D" w:rsidP="00980096">
            <w:pPr>
              <w:spacing w:after="0" w:line="360" w:lineRule="auto"/>
              <w:rPr>
                <w:rFonts w:ascii="Calibri" w:eastAsia="Times New Roman" w:hAnsi="Calibri" w:cs="Calibri"/>
                <w:color w:val="000000"/>
                <w:sz w:val="20"/>
                <w:szCs w:val="20"/>
                <w:lang w:eastAsia="en-GB"/>
              </w:rPr>
            </w:pPr>
            <w:r w:rsidRPr="00D74E7A">
              <w:rPr>
                <w:rFonts w:ascii="Calibri" w:eastAsia="Times New Roman" w:hAnsi="Calibri" w:cs="Calibri"/>
                <w:color w:val="000000"/>
                <w:sz w:val="20"/>
                <w:szCs w:val="20"/>
                <w:lang w:eastAsia="en-GB"/>
              </w:rPr>
              <w:t>If you needed attention while you were in</w:t>
            </w:r>
          </w:p>
          <w:p w14:paraId="001CB6A5" w14:textId="77777777" w:rsidR="008A155D" w:rsidRPr="00D74E7A" w:rsidRDefault="008A155D" w:rsidP="00980096">
            <w:pPr>
              <w:spacing w:after="0" w:line="360" w:lineRule="auto"/>
              <w:rPr>
                <w:rFonts w:ascii="Calibri" w:eastAsia="Times New Roman" w:hAnsi="Calibri" w:cs="Calibri"/>
                <w:color w:val="000000"/>
                <w:sz w:val="20"/>
                <w:szCs w:val="20"/>
                <w:lang w:eastAsia="en-GB"/>
              </w:rPr>
            </w:pPr>
            <w:r w:rsidRPr="00D74E7A">
              <w:rPr>
                <w:rFonts w:ascii="Calibri" w:eastAsia="Times New Roman" w:hAnsi="Calibri" w:cs="Calibri"/>
                <w:color w:val="000000"/>
                <w:sz w:val="20"/>
                <w:szCs w:val="20"/>
                <w:lang w:eastAsia="en-GB"/>
              </w:rPr>
              <w:t>hospital after the birth, were you able to get a</w:t>
            </w:r>
          </w:p>
          <w:p w14:paraId="6897947B" w14:textId="77777777" w:rsidR="008A155D" w:rsidRPr="00D74E7A" w:rsidRDefault="008A155D" w:rsidP="00980096">
            <w:pPr>
              <w:spacing w:after="0" w:line="360" w:lineRule="auto"/>
              <w:rPr>
                <w:rFonts w:ascii="Calibri" w:eastAsia="Times New Roman" w:hAnsi="Calibri" w:cs="Calibri"/>
                <w:color w:val="000000"/>
                <w:sz w:val="20"/>
                <w:szCs w:val="20"/>
                <w:lang w:eastAsia="en-GB"/>
              </w:rPr>
            </w:pPr>
            <w:r w:rsidRPr="00D74E7A">
              <w:rPr>
                <w:rFonts w:ascii="Calibri" w:eastAsia="Times New Roman" w:hAnsi="Calibri" w:cs="Calibri"/>
                <w:color w:val="000000"/>
                <w:sz w:val="20"/>
                <w:szCs w:val="20"/>
                <w:lang w:eastAsia="en-GB"/>
              </w:rPr>
              <w:t>member of staff to help you within a</w:t>
            </w:r>
          </w:p>
          <w:p w14:paraId="1A2829E6" w14:textId="77777777" w:rsidR="008A155D" w:rsidRPr="00D74E7A" w:rsidRDefault="008A155D" w:rsidP="00980096">
            <w:pPr>
              <w:spacing w:after="0" w:line="360" w:lineRule="auto"/>
              <w:rPr>
                <w:rFonts w:ascii="Calibri" w:eastAsia="Times New Roman" w:hAnsi="Calibri" w:cs="Calibri"/>
                <w:color w:val="000000"/>
                <w:sz w:val="20"/>
                <w:szCs w:val="20"/>
                <w:lang w:eastAsia="en-GB"/>
              </w:rPr>
            </w:pPr>
            <w:r w:rsidRPr="00D74E7A">
              <w:rPr>
                <w:rFonts w:ascii="Calibri" w:eastAsia="Times New Roman" w:hAnsi="Calibri" w:cs="Calibri"/>
                <w:color w:val="000000"/>
                <w:sz w:val="20"/>
                <w:szCs w:val="20"/>
                <w:lang w:eastAsia="en-GB"/>
              </w:rPr>
              <w:t>reasonable time?</w:t>
            </w:r>
          </w:p>
        </w:tc>
        <w:tc>
          <w:tcPr>
            <w:tcW w:w="3402" w:type="dxa"/>
          </w:tcPr>
          <w:p w14:paraId="11DC1E0C" w14:textId="77777777" w:rsidR="008A155D" w:rsidRPr="00D74E7A" w:rsidRDefault="008A155D" w:rsidP="00980096">
            <w:pPr>
              <w:spacing w:after="0" w:line="360" w:lineRule="auto"/>
              <w:rPr>
                <w:rFonts w:ascii="Calibri" w:eastAsia="Times New Roman" w:hAnsi="Calibri" w:cs="Calibri"/>
                <w:color w:val="000000"/>
                <w:sz w:val="20"/>
                <w:szCs w:val="20"/>
                <w:lang w:eastAsia="en-GB"/>
              </w:rPr>
            </w:pPr>
            <w:r w:rsidRPr="00D74E7A">
              <w:rPr>
                <w:rFonts w:ascii="Calibri" w:eastAsia="Times New Roman" w:hAnsi="Calibri" w:cs="Calibri"/>
                <w:color w:val="000000"/>
                <w:sz w:val="20"/>
                <w:szCs w:val="20"/>
                <w:lang w:eastAsia="en-GB"/>
              </w:rPr>
              <w:t>Yes, always</w:t>
            </w:r>
            <w:r w:rsidRPr="00D74E7A">
              <w:rPr>
                <w:rFonts w:ascii="Calibri" w:eastAsia="Times New Roman" w:hAnsi="Calibri" w:cs="Calibri"/>
                <w:color w:val="000000"/>
                <w:sz w:val="20"/>
                <w:szCs w:val="20"/>
                <w:lang w:eastAsia="en-GB"/>
              </w:rPr>
              <w:br/>
              <w:t>Yes, sometimes</w:t>
            </w:r>
          </w:p>
          <w:p w14:paraId="44795C65" w14:textId="77777777" w:rsidR="008A155D" w:rsidRPr="00D74E7A" w:rsidRDefault="008A155D" w:rsidP="00980096">
            <w:pPr>
              <w:spacing w:after="0" w:line="360" w:lineRule="auto"/>
              <w:rPr>
                <w:rFonts w:ascii="Calibri" w:eastAsia="Times New Roman" w:hAnsi="Calibri" w:cs="Calibri"/>
                <w:color w:val="000000"/>
                <w:sz w:val="20"/>
                <w:szCs w:val="20"/>
                <w:lang w:eastAsia="en-GB"/>
              </w:rPr>
            </w:pPr>
            <w:r w:rsidRPr="00D74E7A">
              <w:rPr>
                <w:rFonts w:ascii="Calibri" w:eastAsia="Times New Roman" w:hAnsi="Calibri" w:cs="Calibri"/>
                <w:color w:val="000000"/>
                <w:sz w:val="20"/>
                <w:szCs w:val="20"/>
                <w:lang w:eastAsia="en-GB"/>
              </w:rPr>
              <w:t>No</w:t>
            </w:r>
            <w:r w:rsidRPr="00D74E7A">
              <w:rPr>
                <w:rFonts w:ascii="Calibri" w:eastAsia="Times New Roman" w:hAnsi="Calibri" w:cs="Calibri"/>
                <w:color w:val="000000"/>
                <w:sz w:val="20"/>
                <w:szCs w:val="20"/>
                <w:lang w:eastAsia="en-GB"/>
              </w:rPr>
              <w:br/>
            </w:r>
            <w:r w:rsidRPr="00D74E7A">
              <w:rPr>
                <w:sz w:val="20"/>
                <w:szCs w:val="20"/>
              </w:rPr>
              <w:t xml:space="preserve">I did not want/need this </w:t>
            </w:r>
          </w:p>
          <w:p w14:paraId="7EDA64B5" w14:textId="77777777" w:rsidR="008A155D" w:rsidRPr="00D74E7A" w:rsidRDefault="008A155D" w:rsidP="00980096">
            <w:pPr>
              <w:spacing w:after="0" w:line="360" w:lineRule="auto"/>
              <w:rPr>
                <w:rFonts w:ascii="Calibri" w:eastAsia="Times New Roman" w:hAnsi="Calibri" w:cs="Calibri"/>
                <w:color w:val="000000"/>
                <w:sz w:val="20"/>
                <w:szCs w:val="20"/>
                <w:lang w:eastAsia="en-GB"/>
              </w:rPr>
            </w:pPr>
            <w:r w:rsidRPr="00D74E7A">
              <w:rPr>
                <w:rFonts w:ascii="Calibri" w:eastAsia="Times New Roman" w:hAnsi="Calibri" w:cs="Calibri"/>
                <w:color w:val="000000"/>
                <w:sz w:val="20"/>
                <w:szCs w:val="20"/>
                <w:lang w:eastAsia="en-GB"/>
              </w:rPr>
              <w:t>Don’t know/can’t remember</w:t>
            </w:r>
          </w:p>
        </w:tc>
      </w:tr>
      <w:tr w:rsidR="008A155D" w:rsidRPr="00742DCB" w14:paraId="5DAF96E2" w14:textId="77777777" w:rsidTr="00E75D3A">
        <w:trPr>
          <w:trHeight w:val="300"/>
        </w:trPr>
        <w:tc>
          <w:tcPr>
            <w:tcW w:w="5954" w:type="dxa"/>
            <w:shd w:val="clear" w:color="auto" w:fill="auto"/>
            <w:noWrap/>
            <w:hideMark/>
          </w:tcPr>
          <w:p w14:paraId="5BEDEF4E" w14:textId="77777777" w:rsidR="008A155D" w:rsidRPr="00D74E7A" w:rsidRDefault="008A155D" w:rsidP="00980096">
            <w:pPr>
              <w:spacing w:after="0" w:line="360" w:lineRule="auto"/>
              <w:rPr>
                <w:rFonts w:ascii="Calibri" w:eastAsia="Times New Roman" w:hAnsi="Calibri" w:cs="Calibri"/>
                <w:color w:val="000000"/>
                <w:sz w:val="20"/>
                <w:szCs w:val="20"/>
                <w:lang w:eastAsia="en-GB"/>
              </w:rPr>
            </w:pPr>
            <w:r w:rsidRPr="00D74E7A">
              <w:rPr>
                <w:rFonts w:ascii="Calibri" w:eastAsia="Times New Roman" w:hAnsi="Calibri" w:cs="Calibri"/>
                <w:color w:val="000000"/>
                <w:sz w:val="20"/>
                <w:szCs w:val="20"/>
                <w:lang w:eastAsia="en-GB"/>
              </w:rPr>
              <w:t>Thinking about the care you received in hospital after the birth of your baby, were you given the information or explanations you needed?</w:t>
            </w:r>
          </w:p>
        </w:tc>
        <w:tc>
          <w:tcPr>
            <w:tcW w:w="3402" w:type="dxa"/>
          </w:tcPr>
          <w:p w14:paraId="52026BC9" w14:textId="77777777" w:rsidR="008A155D" w:rsidRPr="00D74E7A" w:rsidRDefault="008A155D" w:rsidP="00980096">
            <w:pPr>
              <w:spacing w:after="0" w:line="360" w:lineRule="auto"/>
              <w:rPr>
                <w:rFonts w:ascii="Calibri" w:eastAsia="Times New Roman" w:hAnsi="Calibri" w:cs="Calibri"/>
                <w:color w:val="000000"/>
                <w:sz w:val="20"/>
                <w:szCs w:val="20"/>
                <w:lang w:eastAsia="en-GB"/>
              </w:rPr>
            </w:pPr>
            <w:r w:rsidRPr="00D74E7A">
              <w:rPr>
                <w:rFonts w:ascii="Calibri" w:eastAsia="Times New Roman" w:hAnsi="Calibri" w:cs="Calibri"/>
                <w:color w:val="000000"/>
                <w:sz w:val="20"/>
                <w:szCs w:val="20"/>
                <w:lang w:eastAsia="en-GB"/>
              </w:rPr>
              <w:t>Yes, always</w:t>
            </w:r>
            <w:r w:rsidRPr="00D74E7A">
              <w:rPr>
                <w:rFonts w:ascii="Calibri" w:eastAsia="Times New Roman" w:hAnsi="Calibri" w:cs="Calibri"/>
                <w:color w:val="000000"/>
                <w:sz w:val="20"/>
                <w:szCs w:val="20"/>
                <w:lang w:eastAsia="en-GB"/>
              </w:rPr>
              <w:br/>
              <w:t>Yes, sometimes</w:t>
            </w:r>
          </w:p>
          <w:p w14:paraId="41EDDFCD" w14:textId="77777777" w:rsidR="008A155D" w:rsidRPr="00D74E7A" w:rsidRDefault="008A155D" w:rsidP="00980096">
            <w:pPr>
              <w:spacing w:after="0" w:line="360" w:lineRule="auto"/>
              <w:rPr>
                <w:rFonts w:ascii="Calibri" w:eastAsia="Times New Roman" w:hAnsi="Calibri" w:cs="Calibri"/>
                <w:color w:val="000000"/>
                <w:sz w:val="20"/>
                <w:szCs w:val="20"/>
                <w:lang w:eastAsia="en-GB"/>
              </w:rPr>
            </w:pPr>
            <w:r w:rsidRPr="00D74E7A">
              <w:rPr>
                <w:rFonts w:ascii="Calibri" w:eastAsia="Times New Roman" w:hAnsi="Calibri" w:cs="Calibri"/>
                <w:color w:val="000000"/>
                <w:sz w:val="20"/>
                <w:szCs w:val="20"/>
                <w:lang w:eastAsia="en-GB"/>
              </w:rPr>
              <w:t>No</w:t>
            </w:r>
            <w:r w:rsidRPr="00D74E7A">
              <w:rPr>
                <w:rFonts w:ascii="Calibri" w:eastAsia="Times New Roman" w:hAnsi="Calibri" w:cs="Calibri"/>
                <w:color w:val="000000"/>
                <w:sz w:val="20"/>
                <w:szCs w:val="20"/>
                <w:lang w:eastAsia="en-GB"/>
              </w:rPr>
              <w:br/>
              <w:t>Don’t know/can’t remember</w:t>
            </w:r>
          </w:p>
        </w:tc>
      </w:tr>
      <w:tr w:rsidR="008A155D" w:rsidRPr="00742DCB" w14:paraId="1EF20FC3" w14:textId="77777777" w:rsidTr="00E75D3A">
        <w:trPr>
          <w:trHeight w:val="300"/>
        </w:trPr>
        <w:tc>
          <w:tcPr>
            <w:tcW w:w="5954" w:type="dxa"/>
            <w:shd w:val="clear" w:color="auto" w:fill="auto"/>
            <w:noWrap/>
            <w:hideMark/>
          </w:tcPr>
          <w:p w14:paraId="343C4D05" w14:textId="77777777" w:rsidR="008A155D" w:rsidRPr="00D74E7A" w:rsidRDefault="008A155D" w:rsidP="00980096">
            <w:pPr>
              <w:spacing w:after="0" w:line="360" w:lineRule="auto"/>
              <w:rPr>
                <w:rFonts w:ascii="Calibri" w:eastAsia="Times New Roman" w:hAnsi="Calibri" w:cs="Calibri"/>
                <w:color w:val="000000"/>
                <w:sz w:val="20"/>
                <w:szCs w:val="20"/>
                <w:lang w:eastAsia="en-GB"/>
              </w:rPr>
            </w:pPr>
            <w:r w:rsidRPr="00D74E7A">
              <w:rPr>
                <w:rFonts w:ascii="Calibri" w:eastAsia="Times New Roman" w:hAnsi="Calibri" w:cs="Calibri"/>
                <w:color w:val="000000"/>
                <w:sz w:val="20"/>
                <w:szCs w:val="20"/>
                <w:lang w:eastAsia="en-GB"/>
              </w:rPr>
              <w:t>Thinking about the care you received in hospital after the birth of your baby, were you treated with kindness and understanding?</w:t>
            </w:r>
          </w:p>
        </w:tc>
        <w:tc>
          <w:tcPr>
            <w:tcW w:w="3402" w:type="dxa"/>
          </w:tcPr>
          <w:p w14:paraId="08638865" w14:textId="77777777" w:rsidR="008A155D" w:rsidRPr="00D74E7A" w:rsidRDefault="008A155D" w:rsidP="00980096">
            <w:pPr>
              <w:spacing w:after="0" w:line="360" w:lineRule="auto"/>
              <w:rPr>
                <w:rFonts w:ascii="Calibri" w:eastAsia="Times New Roman" w:hAnsi="Calibri" w:cs="Calibri"/>
                <w:color w:val="000000"/>
                <w:sz w:val="20"/>
                <w:szCs w:val="20"/>
                <w:lang w:eastAsia="en-GB"/>
              </w:rPr>
            </w:pPr>
            <w:r w:rsidRPr="00D74E7A">
              <w:rPr>
                <w:rFonts w:ascii="Calibri" w:eastAsia="Times New Roman" w:hAnsi="Calibri" w:cs="Calibri"/>
                <w:color w:val="000000"/>
                <w:sz w:val="20"/>
                <w:szCs w:val="20"/>
                <w:lang w:eastAsia="en-GB"/>
              </w:rPr>
              <w:t>Yes, always</w:t>
            </w:r>
            <w:r w:rsidRPr="00D74E7A">
              <w:rPr>
                <w:rFonts w:ascii="Calibri" w:eastAsia="Times New Roman" w:hAnsi="Calibri" w:cs="Calibri"/>
                <w:color w:val="000000"/>
                <w:sz w:val="20"/>
                <w:szCs w:val="20"/>
                <w:lang w:eastAsia="en-GB"/>
              </w:rPr>
              <w:br/>
              <w:t>Yes, sometimes</w:t>
            </w:r>
          </w:p>
          <w:p w14:paraId="6D743A6B" w14:textId="77777777" w:rsidR="008A155D" w:rsidRPr="00D74E7A" w:rsidRDefault="008A155D" w:rsidP="00980096">
            <w:pPr>
              <w:spacing w:after="0" w:line="360" w:lineRule="auto"/>
              <w:rPr>
                <w:rFonts w:ascii="Calibri" w:eastAsia="Times New Roman" w:hAnsi="Calibri" w:cs="Calibri"/>
                <w:color w:val="000000"/>
                <w:sz w:val="20"/>
                <w:szCs w:val="20"/>
                <w:lang w:eastAsia="en-GB"/>
              </w:rPr>
            </w:pPr>
            <w:r w:rsidRPr="00D74E7A">
              <w:rPr>
                <w:rFonts w:ascii="Calibri" w:eastAsia="Times New Roman" w:hAnsi="Calibri" w:cs="Calibri"/>
                <w:color w:val="000000"/>
                <w:sz w:val="20"/>
                <w:szCs w:val="20"/>
                <w:lang w:eastAsia="en-GB"/>
              </w:rPr>
              <w:t>No</w:t>
            </w:r>
            <w:r w:rsidRPr="00D74E7A">
              <w:rPr>
                <w:rFonts w:ascii="Calibri" w:eastAsia="Times New Roman" w:hAnsi="Calibri" w:cs="Calibri"/>
                <w:color w:val="000000"/>
                <w:sz w:val="20"/>
                <w:szCs w:val="20"/>
                <w:lang w:eastAsia="en-GB"/>
              </w:rPr>
              <w:br/>
              <w:t>Don’t know/can’t remember</w:t>
            </w:r>
          </w:p>
        </w:tc>
      </w:tr>
    </w:tbl>
    <w:p w14:paraId="47536D1A" w14:textId="77777777" w:rsidR="008A155D" w:rsidRPr="00742DCB" w:rsidRDefault="008A155D" w:rsidP="009E78B9">
      <w:pPr>
        <w:spacing w:after="240" w:line="480" w:lineRule="auto"/>
      </w:pPr>
    </w:p>
    <w:p w14:paraId="668D604D" w14:textId="77777777" w:rsidR="008A155D" w:rsidRPr="00742DCB" w:rsidRDefault="008A155D">
      <w:r w:rsidRPr="00742DCB">
        <w:br w:type="page"/>
      </w:r>
    </w:p>
    <w:p w14:paraId="58B44C5A" w14:textId="77777777" w:rsidR="008A155D" w:rsidRPr="00742DCB" w:rsidRDefault="008A155D" w:rsidP="00980096">
      <w:pPr>
        <w:spacing w:line="360" w:lineRule="auto"/>
      </w:pPr>
      <w:r w:rsidRPr="00742DCB">
        <w:lastRenderedPageBreak/>
        <w:t>Table 2 Patient experience outcomes by age, type of birth and staffing levels (% Yes Always)</w:t>
      </w:r>
    </w:p>
    <w:tbl>
      <w:tblPr>
        <w:tblStyle w:val="TableGrid"/>
        <w:tblW w:w="9016" w:type="dxa"/>
        <w:tblLook w:val="04A0" w:firstRow="1" w:lastRow="0" w:firstColumn="1" w:lastColumn="0" w:noHBand="0" w:noVBand="1"/>
      </w:tblPr>
      <w:tblGrid>
        <w:gridCol w:w="2689"/>
        <w:gridCol w:w="1300"/>
        <w:gridCol w:w="1751"/>
        <w:gridCol w:w="1638"/>
        <w:gridCol w:w="1638"/>
      </w:tblGrid>
      <w:tr w:rsidR="008A155D" w:rsidRPr="00742DCB" w14:paraId="16D4502C" w14:textId="77777777" w:rsidTr="00EF6774">
        <w:trPr>
          <w:trHeight w:val="933"/>
        </w:trPr>
        <w:tc>
          <w:tcPr>
            <w:tcW w:w="2689" w:type="dxa"/>
          </w:tcPr>
          <w:p w14:paraId="17E2057E" w14:textId="77777777" w:rsidR="008A155D" w:rsidRPr="00D74E7A" w:rsidRDefault="008A155D" w:rsidP="00980096">
            <w:pPr>
              <w:spacing w:line="360" w:lineRule="auto"/>
              <w:rPr>
                <w:sz w:val="20"/>
                <w:szCs w:val="20"/>
              </w:rPr>
            </w:pPr>
          </w:p>
        </w:tc>
        <w:tc>
          <w:tcPr>
            <w:tcW w:w="1300" w:type="dxa"/>
          </w:tcPr>
          <w:p w14:paraId="54F982B9" w14:textId="77777777" w:rsidR="008A155D" w:rsidRPr="00D74E7A" w:rsidRDefault="008A155D" w:rsidP="00980096">
            <w:pPr>
              <w:spacing w:line="360" w:lineRule="auto"/>
              <w:rPr>
                <w:sz w:val="20"/>
                <w:szCs w:val="20"/>
              </w:rPr>
            </w:pPr>
            <w:r w:rsidRPr="00D74E7A">
              <w:rPr>
                <w:sz w:val="20"/>
                <w:szCs w:val="20"/>
              </w:rPr>
              <w:t>Delay in discharge</w:t>
            </w:r>
            <w:r w:rsidRPr="00D74E7A">
              <w:rPr>
                <w:sz w:val="20"/>
                <w:szCs w:val="20"/>
              </w:rPr>
              <w:br/>
            </w:r>
          </w:p>
        </w:tc>
        <w:tc>
          <w:tcPr>
            <w:tcW w:w="1751" w:type="dxa"/>
          </w:tcPr>
          <w:p w14:paraId="0318C5C8" w14:textId="77777777" w:rsidR="008A155D" w:rsidRPr="00D74E7A" w:rsidRDefault="008A155D" w:rsidP="00980096">
            <w:pPr>
              <w:spacing w:line="360" w:lineRule="auto"/>
              <w:rPr>
                <w:sz w:val="20"/>
                <w:szCs w:val="20"/>
              </w:rPr>
            </w:pPr>
            <w:r w:rsidRPr="00D74E7A">
              <w:rPr>
                <w:sz w:val="20"/>
                <w:szCs w:val="20"/>
              </w:rPr>
              <w:t>Staff help reasonable time</w:t>
            </w:r>
          </w:p>
        </w:tc>
        <w:tc>
          <w:tcPr>
            <w:tcW w:w="1638" w:type="dxa"/>
          </w:tcPr>
          <w:p w14:paraId="68684393" w14:textId="77777777" w:rsidR="008A155D" w:rsidRPr="00D74E7A" w:rsidRDefault="008A155D" w:rsidP="00980096">
            <w:pPr>
              <w:spacing w:line="360" w:lineRule="auto"/>
              <w:rPr>
                <w:sz w:val="20"/>
                <w:szCs w:val="20"/>
              </w:rPr>
            </w:pPr>
            <w:r w:rsidRPr="00D74E7A">
              <w:rPr>
                <w:sz w:val="20"/>
                <w:szCs w:val="20"/>
              </w:rPr>
              <w:t>Information / Explanations</w:t>
            </w:r>
          </w:p>
        </w:tc>
        <w:tc>
          <w:tcPr>
            <w:tcW w:w="1638" w:type="dxa"/>
          </w:tcPr>
          <w:p w14:paraId="02F547E8" w14:textId="77777777" w:rsidR="008A155D" w:rsidRPr="00D74E7A" w:rsidRDefault="008A155D" w:rsidP="00980096">
            <w:pPr>
              <w:spacing w:line="360" w:lineRule="auto"/>
              <w:rPr>
                <w:sz w:val="20"/>
                <w:szCs w:val="20"/>
              </w:rPr>
            </w:pPr>
            <w:r w:rsidRPr="00D74E7A">
              <w:rPr>
                <w:sz w:val="20"/>
                <w:szCs w:val="20"/>
              </w:rPr>
              <w:t xml:space="preserve">Treated with kindness and understanding </w:t>
            </w:r>
          </w:p>
        </w:tc>
      </w:tr>
      <w:tr w:rsidR="008A155D" w:rsidRPr="00742DCB" w14:paraId="25F9CF1F" w14:textId="77777777" w:rsidTr="00EF6774">
        <w:tc>
          <w:tcPr>
            <w:tcW w:w="2689" w:type="dxa"/>
            <w:shd w:val="clear" w:color="auto" w:fill="FFFFFF" w:themeFill="background1"/>
          </w:tcPr>
          <w:p w14:paraId="6A146700" w14:textId="77777777" w:rsidR="008A155D" w:rsidRPr="00D74E7A" w:rsidRDefault="008A155D" w:rsidP="00980096">
            <w:pPr>
              <w:spacing w:line="360" w:lineRule="auto"/>
              <w:rPr>
                <w:sz w:val="20"/>
                <w:szCs w:val="20"/>
              </w:rPr>
            </w:pPr>
            <w:r w:rsidRPr="00D74E7A">
              <w:rPr>
                <w:sz w:val="20"/>
                <w:szCs w:val="20"/>
              </w:rPr>
              <w:t>Responses analysed per variable</w:t>
            </w:r>
          </w:p>
        </w:tc>
        <w:tc>
          <w:tcPr>
            <w:tcW w:w="1300" w:type="dxa"/>
            <w:shd w:val="clear" w:color="auto" w:fill="FFFFFF" w:themeFill="background1"/>
          </w:tcPr>
          <w:p w14:paraId="2BC052A1" w14:textId="77777777" w:rsidR="008A155D" w:rsidRPr="00D74E7A" w:rsidRDefault="008A155D" w:rsidP="00980096">
            <w:pPr>
              <w:spacing w:line="360" w:lineRule="auto"/>
              <w:jc w:val="center"/>
              <w:rPr>
                <w:sz w:val="20"/>
                <w:szCs w:val="20"/>
              </w:rPr>
            </w:pPr>
            <w:r w:rsidRPr="00D74E7A">
              <w:rPr>
                <w:sz w:val="20"/>
                <w:szCs w:val="20"/>
              </w:rPr>
              <w:t>17,050</w:t>
            </w:r>
            <w:r w:rsidRPr="00D74E7A">
              <w:rPr>
                <w:sz w:val="20"/>
                <w:szCs w:val="20"/>
              </w:rPr>
              <w:br/>
            </w:r>
          </w:p>
        </w:tc>
        <w:tc>
          <w:tcPr>
            <w:tcW w:w="1751" w:type="dxa"/>
            <w:shd w:val="clear" w:color="auto" w:fill="FFFFFF" w:themeFill="background1"/>
          </w:tcPr>
          <w:p w14:paraId="0C2EA5FC" w14:textId="77777777" w:rsidR="008A155D" w:rsidRPr="00D74E7A" w:rsidRDefault="008A155D" w:rsidP="00980096">
            <w:pPr>
              <w:spacing w:line="360" w:lineRule="auto"/>
              <w:jc w:val="center"/>
              <w:rPr>
                <w:sz w:val="20"/>
                <w:szCs w:val="20"/>
              </w:rPr>
            </w:pPr>
            <w:r w:rsidRPr="00D74E7A">
              <w:rPr>
                <w:sz w:val="20"/>
                <w:szCs w:val="20"/>
              </w:rPr>
              <w:t>15,690</w:t>
            </w:r>
            <w:r w:rsidRPr="00D74E7A">
              <w:rPr>
                <w:sz w:val="20"/>
                <w:szCs w:val="20"/>
              </w:rPr>
              <w:br/>
            </w:r>
            <w:r w:rsidRPr="00D74E7A">
              <w:rPr>
                <w:sz w:val="20"/>
                <w:szCs w:val="20"/>
              </w:rPr>
              <w:br/>
            </w:r>
          </w:p>
        </w:tc>
        <w:tc>
          <w:tcPr>
            <w:tcW w:w="1638" w:type="dxa"/>
            <w:shd w:val="clear" w:color="auto" w:fill="FFFFFF" w:themeFill="background1"/>
          </w:tcPr>
          <w:p w14:paraId="74A27090" w14:textId="77777777" w:rsidR="008A155D" w:rsidRPr="00D74E7A" w:rsidRDefault="008A155D" w:rsidP="00980096">
            <w:pPr>
              <w:spacing w:line="360" w:lineRule="auto"/>
              <w:jc w:val="center"/>
              <w:rPr>
                <w:sz w:val="20"/>
                <w:szCs w:val="20"/>
              </w:rPr>
            </w:pPr>
            <w:r w:rsidRPr="00D74E7A">
              <w:rPr>
                <w:sz w:val="20"/>
                <w:szCs w:val="20"/>
              </w:rPr>
              <w:t>17,027</w:t>
            </w:r>
            <w:r w:rsidRPr="00D74E7A">
              <w:rPr>
                <w:sz w:val="20"/>
                <w:szCs w:val="20"/>
              </w:rPr>
              <w:br/>
            </w:r>
            <w:r w:rsidRPr="00D74E7A">
              <w:rPr>
                <w:sz w:val="20"/>
                <w:szCs w:val="20"/>
              </w:rPr>
              <w:br/>
            </w:r>
          </w:p>
        </w:tc>
        <w:tc>
          <w:tcPr>
            <w:tcW w:w="1638" w:type="dxa"/>
            <w:shd w:val="clear" w:color="auto" w:fill="FFFFFF" w:themeFill="background1"/>
          </w:tcPr>
          <w:p w14:paraId="16C5311C" w14:textId="77777777" w:rsidR="008A155D" w:rsidRPr="00D74E7A" w:rsidRDefault="008A155D" w:rsidP="00980096">
            <w:pPr>
              <w:spacing w:line="360" w:lineRule="auto"/>
              <w:jc w:val="center"/>
              <w:rPr>
                <w:sz w:val="20"/>
                <w:szCs w:val="20"/>
              </w:rPr>
            </w:pPr>
            <w:r w:rsidRPr="00D74E7A">
              <w:rPr>
                <w:sz w:val="20"/>
                <w:szCs w:val="20"/>
              </w:rPr>
              <w:t>16,962</w:t>
            </w:r>
            <w:r w:rsidRPr="00D74E7A">
              <w:rPr>
                <w:sz w:val="20"/>
                <w:szCs w:val="20"/>
              </w:rPr>
              <w:br/>
            </w:r>
            <w:r w:rsidRPr="00D74E7A">
              <w:rPr>
                <w:sz w:val="20"/>
                <w:szCs w:val="20"/>
              </w:rPr>
              <w:br/>
            </w:r>
          </w:p>
        </w:tc>
      </w:tr>
      <w:tr w:rsidR="008A155D" w:rsidRPr="00742DCB" w14:paraId="2C78EE2E" w14:textId="77777777" w:rsidTr="00EF6774">
        <w:tc>
          <w:tcPr>
            <w:tcW w:w="2689" w:type="dxa"/>
            <w:shd w:val="clear" w:color="auto" w:fill="FFFFFF" w:themeFill="background1"/>
          </w:tcPr>
          <w:p w14:paraId="7B8BAAD4" w14:textId="77777777" w:rsidR="008A155D" w:rsidRDefault="008A155D" w:rsidP="00980096">
            <w:pPr>
              <w:spacing w:line="360" w:lineRule="auto"/>
              <w:rPr>
                <w:sz w:val="20"/>
                <w:szCs w:val="20"/>
              </w:rPr>
            </w:pPr>
            <w:r>
              <w:rPr>
                <w:sz w:val="20"/>
                <w:szCs w:val="20"/>
              </w:rPr>
              <w:t xml:space="preserve">Missing responses </w:t>
            </w:r>
          </w:p>
          <w:p w14:paraId="38258DAA" w14:textId="77777777" w:rsidR="008A155D" w:rsidRPr="00D74E7A" w:rsidRDefault="008A155D" w:rsidP="00980096">
            <w:pPr>
              <w:spacing w:line="360" w:lineRule="auto"/>
              <w:rPr>
                <w:sz w:val="20"/>
                <w:szCs w:val="20"/>
              </w:rPr>
            </w:pPr>
            <w:r>
              <w:rPr>
                <w:sz w:val="20"/>
                <w:szCs w:val="20"/>
              </w:rPr>
              <w:t>Don’t know or not applicable</w:t>
            </w:r>
          </w:p>
        </w:tc>
        <w:tc>
          <w:tcPr>
            <w:tcW w:w="1300" w:type="dxa"/>
            <w:shd w:val="clear" w:color="auto" w:fill="FFFFFF" w:themeFill="background1"/>
          </w:tcPr>
          <w:p w14:paraId="13B875F9" w14:textId="77777777" w:rsidR="008A155D" w:rsidRPr="00D74E7A" w:rsidRDefault="008A155D" w:rsidP="00980096">
            <w:pPr>
              <w:spacing w:line="360" w:lineRule="auto"/>
              <w:jc w:val="center"/>
              <w:rPr>
                <w:sz w:val="20"/>
                <w:szCs w:val="20"/>
              </w:rPr>
            </w:pPr>
            <w:r>
              <w:rPr>
                <w:sz w:val="20"/>
                <w:szCs w:val="20"/>
              </w:rPr>
              <w:t>561</w:t>
            </w:r>
          </w:p>
        </w:tc>
        <w:tc>
          <w:tcPr>
            <w:tcW w:w="1751" w:type="dxa"/>
            <w:shd w:val="clear" w:color="auto" w:fill="FFFFFF" w:themeFill="background1"/>
          </w:tcPr>
          <w:p w14:paraId="26928250" w14:textId="77777777" w:rsidR="008A155D" w:rsidRDefault="008A155D" w:rsidP="00980096">
            <w:pPr>
              <w:spacing w:line="360" w:lineRule="auto"/>
              <w:jc w:val="center"/>
              <w:rPr>
                <w:sz w:val="20"/>
                <w:szCs w:val="20"/>
              </w:rPr>
            </w:pPr>
            <w:r>
              <w:rPr>
                <w:sz w:val="20"/>
                <w:szCs w:val="20"/>
              </w:rPr>
              <w:t>498</w:t>
            </w:r>
          </w:p>
          <w:p w14:paraId="5D9DFB05" w14:textId="77777777" w:rsidR="008A155D" w:rsidRPr="00D74E7A" w:rsidRDefault="008A155D" w:rsidP="00980096">
            <w:pPr>
              <w:spacing w:line="360" w:lineRule="auto"/>
              <w:jc w:val="center"/>
              <w:rPr>
                <w:sz w:val="20"/>
                <w:szCs w:val="20"/>
              </w:rPr>
            </w:pPr>
            <w:r>
              <w:rPr>
                <w:sz w:val="20"/>
                <w:szCs w:val="20"/>
              </w:rPr>
              <w:t>1423</w:t>
            </w:r>
          </w:p>
        </w:tc>
        <w:tc>
          <w:tcPr>
            <w:tcW w:w="1638" w:type="dxa"/>
            <w:shd w:val="clear" w:color="auto" w:fill="FFFFFF" w:themeFill="background1"/>
          </w:tcPr>
          <w:p w14:paraId="10B3E55B" w14:textId="77777777" w:rsidR="008A155D" w:rsidRDefault="008A155D" w:rsidP="00980096">
            <w:pPr>
              <w:spacing w:line="360" w:lineRule="auto"/>
              <w:jc w:val="center"/>
              <w:rPr>
                <w:sz w:val="20"/>
                <w:szCs w:val="20"/>
              </w:rPr>
            </w:pPr>
            <w:r>
              <w:rPr>
                <w:sz w:val="20"/>
                <w:szCs w:val="20"/>
              </w:rPr>
              <w:t>466</w:t>
            </w:r>
          </w:p>
          <w:p w14:paraId="6072952B" w14:textId="77777777" w:rsidR="008A155D" w:rsidRPr="00D74E7A" w:rsidRDefault="008A155D" w:rsidP="00980096">
            <w:pPr>
              <w:spacing w:line="360" w:lineRule="auto"/>
              <w:jc w:val="center"/>
              <w:rPr>
                <w:sz w:val="20"/>
                <w:szCs w:val="20"/>
              </w:rPr>
            </w:pPr>
            <w:r>
              <w:rPr>
                <w:sz w:val="20"/>
                <w:szCs w:val="20"/>
              </w:rPr>
              <w:t>118</w:t>
            </w:r>
          </w:p>
        </w:tc>
        <w:tc>
          <w:tcPr>
            <w:tcW w:w="1638" w:type="dxa"/>
            <w:shd w:val="clear" w:color="auto" w:fill="FFFFFF" w:themeFill="background1"/>
          </w:tcPr>
          <w:p w14:paraId="26D18CE8" w14:textId="77777777" w:rsidR="008A155D" w:rsidRDefault="008A155D" w:rsidP="00980096">
            <w:pPr>
              <w:spacing w:line="360" w:lineRule="auto"/>
              <w:jc w:val="center"/>
              <w:rPr>
                <w:sz w:val="20"/>
                <w:szCs w:val="20"/>
              </w:rPr>
            </w:pPr>
            <w:r>
              <w:rPr>
                <w:sz w:val="20"/>
                <w:szCs w:val="20"/>
              </w:rPr>
              <w:t>603</w:t>
            </w:r>
          </w:p>
          <w:p w14:paraId="5017648A" w14:textId="77777777" w:rsidR="008A155D" w:rsidRPr="00D74E7A" w:rsidRDefault="008A155D" w:rsidP="00980096">
            <w:pPr>
              <w:spacing w:line="360" w:lineRule="auto"/>
              <w:jc w:val="center"/>
              <w:rPr>
                <w:sz w:val="20"/>
                <w:szCs w:val="20"/>
              </w:rPr>
            </w:pPr>
            <w:r>
              <w:rPr>
                <w:sz w:val="20"/>
                <w:szCs w:val="20"/>
              </w:rPr>
              <w:t>46</w:t>
            </w:r>
          </w:p>
        </w:tc>
      </w:tr>
      <w:tr w:rsidR="008A155D" w:rsidRPr="00742DCB" w14:paraId="3F6A3918" w14:textId="77777777" w:rsidTr="00EF6774">
        <w:tc>
          <w:tcPr>
            <w:tcW w:w="2689" w:type="dxa"/>
            <w:shd w:val="clear" w:color="auto" w:fill="FFFFFF" w:themeFill="background1"/>
          </w:tcPr>
          <w:p w14:paraId="365631B4" w14:textId="77777777" w:rsidR="008A155D" w:rsidRPr="00D74E7A" w:rsidRDefault="008A155D" w:rsidP="00980096">
            <w:pPr>
              <w:spacing w:line="360" w:lineRule="auto"/>
              <w:rPr>
                <w:sz w:val="20"/>
                <w:szCs w:val="20"/>
              </w:rPr>
            </w:pPr>
            <w:r>
              <w:rPr>
                <w:sz w:val="20"/>
                <w:szCs w:val="20"/>
              </w:rPr>
              <w:t xml:space="preserve">Overall </w:t>
            </w:r>
            <w:r w:rsidRPr="00D74E7A">
              <w:rPr>
                <w:sz w:val="20"/>
                <w:szCs w:val="20"/>
              </w:rPr>
              <w:t xml:space="preserve">Rate - </w:t>
            </w:r>
            <w:r>
              <w:rPr>
                <w:sz w:val="20"/>
                <w:szCs w:val="20"/>
              </w:rPr>
              <w:t xml:space="preserve">% </w:t>
            </w:r>
            <w:r w:rsidRPr="00D74E7A">
              <w:rPr>
                <w:sz w:val="20"/>
                <w:szCs w:val="20"/>
              </w:rPr>
              <w:t>Yes Always</w:t>
            </w:r>
            <w:r w:rsidRPr="00D74E7A">
              <w:rPr>
                <w:sz w:val="20"/>
                <w:szCs w:val="20"/>
              </w:rPr>
              <w:br/>
            </w:r>
          </w:p>
        </w:tc>
        <w:tc>
          <w:tcPr>
            <w:tcW w:w="1300" w:type="dxa"/>
            <w:shd w:val="clear" w:color="auto" w:fill="FFFFFF" w:themeFill="background1"/>
          </w:tcPr>
          <w:p w14:paraId="23BD9BD0" w14:textId="77777777" w:rsidR="008A155D" w:rsidRPr="00D74E7A" w:rsidRDefault="008A155D" w:rsidP="00980096">
            <w:pPr>
              <w:spacing w:line="360" w:lineRule="auto"/>
              <w:jc w:val="center"/>
              <w:rPr>
                <w:sz w:val="20"/>
                <w:szCs w:val="20"/>
              </w:rPr>
            </w:pPr>
            <w:r w:rsidRPr="00D74E7A">
              <w:rPr>
                <w:sz w:val="20"/>
                <w:szCs w:val="20"/>
              </w:rPr>
              <w:t>44.9%</w:t>
            </w:r>
          </w:p>
        </w:tc>
        <w:tc>
          <w:tcPr>
            <w:tcW w:w="1751" w:type="dxa"/>
            <w:shd w:val="clear" w:color="auto" w:fill="FFFFFF" w:themeFill="background1"/>
          </w:tcPr>
          <w:p w14:paraId="3C0F30BC" w14:textId="77777777" w:rsidR="008A155D" w:rsidRPr="00D74E7A" w:rsidRDefault="008A155D" w:rsidP="00980096">
            <w:pPr>
              <w:spacing w:line="360" w:lineRule="auto"/>
              <w:jc w:val="center"/>
              <w:rPr>
                <w:sz w:val="20"/>
                <w:szCs w:val="20"/>
              </w:rPr>
            </w:pPr>
            <w:r w:rsidRPr="00D74E7A">
              <w:rPr>
                <w:sz w:val="20"/>
                <w:szCs w:val="20"/>
              </w:rPr>
              <w:t>59.6%</w:t>
            </w:r>
          </w:p>
        </w:tc>
        <w:tc>
          <w:tcPr>
            <w:tcW w:w="1638" w:type="dxa"/>
            <w:shd w:val="clear" w:color="auto" w:fill="FFFFFF" w:themeFill="background1"/>
          </w:tcPr>
          <w:p w14:paraId="2DCD82A6" w14:textId="77777777" w:rsidR="008A155D" w:rsidRPr="00D74E7A" w:rsidRDefault="008A155D" w:rsidP="00980096">
            <w:pPr>
              <w:spacing w:line="360" w:lineRule="auto"/>
              <w:jc w:val="center"/>
              <w:rPr>
                <w:sz w:val="20"/>
                <w:szCs w:val="20"/>
              </w:rPr>
            </w:pPr>
            <w:r w:rsidRPr="00D74E7A">
              <w:rPr>
                <w:sz w:val="20"/>
                <w:szCs w:val="20"/>
              </w:rPr>
              <w:t>65.0%</w:t>
            </w:r>
          </w:p>
        </w:tc>
        <w:tc>
          <w:tcPr>
            <w:tcW w:w="1638" w:type="dxa"/>
            <w:shd w:val="clear" w:color="auto" w:fill="FFFFFF" w:themeFill="background1"/>
          </w:tcPr>
          <w:p w14:paraId="4019F8CA" w14:textId="77777777" w:rsidR="008A155D" w:rsidRPr="00D74E7A" w:rsidRDefault="008A155D" w:rsidP="00980096">
            <w:pPr>
              <w:spacing w:line="360" w:lineRule="auto"/>
              <w:jc w:val="center"/>
              <w:rPr>
                <w:sz w:val="20"/>
                <w:szCs w:val="20"/>
              </w:rPr>
            </w:pPr>
            <w:r w:rsidRPr="00D74E7A">
              <w:rPr>
                <w:sz w:val="20"/>
                <w:szCs w:val="20"/>
              </w:rPr>
              <w:t>74.4%</w:t>
            </w:r>
          </w:p>
        </w:tc>
      </w:tr>
      <w:tr w:rsidR="008A155D" w:rsidRPr="00742DCB" w14:paraId="206654E6" w14:textId="77777777" w:rsidTr="00EF6774">
        <w:trPr>
          <w:trHeight w:val="239"/>
        </w:trPr>
        <w:tc>
          <w:tcPr>
            <w:tcW w:w="9016" w:type="dxa"/>
            <w:gridSpan w:val="5"/>
            <w:shd w:val="clear" w:color="auto" w:fill="E7E6E6" w:themeFill="background2"/>
          </w:tcPr>
          <w:p w14:paraId="691D3425" w14:textId="77777777" w:rsidR="008A155D" w:rsidRPr="00D74E7A" w:rsidRDefault="008A155D" w:rsidP="00EF6774">
            <w:pPr>
              <w:spacing w:line="360" w:lineRule="auto"/>
              <w:rPr>
                <w:sz w:val="20"/>
                <w:szCs w:val="20"/>
              </w:rPr>
            </w:pPr>
            <w:r w:rsidRPr="00D74E7A">
              <w:rPr>
                <w:sz w:val="20"/>
                <w:szCs w:val="20"/>
              </w:rPr>
              <w:t>Age of mother</w:t>
            </w:r>
          </w:p>
        </w:tc>
      </w:tr>
      <w:tr w:rsidR="008A155D" w:rsidRPr="00742DCB" w14:paraId="69530837" w14:textId="77777777" w:rsidTr="00EF6774">
        <w:tc>
          <w:tcPr>
            <w:tcW w:w="2689" w:type="dxa"/>
          </w:tcPr>
          <w:p w14:paraId="10D3ACC9" w14:textId="77777777" w:rsidR="008A155D" w:rsidRPr="00D74E7A" w:rsidRDefault="008A155D" w:rsidP="00980096">
            <w:pPr>
              <w:spacing w:line="360" w:lineRule="auto"/>
              <w:rPr>
                <w:sz w:val="20"/>
                <w:szCs w:val="20"/>
              </w:rPr>
            </w:pPr>
            <w:r w:rsidRPr="00D74E7A">
              <w:rPr>
                <w:sz w:val="20"/>
                <w:szCs w:val="20"/>
              </w:rPr>
              <w:t>16-24</w:t>
            </w:r>
          </w:p>
        </w:tc>
        <w:tc>
          <w:tcPr>
            <w:tcW w:w="1300" w:type="dxa"/>
          </w:tcPr>
          <w:p w14:paraId="23985B76" w14:textId="77777777" w:rsidR="008A155D" w:rsidRPr="00D74E7A" w:rsidRDefault="008A155D" w:rsidP="00980096">
            <w:pPr>
              <w:spacing w:line="360" w:lineRule="auto"/>
              <w:jc w:val="center"/>
              <w:rPr>
                <w:sz w:val="20"/>
                <w:szCs w:val="20"/>
              </w:rPr>
            </w:pPr>
            <w:r w:rsidRPr="00D74E7A">
              <w:rPr>
                <w:sz w:val="20"/>
                <w:szCs w:val="20"/>
              </w:rPr>
              <w:t>48.6%</w:t>
            </w:r>
          </w:p>
        </w:tc>
        <w:tc>
          <w:tcPr>
            <w:tcW w:w="1751" w:type="dxa"/>
          </w:tcPr>
          <w:p w14:paraId="26F97970" w14:textId="77777777" w:rsidR="008A155D" w:rsidRPr="00D74E7A" w:rsidRDefault="008A155D" w:rsidP="00980096">
            <w:pPr>
              <w:spacing w:line="360" w:lineRule="auto"/>
              <w:jc w:val="center"/>
              <w:rPr>
                <w:sz w:val="20"/>
                <w:szCs w:val="20"/>
              </w:rPr>
            </w:pPr>
            <w:r w:rsidRPr="00D74E7A">
              <w:rPr>
                <w:sz w:val="20"/>
                <w:szCs w:val="20"/>
              </w:rPr>
              <w:t>54.8%</w:t>
            </w:r>
          </w:p>
        </w:tc>
        <w:tc>
          <w:tcPr>
            <w:tcW w:w="1638" w:type="dxa"/>
          </w:tcPr>
          <w:p w14:paraId="4BB480AC" w14:textId="77777777" w:rsidR="008A155D" w:rsidRPr="00D74E7A" w:rsidRDefault="008A155D" w:rsidP="00980096">
            <w:pPr>
              <w:spacing w:line="360" w:lineRule="auto"/>
              <w:jc w:val="center"/>
              <w:rPr>
                <w:sz w:val="20"/>
                <w:szCs w:val="20"/>
              </w:rPr>
            </w:pPr>
            <w:r w:rsidRPr="00D74E7A">
              <w:rPr>
                <w:sz w:val="20"/>
                <w:szCs w:val="20"/>
              </w:rPr>
              <w:t>62.0%</w:t>
            </w:r>
          </w:p>
        </w:tc>
        <w:tc>
          <w:tcPr>
            <w:tcW w:w="1638" w:type="dxa"/>
          </w:tcPr>
          <w:p w14:paraId="66B92F28" w14:textId="77777777" w:rsidR="008A155D" w:rsidRPr="00D74E7A" w:rsidRDefault="008A155D" w:rsidP="00980096">
            <w:pPr>
              <w:spacing w:line="360" w:lineRule="auto"/>
              <w:jc w:val="center"/>
              <w:rPr>
                <w:sz w:val="20"/>
                <w:szCs w:val="20"/>
              </w:rPr>
            </w:pPr>
            <w:r w:rsidRPr="00D74E7A">
              <w:rPr>
                <w:sz w:val="20"/>
                <w:szCs w:val="20"/>
              </w:rPr>
              <w:t>69.1%</w:t>
            </w:r>
          </w:p>
        </w:tc>
      </w:tr>
      <w:tr w:rsidR="008A155D" w:rsidRPr="00742DCB" w14:paraId="6AB93010" w14:textId="77777777" w:rsidTr="00EF6774">
        <w:tc>
          <w:tcPr>
            <w:tcW w:w="2689" w:type="dxa"/>
          </w:tcPr>
          <w:p w14:paraId="316F1B65" w14:textId="77777777" w:rsidR="008A155D" w:rsidRPr="00D74E7A" w:rsidRDefault="008A155D" w:rsidP="00980096">
            <w:pPr>
              <w:spacing w:line="360" w:lineRule="auto"/>
              <w:rPr>
                <w:sz w:val="20"/>
                <w:szCs w:val="20"/>
              </w:rPr>
            </w:pPr>
            <w:r w:rsidRPr="00D74E7A">
              <w:rPr>
                <w:sz w:val="20"/>
                <w:szCs w:val="20"/>
              </w:rPr>
              <w:t>25-29</w:t>
            </w:r>
          </w:p>
        </w:tc>
        <w:tc>
          <w:tcPr>
            <w:tcW w:w="1300" w:type="dxa"/>
          </w:tcPr>
          <w:p w14:paraId="0E7ABD5F" w14:textId="77777777" w:rsidR="008A155D" w:rsidRPr="00D74E7A" w:rsidRDefault="008A155D" w:rsidP="00980096">
            <w:pPr>
              <w:spacing w:line="360" w:lineRule="auto"/>
              <w:jc w:val="center"/>
              <w:rPr>
                <w:sz w:val="20"/>
                <w:szCs w:val="20"/>
              </w:rPr>
            </w:pPr>
            <w:r w:rsidRPr="00D74E7A">
              <w:rPr>
                <w:sz w:val="20"/>
                <w:szCs w:val="20"/>
              </w:rPr>
              <w:t>46.1%</w:t>
            </w:r>
          </w:p>
        </w:tc>
        <w:tc>
          <w:tcPr>
            <w:tcW w:w="1751" w:type="dxa"/>
          </w:tcPr>
          <w:p w14:paraId="15BFAA86" w14:textId="77777777" w:rsidR="008A155D" w:rsidRPr="00D74E7A" w:rsidRDefault="008A155D" w:rsidP="00980096">
            <w:pPr>
              <w:spacing w:line="360" w:lineRule="auto"/>
              <w:jc w:val="center"/>
              <w:rPr>
                <w:sz w:val="20"/>
                <w:szCs w:val="20"/>
              </w:rPr>
            </w:pPr>
            <w:r w:rsidRPr="00D74E7A">
              <w:rPr>
                <w:sz w:val="20"/>
                <w:szCs w:val="20"/>
              </w:rPr>
              <w:t>58.8%</w:t>
            </w:r>
          </w:p>
        </w:tc>
        <w:tc>
          <w:tcPr>
            <w:tcW w:w="1638" w:type="dxa"/>
          </w:tcPr>
          <w:p w14:paraId="74FD9551" w14:textId="77777777" w:rsidR="008A155D" w:rsidRPr="00D74E7A" w:rsidRDefault="008A155D" w:rsidP="00980096">
            <w:pPr>
              <w:spacing w:line="360" w:lineRule="auto"/>
              <w:jc w:val="center"/>
              <w:rPr>
                <w:sz w:val="20"/>
                <w:szCs w:val="20"/>
              </w:rPr>
            </w:pPr>
            <w:r w:rsidRPr="00D74E7A">
              <w:rPr>
                <w:sz w:val="20"/>
                <w:szCs w:val="20"/>
              </w:rPr>
              <w:t>65.3%</w:t>
            </w:r>
          </w:p>
        </w:tc>
        <w:tc>
          <w:tcPr>
            <w:tcW w:w="1638" w:type="dxa"/>
          </w:tcPr>
          <w:p w14:paraId="3F563EEF" w14:textId="77777777" w:rsidR="008A155D" w:rsidRPr="00D74E7A" w:rsidRDefault="008A155D" w:rsidP="00980096">
            <w:pPr>
              <w:spacing w:line="360" w:lineRule="auto"/>
              <w:jc w:val="center"/>
              <w:rPr>
                <w:sz w:val="20"/>
                <w:szCs w:val="20"/>
              </w:rPr>
            </w:pPr>
            <w:r w:rsidRPr="00D74E7A">
              <w:rPr>
                <w:sz w:val="20"/>
                <w:szCs w:val="20"/>
              </w:rPr>
              <w:t>73.8%</w:t>
            </w:r>
          </w:p>
        </w:tc>
      </w:tr>
      <w:tr w:rsidR="008A155D" w:rsidRPr="00742DCB" w14:paraId="771EE79C" w14:textId="77777777" w:rsidTr="00EF6774">
        <w:tc>
          <w:tcPr>
            <w:tcW w:w="2689" w:type="dxa"/>
          </w:tcPr>
          <w:p w14:paraId="5D75BC76" w14:textId="77777777" w:rsidR="008A155D" w:rsidRPr="00D74E7A" w:rsidRDefault="008A155D" w:rsidP="00980096">
            <w:pPr>
              <w:spacing w:line="360" w:lineRule="auto"/>
              <w:rPr>
                <w:sz w:val="20"/>
                <w:szCs w:val="20"/>
              </w:rPr>
            </w:pPr>
            <w:r w:rsidRPr="00D74E7A">
              <w:rPr>
                <w:sz w:val="20"/>
                <w:szCs w:val="20"/>
              </w:rPr>
              <w:t>30-34</w:t>
            </w:r>
          </w:p>
        </w:tc>
        <w:tc>
          <w:tcPr>
            <w:tcW w:w="1300" w:type="dxa"/>
          </w:tcPr>
          <w:p w14:paraId="08CBF53B" w14:textId="77777777" w:rsidR="008A155D" w:rsidRPr="00D74E7A" w:rsidRDefault="008A155D" w:rsidP="00980096">
            <w:pPr>
              <w:spacing w:line="360" w:lineRule="auto"/>
              <w:jc w:val="center"/>
              <w:rPr>
                <w:sz w:val="20"/>
                <w:szCs w:val="20"/>
              </w:rPr>
            </w:pPr>
            <w:r w:rsidRPr="00D74E7A">
              <w:rPr>
                <w:sz w:val="20"/>
                <w:szCs w:val="20"/>
              </w:rPr>
              <w:t>44.5%</w:t>
            </w:r>
          </w:p>
        </w:tc>
        <w:tc>
          <w:tcPr>
            <w:tcW w:w="1751" w:type="dxa"/>
          </w:tcPr>
          <w:p w14:paraId="138B7D4D" w14:textId="77777777" w:rsidR="008A155D" w:rsidRPr="00D74E7A" w:rsidRDefault="008A155D" w:rsidP="00980096">
            <w:pPr>
              <w:spacing w:line="360" w:lineRule="auto"/>
              <w:jc w:val="center"/>
              <w:rPr>
                <w:sz w:val="20"/>
                <w:szCs w:val="20"/>
              </w:rPr>
            </w:pPr>
            <w:r w:rsidRPr="00D74E7A">
              <w:rPr>
                <w:sz w:val="20"/>
                <w:szCs w:val="20"/>
              </w:rPr>
              <w:t>59.7%</w:t>
            </w:r>
          </w:p>
        </w:tc>
        <w:tc>
          <w:tcPr>
            <w:tcW w:w="1638" w:type="dxa"/>
          </w:tcPr>
          <w:p w14:paraId="6952B488" w14:textId="77777777" w:rsidR="008A155D" w:rsidRPr="00D74E7A" w:rsidRDefault="008A155D" w:rsidP="00980096">
            <w:pPr>
              <w:spacing w:line="360" w:lineRule="auto"/>
              <w:jc w:val="center"/>
              <w:rPr>
                <w:sz w:val="20"/>
                <w:szCs w:val="20"/>
              </w:rPr>
            </w:pPr>
            <w:r w:rsidRPr="00D74E7A">
              <w:rPr>
                <w:sz w:val="20"/>
                <w:szCs w:val="20"/>
              </w:rPr>
              <w:t>63.8%</w:t>
            </w:r>
          </w:p>
        </w:tc>
        <w:tc>
          <w:tcPr>
            <w:tcW w:w="1638" w:type="dxa"/>
          </w:tcPr>
          <w:p w14:paraId="24E4C323" w14:textId="77777777" w:rsidR="008A155D" w:rsidRPr="00D74E7A" w:rsidRDefault="008A155D" w:rsidP="00980096">
            <w:pPr>
              <w:spacing w:line="360" w:lineRule="auto"/>
              <w:jc w:val="center"/>
              <w:rPr>
                <w:sz w:val="20"/>
                <w:szCs w:val="20"/>
              </w:rPr>
            </w:pPr>
            <w:r w:rsidRPr="00D74E7A">
              <w:rPr>
                <w:sz w:val="20"/>
                <w:szCs w:val="20"/>
              </w:rPr>
              <w:t>74.2%</w:t>
            </w:r>
          </w:p>
        </w:tc>
      </w:tr>
      <w:tr w:rsidR="008A155D" w:rsidRPr="00742DCB" w14:paraId="19F68CF2" w14:textId="77777777" w:rsidTr="00EF6774">
        <w:tc>
          <w:tcPr>
            <w:tcW w:w="2689" w:type="dxa"/>
          </w:tcPr>
          <w:p w14:paraId="77A839F7" w14:textId="77777777" w:rsidR="008A155D" w:rsidRPr="00D74E7A" w:rsidRDefault="008A155D" w:rsidP="00980096">
            <w:pPr>
              <w:spacing w:line="360" w:lineRule="auto"/>
              <w:rPr>
                <w:sz w:val="20"/>
                <w:szCs w:val="20"/>
              </w:rPr>
            </w:pPr>
            <w:r w:rsidRPr="00D74E7A">
              <w:rPr>
                <w:sz w:val="20"/>
                <w:szCs w:val="20"/>
              </w:rPr>
              <w:t>35+</w:t>
            </w:r>
          </w:p>
        </w:tc>
        <w:tc>
          <w:tcPr>
            <w:tcW w:w="1300" w:type="dxa"/>
          </w:tcPr>
          <w:p w14:paraId="0BC4A0F6" w14:textId="77777777" w:rsidR="008A155D" w:rsidRPr="00D74E7A" w:rsidRDefault="008A155D" w:rsidP="00980096">
            <w:pPr>
              <w:spacing w:line="360" w:lineRule="auto"/>
              <w:jc w:val="center"/>
              <w:rPr>
                <w:sz w:val="20"/>
                <w:szCs w:val="20"/>
              </w:rPr>
            </w:pPr>
            <w:r w:rsidRPr="00D74E7A">
              <w:rPr>
                <w:sz w:val="20"/>
                <w:szCs w:val="20"/>
              </w:rPr>
              <w:t>43.7%</w:t>
            </w:r>
          </w:p>
        </w:tc>
        <w:tc>
          <w:tcPr>
            <w:tcW w:w="1751" w:type="dxa"/>
          </w:tcPr>
          <w:p w14:paraId="115FA3F5" w14:textId="77777777" w:rsidR="008A155D" w:rsidRPr="00D74E7A" w:rsidRDefault="008A155D" w:rsidP="00980096">
            <w:pPr>
              <w:spacing w:line="360" w:lineRule="auto"/>
              <w:jc w:val="center"/>
              <w:rPr>
                <w:sz w:val="20"/>
                <w:szCs w:val="20"/>
              </w:rPr>
            </w:pPr>
            <w:r w:rsidRPr="00D74E7A">
              <w:rPr>
                <w:sz w:val="20"/>
                <w:szCs w:val="20"/>
              </w:rPr>
              <w:t>61.0%</w:t>
            </w:r>
          </w:p>
        </w:tc>
        <w:tc>
          <w:tcPr>
            <w:tcW w:w="1638" w:type="dxa"/>
          </w:tcPr>
          <w:p w14:paraId="1D21B663" w14:textId="77777777" w:rsidR="008A155D" w:rsidRPr="00D74E7A" w:rsidRDefault="008A155D" w:rsidP="00980096">
            <w:pPr>
              <w:spacing w:line="360" w:lineRule="auto"/>
              <w:jc w:val="center"/>
              <w:rPr>
                <w:sz w:val="20"/>
                <w:szCs w:val="20"/>
              </w:rPr>
            </w:pPr>
            <w:r w:rsidRPr="00D74E7A">
              <w:rPr>
                <w:sz w:val="20"/>
                <w:szCs w:val="20"/>
              </w:rPr>
              <w:t>66.8%</w:t>
            </w:r>
          </w:p>
        </w:tc>
        <w:tc>
          <w:tcPr>
            <w:tcW w:w="1638" w:type="dxa"/>
          </w:tcPr>
          <w:p w14:paraId="315EB946" w14:textId="77777777" w:rsidR="008A155D" w:rsidRPr="00D74E7A" w:rsidRDefault="008A155D" w:rsidP="00980096">
            <w:pPr>
              <w:spacing w:line="360" w:lineRule="auto"/>
              <w:jc w:val="center"/>
              <w:rPr>
                <w:sz w:val="20"/>
                <w:szCs w:val="20"/>
              </w:rPr>
            </w:pPr>
            <w:r w:rsidRPr="00D74E7A">
              <w:rPr>
                <w:sz w:val="20"/>
                <w:szCs w:val="20"/>
              </w:rPr>
              <w:t>76.0%</w:t>
            </w:r>
          </w:p>
        </w:tc>
      </w:tr>
      <w:tr w:rsidR="008A155D" w:rsidRPr="00742DCB" w14:paraId="1EEC5911" w14:textId="77777777" w:rsidTr="00EF6774">
        <w:tc>
          <w:tcPr>
            <w:tcW w:w="9016" w:type="dxa"/>
            <w:gridSpan w:val="5"/>
            <w:shd w:val="clear" w:color="auto" w:fill="E7E6E6" w:themeFill="background2"/>
          </w:tcPr>
          <w:p w14:paraId="2289E394" w14:textId="77777777" w:rsidR="008A155D" w:rsidRPr="00D74E7A" w:rsidRDefault="008A155D" w:rsidP="00980096">
            <w:pPr>
              <w:spacing w:line="360" w:lineRule="auto"/>
              <w:rPr>
                <w:sz w:val="20"/>
                <w:szCs w:val="20"/>
              </w:rPr>
            </w:pPr>
            <w:r w:rsidRPr="00D74E7A">
              <w:rPr>
                <w:sz w:val="20"/>
                <w:szCs w:val="20"/>
              </w:rPr>
              <w:t xml:space="preserve">Type of birth </w:t>
            </w:r>
          </w:p>
        </w:tc>
      </w:tr>
      <w:tr w:rsidR="008A155D" w:rsidRPr="00742DCB" w14:paraId="42B44800" w14:textId="77777777" w:rsidTr="00EF6774">
        <w:tc>
          <w:tcPr>
            <w:tcW w:w="2689" w:type="dxa"/>
          </w:tcPr>
          <w:p w14:paraId="6C21B2C5" w14:textId="77777777" w:rsidR="008A155D" w:rsidRPr="00D74E7A" w:rsidRDefault="008A155D" w:rsidP="00980096">
            <w:pPr>
              <w:spacing w:line="360" w:lineRule="auto"/>
              <w:rPr>
                <w:sz w:val="20"/>
                <w:szCs w:val="20"/>
              </w:rPr>
            </w:pPr>
            <w:r>
              <w:rPr>
                <w:sz w:val="20"/>
                <w:szCs w:val="20"/>
              </w:rPr>
              <w:t xml:space="preserve">Spontaneous birth </w:t>
            </w:r>
            <w:r>
              <w:rPr>
                <w:sz w:val="20"/>
                <w:szCs w:val="20"/>
              </w:rPr>
              <w:br/>
              <w:t>(no instrumental intervention)</w:t>
            </w:r>
          </w:p>
        </w:tc>
        <w:tc>
          <w:tcPr>
            <w:tcW w:w="1300" w:type="dxa"/>
          </w:tcPr>
          <w:p w14:paraId="63D42859" w14:textId="77777777" w:rsidR="008A155D" w:rsidRPr="00D74E7A" w:rsidRDefault="008A155D" w:rsidP="00980096">
            <w:pPr>
              <w:spacing w:line="360" w:lineRule="auto"/>
              <w:jc w:val="center"/>
              <w:rPr>
                <w:sz w:val="20"/>
                <w:szCs w:val="20"/>
              </w:rPr>
            </w:pPr>
            <w:r w:rsidRPr="00D74E7A">
              <w:rPr>
                <w:sz w:val="20"/>
                <w:szCs w:val="20"/>
              </w:rPr>
              <w:t>43.7%</w:t>
            </w:r>
          </w:p>
        </w:tc>
        <w:tc>
          <w:tcPr>
            <w:tcW w:w="1751" w:type="dxa"/>
          </w:tcPr>
          <w:p w14:paraId="5D1CD70A" w14:textId="77777777" w:rsidR="008A155D" w:rsidRPr="00D74E7A" w:rsidRDefault="008A155D" w:rsidP="00980096">
            <w:pPr>
              <w:spacing w:line="360" w:lineRule="auto"/>
              <w:jc w:val="center"/>
              <w:rPr>
                <w:sz w:val="20"/>
                <w:szCs w:val="20"/>
              </w:rPr>
            </w:pPr>
            <w:r w:rsidRPr="00D74E7A">
              <w:rPr>
                <w:sz w:val="20"/>
                <w:szCs w:val="20"/>
              </w:rPr>
              <w:t>63.2%</w:t>
            </w:r>
          </w:p>
        </w:tc>
        <w:tc>
          <w:tcPr>
            <w:tcW w:w="1638" w:type="dxa"/>
          </w:tcPr>
          <w:p w14:paraId="36728C60" w14:textId="77777777" w:rsidR="008A155D" w:rsidRPr="00D74E7A" w:rsidRDefault="008A155D" w:rsidP="00980096">
            <w:pPr>
              <w:spacing w:line="360" w:lineRule="auto"/>
              <w:jc w:val="center"/>
              <w:rPr>
                <w:sz w:val="20"/>
                <w:szCs w:val="20"/>
              </w:rPr>
            </w:pPr>
            <w:r w:rsidRPr="00D74E7A">
              <w:rPr>
                <w:sz w:val="20"/>
                <w:szCs w:val="20"/>
              </w:rPr>
              <w:t>69.4%</w:t>
            </w:r>
          </w:p>
        </w:tc>
        <w:tc>
          <w:tcPr>
            <w:tcW w:w="1638" w:type="dxa"/>
          </w:tcPr>
          <w:p w14:paraId="63800E5F" w14:textId="77777777" w:rsidR="008A155D" w:rsidRPr="00D74E7A" w:rsidRDefault="008A155D" w:rsidP="00980096">
            <w:pPr>
              <w:spacing w:line="360" w:lineRule="auto"/>
              <w:jc w:val="center"/>
              <w:rPr>
                <w:sz w:val="20"/>
                <w:szCs w:val="20"/>
              </w:rPr>
            </w:pPr>
            <w:r w:rsidRPr="00D74E7A">
              <w:rPr>
                <w:sz w:val="20"/>
                <w:szCs w:val="20"/>
              </w:rPr>
              <w:t>79.1%</w:t>
            </w:r>
          </w:p>
        </w:tc>
      </w:tr>
      <w:tr w:rsidR="008A155D" w:rsidRPr="00742DCB" w14:paraId="3F1F7608" w14:textId="77777777" w:rsidTr="00EF6774">
        <w:tc>
          <w:tcPr>
            <w:tcW w:w="2689" w:type="dxa"/>
          </w:tcPr>
          <w:p w14:paraId="193AFAA6" w14:textId="77777777" w:rsidR="008A155D" w:rsidRPr="00D74E7A" w:rsidRDefault="008A155D" w:rsidP="00980096">
            <w:pPr>
              <w:spacing w:line="360" w:lineRule="auto"/>
              <w:rPr>
                <w:sz w:val="20"/>
                <w:szCs w:val="20"/>
              </w:rPr>
            </w:pPr>
            <w:r>
              <w:rPr>
                <w:sz w:val="20"/>
                <w:szCs w:val="20"/>
              </w:rPr>
              <w:t>Instrumental birth</w:t>
            </w:r>
          </w:p>
        </w:tc>
        <w:tc>
          <w:tcPr>
            <w:tcW w:w="1300" w:type="dxa"/>
          </w:tcPr>
          <w:p w14:paraId="06AE7332" w14:textId="77777777" w:rsidR="008A155D" w:rsidRPr="00D74E7A" w:rsidRDefault="008A155D" w:rsidP="00980096">
            <w:pPr>
              <w:spacing w:line="360" w:lineRule="auto"/>
              <w:jc w:val="center"/>
              <w:rPr>
                <w:sz w:val="20"/>
                <w:szCs w:val="20"/>
              </w:rPr>
            </w:pPr>
            <w:r w:rsidRPr="00D74E7A">
              <w:rPr>
                <w:sz w:val="20"/>
                <w:szCs w:val="20"/>
              </w:rPr>
              <w:t>51.9%</w:t>
            </w:r>
          </w:p>
        </w:tc>
        <w:tc>
          <w:tcPr>
            <w:tcW w:w="1751" w:type="dxa"/>
          </w:tcPr>
          <w:p w14:paraId="6D86042D" w14:textId="77777777" w:rsidR="008A155D" w:rsidRPr="00D74E7A" w:rsidRDefault="008A155D" w:rsidP="00980096">
            <w:pPr>
              <w:spacing w:line="360" w:lineRule="auto"/>
              <w:jc w:val="center"/>
              <w:rPr>
                <w:sz w:val="20"/>
                <w:szCs w:val="20"/>
              </w:rPr>
            </w:pPr>
            <w:r w:rsidRPr="00D74E7A">
              <w:rPr>
                <w:sz w:val="20"/>
                <w:szCs w:val="20"/>
              </w:rPr>
              <w:t>57.0%</w:t>
            </w:r>
          </w:p>
        </w:tc>
        <w:tc>
          <w:tcPr>
            <w:tcW w:w="1638" w:type="dxa"/>
          </w:tcPr>
          <w:p w14:paraId="495B2955" w14:textId="77777777" w:rsidR="008A155D" w:rsidRPr="00D74E7A" w:rsidRDefault="008A155D" w:rsidP="00980096">
            <w:pPr>
              <w:spacing w:line="360" w:lineRule="auto"/>
              <w:jc w:val="center"/>
              <w:rPr>
                <w:sz w:val="20"/>
                <w:szCs w:val="20"/>
              </w:rPr>
            </w:pPr>
            <w:r w:rsidRPr="00D74E7A">
              <w:rPr>
                <w:sz w:val="20"/>
                <w:szCs w:val="20"/>
              </w:rPr>
              <w:t>58.0%</w:t>
            </w:r>
          </w:p>
        </w:tc>
        <w:tc>
          <w:tcPr>
            <w:tcW w:w="1638" w:type="dxa"/>
          </w:tcPr>
          <w:p w14:paraId="494D8CCD" w14:textId="77777777" w:rsidR="008A155D" w:rsidRPr="00D74E7A" w:rsidRDefault="008A155D" w:rsidP="00980096">
            <w:pPr>
              <w:spacing w:line="360" w:lineRule="auto"/>
              <w:jc w:val="center"/>
              <w:rPr>
                <w:sz w:val="20"/>
                <w:szCs w:val="20"/>
              </w:rPr>
            </w:pPr>
            <w:r w:rsidRPr="00D74E7A">
              <w:rPr>
                <w:sz w:val="20"/>
                <w:szCs w:val="20"/>
              </w:rPr>
              <w:t>69.5%</w:t>
            </w:r>
          </w:p>
        </w:tc>
      </w:tr>
      <w:tr w:rsidR="008A155D" w:rsidRPr="00742DCB" w14:paraId="746F1E0A" w14:textId="77777777" w:rsidTr="00EF6774">
        <w:tc>
          <w:tcPr>
            <w:tcW w:w="2689" w:type="dxa"/>
          </w:tcPr>
          <w:p w14:paraId="34FFD76A" w14:textId="77777777" w:rsidR="008A155D" w:rsidRPr="00D74E7A" w:rsidRDefault="008A155D" w:rsidP="00980096">
            <w:pPr>
              <w:spacing w:line="360" w:lineRule="auto"/>
              <w:rPr>
                <w:sz w:val="20"/>
                <w:szCs w:val="20"/>
              </w:rPr>
            </w:pPr>
            <w:r w:rsidRPr="00D74E7A">
              <w:rPr>
                <w:sz w:val="20"/>
                <w:szCs w:val="20"/>
              </w:rPr>
              <w:t>Planned caesarean</w:t>
            </w:r>
          </w:p>
        </w:tc>
        <w:tc>
          <w:tcPr>
            <w:tcW w:w="1300" w:type="dxa"/>
          </w:tcPr>
          <w:p w14:paraId="55F7D46C" w14:textId="77777777" w:rsidR="008A155D" w:rsidRPr="00D74E7A" w:rsidRDefault="008A155D" w:rsidP="00980096">
            <w:pPr>
              <w:spacing w:line="360" w:lineRule="auto"/>
              <w:jc w:val="center"/>
              <w:rPr>
                <w:sz w:val="20"/>
                <w:szCs w:val="20"/>
              </w:rPr>
            </w:pPr>
            <w:r w:rsidRPr="00D74E7A">
              <w:rPr>
                <w:sz w:val="20"/>
                <w:szCs w:val="20"/>
              </w:rPr>
              <w:t>42.1%</w:t>
            </w:r>
          </w:p>
        </w:tc>
        <w:tc>
          <w:tcPr>
            <w:tcW w:w="1751" w:type="dxa"/>
          </w:tcPr>
          <w:p w14:paraId="1F9D280D" w14:textId="77777777" w:rsidR="008A155D" w:rsidRPr="00D74E7A" w:rsidRDefault="008A155D" w:rsidP="00980096">
            <w:pPr>
              <w:spacing w:line="360" w:lineRule="auto"/>
              <w:jc w:val="center"/>
              <w:rPr>
                <w:sz w:val="20"/>
                <w:szCs w:val="20"/>
              </w:rPr>
            </w:pPr>
            <w:r w:rsidRPr="00D74E7A">
              <w:rPr>
                <w:sz w:val="20"/>
                <w:szCs w:val="20"/>
              </w:rPr>
              <w:t>55.0%</w:t>
            </w:r>
          </w:p>
        </w:tc>
        <w:tc>
          <w:tcPr>
            <w:tcW w:w="1638" w:type="dxa"/>
          </w:tcPr>
          <w:p w14:paraId="6B163504" w14:textId="77777777" w:rsidR="008A155D" w:rsidRPr="00D74E7A" w:rsidRDefault="008A155D" w:rsidP="00980096">
            <w:pPr>
              <w:spacing w:line="360" w:lineRule="auto"/>
              <w:jc w:val="center"/>
              <w:rPr>
                <w:sz w:val="20"/>
                <w:szCs w:val="20"/>
              </w:rPr>
            </w:pPr>
            <w:r w:rsidRPr="00D74E7A">
              <w:rPr>
                <w:sz w:val="20"/>
                <w:szCs w:val="20"/>
              </w:rPr>
              <w:t>63.6%</w:t>
            </w:r>
          </w:p>
        </w:tc>
        <w:tc>
          <w:tcPr>
            <w:tcW w:w="1638" w:type="dxa"/>
          </w:tcPr>
          <w:p w14:paraId="4DFCC06E" w14:textId="77777777" w:rsidR="008A155D" w:rsidRPr="00D74E7A" w:rsidRDefault="008A155D" w:rsidP="00980096">
            <w:pPr>
              <w:spacing w:line="360" w:lineRule="auto"/>
              <w:jc w:val="center"/>
              <w:rPr>
                <w:sz w:val="20"/>
                <w:szCs w:val="20"/>
              </w:rPr>
            </w:pPr>
            <w:r w:rsidRPr="00D74E7A">
              <w:rPr>
                <w:sz w:val="20"/>
                <w:szCs w:val="20"/>
              </w:rPr>
              <w:t>70.8%</w:t>
            </w:r>
          </w:p>
        </w:tc>
      </w:tr>
      <w:tr w:rsidR="008A155D" w:rsidRPr="00742DCB" w14:paraId="3B5B1E0A" w14:textId="77777777" w:rsidTr="00EF6774">
        <w:tc>
          <w:tcPr>
            <w:tcW w:w="2689" w:type="dxa"/>
          </w:tcPr>
          <w:p w14:paraId="65E05CEB" w14:textId="77777777" w:rsidR="008A155D" w:rsidRPr="00D74E7A" w:rsidRDefault="008A155D" w:rsidP="00980096">
            <w:pPr>
              <w:spacing w:line="360" w:lineRule="auto"/>
              <w:rPr>
                <w:sz w:val="20"/>
                <w:szCs w:val="20"/>
              </w:rPr>
            </w:pPr>
            <w:r w:rsidRPr="00D74E7A">
              <w:rPr>
                <w:sz w:val="20"/>
                <w:szCs w:val="20"/>
              </w:rPr>
              <w:t>Emergency caesarean</w:t>
            </w:r>
          </w:p>
        </w:tc>
        <w:tc>
          <w:tcPr>
            <w:tcW w:w="1300" w:type="dxa"/>
          </w:tcPr>
          <w:p w14:paraId="6B5983CD" w14:textId="77777777" w:rsidR="008A155D" w:rsidRPr="00D74E7A" w:rsidRDefault="008A155D" w:rsidP="00980096">
            <w:pPr>
              <w:spacing w:line="360" w:lineRule="auto"/>
              <w:jc w:val="center"/>
              <w:rPr>
                <w:sz w:val="20"/>
                <w:szCs w:val="20"/>
              </w:rPr>
            </w:pPr>
            <w:r w:rsidRPr="00D74E7A">
              <w:rPr>
                <w:sz w:val="20"/>
                <w:szCs w:val="20"/>
              </w:rPr>
              <w:t>45.2%</w:t>
            </w:r>
          </w:p>
        </w:tc>
        <w:tc>
          <w:tcPr>
            <w:tcW w:w="1751" w:type="dxa"/>
          </w:tcPr>
          <w:p w14:paraId="642246E8" w14:textId="77777777" w:rsidR="008A155D" w:rsidRPr="00D74E7A" w:rsidRDefault="008A155D" w:rsidP="00980096">
            <w:pPr>
              <w:spacing w:line="360" w:lineRule="auto"/>
              <w:jc w:val="center"/>
              <w:rPr>
                <w:sz w:val="20"/>
                <w:szCs w:val="20"/>
              </w:rPr>
            </w:pPr>
            <w:r w:rsidRPr="00D74E7A">
              <w:rPr>
                <w:sz w:val="20"/>
                <w:szCs w:val="20"/>
              </w:rPr>
              <w:t>54.4%</w:t>
            </w:r>
          </w:p>
        </w:tc>
        <w:tc>
          <w:tcPr>
            <w:tcW w:w="1638" w:type="dxa"/>
          </w:tcPr>
          <w:p w14:paraId="120720CE" w14:textId="77777777" w:rsidR="008A155D" w:rsidRPr="00D74E7A" w:rsidRDefault="008A155D" w:rsidP="00980096">
            <w:pPr>
              <w:spacing w:line="360" w:lineRule="auto"/>
              <w:jc w:val="center"/>
              <w:rPr>
                <w:sz w:val="20"/>
                <w:szCs w:val="20"/>
              </w:rPr>
            </w:pPr>
            <w:r w:rsidRPr="00D74E7A">
              <w:rPr>
                <w:sz w:val="20"/>
                <w:szCs w:val="20"/>
              </w:rPr>
              <w:t>57.9%</w:t>
            </w:r>
          </w:p>
        </w:tc>
        <w:tc>
          <w:tcPr>
            <w:tcW w:w="1638" w:type="dxa"/>
          </w:tcPr>
          <w:p w14:paraId="36822F3E" w14:textId="77777777" w:rsidR="008A155D" w:rsidRPr="00D74E7A" w:rsidRDefault="008A155D" w:rsidP="00980096">
            <w:pPr>
              <w:spacing w:line="360" w:lineRule="auto"/>
              <w:jc w:val="center"/>
              <w:rPr>
                <w:sz w:val="20"/>
                <w:szCs w:val="20"/>
              </w:rPr>
            </w:pPr>
            <w:r w:rsidRPr="00D74E7A">
              <w:rPr>
                <w:sz w:val="20"/>
                <w:szCs w:val="20"/>
              </w:rPr>
              <w:t>65.8%</w:t>
            </w:r>
          </w:p>
        </w:tc>
      </w:tr>
      <w:tr w:rsidR="008A155D" w:rsidRPr="00742DCB" w14:paraId="4EBDDED9" w14:textId="77777777" w:rsidTr="00EF6774">
        <w:trPr>
          <w:trHeight w:val="113"/>
        </w:trPr>
        <w:tc>
          <w:tcPr>
            <w:tcW w:w="9016" w:type="dxa"/>
            <w:gridSpan w:val="5"/>
            <w:shd w:val="clear" w:color="auto" w:fill="E7E6E6" w:themeFill="background2"/>
          </w:tcPr>
          <w:p w14:paraId="319C282C" w14:textId="77777777" w:rsidR="008A155D" w:rsidRPr="00D74E7A" w:rsidRDefault="008A155D" w:rsidP="00EF6774">
            <w:pPr>
              <w:spacing w:line="360" w:lineRule="auto"/>
              <w:rPr>
                <w:sz w:val="20"/>
                <w:szCs w:val="20"/>
              </w:rPr>
            </w:pPr>
            <w:r>
              <w:rPr>
                <w:sz w:val="20"/>
                <w:szCs w:val="20"/>
              </w:rPr>
              <w:t>Trust s</w:t>
            </w:r>
            <w:r w:rsidRPr="00D74E7A">
              <w:rPr>
                <w:sz w:val="20"/>
                <w:szCs w:val="20"/>
              </w:rPr>
              <w:t>taffing levels</w:t>
            </w:r>
            <w:r>
              <w:rPr>
                <w:sz w:val="20"/>
                <w:szCs w:val="20"/>
              </w:rPr>
              <w:tab/>
            </w:r>
            <w:r>
              <w:rPr>
                <w:sz w:val="20"/>
                <w:szCs w:val="20"/>
              </w:rPr>
              <w:tab/>
            </w:r>
            <w:r>
              <w:rPr>
                <w:sz w:val="20"/>
                <w:szCs w:val="20"/>
              </w:rPr>
              <w:tab/>
            </w:r>
          </w:p>
        </w:tc>
      </w:tr>
      <w:tr w:rsidR="008A155D" w:rsidRPr="00742DCB" w14:paraId="045BE62A" w14:textId="77777777" w:rsidTr="00EF6774">
        <w:trPr>
          <w:trHeight w:val="113"/>
        </w:trPr>
        <w:tc>
          <w:tcPr>
            <w:tcW w:w="2689" w:type="dxa"/>
          </w:tcPr>
          <w:p w14:paraId="651B13E1" w14:textId="77777777" w:rsidR="008A155D" w:rsidRPr="00D74E7A" w:rsidRDefault="008A155D" w:rsidP="00980096">
            <w:pPr>
              <w:spacing w:line="360" w:lineRule="auto"/>
              <w:rPr>
                <w:sz w:val="20"/>
                <w:szCs w:val="20"/>
              </w:rPr>
            </w:pPr>
            <w:bookmarkStart w:id="4" w:name="_Hlk82685628"/>
            <w:r w:rsidRPr="00D74E7A">
              <w:rPr>
                <w:sz w:val="20"/>
                <w:szCs w:val="20"/>
              </w:rPr>
              <w:t xml:space="preserve">low </w:t>
            </w:r>
            <w:proofErr w:type="spellStart"/>
            <w:r w:rsidRPr="00D74E7A">
              <w:rPr>
                <w:sz w:val="20"/>
                <w:szCs w:val="20"/>
              </w:rPr>
              <w:t>fte</w:t>
            </w:r>
            <w:proofErr w:type="spellEnd"/>
            <w:r w:rsidRPr="00D74E7A">
              <w:rPr>
                <w:sz w:val="20"/>
                <w:szCs w:val="20"/>
              </w:rPr>
              <w:t xml:space="preserve"> / 100 births   </w:t>
            </w:r>
          </w:p>
          <w:p w14:paraId="5AD691E7" w14:textId="77777777" w:rsidR="008A155D" w:rsidRPr="00D74E7A" w:rsidRDefault="008A155D" w:rsidP="00980096">
            <w:pPr>
              <w:spacing w:line="360" w:lineRule="auto"/>
              <w:rPr>
                <w:sz w:val="20"/>
                <w:szCs w:val="20"/>
              </w:rPr>
            </w:pPr>
            <w:proofErr w:type="spellStart"/>
            <w:r w:rsidRPr="00D74E7A">
              <w:rPr>
                <w:sz w:val="20"/>
                <w:szCs w:val="20"/>
              </w:rPr>
              <w:t>fte</w:t>
            </w:r>
            <w:proofErr w:type="spellEnd"/>
            <w:r w:rsidRPr="00D74E7A">
              <w:rPr>
                <w:sz w:val="20"/>
                <w:szCs w:val="20"/>
              </w:rPr>
              <w:t xml:space="preserve"> 2.543 to 3.395 </w:t>
            </w:r>
          </w:p>
        </w:tc>
        <w:tc>
          <w:tcPr>
            <w:tcW w:w="1300" w:type="dxa"/>
          </w:tcPr>
          <w:p w14:paraId="74A82BB9" w14:textId="77777777" w:rsidR="008A155D" w:rsidRPr="00D74E7A" w:rsidRDefault="008A155D" w:rsidP="00980096">
            <w:pPr>
              <w:spacing w:line="360" w:lineRule="auto"/>
              <w:jc w:val="center"/>
              <w:rPr>
                <w:sz w:val="20"/>
                <w:szCs w:val="20"/>
              </w:rPr>
            </w:pPr>
            <w:r w:rsidRPr="00D74E7A">
              <w:rPr>
                <w:sz w:val="20"/>
                <w:szCs w:val="20"/>
              </w:rPr>
              <w:t>47.1%</w:t>
            </w:r>
          </w:p>
        </w:tc>
        <w:tc>
          <w:tcPr>
            <w:tcW w:w="1751" w:type="dxa"/>
          </w:tcPr>
          <w:p w14:paraId="72A24C1E" w14:textId="77777777" w:rsidR="008A155D" w:rsidRPr="00D74E7A" w:rsidRDefault="008A155D" w:rsidP="00980096">
            <w:pPr>
              <w:spacing w:line="360" w:lineRule="auto"/>
              <w:jc w:val="center"/>
              <w:rPr>
                <w:sz w:val="20"/>
                <w:szCs w:val="20"/>
              </w:rPr>
            </w:pPr>
            <w:r w:rsidRPr="00D74E7A">
              <w:rPr>
                <w:sz w:val="20"/>
                <w:szCs w:val="20"/>
              </w:rPr>
              <w:t>57.3%</w:t>
            </w:r>
          </w:p>
        </w:tc>
        <w:tc>
          <w:tcPr>
            <w:tcW w:w="1638" w:type="dxa"/>
          </w:tcPr>
          <w:p w14:paraId="574F1B1A" w14:textId="77777777" w:rsidR="008A155D" w:rsidRPr="00D74E7A" w:rsidRDefault="008A155D" w:rsidP="00980096">
            <w:pPr>
              <w:spacing w:line="360" w:lineRule="auto"/>
              <w:jc w:val="center"/>
              <w:rPr>
                <w:sz w:val="20"/>
                <w:szCs w:val="20"/>
              </w:rPr>
            </w:pPr>
            <w:r w:rsidRPr="00D74E7A">
              <w:rPr>
                <w:sz w:val="20"/>
                <w:szCs w:val="20"/>
              </w:rPr>
              <w:t>63.6%</w:t>
            </w:r>
          </w:p>
        </w:tc>
        <w:tc>
          <w:tcPr>
            <w:tcW w:w="1638" w:type="dxa"/>
          </w:tcPr>
          <w:p w14:paraId="10CF8632" w14:textId="77777777" w:rsidR="008A155D" w:rsidRPr="00D74E7A" w:rsidRDefault="008A155D" w:rsidP="00980096">
            <w:pPr>
              <w:spacing w:line="360" w:lineRule="auto"/>
              <w:jc w:val="center"/>
              <w:rPr>
                <w:sz w:val="20"/>
                <w:szCs w:val="20"/>
              </w:rPr>
            </w:pPr>
            <w:r w:rsidRPr="00D74E7A">
              <w:rPr>
                <w:sz w:val="20"/>
                <w:szCs w:val="20"/>
              </w:rPr>
              <w:t>73.5%</w:t>
            </w:r>
          </w:p>
        </w:tc>
      </w:tr>
      <w:bookmarkEnd w:id="4"/>
      <w:tr w:rsidR="008A155D" w:rsidRPr="00742DCB" w14:paraId="27D0E62C" w14:textId="77777777" w:rsidTr="00EF6774">
        <w:tc>
          <w:tcPr>
            <w:tcW w:w="2689" w:type="dxa"/>
          </w:tcPr>
          <w:p w14:paraId="54997CFF" w14:textId="77777777" w:rsidR="008A155D" w:rsidRPr="00D74E7A" w:rsidRDefault="008A155D" w:rsidP="00980096">
            <w:pPr>
              <w:spacing w:line="360" w:lineRule="auto"/>
              <w:rPr>
                <w:sz w:val="20"/>
                <w:szCs w:val="20"/>
              </w:rPr>
            </w:pPr>
            <w:r w:rsidRPr="00D74E7A">
              <w:rPr>
                <w:sz w:val="20"/>
                <w:szCs w:val="20"/>
              </w:rPr>
              <w:t xml:space="preserve">mid </w:t>
            </w:r>
            <w:proofErr w:type="spellStart"/>
            <w:r w:rsidRPr="00D74E7A">
              <w:rPr>
                <w:sz w:val="20"/>
                <w:szCs w:val="20"/>
              </w:rPr>
              <w:t>fte</w:t>
            </w:r>
            <w:proofErr w:type="spellEnd"/>
            <w:r w:rsidRPr="00D74E7A">
              <w:rPr>
                <w:sz w:val="20"/>
                <w:szCs w:val="20"/>
              </w:rPr>
              <w:t xml:space="preserve">  / 100 births   </w:t>
            </w:r>
          </w:p>
          <w:p w14:paraId="1F5D3521" w14:textId="77777777" w:rsidR="008A155D" w:rsidRPr="00D74E7A" w:rsidRDefault="008A155D" w:rsidP="00980096">
            <w:pPr>
              <w:spacing w:line="360" w:lineRule="auto"/>
              <w:rPr>
                <w:sz w:val="20"/>
                <w:szCs w:val="20"/>
              </w:rPr>
            </w:pPr>
            <w:proofErr w:type="spellStart"/>
            <w:r w:rsidRPr="00D74E7A">
              <w:rPr>
                <w:sz w:val="20"/>
                <w:szCs w:val="20"/>
              </w:rPr>
              <w:t>fte</w:t>
            </w:r>
            <w:proofErr w:type="spellEnd"/>
            <w:r w:rsidRPr="00D74E7A">
              <w:rPr>
                <w:sz w:val="20"/>
                <w:szCs w:val="20"/>
              </w:rPr>
              <w:t xml:space="preserve"> 3.396 to 3.706</w:t>
            </w:r>
          </w:p>
        </w:tc>
        <w:tc>
          <w:tcPr>
            <w:tcW w:w="1300" w:type="dxa"/>
          </w:tcPr>
          <w:p w14:paraId="55CBFB71" w14:textId="77777777" w:rsidR="008A155D" w:rsidRPr="00D74E7A" w:rsidRDefault="008A155D" w:rsidP="00980096">
            <w:pPr>
              <w:spacing w:line="360" w:lineRule="auto"/>
              <w:jc w:val="center"/>
              <w:rPr>
                <w:sz w:val="20"/>
                <w:szCs w:val="20"/>
              </w:rPr>
            </w:pPr>
            <w:r w:rsidRPr="00D74E7A">
              <w:rPr>
                <w:sz w:val="20"/>
                <w:szCs w:val="20"/>
              </w:rPr>
              <w:t>45.6%</w:t>
            </w:r>
          </w:p>
        </w:tc>
        <w:tc>
          <w:tcPr>
            <w:tcW w:w="1751" w:type="dxa"/>
          </w:tcPr>
          <w:p w14:paraId="0D7A10B2" w14:textId="77777777" w:rsidR="008A155D" w:rsidRPr="00D74E7A" w:rsidRDefault="008A155D" w:rsidP="00980096">
            <w:pPr>
              <w:spacing w:line="360" w:lineRule="auto"/>
              <w:jc w:val="center"/>
              <w:rPr>
                <w:sz w:val="20"/>
                <w:szCs w:val="20"/>
              </w:rPr>
            </w:pPr>
            <w:r w:rsidRPr="00D74E7A">
              <w:rPr>
                <w:sz w:val="20"/>
                <w:szCs w:val="20"/>
              </w:rPr>
              <w:t>59.7%</w:t>
            </w:r>
          </w:p>
        </w:tc>
        <w:tc>
          <w:tcPr>
            <w:tcW w:w="1638" w:type="dxa"/>
          </w:tcPr>
          <w:p w14:paraId="1EDF2CB2" w14:textId="77777777" w:rsidR="008A155D" w:rsidRPr="00D74E7A" w:rsidRDefault="008A155D" w:rsidP="00980096">
            <w:pPr>
              <w:spacing w:line="360" w:lineRule="auto"/>
              <w:jc w:val="center"/>
              <w:rPr>
                <w:sz w:val="20"/>
                <w:szCs w:val="20"/>
              </w:rPr>
            </w:pPr>
            <w:r w:rsidRPr="00D74E7A">
              <w:rPr>
                <w:sz w:val="20"/>
                <w:szCs w:val="20"/>
              </w:rPr>
              <w:t>65.0%</w:t>
            </w:r>
          </w:p>
        </w:tc>
        <w:tc>
          <w:tcPr>
            <w:tcW w:w="1638" w:type="dxa"/>
          </w:tcPr>
          <w:p w14:paraId="72C26CB2" w14:textId="77777777" w:rsidR="008A155D" w:rsidRPr="00D74E7A" w:rsidRDefault="008A155D" w:rsidP="00980096">
            <w:pPr>
              <w:spacing w:line="360" w:lineRule="auto"/>
              <w:jc w:val="center"/>
              <w:rPr>
                <w:sz w:val="20"/>
                <w:szCs w:val="20"/>
              </w:rPr>
            </w:pPr>
            <w:r w:rsidRPr="00D74E7A">
              <w:rPr>
                <w:sz w:val="20"/>
                <w:szCs w:val="20"/>
              </w:rPr>
              <w:t>74.0%</w:t>
            </w:r>
          </w:p>
        </w:tc>
      </w:tr>
      <w:tr w:rsidR="008A155D" w:rsidRPr="00742DCB" w14:paraId="7FD03889" w14:textId="77777777" w:rsidTr="00EF6774">
        <w:tc>
          <w:tcPr>
            <w:tcW w:w="2689" w:type="dxa"/>
          </w:tcPr>
          <w:p w14:paraId="141AE30E" w14:textId="77777777" w:rsidR="008A155D" w:rsidRPr="00D74E7A" w:rsidRDefault="008A155D" w:rsidP="00980096">
            <w:pPr>
              <w:spacing w:line="360" w:lineRule="auto"/>
              <w:rPr>
                <w:sz w:val="20"/>
                <w:szCs w:val="20"/>
              </w:rPr>
            </w:pPr>
            <w:r w:rsidRPr="00D74E7A">
              <w:rPr>
                <w:sz w:val="20"/>
                <w:szCs w:val="20"/>
              </w:rPr>
              <w:t xml:space="preserve">high </w:t>
            </w:r>
            <w:proofErr w:type="spellStart"/>
            <w:r w:rsidRPr="00D74E7A">
              <w:rPr>
                <w:sz w:val="20"/>
                <w:szCs w:val="20"/>
              </w:rPr>
              <w:t>fte</w:t>
            </w:r>
            <w:proofErr w:type="spellEnd"/>
            <w:r w:rsidRPr="00D74E7A">
              <w:rPr>
                <w:sz w:val="20"/>
                <w:szCs w:val="20"/>
              </w:rPr>
              <w:t xml:space="preserve"> / 100 births  </w:t>
            </w:r>
          </w:p>
          <w:p w14:paraId="668544FC" w14:textId="77777777" w:rsidR="008A155D" w:rsidRPr="00D74E7A" w:rsidRDefault="008A155D" w:rsidP="00980096">
            <w:pPr>
              <w:spacing w:line="360" w:lineRule="auto"/>
              <w:rPr>
                <w:sz w:val="20"/>
                <w:szCs w:val="20"/>
              </w:rPr>
            </w:pPr>
            <w:proofErr w:type="spellStart"/>
            <w:r w:rsidRPr="00D74E7A">
              <w:rPr>
                <w:sz w:val="20"/>
                <w:szCs w:val="20"/>
              </w:rPr>
              <w:t>fte</w:t>
            </w:r>
            <w:proofErr w:type="spellEnd"/>
            <w:r w:rsidRPr="00D74E7A">
              <w:rPr>
                <w:sz w:val="20"/>
                <w:szCs w:val="20"/>
              </w:rPr>
              <w:t xml:space="preserve"> 3.707 to 5.217</w:t>
            </w:r>
          </w:p>
        </w:tc>
        <w:tc>
          <w:tcPr>
            <w:tcW w:w="1300" w:type="dxa"/>
          </w:tcPr>
          <w:p w14:paraId="21B45A88" w14:textId="77777777" w:rsidR="008A155D" w:rsidRPr="00D74E7A" w:rsidRDefault="008A155D" w:rsidP="00980096">
            <w:pPr>
              <w:spacing w:line="360" w:lineRule="auto"/>
              <w:jc w:val="center"/>
              <w:rPr>
                <w:sz w:val="20"/>
                <w:szCs w:val="20"/>
              </w:rPr>
            </w:pPr>
            <w:r w:rsidRPr="00D74E7A">
              <w:rPr>
                <w:sz w:val="20"/>
                <w:szCs w:val="20"/>
              </w:rPr>
              <w:t>41.6%</w:t>
            </w:r>
          </w:p>
        </w:tc>
        <w:tc>
          <w:tcPr>
            <w:tcW w:w="1751" w:type="dxa"/>
          </w:tcPr>
          <w:p w14:paraId="1F01C4DC" w14:textId="77777777" w:rsidR="008A155D" w:rsidRPr="00D74E7A" w:rsidRDefault="008A155D" w:rsidP="00980096">
            <w:pPr>
              <w:spacing w:line="360" w:lineRule="auto"/>
              <w:jc w:val="center"/>
              <w:rPr>
                <w:sz w:val="20"/>
                <w:szCs w:val="20"/>
              </w:rPr>
            </w:pPr>
            <w:r w:rsidRPr="00D74E7A">
              <w:rPr>
                <w:sz w:val="20"/>
                <w:szCs w:val="20"/>
              </w:rPr>
              <w:t>62.1%</w:t>
            </w:r>
          </w:p>
        </w:tc>
        <w:tc>
          <w:tcPr>
            <w:tcW w:w="1638" w:type="dxa"/>
          </w:tcPr>
          <w:p w14:paraId="21EA0144" w14:textId="77777777" w:rsidR="008A155D" w:rsidRPr="00D74E7A" w:rsidRDefault="008A155D" w:rsidP="00980096">
            <w:pPr>
              <w:spacing w:line="360" w:lineRule="auto"/>
              <w:jc w:val="center"/>
              <w:rPr>
                <w:sz w:val="20"/>
                <w:szCs w:val="20"/>
              </w:rPr>
            </w:pPr>
            <w:r w:rsidRPr="00D74E7A">
              <w:rPr>
                <w:sz w:val="20"/>
                <w:szCs w:val="20"/>
              </w:rPr>
              <w:t>66.8%</w:t>
            </w:r>
          </w:p>
        </w:tc>
        <w:tc>
          <w:tcPr>
            <w:tcW w:w="1638" w:type="dxa"/>
          </w:tcPr>
          <w:p w14:paraId="293F6346" w14:textId="77777777" w:rsidR="008A155D" w:rsidRPr="00D74E7A" w:rsidRDefault="008A155D" w:rsidP="00980096">
            <w:pPr>
              <w:spacing w:line="360" w:lineRule="auto"/>
              <w:jc w:val="center"/>
              <w:rPr>
                <w:sz w:val="20"/>
                <w:szCs w:val="20"/>
              </w:rPr>
            </w:pPr>
            <w:r w:rsidRPr="00D74E7A">
              <w:rPr>
                <w:sz w:val="20"/>
                <w:szCs w:val="20"/>
              </w:rPr>
              <w:t>75.9%</w:t>
            </w:r>
          </w:p>
        </w:tc>
      </w:tr>
    </w:tbl>
    <w:p w14:paraId="7215E43D" w14:textId="77777777" w:rsidR="008A155D" w:rsidRPr="00742DCB" w:rsidRDefault="008A155D" w:rsidP="00980096">
      <w:pPr>
        <w:spacing w:line="360" w:lineRule="auto"/>
      </w:pPr>
      <w:proofErr w:type="spellStart"/>
      <w:r w:rsidRPr="00742DCB">
        <w:t>fte</w:t>
      </w:r>
      <w:proofErr w:type="spellEnd"/>
      <w:r w:rsidRPr="00742DCB">
        <w:t xml:space="preserve"> = Full Time Equivalent</w:t>
      </w:r>
    </w:p>
    <w:p w14:paraId="4CE1FDC2" w14:textId="77777777" w:rsidR="008A155D" w:rsidRPr="00742DCB" w:rsidRDefault="008A155D">
      <w:r w:rsidRPr="00742DCB">
        <w:br w:type="page"/>
      </w:r>
    </w:p>
    <w:p w14:paraId="14D0D039" w14:textId="77777777" w:rsidR="008A155D" w:rsidRPr="00742DCB" w:rsidRDefault="008A155D" w:rsidP="00980096">
      <w:pPr>
        <w:spacing w:line="360" w:lineRule="auto"/>
      </w:pPr>
      <w:r w:rsidRPr="00742DCB">
        <w:lastRenderedPageBreak/>
        <w:t xml:space="preserve">Table 3  </w:t>
      </w:r>
      <w:r>
        <w:t xml:space="preserve">Adjusted Odds Ratio and 95% CI from </w:t>
      </w:r>
      <w:r w:rsidRPr="00742DCB">
        <w:t>multilevel model for predictor variables of age, type of birth, parity, ethnicity and size of Trust</w:t>
      </w:r>
    </w:p>
    <w:tbl>
      <w:tblPr>
        <w:tblStyle w:val="TableGrid"/>
        <w:tblW w:w="9067" w:type="dxa"/>
        <w:tblLook w:val="04A0" w:firstRow="1" w:lastRow="0" w:firstColumn="1" w:lastColumn="0" w:noHBand="0" w:noVBand="1"/>
      </w:tblPr>
      <w:tblGrid>
        <w:gridCol w:w="1265"/>
        <w:gridCol w:w="1941"/>
        <w:gridCol w:w="1957"/>
        <w:gridCol w:w="1953"/>
        <w:gridCol w:w="1951"/>
      </w:tblGrid>
      <w:tr w:rsidR="008A155D" w:rsidRPr="00742DCB" w14:paraId="0F1BA2A8" w14:textId="77777777" w:rsidTr="00A7318B">
        <w:tc>
          <w:tcPr>
            <w:tcW w:w="1265" w:type="dxa"/>
          </w:tcPr>
          <w:p w14:paraId="29D0DEE5" w14:textId="77777777" w:rsidR="008A155D" w:rsidRPr="00D74E7A" w:rsidRDefault="008A155D" w:rsidP="00980096">
            <w:pPr>
              <w:spacing w:line="360" w:lineRule="auto"/>
              <w:rPr>
                <w:sz w:val="20"/>
                <w:szCs w:val="20"/>
              </w:rPr>
            </w:pPr>
            <w:bookmarkStart w:id="5" w:name="_Hlk82685481"/>
            <w:r>
              <w:rPr>
                <w:sz w:val="20"/>
                <w:szCs w:val="20"/>
              </w:rPr>
              <w:t>Question</w:t>
            </w:r>
          </w:p>
        </w:tc>
        <w:tc>
          <w:tcPr>
            <w:tcW w:w="1941" w:type="dxa"/>
          </w:tcPr>
          <w:p w14:paraId="4D03B5E8" w14:textId="77777777" w:rsidR="008A155D" w:rsidRPr="00D74E7A" w:rsidRDefault="008A155D" w:rsidP="00980096">
            <w:pPr>
              <w:spacing w:line="360" w:lineRule="auto"/>
              <w:rPr>
                <w:sz w:val="20"/>
                <w:szCs w:val="20"/>
              </w:rPr>
            </w:pPr>
            <w:r w:rsidRPr="00D74E7A">
              <w:rPr>
                <w:sz w:val="20"/>
                <w:szCs w:val="20"/>
              </w:rPr>
              <w:t>Delay in discharge</w:t>
            </w:r>
          </w:p>
        </w:tc>
        <w:tc>
          <w:tcPr>
            <w:tcW w:w="1957" w:type="dxa"/>
          </w:tcPr>
          <w:p w14:paraId="22666065" w14:textId="77777777" w:rsidR="008A155D" w:rsidRPr="00D74E7A" w:rsidRDefault="008A155D" w:rsidP="00980096">
            <w:pPr>
              <w:spacing w:line="360" w:lineRule="auto"/>
              <w:rPr>
                <w:sz w:val="20"/>
                <w:szCs w:val="20"/>
              </w:rPr>
            </w:pPr>
            <w:r w:rsidRPr="00D74E7A">
              <w:rPr>
                <w:sz w:val="20"/>
                <w:szCs w:val="20"/>
              </w:rPr>
              <w:t>Staff help reasonable time</w:t>
            </w:r>
          </w:p>
        </w:tc>
        <w:tc>
          <w:tcPr>
            <w:tcW w:w="1953" w:type="dxa"/>
          </w:tcPr>
          <w:p w14:paraId="4C8CD7BC" w14:textId="77777777" w:rsidR="008A155D" w:rsidRPr="00D74E7A" w:rsidRDefault="008A155D" w:rsidP="00980096">
            <w:pPr>
              <w:spacing w:line="360" w:lineRule="auto"/>
              <w:rPr>
                <w:sz w:val="20"/>
                <w:szCs w:val="20"/>
              </w:rPr>
            </w:pPr>
            <w:r w:rsidRPr="00D74E7A">
              <w:rPr>
                <w:sz w:val="20"/>
                <w:szCs w:val="20"/>
              </w:rPr>
              <w:t>Information / Explanations</w:t>
            </w:r>
          </w:p>
        </w:tc>
        <w:tc>
          <w:tcPr>
            <w:tcW w:w="1951" w:type="dxa"/>
          </w:tcPr>
          <w:p w14:paraId="523D275B" w14:textId="77777777" w:rsidR="008A155D" w:rsidRPr="00D74E7A" w:rsidRDefault="008A155D" w:rsidP="00980096">
            <w:pPr>
              <w:spacing w:line="360" w:lineRule="auto"/>
              <w:rPr>
                <w:sz w:val="20"/>
                <w:szCs w:val="20"/>
              </w:rPr>
            </w:pPr>
            <w:r w:rsidRPr="00D74E7A">
              <w:rPr>
                <w:sz w:val="20"/>
                <w:szCs w:val="20"/>
              </w:rPr>
              <w:t xml:space="preserve">Kindness and understanding </w:t>
            </w:r>
          </w:p>
        </w:tc>
      </w:tr>
      <w:bookmarkEnd w:id="5"/>
      <w:tr w:rsidR="008A155D" w:rsidRPr="00742DCB" w14:paraId="38D93A1D" w14:textId="77777777" w:rsidTr="00C818CE">
        <w:tc>
          <w:tcPr>
            <w:tcW w:w="9067" w:type="dxa"/>
            <w:gridSpan w:val="5"/>
          </w:tcPr>
          <w:p w14:paraId="323BBD48" w14:textId="77777777" w:rsidR="008A155D" w:rsidRPr="00D74E7A" w:rsidRDefault="008A155D" w:rsidP="00980096">
            <w:pPr>
              <w:spacing w:line="360" w:lineRule="auto"/>
              <w:rPr>
                <w:sz w:val="20"/>
                <w:szCs w:val="20"/>
              </w:rPr>
            </w:pPr>
            <w:r w:rsidRPr="00D74E7A">
              <w:rPr>
                <w:sz w:val="20"/>
                <w:szCs w:val="20"/>
              </w:rPr>
              <w:t>16-24 Reference age group</w:t>
            </w:r>
          </w:p>
        </w:tc>
      </w:tr>
      <w:tr w:rsidR="008A155D" w:rsidRPr="00742DCB" w14:paraId="3BBDDF92" w14:textId="77777777" w:rsidTr="00A7318B">
        <w:tc>
          <w:tcPr>
            <w:tcW w:w="1265" w:type="dxa"/>
          </w:tcPr>
          <w:p w14:paraId="009744E7" w14:textId="77777777" w:rsidR="008A155D" w:rsidRPr="00D74E7A" w:rsidRDefault="008A155D" w:rsidP="00980096">
            <w:pPr>
              <w:spacing w:line="360" w:lineRule="auto"/>
              <w:rPr>
                <w:sz w:val="20"/>
                <w:szCs w:val="20"/>
              </w:rPr>
            </w:pPr>
            <w:r w:rsidRPr="00D74E7A">
              <w:rPr>
                <w:sz w:val="20"/>
                <w:szCs w:val="20"/>
              </w:rPr>
              <w:t>25-29</w:t>
            </w:r>
          </w:p>
        </w:tc>
        <w:tc>
          <w:tcPr>
            <w:tcW w:w="1941" w:type="dxa"/>
          </w:tcPr>
          <w:p w14:paraId="463B07A4" w14:textId="77777777" w:rsidR="008A155D" w:rsidRPr="00D74E7A" w:rsidRDefault="008A155D" w:rsidP="00980096">
            <w:pPr>
              <w:spacing w:line="360" w:lineRule="auto"/>
              <w:rPr>
                <w:sz w:val="20"/>
                <w:szCs w:val="20"/>
              </w:rPr>
            </w:pPr>
            <w:r w:rsidRPr="00D74E7A">
              <w:rPr>
                <w:sz w:val="20"/>
                <w:szCs w:val="20"/>
              </w:rPr>
              <w:t>0.892 (0.784, 1.015)</w:t>
            </w:r>
            <w:r w:rsidRPr="00D74E7A">
              <w:rPr>
                <w:sz w:val="20"/>
                <w:szCs w:val="20"/>
              </w:rPr>
              <w:br/>
              <w:t>p=0.083</w:t>
            </w:r>
          </w:p>
        </w:tc>
        <w:tc>
          <w:tcPr>
            <w:tcW w:w="1957" w:type="dxa"/>
          </w:tcPr>
          <w:p w14:paraId="61A1017C" w14:textId="77777777" w:rsidR="008A155D" w:rsidRPr="00D74E7A" w:rsidRDefault="008A155D" w:rsidP="00980096">
            <w:pPr>
              <w:spacing w:line="360" w:lineRule="auto"/>
              <w:rPr>
                <w:sz w:val="20"/>
                <w:szCs w:val="20"/>
              </w:rPr>
            </w:pPr>
            <w:r w:rsidRPr="00D74E7A">
              <w:rPr>
                <w:sz w:val="20"/>
                <w:szCs w:val="20"/>
              </w:rPr>
              <w:t>1.206 (1.053, 1.382)</w:t>
            </w:r>
            <w:r w:rsidRPr="00D74E7A">
              <w:rPr>
                <w:sz w:val="20"/>
                <w:szCs w:val="20"/>
              </w:rPr>
              <w:br/>
              <w:t>p=0.007</w:t>
            </w:r>
          </w:p>
        </w:tc>
        <w:tc>
          <w:tcPr>
            <w:tcW w:w="1953" w:type="dxa"/>
          </w:tcPr>
          <w:p w14:paraId="78C2CE5B" w14:textId="77777777" w:rsidR="008A155D" w:rsidRPr="00D74E7A" w:rsidRDefault="008A155D" w:rsidP="00980096">
            <w:pPr>
              <w:spacing w:line="360" w:lineRule="auto"/>
              <w:rPr>
                <w:sz w:val="20"/>
                <w:szCs w:val="20"/>
              </w:rPr>
            </w:pPr>
            <w:r w:rsidRPr="00D74E7A">
              <w:rPr>
                <w:sz w:val="20"/>
                <w:szCs w:val="20"/>
              </w:rPr>
              <w:t>1.177 (1.029, 1.354)</w:t>
            </w:r>
            <w:r w:rsidRPr="00D74E7A">
              <w:rPr>
                <w:sz w:val="20"/>
                <w:szCs w:val="20"/>
              </w:rPr>
              <w:br/>
              <w:t>p=0.017</w:t>
            </w:r>
          </w:p>
        </w:tc>
        <w:tc>
          <w:tcPr>
            <w:tcW w:w="1951" w:type="dxa"/>
          </w:tcPr>
          <w:p w14:paraId="647370DE" w14:textId="77777777" w:rsidR="008A155D" w:rsidRPr="00D74E7A" w:rsidRDefault="008A155D" w:rsidP="00980096">
            <w:pPr>
              <w:spacing w:line="360" w:lineRule="auto"/>
              <w:rPr>
                <w:sz w:val="20"/>
                <w:szCs w:val="20"/>
              </w:rPr>
            </w:pPr>
            <w:r w:rsidRPr="00D74E7A">
              <w:rPr>
                <w:sz w:val="20"/>
                <w:szCs w:val="20"/>
              </w:rPr>
              <w:t>1.284 (1.114, 1.481)</w:t>
            </w:r>
            <w:r w:rsidRPr="00D74E7A">
              <w:rPr>
                <w:sz w:val="20"/>
                <w:szCs w:val="20"/>
              </w:rPr>
              <w:br/>
              <w:t>p=0.001</w:t>
            </w:r>
          </w:p>
        </w:tc>
      </w:tr>
      <w:tr w:rsidR="008A155D" w:rsidRPr="00742DCB" w14:paraId="3DDA35F2" w14:textId="77777777" w:rsidTr="00A7318B">
        <w:tc>
          <w:tcPr>
            <w:tcW w:w="1265" w:type="dxa"/>
          </w:tcPr>
          <w:p w14:paraId="7E36C598" w14:textId="77777777" w:rsidR="008A155D" w:rsidRPr="00D74E7A" w:rsidRDefault="008A155D" w:rsidP="00980096">
            <w:pPr>
              <w:spacing w:line="360" w:lineRule="auto"/>
              <w:rPr>
                <w:sz w:val="20"/>
                <w:szCs w:val="20"/>
              </w:rPr>
            </w:pPr>
            <w:r w:rsidRPr="00D74E7A">
              <w:rPr>
                <w:sz w:val="20"/>
                <w:szCs w:val="20"/>
              </w:rPr>
              <w:t>30-34</w:t>
            </w:r>
          </w:p>
        </w:tc>
        <w:tc>
          <w:tcPr>
            <w:tcW w:w="1941" w:type="dxa"/>
          </w:tcPr>
          <w:p w14:paraId="16474518" w14:textId="77777777" w:rsidR="008A155D" w:rsidRPr="00D74E7A" w:rsidRDefault="008A155D" w:rsidP="00980096">
            <w:pPr>
              <w:spacing w:line="360" w:lineRule="auto"/>
              <w:rPr>
                <w:sz w:val="20"/>
                <w:szCs w:val="20"/>
              </w:rPr>
            </w:pPr>
            <w:r w:rsidRPr="00D74E7A">
              <w:rPr>
                <w:sz w:val="20"/>
                <w:szCs w:val="20"/>
              </w:rPr>
              <w:t>0.829 (0.733, 0.938)</w:t>
            </w:r>
            <w:r w:rsidRPr="00D74E7A">
              <w:rPr>
                <w:sz w:val="20"/>
                <w:szCs w:val="20"/>
              </w:rPr>
              <w:br/>
              <w:t>p=0.003</w:t>
            </w:r>
          </w:p>
        </w:tc>
        <w:tc>
          <w:tcPr>
            <w:tcW w:w="1957" w:type="dxa"/>
          </w:tcPr>
          <w:p w14:paraId="47325A59" w14:textId="77777777" w:rsidR="008A155D" w:rsidRPr="00D74E7A" w:rsidRDefault="008A155D" w:rsidP="00980096">
            <w:pPr>
              <w:spacing w:line="360" w:lineRule="auto"/>
              <w:rPr>
                <w:sz w:val="20"/>
                <w:szCs w:val="20"/>
              </w:rPr>
            </w:pPr>
            <w:r w:rsidRPr="00D74E7A">
              <w:rPr>
                <w:sz w:val="20"/>
                <w:szCs w:val="20"/>
              </w:rPr>
              <w:t>1.327 (1.166, 1.511)</w:t>
            </w:r>
            <w:r w:rsidRPr="00D74E7A">
              <w:rPr>
                <w:sz w:val="20"/>
                <w:szCs w:val="20"/>
              </w:rPr>
              <w:br/>
              <w:t>p&lt;0.001</w:t>
            </w:r>
          </w:p>
        </w:tc>
        <w:tc>
          <w:tcPr>
            <w:tcW w:w="1953" w:type="dxa"/>
          </w:tcPr>
          <w:p w14:paraId="71C0DDBF" w14:textId="77777777" w:rsidR="008A155D" w:rsidRPr="00D74E7A" w:rsidRDefault="008A155D" w:rsidP="00980096">
            <w:pPr>
              <w:spacing w:line="360" w:lineRule="auto"/>
              <w:rPr>
                <w:sz w:val="20"/>
                <w:szCs w:val="20"/>
              </w:rPr>
            </w:pPr>
            <w:r w:rsidRPr="00D74E7A">
              <w:rPr>
                <w:sz w:val="20"/>
                <w:szCs w:val="20"/>
              </w:rPr>
              <w:t>1.139 (1.003, 1.293)</w:t>
            </w:r>
            <w:r w:rsidRPr="00D74E7A">
              <w:rPr>
                <w:sz w:val="20"/>
                <w:szCs w:val="20"/>
              </w:rPr>
              <w:br/>
              <w:t>p=0.045</w:t>
            </w:r>
          </w:p>
        </w:tc>
        <w:tc>
          <w:tcPr>
            <w:tcW w:w="1951" w:type="dxa"/>
          </w:tcPr>
          <w:p w14:paraId="0F07EB4A" w14:textId="77777777" w:rsidR="008A155D" w:rsidRPr="00D74E7A" w:rsidRDefault="008A155D" w:rsidP="00980096">
            <w:pPr>
              <w:spacing w:line="360" w:lineRule="auto"/>
              <w:rPr>
                <w:sz w:val="20"/>
                <w:szCs w:val="20"/>
              </w:rPr>
            </w:pPr>
            <w:r w:rsidRPr="00D74E7A">
              <w:rPr>
                <w:sz w:val="20"/>
                <w:szCs w:val="20"/>
              </w:rPr>
              <w:t>1.384 (1.209, 1.585)</w:t>
            </w:r>
            <w:r w:rsidRPr="00D74E7A">
              <w:rPr>
                <w:sz w:val="20"/>
                <w:szCs w:val="20"/>
              </w:rPr>
              <w:br/>
              <w:t>p&lt;0.001</w:t>
            </w:r>
          </w:p>
        </w:tc>
      </w:tr>
      <w:tr w:rsidR="008A155D" w:rsidRPr="00742DCB" w14:paraId="75CF989A" w14:textId="77777777" w:rsidTr="00A7318B">
        <w:tc>
          <w:tcPr>
            <w:tcW w:w="1265" w:type="dxa"/>
          </w:tcPr>
          <w:p w14:paraId="77546A5D" w14:textId="77777777" w:rsidR="008A155D" w:rsidRPr="00D74E7A" w:rsidRDefault="008A155D" w:rsidP="00980096">
            <w:pPr>
              <w:spacing w:line="360" w:lineRule="auto"/>
              <w:rPr>
                <w:sz w:val="20"/>
                <w:szCs w:val="20"/>
              </w:rPr>
            </w:pPr>
            <w:r w:rsidRPr="00D74E7A">
              <w:rPr>
                <w:sz w:val="20"/>
                <w:szCs w:val="20"/>
              </w:rPr>
              <w:t>35+</w:t>
            </w:r>
          </w:p>
        </w:tc>
        <w:tc>
          <w:tcPr>
            <w:tcW w:w="1941" w:type="dxa"/>
          </w:tcPr>
          <w:p w14:paraId="7C816FBC" w14:textId="77777777" w:rsidR="008A155D" w:rsidRPr="00D74E7A" w:rsidRDefault="008A155D" w:rsidP="00980096">
            <w:pPr>
              <w:spacing w:line="360" w:lineRule="auto"/>
              <w:rPr>
                <w:sz w:val="20"/>
                <w:szCs w:val="20"/>
              </w:rPr>
            </w:pPr>
            <w:r w:rsidRPr="00D74E7A">
              <w:rPr>
                <w:sz w:val="20"/>
                <w:szCs w:val="20"/>
              </w:rPr>
              <w:t>0.808 (0.713, 0.915)</w:t>
            </w:r>
          </w:p>
          <w:p w14:paraId="0CA88C8A" w14:textId="77777777" w:rsidR="008A155D" w:rsidRPr="00D74E7A" w:rsidRDefault="008A155D" w:rsidP="00980096">
            <w:pPr>
              <w:spacing w:line="360" w:lineRule="auto"/>
              <w:rPr>
                <w:sz w:val="20"/>
                <w:szCs w:val="20"/>
              </w:rPr>
            </w:pPr>
            <w:r w:rsidRPr="00D74E7A">
              <w:rPr>
                <w:sz w:val="20"/>
                <w:szCs w:val="20"/>
              </w:rPr>
              <w:t>p=0.001</w:t>
            </w:r>
          </w:p>
        </w:tc>
        <w:tc>
          <w:tcPr>
            <w:tcW w:w="1957" w:type="dxa"/>
          </w:tcPr>
          <w:p w14:paraId="39244CBF" w14:textId="77777777" w:rsidR="008A155D" w:rsidRPr="00D74E7A" w:rsidRDefault="008A155D" w:rsidP="00980096">
            <w:pPr>
              <w:spacing w:line="360" w:lineRule="auto"/>
              <w:rPr>
                <w:sz w:val="20"/>
                <w:szCs w:val="20"/>
              </w:rPr>
            </w:pPr>
            <w:r w:rsidRPr="00D74E7A">
              <w:rPr>
                <w:sz w:val="20"/>
                <w:szCs w:val="20"/>
              </w:rPr>
              <w:t>1.473 (1.291, 1.680)</w:t>
            </w:r>
            <w:r w:rsidRPr="00D74E7A">
              <w:rPr>
                <w:sz w:val="20"/>
                <w:szCs w:val="20"/>
              </w:rPr>
              <w:br/>
              <w:t>p&lt;0.001</w:t>
            </w:r>
          </w:p>
        </w:tc>
        <w:tc>
          <w:tcPr>
            <w:tcW w:w="1953" w:type="dxa"/>
          </w:tcPr>
          <w:p w14:paraId="40A10138" w14:textId="77777777" w:rsidR="008A155D" w:rsidRPr="00D74E7A" w:rsidRDefault="008A155D" w:rsidP="00980096">
            <w:pPr>
              <w:spacing w:line="360" w:lineRule="auto"/>
              <w:rPr>
                <w:sz w:val="20"/>
                <w:szCs w:val="20"/>
              </w:rPr>
            </w:pPr>
            <w:r w:rsidRPr="00D74E7A">
              <w:rPr>
                <w:sz w:val="20"/>
                <w:szCs w:val="20"/>
              </w:rPr>
              <w:t>1.339 (1.177, 1.524)</w:t>
            </w:r>
            <w:r w:rsidRPr="00D74E7A">
              <w:rPr>
                <w:sz w:val="20"/>
                <w:szCs w:val="20"/>
              </w:rPr>
              <w:br/>
              <w:t>p&lt;0.001</w:t>
            </w:r>
          </w:p>
        </w:tc>
        <w:tc>
          <w:tcPr>
            <w:tcW w:w="1951" w:type="dxa"/>
          </w:tcPr>
          <w:p w14:paraId="7BB8A645" w14:textId="77777777" w:rsidR="008A155D" w:rsidRPr="00D74E7A" w:rsidRDefault="008A155D" w:rsidP="00980096">
            <w:pPr>
              <w:spacing w:line="360" w:lineRule="auto"/>
              <w:rPr>
                <w:sz w:val="20"/>
                <w:szCs w:val="20"/>
              </w:rPr>
            </w:pPr>
            <w:r w:rsidRPr="00D74E7A">
              <w:rPr>
                <w:sz w:val="20"/>
                <w:szCs w:val="20"/>
              </w:rPr>
              <w:t>1.598 (1.392, 1.835)</w:t>
            </w:r>
            <w:r w:rsidRPr="00D74E7A">
              <w:rPr>
                <w:sz w:val="20"/>
                <w:szCs w:val="20"/>
              </w:rPr>
              <w:br/>
              <w:t>p&lt;0.001</w:t>
            </w:r>
          </w:p>
        </w:tc>
      </w:tr>
      <w:tr w:rsidR="008A155D" w:rsidRPr="00742DCB" w14:paraId="7DE61957" w14:textId="77777777" w:rsidTr="00C818CE">
        <w:tc>
          <w:tcPr>
            <w:tcW w:w="9067" w:type="dxa"/>
            <w:gridSpan w:val="5"/>
          </w:tcPr>
          <w:p w14:paraId="381E4FBF" w14:textId="77777777" w:rsidR="008A155D" w:rsidRPr="00D74E7A" w:rsidRDefault="008A155D" w:rsidP="00980096">
            <w:pPr>
              <w:spacing w:line="360" w:lineRule="auto"/>
              <w:rPr>
                <w:sz w:val="20"/>
                <w:szCs w:val="20"/>
              </w:rPr>
            </w:pPr>
            <w:bookmarkStart w:id="6" w:name="_Hlk73454706"/>
            <w:r>
              <w:rPr>
                <w:sz w:val="20"/>
                <w:szCs w:val="20"/>
              </w:rPr>
              <w:t>Spontaneous</w:t>
            </w:r>
            <w:r w:rsidRPr="00D74E7A">
              <w:rPr>
                <w:sz w:val="20"/>
                <w:szCs w:val="20"/>
              </w:rPr>
              <w:t xml:space="preserve"> birth </w:t>
            </w:r>
            <w:r>
              <w:rPr>
                <w:sz w:val="20"/>
                <w:szCs w:val="20"/>
              </w:rPr>
              <w:t xml:space="preserve">(no instrumental intervention) </w:t>
            </w:r>
            <w:r w:rsidRPr="00D74E7A">
              <w:rPr>
                <w:sz w:val="20"/>
                <w:szCs w:val="20"/>
              </w:rPr>
              <w:t>– reference</w:t>
            </w:r>
            <w:r>
              <w:rPr>
                <w:sz w:val="20"/>
                <w:szCs w:val="20"/>
              </w:rPr>
              <w:t xml:space="preserve"> group</w:t>
            </w:r>
          </w:p>
        </w:tc>
      </w:tr>
      <w:tr w:rsidR="008A155D" w:rsidRPr="00742DCB" w14:paraId="5079B8AB" w14:textId="77777777" w:rsidTr="00A7318B">
        <w:tc>
          <w:tcPr>
            <w:tcW w:w="1265" w:type="dxa"/>
          </w:tcPr>
          <w:p w14:paraId="7F671F54" w14:textId="77777777" w:rsidR="008A155D" w:rsidRPr="00D74E7A" w:rsidRDefault="008A155D" w:rsidP="00980096">
            <w:pPr>
              <w:spacing w:line="360" w:lineRule="auto"/>
              <w:rPr>
                <w:sz w:val="20"/>
                <w:szCs w:val="20"/>
              </w:rPr>
            </w:pPr>
            <w:r>
              <w:rPr>
                <w:sz w:val="20"/>
                <w:szCs w:val="20"/>
              </w:rPr>
              <w:t xml:space="preserve">Instrumental </w:t>
            </w:r>
            <w:r w:rsidRPr="00D74E7A">
              <w:rPr>
                <w:sz w:val="20"/>
                <w:szCs w:val="20"/>
              </w:rPr>
              <w:t>birth</w:t>
            </w:r>
          </w:p>
        </w:tc>
        <w:tc>
          <w:tcPr>
            <w:tcW w:w="1941" w:type="dxa"/>
          </w:tcPr>
          <w:p w14:paraId="3229DC1E" w14:textId="77777777" w:rsidR="008A155D" w:rsidRPr="00D74E7A" w:rsidRDefault="008A155D" w:rsidP="00980096">
            <w:pPr>
              <w:spacing w:line="360" w:lineRule="auto"/>
              <w:rPr>
                <w:sz w:val="20"/>
                <w:szCs w:val="20"/>
              </w:rPr>
            </w:pPr>
            <w:r w:rsidRPr="00D74E7A">
              <w:rPr>
                <w:sz w:val="20"/>
                <w:szCs w:val="20"/>
              </w:rPr>
              <w:t>1.406 (1.286, 1.538)</w:t>
            </w:r>
          </w:p>
          <w:p w14:paraId="0AEE3575" w14:textId="77777777" w:rsidR="008A155D" w:rsidRPr="00D74E7A" w:rsidRDefault="008A155D" w:rsidP="00980096">
            <w:pPr>
              <w:spacing w:line="360" w:lineRule="auto"/>
              <w:rPr>
                <w:sz w:val="20"/>
                <w:szCs w:val="20"/>
              </w:rPr>
            </w:pPr>
            <w:r w:rsidRPr="00D74E7A">
              <w:rPr>
                <w:sz w:val="20"/>
                <w:szCs w:val="20"/>
              </w:rPr>
              <w:t>P&lt;0.001</w:t>
            </w:r>
          </w:p>
        </w:tc>
        <w:tc>
          <w:tcPr>
            <w:tcW w:w="1957" w:type="dxa"/>
          </w:tcPr>
          <w:p w14:paraId="6F8572B6" w14:textId="77777777" w:rsidR="008A155D" w:rsidRPr="00D74E7A" w:rsidRDefault="008A155D" w:rsidP="00980096">
            <w:pPr>
              <w:spacing w:line="360" w:lineRule="auto"/>
              <w:rPr>
                <w:sz w:val="20"/>
                <w:szCs w:val="20"/>
              </w:rPr>
            </w:pPr>
            <w:r w:rsidRPr="00D74E7A">
              <w:rPr>
                <w:sz w:val="20"/>
                <w:szCs w:val="20"/>
              </w:rPr>
              <w:t>0.769 (0.700, 0.844)</w:t>
            </w:r>
            <w:r w:rsidRPr="00D74E7A">
              <w:rPr>
                <w:sz w:val="20"/>
                <w:szCs w:val="20"/>
              </w:rPr>
              <w:br/>
              <w:t>p&lt;0.001</w:t>
            </w:r>
          </w:p>
        </w:tc>
        <w:tc>
          <w:tcPr>
            <w:tcW w:w="1953" w:type="dxa"/>
          </w:tcPr>
          <w:p w14:paraId="6D8EAC92" w14:textId="77777777" w:rsidR="008A155D" w:rsidRPr="00D74E7A" w:rsidRDefault="008A155D" w:rsidP="00980096">
            <w:pPr>
              <w:spacing w:line="360" w:lineRule="auto"/>
              <w:rPr>
                <w:sz w:val="20"/>
                <w:szCs w:val="20"/>
              </w:rPr>
            </w:pPr>
            <w:r w:rsidRPr="00D74E7A">
              <w:rPr>
                <w:sz w:val="20"/>
                <w:szCs w:val="20"/>
              </w:rPr>
              <w:t>0.613 (0.560, 0.672)</w:t>
            </w:r>
            <w:r w:rsidRPr="00D74E7A">
              <w:rPr>
                <w:sz w:val="20"/>
                <w:szCs w:val="20"/>
              </w:rPr>
              <w:br/>
              <w:t>p&lt;0.001</w:t>
            </w:r>
          </w:p>
        </w:tc>
        <w:tc>
          <w:tcPr>
            <w:tcW w:w="1951" w:type="dxa"/>
          </w:tcPr>
          <w:p w14:paraId="157F5201" w14:textId="77777777" w:rsidR="008A155D" w:rsidRPr="00D74E7A" w:rsidRDefault="008A155D" w:rsidP="00980096">
            <w:pPr>
              <w:spacing w:line="360" w:lineRule="auto"/>
              <w:rPr>
                <w:sz w:val="20"/>
                <w:szCs w:val="20"/>
              </w:rPr>
            </w:pPr>
            <w:r w:rsidRPr="00D74E7A">
              <w:rPr>
                <w:sz w:val="20"/>
                <w:szCs w:val="20"/>
              </w:rPr>
              <w:t>0.604 (0.547, 0.668)</w:t>
            </w:r>
            <w:r w:rsidRPr="00D74E7A">
              <w:rPr>
                <w:sz w:val="20"/>
                <w:szCs w:val="20"/>
              </w:rPr>
              <w:br/>
              <w:t>p&lt;0.001</w:t>
            </w:r>
          </w:p>
        </w:tc>
      </w:tr>
      <w:tr w:rsidR="008A155D" w:rsidRPr="00742DCB" w14:paraId="5AFFBFAA" w14:textId="77777777" w:rsidTr="00A7318B">
        <w:tc>
          <w:tcPr>
            <w:tcW w:w="1265" w:type="dxa"/>
          </w:tcPr>
          <w:p w14:paraId="68AE5CD3" w14:textId="77777777" w:rsidR="008A155D" w:rsidRPr="00D74E7A" w:rsidRDefault="008A155D" w:rsidP="00980096">
            <w:pPr>
              <w:spacing w:line="360" w:lineRule="auto"/>
              <w:rPr>
                <w:sz w:val="20"/>
                <w:szCs w:val="20"/>
              </w:rPr>
            </w:pPr>
            <w:r w:rsidRPr="00D74E7A">
              <w:rPr>
                <w:sz w:val="20"/>
                <w:szCs w:val="20"/>
              </w:rPr>
              <w:t>Planned caesarean</w:t>
            </w:r>
          </w:p>
        </w:tc>
        <w:tc>
          <w:tcPr>
            <w:tcW w:w="1941" w:type="dxa"/>
          </w:tcPr>
          <w:p w14:paraId="042BE94A" w14:textId="77777777" w:rsidR="008A155D" w:rsidRPr="00D74E7A" w:rsidRDefault="008A155D" w:rsidP="00980096">
            <w:pPr>
              <w:spacing w:line="360" w:lineRule="auto"/>
              <w:rPr>
                <w:sz w:val="20"/>
                <w:szCs w:val="20"/>
              </w:rPr>
            </w:pPr>
            <w:r w:rsidRPr="00D74E7A">
              <w:rPr>
                <w:sz w:val="20"/>
                <w:szCs w:val="20"/>
              </w:rPr>
              <w:t>0.950 (0.863, 1.046)</w:t>
            </w:r>
          </w:p>
          <w:p w14:paraId="23A17F2C" w14:textId="77777777" w:rsidR="008A155D" w:rsidRPr="00D74E7A" w:rsidRDefault="008A155D" w:rsidP="00980096">
            <w:pPr>
              <w:spacing w:line="360" w:lineRule="auto"/>
              <w:rPr>
                <w:sz w:val="20"/>
                <w:szCs w:val="20"/>
              </w:rPr>
            </w:pPr>
            <w:r w:rsidRPr="00D74E7A">
              <w:rPr>
                <w:sz w:val="20"/>
                <w:szCs w:val="20"/>
              </w:rPr>
              <w:t>P=0.298</w:t>
            </w:r>
          </w:p>
        </w:tc>
        <w:tc>
          <w:tcPr>
            <w:tcW w:w="1957" w:type="dxa"/>
          </w:tcPr>
          <w:p w14:paraId="059872CF" w14:textId="77777777" w:rsidR="008A155D" w:rsidRPr="00D74E7A" w:rsidRDefault="008A155D" w:rsidP="00980096">
            <w:pPr>
              <w:spacing w:line="360" w:lineRule="auto"/>
              <w:rPr>
                <w:sz w:val="20"/>
                <w:szCs w:val="20"/>
              </w:rPr>
            </w:pPr>
            <w:r w:rsidRPr="00D74E7A">
              <w:rPr>
                <w:sz w:val="20"/>
                <w:szCs w:val="20"/>
              </w:rPr>
              <w:t>0.673 (0.609, 0.744)</w:t>
            </w:r>
            <w:r w:rsidRPr="00D74E7A">
              <w:rPr>
                <w:sz w:val="20"/>
                <w:szCs w:val="20"/>
              </w:rPr>
              <w:br/>
              <w:t>p&lt;0.001</w:t>
            </w:r>
          </w:p>
        </w:tc>
        <w:tc>
          <w:tcPr>
            <w:tcW w:w="1953" w:type="dxa"/>
          </w:tcPr>
          <w:p w14:paraId="44792F0A" w14:textId="77777777" w:rsidR="008A155D" w:rsidRPr="00D74E7A" w:rsidRDefault="008A155D" w:rsidP="00980096">
            <w:pPr>
              <w:spacing w:line="360" w:lineRule="auto"/>
              <w:rPr>
                <w:sz w:val="20"/>
                <w:szCs w:val="20"/>
              </w:rPr>
            </w:pPr>
            <w:r w:rsidRPr="00D74E7A">
              <w:rPr>
                <w:sz w:val="20"/>
                <w:szCs w:val="20"/>
              </w:rPr>
              <w:t>0.743 (0.673, 0.821)</w:t>
            </w:r>
            <w:r w:rsidRPr="00D74E7A">
              <w:rPr>
                <w:sz w:val="20"/>
                <w:szCs w:val="20"/>
              </w:rPr>
              <w:br/>
              <w:t>p&lt;0.001</w:t>
            </w:r>
          </w:p>
        </w:tc>
        <w:tc>
          <w:tcPr>
            <w:tcW w:w="1951" w:type="dxa"/>
          </w:tcPr>
          <w:p w14:paraId="780E632D" w14:textId="77777777" w:rsidR="008A155D" w:rsidRPr="00D74E7A" w:rsidRDefault="008A155D" w:rsidP="00980096">
            <w:pPr>
              <w:spacing w:line="360" w:lineRule="auto"/>
              <w:rPr>
                <w:sz w:val="20"/>
                <w:szCs w:val="20"/>
              </w:rPr>
            </w:pPr>
            <w:r w:rsidRPr="00D74E7A">
              <w:rPr>
                <w:sz w:val="20"/>
                <w:szCs w:val="20"/>
              </w:rPr>
              <w:t>0.603 (0.541, 0.671)</w:t>
            </w:r>
            <w:r w:rsidRPr="00D74E7A">
              <w:rPr>
                <w:sz w:val="20"/>
                <w:szCs w:val="20"/>
              </w:rPr>
              <w:br/>
              <w:t>p&lt;0.001</w:t>
            </w:r>
          </w:p>
        </w:tc>
      </w:tr>
      <w:tr w:rsidR="008A155D" w:rsidRPr="00742DCB" w14:paraId="242AAD1C" w14:textId="77777777" w:rsidTr="00A7318B">
        <w:tc>
          <w:tcPr>
            <w:tcW w:w="1265" w:type="dxa"/>
          </w:tcPr>
          <w:p w14:paraId="2068C296" w14:textId="77777777" w:rsidR="008A155D" w:rsidRPr="00D74E7A" w:rsidRDefault="008A155D" w:rsidP="00980096">
            <w:pPr>
              <w:spacing w:line="360" w:lineRule="auto"/>
              <w:rPr>
                <w:sz w:val="20"/>
                <w:szCs w:val="20"/>
              </w:rPr>
            </w:pPr>
            <w:r w:rsidRPr="00D74E7A">
              <w:rPr>
                <w:sz w:val="20"/>
                <w:szCs w:val="20"/>
              </w:rPr>
              <w:t>Emergency caesarean</w:t>
            </w:r>
          </w:p>
        </w:tc>
        <w:tc>
          <w:tcPr>
            <w:tcW w:w="1941" w:type="dxa"/>
          </w:tcPr>
          <w:p w14:paraId="6DFDC88F" w14:textId="77777777" w:rsidR="008A155D" w:rsidRPr="00D74E7A" w:rsidRDefault="008A155D" w:rsidP="00980096">
            <w:pPr>
              <w:spacing w:line="360" w:lineRule="auto"/>
              <w:rPr>
                <w:sz w:val="20"/>
                <w:szCs w:val="20"/>
              </w:rPr>
            </w:pPr>
            <w:r w:rsidRPr="00D74E7A">
              <w:rPr>
                <w:sz w:val="20"/>
                <w:szCs w:val="20"/>
              </w:rPr>
              <w:t>1.054 (0.967, 1.149)</w:t>
            </w:r>
          </w:p>
          <w:p w14:paraId="3C040E82" w14:textId="77777777" w:rsidR="008A155D" w:rsidRPr="00D74E7A" w:rsidRDefault="008A155D" w:rsidP="00980096">
            <w:pPr>
              <w:spacing w:line="360" w:lineRule="auto"/>
              <w:rPr>
                <w:sz w:val="20"/>
                <w:szCs w:val="20"/>
              </w:rPr>
            </w:pPr>
            <w:r w:rsidRPr="00D74E7A">
              <w:rPr>
                <w:sz w:val="20"/>
                <w:szCs w:val="20"/>
              </w:rPr>
              <w:t>P=0.230</w:t>
            </w:r>
          </w:p>
        </w:tc>
        <w:tc>
          <w:tcPr>
            <w:tcW w:w="1957" w:type="dxa"/>
          </w:tcPr>
          <w:p w14:paraId="02AD751C" w14:textId="77777777" w:rsidR="008A155D" w:rsidRPr="00D74E7A" w:rsidRDefault="008A155D" w:rsidP="00980096">
            <w:pPr>
              <w:spacing w:line="360" w:lineRule="auto"/>
              <w:rPr>
                <w:sz w:val="20"/>
                <w:szCs w:val="20"/>
              </w:rPr>
            </w:pPr>
            <w:r w:rsidRPr="00D74E7A">
              <w:rPr>
                <w:sz w:val="20"/>
                <w:szCs w:val="20"/>
              </w:rPr>
              <w:t>0.688 (0.629, 0.752)</w:t>
            </w:r>
            <w:r w:rsidRPr="00D74E7A">
              <w:rPr>
                <w:sz w:val="20"/>
                <w:szCs w:val="20"/>
              </w:rPr>
              <w:br/>
              <w:t>p&lt;0.001</w:t>
            </w:r>
          </w:p>
        </w:tc>
        <w:tc>
          <w:tcPr>
            <w:tcW w:w="1953" w:type="dxa"/>
          </w:tcPr>
          <w:p w14:paraId="53726B84" w14:textId="77777777" w:rsidR="008A155D" w:rsidRPr="00D74E7A" w:rsidRDefault="008A155D" w:rsidP="00980096">
            <w:pPr>
              <w:spacing w:line="360" w:lineRule="auto"/>
              <w:rPr>
                <w:sz w:val="20"/>
                <w:szCs w:val="20"/>
              </w:rPr>
            </w:pPr>
            <w:r w:rsidRPr="00D74E7A">
              <w:rPr>
                <w:sz w:val="20"/>
                <w:szCs w:val="20"/>
              </w:rPr>
              <w:t>0.605 (0.554, 0.661)</w:t>
            </w:r>
            <w:r w:rsidRPr="00D74E7A">
              <w:rPr>
                <w:sz w:val="20"/>
                <w:szCs w:val="20"/>
              </w:rPr>
              <w:br/>
              <w:t>p&lt;0.001</w:t>
            </w:r>
          </w:p>
        </w:tc>
        <w:tc>
          <w:tcPr>
            <w:tcW w:w="1951" w:type="dxa"/>
          </w:tcPr>
          <w:p w14:paraId="67939792" w14:textId="77777777" w:rsidR="008A155D" w:rsidRPr="00D74E7A" w:rsidRDefault="008A155D" w:rsidP="00980096">
            <w:pPr>
              <w:spacing w:line="360" w:lineRule="auto"/>
              <w:rPr>
                <w:sz w:val="20"/>
                <w:szCs w:val="20"/>
              </w:rPr>
            </w:pPr>
            <w:r w:rsidRPr="00D74E7A">
              <w:rPr>
                <w:sz w:val="20"/>
                <w:szCs w:val="20"/>
              </w:rPr>
              <w:t>0.504 (0.549, 0.554)</w:t>
            </w:r>
            <w:r w:rsidRPr="00D74E7A">
              <w:rPr>
                <w:sz w:val="20"/>
                <w:szCs w:val="20"/>
              </w:rPr>
              <w:br/>
              <w:t>p&lt;0.001</w:t>
            </w:r>
          </w:p>
        </w:tc>
      </w:tr>
      <w:tr w:rsidR="008A155D" w:rsidRPr="00742DCB" w14:paraId="6D0E91A3" w14:textId="77777777" w:rsidTr="00C818CE">
        <w:tc>
          <w:tcPr>
            <w:tcW w:w="9067" w:type="dxa"/>
            <w:gridSpan w:val="5"/>
          </w:tcPr>
          <w:p w14:paraId="143FC252" w14:textId="77777777" w:rsidR="008A155D" w:rsidRPr="00D74E7A" w:rsidRDefault="008A155D" w:rsidP="00980096">
            <w:pPr>
              <w:spacing w:line="360" w:lineRule="auto"/>
              <w:rPr>
                <w:sz w:val="20"/>
                <w:szCs w:val="20"/>
              </w:rPr>
            </w:pPr>
            <w:r w:rsidRPr="00D74E7A">
              <w:rPr>
                <w:sz w:val="20"/>
                <w:szCs w:val="20"/>
              </w:rPr>
              <w:t xml:space="preserve">Trust level characteristics </w:t>
            </w:r>
          </w:p>
        </w:tc>
      </w:tr>
      <w:bookmarkEnd w:id="6"/>
      <w:tr w:rsidR="008A155D" w:rsidRPr="00742DCB" w14:paraId="0341D2FF" w14:textId="77777777" w:rsidTr="00A7318B">
        <w:tc>
          <w:tcPr>
            <w:tcW w:w="1265" w:type="dxa"/>
          </w:tcPr>
          <w:p w14:paraId="62F60FDA" w14:textId="77777777" w:rsidR="008A155D" w:rsidRPr="00D74E7A" w:rsidRDefault="008A155D" w:rsidP="00980096">
            <w:pPr>
              <w:spacing w:line="360" w:lineRule="auto"/>
              <w:rPr>
                <w:sz w:val="20"/>
                <w:szCs w:val="20"/>
              </w:rPr>
            </w:pPr>
            <w:r w:rsidRPr="00D74E7A">
              <w:rPr>
                <w:sz w:val="20"/>
                <w:szCs w:val="20"/>
              </w:rPr>
              <w:t>% primiparous</w:t>
            </w:r>
          </w:p>
        </w:tc>
        <w:tc>
          <w:tcPr>
            <w:tcW w:w="1941" w:type="dxa"/>
          </w:tcPr>
          <w:p w14:paraId="14CAFEEE" w14:textId="77777777" w:rsidR="008A155D" w:rsidRPr="00D74E7A" w:rsidRDefault="008A155D" w:rsidP="00980096">
            <w:pPr>
              <w:spacing w:line="360" w:lineRule="auto"/>
              <w:rPr>
                <w:sz w:val="20"/>
                <w:szCs w:val="20"/>
              </w:rPr>
            </w:pPr>
            <w:r w:rsidRPr="00D74E7A">
              <w:rPr>
                <w:sz w:val="20"/>
                <w:szCs w:val="20"/>
              </w:rPr>
              <w:t>Not in model with best fit</w:t>
            </w:r>
          </w:p>
        </w:tc>
        <w:tc>
          <w:tcPr>
            <w:tcW w:w="1957" w:type="dxa"/>
          </w:tcPr>
          <w:p w14:paraId="4AA2B70B" w14:textId="77777777" w:rsidR="008A155D" w:rsidRPr="00D74E7A" w:rsidRDefault="008A155D" w:rsidP="00980096">
            <w:pPr>
              <w:spacing w:line="360" w:lineRule="auto"/>
              <w:rPr>
                <w:sz w:val="20"/>
                <w:szCs w:val="20"/>
              </w:rPr>
            </w:pPr>
            <w:r w:rsidRPr="00D74E7A">
              <w:rPr>
                <w:sz w:val="20"/>
                <w:szCs w:val="20"/>
              </w:rPr>
              <w:t>0.978 (0.967, 0.990)</w:t>
            </w:r>
            <w:r w:rsidRPr="00D74E7A">
              <w:rPr>
                <w:sz w:val="20"/>
                <w:szCs w:val="20"/>
              </w:rPr>
              <w:br/>
              <w:t>p&lt;0.001</w:t>
            </w:r>
          </w:p>
        </w:tc>
        <w:tc>
          <w:tcPr>
            <w:tcW w:w="1953" w:type="dxa"/>
          </w:tcPr>
          <w:p w14:paraId="5F54FEE1" w14:textId="77777777" w:rsidR="008A155D" w:rsidRPr="00D74E7A" w:rsidRDefault="008A155D" w:rsidP="00980096">
            <w:pPr>
              <w:spacing w:line="360" w:lineRule="auto"/>
              <w:rPr>
                <w:sz w:val="20"/>
                <w:szCs w:val="20"/>
              </w:rPr>
            </w:pPr>
            <w:r w:rsidRPr="00D74E7A">
              <w:rPr>
                <w:sz w:val="20"/>
                <w:szCs w:val="20"/>
              </w:rPr>
              <w:t>0.986 (0.978, 0.995)</w:t>
            </w:r>
            <w:r w:rsidRPr="00D74E7A">
              <w:rPr>
                <w:sz w:val="20"/>
                <w:szCs w:val="20"/>
              </w:rPr>
              <w:br/>
              <w:t>p=0.003</w:t>
            </w:r>
          </w:p>
        </w:tc>
        <w:tc>
          <w:tcPr>
            <w:tcW w:w="1951" w:type="dxa"/>
          </w:tcPr>
          <w:p w14:paraId="5AC2EE6E" w14:textId="77777777" w:rsidR="008A155D" w:rsidRPr="00D74E7A" w:rsidRDefault="008A155D" w:rsidP="00980096">
            <w:pPr>
              <w:spacing w:line="360" w:lineRule="auto"/>
              <w:rPr>
                <w:sz w:val="20"/>
                <w:szCs w:val="20"/>
              </w:rPr>
            </w:pPr>
            <w:r w:rsidRPr="00D74E7A">
              <w:rPr>
                <w:sz w:val="20"/>
                <w:szCs w:val="20"/>
              </w:rPr>
              <w:t>0.983 (0.973, 0.992)</w:t>
            </w:r>
            <w:r w:rsidRPr="00D74E7A">
              <w:rPr>
                <w:sz w:val="20"/>
                <w:szCs w:val="20"/>
              </w:rPr>
              <w:br/>
              <w:t>p&lt;0.001</w:t>
            </w:r>
          </w:p>
        </w:tc>
      </w:tr>
      <w:tr w:rsidR="008A155D" w:rsidRPr="00742DCB" w14:paraId="4CA3BC58" w14:textId="77777777" w:rsidTr="00A7318B">
        <w:tc>
          <w:tcPr>
            <w:tcW w:w="1265" w:type="dxa"/>
          </w:tcPr>
          <w:p w14:paraId="0F483CBC" w14:textId="77777777" w:rsidR="008A155D" w:rsidRPr="00D74E7A" w:rsidRDefault="008A155D" w:rsidP="00980096">
            <w:pPr>
              <w:spacing w:line="360" w:lineRule="auto"/>
              <w:rPr>
                <w:sz w:val="20"/>
                <w:szCs w:val="20"/>
              </w:rPr>
            </w:pPr>
            <w:r w:rsidRPr="00D74E7A">
              <w:rPr>
                <w:sz w:val="20"/>
                <w:szCs w:val="20"/>
              </w:rPr>
              <w:t>% white ethnic group</w:t>
            </w:r>
          </w:p>
        </w:tc>
        <w:tc>
          <w:tcPr>
            <w:tcW w:w="1941" w:type="dxa"/>
          </w:tcPr>
          <w:p w14:paraId="614E9F56" w14:textId="77777777" w:rsidR="008A155D" w:rsidRPr="00D74E7A" w:rsidRDefault="008A155D" w:rsidP="00980096">
            <w:pPr>
              <w:spacing w:line="360" w:lineRule="auto"/>
              <w:rPr>
                <w:sz w:val="20"/>
                <w:szCs w:val="20"/>
              </w:rPr>
            </w:pPr>
            <w:r w:rsidRPr="00D74E7A">
              <w:rPr>
                <w:sz w:val="20"/>
                <w:szCs w:val="20"/>
              </w:rPr>
              <w:t>Not in model with best fit</w:t>
            </w:r>
          </w:p>
        </w:tc>
        <w:tc>
          <w:tcPr>
            <w:tcW w:w="1957" w:type="dxa"/>
          </w:tcPr>
          <w:p w14:paraId="20438913" w14:textId="77777777" w:rsidR="008A155D" w:rsidRPr="00D74E7A" w:rsidRDefault="008A155D" w:rsidP="00980096">
            <w:pPr>
              <w:spacing w:line="360" w:lineRule="auto"/>
              <w:rPr>
                <w:sz w:val="20"/>
                <w:szCs w:val="20"/>
              </w:rPr>
            </w:pPr>
            <w:r w:rsidRPr="00D74E7A">
              <w:rPr>
                <w:sz w:val="20"/>
                <w:szCs w:val="20"/>
              </w:rPr>
              <w:t>1.006 (1.001, 1.011)</w:t>
            </w:r>
            <w:r w:rsidRPr="00D74E7A">
              <w:rPr>
                <w:sz w:val="20"/>
                <w:szCs w:val="20"/>
              </w:rPr>
              <w:br/>
              <w:t>p=0.023</w:t>
            </w:r>
          </w:p>
        </w:tc>
        <w:tc>
          <w:tcPr>
            <w:tcW w:w="1953" w:type="dxa"/>
          </w:tcPr>
          <w:p w14:paraId="59EE67C8" w14:textId="77777777" w:rsidR="008A155D" w:rsidRPr="00D74E7A" w:rsidRDefault="008A155D" w:rsidP="00980096">
            <w:pPr>
              <w:spacing w:line="360" w:lineRule="auto"/>
              <w:rPr>
                <w:sz w:val="20"/>
                <w:szCs w:val="20"/>
              </w:rPr>
            </w:pPr>
            <w:r w:rsidRPr="00D74E7A">
              <w:rPr>
                <w:sz w:val="20"/>
                <w:szCs w:val="20"/>
              </w:rPr>
              <w:t>1.003 (0.999, 1.006)</w:t>
            </w:r>
            <w:r w:rsidRPr="00D74E7A">
              <w:rPr>
                <w:sz w:val="20"/>
                <w:szCs w:val="20"/>
              </w:rPr>
              <w:br/>
              <w:t>p=0.177</w:t>
            </w:r>
          </w:p>
        </w:tc>
        <w:tc>
          <w:tcPr>
            <w:tcW w:w="1951" w:type="dxa"/>
          </w:tcPr>
          <w:p w14:paraId="2A10413E" w14:textId="77777777" w:rsidR="008A155D" w:rsidRPr="00D74E7A" w:rsidRDefault="008A155D" w:rsidP="00980096">
            <w:pPr>
              <w:spacing w:line="360" w:lineRule="auto"/>
              <w:rPr>
                <w:sz w:val="20"/>
                <w:szCs w:val="20"/>
              </w:rPr>
            </w:pPr>
            <w:r w:rsidRPr="00D74E7A">
              <w:rPr>
                <w:sz w:val="20"/>
                <w:szCs w:val="20"/>
              </w:rPr>
              <w:t>1.006 (1.001, 1.009)</w:t>
            </w:r>
            <w:r w:rsidRPr="00D74E7A">
              <w:rPr>
                <w:sz w:val="20"/>
                <w:szCs w:val="20"/>
              </w:rPr>
              <w:br/>
              <w:t>p=0.007</w:t>
            </w:r>
          </w:p>
        </w:tc>
      </w:tr>
      <w:tr w:rsidR="008A155D" w:rsidRPr="00742DCB" w14:paraId="0FCF300F" w14:textId="77777777" w:rsidTr="00A7318B">
        <w:tc>
          <w:tcPr>
            <w:tcW w:w="1265" w:type="dxa"/>
          </w:tcPr>
          <w:p w14:paraId="407D471F" w14:textId="77777777" w:rsidR="008A155D" w:rsidRPr="00D74E7A" w:rsidRDefault="008A155D" w:rsidP="00980096">
            <w:pPr>
              <w:spacing w:line="360" w:lineRule="auto"/>
              <w:rPr>
                <w:sz w:val="20"/>
                <w:szCs w:val="20"/>
              </w:rPr>
            </w:pPr>
            <w:r w:rsidRPr="00D74E7A">
              <w:rPr>
                <w:sz w:val="20"/>
                <w:szCs w:val="20"/>
              </w:rPr>
              <w:t>No births per Trust</w:t>
            </w:r>
          </w:p>
        </w:tc>
        <w:tc>
          <w:tcPr>
            <w:tcW w:w="1941" w:type="dxa"/>
          </w:tcPr>
          <w:p w14:paraId="211E5139" w14:textId="77777777" w:rsidR="008A155D" w:rsidRPr="00D74E7A" w:rsidRDefault="008A155D" w:rsidP="00980096">
            <w:pPr>
              <w:spacing w:line="360" w:lineRule="auto"/>
              <w:rPr>
                <w:sz w:val="20"/>
                <w:szCs w:val="20"/>
              </w:rPr>
            </w:pPr>
            <w:r w:rsidRPr="00D74E7A">
              <w:rPr>
                <w:sz w:val="20"/>
                <w:szCs w:val="20"/>
              </w:rPr>
              <w:t>1.000 (1.000, 1.000)</w:t>
            </w:r>
            <w:r w:rsidRPr="00D74E7A">
              <w:rPr>
                <w:sz w:val="20"/>
                <w:szCs w:val="20"/>
              </w:rPr>
              <w:br/>
              <w:t>p=0.536</w:t>
            </w:r>
          </w:p>
        </w:tc>
        <w:tc>
          <w:tcPr>
            <w:tcW w:w="1957" w:type="dxa"/>
          </w:tcPr>
          <w:p w14:paraId="231EACD5" w14:textId="77777777" w:rsidR="008A155D" w:rsidRPr="00D74E7A" w:rsidRDefault="008A155D" w:rsidP="00980096">
            <w:pPr>
              <w:spacing w:line="360" w:lineRule="auto"/>
              <w:rPr>
                <w:sz w:val="20"/>
                <w:szCs w:val="20"/>
              </w:rPr>
            </w:pPr>
            <w:r w:rsidRPr="00D74E7A">
              <w:rPr>
                <w:sz w:val="20"/>
                <w:szCs w:val="20"/>
              </w:rPr>
              <w:t>1.000 (1.000, 1.000)</w:t>
            </w:r>
            <w:r w:rsidRPr="00D74E7A">
              <w:rPr>
                <w:sz w:val="20"/>
                <w:szCs w:val="20"/>
              </w:rPr>
              <w:br/>
              <w:t>p=0.959</w:t>
            </w:r>
          </w:p>
        </w:tc>
        <w:tc>
          <w:tcPr>
            <w:tcW w:w="1953" w:type="dxa"/>
          </w:tcPr>
          <w:p w14:paraId="6AD938E6" w14:textId="77777777" w:rsidR="008A155D" w:rsidRPr="00D74E7A" w:rsidRDefault="008A155D" w:rsidP="00980096">
            <w:pPr>
              <w:spacing w:line="360" w:lineRule="auto"/>
              <w:rPr>
                <w:sz w:val="20"/>
                <w:szCs w:val="20"/>
              </w:rPr>
            </w:pPr>
            <w:r w:rsidRPr="00D74E7A">
              <w:rPr>
                <w:sz w:val="20"/>
                <w:szCs w:val="20"/>
              </w:rPr>
              <w:t>1.000 (1.000, 1.000)</w:t>
            </w:r>
            <w:r w:rsidRPr="00D74E7A">
              <w:rPr>
                <w:sz w:val="20"/>
                <w:szCs w:val="20"/>
              </w:rPr>
              <w:br/>
              <w:t>p=0.601</w:t>
            </w:r>
          </w:p>
        </w:tc>
        <w:tc>
          <w:tcPr>
            <w:tcW w:w="1951" w:type="dxa"/>
          </w:tcPr>
          <w:p w14:paraId="2A68C15F" w14:textId="77777777" w:rsidR="008A155D" w:rsidRPr="00D74E7A" w:rsidRDefault="008A155D" w:rsidP="00980096">
            <w:pPr>
              <w:spacing w:line="360" w:lineRule="auto"/>
              <w:rPr>
                <w:sz w:val="20"/>
                <w:szCs w:val="20"/>
              </w:rPr>
            </w:pPr>
            <w:r w:rsidRPr="00D74E7A">
              <w:rPr>
                <w:sz w:val="20"/>
                <w:szCs w:val="20"/>
              </w:rPr>
              <w:t>1.000 (1.000, 1.000)</w:t>
            </w:r>
            <w:r w:rsidRPr="00D74E7A">
              <w:rPr>
                <w:sz w:val="20"/>
                <w:szCs w:val="20"/>
              </w:rPr>
              <w:br/>
              <w:t>p=0.296</w:t>
            </w:r>
          </w:p>
        </w:tc>
      </w:tr>
    </w:tbl>
    <w:p w14:paraId="1A735B0F" w14:textId="77777777" w:rsidR="008A155D" w:rsidRPr="00742DCB" w:rsidRDefault="008A155D" w:rsidP="00980096">
      <w:pPr>
        <w:spacing w:line="360" w:lineRule="auto"/>
      </w:pPr>
    </w:p>
    <w:p w14:paraId="56791D59" w14:textId="77777777" w:rsidR="008A155D" w:rsidRPr="00742DCB" w:rsidRDefault="008A155D" w:rsidP="00980096">
      <w:pPr>
        <w:spacing w:line="360" w:lineRule="auto"/>
        <w:rPr>
          <w:b/>
          <w:bCs/>
        </w:rPr>
      </w:pPr>
    </w:p>
    <w:p w14:paraId="7F67C36F" w14:textId="77777777" w:rsidR="008A155D" w:rsidRPr="00742DCB" w:rsidRDefault="008A155D" w:rsidP="00980096">
      <w:pPr>
        <w:spacing w:line="360" w:lineRule="auto"/>
      </w:pPr>
    </w:p>
    <w:p w14:paraId="4AC16CF0" w14:textId="77777777" w:rsidR="008A155D" w:rsidRPr="00742DCB" w:rsidRDefault="008A155D" w:rsidP="0054614F">
      <w:pPr>
        <w:pStyle w:val="Default"/>
        <w:rPr>
          <w:rFonts w:asciiTheme="minorHAnsi" w:hAnsiTheme="minorHAnsi" w:cstheme="minorBidi"/>
          <w:color w:val="auto"/>
          <w:sz w:val="22"/>
          <w:szCs w:val="22"/>
        </w:rPr>
      </w:pPr>
      <w:r w:rsidRPr="00742DCB">
        <w:rPr>
          <w:color w:val="auto"/>
          <w:sz w:val="22"/>
          <w:szCs w:val="22"/>
        </w:rPr>
        <w:br w:type="page"/>
      </w:r>
      <w:r w:rsidRPr="00742DCB">
        <w:rPr>
          <w:rFonts w:asciiTheme="minorHAnsi" w:hAnsiTheme="minorHAnsi" w:cstheme="minorBidi"/>
          <w:color w:val="auto"/>
          <w:sz w:val="22"/>
          <w:szCs w:val="22"/>
        </w:rPr>
        <w:lastRenderedPageBreak/>
        <w:t>Table 4  Outcomes by staffing levels</w:t>
      </w:r>
      <w:r>
        <w:rPr>
          <w:rFonts w:asciiTheme="minorHAnsi" w:hAnsiTheme="minorHAnsi" w:cstheme="minorBidi"/>
          <w:color w:val="auto"/>
          <w:sz w:val="22"/>
          <w:szCs w:val="22"/>
        </w:rPr>
        <w:t xml:space="preserve">. Results from multilevel models, nested in Trusts. </w:t>
      </w:r>
      <w:r>
        <w:rPr>
          <w:rFonts w:asciiTheme="minorHAnsi" w:hAnsiTheme="minorHAnsi" w:cstheme="minorBidi"/>
          <w:color w:val="auto"/>
          <w:sz w:val="22"/>
          <w:szCs w:val="22"/>
        </w:rPr>
        <w:br/>
        <w:t>(</w:t>
      </w:r>
      <w:proofErr w:type="spellStart"/>
      <w:r>
        <w:rPr>
          <w:rFonts w:asciiTheme="minorHAnsi" w:hAnsiTheme="minorHAnsi" w:cstheme="minorBidi"/>
          <w:color w:val="auto"/>
          <w:sz w:val="22"/>
          <w:szCs w:val="22"/>
        </w:rPr>
        <w:t>aOR</w:t>
      </w:r>
      <w:proofErr w:type="spellEnd"/>
      <w:r>
        <w:rPr>
          <w:rFonts w:asciiTheme="minorHAnsi" w:hAnsiTheme="minorHAnsi" w:cstheme="minorBidi"/>
          <w:color w:val="auto"/>
          <w:sz w:val="22"/>
          <w:szCs w:val="22"/>
        </w:rPr>
        <w:t xml:space="preserve"> and 95% CI presented)</w:t>
      </w:r>
    </w:p>
    <w:p w14:paraId="797D1783" w14:textId="77777777" w:rsidR="008A155D" w:rsidRPr="00D74E7A" w:rsidRDefault="008A155D" w:rsidP="00980096">
      <w:pPr>
        <w:pStyle w:val="Default"/>
        <w:spacing w:line="360" w:lineRule="auto"/>
        <w:rPr>
          <w:rFonts w:asciiTheme="minorHAnsi" w:hAnsiTheme="minorHAnsi" w:cstheme="minorBidi"/>
          <w:color w:val="auto"/>
          <w:sz w:val="20"/>
          <w:szCs w:val="20"/>
        </w:rPr>
      </w:pPr>
    </w:p>
    <w:tbl>
      <w:tblPr>
        <w:tblStyle w:val="TableGrid"/>
        <w:tblW w:w="9351" w:type="dxa"/>
        <w:tblLook w:val="04A0" w:firstRow="1" w:lastRow="0" w:firstColumn="1" w:lastColumn="0" w:noHBand="0" w:noVBand="1"/>
      </w:tblPr>
      <w:tblGrid>
        <w:gridCol w:w="1413"/>
        <w:gridCol w:w="1984"/>
        <w:gridCol w:w="1985"/>
        <w:gridCol w:w="1984"/>
        <w:gridCol w:w="1985"/>
      </w:tblGrid>
      <w:tr w:rsidR="008A155D" w:rsidRPr="00D74E7A" w14:paraId="58DCC24A" w14:textId="77777777" w:rsidTr="00C818CE">
        <w:tc>
          <w:tcPr>
            <w:tcW w:w="1413" w:type="dxa"/>
            <w:tcBorders>
              <w:bottom w:val="single" w:sz="4" w:space="0" w:color="auto"/>
            </w:tcBorders>
          </w:tcPr>
          <w:p w14:paraId="4EFC051C" w14:textId="77777777" w:rsidR="008A155D" w:rsidRPr="00D74E7A" w:rsidRDefault="008A155D" w:rsidP="00980096">
            <w:pPr>
              <w:spacing w:line="360" w:lineRule="auto"/>
              <w:rPr>
                <w:sz w:val="20"/>
                <w:szCs w:val="20"/>
              </w:rPr>
            </w:pPr>
            <w:r>
              <w:rPr>
                <w:sz w:val="20"/>
                <w:szCs w:val="20"/>
              </w:rPr>
              <w:t>Question</w:t>
            </w:r>
          </w:p>
        </w:tc>
        <w:tc>
          <w:tcPr>
            <w:tcW w:w="1984" w:type="dxa"/>
            <w:tcBorders>
              <w:bottom w:val="single" w:sz="4" w:space="0" w:color="auto"/>
            </w:tcBorders>
          </w:tcPr>
          <w:p w14:paraId="355CDB37" w14:textId="77777777" w:rsidR="008A155D" w:rsidRPr="00D74E7A" w:rsidRDefault="008A155D" w:rsidP="00980096">
            <w:pPr>
              <w:spacing w:line="360" w:lineRule="auto"/>
              <w:rPr>
                <w:sz w:val="20"/>
                <w:szCs w:val="20"/>
              </w:rPr>
            </w:pPr>
            <w:r w:rsidRPr="00D74E7A">
              <w:rPr>
                <w:sz w:val="20"/>
                <w:szCs w:val="20"/>
              </w:rPr>
              <w:t>Delay in discharge</w:t>
            </w:r>
            <w:r w:rsidRPr="00D74E7A">
              <w:rPr>
                <w:sz w:val="20"/>
                <w:szCs w:val="20"/>
              </w:rPr>
              <w:br/>
            </w:r>
          </w:p>
        </w:tc>
        <w:tc>
          <w:tcPr>
            <w:tcW w:w="1985" w:type="dxa"/>
            <w:tcBorders>
              <w:bottom w:val="single" w:sz="4" w:space="0" w:color="auto"/>
            </w:tcBorders>
          </w:tcPr>
          <w:p w14:paraId="465290DE" w14:textId="77777777" w:rsidR="008A155D" w:rsidRPr="00D74E7A" w:rsidRDefault="008A155D" w:rsidP="00980096">
            <w:pPr>
              <w:spacing w:line="360" w:lineRule="auto"/>
              <w:rPr>
                <w:sz w:val="20"/>
                <w:szCs w:val="20"/>
              </w:rPr>
            </w:pPr>
            <w:r w:rsidRPr="00D74E7A">
              <w:rPr>
                <w:sz w:val="20"/>
                <w:szCs w:val="20"/>
              </w:rPr>
              <w:t>Staff help reasonable time</w:t>
            </w:r>
          </w:p>
        </w:tc>
        <w:tc>
          <w:tcPr>
            <w:tcW w:w="1984" w:type="dxa"/>
            <w:tcBorders>
              <w:bottom w:val="single" w:sz="4" w:space="0" w:color="auto"/>
            </w:tcBorders>
          </w:tcPr>
          <w:p w14:paraId="688C5DDA" w14:textId="77777777" w:rsidR="008A155D" w:rsidRPr="00D74E7A" w:rsidRDefault="008A155D" w:rsidP="00980096">
            <w:pPr>
              <w:spacing w:line="360" w:lineRule="auto"/>
              <w:rPr>
                <w:sz w:val="20"/>
                <w:szCs w:val="20"/>
              </w:rPr>
            </w:pPr>
            <w:r w:rsidRPr="00D74E7A">
              <w:rPr>
                <w:sz w:val="20"/>
                <w:szCs w:val="20"/>
              </w:rPr>
              <w:t>Information / Explanations</w:t>
            </w:r>
          </w:p>
        </w:tc>
        <w:tc>
          <w:tcPr>
            <w:tcW w:w="1985" w:type="dxa"/>
            <w:tcBorders>
              <w:bottom w:val="single" w:sz="4" w:space="0" w:color="auto"/>
            </w:tcBorders>
          </w:tcPr>
          <w:p w14:paraId="6BF95FCA" w14:textId="77777777" w:rsidR="008A155D" w:rsidRPr="00D74E7A" w:rsidRDefault="008A155D" w:rsidP="00980096">
            <w:pPr>
              <w:spacing w:line="360" w:lineRule="auto"/>
              <w:rPr>
                <w:sz w:val="20"/>
                <w:szCs w:val="20"/>
              </w:rPr>
            </w:pPr>
            <w:r w:rsidRPr="00D74E7A">
              <w:rPr>
                <w:sz w:val="20"/>
                <w:szCs w:val="20"/>
              </w:rPr>
              <w:t xml:space="preserve">Treated with kindness and understanding </w:t>
            </w:r>
          </w:p>
        </w:tc>
      </w:tr>
      <w:tr w:rsidR="008A155D" w:rsidRPr="00D74E7A" w14:paraId="63542D1F" w14:textId="77777777" w:rsidTr="00C818CE">
        <w:tc>
          <w:tcPr>
            <w:tcW w:w="1413" w:type="dxa"/>
            <w:tcBorders>
              <w:bottom w:val="single" w:sz="4" w:space="0" w:color="auto"/>
            </w:tcBorders>
          </w:tcPr>
          <w:p w14:paraId="28167F1B" w14:textId="77777777" w:rsidR="008A155D" w:rsidRPr="00D74E7A" w:rsidRDefault="008A155D" w:rsidP="00980096">
            <w:pPr>
              <w:spacing w:line="360" w:lineRule="auto"/>
              <w:rPr>
                <w:sz w:val="20"/>
                <w:szCs w:val="20"/>
              </w:rPr>
            </w:pPr>
            <w:r w:rsidRPr="00D74E7A">
              <w:rPr>
                <w:sz w:val="20"/>
                <w:szCs w:val="20"/>
              </w:rPr>
              <w:t>FTE midwives per 100 births</w:t>
            </w:r>
            <w:r w:rsidRPr="00D74E7A">
              <w:rPr>
                <w:sz w:val="20"/>
                <w:szCs w:val="20"/>
              </w:rPr>
              <w:br/>
              <w:t>unadjusted</w:t>
            </w:r>
          </w:p>
        </w:tc>
        <w:tc>
          <w:tcPr>
            <w:tcW w:w="1984" w:type="dxa"/>
            <w:tcBorders>
              <w:bottom w:val="single" w:sz="4" w:space="0" w:color="auto"/>
            </w:tcBorders>
          </w:tcPr>
          <w:p w14:paraId="0216E9B5" w14:textId="77777777" w:rsidR="008A155D" w:rsidRPr="00D74E7A" w:rsidRDefault="008A155D" w:rsidP="00980096">
            <w:pPr>
              <w:spacing w:line="360" w:lineRule="auto"/>
              <w:rPr>
                <w:sz w:val="20"/>
                <w:szCs w:val="20"/>
              </w:rPr>
            </w:pPr>
            <w:r w:rsidRPr="00D74E7A">
              <w:rPr>
                <w:sz w:val="20"/>
                <w:szCs w:val="20"/>
              </w:rPr>
              <w:t>0.855 (0.761, 0.961)</w:t>
            </w:r>
            <w:r w:rsidRPr="00D74E7A">
              <w:rPr>
                <w:sz w:val="20"/>
                <w:szCs w:val="20"/>
              </w:rPr>
              <w:br/>
              <w:t>p=0.008</w:t>
            </w:r>
          </w:p>
        </w:tc>
        <w:tc>
          <w:tcPr>
            <w:tcW w:w="1985" w:type="dxa"/>
            <w:tcBorders>
              <w:bottom w:val="single" w:sz="4" w:space="0" w:color="auto"/>
            </w:tcBorders>
          </w:tcPr>
          <w:p w14:paraId="44106F63" w14:textId="77777777" w:rsidR="008A155D" w:rsidRPr="00D74E7A" w:rsidRDefault="008A155D" w:rsidP="00980096">
            <w:pPr>
              <w:spacing w:line="360" w:lineRule="auto"/>
              <w:rPr>
                <w:sz w:val="20"/>
                <w:szCs w:val="20"/>
              </w:rPr>
            </w:pPr>
            <w:r w:rsidRPr="00D74E7A">
              <w:rPr>
                <w:sz w:val="20"/>
                <w:szCs w:val="20"/>
              </w:rPr>
              <w:t>1.246 (1.087, 1.427)</w:t>
            </w:r>
            <w:r w:rsidRPr="00D74E7A">
              <w:rPr>
                <w:sz w:val="20"/>
                <w:szCs w:val="20"/>
              </w:rPr>
              <w:br/>
              <w:t>p=0.002</w:t>
            </w:r>
          </w:p>
        </w:tc>
        <w:tc>
          <w:tcPr>
            <w:tcW w:w="1984" w:type="dxa"/>
            <w:tcBorders>
              <w:bottom w:val="single" w:sz="4" w:space="0" w:color="auto"/>
            </w:tcBorders>
          </w:tcPr>
          <w:p w14:paraId="458E105E" w14:textId="77777777" w:rsidR="008A155D" w:rsidRPr="00D74E7A" w:rsidRDefault="008A155D" w:rsidP="00980096">
            <w:pPr>
              <w:spacing w:line="360" w:lineRule="auto"/>
              <w:rPr>
                <w:sz w:val="20"/>
                <w:szCs w:val="20"/>
              </w:rPr>
            </w:pPr>
            <w:r w:rsidRPr="00D74E7A">
              <w:rPr>
                <w:sz w:val="20"/>
                <w:szCs w:val="20"/>
              </w:rPr>
              <w:t>1.171 (1.059, 1.295)</w:t>
            </w:r>
            <w:r w:rsidRPr="00D74E7A">
              <w:rPr>
                <w:sz w:val="20"/>
                <w:szCs w:val="20"/>
              </w:rPr>
              <w:br/>
              <w:t>p=0.002</w:t>
            </w:r>
          </w:p>
        </w:tc>
        <w:tc>
          <w:tcPr>
            <w:tcW w:w="1985" w:type="dxa"/>
            <w:tcBorders>
              <w:bottom w:val="single" w:sz="4" w:space="0" w:color="auto"/>
            </w:tcBorders>
          </w:tcPr>
          <w:p w14:paraId="7616CA1A" w14:textId="77777777" w:rsidR="008A155D" w:rsidRPr="00D74E7A" w:rsidRDefault="008A155D" w:rsidP="00980096">
            <w:pPr>
              <w:spacing w:line="360" w:lineRule="auto"/>
              <w:rPr>
                <w:sz w:val="20"/>
                <w:szCs w:val="20"/>
              </w:rPr>
            </w:pPr>
            <w:r w:rsidRPr="00D74E7A">
              <w:rPr>
                <w:sz w:val="20"/>
                <w:szCs w:val="20"/>
              </w:rPr>
              <w:t>1.110 (0.988, 1.247)</w:t>
            </w:r>
            <w:r w:rsidRPr="00D74E7A">
              <w:rPr>
                <w:sz w:val="20"/>
                <w:szCs w:val="20"/>
              </w:rPr>
              <w:br/>
              <w:t>p=0.080</w:t>
            </w:r>
          </w:p>
        </w:tc>
      </w:tr>
      <w:tr w:rsidR="008A155D" w:rsidRPr="00D74E7A" w14:paraId="703773AF" w14:textId="77777777" w:rsidTr="00C818CE">
        <w:tc>
          <w:tcPr>
            <w:tcW w:w="1413" w:type="dxa"/>
            <w:tcBorders>
              <w:top w:val="single" w:sz="4" w:space="0" w:color="auto"/>
              <w:bottom w:val="double" w:sz="4" w:space="0" w:color="auto"/>
            </w:tcBorders>
          </w:tcPr>
          <w:p w14:paraId="2F53EAD6" w14:textId="77777777" w:rsidR="008A155D" w:rsidRPr="00D74E7A" w:rsidRDefault="008A155D" w:rsidP="00980096">
            <w:pPr>
              <w:spacing w:line="360" w:lineRule="auto"/>
              <w:rPr>
                <w:sz w:val="20"/>
                <w:szCs w:val="20"/>
              </w:rPr>
            </w:pPr>
            <w:r w:rsidRPr="00D74E7A">
              <w:rPr>
                <w:sz w:val="20"/>
                <w:szCs w:val="20"/>
              </w:rPr>
              <w:t>FTE midwives per 100 births</w:t>
            </w:r>
            <w:r w:rsidRPr="00D74E7A">
              <w:rPr>
                <w:sz w:val="20"/>
                <w:szCs w:val="20"/>
              </w:rPr>
              <w:br/>
              <w:t>adjusted</w:t>
            </w:r>
          </w:p>
        </w:tc>
        <w:tc>
          <w:tcPr>
            <w:tcW w:w="1984" w:type="dxa"/>
            <w:tcBorders>
              <w:top w:val="single" w:sz="4" w:space="0" w:color="auto"/>
              <w:bottom w:val="double" w:sz="4" w:space="0" w:color="auto"/>
            </w:tcBorders>
          </w:tcPr>
          <w:p w14:paraId="4164CEC9" w14:textId="77777777" w:rsidR="008A155D" w:rsidRPr="00D74E7A" w:rsidRDefault="008A155D" w:rsidP="00980096">
            <w:pPr>
              <w:spacing w:line="360" w:lineRule="auto"/>
              <w:rPr>
                <w:sz w:val="20"/>
                <w:szCs w:val="20"/>
              </w:rPr>
            </w:pPr>
            <w:r w:rsidRPr="00D74E7A">
              <w:rPr>
                <w:sz w:val="20"/>
                <w:szCs w:val="20"/>
              </w:rPr>
              <w:t>0.849 (0.753, 0.959)</w:t>
            </w:r>
            <w:r w:rsidRPr="00D74E7A">
              <w:rPr>
                <w:sz w:val="20"/>
                <w:szCs w:val="20"/>
              </w:rPr>
              <w:br/>
              <w:t>p=0.008</w:t>
            </w:r>
          </w:p>
        </w:tc>
        <w:tc>
          <w:tcPr>
            <w:tcW w:w="1985" w:type="dxa"/>
            <w:tcBorders>
              <w:top w:val="single" w:sz="4" w:space="0" w:color="auto"/>
              <w:bottom w:val="double" w:sz="4" w:space="0" w:color="auto"/>
            </w:tcBorders>
          </w:tcPr>
          <w:p w14:paraId="535DD3F4" w14:textId="77777777" w:rsidR="008A155D" w:rsidRPr="00D74E7A" w:rsidRDefault="008A155D" w:rsidP="00980096">
            <w:pPr>
              <w:spacing w:line="360" w:lineRule="auto"/>
              <w:rPr>
                <w:sz w:val="20"/>
                <w:szCs w:val="20"/>
              </w:rPr>
            </w:pPr>
            <w:r w:rsidRPr="00D74E7A">
              <w:rPr>
                <w:sz w:val="20"/>
                <w:szCs w:val="20"/>
              </w:rPr>
              <w:t>1.200 (1.052, 1.369)</w:t>
            </w:r>
            <w:r w:rsidRPr="00D74E7A">
              <w:rPr>
                <w:sz w:val="20"/>
                <w:szCs w:val="20"/>
              </w:rPr>
              <w:br/>
              <w:t>p=0.007</w:t>
            </w:r>
          </w:p>
        </w:tc>
        <w:tc>
          <w:tcPr>
            <w:tcW w:w="1984" w:type="dxa"/>
            <w:tcBorders>
              <w:top w:val="single" w:sz="4" w:space="0" w:color="auto"/>
              <w:bottom w:val="double" w:sz="4" w:space="0" w:color="auto"/>
            </w:tcBorders>
          </w:tcPr>
          <w:p w14:paraId="519916CC" w14:textId="77777777" w:rsidR="008A155D" w:rsidRPr="00D74E7A" w:rsidRDefault="008A155D" w:rsidP="00980096">
            <w:pPr>
              <w:spacing w:line="360" w:lineRule="auto"/>
              <w:rPr>
                <w:sz w:val="20"/>
                <w:szCs w:val="20"/>
              </w:rPr>
            </w:pPr>
            <w:r w:rsidRPr="00D74E7A">
              <w:rPr>
                <w:sz w:val="20"/>
                <w:szCs w:val="20"/>
              </w:rPr>
              <w:t>1.150 (1.040, 1.271)</w:t>
            </w:r>
            <w:r w:rsidRPr="00D74E7A">
              <w:rPr>
                <w:sz w:val="20"/>
                <w:szCs w:val="20"/>
              </w:rPr>
              <w:br/>
              <w:t>p=0.006</w:t>
            </w:r>
          </w:p>
        </w:tc>
        <w:tc>
          <w:tcPr>
            <w:tcW w:w="1985" w:type="dxa"/>
            <w:tcBorders>
              <w:top w:val="single" w:sz="4" w:space="0" w:color="auto"/>
              <w:bottom w:val="double" w:sz="4" w:space="0" w:color="auto"/>
            </w:tcBorders>
          </w:tcPr>
          <w:p w14:paraId="790C842C" w14:textId="77777777" w:rsidR="008A155D" w:rsidRPr="00D74E7A" w:rsidRDefault="008A155D" w:rsidP="00980096">
            <w:pPr>
              <w:spacing w:line="360" w:lineRule="auto"/>
              <w:rPr>
                <w:sz w:val="20"/>
                <w:szCs w:val="20"/>
              </w:rPr>
            </w:pPr>
            <w:r w:rsidRPr="00D74E7A">
              <w:rPr>
                <w:sz w:val="20"/>
                <w:szCs w:val="20"/>
              </w:rPr>
              <w:t>1.059 (0.949, 1.181)</w:t>
            </w:r>
            <w:r w:rsidRPr="00D74E7A">
              <w:rPr>
                <w:sz w:val="20"/>
                <w:szCs w:val="20"/>
              </w:rPr>
              <w:br/>
              <w:t>p=0.306</w:t>
            </w:r>
          </w:p>
        </w:tc>
      </w:tr>
      <w:tr w:rsidR="008A155D" w:rsidRPr="00D74E7A" w14:paraId="1FCFCC64" w14:textId="77777777" w:rsidTr="00C818CE">
        <w:tc>
          <w:tcPr>
            <w:tcW w:w="9351" w:type="dxa"/>
            <w:gridSpan w:val="5"/>
            <w:tcBorders>
              <w:top w:val="double" w:sz="4" w:space="0" w:color="auto"/>
            </w:tcBorders>
          </w:tcPr>
          <w:p w14:paraId="1A5DE967" w14:textId="77777777" w:rsidR="008A155D" w:rsidRPr="00D74E7A" w:rsidRDefault="008A155D" w:rsidP="00980096">
            <w:pPr>
              <w:spacing w:line="360" w:lineRule="auto"/>
              <w:rPr>
                <w:sz w:val="20"/>
                <w:szCs w:val="20"/>
              </w:rPr>
            </w:pPr>
            <w:r w:rsidRPr="00D74E7A">
              <w:rPr>
                <w:sz w:val="20"/>
                <w:szCs w:val="20"/>
              </w:rPr>
              <w:t xml:space="preserve">Reference group  low </w:t>
            </w:r>
            <w:proofErr w:type="spellStart"/>
            <w:r w:rsidRPr="00D74E7A">
              <w:rPr>
                <w:sz w:val="20"/>
                <w:szCs w:val="20"/>
              </w:rPr>
              <w:t>fte</w:t>
            </w:r>
            <w:proofErr w:type="spellEnd"/>
            <w:r w:rsidRPr="00D74E7A">
              <w:rPr>
                <w:sz w:val="20"/>
                <w:szCs w:val="20"/>
              </w:rPr>
              <w:t xml:space="preserve"> per 100 births   2.543 to 3.395   </w:t>
            </w:r>
          </w:p>
        </w:tc>
      </w:tr>
      <w:tr w:rsidR="008A155D" w:rsidRPr="00D74E7A" w14:paraId="06CEA350" w14:textId="77777777" w:rsidTr="00C818CE">
        <w:tc>
          <w:tcPr>
            <w:tcW w:w="1413" w:type="dxa"/>
          </w:tcPr>
          <w:p w14:paraId="01E0E61C" w14:textId="77777777" w:rsidR="008A155D" w:rsidRPr="00D74E7A" w:rsidRDefault="008A155D" w:rsidP="00980096">
            <w:pPr>
              <w:spacing w:line="360" w:lineRule="auto"/>
              <w:rPr>
                <w:sz w:val="20"/>
                <w:szCs w:val="20"/>
              </w:rPr>
            </w:pPr>
            <w:r w:rsidRPr="00D74E7A">
              <w:rPr>
                <w:sz w:val="20"/>
                <w:szCs w:val="20"/>
              </w:rPr>
              <w:t xml:space="preserve">mid </w:t>
            </w:r>
            <w:proofErr w:type="spellStart"/>
            <w:r w:rsidRPr="00D74E7A">
              <w:rPr>
                <w:sz w:val="20"/>
                <w:szCs w:val="20"/>
              </w:rPr>
              <w:t>fte</w:t>
            </w:r>
            <w:proofErr w:type="spellEnd"/>
            <w:r w:rsidRPr="00D74E7A">
              <w:rPr>
                <w:sz w:val="20"/>
                <w:szCs w:val="20"/>
              </w:rPr>
              <w:t xml:space="preserve"> per 100 births   3.396 to 3.706</w:t>
            </w:r>
          </w:p>
        </w:tc>
        <w:tc>
          <w:tcPr>
            <w:tcW w:w="1984" w:type="dxa"/>
          </w:tcPr>
          <w:p w14:paraId="2BE8621E" w14:textId="77777777" w:rsidR="008A155D" w:rsidRPr="00D74E7A" w:rsidRDefault="008A155D" w:rsidP="00980096">
            <w:pPr>
              <w:spacing w:line="360" w:lineRule="auto"/>
              <w:rPr>
                <w:sz w:val="20"/>
                <w:szCs w:val="20"/>
              </w:rPr>
            </w:pPr>
            <w:r w:rsidRPr="00D74E7A">
              <w:rPr>
                <w:sz w:val="20"/>
                <w:szCs w:val="20"/>
              </w:rPr>
              <w:t>0.920 (0.815, 1.037)</w:t>
            </w:r>
            <w:r w:rsidRPr="00D74E7A">
              <w:rPr>
                <w:sz w:val="20"/>
                <w:szCs w:val="20"/>
              </w:rPr>
              <w:br/>
              <w:t>p=0.173</w:t>
            </w:r>
            <w:r w:rsidRPr="00D74E7A">
              <w:rPr>
                <w:sz w:val="20"/>
                <w:szCs w:val="20"/>
              </w:rPr>
              <w:br/>
            </w:r>
          </w:p>
        </w:tc>
        <w:tc>
          <w:tcPr>
            <w:tcW w:w="1985" w:type="dxa"/>
          </w:tcPr>
          <w:p w14:paraId="0D08D73F" w14:textId="77777777" w:rsidR="008A155D" w:rsidRPr="00D74E7A" w:rsidRDefault="008A155D" w:rsidP="00980096">
            <w:pPr>
              <w:spacing w:line="360" w:lineRule="auto"/>
              <w:rPr>
                <w:sz w:val="20"/>
                <w:szCs w:val="20"/>
              </w:rPr>
            </w:pPr>
            <w:r w:rsidRPr="00D74E7A">
              <w:rPr>
                <w:sz w:val="20"/>
                <w:szCs w:val="20"/>
              </w:rPr>
              <w:t>1.141 (0.999, 1.303)</w:t>
            </w:r>
            <w:r w:rsidRPr="00D74E7A">
              <w:rPr>
                <w:sz w:val="20"/>
                <w:szCs w:val="20"/>
              </w:rPr>
              <w:br/>
              <w:t>p=0.051</w:t>
            </w:r>
          </w:p>
        </w:tc>
        <w:tc>
          <w:tcPr>
            <w:tcW w:w="1984" w:type="dxa"/>
          </w:tcPr>
          <w:p w14:paraId="273634CD" w14:textId="77777777" w:rsidR="008A155D" w:rsidRPr="00D74E7A" w:rsidRDefault="008A155D" w:rsidP="00980096">
            <w:pPr>
              <w:spacing w:line="360" w:lineRule="auto"/>
              <w:rPr>
                <w:sz w:val="20"/>
                <w:szCs w:val="20"/>
              </w:rPr>
            </w:pPr>
            <w:r w:rsidRPr="00D74E7A">
              <w:rPr>
                <w:sz w:val="20"/>
                <w:szCs w:val="20"/>
              </w:rPr>
              <w:t>1.089 (0.985, 1.203)</w:t>
            </w:r>
            <w:r w:rsidRPr="00D74E7A">
              <w:rPr>
                <w:sz w:val="20"/>
                <w:szCs w:val="20"/>
              </w:rPr>
              <w:br/>
              <w:t>p=0.096</w:t>
            </w:r>
          </w:p>
        </w:tc>
        <w:tc>
          <w:tcPr>
            <w:tcW w:w="1985" w:type="dxa"/>
          </w:tcPr>
          <w:p w14:paraId="659456B1" w14:textId="77777777" w:rsidR="008A155D" w:rsidRPr="00D74E7A" w:rsidRDefault="008A155D" w:rsidP="00980096">
            <w:pPr>
              <w:spacing w:line="360" w:lineRule="auto"/>
              <w:rPr>
                <w:sz w:val="20"/>
                <w:szCs w:val="20"/>
              </w:rPr>
            </w:pPr>
            <w:r w:rsidRPr="00D74E7A">
              <w:rPr>
                <w:sz w:val="20"/>
                <w:szCs w:val="20"/>
              </w:rPr>
              <w:t>1.067 (0.956, 1.189)</w:t>
            </w:r>
            <w:r w:rsidRPr="00D74E7A">
              <w:rPr>
                <w:sz w:val="20"/>
                <w:szCs w:val="20"/>
              </w:rPr>
              <w:br/>
              <w:t>p=0.246</w:t>
            </w:r>
          </w:p>
        </w:tc>
      </w:tr>
      <w:tr w:rsidR="008A155D" w:rsidRPr="00D74E7A" w14:paraId="3CE9DE0E" w14:textId="77777777" w:rsidTr="00C818CE">
        <w:tc>
          <w:tcPr>
            <w:tcW w:w="1413" w:type="dxa"/>
          </w:tcPr>
          <w:p w14:paraId="405BF3D4" w14:textId="77777777" w:rsidR="008A155D" w:rsidRPr="00D74E7A" w:rsidRDefault="008A155D" w:rsidP="00980096">
            <w:pPr>
              <w:spacing w:line="360" w:lineRule="auto"/>
              <w:rPr>
                <w:sz w:val="20"/>
                <w:szCs w:val="20"/>
              </w:rPr>
            </w:pPr>
            <w:r w:rsidRPr="00D74E7A">
              <w:rPr>
                <w:sz w:val="20"/>
                <w:szCs w:val="20"/>
              </w:rPr>
              <w:t xml:space="preserve">high </w:t>
            </w:r>
            <w:proofErr w:type="spellStart"/>
            <w:r w:rsidRPr="00D74E7A">
              <w:rPr>
                <w:sz w:val="20"/>
                <w:szCs w:val="20"/>
              </w:rPr>
              <w:t>fte</w:t>
            </w:r>
            <w:proofErr w:type="spellEnd"/>
            <w:r w:rsidRPr="00D74E7A">
              <w:rPr>
                <w:sz w:val="20"/>
                <w:szCs w:val="20"/>
              </w:rPr>
              <w:t xml:space="preserve"> per 100 births  3.707 to 5.217</w:t>
            </w:r>
          </w:p>
        </w:tc>
        <w:tc>
          <w:tcPr>
            <w:tcW w:w="1984" w:type="dxa"/>
          </w:tcPr>
          <w:p w14:paraId="22A5D599" w14:textId="77777777" w:rsidR="008A155D" w:rsidRPr="00D74E7A" w:rsidRDefault="008A155D" w:rsidP="00980096">
            <w:pPr>
              <w:spacing w:line="360" w:lineRule="auto"/>
              <w:rPr>
                <w:sz w:val="20"/>
                <w:szCs w:val="20"/>
              </w:rPr>
            </w:pPr>
            <w:r w:rsidRPr="00D74E7A">
              <w:rPr>
                <w:sz w:val="20"/>
                <w:szCs w:val="20"/>
              </w:rPr>
              <w:t>0.789 (0.697, 0.894)</w:t>
            </w:r>
            <w:r w:rsidRPr="00D74E7A">
              <w:rPr>
                <w:sz w:val="20"/>
                <w:szCs w:val="20"/>
              </w:rPr>
              <w:br/>
              <w:t>p&lt;0.001</w:t>
            </w:r>
          </w:p>
        </w:tc>
        <w:tc>
          <w:tcPr>
            <w:tcW w:w="1985" w:type="dxa"/>
          </w:tcPr>
          <w:p w14:paraId="4F00104B" w14:textId="77777777" w:rsidR="008A155D" w:rsidRPr="00D74E7A" w:rsidRDefault="008A155D" w:rsidP="00980096">
            <w:pPr>
              <w:spacing w:line="360" w:lineRule="auto"/>
              <w:rPr>
                <w:sz w:val="20"/>
                <w:szCs w:val="20"/>
              </w:rPr>
            </w:pPr>
            <w:r w:rsidRPr="00D74E7A">
              <w:rPr>
                <w:sz w:val="20"/>
                <w:szCs w:val="20"/>
              </w:rPr>
              <w:t>1.191 (1.037, 1.367)</w:t>
            </w:r>
            <w:r w:rsidRPr="00D74E7A">
              <w:rPr>
                <w:sz w:val="20"/>
                <w:szCs w:val="20"/>
              </w:rPr>
              <w:br/>
              <w:t>p=0.013</w:t>
            </w:r>
          </w:p>
        </w:tc>
        <w:tc>
          <w:tcPr>
            <w:tcW w:w="1984" w:type="dxa"/>
          </w:tcPr>
          <w:p w14:paraId="507DF28C" w14:textId="77777777" w:rsidR="008A155D" w:rsidRPr="00D74E7A" w:rsidRDefault="008A155D" w:rsidP="00980096">
            <w:pPr>
              <w:spacing w:line="360" w:lineRule="auto"/>
              <w:rPr>
                <w:sz w:val="20"/>
                <w:szCs w:val="20"/>
              </w:rPr>
            </w:pPr>
            <w:r w:rsidRPr="00D74E7A">
              <w:rPr>
                <w:sz w:val="20"/>
                <w:szCs w:val="20"/>
              </w:rPr>
              <w:t>1.130 (1.018, 1.255)</w:t>
            </w:r>
          </w:p>
          <w:p w14:paraId="0ACED4E1" w14:textId="77777777" w:rsidR="008A155D" w:rsidRPr="00D74E7A" w:rsidRDefault="008A155D" w:rsidP="00980096">
            <w:pPr>
              <w:spacing w:line="360" w:lineRule="auto"/>
              <w:rPr>
                <w:sz w:val="20"/>
                <w:szCs w:val="20"/>
              </w:rPr>
            </w:pPr>
            <w:r w:rsidRPr="00D74E7A">
              <w:rPr>
                <w:sz w:val="20"/>
                <w:szCs w:val="20"/>
              </w:rPr>
              <w:t>P=0.022</w:t>
            </w:r>
          </w:p>
        </w:tc>
        <w:tc>
          <w:tcPr>
            <w:tcW w:w="1985" w:type="dxa"/>
          </w:tcPr>
          <w:p w14:paraId="3BC9846B" w14:textId="77777777" w:rsidR="008A155D" w:rsidRPr="00D74E7A" w:rsidRDefault="008A155D" w:rsidP="00980096">
            <w:pPr>
              <w:spacing w:line="360" w:lineRule="auto"/>
              <w:rPr>
                <w:sz w:val="20"/>
                <w:szCs w:val="20"/>
              </w:rPr>
            </w:pPr>
            <w:r w:rsidRPr="00D74E7A">
              <w:rPr>
                <w:sz w:val="20"/>
                <w:szCs w:val="20"/>
              </w:rPr>
              <w:t>1.080 (0.963, 1.211)</w:t>
            </w:r>
            <w:r w:rsidRPr="00D74E7A">
              <w:rPr>
                <w:sz w:val="20"/>
                <w:szCs w:val="20"/>
              </w:rPr>
              <w:br/>
              <w:t>p=0.187</w:t>
            </w:r>
          </w:p>
        </w:tc>
      </w:tr>
    </w:tbl>
    <w:tbl>
      <w:tblPr>
        <w:tblStyle w:val="TableGrid1"/>
        <w:tblW w:w="9351" w:type="dxa"/>
        <w:tblLook w:val="04A0" w:firstRow="1" w:lastRow="0" w:firstColumn="1" w:lastColumn="0" w:noHBand="0" w:noVBand="1"/>
      </w:tblPr>
      <w:tblGrid>
        <w:gridCol w:w="1413"/>
        <w:gridCol w:w="1984"/>
        <w:gridCol w:w="1985"/>
        <w:gridCol w:w="1984"/>
        <w:gridCol w:w="1985"/>
      </w:tblGrid>
      <w:tr w:rsidR="008A155D" w:rsidRPr="00D74E7A" w14:paraId="43B1090F" w14:textId="77777777" w:rsidTr="00C818CE">
        <w:tc>
          <w:tcPr>
            <w:tcW w:w="9351" w:type="dxa"/>
            <w:gridSpan w:val="5"/>
          </w:tcPr>
          <w:p w14:paraId="72F8891D" w14:textId="77777777" w:rsidR="008A155D" w:rsidRPr="00D74E7A" w:rsidRDefault="008A155D" w:rsidP="00980096">
            <w:pPr>
              <w:spacing w:line="360" w:lineRule="auto"/>
              <w:rPr>
                <w:sz w:val="20"/>
                <w:szCs w:val="20"/>
              </w:rPr>
            </w:pPr>
            <w:bookmarkStart w:id="7" w:name="_Hlk82685515"/>
            <w:r w:rsidRPr="00D74E7A">
              <w:rPr>
                <w:sz w:val="20"/>
                <w:szCs w:val="20"/>
              </w:rPr>
              <w:t xml:space="preserve">Absolute risk difference compared to reference group of low </w:t>
            </w:r>
            <w:proofErr w:type="spellStart"/>
            <w:r w:rsidRPr="00D74E7A">
              <w:rPr>
                <w:sz w:val="20"/>
                <w:szCs w:val="20"/>
              </w:rPr>
              <w:t>fte</w:t>
            </w:r>
            <w:proofErr w:type="spellEnd"/>
            <w:r w:rsidRPr="00D74E7A">
              <w:rPr>
                <w:sz w:val="20"/>
                <w:szCs w:val="20"/>
              </w:rPr>
              <w:t xml:space="preserve"> per 100 births , predicted from model</w:t>
            </w:r>
          </w:p>
        </w:tc>
      </w:tr>
      <w:tr w:rsidR="008A155D" w:rsidRPr="00D74E7A" w14:paraId="5C193862" w14:textId="77777777" w:rsidTr="00C818CE">
        <w:tc>
          <w:tcPr>
            <w:tcW w:w="1413" w:type="dxa"/>
          </w:tcPr>
          <w:p w14:paraId="79B55119" w14:textId="77777777" w:rsidR="008A155D" w:rsidRPr="00D74E7A" w:rsidRDefault="008A155D" w:rsidP="00980096">
            <w:pPr>
              <w:spacing w:line="360" w:lineRule="auto"/>
              <w:rPr>
                <w:sz w:val="20"/>
                <w:szCs w:val="20"/>
              </w:rPr>
            </w:pPr>
            <w:r w:rsidRPr="00D74E7A">
              <w:rPr>
                <w:sz w:val="20"/>
                <w:szCs w:val="20"/>
              </w:rPr>
              <w:t xml:space="preserve">mid </w:t>
            </w:r>
            <w:proofErr w:type="spellStart"/>
            <w:r w:rsidRPr="00D74E7A">
              <w:rPr>
                <w:sz w:val="20"/>
                <w:szCs w:val="20"/>
              </w:rPr>
              <w:t>fte</w:t>
            </w:r>
            <w:proofErr w:type="spellEnd"/>
            <w:r w:rsidRPr="00D74E7A">
              <w:rPr>
                <w:sz w:val="20"/>
                <w:szCs w:val="20"/>
              </w:rPr>
              <w:t xml:space="preserve"> per 100 births   </w:t>
            </w:r>
          </w:p>
        </w:tc>
        <w:tc>
          <w:tcPr>
            <w:tcW w:w="1984" w:type="dxa"/>
          </w:tcPr>
          <w:p w14:paraId="3BF52551" w14:textId="77777777" w:rsidR="008A155D" w:rsidRPr="00D74E7A" w:rsidRDefault="008A155D" w:rsidP="00980096">
            <w:pPr>
              <w:spacing w:line="360" w:lineRule="auto"/>
              <w:rPr>
                <w:sz w:val="20"/>
                <w:szCs w:val="20"/>
              </w:rPr>
            </w:pPr>
            <w:r w:rsidRPr="00D74E7A">
              <w:rPr>
                <w:sz w:val="20"/>
                <w:szCs w:val="20"/>
              </w:rPr>
              <w:t>-2.0%</w:t>
            </w:r>
            <w:r w:rsidRPr="00D74E7A">
              <w:rPr>
                <w:sz w:val="20"/>
                <w:szCs w:val="20"/>
              </w:rPr>
              <w:br/>
              <w:t>(-5.0%, -0.9%)</w:t>
            </w:r>
          </w:p>
        </w:tc>
        <w:tc>
          <w:tcPr>
            <w:tcW w:w="1985" w:type="dxa"/>
          </w:tcPr>
          <w:p w14:paraId="46A56A5E" w14:textId="77777777" w:rsidR="008A155D" w:rsidRPr="00D74E7A" w:rsidRDefault="008A155D" w:rsidP="00980096">
            <w:pPr>
              <w:spacing w:line="360" w:lineRule="auto"/>
              <w:rPr>
                <w:sz w:val="20"/>
                <w:szCs w:val="20"/>
              </w:rPr>
            </w:pPr>
            <w:r w:rsidRPr="00D74E7A">
              <w:rPr>
                <w:sz w:val="20"/>
                <w:szCs w:val="20"/>
              </w:rPr>
              <w:t>3.1%</w:t>
            </w:r>
            <w:r w:rsidRPr="00D74E7A">
              <w:rPr>
                <w:sz w:val="20"/>
                <w:szCs w:val="20"/>
              </w:rPr>
              <w:br/>
              <w:t>(0.0%, 6.2%)</w:t>
            </w:r>
          </w:p>
        </w:tc>
        <w:tc>
          <w:tcPr>
            <w:tcW w:w="1984" w:type="dxa"/>
          </w:tcPr>
          <w:p w14:paraId="52EE7F19" w14:textId="77777777" w:rsidR="008A155D" w:rsidRPr="00D74E7A" w:rsidRDefault="008A155D" w:rsidP="00980096">
            <w:pPr>
              <w:spacing w:line="360" w:lineRule="auto"/>
              <w:rPr>
                <w:sz w:val="20"/>
                <w:szCs w:val="20"/>
              </w:rPr>
            </w:pPr>
            <w:r w:rsidRPr="00D74E7A">
              <w:rPr>
                <w:sz w:val="20"/>
                <w:szCs w:val="20"/>
              </w:rPr>
              <w:t>1.9%</w:t>
            </w:r>
            <w:r w:rsidRPr="00D74E7A">
              <w:rPr>
                <w:sz w:val="20"/>
                <w:szCs w:val="20"/>
              </w:rPr>
              <w:br/>
              <w:t>(0.3%, 4.1%)</w:t>
            </w:r>
          </w:p>
        </w:tc>
        <w:tc>
          <w:tcPr>
            <w:tcW w:w="1985" w:type="dxa"/>
          </w:tcPr>
          <w:p w14:paraId="228ED1F4" w14:textId="77777777" w:rsidR="008A155D" w:rsidRPr="00D74E7A" w:rsidRDefault="008A155D" w:rsidP="00980096">
            <w:pPr>
              <w:spacing w:line="360" w:lineRule="auto"/>
              <w:rPr>
                <w:sz w:val="20"/>
                <w:szCs w:val="20"/>
              </w:rPr>
            </w:pPr>
            <w:r w:rsidRPr="00D74E7A">
              <w:rPr>
                <w:sz w:val="20"/>
                <w:szCs w:val="20"/>
              </w:rPr>
              <w:t>1.2%</w:t>
            </w:r>
            <w:r w:rsidRPr="00D74E7A">
              <w:rPr>
                <w:sz w:val="20"/>
                <w:szCs w:val="20"/>
              </w:rPr>
              <w:br/>
              <w:t>(-0.8%, 3.2%)</w:t>
            </w:r>
          </w:p>
        </w:tc>
      </w:tr>
      <w:tr w:rsidR="008A155D" w:rsidRPr="00D74E7A" w14:paraId="31A4033C" w14:textId="77777777" w:rsidTr="00C818CE">
        <w:tc>
          <w:tcPr>
            <w:tcW w:w="1413" w:type="dxa"/>
          </w:tcPr>
          <w:p w14:paraId="4E94F106" w14:textId="77777777" w:rsidR="008A155D" w:rsidRPr="00D74E7A" w:rsidRDefault="008A155D" w:rsidP="00980096">
            <w:pPr>
              <w:spacing w:line="360" w:lineRule="auto"/>
              <w:rPr>
                <w:sz w:val="20"/>
                <w:szCs w:val="20"/>
              </w:rPr>
            </w:pPr>
            <w:r w:rsidRPr="00D74E7A">
              <w:rPr>
                <w:sz w:val="20"/>
                <w:szCs w:val="20"/>
              </w:rPr>
              <w:t xml:space="preserve">high </w:t>
            </w:r>
            <w:proofErr w:type="spellStart"/>
            <w:r w:rsidRPr="00D74E7A">
              <w:rPr>
                <w:sz w:val="20"/>
                <w:szCs w:val="20"/>
              </w:rPr>
              <w:t>fte</w:t>
            </w:r>
            <w:proofErr w:type="spellEnd"/>
            <w:r w:rsidRPr="00D74E7A">
              <w:rPr>
                <w:sz w:val="20"/>
                <w:szCs w:val="20"/>
              </w:rPr>
              <w:t xml:space="preserve"> per 100 births  </w:t>
            </w:r>
          </w:p>
        </w:tc>
        <w:tc>
          <w:tcPr>
            <w:tcW w:w="1984" w:type="dxa"/>
          </w:tcPr>
          <w:p w14:paraId="42EF62D3" w14:textId="77777777" w:rsidR="008A155D" w:rsidRPr="00D74E7A" w:rsidRDefault="008A155D" w:rsidP="00980096">
            <w:pPr>
              <w:spacing w:line="360" w:lineRule="auto"/>
              <w:rPr>
                <w:sz w:val="20"/>
                <w:szCs w:val="20"/>
              </w:rPr>
            </w:pPr>
            <w:r w:rsidRPr="00D74E7A">
              <w:rPr>
                <w:sz w:val="20"/>
                <w:szCs w:val="20"/>
              </w:rPr>
              <w:t xml:space="preserve">-5.7% </w:t>
            </w:r>
            <w:r w:rsidRPr="00D74E7A">
              <w:rPr>
                <w:sz w:val="20"/>
                <w:szCs w:val="20"/>
              </w:rPr>
              <w:br/>
              <w:t>(-8.8%, -2.7%)</w:t>
            </w:r>
          </w:p>
        </w:tc>
        <w:tc>
          <w:tcPr>
            <w:tcW w:w="1985" w:type="dxa"/>
          </w:tcPr>
          <w:p w14:paraId="74AF04DA" w14:textId="77777777" w:rsidR="008A155D" w:rsidRPr="00D74E7A" w:rsidRDefault="008A155D" w:rsidP="00980096">
            <w:pPr>
              <w:spacing w:line="360" w:lineRule="auto"/>
              <w:rPr>
                <w:sz w:val="20"/>
                <w:szCs w:val="20"/>
              </w:rPr>
            </w:pPr>
            <w:r w:rsidRPr="00D74E7A">
              <w:rPr>
                <w:sz w:val="20"/>
                <w:szCs w:val="20"/>
              </w:rPr>
              <w:t>4.1%</w:t>
            </w:r>
            <w:r w:rsidRPr="00D74E7A">
              <w:rPr>
                <w:sz w:val="20"/>
                <w:szCs w:val="20"/>
              </w:rPr>
              <w:br/>
              <w:t>(0.9%, 7.3%)</w:t>
            </w:r>
          </w:p>
        </w:tc>
        <w:tc>
          <w:tcPr>
            <w:tcW w:w="1984" w:type="dxa"/>
          </w:tcPr>
          <w:p w14:paraId="795A14FB" w14:textId="77777777" w:rsidR="008A155D" w:rsidRPr="00D74E7A" w:rsidRDefault="008A155D" w:rsidP="00980096">
            <w:pPr>
              <w:spacing w:line="360" w:lineRule="auto"/>
              <w:rPr>
                <w:sz w:val="20"/>
                <w:szCs w:val="20"/>
              </w:rPr>
            </w:pPr>
            <w:r w:rsidRPr="00D74E7A">
              <w:rPr>
                <w:sz w:val="20"/>
                <w:szCs w:val="20"/>
              </w:rPr>
              <w:t>2.7%</w:t>
            </w:r>
            <w:r w:rsidRPr="00D74E7A">
              <w:rPr>
                <w:sz w:val="20"/>
                <w:szCs w:val="20"/>
              </w:rPr>
              <w:br/>
              <w:t>(0.4%, 5.1%)</w:t>
            </w:r>
          </w:p>
        </w:tc>
        <w:tc>
          <w:tcPr>
            <w:tcW w:w="1985" w:type="dxa"/>
          </w:tcPr>
          <w:p w14:paraId="0FE3CFB5" w14:textId="77777777" w:rsidR="008A155D" w:rsidRPr="00D74E7A" w:rsidRDefault="008A155D" w:rsidP="00980096">
            <w:pPr>
              <w:spacing w:line="360" w:lineRule="auto"/>
              <w:rPr>
                <w:sz w:val="20"/>
                <w:szCs w:val="20"/>
              </w:rPr>
            </w:pPr>
            <w:r w:rsidRPr="00D74E7A">
              <w:rPr>
                <w:sz w:val="20"/>
                <w:szCs w:val="20"/>
              </w:rPr>
              <w:t>1.4%</w:t>
            </w:r>
            <w:r w:rsidRPr="00D74E7A">
              <w:rPr>
                <w:sz w:val="20"/>
                <w:szCs w:val="20"/>
              </w:rPr>
              <w:br/>
              <w:t>(-0.7%, 3.6%)</w:t>
            </w:r>
          </w:p>
        </w:tc>
      </w:tr>
      <w:tr w:rsidR="008A155D" w:rsidRPr="00D74E7A" w14:paraId="7A3B7491" w14:textId="77777777" w:rsidTr="009B71FE">
        <w:tc>
          <w:tcPr>
            <w:tcW w:w="9351" w:type="dxa"/>
            <w:gridSpan w:val="5"/>
          </w:tcPr>
          <w:p w14:paraId="7C1CDC46" w14:textId="77777777" w:rsidR="008A155D" w:rsidRPr="00D74E7A" w:rsidRDefault="008A155D" w:rsidP="00980096">
            <w:pPr>
              <w:spacing w:line="360" w:lineRule="auto"/>
              <w:rPr>
                <w:sz w:val="20"/>
                <w:szCs w:val="20"/>
              </w:rPr>
            </w:pPr>
            <w:r>
              <w:rPr>
                <w:sz w:val="20"/>
                <w:szCs w:val="20"/>
              </w:rPr>
              <w:t>Number of women exposed to provide benefit for 1 woman  (calculated as 1/absolute risk difference)</w:t>
            </w:r>
          </w:p>
        </w:tc>
      </w:tr>
      <w:tr w:rsidR="008A155D" w:rsidRPr="00D74E7A" w14:paraId="0BD47788" w14:textId="77777777" w:rsidTr="00C818CE">
        <w:tc>
          <w:tcPr>
            <w:tcW w:w="1413" w:type="dxa"/>
          </w:tcPr>
          <w:p w14:paraId="55F3EAB7" w14:textId="77777777" w:rsidR="008A155D" w:rsidRPr="00D74E7A" w:rsidRDefault="008A155D" w:rsidP="00980096">
            <w:pPr>
              <w:spacing w:line="360" w:lineRule="auto"/>
              <w:rPr>
                <w:sz w:val="20"/>
                <w:szCs w:val="20"/>
              </w:rPr>
            </w:pPr>
            <w:r>
              <w:rPr>
                <w:sz w:val="20"/>
                <w:szCs w:val="20"/>
              </w:rPr>
              <w:t xml:space="preserve">Highest </w:t>
            </w:r>
            <w:proofErr w:type="spellStart"/>
            <w:r>
              <w:rPr>
                <w:sz w:val="20"/>
                <w:szCs w:val="20"/>
              </w:rPr>
              <w:t>tertile</w:t>
            </w:r>
            <w:proofErr w:type="spellEnd"/>
            <w:r>
              <w:rPr>
                <w:sz w:val="20"/>
                <w:szCs w:val="20"/>
              </w:rPr>
              <w:t xml:space="preserve"> of staffing vs Lowest </w:t>
            </w:r>
            <w:proofErr w:type="spellStart"/>
            <w:r>
              <w:rPr>
                <w:sz w:val="20"/>
                <w:szCs w:val="20"/>
              </w:rPr>
              <w:t>tertile</w:t>
            </w:r>
            <w:proofErr w:type="spellEnd"/>
          </w:p>
        </w:tc>
        <w:tc>
          <w:tcPr>
            <w:tcW w:w="1984" w:type="dxa"/>
          </w:tcPr>
          <w:p w14:paraId="09805B0E" w14:textId="77777777" w:rsidR="008A155D" w:rsidRDefault="008A155D" w:rsidP="00980096">
            <w:pPr>
              <w:spacing w:line="360" w:lineRule="auto"/>
              <w:rPr>
                <w:sz w:val="20"/>
                <w:szCs w:val="20"/>
              </w:rPr>
            </w:pPr>
            <w:r>
              <w:rPr>
                <w:sz w:val="20"/>
                <w:szCs w:val="20"/>
              </w:rPr>
              <w:t>18</w:t>
            </w:r>
          </w:p>
          <w:p w14:paraId="1C31E322" w14:textId="77777777" w:rsidR="008A155D" w:rsidRPr="00D74E7A" w:rsidRDefault="008A155D" w:rsidP="00980096">
            <w:pPr>
              <w:spacing w:line="360" w:lineRule="auto"/>
              <w:rPr>
                <w:sz w:val="20"/>
                <w:szCs w:val="20"/>
              </w:rPr>
            </w:pPr>
            <w:r>
              <w:rPr>
                <w:sz w:val="20"/>
                <w:szCs w:val="20"/>
              </w:rPr>
              <w:t>(11 to 37)</w:t>
            </w:r>
          </w:p>
        </w:tc>
        <w:tc>
          <w:tcPr>
            <w:tcW w:w="1985" w:type="dxa"/>
          </w:tcPr>
          <w:p w14:paraId="40E347EC" w14:textId="77777777" w:rsidR="008A155D" w:rsidRPr="00D74E7A" w:rsidRDefault="008A155D" w:rsidP="00980096">
            <w:pPr>
              <w:spacing w:line="360" w:lineRule="auto"/>
              <w:rPr>
                <w:sz w:val="20"/>
                <w:szCs w:val="20"/>
              </w:rPr>
            </w:pPr>
            <w:r>
              <w:rPr>
                <w:sz w:val="20"/>
                <w:szCs w:val="20"/>
              </w:rPr>
              <w:t>24</w:t>
            </w:r>
            <w:r>
              <w:rPr>
                <w:sz w:val="20"/>
                <w:szCs w:val="20"/>
              </w:rPr>
              <w:br/>
              <w:t>(14 to 111)</w:t>
            </w:r>
          </w:p>
        </w:tc>
        <w:tc>
          <w:tcPr>
            <w:tcW w:w="1984" w:type="dxa"/>
          </w:tcPr>
          <w:p w14:paraId="6A4B07E4" w14:textId="77777777" w:rsidR="008A155D" w:rsidRPr="00D74E7A" w:rsidRDefault="008A155D" w:rsidP="00980096">
            <w:pPr>
              <w:spacing w:line="360" w:lineRule="auto"/>
              <w:rPr>
                <w:sz w:val="20"/>
                <w:szCs w:val="20"/>
              </w:rPr>
            </w:pPr>
            <w:r>
              <w:rPr>
                <w:sz w:val="20"/>
                <w:szCs w:val="20"/>
              </w:rPr>
              <w:t>37</w:t>
            </w:r>
            <w:r>
              <w:rPr>
                <w:sz w:val="20"/>
                <w:szCs w:val="20"/>
              </w:rPr>
              <w:br/>
              <w:t>(20 to 250)</w:t>
            </w:r>
          </w:p>
        </w:tc>
        <w:tc>
          <w:tcPr>
            <w:tcW w:w="1985" w:type="dxa"/>
          </w:tcPr>
          <w:p w14:paraId="5B7AA9E4" w14:textId="77777777" w:rsidR="008A155D" w:rsidRPr="00D74E7A" w:rsidRDefault="008A155D" w:rsidP="00980096">
            <w:pPr>
              <w:spacing w:line="360" w:lineRule="auto"/>
              <w:rPr>
                <w:sz w:val="20"/>
                <w:szCs w:val="20"/>
              </w:rPr>
            </w:pPr>
            <w:r>
              <w:rPr>
                <w:sz w:val="20"/>
                <w:szCs w:val="20"/>
              </w:rPr>
              <w:t>71 (</w:t>
            </w:r>
            <w:proofErr w:type="spellStart"/>
            <w:r>
              <w:rPr>
                <w:sz w:val="20"/>
                <w:szCs w:val="20"/>
              </w:rPr>
              <w:t>non significant</w:t>
            </w:r>
            <w:proofErr w:type="spellEnd"/>
            <w:r>
              <w:rPr>
                <w:sz w:val="20"/>
                <w:szCs w:val="20"/>
              </w:rPr>
              <w:t>)</w:t>
            </w:r>
            <w:r>
              <w:rPr>
                <w:sz w:val="20"/>
                <w:szCs w:val="20"/>
              </w:rPr>
              <w:br/>
            </w:r>
          </w:p>
        </w:tc>
      </w:tr>
    </w:tbl>
    <w:bookmarkEnd w:id="7"/>
    <w:p w14:paraId="70FA5EDD" w14:textId="77777777" w:rsidR="008A155D" w:rsidRPr="00742DCB" w:rsidRDefault="008A155D" w:rsidP="00980096">
      <w:pPr>
        <w:pStyle w:val="Default"/>
        <w:spacing w:line="360" w:lineRule="auto"/>
        <w:rPr>
          <w:rFonts w:asciiTheme="minorHAnsi" w:hAnsiTheme="minorHAnsi" w:cstheme="minorBidi"/>
          <w:color w:val="auto"/>
          <w:sz w:val="22"/>
          <w:szCs w:val="22"/>
        </w:rPr>
      </w:pPr>
      <w:proofErr w:type="spellStart"/>
      <w:r w:rsidRPr="00742DCB">
        <w:rPr>
          <w:rFonts w:asciiTheme="minorHAnsi" w:hAnsiTheme="minorHAnsi" w:cstheme="minorBidi"/>
          <w:color w:val="auto"/>
          <w:sz w:val="22"/>
          <w:szCs w:val="22"/>
        </w:rPr>
        <w:t>fte</w:t>
      </w:r>
      <w:proofErr w:type="spellEnd"/>
      <w:r w:rsidRPr="00742DCB">
        <w:rPr>
          <w:rFonts w:asciiTheme="minorHAnsi" w:hAnsiTheme="minorHAnsi" w:cstheme="minorBidi"/>
          <w:color w:val="auto"/>
          <w:sz w:val="22"/>
          <w:szCs w:val="22"/>
        </w:rPr>
        <w:t xml:space="preserve"> = Full Time Equivalent</w:t>
      </w:r>
    </w:p>
    <w:p w14:paraId="501648E8" w14:textId="77777777" w:rsidR="008A155D" w:rsidRPr="00742DCB" w:rsidRDefault="008A155D" w:rsidP="008F396C"/>
    <w:p w14:paraId="01F7D99B" w14:textId="77777777" w:rsidR="008A155D" w:rsidRPr="00742DCB" w:rsidRDefault="008A155D">
      <w:r w:rsidRPr="00742DCB">
        <w:br w:type="page"/>
      </w:r>
    </w:p>
    <w:p w14:paraId="1C63C350" w14:textId="77777777" w:rsidR="008A155D" w:rsidRPr="00742DCB" w:rsidRDefault="008A155D" w:rsidP="00A825CF">
      <w:pPr>
        <w:spacing w:line="480" w:lineRule="auto"/>
        <w:rPr>
          <w:b/>
          <w:bCs/>
        </w:rPr>
      </w:pPr>
      <w:r w:rsidRPr="00742DCB">
        <w:rPr>
          <w:b/>
          <w:bCs/>
        </w:rPr>
        <w:lastRenderedPageBreak/>
        <w:t>References</w:t>
      </w:r>
    </w:p>
    <w:p w14:paraId="3A4889CA" w14:textId="77777777" w:rsidR="008A155D" w:rsidRPr="00A06CF1" w:rsidRDefault="008A155D" w:rsidP="00A06CF1">
      <w:pPr>
        <w:pStyle w:val="EndNoteBibliography"/>
        <w:spacing w:after="0"/>
      </w:pPr>
      <w:r w:rsidRPr="00A06CF1">
        <w:t xml:space="preserve">1.UNFPA. The State of The World's Midwifery, 2021. </w:t>
      </w:r>
      <w:r w:rsidRPr="008A155D">
        <w:t>https://www.unfpa.org/sites/default/files/resource-pdf/21-038-UNFPA-SoWMY2021-FastFacts-ENv4302.pdf</w:t>
      </w:r>
    </w:p>
    <w:p w14:paraId="0BDADDEE" w14:textId="77777777" w:rsidR="008A155D" w:rsidRPr="00A06CF1" w:rsidRDefault="008A155D" w:rsidP="00A06CF1">
      <w:pPr>
        <w:pStyle w:val="EndNoteBibliography"/>
        <w:spacing w:after="0"/>
      </w:pPr>
      <w:r w:rsidRPr="00A06CF1">
        <w:t xml:space="preserve">2.Nove A, Friberg IK, de Bernis L, et al. Potential impact of midwives in preventing and reducing maternal and neonatal mortality and stillbirths: a Lives Saved Tool modelling study. </w:t>
      </w:r>
      <w:r w:rsidRPr="00A06CF1">
        <w:rPr>
          <w:i/>
        </w:rPr>
        <w:t>The Lancet Global Health</w:t>
      </w:r>
      <w:r w:rsidRPr="00A06CF1">
        <w:t xml:space="preserve"> 2021; 9(1): e24-e32.</w:t>
      </w:r>
    </w:p>
    <w:p w14:paraId="6680BB3D" w14:textId="77777777" w:rsidR="008A155D" w:rsidRPr="00A06CF1" w:rsidRDefault="008A155D" w:rsidP="00A06CF1">
      <w:pPr>
        <w:pStyle w:val="EndNoteBibliography"/>
        <w:spacing w:after="0"/>
      </w:pPr>
      <w:r w:rsidRPr="00A06CF1">
        <w:t xml:space="preserve">3.The Institute for Fiscal Studies. Under pressure? NHS maternity services in England. 2017. </w:t>
      </w:r>
      <w:r w:rsidRPr="008A155D">
        <w:t>https://www.ifs.org.uk/uploads/publications/bns/BN215.pdf</w:t>
      </w:r>
      <w:r w:rsidRPr="00A06CF1">
        <w:t>.</w:t>
      </w:r>
    </w:p>
    <w:p w14:paraId="739C13CF" w14:textId="77777777" w:rsidR="008A155D" w:rsidRPr="00A06CF1" w:rsidRDefault="008A155D" w:rsidP="00A06CF1">
      <w:pPr>
        <w:pStyle w:val="EndNoteBibliography"/>
        <w:spacing w:after="0"/>
      </w:pPr>
      <w:r w:rsidRPr="00A06CF1">
        <w:t xml:space="preserve">4.Buchan J, Gershlick B, Charlesworth A, Seccombe I. Falling short: the NHS workforce challenge: The Health Foundation, 2019. </w:t>
      </w:r>
      <w:r w:rsidRPr="008A155D">
        <w:t>https://www.health.org.uk/publications/reports/falling-short-the-nhs-workforce-challenge</w:t>
      </w:r>
    </w:p>
    <w:p w14:paraId="45B0E7AE" w14:textId="77777777" w:rsidR="008A155D" w:rsidRPr="00A06CF1" w:rsidRDefault="008A155D" w:rsidP="00A06CF1">
      <w:pPr>
        <w:pStyle w:val="EndNoteBibliography"/>
        <w:spacing w:after="0"/>
      </w:pPr>
      <w:r w:rsidRPr="00A06CF1">
        <w:t xml:space="preserve">5.Health Education England. Maternity Workforce Strategy – Transforming the Maternity Workforce, 2019. </w:t>
      </w:r>
      <w:r w:rsidRPr="008A155D">
        <w:t>https://www.hee.nhs.uk/sites/default/files/document/MWS_Report_Web.pdf</w:t>
      </w:r>
    </w:p>
    <w:p w14:paraId="2EB4E53D" w14:textId="77777777" w:rsidR="008A155D" w:rsidRPr="00A06CF1" w:rsidRDefault="008A155D" w:rsidP="00A06CF1">
      <w:pPr>
        <w:pStyle w:val="EndNoteBibliography"/>
        <w:spacing w:after="0"/>
      </w:pPr>
      <w:r w:rsidRPr="00A06CF1">
        <w:t xml:space="preserve">6.Brown SJ, Davey M-A, Bruinsma FJ. Women's views and experiences of postnatal hospital care in the Victorian Survey of Recent Mothers 2000. </w:t>
      </w:r>
      <w:r w:rsidRPr="00A06CF1">
        <w:rPr>
          <w:i/>
        </w:rPr>
        <w:t>Midwifery</w:t>
      </w:r>
      <w:r w:rsidRPr="00A06CF1">
        <w:t xml:space="preserve"> 2005; 21(2): 109-26.</w:t>
      </w:r>
    </w:p>
    <w:p w14:paraId="6CCB25A1" w14:textId="77777777" w:rsidR="008A155D" w:rsidRPr="00A06CF1" w:rsidRDefault="008A155D" w:rsidP="00A06CF1">
      <w:pPr>
        <w:pStyle w:val="EndNoteBibliography"/>
        <w:spacing w:after="0"/>
      </w:pPr>
      <w:r w:rsidRPr="00A06CF1">
        <w:t xml:space="preserve">7.Scottish Government. Maternity care survey 2018: national results, 2019. </w:t>
      </w:r>
      <w:r w:rsidRPr="008A155D">
        <w:t>https://www.gov.scot/publications/maternity-care-survey-2018-national-results/</w:t>
      </w:r>
    </w:p>
    <w:p w14:paraId="486F94D6" w14:textId="77777777" w:rsidR="008A155D" w:rsidRPr="00A06CF1" w:rsidRDefault="008A155D" w:rsidP="00A06CF1">
      <w:pPr>
        <w:pStyle w:val="EndNoteBibliography"/>
        <w:spacing w:after="0"/>
      </w:pPr>
      <w:r w:rsidRPr="00A06CF1">
        <w:t>8.Care Quality Commission, Picker Institute Europe. 2018 survey of women’s experiences of maternity care. 2020.</w:t>
      </w:r>
    </w:p>
    <w:p w14:paraId="7BADBF9D" w14:textId="77777777" w:rsidR="008A155D" w:rsidRPr="00A06CF1" w:rsidRDefault="008A155D" w:rsidP="00A06CF1">
      <w:pPr>
        <w:pStyle w:val="EndNoteBibliography"/>
        <w:spacing w:after="0"/>
      </w:pPr>
      <w:r w:rsidRPr="00A06CF1">
        <w:t xml:space="preserve">9.Malouf R, Henderson J, Alderdice F. Expectations and experiences of hospital postnatal care in the UK: a systematic review of quantitative and qualitative studies. </w:t>
      </w:r>
      <w:r w:rsidRPr="00A06CF1">
        <w:rPr>
          <w:i/>
        </w:rPr>
        <w:t>BMJ open</w:t>
      </w:r>
      <w:r w:rsidRPr="00A06CF1">
        <w:t xml:space="preserve"> 2019; 9(7): e022212, 1-28.</w:t>
      </w:r>
    </w:p>
    <w:p w14:paraId="539CDD20" w14:textId="77777777" w:rsidR="008A155D" w:rsidRPr="00A06CF1" w:rsidRDefault="008A155D" w:rsidP="00A06CF1">
      <w:pPr>
        <w:pStyle w:val="EndNoteBibliography"/>
        <w:spacing w:after="0"/>
      </w:pPr>
      <w:r w:rsidRPr="00A06CF1">
        <w:t xml:space="preserve">10.Nilsen Mørch M, Sommerseth E, Dahl B. Perceptions of postnatal care after emergency caesarean sections. </w:t>
      </w:r>
      <w:r w:rsidRPr="00A06CF1">
        <w:rPr>
          <w:i/>
        </w:rPr>
        <w:t>Norwegian Journal of Clinical Nursing</w:t>
      </w:r>
      <w:r w:rsidRPr="00A06CF1">
        <w:t xml:space="preserve"> 2019; </w:t>
      </w:r>
      <w:r w:rsidRPr="008A155D">
        <w:t>https://doi.org/10.4220/Sykepleienf.2019.76793</w:t>
      </w:r>
      <w:r w:rsidRPr="00A06CF1">
        <w:t>.</w:t>
      </w:r>
    </w:p>
    <w:p w14:paraId="43DBEE77" w14:textId="77777777" w:rsidR="008A155D" w:rsidRPr="00A06CF1" w:rsidRDefault="008A155D" w:rsidP="00A06CF1">
      <w:pPr>
        <w:pStyle w:val="EndNoteBibliography"/>
        <w:spacing w:after="0"/>
      </w:pPr>
      <w:r w:rsidRPr="00A06CF1">
        <w:t xml:space="preserve">11.Rudman A, Waldenstrom U. Critical views on postpartum care expressed by new mothers. </w:t>
      </w:r>
      <w:r w:rsidRPr="00A06CF1">
        <w:rPr>
          <w:i/>
        </w:rPr>
        <w:t>Bmc Health Services Research</w:t>
      </w:r>
      <w:r w:rsidRPr="00A06CF1">
        <w:t xml:space="preserve"> 2007; 7(178).</w:t>
      </w:r>
    </w:p>
    <w:p w14:paraId="67581CE6" w14:textId="77777777" w:rsidR="008A155D" w:rsidRPr="00A06CF1" w:rsidRDefault="008A155D" w:rsidP="00A06CF1">
      <w:pPr>
        <w:pStyle w:val="EndNoteBibliography"/>
        <w:spacing w:after="0"/>
      </w:pPr>
      <w:r w:rsidRPr="00A06CF1">
        <w:t xml:space="preserve">12.Bhavnani V, Newburn M. Left to your own devices: The postnatal care experiences of 1260 first-time mothers: National Childbirth Trust, 2010. </w:t>
      </w:r>
      <w:r w:rsidRPr="008A155D">
        <w:t>https://www.nct.org.uk/sites/default/files/related_documents/PostnatalCareSurveyReport5.pdf</w:t>
      </w:r>
    </w:p>
    <w:p w14:paraId="3A59A34F" w14:textId="77777777" w:rsidR="008A155D" w:rsidRPr="00A06CF1" w:rsidRDefault="008A155D" w:rsidP="00A06CF1">
      <w:pPr>
        <w:pStyle w:val="EndNoteBibliography"/>
        <w:spacing w:after="0"/>
      </w:pPr>
      <w:r w:rsidRPr="00A06CF1">
        <w:t xml:space="preserve">13.Fawcett J. The impact of postnatal care on a woman’s overall maternity experience: an analysis of stories from Patient Opinion, 2016. </w:t>
      </w:r>
      <w:r w:rsidRPr="008A155D">
        <w:t>https://www.careopinion.org.uk/resources/blog-resources/1-files/postnatal-care-march-2016.docx</w:t>
      </w:r>
    </w:p>
    <w:p w14:paraId="1BDADBED" w14:textId="77777777" w:rsidR="008A155D" w:rsidRPr="00A06CF1" w:rsidRDefault="008A155D" w:rsidP="00A06CF1">
      <w:pPr>
        <w:pStyle w:val="EndNoteBibliography"/>
        <w:spacing w:after="0"/>
      </w:pPr>
      <w:r w:rsidRPr="00A06CF1">
        <w:t xml:space="preserve">14.Griffiths P, Ball J, Drennan J, et al. Nurse staffing and patient outcomes: Strengths and limitations of the evidence to inform policy and practice. A review and discussion paper based on evidence reviewed for the National Institute for Health and Care Excellence Safe Staffing guideline development. </w:t>
      </w:r>
      <w:r w:rsidRPr="00A06CF1">
        <w:rPr>
          <w:i/>
        </w:rPr>
        <w:t>Int J Nurs Stud</w:t>
      </w:r>
      <w:r w:rsidRPr="00A06CF1">
        <w:t xml:space="preserve"> 2016; 63: 213-25.</w:t>
      </w:r>
    </w:p>
    <w:p w14:paraId="3633DEDA" w14:textId="77777777" w:rsidR="008A155D" w:rsidRPr="00A06CF1" w:rsidRDefault="008A155D" w:rsidP="00A06CF1">
      <w:pPr>
        <w:pStyle w:val="EndNoteBibliography"/>
        <w:spacing w:after="0"/>
      </w:pPr>
      <w:r w:rsidRPr="00A06CF1">
        <w:t xml:space="preserve">15.Kane RL, Shamliyan TA, Mueller C, Duval S, Wilt TJ. The association of registered nurse staffing levels and patient outcomes: systematic review and meta-analysis. </w:t>
      </w:r>
      <w:r w:rsidRPr="00A06CF1">
        <w:rPr>
          <w:i/>
        </w:rPr>
        <w:t>Medical care</w:t>
      </w:r>
      <w:r w:rsidRPr="00A06CF1">
        <w:t xml:space="preserve"> 2007: 1195-204.</w:t>
      </w:r>
    </w:p>
    <w:p w14:paraId="7EF91D2B" w14:textId="77777777" w:rsidR="008A155D" w:rsidRPr="00A06CF1" w:rsidRDefault="008A155D" w:rsidP="00A06CF1">
      <w:pPr>
        <w:pStyle w:val="EndNoteBibliography"/>
        <w:spacing w:after="0"/>
      </w:pPr>
      <w:r w:rsidRPr="00A06CF1">
        <w:t xml:space="preserve">16.McHugh M, Aiken L, Sloane D, Windsor C, Douglas C, Yates P. Effects of nurse-to-patient ratio legislation on nurse staffing and patient mortality, readmissions, and length of stay: a prospective study in a panel of hospitals. </w:t>
      </w:r>
      <w:r w:rsidRPr="00A06CF1">
        <w:rPr>
          <w:i/>
        </w:rPr>
        <w:t>Lancet</w:t>
      </w:r>
      <w:r w:rsidRPr="00A06CF1">
        <w:t xml:space="preserve"> 2021; 397: 1905-191.</w:t>
      </w:r>
    </w:p>
    <w:p w14:paraId="35E101DE" w14:textId="77777777" w:rsidR="008A155D" w:rsidRPr="00A06CF1" w:rsidRDefault="008A155D" w:rsidP="00A06CF1">
      <w:pPr>
        <w:pStyle w:val="EndNoteBibliography"/>
        <w:spacing w:after="0"/>
      </w:pPr>
      <w:r w:rsidRPr="00A06CF1">
        <w:t xml:space="preserve">17.Twigg DE, Kutzer Y, Jacob E, Seaman K. A quantitative systematic review of the association between nurse skill mix and nursing-sensitive patient outcomes in the acute care setting. </w:t>
      </w:r>
      <w:r w:rsidRPr="00A06CF1">
        <w:rPr>
          <w:i/>
        </w:rPr>
        <w:t>J Adv Nurs</w:t>
      </w:r>
      <w:r w:rsidRPr="00A06CF1">
        <w:t xml:space="preserve"> 2019; 75(12): 3404-23.</w:t>
      </w:r>
    </w:p>
    <w:p w14:paraId="1411763F" w14:textId="77777777" w:rsidR="008A155D" w:rsidRPr="00A06CF1" w:rsidRDefault="008A155D" w:rsidP="00A06CF1">
      <w:pPr>
        <w:pStyle w:val="EndNoteBibliography"/>
        <w:spacing w:after="0"/>
      </w:pPr>
      <w:r w:rsidRPr="00A06CF1">
        <w:t xml:space="preserve">18.Turner L, Griffiths P, Kitson-Reynolds E. Midwifery and nurse staffing of inpatient maternity services – a systematic scoping review of associations with outcomes and quality of care. </w:t>
      </w:r>
      <w:r w:rsidRPr="00A06CF1">
        <w:rPr>
          <w:i/>
        </w:rPr>
        <w:t>Midwifery</w:t>
      </w:r>
      <w:r w:rsidRPr="00A06CF1">
        <w:t xml:space="preserve"> 2021; 103: 103118.</w:t>
      </w:r>
    </w:p>
    <w:p w14:paraId="7CF20522" w14:textId="77777777" w:rsidR="008A155D" w:rsidRPr="00A06CF1" w:rsidRDefault="008A155D" w:rsidP="00A06CF1">
      <w:pPr>
        <w:pStyle w:val="EndNoteBibliography"/>
        <w:spacing w:after="0"/>
      </w:pPr>
      <w:r w:rsidRPr="00A06CF1">
        <w:lastRenderedPageBreak/>
        <w:t xml:space="preserve">19.Betrán AP, Ye J, Moller A-B, Zhang J, Gülmezoglu AM, Torloni MR. The increasing trend in caesarean section rates: global, regional and national estimates: 1990-2014. </w:t>
      </w:r>
      <w:r w:rsidRPr="00A06CF1">
        <w:rPr>
          <w:i/>
        </w:rPr>
        <w:t>PloS one</w:t>
      </w:r>
      <w:r w:rsidRPr="00A06CF1">
        <w:t xml:space="preserve"> 2016; 11(2): e0148343.</w:t>
      </w:r>
    </w:p>
    <w:p w14:paraId="6BBBD6AB" w14:textId="77777777" w:rsidR="008A155D" w:rsidRPr="00A06CF1" w:rsidRDefault="008A155D" w:rsidP="00A06CF1">
      <w:pPr>
        <w:pStyle w:val="EndNoteBibliography"/>
        <w:spacing w:after="0"/>
      </w:pPr>
      <w:r w:rsidRPr="00A06CF1">
        <w:t xml:space="preserve">20.National Institute for Health and Care  Excellence. Caesarean birth, 2021. </w:t>
      </w:r>
      <w:r w:rsidRPr="008A155D">
        <w:t>https://www.nice.org.uk/guidance/ng192</w:t>
      </w:r>
    </w:p>
    <w:p w14:paraId="20275EED" w14:textId="77777777" w:rsidR="008A155D" w:rsidRPr="00A06CF1" w:rsidRDefault="008A155D" w:rsidP="00A06CF1">
      <w:pPr>
        <w:pStyle w:val="EndNoteBibliography"/>
        <w:spacing w:after="0"/>
      </w:pPr>
      <w:r w:rsidRPr="00A06CF1">
        <w:t xml:space="preserve">21.Vitner D, Harris K, Maxwell C, Farine D. Obesity in pregnancy: a comparison of four national guidelines. </w:t>
      </w:r>
      <w:r w:rsidRPr="00A06CF1">
        <w:rPr>
          <w:i/>
        </w:rPr>
        <w:t>The Journal of Maternal-Fetal &amp; Neonatal Medicine</w:t>
      </w:r>
      <w:r w:rsidRPr="00A06CF1">
        <w:t xml:space="preserve"> 2019; 32(15): 2580-90.</w:t>
      </w:r>
    </w:p>
    <w:p w14:paraId="217166DE" w14:textId="77777777" w:rsidR="008A155D" w:rsidRPr="00A06CF1" w:rsidRDefault="008A155D" w:rsidP="00A06CF1">
      <w:pPr>
        <w:pStyle w:val="EndNoteBibliography"/>
        <w:spacing w:after="0"/>
      </w:pPr>
      <w:r w:rsidRPr="00A06CF1">
        <w:t xml:space="preserve">22.Sheen J, Wright JD, Goffman D, et al. Maternal age and risk for adverse outcomes. </w:t>
      </w:r>
      <w:r w:rsidRPr="00A06CF1">
        <w:rPr>
          <w:i/>
        </w:rPr>
        <w:t>American journal of obstetrics and gynecology</w:t>
      </w:r>
      <w:r w:rsidRPr="00A06CF1">
        <w:t xml:space="preserve"> 2018; 219(4): 390. e1-. e15.</w:t>
      </w:r>
    </w:p>
    <w:p w14:paraId="1684120A" w14:textId="77777777" w:rsidR="008A155D" w:rsidRPr="00A06CF1" w:rsidRDefault="008A155D" w:rsidP="00A06CF1">
      <w:pPr>
        <w:pStyle w:val="EndNoteBibliography"/>
        <w:spacing w:after="0"/>
      </w:pPr>
      <w:r w:rsidRPr="00A06CF1">
        <w:t xml:space="preserve">23.Baxter J, Macfarlane A. Postnatal caesarean care: evaluating the skill mix. </w:t>
      </w:r>
      <w:r w:rsidRPr="00A06CF1">
        <w:rPr>
          <w:i/>
        </w:rPr>
        <w:t>British Journal of Midwifery</w:t>
      </w:r>
      <w:r w:rsidRPr="00A06CF1">
        <w:t xml:space="preserve"> 2005; 13(6): 378-84.</w:t>
      </w:r>
    </w:p>
    <w:p w14:paraId="63B4D6BB" w14:textId="77777777" w:rsidR="008A155D" w:rsidRPr="00A06CF1" w:rsidRDefault="008A155D" w:rsidP="00A06CF1">
      <w:pPr>
        <w:pStyle w:val="EndNoteBibliography"/>
        <w:spacing w:after="0"/>
      </w:pPr>
      <w:r w:rsidRPr="00A06CF1">
        <w:t xml:space="preserve">24.Forster DA, McLachlan HL, Yelland J, Rayner J, Lumley J, Davey MA. Staffing in postnatal units: is it adequate for the provision of quality care? Staff perspectives from a state-wide review of postnatal care in Victoria, Australia. </w:t>
      </w:r>
      <w:r w:rsidRPr="00A06CF1">
        <w:rPr>
          <w:i/>
        </w:rPr>
        <w:t>BMC Health Serv Res</w:t>
      </w:r>
      <w:r w:rsidRPr="00A06CF1">
        <w:t xml:space="preserve"> 2006; 6: 83.</w:t>
      </w:r>
    </w:p>
    <w:p w14:paraId="2B9EC09E" w14:textId="77777777" w:rsidR="008A155D" w:rsidRPr="00A06CF1" w:rsidRDefault="008A155D" w:rsidP="00A06CF1">
      <w:pPr>
        <w:pStyle w:val="EndNoteBibliography"/>
        <w:spacing w:after="0"/>
      </w:pPr>
      <w:r w:rsidRPr="00A06CF1">
        <w:t xml:space="preserve">25.NHS Digital. NHS Workforce statistics. 2018. </w:t>
      </w:r>
      <w:r w:rsidRPr="008A155D">
        <w:t>https://digital.nhs.uk/data-and-information/publications/statistical/nhs-workforce-statistics</w:t>
      </w:r>
      <w:r w:rsidRPr="00A06CF1">
        <w:t>.</w:t>
      </w:r>
    </w:p>
    <w:p w14:paraId="04502A78" w14:textId="77777777" w:rsidR="008A155D" w:rsidRPr="00A06CF1" w:rsidRDefault="008A155D" w:rsidP="00A06CF1">
      <w:pPr>
        <w:pStyle w:val="EndNoteBibliography"/>
        <w:spacing w:after="0"/>
      </w:pPr>
      <w:r w:rsidRPr="00A06CF1">
        <w:t xml:space="preserve">26.NHS Digital. Hospital Episode Statistics (HES), 2018. </w:t>
      </w:r>
      <w:r w:rsidRPr="008A155D">
        <w:t>https://digital.nhs.uk/data-and-information/data-tools-and-services/data-services/hospital-episode-statistics</w:t>
      </w:r>
    </w:p>
    <w:p w14:paraId="1279F27F" w14:textId="77777777" w:rsidR="008A155D" w:rsidRPr="00A06CF1" w:rsidRDefault="008A155D" w:rsidP="00A06CF1">
      <w:pPr>
        <w:pStyle w:val="EndNoteBibliography"/>
        <w:spacing w:after="0"/>
      </w:pPr>
      <w:r w:rsidRPr="00A06CF1">
        <w:t xml:space="preserve">27.Uk Data Service. Data catalogue. 2021. </w:t>
      </w:r>
      <w:r w:rsidRPr="008A155D">
        <w:t>https://ukdataservice.ac.uk/</w:t>
      </w:r>
      <w:r w:rsidRPr="00A06CF1">
        <w:t>.</w:t>
      </w:r>
    </w:p>
    <w:p w14:paraId="6B58AEC0" w14:textId="77777777" w:rsidR="008A155D" w:rsidRPr="00A06CF1" w:rsidRDefault="008A155D" w:rsidP="00A06CF1">
      <w:pPr>
        <w:pStyle w:val="EndNoteBibliography"/>
        <w:spacing w:after="0"/>
      </w:pPr>
      <w:r w:rsidRPr="00A06CF1">
        <w:t xml:space="preserve">28.Office for National Statistics. Provisional births in England and Wales. 2020. </w:t>
      </w:r>
      <w:r w:rsidRPr="008A155D">
        <w:t>https://www.ons.gov.uk/peoplepopulationandcommunity/birthsdeathsandmarriages/livebirths/articles/provisionalbirthsinenglandandwales/2020#live-births-by-place-of-occurrence</w:t>
      </w:r>
      <w:r w:rsidRPr="00A06CF1">
        <w:t>.</w:t>
      </w:r>
    </w:p>
    <w:p w14:paraId="4434F9EE" w14:textId="77777777" w:rsidR="008A155D" w:rsidRPr="00A06CF1" w:rsidRDefault="008A155D" w:rsidP="00A06CF1">
      <w:pPr>
        <w:pStyle w:val="EndNoteBibliography"/>
        <w:spacing w:after="0"/>
      </w:pPr>
      <w:r w:rsidRPr="00A06CF1">
        <w:t xml:space="preserve">29.NHS Digital. Maternity Services Data Set (MSDS), 2018. </w:t>
      </w:r>
      <w:r w:rsidRPr="008A155D">
        <w:t>https://digital.nhs.uk/data-and-information/data-collections-and-data-sets/data-sets/maternity-services-data-set</w:t>
      </w:r>
    </w:p>
    <w:p w14:paraId="3F64F4CE" w14:textId="77777777" w:rsidR="008A155D" w:rsidRPr="00A06CF1" w:rsidRDefault="008A155D" w:rsidP="00A06CF1">
      <w:pPr>
        <w:pStyle w:val="EndNoteBibliography"/>
        <w:spacing w:after="0"/>
      </w:pPr>
      <w:r w:rsidRPr="00A06CF1">
        <w:t xml:space="preserve">30.Care Quality Commission. Many women have a positive experience of maternity services, but for some care continues to fall short. 2020. </w:t>
      </w:r>
      <w:r w:rsidRPr="008A155D">
        <w:t>https://www.cqc.org.uk/news/releases/many-women-have-positive-experience-maternity-services-some-care-continues-fall-short</w:t>
      </w:r>
      <w:r w:rsidRPr="00A06CF1">
        <w:t>.</w:t>
      </w:r>
    </w:p>
    <w:p w14:paraId="1F105868" w14:textId="77777777" w:rsidR="008A155D" w:rsidRPr="00A06CF1" w:rsidRDefault="008A155D" w:rsidP="00A06CF1">
      <w:pPr>
        <w:pStyle w:val="EndNoteBibliography"/>
        <w:spacing w:after="0"/>
      </w:pPr>
      <w:r w:rsidRPr="00A06CF1">
        <w:t xml:space="preserve">31.Burnham K, Anderson D. Multimodel Inference : Understanding AIC and BIC in Model Selection. </w:t>
      </w:r>
      <w:r w:rsidRPr="00A06CF1">
        <w:rPr>
          <w:i/>
        </w:rPr>
        <w:t>Sociological methods and research</w:t>
      </w:r>
      <w:r w:rsidRPr="00A06CF1">
        <w:t xml:space="preserve"> 2004; 33: 261-304.</w:t>
      </w:r>
    </w:p>
    <w:p w14:paraId="511C51E4" w14:textId="77777777" w:rsidR="008A155D" w:rsidRPr="00A06CF1" w:rsidRDefault="008A155D" w:rsidP="00A06CF1">
      <w:pPr>
        <w:pStyle w:val="EndNoteBibliography"/>
        <w:spacing w:after="0"/>
      </w:pPr>
      <w:r w:rsidRPr="00A06CF1">
        <w:t xml:space="preserve">32.Schreiber-Gregory D. Logistic and linear regression assumptions: Violation recognition and control. 2018. </w:t>
      </w:r>
      <w:r w:rsidRPr="008A155D">
        <w:t>https://www.researchgate.net/publication/341354759_Logistic_and_Linear_Regression_Assumptions_Violation_Recognition_and_Control</w:t>
      </w:r>
      <w:r w:rsidRPr="00A06CF1">
        <w:t>.</w:t>
      </w:r>
    </w:p>
    <w:p w14:paraId="467E75F0" w14:textId="77777777" w:rsidR="008A155D" w:rsidRPr="00A06CF1" w:rsidRDefault="008A155D" w:rsidP="00A06CF1">
      <w:pPr>
        <w:pStyle w:val="EndNoteBibliography"/>
        <w:spacing w:after="0"/>
      </w:pPr>
      <w:r w:rsidRPr="00A06CF1">
        <w:t xml:space="preserve">33.Bender R, Blettner M. Calculating the “number needed to be exposed” with adjustment for confounding variables in epidemiological studies. </w:t>
      </w:r>
      <w:r w:rsidRPr="00A06CF1">
        <w:rPr>
          <w:i/>
        </w:rPr>
        <w:t>Journal of clinical epidemiology</w:t>
      </w:r>
      <w:r w:rsidRPr="00A06CF1">
        <w:t xml:space="preserve"> 2002; 55(5): 525-30.</w:t>
      </w:r>
    </w:p>
    <w:p w14:paraId="7C7F576B" w14:textId="77777777" w:rsidR="008A155D" w:rsidRPr="00A06CF1" w:rsidRDefault="008A155D" w:rsidP="00A06CF1">
      <w:pPr>
        <w:pStyle w:val="EndNoteBibliography"/>
        <w:spacing w:after="0"/>
      </w:pPr>
      <w:r w:rsidRPr="00A06CF1">
        <w:t xml:space="preserve">34.Prapawichar P, Ratinthorn A, Utriyaprasit K, Viwatwongkasem C. Maternal and health service predictors of postpartum hemorrhage across 14 district, general and regional hospitals in Thailand. </w:t>
      </w:r>
      <w:r w:rsidRPr="00A06CF1">
        <w:rPr>
          <w:i/>
        </w:rPr>
        <w:t>BMC Pregnancy and Childbirth</w:t>
      </w:r>
      <w:r w:rsidRPr="00A06CF1">
        <w:t xml:space="preserve"> 2020; 20(172).</w:t>
      </w:r>
    </w:p>
    <w:p w14:paraId="3C499EE7" w14:textId="77777777" w:rsidR="008A155D" w:rsidRPr="00A06CF1" w:rsidRDefault="008A155D" w:rsidP="00A06CF1">
      <w:pPr>
        <w:pStyle w:val="EndNoteBibliography"/>
        <w:spacing w:after="0"/>
      </w:pPr>
      <w:r w:rsidRPr="00A06CF1">
        <w:t xml:space="preserve">35.Hodnett ED, Lowe NK, Hannah ME, et al. Effectiveness of nurses as providers of birth labor support in North American hospitals: a randomized controlled trial. </w:t>
      </w:r>
      <w:r w:rsidRPr="00A06CF1">
        <w:rPr>
          <w:i/>
        </w:rPr>
        <w:t>Jama</w:t>
      </w:r>
      <w:r w:rsidRPr="00A06CF1">
        <w:t xml:space="preserve"> 2002; 288(11): 1373-81.</w:t>
      </w:r>
    </w:p>
    <w:p w14:paraId="6F61E7A5" w14:textId="77777777" w:rsidR="008A155D" w:rsidRPr="00A06CF1" w:rsidRDefault="008A155D" w:rsidP="00A06CF1">
      <w:pPr>
        <w:pStyle w:val="EndNoteBibliography"/>
        <w:spacing w:after="0"/>
      </w:pPr>
      <w:r w:rsidRPr="00A06CF1">
        <w:t xml:space="preserve">36.Gerova V, Griffiths P, Jones S, Bick D. The association between midwifery staffing and outcomes in maternity units in England: observational study using routinely collected data, 2010. </w:t>
      </w:r>
      <w:r w:rsidRPr="008A155D">
        <w:t>https://eprints.soton.ac.uk/168511/</w:t>
      </w:r>
    </w:p>
    <w:p w14:paraId="1A009C14" w14:textId="77777777" w:rsidR="008A155D" w:rsidRPr="00A06CF1" w:rsidRDefault="008A155D" w:rsidP="00A06CF1">
      <w:pPr>
        <w:pStyle w:val="EndNoteBibliography"/>
        <w:spacing w:after="0"/>
      </w:pPr>
      <w:r w:rsidRPr="00A06CF1">
        <w:t xml:space="preserve">37.Kim SJ, Han KT, Lee HJ, Kwon JA, Park EC. Positive effects of medical staffing on readmission within 30 days after discharge: a retrospective analysis of obstetrics and gynecology data. </w:t>
      </w:r>
      <w:r w:rsidRPr="00A06CF1">
        <w:rPr>
          <w:i/>
        </w:rPr>
        <w:t>European journal of public health</w:t>
      </w:r>
      <w:r w:rsidRPr="00A06CF1">
        <w:t xml:space="preserve"> 2016; 26(6): 935-9.</w:t>
      </w:r>
    </w:p>
    <w:p w14:paraId="24707DEA" w14:textId="77777777" w:rsidR="008A155D" w:rsidRPr="00A06CF1" w:rsidRDefault="008A155D" w:rsidP="00A06CF1">
      <w:pPr>
        <w:pStyle w:val="EndNoteBibliography"/>
        <w:spacing w:after="0"/>
      </w:pPr>
      <w:r w:rsidRPr="00A06CF1">
        <w:t xml:space="preserve">38.Dani C, Papini S, Iannuzzi L, Pratesi S. Midwife‐to‐newborn ratio and neonatal outcome in healthy term infants. </w:t>
      </w:r>
      <w:r w:rsidRPr="00A06CF1">
        <w:rPr>
          <w:i/>
        </w:rPr>
        <w:t>Acta Paediatrica</w:t>
      </w:r>
      <w:r w:rsidRPr="00A06CF1">
        <w:t xml:space="preserve"> 2020; 00: 1-4.</w:t>
      </w:r>
    </w:p>
    <w:p w14:paraId="0A9B3AE6" w14:textId="77777777" w:rsidR="008A155D" w:rsidRPr="00A06CF1" w:rsidRDefault="008A155D" w:rsidP="00A06CF1">
      <w:pPr>
        <w:pStyle w:val="EndNoteBibliography"/>
        <w:spacing w:after="0"/>
      </w:pPr>
      <w:r w:rsidRPr="00A06CF1">
        <w:t xml:space="preserve">39.Hendy P, Patel J, Kordbacheh T, Laskar N, Harbord M. In-depth analysis of delays to patient discharge: a metropolitan teaching hospital experience. </w:t>
      </w:r>
      <w:r w:rsidRPr="00A06CF1">
        <w:rPr>
          <w:i/>
        </w:rPr>
        <w:t>Clinical Medicine</w:t>
      </w:r>
      <w:r w:rsidRPr="00A06CF1">
        <w:t xml:space="preserve"> 2012; 12(4): 320-3.</w:t>
      </w:r>
    </w:p>
    <w:p w14:paraId="002F4893" w14:textId="77777777" w:rsidR="008A155D" w:rsidRPr="00A06CF1" w:rsidRDefault="008A155D" w:rsidP="00A06CF1">
      <w:pPr>
        <w:pStyle w:val="EndNoteBibliography"/>
        <w:spacing w:after="0"/>
      </w:pPr>
      <w:r w:rsidRPr="00A06CF1">
        <w:lastRenderedPageBreak/>
        <w:t xml:space="preserve">40.Haith-Cooper M, Stacey T, Bailey F. Hospital postnatal discharge and sepsis advice: Perspectives of women and midwifery students. </w:t>
      </w:r>
      <w:r w:rsidRPr="00A06CF1">
        <w:rPr>
          <w:i/>
        </w:rPr>
        <w:t>British Journal of Midwifery</w:t>
      </w:r>
      <w:r w:rsidRPr="00A06CF1">
        <w:t xml:space="preserve"> 2018; 26(4): 248-53.</w:t>
      </w:r>
    </w:p>
    <w:p w14:paraId="30FFD9AA" w14:textId="77777777" w:rsidR="008A155D" w:rsidRPr="00A06CF1" w:rsidRDefault="008A155D" w:rsidP="00A06CF1">
      <w:pPr>
        <w:pStyle w:val="EndNoteBibliography"/>
        <w:spacing w:after="0"/>
      </w:pPr>
      <w:r w:rsidRPr="00A06CF1">
        <w:t xml:space="preserve">41.Royal College of Obstetricians and Gynaecologists. Maternal Mental Health – Women’s Voices, 2017. </w:t>
      </w:r>
      <w:r w:rsidRPr="008A155D">
        <w:t>https://www.rcog.org.uk/globalassets/documents/patients/information/maternalmental-healthwomens-voices.pdf</w:t>
      </w:r>
    </w:p>
    <w:p w14:paraId="624E1351" w14:textId="77777777" w:rsidR="008A155D" w:rsidRPr="00A06CF1" w:rsidRDefault="008A155D" w:rsidP="00A06CF1">
      <w:pPr>
        <w:pStyle w:val="EndNoteBibliography"/>
        <w:spacing w:after="0"/>
      </w:pPr>
      <w:r w:rsidRPr="00A06CF1">
        <w:t xml:space="preserve">42.Finlayson K, Crossland N, Bonet M, Downe S. What matters to women in the postnatal period: A meta-synthesis of qualitative studies. </w:t>
      </w:r>
      <w:r w:rsidRPr="00A06CF1">
        <w:rPr>
          <w:i/>
        </w:rPr>
        <w:t>PloS one</w:t>
      </w:r>
      <w:r w:rsidRPr="00A06CF1">
        <w:t xml:space="preserve"> 2020; 15(4): e0231415.</w:t>
      </w:r>
    </w:p>
    <w:p w14:paraId="6847FA5E" w14:textId="77777777" w:rsidR="008A155D" w:rsidRPr="00A06CF1" w:rsidRDefault="008A155D" w:rsidP="00A06CF1">
      <w:pPr>
        <w:pStyle w:val="EndNoteBibliography"/>
        <w:spacing w:after="0"/>
      </w:pPr>
      <w:r w:rsidRPr="00A06CF1">
        <w:t xml:space="preserve">43.Brown TL. Nurse Staffing, Satisfaction and Hospital Readmission Rates in Skilled Nursing Facilities: A Quantitative, Correlational Study: University of Phoenix, 2020. </w:t>
      </w:r>
      <w:r w:rsidRPr="008A155D">
        <w:t>https://www.proquest.com/docview/2395252910/previewPDF/8B927F8E10AD4319PQ/1?accountid=13963</w:t>
      </w:r>
    </w:p>
    <w:p w14:paraId="2C5CD03A" w14:textId="77777777" w:rsidR="008A155D" w:rsidRPr="00A06CF1" w:rsidRDefault="008A155D" w:rsidP="00A06CF1">
      <w:pPr>
        <w:pStyle w:val="EndNoteBibliography"/>
        <w:spacing w:after="0"/>
      </w:pPr>
      <w:r w:rsidRPr="00A06CF1">
        <w:t xml:space="preserve">44.Dykes F. A critical ethnographic study of encounters between midwives and breast-feeding women in postnatal wards in England. </w:t>
      </w:r>
      <w:r w:rsidRPr="00A06CF1">
        <w:rPr>
          <w:i/>
        </w:rPr>
        <w:t>Midwifery</w:t>
      </w:r>
      <w:r w:rsidRPr="00A06CF1">
        <w:t xml:space="preserve"> 2005; 21(3): 241-52.</w:t>
      </w:r>
    </w:p>
    <w:p w14:paraId="7FAD0002" w14:textId="77777777" w:rsidR="008A155D" w:rsidRPr="00A06CF1" w:rsidRDefault="008A155D" w:rsidP="00A06CF1">
      <w:pPr>
        <w:pStyle w:val="EndNoteBibliography"/>
        <w:spacing w:after="0"/>
      </w:pPr>
      <w:r w:rsidRPr="00A06CF1">
        <w:t xml:space="preserve">45.McLachlan HL, Forster DA, Yelland J, Rayner J, Lumley J. Is the organisation and structure of hospital postnatal care a barrier to quality care? Findings from a state-wide review in Victoria, Australia. </w:t>
      </w:r>
      <w:r w:rsidRPr="00A06CF1">
        <w:rPr>
          <w:i/>
        </w:rPr>
        <w:t>Midwifery</w:t>
      </w:r>
      <w:r w:rsidRPr="00A06CF1">
        <w:t xml:space="preserve"> 2008; 24(3): 358-70.</w:t>
      </w:r>
    </w:p>
    <w:p w14:paraId="2AE63CBF" w14:textId="77777777" w:rsidR="008A155D" w:rsidRPr="00A06CF1" w:rsidRDefault="008A155D" w:rsidP="00A06CF1">
      <w:pPr>
        <w:pStyle w:val="EndNoteBibliography"/>
        <w:spacing w:after="0"/>
      </w:pPr>
      <w:r w:rsidRPr="00A06CF1">
        <w:t xml:space="preserve">46.Miller S, Abalos E, Chamillard M, et al. Beyond too little, too late and too much, too soon: a pathway towards evidence-based, respectful maternity care worldwide. </w:t>
      </w:r>
      <w:r w:rsidRPr="00A06CF1">
        <w:rPr>
          <w:i/>
        </w:rPr>
        <w:t>The Lancet</w:t>
      </w:r>
      <w:r w:rsidRPr="00A06CF1">
        <w:t xml:space="preserve"> 2016; 388(10056): 2176-92.</w:t>
      </w:r>
    </w:p>
    <w:p w14:paraId="5DB53424" w14:textId="77777777" w:rsidR="008A155D" w:rsidRPr="00A06CF1" w:rsidRDefault="008A155D" w:rsidP="00A06CF1">
      <w:pPr>
        <w:pStyle w:val="EndNoteBibliography"/>
        <w:spacing w:after="0"/>
      </w:pPr>
      <w:r w:rsidRPr="00A06CF1">
        <w:t xml:space="preserve">47.NHS England. Better Births Four Years On: A review of progress 2020. </w:t>
      </w:r>
      <w:r w:rsidRPr="008A155D">
        <w:t>https://www.england.nhs.uk/wp-content/uploads/2020/03/better-births-four-years-on-progress-report.pdf</w:t>
      </w:r>
    </w:p>
    <w:p w14:paraId="0B9E313B" w14:textId="77777777" w:rsidR="008A155D" w:rsidRPr="00A06CF1" w:rsidRDefault="008A155D" w:rsidP="00A06CF1">
      <w:pPr>
        <w:pStyle w:val="EndNoteBibliography"/>
        <w:spacing w:after="0"/>
      </w:pPr>
      <w:r w:rsidRPr="00A06CF1">
        <w:t xml:space="preserve">48.Nursing and Midwifery Council. Standards of proficiency for midwives, 2019. </w:t>
      </w:r>
      <w:r w:rsidRPr="008A155D">
        <w:t>https://www.nmc.org.uk/standards/standards-for-midwives/standards-of-proficiency-for-midwives/</w:t>
      </w:r>
    </w:p>
    <w:p w14:paraId="4ED36A57" w14:textId="77777777" w:rsidR="008A155D" w:rsidRPr="00A06CF1" w:rsidRDefault="008A155D" w:rsidP="00A06CF1">
      <w:pPr>
        <w:pStyle w:val="EndNoteBibliography"/>
        <w:spacing w:after="0"/>
      </w:pPr>
      <w:r w:rsidRPr="00A06CF1">
        <w:t xml:space="preserve">49.Babaei S, Taleghani F. Compassionate care challenges and barriers in clinical nurses: A qualitative study. </w:t>
      </w:r>
      <w:r w:rsidRPr="00A06CF1">
        <w:rPr>
          <w:i/>
        </w:rPr>
        <w:t>Iranian journal of nursing and midwifery research</w:t>
      </w:r>
      <w:r w:rsidRPr="00A06CF1">
        <w:t xml:space="preserve"> 2019; 24(3): 213.</w:t>
      </w:r>
    </w:p>
    <w:p w14:paraId="1FA37781" w14:textId="77777777" w:rsidR="008A155D" w:rsidRPr="00A06CF1" w:rsidRDefault="008A155D" w:rsidP="00A06CF1">
      <w:pPr>
        <w:pStyle w:val="EndNoteBibliography"/>
        <w:spacing w:after="0"/>
      </w:pPr>
      <w:r w:rsidRPr="00A06CF1">
        <w:t xml:space="preserve">50.Bridges J, Griffiths P, Oliver E, Pickering RM. Hospital nurse staffing and staff–patient interactions: an observational study. </w:t>
      </w:r>
      <w:r w:rsidRPr="00A06CF1">
        <w:rPr>
          <w:i/>
        </w:rPr>
        <w:t>BMJ Qual Saf</w:t>
      </w:r>
      <w:r w:rsidRPr="00A06CF1">
        <w:t xml:space="preserve"> 2019: bmjqs-2018-008948.</w:t>
      </w:r>
    </w:p>
    <w:p w14:paraId="5D2C58EB" w14:textId="77777777" w:rsidR="008A155D" w:rsidRPr="00A06CF1" w:rsidRDefault="008A155D" w:rsidP="00A06CF1">
      <w:pPr>
        <w:pStyle w:val="EndNoteBibliography"/>
      </w:pPr>
      <w:r w:rsidRPr="00A06CF1">
        <w:t xml:space="preserve">51.Griffiths P, Maruotti A, Saucedo A, et al. Nurse staffing, nursing assistants and hospital mortality: retrospective longitudinal cohort study. </w:t>
      </w:r>
      <w:r w:rsidRPr="00A06CF1">
        <w:rPr>
          <w:i/>
        </w:rPr>
        <w:t>BMJ quality &amp; safety</w:t>
      </w:r>
      <w:r w:rsidRPr="00A06CF1">
        <w:t xml:space="preserve"> 2019; 28(8): 609-17.</w:t>
      </w:r>
    </w:p>
    <w:p w14:paraId="095C0D09" w14:textId="77777777" w:rsidR="008A155D" w:rsidRPr="00742DCB" w:rsidRDefault="008A155D" w:rsidP="00F450E8">
      <w:pPr>
        <w:suppressLineNumbers/>
        <w:spacing w:before="120" w:after="240" w:line="480" w:lineRule="auto"/>
      </w:pPr>
      <w:r>
        <w:fldChar w:fldCharType="begin"/>
      </w:r>
      <w:r>
        <w:instrText xml:space="preserve"> ADDIN </w:instrText>
      </w:r>
      <w:r>
        <w:fldChar w:fldCharType="end"/>
      </w:r>
    </w:p>
    <w:p w14:paraId="2B6CC7B2" w14:textId="77777777" w:rsidR="009E65E9" w:rsidRDefault="009E65E9"/>
    <w:sectPr w:rsidR="009E65E9" w:rsidSect="0075191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2B885" w14:textId="77777777" w:rsidR="00CB0980" w:rsidRDefault="00CB0980">
      <w:pPr>
        <w:spacing w:after="0" w:line="240" w:lineRule="auto"/>
      </w:pPr>
      <w:r>
        <w:separator/>
      </w:r>
    </w:p>
  </w:endnote>
  <w:endnote w:type="continuationSeparator" w:id="0">
    <w:p w14:paraId="22B5D540" w14:textId="77777777" w:rsidR="00CB0980" w:rsidRDefault="00CB0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669305"/>
      <w:docPartObj>
        <w:docPartGallery w:val="Page Numbers (Bottom of Page)"/>
        <w:docPartUnique/>
      </w:docPartObj>
    </w:sdtPr>
    <w:sdtEndPr>
      <w:rPr>
        <w:noProof/>
      </w:rPr>
    </w:sdtEndPr>
    <w:sdtContent>
      <w:p w14:paraId="327C55D8" w14:textId="77777777" w:rsidR="00BC45F4" w:rsidRDefault="00794FE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66F61735" w14:textId="77777777" w:rsidR="00BC45F4" w:rsidRDefault="00CB0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82667" w14:textId="77777777" w:rsidR="00CB0980" w:rsidRDefault="00CB0980">
      <w:pPr>
        <w:spacing w:after="0" w:line="240" w:lineRule="auto"/>
      </w:pPr>
      <w:r>
        <w:separator/>
      </w:r>
    </w:p>
  </w:footnote>
  <w:footnote w:type="continuationSeparator" w:id="0">
    <w:p w14:paraId="1E3B0FD6" w14:textId="77777777" w:rsidR="00CB0980" w:rsidRDefault="00CB0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94A6A"/>
    <w:multiLevelType w:val="hybridMultilevel"/>
    <w:tmpl w:val="1EC48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0F28C7"/>
    <w:multiLevelType w:val="hybridMultilevel"/>
    <w:tmpl w:val="3C7CC6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8942D7"/>
    <w:multiLevelType w:val="multilevel"/>
    <w:tmpl w:val="DFDE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DB4E7A"/>
    <w:multiLevelType w:val="hybridMultilevel"/>
    <w:tmpl w:val="DC124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8A155D"/>
    <w:rsid w:val="00794FE9"/>
    <w:rsid w:val="008A155D"/>
    <w:rsid w:val="009E65E9"/>
    <w:rsid w:val="00CB0980"/>
    <w:rsid w:val="00D76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32DD"/>
  <w15:chartTrackingRefBased/>
  <w15:docId w15:val="{6A84A633-D245-4F72-B90D-219007BE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55D"/>
  </w:style>
  <w:style w:type="paragraph" w:styleId="Heading2">
    <w:name w:val="heading 2"/>
    <w:basedOn w:val="Normal"/>
    <w:next w:val="Normal"/>
    <w:link w:val="Heading2Char"/>
    <w:uiPriority w:val="9"/>
    <w:unhideWhenUsed/>
    <w:qFormat/>
    <w:rsid w:val="008A15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A15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155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A155D"/>
    <w:rPr>
      <w:rFonts w:asciiTheme="majorHAnsi" w:eastAsiaTheme="majorEastAsia" w:hAnsiTheme="majorHAnsi" w:cstheme="majorBidi"/>
      <w:color w:val="1F3763" w:themeColor="accent1" w:themeShade="7F"/>
      <w:sz w:val="24"/>
      <w:szCs w:val="24"/>
    </w:rPr>
  </w:style>
  <w:style w:type="paragraph" w:customStyle="1" w:styleId="Default">
    <w:name w:val="Default"/>
    <w:rsid w:val="008A155D"/>
    <w:pPr>
      <w:autoSpaceDE w:val="0"/>
      <w:autoSpaceDN w:val="0"/>
      <w:adjustRightInd w:val="0"/>
      <w:spacing w:after="0" w:line="240" w:lineRule="auto"/>
    </w:pPr>
    <w:rPr>
      <w:rFonts w:ascii="Open Sans" w:hAnsi="Open Sans" w:cs="Open Sans"/>
      <w:color w:val="000000"/>
      <w:sz w:val="24"/>
      <w:szCs w:val="24"/>
    </w:rPr>
  </w:style>
  <w:style w:type="paragraph" w:customStyle="1" w:styleId="EndNoteBibliographyTitle">
    <w:name w:val="EndNote Bibliography Title"/>
    <w:basedOn w:val="Normal"/>
    <w:link w:val="EndNoteBibliographyTitleChar"/>
    <w:rsid w:val="008A155D"/>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A155D"/>
    <w:rPr>
      <w:rFonts w:ascii="Calibri" w:hAnsi="Calibri" w:cs="Calibri"/>
      <w:noProof/>
      <w:lang w:val="en-US"/>
    </w:rPr>
  </w:style>
  <w:style w:type="paragraph" w:customStyle="1" w:styleId="EndNoteBibliography">
    <w:name w:val="EndNote Bibliography"/>
    <w:basedOn w:val="Normal"/>
    <w:link w:val="EndNoteBibliographyChar"/>
    <w:rsid w:val="008A155D"/>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A155D"/>
    <w:rPr>
      <w:rFonts w:ascii="Calibri" w:hAnsi="Calibri" w:cs="Calibri"/>
      <w:noProof/>
      <w:lang w:val="en-US"/>
    </w:rPr>
  </w:style>
  <w:style w:type="character" w:styleId="Hyperlink">
    <w:name w:val="Hyperlink"/>
    <w:basedOn w:val="DefaultParagraphFont"/>
    <w:uiPriority w:val="99"/>
    <w:unhideWhenUsed/>
    <w:rsid w:val="008A155D"/>
    <w:rPr>
      <w:color w:val="0563C1" w:themeColor="hyperlink"/>
      <w:u w:val="single"/>
    </w:rPr>
  </w:style>
  <w:style w:type="character" w:customStyle="1" w:styleId="UnresolvedMention1">
    <w:name w:val="Unresolved Mention1"/>
    <w:basedOn w:val="DefaultParagraphFont"/>
    <w:uiPriority w:val="99"/>
    <w:semiHidden/>
    <w:unhideWhenUsed/>
    <w:rsid w:val="008A155D"/>
    <w:rPr>
      <w:color w:val="605E5C"/>
      <w:shd w:val="clear" w:color="auto" w:fill="E1DFDD"/>
    </w:rPr>
  </w:style>
  <w:style w:type="paragraph" w:styleId="ListParagraph">
    <w:name w:val="List Paragraph"/>
    <w:basedOn w:val="Normal"/>
    <w:uiPriority w:val="34"/>
    <w:qFormat/>
    <w:rsid w:val="008A155D"/>
    <w:pPr>
      <w:ind w:left="720"/>
      <w:contextualSpacing/>
    </w:pPr>
  </w:style>
  <w:style w:type="table" w:styleId="TableGrid">
    <w:name w:val="Table Grid"/>
    <w:basedOn w:val="TableNormal"/>
    <w:uiPriority w:val="39"/>
    <w:rsid w:val="008A1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A1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A1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A155D"/>
    <w:pPr>
      <w:spacing w:line="240" w:lineRule="auto"/>
    </w:pPr>
    <w:rPr>
      <w:sz w:val="20"/>
      <w:szCs w:val="20"/>
    </w:rPr>
  </w:style>
  <w:style w:type="character" w:customStyle="1" w:styleId="CommentTextChar">
    <w:name w:val="Comment Text Char"/>
    <w:basedOn w:val="DefaultParagraphFont"/>
    <w:link w:val="CommentText"/>
    <w:uiPriority w:val="99"/>
    <w:rsid w:val="008A155D"/>
    <w:rPr>
      <w:sz w:val="20"/>
      <w:szCs w:val="20"/>
    </w:rPr>
  </w:style>
  <w:style w:type="paragraph" w:styleId="NormalWeb">
    <w:name w:val="Normal (Web)"/>
    <w:basedOn w:val="Normal"/>
    <w:uiPriority w:val="99"/>
    <w:semiHidden/>
    <w:unhideWhenUsed/>
    <w:rsid w:val="008A15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A155D"/>
    <w:rPr>
      <w:b/>
      <w:bCs/>
    </w:rPr>
  </w:style>
  <w:style w:type="character" w:styleId="Emphasis">
    <w:name w:val="Emphasis"/>
    <w:basedOn w:val="DefaultParagraphFont"/>
    <w:uiPriority w:val="20"/>
    <w:qFormat/>
    <w:rsid w:val="008A155D"/>
    <w:rPr>
      <w:i/>
      <w:iCs/>
    </w:rPr>
  </w:style>
  <w:style w:type="paragraph" w:styleId="Header">
    <w:name w:val="header"/>
    <w:basedOn w:val="Normal"/>
    <w:link w:val="HeaderChar"/>
    <w:uiPriority w:val="99"/>
    <w:unhideWhenUsed/>
    <w:rsid w:val="008A1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55D"/>
  </w:style>
  <w:style w:type="paragraph" w:styleId="Footer">
    <w:name w:val="footer"/>
    <w:basedOn w:val="Normal"/>
    <w:link w:val="FooterChar"/>
    <w:uiPriority w:val="99"/>
    <w:unhideWhenUsed/>
    <w:rsid w:val="008A1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55D"/>
  </w:style>
  <w:style w:type="character" w:styleId="CommentReference">
    <w:name w:val="annotation reference"/>
    <w:basedOn w:val="DefaultParagraphFont"/>
    <w:uiPriority w:val="99"/>
    <w:semiHidden/>
    <w:unhideWhenUsed/>
    <w:rsid w:val="008A155D"/>
    <w:rPr>
      <w:sz w:val="16"/>
      <w:szCs w:val="16"/>
    </w:rPr>
  </w:style>
  <w:style w:type="paragraph" w:styleId="CommentSubject">
    <w:name w:val="annotation subject"/>
    <w:basedOn w:val="CommentText"/>
    <w:next w:val="CommentText"/>
    <w:link w:val="CommentSubjectChar"/>
    <w:uiPriority w:val="99"/>
    <w:semiHidden/>
    <w:unhideWhenUsed/>
    <w:rsid w:val="008A155D"/>
    <w:rPr>
      <w:b/>
      <w:bCs/>
    </w:rPr>
  </w:style>
  <w:style w:type="character" w:customStyle="1" w:styleId="CommentSubjectChar">
    <w:name w:val="Comment Subject Char"/>
    <w:basedOn w:val="CommentTextChar"/>
    <w:link w:val="CommentSubject"/>
    <w:uiPriority w:val="99"/>
    <w:semiHidden/>
    <w:rsid w:val="008A155D"/>
    <w:rPr>
      <w:b/>
      <w:bCs/>
      <w:sz w:val="20"/>
      <w:szCs w:val="20"/>
    </w:rPr>
  </w:style>
  <w:style w:type="paragraph" w:styleId="BalloonText">
    <w:name w:val="Balloon Text"/>
    <w:basedOn w:val="Normal"/>
    <w:link w:val="BalloonTextChar"/>
    <w:uiPriority w:val="99"/>
    <w:semiHidden/>
    <w:unhideWhenUsed/>
    <w:rsid w:val="008A1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55D"/>
    <w:rPr>
      <w:rFonts w:ascii="Segoe UI" w:hAnsi="Segoe UI" w:cs="Segoe UI"/>
      <w:sz w:val="18"/>
      <w:szCs w:val="18"/>
    </w:rPr>
  </w:style>
  <w:style w:type="character" w:customStyle="1" w:styleId="UnresolvedMention2">
    <w:name w:val="Unresolved Mention2"/>
    <w:basedOn w:val="DefaultParagraphFont"/>
    <w:uiPriority w:val="99"/>
    <w:semiHidden/>
    <w:unhideWhenUsed/>
    <w:rsid w:val="008A155D"/>
    <w:rPr>
      <w:color w:val="605E5C"/>
      <w:shd w:val="clear" w:color="auto" w:fill="E1DFDD"/>
    </w:rPr>
  </w:style>
  <w:style w:type="character" w:styleId="FollowedHyperlink">
    <w:name w:val="FollowedHyperlink"/>
    <w:basedOn w:val="DefaultParagraphFont"/>
    <w:uiPriority w:val="99"/>
    <w:semiHidden/>
    <w:unhideWhenUsed/>
    <w:rsid w:val="008A155D"/>
    <w:rPr>
      <w:color w:val="954F72" w:themeColor="followedHyperlink"/>
      <w:u w:val="single"/>
    </w:rPr>
  </w:style>
  <w:style w:type="character" w:styleId="LineNumber">
    <w:name w:val="line number"/>
    <w:basedOn w:val="DefaultParagraphFont"/>
    <w:uiPriority w:val="99"/>
    <w:semiHidden/>
    <w:unhideWhenUsed/>
    <w:rsid w:val="008A155D"/>
  </w:style>
  <w:style w:type="character" w:customStyle="1" w:styleId="UnresolvedMention3">
    <w:name w:val="Unresolved Mention3"/>
    <w:basedOn w:val="DefaultParagraphFont"/>
    <w:uiPriority w:val="99"/>
    <w:semiHidden/>
    <w:unhideWhenUsed/>
    <w:rsid w:val="008A155D"/>
    <w:rPr>
      <w:color w:val="605E5C"/>
      <w:shd w:val="clear" w:color="auto" w:fill="E1DFDD"/>
    </w:rPr>
  </w:style>
  <w:style w:type="character" w:customStyle="1" w:styleId="UnresolvedMention4">
    <w:name w:val="Unresolved Mention4"/>
    <w:basedOn w:val="DefaultParagraphFont"/>
    <w:uiPriority w:val="99"/>
    <w:semiHidden/>
    <w:unhideWhenUsed/>
    <w:rsid w:val="008A155D"/>
    <w:rPr>
      <w:color w:val="605E5C"/>
      <w:shd w:val="clear" w:color="auto" w:fill="E1DFDD"/>
    </w:rPr>
  </w:style>
  <w:style w:type="character" w:customStyle="1" w:styleId="UnresolvedMention5">
    <w:name w:val="Unresolved Mention5"/>
    <w:basedOn w:val="DefaultParagraphFont"/>
    <w:uiPriority w:val="99"/>
    <w:semiHidden/>
    <w:unhideWhenUsed/>
    <w:rsid w:val="008A155D"/>
    <w:rPr>
      <w:color w:val="605E5C"/>
      <w:shd w:val="clear" w:color="auto" w:fill="E1DFDD"/>
    </w:rPr>
  </w:style>
  <w:style w:type="character" w:styleId="UnresolvedMention">
    <w:name w:val="Unresolved Mention"/>
    <w:basedOn w:val="DefaultParagraphFont"/>
    <w:uiPriority w:val="99"/>
    <w:semiHidden/>
    <w:unhideWhenUsed/>
    <w:rsid w:val="008A15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B0911783C1D442BD1CF19F4570B3A4" ma:contentTypeVersion="11" ma:contentTypeDescription="Create a new document." ma:contentTypeScope="" ma:versionID="22182499859456db9634881befa81318">
  <xsd:schema xmlns:xsd="http://www.w3.org/2001/XMLSchema" xmlns:xs="http://www.w3.org/2001/XMLSchema" xmlns:p="http://schemas.microsoft.com/office/2006/metadata/properties" xmlns:ns1="http://schemas.microsoft.com/sharepoint/v3" xmlns:ns2="349c52c3-7488-4a9e-99a0-500ebff2edd8" targetNamespace="http://schemas.microsoft.com/office/2006/metadata/properties" ma:root="true" ma:fieldsID="92efc6fe5eaeab414c308e3a3e98472a" ns1:_="" ns2:_="">
    <xsd:import namespace="http://schemas.microsoft.com/sharepoint/v3"/>
    <xsd:import namespace="349c52c3-7488-4a9e-99a0-500ebff2ed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9c52c3-7488-4a9e-99a0-500ebff2ed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F9B312A-0A1E-46FE-8A75-96DC69970945}"/>
</file>

<file path=customXml/itemProps2.xml><?xml version="1.0" encoding="utf-8"?>
<ds:datastoreItem xmlns:ds="http://schemas.openxmlformats.org/officeDocument/2006/customXml" ds:itemID="{78B64CB7-98E2-4290-BF88-D35E3EF563C9}"/>
</file>

<file path=customXml/itemProps3.xml><?xml version="1.0" encoding="utf-8"?>
<ds:datastoreItem xmlns:ds="http://schemas.openxmlformats.org/officeDocument/2006/customXml" ds:itemID="{0B5792C8-10D4-492D-8988-3261D10E5A9E}"/>
</file>

<file path=docProps/app.xml><?xml version="1.0" encoding="utf-8"?>
<Properties xmlns="http://schemas.openxmlformats.org/officeDocument/2006/extended-properties" xmlns:vt="http://schemas.openxmlformats.org/officeDocument/2006/docPropsVTypes">
  <Template>Normal</Template>
  <TotalTime>9</TotalTime>
  <Pages>23</Pages>
  <Words>6159</Words>
  <Characters>35110</Characters>
  <Application>Microsoft Office Word</Application>
  <DocSecurity>0</DocSecurity>
  <Lines>292</Lines>
  <Paragraphs>82</Paragraphs>
  <ScaleCrop>false</ScaleCrop>
  <Company/>
  <LinksUpToDate>false</LinksUpToDate>
  <CharactersWithSpaces>41187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Turner</dc:creator>
  <cp:keywords/>
  <dc:description/>
  <cp:lastModifiedBy>Lesley Turner</cp:lastModifiedBy>
  <cp:revision>3</cp:revision>
  <dcterms:created xsi:type="dcterms:W3CDTF">2022-01-08T21:07:00Z</dcterms:created>
  <dcterms:modified xsi:type="dcterms:W3CDTF">2022-01-08T21:26:00Z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0x0101009FB0911783C1D442BD1CF19F4570B3A4</vt:lpwstr>
  </property>
</Properties>
</file>