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F603F" w14:textId="0135E41A" w:rsidR="005B6C31" w:rsidRDefault="00542E73" w:rsidP="001C47D3">
      <w:pPr>
        <w:spacing w:line="360" w:lineRule="auto"/>
        <w:rPr>
          <w:rFonts w:ascii="Garamond" w:hAnsi="Garamond"/>
          <w:b/>
          <w:bCs/>
        </w:rPr>
      </w:pPr>
      <w:r w:rsidRPr="009A2E44">
        <w:rPr>
          <w:rFonts w:ascii="Garamond" w:hAnsi="Garamond"/>
          <w:b/>
          <w:bCs/>
        </w:rPr>
        <w:t xml:space="preserve">Contrasting </w:t>
      </w:r>
      <w:r w:rsidR="001C47D3">
        <w:rPr>
          <w:rFonts w:ascii="Garamond" w:hAnsi="Garamond"/>
          <w:b/>
          <w:bCs/>
        </w:rPr>
        <w:t>C</w:t>
      </w:r>
      <w:r w:rsidR="00145DD7" w:rsidRPr="009A2E44">
        <w:rPr>
          <w:rFonts w:ascii="Garamond" w:hAnsi="Garamond"/>
          <w:b/>
          <w:bCs/>
        </w:rPr>
        <w:t xml:space="preserve">ommon </w:t>
      </w:r>
      <w:r w:rsidR="001C47D3">
        <w:rPr>
          <w:rFonts w:ascii="Garamond" w:hAnsi="Garamond"/>
          <w:b/>
          <w:bCs/>
        </w:rPr>
        <w:t>E</w:t>
      </w:r>
      <w:r w:rsidR="00145DD7" w:rsidRPr="009A2E44">
        <w:rPr>
          <w:rFonts w:ascii="Garamond" w:hAnsi="Garamond"/>
          <w:b/>
          <w:bCs/>
        </w:rPr>
        <w:t xml:space="preserve">ra </w:t>
      </w:r>
      <w:r w:rsidRPr="009A2E44">
        <w:rPr>
          <w:rFonts w:ascii="Garamond" w:hAnsi="Garamond"/>
          <w:b/>
          <w:bCs/>
        </w:rPr>
        <w:t xml:space="preserve">climate and hydrology sensitivities from paired lake sediment </w:t>
      </w:r>
      <w:r w:rsidR="00000FC4" w:rsidRPr="009A2E44">
        <w:rPr>
          <w:rFonts w:ascii="Garamond" w:hAnsi="Garamond"/>
          <w:b/>
          <w:bCs/>
        </w:rPr>
        <w:t xml:space="preserve">dinosterol </w:t>
      </w:r>
      <w:r w:rsidRPr="009A2E44">
        <w:rPr>
          <w:rFonts w:ascii="Garamond" w:hAnsi="Garamond"/>
          <w:b/>
          <w:bCs/>
        </w:rPr>
        <w:t>hydrogen isotope records in the South Pacific Convergence Zone</w:t>
      </w:r>
    </w:p>
    <w:p w14:paraId="0B7C6894" w14:textId="77777777" w:rsidR="001C47D3" w:rsidRPr="001C47D3" w:rsidRDefault="001C47D3" w:rsidP="001C47D3">
      <w:pPr>
        <w:spacing w:line="360" w:lineRule="auto"/>
        <w:rPr>
          <w:rFonts w:ascii="Garamond" w:hAnsi="Garamond"/>
          <w:b/>
          <w:bCs/>
        </w:rPr>
      </w:pPr>
    </w:p>
    <w:p w14:paraId="535A734A" w14:textId="06570278" w:rsidR="00495CBD" w:rsidRPr="00A21381" w:rsidRDefault="005B6C31" w:rsidP="001C47D3">
      <w:pPr>
        <w:suppressLineNumbers/>
        <w:spacing w:line="360" w:lineRule="auto"/>
        <w:rPr>
          <w:rFonts w:ascii="Garamond" w:hAnsi="Garamond"/>
        </w:rPr>
      </w:pPr>
      <w:r w:rsidRPr="009A2E44">
        <w:rPr>
          <w:rFonts w:ascii="Garamond" w:hAnsi="Garamond"/>
        </w:rPr>
        <w:t>Ashley E Maloney</w:t>
      </w:r>
      <w:r w:rsidRPr="009A2E44">
        <w:rPr>
          <w:rFonts w:ascii="Garamond" w:hAnsi="Garamond"/>
          <w:vertAlign w:val="superscript"/>
        </w:rPr>
        <w:t>1*</w:t>
      </w:r>
      <w:r w:rsidRPr="009A2E44">
        <w:rPr>
          <w:rFonts w:ascii="Garamond" w:hAnsi="Garamond"/>
        </w:rPr>
        <w:t xml:space="preserve">, </w:t>
      </w:r>
      <w:r w:rsidR="000822C0" w:rsidRPr="009A2E44">
        <w:rPr>
          <w:rFonts w:ascii="Garamond" w:hAnsi="Garamond"/>
        </w:rPr>
        <w:t>Julie N Richey</w:t>
      </w:r>
      <w:r w:rsidR="00F64A68">
        <w:rPr>
          <w:rFonts w:ascii="Garamond" w:hAnsi="Garamond"/>
          <w:vertAlign w:val="superscript"/>
        </w:rPr>
        <w:t>1,2</w:t>
      </w:r>
      <w:r w:rsidR="000822C0" w:rsidRPr="009A2E44">
        <w:rPr>
          <w:rFonts w:ascii="Garamond" w:hAnsi="Garamond"/>
        </w:rPr>
        <w:t xml:space="preserve">, </w:t>
      </w:r>
      <w:r w:rsidR="00E44513" w:rsidRPr="009A2E44">
        <w:rPr>
          <w:rFonts w:ascii="Garamond" w:hAnsi="Garamond"/>
        </w:rPr>
        <w:t>Daniel B Nelson</w:t>
      </w:r>
      <w:r w:rsidR="00F64A68">
        <w:rPr>
          <w:rFonts w:ascii="Garamond" w:hAnsi="Garamond"/>
          <w:vertAlign w:val="superscript"/>
        </w:rPr>
        <w:t>1,3</w:t>
      </w:r>
      <w:r w:rsidR="00E44513" w:rsidRPr="009A2E44">
        <w:rPr>
          <w:rFonts w:ascii="Garamond" w:hAnsi="Garamond"/>
        </w:rPr>
        <w:t xml:space="preserve">, </w:t>
      </w:r>
      <w:r w:rsidRPr="009A2E44">
        <w:rPr>
          <w:rFonts w:ascii="Garamond" w:hAnsi="Garamond"/>
        </w:rPr>
        <w:t>Samantha N Hing</w:t>
      </w:r>
      <w:r w:rsidR="00F64A68">
        <w:rPr>
          <w:rFonts w:ascii="Garamond" w:hAnsi="Garamond"/>
          <w:vertAlign w:val="superscript"/>
        </w:rPr>
        <w:t>1,4</w:t>
      </w:r>
      <w:r w:rsidRPr="009A2E44">
        <w:rPr>
          <w:rFonts w:ascii="Garamond" w:hAnsi="Garamond"/>
        </w:rPr>
        <w:t>, David A Sear</w:t>
      </w:r>
      <w:r w:rsidR="00BC3269" w:rsidRPr="009A2E44">
        <w:rPr>
          <w:rFonts w:ascii="Garamond" w:hAnsi="Garamond"/>
          <w:vertAlign w:val="superscript"/>
        </w:rPr>
        <w:t>5</w:t>
      </w:r>
      <w:r w:rsidRPr="009A2E44">
        <w:rPr>
          <w:rFonts w:ascii="Garamond" w:hAnsi="Garamond"/>
        </w:rPr>
        <w:t>, Jonathan D Hassall</w:t>
      </w:r>
      <w:r w:rsidR="00BC3269" w:rsidRPr="009A2E44">
        <w:rPr>
          <w:rFonts w:ascii="Garamond" w:hAnsi="Garamond"/>
          <w:vertAlign w:val="superscript"/>
        </w:rPr>
        <w:t>5</w:t>
      </w:r>
      <w:r w:rsidRPr="009A2E44">
        <w:rPr>
          <w:rFonts w:ascii="Garamond" w:hAnsi="Garamond"/>
        </w:rPr>
        <w:t>, Peter G Langdon</w:t>
      </w:r>
      <w:r w:rsidR="00BC3269" w:rsidRPr="009A2E44">
        <w:rPr>
          <w:rFonts w:ascii="Garamond" w:hAnsi="Garamond"/>
          <w:vertAlign w:val="superscript"/>
        </w:rPr>
        <w:t>5</w:t>
      </w:r>
      <w:r w:rsidRPr="009A2E44">
        <w:rPr>
          <w:rFonts w:ascii="Garamond" w:hAnsi="Garamond"/>
        </w:rPr>
        <w:t>,</w:t>
      </w:r>
      <w:r w:rsidR="0095304D" w:rsidRPr="009A2E44">
        <w:rPr>
          <w:rFonts w:ascii="Garamond" w:hAnsi="Garamond"/>
        </w:rPr>
        <w:t xml:space="preserve"> Ursula Sichrowsky</w:t>
      </w:r>
      <w:r w:rsidR="00BC3269" w:rsidRPr="009A2E44">
        <w:rPr>
          <w:rFonts w:ascii="Garamond" w:hAnsi="Garamond"/>
          <w:vertAlign w:val="superscript"/>
        </w:rPr>
        <w:t>6</w:t>
      </w:r>
      <w:r w:rsidR="0095304D" w:rsidRPr="009A2E44">
        <w:rPr>
          <w:rFonts w:ascii="Garamond" w:hAnsi="Garamond"/>
        </w:rPr>
        <w:t>, Robert Schabetsberger</w:t>
      </w:r>
      <w:r w:rsidR="00BC3269" w:rsidRPr="009A2E44">
        <w:rPr>
          <w:rFonts w:ascii="Garamond" w:hAnsi="Garamond"/>
          <w:vertAlign w:val="superscript"/>
        </w:rPr>
        <w:t>7</w:t>
      </w:r>
      <w:r w:rsidR="0095304D" w:rsidRPr="009A2E44">
        <w:rPr>
          <w:rFonts w:ascii="Garamond" w:hAnsi="Garamond"/>
        </w:rPr>
        <w:t xml:space="preserve">, </w:t>
      </w:r>
      <w:proofErr w:type="spellStart"/>
      <w:r w:rsidR="00402802" w:rsidRPr="009A2E44">
        <w:rPr>
          <w:rFonts w:ascii="Garamond" w:hAnsi="Garamond"/>
        </w:rPr>
        <w:t>Atoloto</w:t>
      </w:r>
      <w:proofErr w:type="spellEnd"/>
      <w:r w:rsidR="00402802" w:rsidRPr="009A2E44">
        <w:rPr>
          <w:rFonts w:ascii="Garamond" w:hAnsi="Garamond"/>
        </w:rPr>
        <w:t xml:space="preserve"> Malau</w:t>
      </w:r>
      <w:r w:rsidR="00BC3269" w:rsidRPr="009A2E44">
        <w:rPr>
          <w:rFonts w:ascii="Garamond" w:hAnsi="Garamond"/>
          <w:vertAlign w:val="superscript"/>
        </w:rPr>
        <w:t>8</w:t>
      </w:r>
      <w:r w:rsidR="00402802" w:rsidRPr="009A2E44">
        <w:rPr>
          <w:rFonts w:ascii="Garamond" w:hAnsi="Garamond"/>
        </w:rPr>
        <w:t>, Jean-Yves Meyer</w:t>
      </w:r>
      <w:r w:rsidR="00BC3269" w:rsidRPr="009A2E44">
        <w:rPr>
          <w:rFonts w:ascii="Garamond" w:hAnsi="Garamond"/>
          <w:vertAlign w:val="superscript"/>
        </w:rPr>
        <w:t>9</w:t>
      </w:r>
      <w:r w:rsidR="00402802" w:rsidRPr="009A2E44">
        <w:rPr>
          <w:rFonts w:ascii="Garamond" w:hAnsi="Garamond"/>
        </w:rPr>
        <w:t>,</w:t>
      </w:r>
      <w:r w:rsidR="00402802" w:rsidRPr="00A21381">
        <w:rPr>
          <w:rFonts w:ascii="Garamond" w:hAnsi="Garamond"/>
        </w:rPr>
        <w:t xml:space="preserve"> </w:t>
      </w:r>
      <w:r w:rsidR="00F71787" w:rsidRPr="000F2314">
        <w:rPr>
          <w:rFonts w:ascii="Garamond" w:hAnsi="Garamond"/>
        </w:rPr>
        <w:t>Ian W. Croudace</w:t>
      </w:r>
      <w:r w:rsidR="00F71787" w:rsidRPr="000F2314">
        <w:rPr>
          <w:rFonts w:ascii="Garamond" w:hAnsi="Garamond"/>
          <w:vertAlign w:val="superscript"/>
        </w:rPr>
        <w:t>10</w:t>
      </w:r>
      <w:r w:rsidR="00F71787" w:rsidRPr="00A21381">
        <w:rPr>
          <w:rFonts w:ascii="Garamond" w:hAnsi="Garamond"/>
        </w:rPr>
        <w:t xml:space="preserve">, </w:t>
      </w:r>
      <w:r w:rsidRPr="00A21381">
        <w:rPr>
          <w:rFonts w:ascii="Garamond" w:hAnsi="Garamond"/>
        </w:rPr>
        <w:t>Julian P Sachs</w:t>
      </w:r>
      <w:r w:rsidRPr="00A21381">
        <w:rPr>
          <w:rFonts w:ascii="Garamond" w:hAnsi="Garamond"/>
          <w:vertAlign w:val="superscript"/>
        </w:rPr>
        <w:t>1</w:t>
      </w:r>
      <w:r w:rsidRPr="00A21381">
        <w:rPr>
          <w:rFonts w:ascii="Garamond" w:hAnsi="Garamond"/>
        </w:rPr>
        <w:t xml:space="preserve"> </w:t>
      </w:r>
    </w:p>
    <w:p w14:paraId="5E896C67" w14:textId="77777777" w:rsidR="005B6C31" w:rsidRPr="00A21381" w:rsidRDefault="005B6C31" w:rsidP="001C47D3">
      <w:pPr>
        <w:suppressLineNumbers/>
        <w:spacing w:line="360" w:lineRule="auto"/>
        <w:rPr>
          <w:rFonts w:ascii="Garamond" w:hAnsi="Garamond"/>
        </w:rPr>
      </w:pPr>
    </w:p>
    <w:p w14:paraId="5910973D" w14:textId="74DEA985" w:rsidR="005B6C31" w:rsidRPr="00A21381" w:rsidRDefault="005B6C31" w:rsidP="001C47D3">
      <w:pPr>
        <w:suppressLineNumbers/>
        <w:spacing w:line="360" w:lineRule="auto"/>
        <w:rPr>
          <w:rFonts w:ascii="Garamond" w:hAnsi="Garamond"/>
          <w:sz w:val="20"/>
          <w:szCs w:val="20"/>
        </w:rPr>
      </w:pPr>
      <w:r w:rsidRPr="00A21381">
        <w:rPr>
          <w:rFonts w:ascii="Garamond" w:hAnsi="Garamond"/>
          <w:sz w:val="20"/>
          <w:szCs w:val="20"/>
          <w:vertAlign w:val="superscript"/>
        </w:rPr>
        <w:t>1</w:t>
      </w:r>
      <w:r w:rsidR="00E52B69" w:rsidRPr="00A21381">
        <w:rPr>
          <w:rFonts w:ascii="Garamond" w:hAnsi="Garamond"/>
          <w:sz w:val="20"/>
          <w:szCs w:val="20"/>
          <w:vertAlign w:val="superscript"/>
        </w:rPr>
        <w:t xml:space="preserve"> </w:t>
      </w:r>
      <w:r w:rsidRPr="00A21381">
        <w:rPr>
          <w:rFonts w:ascii="Garamond" w:hAnsi="Garamond"/>
          <w:sz w:val="20"/>
          <w:szCs w:val="20"/>
        </w:rPr>
        <w:t>University of Washington, School of Oceanography, College of the Environment, Seattle, WA 98195, USA</w:t>
      </w:r>
    </w:p>
    <w:p w14:paraId="38136DAA" w14:textId="1D1A492E" w:rsidR="00E44513" w:rsidRPr="00A21381" w:rsidRDefault="00E44513" w:rsidP="001C47D3">
      <w:pPr>
        <w:suppressLineNumbers/>
        <w:spacing w:line="360" w:lineRule="auto"/>
        <w:rPr>
          <w:rFonts w:ascii="Garamond" w:hAnsi="Garamond"/>
          <w:sz w:val="20"/>
          <w:szCs w:val="20"/>
        </w:rPr>
      </w:pPr>
      <w:r w:rsidRPr="00A21381">
        <w:rPr>
          <w:rFonts w:ascii="Garamond" w:hAnsi="Garamond"/>
          <w:sz w:val="20"/>
          <w:szCs w:val="20"/>
          <w:vertAlign w:val="superscript"/>
        </w:rPr>
        <w:t>2</w:t>
      </w:r>
      <w:r w:rsidR="00E52B69" w:rsidRPr="00A21381">
        <w:rPr>
          <w:rFonts w:ascii="Garamond" w:hAnsi="Garamond"/>
          <w:sz w:val="20"/>
          <w:szCs w:val="20"/>
          <w:vertAlign w:val="superscript"/>
        </w:rPr>
        <w:t xml:space="preserve"> </w:t>
      </w:r>
      <w:r w:rsidRPr="00A21381">
        <w:rPr>
          <w:rFonts w:ascii="Garamond" w:hAnsi="Garamond"/>
          <w:sz w:val="20"/>
          <w:szCs w:val="20"/>
        </w:rPr>
        <w:t>U.S. Geological Survey, St. Petersburg, Florida 33701, USA</w:t>
      </w:r>
    </w:p>
    <w:p w14:paraId="6C86E79C" w14:textId="147638EA" w:rsidR="005B6C31" w:rsidRPr="00A21381" w:rsidRDefault="00E44513" w:rsidP="001C47D3">
      <w:pPr>
        <w:suppressLineNumbers/>
        <w:spacing w:line="360" w:lineRule="auto"/>
        <w:rPr>
          <w:rFonts w:ascii="Garamond" w:hAnsi="Garamond"/>
          <w:sz w:val="20"/>
          <w:szCs w:val="20"/>
        </w:rPr>
      </w:pPr>
      <w:r w:rsidRPr="00A21381">
        <w:rPr>
          <w:rFonts w:ascii="Garamond" w:hAnsi="Garamond"/>
          <w:sz w:val="20"/>
          <w:szCs w:val="20"/>
          <w:vertAlign w:val="superscript"/>
        </w:rPr>
        <w:t>3</w:t>
      </w:r>
      <w:r w:rsidR="00E52B69" w:rsidRPr="00A21381">
        <w:rPr>
          <w:rFonts w:ascii="Garamond" w:hAnsi="Garamond"/>
          <w:sz w:val="20"/>
          <w:szCs w:val="20"/>
          <w:vertAlign w:val="superscript"/>
        </w:rPr>
        <w:t xml:space="preserve"> </w:t>
      </w:r>
      <w:r w:rsidR="005B6C31" w:rsidRPr="00A21381">
        <w:rPr>
          <w:rFonts w:ascii="Garamond" w:hAnsi="Garamond"/>
          <w:sz w:val="20"/>
          <w:szCs w:val="20"/>
        </w:rPr>
        <w:t>Department of Environmental Sciences – Botany, University of Basel, Basel, Switzerland</w:t>
      </w:r>
    </w:p>
    <w:p w14:paraId="48B60278" w14:textId="16721C43" w:rsidR="00BC3269" w:rsidRPr="00A21381" w:rsidRDefault="00BC3269" w:rsidP="001C47D3">
      <w:pPr>
        <w:spacing w:line="360" w:lineRule="auto"/>
        <w:rPr>
          <w:rFonts w:ascii="Garamond" w:hAnsi="Garamond"/>
        </w:rPr>
      </w:pPr>
      <w:r w:rsidRPr="00A21381">
        <w:rPr>
          <w:rFonts w:ascii="Garamond" w:hAnsi="Garamond"/>
          <w:sz w:val="20"/>
          <w:szCs w:val="20"/>
          <w:vertAlign w:val="superscript"/>
        </w:rPr>
        <w:t>4</w:t>
      </w:r>
      <w:r w:rsidR="00E52B69" w:rsidRPr="00A21381">
        <w:rPr>
          <w:rFonts w:ascii="Garamond" w:hAnsi="Garamond"/>
          <w:sz w:val="20"/>
          <w:szCs w:val="20"/>
          <w:vertAlign w:val="superscript"/>
        </w:rPr>
        <w:t xml:space="preserve"> </w:t>
      </w:r>
      <w:r w:rsidRPr="00A21381">
        <w:rPr>
          <w:rFonts w:ascii="Garamond" w:hAnsi="Garamond"/>
          <w:sz w:val="20"/>
          <w:szCs w:val="20"/>
        </w:rPr>
        <w:t>Department of Civil and Environmental Engineering, University of California, Berkeley, California 94720-1710, USA</w:t>
      </w:r>
    </w:p>
    <w:p w14:paraId="2C7B7003" w14:textId="32B2F31C" w:rsidR="005B6C31" w:rsidRPr="00A21381" w:rsidRDefault="00BC3269" w:rsidP="001C47D3">
      <w:pPr>
        <w:suppressLineNumbers/>
        <w:spacing w:line="360" w:lineRule="auto"/>
        <w:rPr>
          <w:rFonts w:ascii="Garamond" w:hAnsi="Garamond"/>
          <w:sz w:val="20"/>
          <w:szCs w:val="20"/>
        </w:rPr>
      </w:pPr>
      <w:r w:rsidRPr="00A21381">
        <w:rPr>
          <w:rFonts w:ascii="Garamond" w:hAnsi="Garamond"/>
          <w:sz w:val="20"/>
          <w:szCs w:val="20"/>
          <w:vertAlign w:val="superscript"/>
        </w:rPr>
        <w:t>5</w:t>
      </w:r>
      <w:r w:rsidR="00E52B69" w:rsidRPr="00A21381">
        <w:rPr>
          <w:rFonts w:ascii="Garamond" w:hAnsi="Garamond"/>
          <w:sz w:val="20"/>
          <w:szCs w:val="20"/>
          <w:vertAlign w:val="superscript"/>
        </w:rPr>
        <w:t xml:space="preserve"> </w:t>
      </w:r>
      <w:r w:rsidR="005B6C31" w:rsidRPr="00A21381">
        <w:rPr>
          <w:rFonts w:ascii="Garamond" w:hAnsi="Garamond"/>
          <w:sz w:val="20"/>
          <w:szCs w:val="20"/>
        </w:rPr>
        <w:t xml:space="preserve">University of Southampton, Geography and Environment, </w:t>
      </w:r>
      <w:proofErr w:type="spellStart"/>
      <w:r w:rsidR="005B6C31" w:rsidRPr="00A21381">
        <w:rPr>
          <w:rFonts w:ascii="Garamond" w:hAnsi="Garamond"/>
          <w:sz w:val="20"/>
          <w:szCs w:val="20"/>
        </w:rPr>
        <w:t>Highfield</w:t>
      </w:r>
      <w:proofErr w:type="spellEnd"/>
      <w:r w:rsidR="005B6C31" w:rsidRPr="00A21381">
        <w:rPr>
          <w:rFonts w:ascii="Garamond" w:hAnsi="Garamond"/>
          <w:sz w:val="20"/>
          <w:szCs w:val="20"/>
        </w:rPr>
        <w:t xml:space="preserve">, Southampton </w:t>
      </w:r>
      <w:r w:rsidR="005B6C31" w:rsidRPr="000F2314">
        <w:rPr>
          <w:rFonts w:ascii="Garamond" w:hAnsi="Garamond"/>
          <w:sz w:val="20"/>
          <w:szCs w:val="20"/>
          <w:shd w:val="clear" w:color="auto" w:fill="FFFFFF"/>
        </w:rPr>
        <w:t>SO17 1BJ</w:t>
      </w:r>
      <w:r w:rsidR="005B6C31" w:rsidRPr="00A21381">
        <w:rPr>
          <w:rFonts w:ascii="Garamond" w:hAnsi="Garamond"/>
          <w:sz w:val="20"/>
          <w:szCs w:val="20"/>
        </w:rPr>
        <w:t>, UK</w:t>
      </w:r>
    </w:p>
    <w:p w14:paraId="653D0830" w14:textId="16253890" w:rsidR="0095304D" w:rsidRPr="00A21381" w:rsidRDefault="00BC3269" w:rsidP="001C47D3">
      <w:pPr>
        <w:suppressLineNumbers/>
        <w:spacing w:line="360" w:lineRule="auto"/>
        <w:rPr>
          <w:rFonts w:ascii="Garamond" w:hAnsi="Garamond"/>
          <w:sz w:val="20"/>
          <w:szCs w:val="20"/>
        </w:rPr>
      </w:pPr>
      <w:r w:rsidRPr="00A21381">
        <w:rPr>
          <w:rFonts w:ascii="Garamond" w:hAnsi="Garamond"/>
          <w:sz w:val="20"/>
          <w:szCs w:val="20"/>
          <w:vertAlign w:val="superscript"/>
        </w:rPr>
        <w:t>6</w:t>
      </w:r>
      <w:r w:rsidR="00E52B69" w:rsidRPr="00A21381">
        <w:rPr>
          <w:rFonts w:ascii="Garamond" w:hAnsi="Garamond"/>
          <w:sz w:val="20"/>
          <w:szCs w:val="20"/>
          <w:vertAlign w:val="superscript"/>
        </w:rPr>
        <w:t xml:space="preserve"> </w:t>
      </w:r>
      <w:r w:rsidR="0095304D" w:rsidRPr="00A21381">
        <w:rPr>
          <w:rFonts w:ascii="Garamond" w:hAnsi="Garamond"/>
          <w:sz w:val="20"/>
          <w:szCs w:val="20"/>
        </w:rPr>
        <w:t>Institu</w:t>
      </w:r>
      <w:r w:rsidR="00E52B69" w:rsidRPr="00A21381">
        <w:rPr>
          <w:rFonts w:ascii="Garamond" w:hAnsi="Garamond"/>
          <w:sz w:val="20"/>
          <w:szCs w:val="20"/>
        </w:rPr>
        <w:t>t</w:t>
      </w:r>
      <w:r w:rsidR="0095304D" w:rsidRPr="00A21381">
        <w:rPr>
          <w:rFonts w:ascii="Garamond" w:hAnsi="Garamond"/>
          <w:sz w:val="20"/>
          <w:szCs w:val="20"/>
        </w:rPr>
        <w:t>e of Ecology, University of Innsbruck, Innsbruck, Austria</w:t>
      </w:r>
    </w:p>
    <w:p w14:paraId="0EB5885D" w14:textId="2CF7B96A" w:rsidR="0095304D" w:rsidRPr="00A21381" w:rsidRDefault="00BC3269" w:rsidP="001C47D3">
      <w:pPr>
        <w:spacing w:line="360" w:lineRule="auto"/>
        <w:rPr>
          <w:rFonts w:ascii="Garamond" w:hAnsi="Garamond"/>
          <w:sz w:val="20"/>
          <w:szCs w:val="20"/>
        </w:rPr>
      </w:pPr>
      <w:r w:rsidRPr="00A21381">
        <w:rPr>
          <w:rFonts w:ascii="Garamond" w:hAnsi="Garamond"/>
          <w:sz w:val="20"/>
          <w:szCs w:val="20"/>
          <w:vertAlign w:val="superscript"/>
        </w:rPr>
        <w:t>7</w:t>
      </w:r>
      <w:r w:rsidR="00E52B69" w:rsidRPr="00A21381">
        <w:rPr>
          <w:rFonts w:ascii="Garamond" w:hAnsi="Garamond"/>
          <w:sz w:val="20"/>
          <w:szCs w:val="20"/>
          <w:vertAlign w:val="superscript"/>
        </w:rPr>
        <w:t xml:space="preserve"> </w:t>
      </w:r>
      <w:r w:rsidR="0095304D" w:rsidRPr="00A21381">
        <w:rPr>
          <w:rFonts w:ascii="Garamond" w:hAnsi="Garamond"/>
          <w:sz w:val="20"/>
          <w:szCs w:val="20"/>
        </w:rPr>
        <w:t>Department of Biosciences, University of Salzburg, 5020 Salzburg, Austria</w:t>
      </w:r>
    </w:p>
    <w:p w14:paraId="6094E9F6" w14:textId="3690EDD3" w:rsidR="00402802" w:rsidRPr="00A21381" w:rsidRDefault="00BC3269" w:rsidP="001C47D3">
      <w:pPr>
        <w:suppressLineNumbers/>
        <w:spacing w:line="360" w:lineRule="auto"/>
        <w:rPr>
          <w:rFonts w:ascii="Garamond" w:hAnsi="Garamond"/>
          <w:sz w:val="20"/>
          <w:szCs w:val="20"/>
        </w:rPr>
      </w:pPr>
      <w:r w:rsidRPr="00A21381">
        <w:rPr>
          <w:rFonts w:ascii="Garamond" w:hAnsi="Garamond"/>
          <w:sz w:val="20"/>
          <w:szCs w:val="20"/>
          <w:vertAlign w:val="superscript"/>
        </w:rPr>
        <w:t>8</w:t>
      </w:r>
      <w:r w:rsidR="00E52B69" w:rsidRPr="00A21381">
        <w:rPr>
          <w:rFonts w:ascii="Garamond" w:hAnsi="Garamond"/>
          <w:sz w:val="20"/>
          <w:szCs w:val="20"/>
          <w:vertAlign w:val="superscript"/>
        </w:rPr>
        <w:t xml:space="preserve"> </w:t>
      </w:r>
      <w:r w:rsidR="00C5106B" w:rsidRPr="00A21381">
        <w:rPr>
          <w:rFonts w:ascii="Garamond" w:hAnsi="Garamond"/>
          <w:sz w:val="20"/>
          <w:szCs w:val="20"/>
        </w:rPr>
        <w:t xml:space="preserve">Service de </w:t>
      </w:r>
      <w:proofErr w:type="spellStart"/>
      <w:r w:rsidR="00C5106B" w:rsidRPr="00A21381">
        <w:rPr>
          <w:rFonts w:ascii="Garamond" w:hAnsi="Garamond"/>
          <w:sz w:val="20"/>
          <w:szCs w:val="20"/>
        </w:rPr>
        <w:t>l’Environn</w:t>
      </w:r>
      <w:r w:rsidR="007B6A66" w:rsidRPr="00A21381">
        <w:rPr>
          <w:rFonts w:ascii="Garamond" w:hAnsi="Garamond"/>
          <w:sz w:val="20"/>
          <w:szCs w:val="20"/>
        </w:rPr>
        <w:t>e</w:t>
      </w:r>
      <w:r w:rsidR="00C5106B" w:rsidRPr="00A21381">
        <w:rPr>
          <w:rFonts w:ascii="Garamond" w:hAnsi="Garamond"/>
          <w:sz w:val="20"/>
          <w:szCs w:val="20"/>
        </w:rPr>
        <w:t>ment</w:t>
      </w:r>
      <w:proofErr w:type="spellEnd"/>
      <w:r w:rsidR="00C5106B" w:rsidRPr="00A21381">
        <w:rPr>
          <w:rFonts w:ascii="Garamond" w:hAnsi="Garamond"/>
          <w:sz w:val="20"/>
          <w:szCs w:val="20"/>
        </w:rPr>
        <w:t xml:space="preserve">, </w:t>
      </w:r>
      <w:r w:rsidR="007B6A66" w:rsidRPr="00A21381">
        <w:rPr>
          <w:rFonts w:ascii="Garamond" w:hAnsi="Garamond"/>
          <w:sz w:val="20"/>
          <w:szCs w:val="20"/>
        </w:rPr>
        <w:t>BP 294</w:t>
      </w:r>
      <w:r w:rsidR="00B15EE7" w:rsidRPr="00A21381">
        <w:rPr>
          <w:rFonts w:ascii="Garamond" w:hAnsi="Garamond"/>
          <w:sz w:val="20"/>
          <w:szCs w:val="20"/>
        </w:rPr>
        <w:t>, 98600</w:t>
      </w:r>
      <w:r w:rsidR="007B6A66" w:rsidRPr="00A21381">
        <w:rPr>
          <w:rFonts w:ascii="Garamond" w:hAnsi="Garamond"/>
          <w:sz w:val="20"/>
          <w:szCs w:val="20"/>
        </w:rPr>
        <w:t xml:space="preserve"> </w:t>
      </w:r>
      <w:r w:rsidR="00C5106B" w:rsidRPr="00A21381">
        <w:rPr>
          <w:rFonts w:ascii="Garamond" w:hAnsi="Garamond"/>
          <w:sz w:val="20"/>
          <w:szCs w:val="20"/>
        </w:rPr>
        <w:t>Mata</w:t>
      </w:r>
      <w:r w:rsidR="00B15EE7" w:rsidRPr="00A21381">
        <w:rPr>
          <w:rFonts w:ascii="Garamond" w:hAnsi="Garamond"/>
          <w:sz w:val="20"/>
          <w:szCs w:val="20"/>
        </w:rPr>
        <w:t xml:space="preserve"> </w:t>
      </w:r>
      <w:r w:rsidR="00C5106B" w:rsidRPr="00A21381">
        <w:rPr>
          <w:rFonts w:ascii="Garamond" w:hAnsi="Garamond"/>
          <w:sz w:val="20"/>
          <w:szCs w:val="20"/>
        </w:rPr>
        <w:t>’Utu</w:t>
      </w:r>
      <w:r w:rsidR="007B6A66" w:rsidRPr="00A21381">
        <w:rPr>
          <w:rFonts w:ascii="Garamond" w:hAnsi="Garamond"/>
          <w:sz w:val="20"/>
          <w:szCs w:val="20"/>
        </w:rPr>
        <w:t>,</w:t>
      </w:r>
      <w:r w:rsidR="00C5106B" w:rsidRPr="00A21381">
        <w:rPr>
          <w:rFonts w:ascii="Garamond" w:hAnsi="Garamond"/>
          <w:sz w:val="20"/>
          <w:szCs w:val="20"/>
        </w:rPr>
        <w:t xml:space="preserve"> </w:t>
      </w:r>
      <w:r w:rsidR="005B2CB8" w:rsidRPr="00A21381">
        <w:rPr>
          <w:rFonts w:ascii="Garamond" w:hAnsi="Garamond"/>
          <w:sz w:val="20"/>
          <w:szCs w:val="20"/>
        </w:rPr>
        <w:t>‘</w:t>
      </w:r>
      <w:r w:rsidR="00C5106B" w:rsidRPr="00A21381">
        <w:rPr>
          <w:rFonts w:ascii="Garamond" w:hAnsi="Garamond"/>
          <w:sz w:val="20"/>
          <w:szCs w:val="20"/>
        </w:rPr>
        <w:t xml:space="preserve">Uvea, Wallis </w:t>
      </w:r>
      <w:r w:rsidR="007B6A66" w:rsidRPr="00A21381">
        <w:rPr>
          <w:rFonts w:ascii="Garamond" w:hAnsi="Garamond"/>
          <w:sz w:val="20"/>
          <w:szCs w:val="20"/>
        </w:rPr>
        <w:t xml:space="preserve">et </w:t>
      </w:r>
      <w:r w:rsidR="00C5106B" w:rsidRPr="00A21381">
        <w:rPr>
          <w:rFonts w:ascii="Garamond" w:hAnsi="Garamond"/>
          <w:sz w:val="20"/>
          <w:szCs w:val="20"/>
        </w:rPr>
        <w:t>Futuna</w:t>
      </w:r>
    </w:p>
    <w:p w14:paraId="7167CBE6" w14:textId="71009B14" w:rsidR="00402802" w:rsidRPr="00A21381" w:rsidRDefault="00BC3269" w:rsidP="001C47D3">
      <w:pPr>
        <w:spacing w:line="360" w:lineRule="auto"/>
        <w:rPr>
          <w:rFonts w:ascii="Garamond" w:hAnsi="Garamond"/>
          <w:sz w:val="20"/>
          <w:szCs w:val="20"/>
        </w:rPr>
      </w:pPr>
      <w:r w:rsidRPr="00A21381">
        <w:rPr>
          <w:rFonts w:ascii="Garamond" w:hAnsi="Garamond"/>
          <w:sz w:val="20"/>
          <w:szCs w:val="20"/>
          <w:vertAlign w:val="superscript"/>
        </w:rPr>
        <w:t>9</w:t>
      </w:r>
      <w:r w:rsidR="00E52B69" w:rsidRPr="00A21381">
        <w:rPr>
          <w:rFonts w:ascii="Garamond" w:hAnsi="Garamond"/>
          <w:sz w:val="20"/>
          <w:szCs w:val="20"/>
          <w:vertAlign w:val="superscript"/>
        </w:rPr>
        <w:t xml:space="preserve"> </w:t>
      </w:r>
      <w:proofErr w:type="spellStart"/>
      <w:r w:rsidR="00C5106B" w:rsidRPr="00A21381">
        <w:rPr>
          <w:rFonts w:ascii="Garamond" w:hAnsi="Garamond"/>
          <w:sz w:val="20"/>
          <w:szCs w:val="20"/>
        </w:rPr>
        <w:t>Délégation</w:t>
      </w:r>
      <w:proofErr w:type="spellEnd"/>
      <w:r w:rsidR="00C5106B" w:rsidRPr="00A21381">
        <w:rPr>
          <w:rFonts w:ascii="Garamond" w:hAnsi="Garamond"/>
          <w:sz w:val="20"/>
          <w:szCs w:val="20"/>
        </w:rPr>
        <w:t xml:space="preserve"> à la Recherche</w:t>
      </w:r>
      <w:r w:rsidR="007B6A66" w:rsidRPr="00A21381">
        <w:rPr>
          <w:rFonts w:ascii="Garamond" w:hAnsi="Garamond"/>
          <w:sz w:val="20"/>
          <w:szCs w:val="20"/>
        </w:rPr>
        <w:t>, BP 20981</w:t>
      </w:r>
      <w:r w:rsidR="00C5106B" w:rsidRPr="00A21381">
        <w:rPr>
          <w:rFonts w:ascii="Garamond" w:hAnsi="Garamond"/>
          <w:sz w:val="20"/>
          <w:szCs w:val="20"/>
        </w:rPr>
        <w:t xml:space="preserve">, 98713 </w:t>
      </w:r>
      <w:r w:rsidR="007B6A66" w:rsidRPr="00A21381">
        <w:rPr>
          <w:rFonts w:ascii="Garamond" w:hAnsi="Garamond"/>
          <w:sz w:val="20"/>
          <w:szCs w:val="20"/>
        </w:rPr>
        <w:t xml:space="preserve">Papeete, </w:t>
      </w:r>
      <w:r w:rsidR="00C5106B" w:rsidRPr="00A21381">
        <w:rPr>
          <w:rFonts w:ascii="Garamond" w:hAnsi="Garamond"/>
          <w:sz w:val="20"/>
          <w:szCs w:val="20"/>
        </w:rPr>
        <w:t>Tahiti, French Polynesia</w:t>
      </w:r>
    </w:p>
    <w:p w14:paraId="49C6074A" w14:textId="20E7C0F6" w:rsidR="00F71787" w:rsidRPr="000F2314" w:rsidRDefault="00F71787" w:rsidP="001C47D3">
      <w:pPr>
        <w:spacing w:line="360" w:lineRule="auto"/>
        <w:rPr>
          <w:rFonts w:ascii="Garamond" w:hAnsi="Garamond"/>
          <w:sz w:val="20"/>
          <w:szCs w:val="20"/>
          <w:vertAlign w:val="superscript"/>
        </w:rPr>
      </w:pPr>
      <w:r w:rsidRPr="000F2314">
        <w:rPr>
          <w:rFonts w:ascii="Garamond" w:hAnsi="Garamond"/>
          <w:sz w:val="20"/>
          <w:szCs w:val="20"/>
          <w:vertAlign w:val="superscript"/>
        </w:rPr>
        <w:t>10</w:t>
      </w:r>
      <w:r w:rsidR="00E52B69" w:rsidRPr="000F2314">
        <w:rPr>
          <w:rFonts w:ascii="Garamond" w:hAnsi="Garamond"/>
          <w:sz w:val="20"/>
          <w:szCs w:val="20"/>
          <w:vertAlign w:val="superscript"/>
        </w:rPr>
        <w:t xml:space="preserve"> </w:t>
      </w:r>
      <w:r w:rsidRPr="000F2314">
        <w:rPr>
          <w:rFonts w:ascii="Garamond" w:hAnsi="Garamond"/>
          <w:sz w:val="20"/>
          <w:szCs w:val="20"/>
        </w:rPr>
        <w:t xml:space="preserve">GAU-Radioanalytical, University of Southampton, National Oceanography Centre, European Way, Southampton, SO14 3ZH, UK </w:t>
      </w:r>
    </w:p>
    <w:p w14:paraId="5B76AAE1" w14:textId="2F60E4FB" w:rsidR="005B6C31" w:rsidRPr="009A2E44" w:rsidRDefault="005B6C31" w:rsidP="001C47D3">
      <w:pPr>
        <w:suppressLineNumbers/>
        <w:spacing w:line="360" w:lineRule="auto"/>
        <w:outlineLvl w:val="0"/>
        <w:rPr>
          <w:rFonts w:ascii="Garamond" w:hAnsi="Garamond"/>
          <w:sz w:val="20"/>
          <w:szCs w:val="20"/>
        </w:rPr>
      </w:pPr>
      <w:r w:rsidRPr="009A2E44">
        <w:rPr>
          <w:rFonts w:ascii="Garamond" w:hAnsi="Garamond"/>
          <w:sz w:val="20"/>
          <w:szCs w:val="20"/>
        </w:rPr>
        <w:t>*Corresponding author</w:t>
      </w:r>
      <w:r w:rsidR="00413DCF" w:rsidRPr="009A2E44">
        <w:rPr>
          <w:rFonts w:ascii="Garamond" w:hAnsi="Garamond"/>
          <w:sz w:val="20"/>
          <w:szCs w:val="20"/>
        </w:rPr>
        <w:t>.</w:t>
      </w:r>
      <w:r w:rsidRPr="009A2E44">
        <w:rPr>
          <w:rFonts w:ascii="Garamond" w:hAnsi="Garamond"/>
          <w:sz w:val="20"/>
          <w:szCs w:val="20"/>
        </w:rPr>
        <w:t xml:space="preserve"> </w:t>
      </w:r>
      <w:r w:rsidR="00413DCF" w:rsidRPr="009A2E44">
        <w:rPr>
          <w:rFonts w:ascii="Garamond" w:hAnsi="Garamond"/>
          <w:sz w:val="20"/>
          <w:szCs w:val="20"/>
        </w:rPr>
        <w:t>C</w:t>
      </w:r>
      <w:r w:rsidR="00173B5B" w:rsidRPr="009A2E44">
        <w:rPr>
          <w:rFonts w:ascii="Garamond" w:hAnsi="Garamond"/>
          <w:sz w:val="20"/>
          <w:szCs w:val="20"/>
        </w:rPr>
        <w:t xml:space="preserve">urrently </w:t>
      </w:r>
      <w:r w:rsidRPr="009A2E44">
        <w:rPr>
          <w:rFonts w:ascii="Garamond" w:hAnsi="Garamond"/>
          <w:sz w:val="20"/>
          <w:szCs w:val="20"/>
        </w:rPr>
        <w:t xml:space="preserve">at Princeton University, Department of Geosciences, Guyot Hall, Princeton, NJ 08544, USA. E-mail address: </w:t>
      </w:r>
      <w:hyperlink r:id="rId8" w:history="1">
        <w:r w:rsidRPr="009A2E44">
          <w:rPr>
            <w:rStyle w:val="Hyperlink"/>
            <w:rFonts w:ascii="Garamond" w:hAnsi="Garamond"/>
            <w:sz w:val="20"/>
            <w:szCs w:val="20"/>
          </w:rPr>
          <w:t>amaloney@princeton.edu</w:t>
        </w:r>
      </w:hyperlink>
      <w:r w:rsidRPr="009A2E44">
        <w:rPr>
          <w:rFonts w:ascii="Garamond" w:hAnsi="Garamond"/>
          <w:sz w:val="20"/>
          <w:szCs w:val="20"/>
        </w:rPr>
        <w:t xml:space="preserve"> (A.E. Maloney)</w:t>
      </w:r>
    </w:p>
    <w:p w14:paraId="55688B59" w14:textId="77777777" w:rsidR="00173470" w:rsidRDefault="00216AC5" w:rsidP="00173470">
      <w:pPr>
        <w:pStyle w:val="NormalWeb"/>
        <w:spacing w:line="360" w:lineRule="auto"/>
        <w:rPr>
          <w:rFonts w:ascii="Garamond" w:hAnsi="Garamond"/>
        </w:rPr>
      </w:pPr>
      <w:r w:rsidRPr="009A2E44">
        <w:rPr>
          <w:rFonts w:ascii="Garamond" w:hAnsi="Garamond"/>
          <w:i/>
          <w:iCs/>
          <w:sz w:val="20"/>
          <w:szCs w:val="20"/>
        </w:rPr>
        <w:t xml:space="preserve">Keywords </w:t>
      </w:r>
      <w:r w:rsidR="00880892" w:rsidRPr="009A2E44">
        <w:rPr>
          <w:rFonts w:ascii="Garamond" w:hAnsi="Garamond"/>
        </w:rPr>
        <w:t>–</w:t>
      </w:r>
      <w:r w:rsidRPr="009A2E44">
        <w:rPr>
          <w:rFonts w:ascii="Garamond" w:hAnsi="Garamond"/>
        </w:rPr>
        <w:t xml:space="preserve"> </w:t>
      </w:r>
      <w:r w:rsidR="00880892" w:rsidRPr="009A2E44">
        <w:rPr>
          <w:rFonts w:ascii="Garamond" w:hAnsi="Garamond"/>
        </w:rPr>
        <w:t xml:space="preserve">Holocene, </w:t>
      </w:r>
      <w:r w:rsidR="008C38A2" w:rsidRPr="009A2E44">
        <w:rPr>
          <w:rFonts w:ascii="Garamond" w:hAnsi="Garamond"/>
        </w:rPr>
        <w:t>Paleo</w:t>
      </w:r>
      <w:r w:rsidR="00274195" w:rsidRPr="009A2E44">
        <w:rPr>
          <w:rFonts w:ascii="Garamond" w:hAnsi="Garamond"/>
        </w:rPr>
        <w:t>hydrology</w:t>
      </w:r>
      <w:r w:rsidR="008C38A2" w:rsidRPr="009A2E44">
        <w:rPr>
          <w:rFonts w:ascii="Garamond" w:hAnsi="Garamond"/>
        </w:rPr>
        <w:t xml:space="preserve">, </w:t>
      </w:r>
      <w:r w:rsidR="005A3258" w:rsidRPr="009A2E44">
        <w:rPr>
          <w:rFonts w:ascii="Garamond" w:hAnsi="Garamond"/>
        </w:rPr>
        <w:t xml:space="preserve">Paleolimnology, </w:t>
      </w:r>
      <w:r w:rsidR="008924EF" w:rsidRPr="009A2E44">
        <w:rPr>
          <w:rFonts w:ascii="Garamond" w:hAnsi="Garamond"/>
        </w:rPr>
        <w:t xml:space="preserve">Tropical </w:t>
      </w:r>
      <w:r w:rsidR="008C38A2" w:rsidRPr="009A2E44">
        <w:rPr>
          <w:rFonts w:ascii="Garamond" w:hAnsi="Garamond"/>
        </w:rPr>
        <w:t xml:space="preserve">Pacific, </w:t>
      </w:r>
      <w:r w:rsidR="0026129F">
        <w:rPr>
          <w:rFonts w:ascii="Garamond" w:hAnsi="Garamond"/>
        </w:rPr>
        <w:t>SPCZ,</w:t>
      </w:r>
      <w:r w:rsidR="006D7D1C">
        <w:rPr>
          <w:rFonts w:ascii="Garamond" w:hAnsi="Garamond"/>
        </w:rPr>
        <w:t xml:space="preserve"> </w:t>
      </w:r>
      <w:r w:rsidR="008C38A2" w:rsidRPr="009A2E44">
        <w:rPr>
          <w:rFonts w:ascii="Garamond" w:hAnsi="Garamond"/>
        </w:rPr>
        <w:t xml:space="preserve">Organic </w:t>
      </w:r>
      <w:r w:rsidR="00407132" w:rsidRPr="009A2E44">
        <w:rPr>
          <w:rFonts w:ascii="Garamond" w:hAnsi="Garamond"/>
        </w:rPr>
        <w:t>G</w:t>
      </w:r>
      <w:r w:rsidR="008C38A2" w:rsidRPr="009A2E44">
        <w:rPr>
          <w:rFonts w:ascii="Garamond" w:hAnsi="Garamond"/>
        </w:rPr>
        <w:t xml:space="preserve">eochemistry, Sedimentology, </w:t>
      </w:r>
      <w:r w:rsidR="00407132" w:rsidRPr="009A2E44">
        <w:rPr>
          <w:rFonts w:ascii="Garamond" w:hAnsi="Garamond"/>
        </w:rPr>
        <w:t>L</w:t>
      </w:r>
      <w:r w:rsidR="008C38A2" w:rsidRPr="009A2E44">
        <w:rPr>
          <w:rFonts w:ascii="Garamond" w:hAnsi="Garamond"/>
        </w:rPr>
        <w:t>akes</w:t>
      </w:r>
      <w:r w:rsidR="00C749B5" w:rsidRPr="009A2E44">
        <w:rPr>
          <w:rFonts w:ascii="Garamond" w:hAnsi="Garamond"/>
        </w:rPr>
        <w:t xml:space="preserve">, Hydrogen </w:t>
      </w:r>
      <w:r w:rsidR="00AC7DD9" w:rsidRPr="009A2E44">
        <w:rPr>
          <w:rFonts w:ascii="Garamond" w:hAnsi="Garamond"/>
        </w:rPr>
        <w:t>I</w:t>
      </w:r>
      <w:r w:rsidR="00C749B5" w:rsidRPr="009A2E44">
        <w:rPr>
          <w:rFonts w:ascii="Garamond" w:hAnsi="Garamond"/>
        </w:rPr>
        <w:t>sotopes, Dinosterol</w:t>
      </w:r>
    </w:p>
    <w:p w14:paraId="062C1C5A" w14:textId="77777777" w:rsidR="00173470" w:rsidRPr="009A2E44" w:rsidRDefault="00173470" w:rsidP="00173470">
      <w:pPr>
        <w:rPr>
          <w:rFonts w:ascii="Garamond" w:hAnsi="Garamond"/>
          <w:sz w:val="16"/>
          <w:szCs w:val="16"/>
        </w:rPr>
      </w:pPr>
    </w:p>
    <w:p w14:paraId="6CC00340" w14:textId="706505D5" w:rsidR="00AD2C66" w:rsidRPr="009A2E44" w:rsidRDefault="00216AC5" w:rsidP="001C47D3">
      <w:pPr>
        <w:spacing w:line="480" w:lineRule="auto"/>
        <w:rPr>
          <w:rFonts w:ascii="Garamond" w:hAnsi="Garamond"/>
          <w:sz w:val="20"/>
          <w:szCs w:val="20"/>
        </w:rPr>
      </w:pPr>
      <w:r w:rsidRPr="009A2E44">
        <w:rPr>
          <w:rFonts w:ascii="Garamond" w:hAnsi="Garamond"/>
          <w:i/>
          <w:iCs/>
          <w:sz w:val="20"/>
          <w:szCs w:val="20"/>
        </w:rPr>
        <w:t xml:space="preserve">Highlights </w:t>
      </w:r>
    </w:p>
    <w:p w14:paraId="47837FD2" w14:textId="3C182CE4" w:rsidR="00542E73" w:rsidRPr="009A2E44" w:rsidRDefault="00542E73" w:rsidP="001C47D3">
      <w:pPr>
        <w:pStyle w:val="ListParagraph"/>
        <w:numPr>
          <w:ilvl w:val="0"/>
          <w:numId w:val="9"/>
        </w:numPr>
        <w:spacing w:line="480" w:lineRule="auto"/>
        <w:rPr>
          <w:rFonts w:ascii="Garamond" w:hAnsi="Garamond"/>
          <w:bCs/>
        </w:rPr>
      </w:pPr>
      <w:r w:rsidRPr="009A2E44">
        <w:rPr>
          <w:rFonts w:ascii="Garamond" w:hAnsi="Garamond" w:cs="Times New Roman"/>
          <w:bCs/>
        </w:rPr>
        <w:t xml:space="preserve">SPCZ </w:t>
      </w:r>
      <w:r w:rsidRPr="009A2E44">
        <w:rPr>
          <w:rFonts w:ascii="Garamond" w:hAnsi="Garamond" w:cs="Times New Roman"/>
          <w:bCs/>
        </w:rPr>
        <w:sym w:font="Symbol" w:char="F064"/>
      </w:r>
      <w:r w:rsidRPr="009A2E44">
        <w:rPr>
          <w:rFonts w:ascii="Garamond" w:hAnsi="Garamond" w:cs="Times New Roman"/>
          <w:bCs/>
          <w:vertAlign w:val="superscript"/>
        </w:rPr>
        <w:t>2</w:t>
      </w:r>
      <w:r w:rsidRPr="009A2E44">
        <w:rPr>
          <w:rFonts w:ascii="Garamond" w:hAnsi="Garamond" w:cs="Times New Roman"/>
          <w:bCs/>
        </w:rPr>
        <w:t>H</w:t>
      </w:r>
      <w:r w:rsidRPr="009A2E44">
        <w:rPr>
          <w:rFonts w:ascii="Garamond" w:hAnsi="Garamond" w:cs="Times New Roman"/>
          <w:bCs/>
          <w:vertAlign w:val="subscript"/>
        </w:rPr>
        <w:t>dinosterol</w:t>
      </w:r>
      <w:r w:rsidRPr="009A2E44">
        <w:rPr>
          <w:rFonts w:ascii="Garamond" w:hAnsi="Garamond" w:cs="Times New Roman"/>
          <w:bCs/>
        </w:rPr>
        <w:t xml:space="preserve"> and runoff records </w:t>
      </w:r>
      <w:r w:rsidRPr="009A2E44">
        <w:rPr>
          <w:rFonts w:ascii="Garamond" w:hAnsi="Garamond"/>
          <w:bCs/>
        </w:rPr>
        <w:t xml:space="preserve">indicate a </w:t>
      </w:r>
      <w:r w:rsidR="00CA5ABB" w:rsidRPr="009A2E44">
        <w:rPr>
          <w:rFonts w:ascii="Garamond" w:hAnsi="Garamond"/>
          <w:bCs/>
        </w:rPr>
        <w:t xml:space="preserve">drier </w:t>
      </w:r>
      <w:r w:rsidRPr="009A2E44">
        <w:rPr>
          <w:rFonts w:ascii="Garamond" w:hAnsi="Garamond"/>
          <w:bCs/>
        </w:rPr>
        <w:t xml:space="preserve">Medieval Climate Anomaly </w:t>
      </w:r>
    </w:p>
    <w:p w14:paraId="067EF548" w14:textId="3F13EE77" w:rsidR="00471C58" w:rsidRPr="009A2E44" w:rsidRDefault="00471C58" w:rsidP="001C47D3">
      <w:pPr>
        <w:pStyle w:val="ListParagraph"/>
        <w:numPr>
          <w:ilvl w:val="0"/>
          <w:numId w:val="9"/>
        </w:numPr>
        <w:spacing w:line="480" w:lineRule="auto"/>
        <w:rPr>
          <w:rFonts w:ascii="Garamond" w:hAnsi="Garamond"/>
          <w:bCs/>
        </w:rPr>
      </w:pPr>
      <w:r w:rsidRPr="009A2E44">
        <w:rPr>
          <w:rFonts w:ascii="Garamond" w:hAnsi="Garamond" w:cs="Times New Roman"/>
          <w:bCs/>
        </w:rPr>
        <w:t xml:space="preserve">Accurate interpretations of biomarkers </w:t>
      </w:r>
      <w:r w:rsidR="00AE5982" w:rsidRPr="009A2E44">
        <w:rPr>
          <w:rFonts w:ascii="Garamond" w:hAnsi="Garamond" w:cs="Times New Roman"/>
          <w:bCs/>
        </w:rPr>
        <w:t>require</w:t>
      </w:r>
      <w:r w:rsidRPr="009A2E44">
        <w:rPr>
          <w:rFonts w:ascii="Garamond" w:hAnsi="Garamond" w:cs="Times New Roman"/>
          <w:bCs/>
        </w:rPr>
        <w:t xml:space="preserve"> multiproxy</w:t>
      </w:r>
      <w:r w:rsidR="009273DF" w:rsidRPr="009A2E44">
        <w:rPr>
          <w:rFonts w:ascii="Garamond" w:hAnsi="Garamond" w:cs="Times New Roman"/>
          <w:bCs/>
        </w:rPr>
        <w:t xml:space="preserve"> and multisite</w:t>
      </w:r>
      <w:r w:rsidRPr="009A2E44">
        <w:rPr>
          <w:rFonts w:ascii="Garamond" w:hAnsi="Garamond" w:cs="Times New Roman"/>
          <w:bCs/>
        </w:rPr>
        <w:t xml:space="preserve"> data</w:t>
      </w:r>
    </w:p>
    <w:p w14:paraId="5FE5031D" w14:textId="19BB0C3B" w:rsidR="00CA5ABB" w:rsidRPr="009A2E44" w:rsidRDefault="00872EDA" w:rsidP="001C47D3">
      <w:pPr>
        <w:pStyle w:val="ListParagraph"/>
        <w:numPr>
          <w:ilvl w:val="0"/>
          <w:numId w:val="9"/>
        </w:numPr>
        <w:spacing w:line="480" w:lineRule="auto"/>
        <w:rPr>
          <w:rFonts w:ascii="Garamond" w:hAnsi="Garamond"/>
          <w:bCs/>
        </w:rPr>
      </w:pPr>
      <w:r w:rsidRPr="009A2E44">
        <w:rPr>
          <w:rFonts w:ascii="Garamond" w:hAnsi="Garamond"/>
        </w:rPr>
        <w:t>Low</w:t>
      </w:r>
      <w:r w:rsidR="00CA5ABB" w:rsidRPr="009A2E44">
        <w:rPr>
          <w:rFonts w:ascii="Garamond" w:hAnsi="Garamond"/>
        </w:rPr>
        <w:t xml:space="preserve"> amplitude precipitation variability over past 2</w:t>
      </w:r>
      <w:r w:rsidR="00272434">
        <w:rPr>
          <w:rFonts w:ascii="Garamond" w:hAnsi="Garamond"/>
        </w:rPr>
        <w:t xml:space="preserve"> </w:t>
      </w:r>
      <w:proofErr w:type="spellStart"/>
      <w:r w:rsidR="00CA5ABB" w:rsidRPr="009A2E44">
        <w:rPr>
          <w:rFonts w:ascii="Garamond" w:hAnsi="Garamond"/>
        </w:rPr>
        <w:t>kyr</w:t>
      </w:r>
      <w:proofErr w:type="spellEnd"/>
      <w:r w:rsidRPr="009A2E44">
        <w:rPr>
          <w:rFonts w:ascii="Garamond" w:hAnsi="Garamond"/>
        </w:rPr>
        <w:t xml:space="preserve"> along central SPCZ axis</w:t>
      </w:r>
      <w:r w:rsidR="00CA5ABB" w:rsidRPr="009A2E44">
        <w:rPr>
          <w:rFonts w:ascii="Garamond" w:hAnsi="Garamond" w:cs="Times New Roman"/>
          <w:bCs/>
        </w:rPr>
        <w:t xml:space="preserve"> </w:t>
      </w:r>
    </w:p>
    <w:p w14:paraId="135F5E23" w14:textId="141712B2" w:rsidR="00F05F05" w:rsidRPr="009A2E44" w:rsidRDefault="00CA5ABB" w:rsidP="001C47D3">
      <w:pPr>
        <w:pStyle w:val="ListParagraph"/>
        <w:numPr>
          <w:ilvl w:val="0"/>
          <w:numId w:val="9"/>
        </w:numPr>
        <w:spacing w:line="480" w:lineRule="auto"/>
        <w:rPr>
          <w:rFonts w:ascii="Garamond" w:hAnsi="Garamond"/>
        </w:rPr>
        <w:sectPr w:rsidR="00F05F05" w:rsidRPr="009A2E44" w:rsidSect="00F800D6">
          <w:footerReference w:type="even" r:id="rId9"/>
          <w:footerReference w:type="default" r:id="rId10"/>
          <w:pgSz w:w="12240" w:h="15840"/>
          <w:pgMar w:top="1440" w:right="1440" w:bottom="1440" w:left="1440" w:header="720" w:footer="720" w:gutter="0"/>
          <w:cols w:space="720"/>
          <w:docGrid w:linePitch="360"/>
        </w:sectPr>
      </w:pPr>
      <w:r w:rsidRPr="009A2E44">
        <w:rPr>
          <w:rFonts w:ascii="Garamond" w:hAnsi="Garamond"/>
          <w:bCs/>
        </w:rPr>
        <w:t xml:space="preserve">Lac Lalolalo </w:t>
      </w:r>
      <w:r w:rsidRPr="009A2E44">
        <w:rPr>
          <w:rFonts w:ascii="Garamond" w:hAnsi="Garamond"/>
        </w:rPr>
        <w:sym w:font="Symbol" w:char="F064"/>
      </w:r>
      <w:r w:rsidRPr="009A2E44">
        <w:rPr>
          <w:rFonts w:ascii="Garamond" w:hAnsi="Garamond"/>
          <w:bCs/>
          <w:vertAlign w:val="superscript"/>
        </w:rPr>
        <w:t>2</w:t>
      </w:r>
      <w:r w:rsidRPr="009A2E44">
        <w:rPr>
          <w:rFonts w:ascii="Garamond" w:hAnsi="Garamond"/>
          <w:bCs/>
        </w:rPr>
        <w:t>H</w:t>
      </w:r>
      <w:r w:rsidRPr="009A2E44">
        <w:rPr>
          <w:rFonts w:ascii="Garamond" w:hAnsi="Garamond"/>
          <w:bCs/>
          <w:vertAlign w:val="subscript"/>
        </w:rPr>
        <w:t>dinosterol</w:t>
      </w:r>
      <w:r w:rsidRPr="009A2E44">
        <w:rPr>
          <w:rFonts w:ascii="Garamond" w:hAnsi="Garamond"/>
          <w:bCs/>
        </w:rPr>
        <w:t xml:space="preserve"> records reflect hydrology, not climate</w:t>
      </w:r>
    </w:p>
    <w:p w14:paraId="36EDFC8F" w14:textId="6E5632C0" w:rsidR="00C36264" w:rsidRPr="009A2E44" w:rsidRDefault="00703DA6" w:rsidP="001C47D3">
      <w:pPr>
        <w:spacing w:line="480" w:lineRule="auto"/>
        <w:rPr>
          <w:rFonts w:ascii="Garamond" w:hAnsi="Garamond"/>
          <w:b/>
        </w:rPr>
      </w:pPr>
      <w:r w:rsidRPr="009A2E44">
        <w:rPr>
          <w:rFonts w:ascii="Garamond" w:hAnsi="Garamond"/>
          <w:b/>
        </w:rPr>
        <w:lastRenderedPageBreak/>
        <w:t>Abstract</w:t>
      </w:r>
    </w:p>
    <w:p w14:paraId="0F11722C" w14:textId="4FE6D61C" w:rsidR="001B1E3A" w:rsidRPr="009A2E44" w:rsidRDefault="00C523DB" w:rsidP="001C47D3">
      <w:pPr>
        <w:spacing w:line="480" w:lineRule="auto"/>
        <w:rPr>
          <w:rFonts w:ascii="Garamond" w:hAnsi="Garamond"/>
          <w:color w:val="000000"/>
          <w:shd w:val="clear" w:color="auto" w:fill="FFFFFF"/>
        </w:rPr>
      </w:pPr>
      <w:r w:rsidRPr="009A2E44">
        <w:rPr>
          <w:rFonts w:ascii="Garamond" w:hAnsi="Garamond"/>
          <w:color w:val="000000"/>
          <w:shd w:val="clear" w:color="auto" w:fill="FFFFFF"/>
        </w:rPr>
        <w:t xml:space="preserve">Hydroclimate </w:t>
      </w:r>
      <w:r w:rsidR="003B01DB" w:rsidRPr="009A2E44">
        <w:rPr>
          <w:rFonts w:ascii="Garamond" w:hAnsi="Garamond"/>
          <w:color w:val="000000"/>
          <w:shd w:val="clear" w:color="auto" w:fill="FFFFFF"/>
        </w:rPr>
        <w:t>on ‘Uvea (Wallis</w:t>
      </w:r>
      <w:r w:rsidR="005D757D" w:rsidRPr="009A2E44">
        <w:rPr>
          <w:rFonts w:ascii="Garamond" w:hAnsi="Garamond"/>
          <w:color w:val="000000"/>
          <w:shd w:val="clear" w:color="auto" w:fill="FFFFFF"/>
        </w:rPr>
        <w:t xml:space="preserve"> </w:t>
      </w:r>
      <w:r w:rsidR="007B6A66" w:rsidRPr="009A2E44">
        <w:rPr>
          <w:rFonts w:ascii="Garamond" w:hAnsi="Garamond"/>
          <w:color w:val="000000"/>
          <w:shd w:val="clear" w:color="auto" w:fill="FFFFFF"/>
        </w:rPr>
        <w:t xml:space="preserve">et </w:t>
      </w:r>
      <w:r w:rsidR="005D757D" w:rsidRPr="009A2E44">
        <w:rPr>
          <w:rFonts w:ascii="Garamond" w:hAnsi="Garamond"/>
          <w:color w:val="000000"/>
          <w:shd w:val="clear" w:color="auto" w:fill="FFFFFF"/>
        </w:rPr>
        <w:t>Futuna</w:t>
      </w:r>
      <w:r w:rsidR="003B01DB" w:rsidRPr="009A2E44">
        <w:rPr>
          <w:rFonts w:ascii="Garamond" w:hAnsi="Garamond"/>
          <w:color w:val="000000"/>
          <w:shd w:val="clear" w:color="auto" w:fill="FFFFFF"/>
        </w:rPr>
        <w:t xml:space="preserve">) is controlled by </w:t>
      </w:r>
      <w:r w:rsidRPr="009A2E44">
        <w:rPr>
          <w:rFonts w:ascii="Garamond" w:hAnsi="Garamond"/>
          <w:color w:val="000000"/>
          <w:shd w:val="clear" w:color="auto" w:fill="FFFFFF"/>
        </w:rPr>
        <w:t xml:space="preserve">rainfall associated with </w:t>
      </w:r>
      <w:r w:rsidR="003B01DB" w:rsidRPr="009A2E44">
        <w:rPr>
          <w:rFonts w:ascii="Garamond" w:hAnsi="Garamond"/>
          <w:color w:val="000000"/>
          <w:shd w:val="clear" w:color="auto" w:fill="FFFFFF"/>
        </w:rPr>
        <w:t xml:space="preserve">the South Pacific Convergence Zone (SPCZ), the southern hemisphere’s largest precipitation feature. </w:t>
      </w:r>
      <w:r w:rsidR="00E90049" w:rsidRPr="009A2E44">
        <w:rPr>
          <w:rFonts w:ascii="Garamond" w:hAnsi="Garamond"/>
          <w:color w:val="000000"/>
          <w:shd w:val="clear" w:color="auto" w:fill="FFFFFF"/>
        </w:rPr>
        <w:t>T</w:t>
      </w:r>
      <w:r w:rsidR="003B01DB" w:rsidRPr="009A2E44">
        <w:rPr>
          <w:rFonts w:ascii="Garamond" w:hAnsi="Garamond"/>
          <w:color w:val="000000"/>
          <w:shd w:val="clear" w:color="auto" w:fill="FFFFFF"/>
        </w:rPr>
        <w:t xml:space="preserve">o extend the short </w:t>
      </w:r>
      <w:r w:rsidR="00314D57" w:rsidRPr="009A2E44">
        <w:rPr>
          <w:rFonts w:ascii="Garamond" w:hAnsi="Garamond"/>
          <w:color w:val="000000"/>
          <w:shd w:val="clear" w:color="auto" w:fill="FFFFFF"/>
        </w:rPr>
        <w:t xml:space="preserve">observational </w:t>
      </w:r>
      <w:r w:rsidR="005D757D" w:rsidRPr="009A2E44">
        <w:rPr>
          <w:rFonts w:ascii="Garamond" w:hAnsi="Garamond"/>
          <w:color w:val="000000"/>
          <w:shd w:val="clear" w:color="auto" w:fill="FFFFFF"/>
        </w:rPr>
        <w:t xml:space="preserve">precipitation </w:t>
      </w:r>
      <w:r w:rsidR="003B01DB" w:rsidRPr="009A2E44">
        <w:rPr>
          <w:rFonts w:ascii="Garamond" w:hAnsi="Garamond"/>
          <w:color w:val="000000"/>
          <w:shd w:val="clear" w:color="auto" w:fill="FFFFFF"/>
        </w:rPr>
        <w:t>record, t</w:t>
      </w:r>
      <w:r w:rsidR="00E90049" w:rsidRPr="009A2E44">
        <w:rPr>
          <w:rFonts w:ascii="Garamond" w:hAnsi="Garamond"/>
          <w:color w:val="000000"/>
          <w:shd w:val="clear" w:color="auto" w:fill="FFFFFF"/>
        </w:rPr>
        <w:t>he h</w:t>
      </w:r>
      <w:r w:rsidR="001B1E3A" w:rsidRPr="009A2E44">
        <w:rPr>
          <w:rFonts w:ascii="Garamond" w:hAnsi="Garamond"/>
          <w:color w:val="000000"/>
          <w:shd w:val="clear" w:color="auto" w:fill="FFFFFF"/>
        </w:rPr>
        <w:t>ydrogen isotop</w:t>
      </w:r>
      <w:r w:rsidR="00371694" w:rsidRPr="009A2E44">
        <w:rPr>
          <w:rFonts w:ascii="Garamond" w:hAnsi="Garamond"/>
          <w:color w:val="000000"/>
          <w:shd w:val="clear" w:color="auto" w:fill="FFFFFF"/>
        </w:rPr>
        <w:t>ic</w:t>
      </w:r>
      <w:r w:rsidR="001B1E3A" w:rsidRPr="009A2E44">
        <w:rPr>
          <w:rFonts w:ascii="Garamond" w:hAnsi="Garamond"/>
          <w:color w:val="000000"/>
          <w:shd w:val="clear" w:color="auto" w:fill="FFFFFF"/>
        </w:rPr>
        <w:t xml:space="preserve"> composition of the algal lipid biomarker dinosterol </w:t>
      </w:r>
      <w:r w:rsidR="00E90049" w:rsidRPr="009A2E44">
        <w:rPr>
          <w:rFonts w:ascii="Garamond" w:hAnsi="Garamond"/>
        </w:rPr>
        <w:t>(</w:t>
      </w:r>
      <w:r w:rsidR="00E90049" w:rsidRPr="009A2E44">
        <w:rPr>
          <w:rFonts w:ascii="Garamond" w:hAnsi="Garamond"/>
        </w:rPr>
        <w:sym w:font="Symbol" w:char="F064"/>
      </w:r>
      <w:r w:rsidR="00E90049" w:rsidRPr="009A2E44">
        <w:rPr>
          <w:rFonts w:ascii="Garamond" w:hAnsi="Garamond"/>
          <w:vertAlign w:val="superscript"/>
        </w:rPr>
        <w:t>2</w:t>
      </w:r>
      <w:r w:rsidR="00E90049" w:rsidRPr="009A2E44">
        <w:rPr>
          <w:rFonts w:ascii="Garamond" w:hAnsi="Garamond"/>
        </w:rPr>
        <w:t>H</w:t>
      </w:r>
      <w:r w:rsidR="00E90049" w:rsidRPr="009A2E44">
        <w:rPr>
          <w:rFonts w:ascii="Garamond" w:hAnsi="Garamond"/>
          <w:vertAlign w:val="subscript"/>
        </w:rPr>
        <w:t>dinosterol</w:t>
      </w:r>
      <w:r w:rsidR="00E90049" w:rsidRPr="009A2E44">
        <w:rPr>
          <w:rFonts w:ascii="Garamond" w:hAnsi="Garamond"/>
        </w:rPr>
        <w:t xml:space="preserve">) </w:t>
      </w:r>
      <w:r w:rsidR="001B1E3A" w:rsidRPr="009A2E44">
        <w:rPr>
          <w:rFonts w:ascii="Garamond" w:hAnsi="Garamond"/>
          <w:color w:val="000000"/>
          <w:shd w:val="clear" w:color="auto" w:fill="FFFFFF"/>
        </w:rPr>
        <w:t>w</w:t>
      </w:r>
      <w:r w:rsidR="0090237E" w:rsidRPr="009A2E44">
        <w:rPr>
          <w:rFonts w:ascii="Garamond" w:hAnsi="Garamond"/>
          <w:color w:val="000000"/>
          <w:shd w:val="clear" w:color="auto" w:fill="FFFFFF"/>
        </w:rPr>
        <w:t>as</w:t>
      </w:r>
      <w:r w:rsidR="001B1E3A" w:rsidRPr="009A2E44">
        <w:rPr>
          <w:rFonts w:ascii="Garamond" w:hAnsi="Garamond"/>
          <w:color w:val="000000"/>
          <w:shd w:val="clear" w:color="auto" w:fill="FFFFFF"/>
        </w:rPr>
        <w:t xml:space="preserve"> measured in sediment cores from</w:t>
      </w:r>
      <w:r w:rsidR="00936A85" w:rsidRPr="009A2E44">
        <w:rPr>
          <w:rFonts w:ascii="Garamond" w:hAnsi="Garamond"/>
          <w:color w:val="000000"/>
          <w:shd w:val="clear" w:color="auto" w:fill="FFFFFF"/>
        </w:rPr>
        <w:t xml:space="preserve"> </w:t>
      </w:r>
      <w:r w:rsidR="00E15CDD" w:rsidRPr="009A2E44">
        <w:rPr>
          <w:rFonts w:ascii="Garamond" w:hAnsi="Garamond"/>
          <w:color w:val="000000"/>
          <w:shd w:val="clear" w:color="auto" w:fill="FFFFFF"/>
        </w:rPr>
        <w:t xml:space="preserve">two </w:t>
      </w:r>
      <w:r w:rsidR="00936A85" w:rsidRPr="009A2E44">
        <w:rPr>
          <w:rFonts w:ascii="Garamond" w:hAnsi="Garamond"/>
          <w:color w:val="000000"/>
          <w:shd w:val="clear" w:color="auto" w:fill="FFFFFF"/>
        </w:rPr>
        <w:t>volcanic</w:t>
      </w:r>
      <w:r w:rsidR="001B1E3A" w:rsidRPr="009A2E44">
        <w:rPr>
          <w:rFonts w:ascii="Garamond" w:hAnsi="Garamond"/>
          <w:color w:val="000000"/>
          <w:shd w:val="clear" w:color="auto" w:fill="FFFFFF"/>
        </w:rPr>
        <w:t xml:space="preserve"> </w:t>
      </w:r>
      <w:r w:rsidR="005A3258" w:rsidRPr="009A2E44">
        <w:rPr>
          <w:rFonts w:ascii="Garamond" w:hAnsi="Garamond"/>
          <w:color w:val="000000"/>
          <w:shd w:val="clear" w:color="auto" w:fill="FFFFFF"/>
        </w:rPr>
        <w:t xml:space="preserve">crater </w:t>
      </w:r>
      <w:r w:rsidR="001B1E3A" w:rsidRPr="009A2E44">
        <w:rPr>
          <w:rFonts w:ascii="Garamond" w:hAnsi="Garamond"/>
          <w:color w:val="000000"/>
          <w:shd w:val="clear" w:color="auto" w:fill="FFFFFF"/>
        </w:rPr>
        <w:t xml:space="preserve">lakes on </w:t>
      </w:r>
      <w:r w:rsidR="00857ACF" w:rsidRPr="009A2E44">
        <w:rPr>
          <w:rFonts w:ascii="Garamond" w:hAnsi="Garamond"/>
          <w:color w:val="000000"/>
          <w:shd w:val="clear" w:color="auto" w:fill="FFFFFF"/>
        </w:rPr>
        <w:t>‘Uvea</w:t>
      </w:r>
      <w:r w:rsidR="001B1E3A" w:rsidRPr="009A2E44">
        <w:rPr>
          <w:rFonts w:ascii="Garamond" w:hAnsi="Garamond"/>
          <w:color w:val="000000"/>
          <w:shd w:val="clear" w:color="auto" w:fill="FFFFFF"/>
        </w:rPr>
        <w:t>.</w:t>
      </w:r>
      <w:r w:rsidR="00556B8C" w:rsidRPr="009A2E44">
        <w:rPr>
          <w:rFonts w:ascii="Garamond" w:hAnsi="Garamond"/>
          <w:color w:val="000000"/>
          <w:shd w:val="clear" w:color="auto" w:fill="FFFFFF"/>
        </w:rPr>
        <w:t xml:space="preserve"> </w:t>
      </w:r>
      <w:r w:rsidR="002C0EE2" w:rsidRPr="009A2E44">
        <w:rPr>
          <w:rFonts w:ascii="Garamond" w:hAnsi="Garamond"/>
          <w:color w:val="000000"/>
          <w:shd w:val="clear" w:color="auto" w:fill="FFFFFF"/>
        </w:rPr>
        <w:t>The modern lakes differ morphologically and chemically but both</w:t>
      </w:r>
      <w:r w:rsidR="007A6493">
        <w:rPr>
          <w:rFonts w:ascii="Garamond" w:hAnsi="Garamond"/>
          <w:color w:val="000000"/>
          <w:shd w:val="clear" w:color="auto" w:fill="FFFFFF"/>
        </w:rPr>
        <w:t xml:space="preserve"> contain</w:t>
      </w:r>
      <w:r w:rsidR="002C0EE2" w:rsidRPr="009A2E44">
        <w:rPr>
          <w:rFonts w:ascii="Garamond" w:hAnsi="Garamond"/>
          <w:color w:val="000000"/>
          <w:shd w:val="clear" w:color="auto" w:fill="FFFFFF"/>
        </w:rPr>
        <w:t xml:space="preserve"> freshwater within the photic zone, support phytoplankton communities inclusive of dinosterol-producing dinoflagellates, and experience identical climate conditions. </w:t>
      </w:r>
      <w:r w:rsidR="00E15CDD" w:rsidRPr="009A2E44">
        <w:rPr>
          <w:rFonts w:ascii="Garamond" w:hAnsi="Garamond"/>
        </w:rPr>
        <w:sym w:font="Symbol" w:char="F064"/>
      </w:r>
      <w:r w:rsidR="00E15CDD" w:rsidRPr="009A2E44">
        <w:rPr>
          <w:rFonts w:ascii="Garamond" w:hAnsi="Garamond"/>
          <w:vertAlign w:val="superscript"/>
        </w:rPr>
        <w:t>2</w:t>
      </w:r>
      <w:r w:rsidR="00E15CDD" w:rsidRPr="009A2E44">
        <w:rPr>
          <w:rFonts w:ascii="Garamond" w:hAnsi="Garamond"/>
        </w:rPr>
        <w:t>H</w:t>
      </w:r>
      <w:r w:rsidR="00E15CDD" w:rsidRPr="009A2E44">
        <w:rPr>
          <w:rFonts w:ascii="Garamond" w:hAnsi="Garamond"/>
          <w:vertAlign w:val="subscript"/>
        </w:rPr>
        <w:t>dinosterol</w:t>
      </w:r>
      <w:r w:rsidR="00E15CDD" w:rsidRPr="009A2E44">
        <w:rPr>
          <w:rFonts w:ascii="Garamond" w:hAnsi="Garamond"/>
          <w:color w:val="000000"/>
          <w:shd w:val="clear" w:color="auto" w:fill="FFFFFF"/>
        </w:rPr>
        <w:t xml:space="preserve"> </w:t>
      </w:r>
      <w:r w:rsidR="00B45D5B" w:rsidRPr="009A2E44">
        <w:rPr>
          <w:rFonts w:ascii="Garamond" w:hAnsi="Garamond"/>
          <w:color w:val="000000"/>
          <w:shd w:val="clear" w:color="auto" w:fill="FFFFFF"/>
        </w:rPr>
        <w:t xml:space="preserve">values </w:t>
      </w:r>
      <w:r w:rsidR="00E15CDD" w:rsidRPr="009A2E44">
        <w:rPr>
          <w:rFonts w:ascii="Garamond" w:hAnsi="Garamond"/>
          <w:color w:val="000000"/>
          <w:shd w:val="clear" w:color="auto" w:fill="FFFFFF"/>
        </w:rPr>
        <w:t>track lake water isotope ratios</w:t>
      </w:r>
      <w:r w:rsidR="001F53DD" w:rsidRPr="009A2E44">
        <w:rPr>
          <w:rFonts w:ascii="Garamond" w:hAnsi="Garamond"/>
          <w:color w:val="000000"/>
          <w:shd w:val="clear" w:color="auto" w:fill="FFFFFF"/>
        </w:rPr>
        <w:t>,</w:t>
      </w:r>
      <w:r w:rsidR="00E15CDD" w:rsidRPr="009A2E44">
        <w:rPr>
          <w:rFonts w:ascii="Garamond" w:hAnsi="Garamond"/>
          <w:color w:val="000000"/>
          <w:shd w:val="clear" w:color="auto" w:fill="FFFFFF"/>
        </w:rPr>
        <w:t xml:space="preserve"> ultimately controlled </w:t>
      </w:r>
      <w:r w:rsidRPr="009A2E44">
        <w:rPr>
          <w:rFonts w:ascii="Garamond" w:hAnsi="Garamond"/>
          <w:color w:val="000000"/>
          <w:shd w:val="clear" w:color="auto" w:fill="FFFFFF"/>
        </w:rPr>
        <w:t xml:space="preserve">in the tropics </w:t>
      </w:r>
      <w:r w:rsidR="00E15CDD" w:rsidRPr="009A2E44">
        <w:rPr>
          <w:rFonts w:ascii="Garamond" w:hAnsi="Garamond"/>
          <w:color w:val="000000"/>
          <w:shd w:val="clear" w:color="auto" w:fill="FFFFFF"/>
        </w:rPr>
        <w:t>by precipitation amount and evaporative enrichment</w:t>
      </w:r>
      <w:r w:rsidR="00E15CDD" w:rsidRPr="009A2E44">
        <w:rPr>
          <w:rFonts w:ascii="Garamond" w:hAnsi="Garamond"/>
        </w:rPr>
        <w:t xml:space="preserve">. </w:t>
      </w:r>
      <w:r w:rsidR="002C0EE2">
        <w:rPr>
          <w:rFonts w:ascii="Garamond" w:hAnsi="Garamond"/>
        </w:rPr>
        <w:t xml:space="preserve">However, </w:t>
      </w:r>
      <w:r w:rsidR="002C0EE2">
        <w:rPr>
          <w:rFonts w:ascii="Garamond" w:hAnsi="Garamond"/>
          <w:color w:val="000000"/>
          <w:shd w:val="clear" w:color="auto" w:fill="FFFFFF"/>
        </w:rPr>
        <w:t>i</w:t>
      </w:r>
      <w:r w:rsidR="002C0EE2" w:rsidRPr="009A2E44">
        <w:rPr>
          <w:rFonts w:ascii="Garamond" w:hAnsi="Garamond"/>
          <w:color w:val="000000"/>
          <w:shd w:val="clear" w:color="auto" w:fill="FFFFFF"/>
        </w:rPr>
        <w:t xml:space="preserve">n </w:t>
      </w:r>
      <w:r w:rsidR="00782D5E" w:rsidRPr="009A2E44">
        <w:rPr>
          <w:rFonts w:ascii="Garamond" w:hAnsi="Garamond"/>
          <w:color w:val="000000"/>
          <w:shd w:val="clear" w:color="auto" w:fill="FFFFFF"/>
        </w:rPr>
        <w:t xml:space="preserve">88-m-deep </w:t>
      </w:r>
      <w:r w:rsidR="00782D5E" w:rsidRPr="009A2E44">
        <w:rPr>
          <w:rFonts w:ascii="Garamond" w:hAnsi="Garamond"/>
        </w:rPr>
        <w:t xml:space="preserve">Lac Lalolalo a steadily decreasing trend in sedimentary </w:t>
      </w:r>
      <w:r w:rsidR="00782D5E" w:rsidRPr="009A2E44">
        <w:rPr>
          <w:rFonts w:ascii="Garamond" w:hAnsi="Garamond"/>
        </w:rPr>
        <w:sym w:font="Symbol" w:char="F064"/>
      </w:r>
      <w:r w:rsidR="00782D5E" w:rsidRPr="009A2E44">
        <w:rPr>
          <w:rFonts w:ascii="Garamond" w:hAnsi="Garamond"/>
          <w:vertAlign w:val="superscript"/>
        </w:rPr>
        <w:t>2</w:t>
      </w:r>
      <w:r w:rsidR="00782D5E" w:rsidRPr="009A2E44">
        <w:rPr>
          <w:rFonts w:ascii="Garamond" w:hAnsi="Garamond"/>
        </w:rPr>
        <w:t>H</w:t>
      </w:r>
      <w:r w:rsidR="00782D5E" w:rsidRPr="009A2E44">
        <w:rPr>
          <w:rFonts w:ascii="Garamond" w:hAnsi="Garamond"/>
          <w:vertAlign w:val="subscript"/>
        </w:rPr>
        <w:t>dinosterol</w:t>
      </w:r>
      <w:r w:rsidR="00782D5E" w:rsidRPr="009A2E44">
        <w:rPr>
          <w:rFonts w:ascii="Garamond" w:hAnsi="Garamond"/>
          <w:color w:val="000000"/>
          <w:shd w:val="clear" w:color="auto" w:fill="FFFFFF"/>
        </w:rPr>
        <w:t xml:space="preserve"> </w:t>
      </w:r>
      <w:r w:rsidR="00782D5E" w:rsidRPr="009A2E44">
        <w:rPr>
          <w:rFonts w:ascii="Garamond" w:hAnsi="Garamond"/>
        </w:rPr>
        <w:t xml:space="preserve">values from </w:t>
      </w:r>
      <w:r w:rsidR="00782D5E" w:rsidRPr="009A2E44">
        <w:rPr>
          <w:rFonts w:ascii="Garamond" w:hAnsi="Garamond"/>
          <w:color w:val="202020"/>
          <w:shd w:val="clear" w:color="auto" w:fill="FFFFFF"/>
        </w:rPr>
        <w:t>−</w:t>
      </w:r>
      <w:r w:rsidR="00782D5E" w:rsidRPr="009A2E44">
        <w:rPr>
          <w:rFonts w:ascii="Garamond" w:hAnsi="Garamond"/>
          <w:color w:val="000000"/>
          <w:shd w:val="clear" w:color="auto" w:fill="FFFFFF"/>
        </w:rPr>
        <w:t xml:space="preserve">227 ‰ </w:t>
      </w:r>
      <w:r w:rsidR="009B3700">
        <w:rPr>
          <w:rFonts w:ascii="Garamond" w:hAnsi="Garamond"/>
          <w:color w:val="000000"/>
          <w:shd w:val="clear" w:color="auto" w:fill="FFFFFF"/>
        </w:rPr>
        <w:t xml:space="preserve">around </w:t>
      </w:r>
      <w:r w:rsidR="002B7DCF">
        <w:rPr>
          <w:rFonts w:ascii="Garamond" w:hAnsi="Garamond"/>
          <w:color w:val="000000"/>
          <w:shd w:val="clear" w:color="auto" w:fill="FFFFFF"/>
        </w:rPr>
        <w:t xml:space="preserve">year 988 CE </w:t>
      </w:r>
      <w:r w:rsidR="00782D5E" w:rsidRPr="009A2E44">
        <w:rPr>
          <w:rFonts w:ascii="Garamond" w:hAnsi="Garamond"/>
          <w:color w:val="000000"/>
          <w:shd w:val="clear" w:color="auto" w:fill="FFFFFF"/>
        </w:rPr>
        <w:t xml:space="preserve">to modern values as low as </w:t>
      </w:r>
      <w:r w:rsidR="00782D5E" w:rsidRPr="009A2E44">
        <w:rPr>
          <w:rFonts w:ascii="Garamond" w:hAnsi="Garamond"/>
          <w:color w:val="202020"/>
          <w:shd w:val="clear" w:color="auto" w:fill="FFFFFF"/>
        </w:rPr>
        <w:t>−</w:t>
      </w:r>
      <w:r w:rsidR="00782D5E" w:rsidRPr="009A2E44">
        <w:rPr>
          <w:rFonts w:ascii="Garamond" w:hAnsi="Garamond"/>
          <w:color w:val="000000"/>
          <w:shd w:val="clear" w:color="auto" w:fill="FFFFFF"/>
        </w:rPr>
        <w:t xml:space="preserve">303 ‰, </w:t>
      </w:r>
      <w:r w:rsidR="00782D5E" w:rsidRPr="009A2E44">
        <w:rPr>
          <w:rFonts w:ascii="Garamond" w:hAnsi="Garamond"/>
        </w:rPr>
        <w:t xml:space="preserve">suggests </w:t>
      </w:r>
      <w:r w:rsidR="001C47D3">
        <w:rPr>
          <w:rFonts w:ascii="Garamond" w:hAnsi="Garamond"/>
        </w:rPr>
        <w:t>this lake</w:t>
      </w:r>
      <w:r w:rsidR="006A0895">
        <w:rPr>
          <w:rFonts w:ascii="Garamond" w:hAnsi="Garamond"/>
        </w:rPr>
        <w:t>’s</w:t>
      </w:r>
      <w:r w:rsidR="001C47D3">
        <w:rPr>
          <w:rFonts w:ascii="Garamond" w:hAnsi="Garamond"/>
        </w:rPr>
        <w:t xml:space="preserve"> </w:t>
      </w:r>
      <w:r w:rsidR="006A0895" w:rsidRPr="009A2E44">
        <w:rPr>
          <w:rFonts w:ascii="Garamond" w:hAnsi="Garamond"/>
        </w:rPr>
        <w:t>evol</w:t>
      </w:r>
      <w:r w:rsidR="006A0895">
        <w:rPr>
          <w:rFonts w:ascii="Garamond" w:hAnsi="Garamond"/>
        </w:rPr>
        <w:t>ution</w:t>
      </w:r>
      <w:r w:rsidR="00782D5E" w:rsidRPr="009A2E44">
        <w:rPr>
          <w:rFonts w:ascii="Garamond" w:hAnsi="Garamond"/>
        </w:rPr>
        <w:t xml:space="preserve"> from an active </w:t>
      </w:r>
      <w:r w:rsidR="00782D5E" w:rsidRPr="009A2E44">
        <w:rPr>
          <w:rFonts w:ascii="Garamond" w:hAnsi="Garamond"/>
          <w:color w:val="000000"/>
          <w:shd w:val="clear" w:color="auto" w:fill="FFFFFF"/>
        </w:rPr>
        <w:t>volcanic setting to the present system</w:t>
      </w:r>
      <w:r w:rsidR="006A0895">
        <w:rPr>
          <w:rFonts w:ascii="Garamond" w:hAnsi="Garamond"/>
          <w:color w:val="000000"/>
          <w:shd w:val="clear" w:color="auto" w:fill="FFFFFF"/>
        </w:rPr>
        <w:t xml:space="preserve"> strongly influenced </w:t>
      </w:r>
      <w:r w:rsidR="006A0895" w:rsidRPr="009A2E44">
        <w:rPr>
          <w:rFonts w:ascii="Garamond" w:hAnsi="Garamond"/>
        </w:rPr>
        <w:sym w:font="Symbol" w:char="F064"/>
      </w:r>
      <w:r w:rsidR="006A0895" w:rsidRPr="009A2E44">
        <w:rPr>
          <w:rFonts w:ascii="Garamond" w:hAnsi="Garamond"/>
          <w:vertAlign w:val="superscript"/>
        </w:rPr>
        <w:t>2</w:t>
      </w:r>
      <w:r w:rsidR="006A0895" w:rsidRPr="009A2E44">
        <w:rPr>
          <w:rFonts w:ascii="Garamond" w:hAnsi="Garamond"/>
        </w:rPr>
        <w:t>H</w:t>
      </w:r>
      <w:r w:rsidR="006A0895" w:rsidRPr="009A2E44">
        <w:rPr>
          <w:rFonts w:ascii="Garamond" w:hAnsi="Garamond"/>
          <w:vertAlign w:val="subscript"/>
        </w:rPr>
        <w:t>dinosterol</w:t>
      </w:r>
      <w:r w:rsidR="006A0895" w:rsidRPr="009A2E44">
        <w:rPr>
          <w:rFonts w:ascii="Garamond" w:hAnsi="Garamond"/>
          <w:color w:val="000000"/>
          <w:shd w:val="clear" w:color="auto" w:fill="FFFFFF"/>
        </w:rPr>
        <w:t xml:space="preserve"> </w:t>
      </w:r>
      <w:r w:rsidR="006A0895" w:rsidRPr="009A2E44">
        <w:rPr>
          <w:rFonts w:ascii="Garamond" w:hAnsi="Garamond"/>
        </w:rPr>
        <w:t>values</w:t>
      </w:r>
      <w:r w:rsidR="00782D5E" w:rsidRPr="009A2E44">
        <w:rPr>
          <w:rFonts w:ascii="Garamond" w:hAnsi="Garamond"/>
          <w:color w:val="000000"/>
          <w:shd w:val="clear" w:color="auto" w:fill="FFFFFF"/>
        </w:rPr>
        <w:t>. Although current hydrology and water isotope systematics may now reflect precipitation and evaporation in this lake, the interaction between these processes and large changes in basin morphology</w:t>
      </w:r>
      <w:r w:rsidR="00F40DC7">
        <w:rPr>
          <w:rFonts w:ascii="Garamond" w:hAnsi="Garamond"/>
          <w:color w:val="000000"/>
          <w:shd w:val="clear" w:color="auto" w:fill="FFFFFF"/>
        </w:rPr>
        <w:t>, geochemistry, and hydrology</w:t>
      </w:r>
      <w:r w:rsidR="00782D5E" w:rsidRPr="009A2E44">
        <w:rPr>
          <w:rFonts w:ascii="Garamond" w:hAnsi="Garamond"/>
          <w:color w:val="000000"/>
          <w:shd w:val="clear" w:color="auto" w:fill="FFFFFF"/>
        </w:rPr>
        <w:t xml:space="preserve"> </w:t>
      </w:r>
      <w:r w:rsidR="00E372F4">
        <w:rPr>
          <w:rFonts w:ascii="Garamond" w:hAnsi="Garamond"/>
          <w:color w:val="000000"/>
          <w:shd w:val="clear" w:color="auto" w:fill="FFFFFF"/>
        </w:rPr>
        <w:t>obstruct</w:t>
      </w:r>
      <w:r w:rsidR="00E372F4" w:rsidRPr="009A2E44">
        <w:rPr>
          <w:rFonts w:ascii="Garamond" w:hAnsi="Garamond"/>
          <w:color w:val="000000"/>
          <w:shd w:val="clear" w:color="auto" w:fill="FFFFFF"/>
        </w:rPr>
        <w:t xml:space="preserve"> </w:t>
      </w:r>
      <w:r w:rsidR="00782D5E" w:rsidRPr="009A2E44">
        <w:rPr>
          <w:rFonts w:ascii="Garamond" w:hAnsi="Garamond"/>
          <w:color w:val="000000"/>
          <w:shd w:val="clear" w:color="auto" w:fill="FFFFFF"/>
        </w:rPr>
        <w:t>the recovery of a climate signal</w:t>
      </w:r>
      <w:r w:rsidR="006A0895">
        <w:rPr>
          <w:rFonts w:ascii="Garamond" w:hAnsi="Garamond"/>
          <w:color w:val="000000"/>
          <w:shd w:val="clear" w:color="auto" w:fill="FFFFFF"/>
        </w:rPr>
        <w:t xml:space="preserve"> from Lac Lalolalo’s</w:t>
      </w:r>
      <w:r w:rsidR="006A0895" w:rsidRPr="009A2E44">
        <w:rPr>
          <w:rFonts w:ascii="Garamond" w:hAnsi="Garamond"/>
          <w:color w:val="000000"/>
          <w:shd w:val="clear" w:color="auto" w:fill="FFFFFF"/>
        </w:rPr>
        <w:t xml:space="preserve"> sediment</w:t>
      </w:r>
      <w:r w:rsidR="006A0895">
        <w:rPr>
          <w:rFonts w:ascii="Garamond" w:hAnsi="Garamond"/>
          <w:color w:val="000000"/>
          <w:shd w:val="clear" w:color="auto" w:fill="FFFFFF"/>
        </w:rPr>
        <w:t xml:space="preserve">ary </w:t>
      </w:r>
      <w:r w:rsidR="006A0895" w:rsidRPr="009A2E44">
        <w:rPr>
          <w:rFonts w:ascii="Garamond" w:hAnsi="Garamond"/>
        </w:rPr>
        <w:sym w:font="Symbol" w:char="F064"/>
      </w:r>
      <w:r w:rsidR="006A0895" w:rsidRPr="009A2E44">
        <w:rPr>
          <w:rFonts w:ascii="Garamond" w:hAnsi="Garamond"/>
          <w:vertAlign w:val="superscript"/>
        </w:rPr>
        <w:t>2</w:t>
      </w:r>
      <w:r w:rsidR="006A0895" w:rsidRPr="009A2E44">
        <w:rPr>
          <w:rFonts w:ascii="Garamond" w:hAnsi="Garamond"/>
        </w:rPr>
        <w:t>H</w:t>
      </w:r>
      <w:r w:rsidR="006A0895" w:rsidRPr="009A2E44">
        <w:rPr>
          <w:rFonts w:ascii="Garamond" w:hAnsi="Garamond"/>
          <w:vertAlign w:val="subscript"/>
        </w:rPr>
        <w:t>dinosterol</w:t>
      </w:r>
      <w:r w:rsidR="006A0895" w:rsidRPr="009A2E44">
        <w:rPr>
          <w:rFonts w:ascii="Garamond" w:hAnsi="Garamond"/>
          <w:color w:val="000000"/>
          <w:shd w:val="clear" w:color="auto" w:fill="FFFFFF"/>
        </w:rPr>
        <w:t xml:space="preserve"> record</w:t>
      </w:r>
      <w:r w:rsidR="006A0895">
        <w:rPr>
          <w:rFonts w:ascii="Garamond" w:hAnsi="Garamond"/>
          <w:color w:val="000000"/>
          <w:shd w:val="clear" w:color="auto" w:fill="FFFFFF"/>
        </w:rPr>
        <w:t>s</w:t>
      </w:r>
      <w:r w:rsidR="00782D5E" w:rsidRPr="009A2E44">
        <w:rPr>
          <w:rFonts w:ascii="Garamond" w:hAnsi="Garamond"/>
          <w:color w:val="000000"/>
          <w:shd w:val="clear" w:color="auto" w:fill="FFFFFF"/>
        </w:rPr>
        <w:t>.</w:t>
      </w:r>
      <w:r w:rsidR="00352CC8" w:rsidRPr="009A2E44">
        <w:rPr>
          <w:rFonts w:ascii="Garamond" w:hAnsi="Garamond"/>
          <w:color w:val="000000"/>
          <w:shd w:val="clear" w:color="auto" w:fill="FFFFFF"/>
        </w:rPr>
        <w:t xml:space="preserve"> This work emphasizes the importance of site </w:t>
      </w:r>
      <w:r w:rsidR="00941F0B" w:rsidRPr="009A2E44">
        <w:rPr>
          <w:rFonts w:ascii="Garamond" w:hAnsi="Garamond"/>
          <w:color w:val="000000"/>
          <w:shd w:val="clear" w:color="auto" w:fill="FFFFFF"/>
        </w:rPr>
        <w:t xml:space="preserve">replication </w:t>
      </w:r>
      <w:r w:rsidR="00352CC8" w:rsidRPr="009A2E44">
        <w:rPr>
          <w:rFonts w:ascii="Garamond" w:hAnsi="Garamond"/>
          <w:color w:val="000000"/>
          <w:shd w:val="clear" w:color="auto" w:fill="FFFFFF"/>
        </w:rPr>
        <w:t>and the use of compl</w:t>
      </w:r>
      <w:r w:rsidR="005070AE">
        <w:rPr>
          <w:rFonts w:ascii="Garamond" w:hAnsi="Garamond"/>
          <w:color w:val="000000"/>
          <w:shd w:val="clear" w:color="auto" w:fill="FFFFFF"/>
        </w:rPr>
        <w:t>e</w:t>
      </w:r>
      <w:r w:rsidR="00352CC8" w:rsidRPr="009A2E44">
        <w:rPr>
          <w:rFonts w:ascii="Garamond" w:hAnsi="Garamond"/>
          <w:color w:val="000000"/>
          <w:shd w:val="clear" w:color="auto" w:fill="FFFFFF"/>
        </w:rPr>
        <w:t xml:space="preserve">mentary </w:t>
      </w:r>
      <w:r w:rsidR="000634D9">
        <w:rPr>
          <w:rFonts w:ascii="Garamond" w:hAnsi="Garamond"/>
          <w:color w:val="000000"/>
          <w:shd w:val="clear" w:color="auto" w:fill="FFFFFF"/>
        </w:rPr>
        <w:t>climate reconstruction tools</w:t>
      </w:r>
      <w:r w:rsidR="00941F0B" w:rsidRPr="009A2E44">
        <w:rPr>
          <w:rFonts w:ascii="Garamond" w:hAnsi="Garamond"/>
          <w:color w:val="000000"/>
          <w:shd w:val="clear" w:color="auto" w:fill="FFFFFF"/>
        </w:rPr>
        <w:t>, especially</w:t>
      </w:r>
      <w:r w:rsidR="00352CC8" w:rsidRPr="009A2E44">
        <w:rPr>
          <w:rFonts w:ascii="Garamond" w:hAnsi="Garamond"/>
          <w:color w:val="000000"/>
          <w:shd w:val="clear" w:color="auto" w:fill="FFFFFF"/>
        </w:rPr>
        <w:t xml:space="preserve"> when using molecular </w:t>
      </w:r>
      <w:r w:rsidR="00941F0B" w:rsidRPr="009A2E44">
        <w:rPr>
          <w:rFonts w:ascii="Garamond" w:hAnsi="Garamond"/>
          <w:color w:val="000000"/>
          <w:shd w:val="clear" w:color="auto" w:fill="FFFFFF"/>
        </w:rPr>
        <w:t xml:space="preserve">proxies </w:t>
      </w:r>
      <w:r w:rsidR="00352CC8" w:rsidRPr="009A2E44">
        <w:rPr>
          <w:rFonts w:ascii="Garamond" w:hAnsi="Garamond"/>
          <w:color w:val="000000"/>
          <w:shd w:val="clear" w:color="auto" w:fill="FFFFFF"/>
        </w:rPr>
        <w:t xml:space="preserve">that </w:t>
      </w:r>
      <w:r w:rsidR="00941F0B" w:rsidRPr="009A2E44">
        <w:rPr>
          <w:rFonts w:ascii="Garamond" w:hAnsi="Garamond"/>
          <w:color w:val="000000"/>
          <w:shd w:val="clear" w:color="auto" w:fill="FFFFFF"/>
        </w:rPr>
        <w:t>may be</w:t>
      </w:r>
      <w:r w:rsidR="00352CC8" w:rsidRPr="009A2E44">
        <w:rPr>
          <w:rFonts w:ascii="Garamond" w:hAnsi="Garamond"/>
          <w:color w:val="000000"/>
          <w:shd w:val="clear" w:color="auto" w:fill="FFFFFF"/>
        </w:rPr>
        <w:t xml:space="preserve"> sensitive </w:t>
      </w:r>
      <w:r w:rsidR="00314D57" w:rsidRPr="009A2E44">
        <w:rPr>
          <w:rFonts w:ascii="Garamond" w:hAnsi="Garamond"/>
          <w:color w:val="000000"/>
          <w:shd w:val="clear" w:color="auto" w:fill="FFFFFF"/>
        </w:rPr>
        <w:t xml:space="preserve">to </w:t>
      </w:r>
      <w:r w:rsidR="00941F0B" w:rsidRPr="009A2E44">
        <w:rPr>
          <w:rFonts w:ascii="Garamond" w:hAnsi="Garamond"/>
          <w:color w:val="000000"/>
          <w:shd w:val="clear" w:color="auto" w:fill="FFFFFF"/>
        </w:rPr>
        <w:t>more than one</w:t>
      </w:r>
      <w:r w:rsidR="00352CC8" w:rsidRPr="009A2E44">
        <w:rPr>
          <w:rFonts w:ascii="Garamond" w:hAnsi="Garamond"/>
          <w:color w:val="000000"/>
          <w:shd w:val="clear" w:color="auto" w:fill="FFFFFF"/>
        </w:rPr>
        <w:t xml:space="preserve"> environmental parameter. Contrary to its neighbor, d</w:t>
      </w:r>
      <w:r w:rsidR="001B1E3A" w:rsidRPr="009A2E44">
        <w:rPr>
          <w:rFonts w:ascii="Garamond" w:hAnsi="Garamond"/>
          <w:color w:val="000000"/>
          <w:shd w:val="clear" w:color="auto" w:fill="FFFFFF"/>
        </w:rPr>
        <w:t xml:space="preserve">uplicate </w:t>
      </w:r>
      <w:r w:rsidR="00515531" w:rsidRPr="009A2E44">
        <w:rPr>
          <w:rFonts w:ascii="Garamond" w:hAnsi="Garamond"/>
        </w:rPr>
        <w:sym w:font="Symbol" w:char="F064"/>
      </w:r>
      <w:r w:rsidR="00515531" w:rsidRPr="009A2E44">
        <w:rPr>
          <w:rFonts w:ascii="Garamond" w:hAnsi="Garamond"/>
          <w:vertAlign w:val="superscript"/>
        </w:rPr>
        <w:t>2</w:t>
      </w:r>
      <w:r w:rsidR="00515531" w:rsidRPr="009A2E44">
        <w:rPr>
          <w:rFonts w:ascii="Garamond" w:hAnsi="Garamond"/>
        </w:rPr>
        <w:t>H</w:t>
      </w:r>
      <w:r w:rsidR="00515531" w:rsidRPr="009A2E44">
        <w:rPr>
          <w:rFonts w:ascii="Garamond" w:hAnsi="Garamond"/>
          <w:vertAlign w:val="subscript"/>
        </w:rPr>
        <w:t>dinosterol</w:t>
      </w:r>
      <w:r w:rsidR="00515531" w:rsidRPr="009A2E44">
        <w:rPr>
          <w:rFonts w:ascii="Garamond" w:hAnsi="Garamond"/>
          <w:color w:val="000000"/>
          <w:shd w:val="clear" w:color="auto" w:fill="FFFFFF"/>
        </w:rPr>
        <w:t> </w:t>
      </w:r>
      <w:r w:rsidR="001B1E3A" w:rsidRPr="009A2E44">
        <w:rPr>
          <w:rFonts w:ascii="Garamond" w:hAnsi="Garamond"/>
          <w:color w:val="000000"/>
          <w:shd w:val="clear" w:color="auto" w:fill="FFFFFF"/>
        </w:rPr>
        <w:t xml:space="preserve">records from </w:t>
      </w:r>
      <w:r w:rsidR="001B145B" w:rsidRPr="009A2E44">
        <w:rPr>
          <w:rFonts w:ascii="Garamond" w:hAnsi="Garamond"/>
          <w:color w:val="000000"/>
          <w:shd w:val="clear" w:color="auto" w:fill="FFFFFF"/>
        </w:rPr>
        <w:t xml:space="preserve">23-m-deep </w:t>
      </w:r>
      <w:r w:rsidR="001B1E3A" w:rsidRPr="009A2E44">
        <w:rPr>
          <w:rFonts w:ascii="Garamond" w:hAnsi="Garamond"/>
          <w:color w:val="000000"/>
          <w:shd w:val="clear" w:color="auto" w:fill="FFFFFF"/>
        </w:rPr>
        <w:t xml:space="preserve">Lac Lanutavake </w:t>
      </w:r>
      <w:r w:rsidRPr="009A2E44">
        <w:rPr>
          <w:rFonts w:ascii="Garamond" w:hAnsi="Garamond"/>
          <w:color w:val="000000"/>
          <w:shd w:val="clear" w:color="auto" w:fill="FFFFFF"/>
        </w:rPr>
        <w:t xml:space="preserve">varied </w:t>
      </w:r>
      <w:r w:rsidR="001B1E3A" w:rsidRPr="009A2E44">
        <w:rPr>
          <w:rFonts w:ascii="Garamond" w:hAnsi="Garamond"/>
          <w:color w:val="000000"/>
          <w:shd w:val="clear" w:color="auto" w:fill="FFFFFF"/>
        </w:rPr>
        <w:t xml:space="preserve">between </w:t>
      </w:r>
      <w:r w:rsidR="005F3DB5" w:rsidRPr="009A2E44">
        <w:rPr>
          <w:rFonts w:ascii="Garamond" w:hAnsi="Garamond"/>
          <w:color w:val="202020"/>
          <w:shd w:val="clear" w:color="auto" w:fill="FFFFFF"/>
        </w:rPr>
        <w:t>−</w:t>
      </w:r>
      <w:r w:rsidR="001B1E3A" w:rsidRPr="009A2E44">
        <w:rPr>
          <w:rFonts w:ascii="Garamond" w:hAnsi="Garamond"/>
          <w:color w:val="000000"/>
          <w:shd w:val="clear" w:color="auto" w:fill="FFFFFF"/>
        </w:rPr>
        <w:t>2</w:t>
      </w:r>
      <w:r w:rsidR="00FE2D94" w:rsidRPr="009A2E44">
        <w:rPr>
          <w:rFonts w:ascii="Garamond" w:hAnsi="Garamond"/>
          <w:color w:val="000000"/>
          <w:shd w:val="clear" w:color="auto" w:fill="FFFFFF"/>
        </w:rPr>
        <w:t>77</w:t>
      </w:r>
      <w:r w:rsidR="009E2872" w:rsidRPr="009A2E44">
        <w:rPr>
          <w:rFonts w:ascii="Garamond" w:hAnsi="Garamond"/>
          <w:color w:val="000000"/>
          <w:shd w:val="clear" w:color="auto" w:fill="FFFFFF"/>
        </w:rPr>
        <w:t xml:space="preserve"> </w:t>
      </w:r>
      <w:r w:rsidR="001B1E3A" w:rsidRPr="009A2E44">
        <w:rPr>
          <w:rFonts w:ascii="Garamond" w:hAnsi="Garamond"/>
          <w:color w:val="000000"/>
          <w:shd w:val="clear" w:color="auto" w:fill="FFFFFF"/>
        </w:rPr>
        <w:t xml:space="preserve">‰ and </w:t>
      </w:r>
      <w:r w:rsidR="005F3DB5" w:rsidRPr="009A2E44">
        <w:rPr>
          <w:rFonts w:ascii="Garamond" w:hAnsi="Garamond"/>
          <w:color w:val="202020"/>
          <w:shd w:val="clear" w:color="auto" w:fill="FFFFFF"/>
        </w:rPr>
        <w:t>−</w:t>
      </w:r>
      <w:r w:rsidR="001B1E3A" w:rsidRPr="009A2E44">
        <w:rPr>
          <w:rFonts w:ascii="Garamond" w:hAnsi="Garamond"/>
          <w:color w:val="000000"/>
          <w:shd w:val="clear" w:color="auto" w:fill="FFFFFF"/>
        </w:rPr>
        <w:t>29</w:t>
      </w:r>
      <w:r w:rsidR="00FE2D94" w:rsidRPr="009A2E44">
        <w:rPr>
          <w:rFonts w:ascii="Garamond" w:hAnsi="Garamond"/>
          <w:color w:val="000000"/>
          <w:shd w:val="clear" w:color="auto" w:fill="FFFFFF"/>
        </w:rPr>
        <w:t>7</w:t>
      </w:r>
      <w:r w:rsidR="009E2872" w:rsidRPr="009A2E44">
        <w:rPr>
          <w:rFonts w:ascii="Garamond" w:hAnsi="Garamond"/>
          <w:color w:val="000000"/>
          <w:shd w:val="clear" w:color="auto" w:fill="FFFFFF"/>
        </w:rPr>
        <w:t xml:space="preserve"> </w:t>
      </w:r>
      <w:r w:rsidR="001B1E3A" w:rsidRPr="009A2E44">
        <w:rPr>
          <w:rFonts w:ascii="Garamond" w:hAnsi="Garamond"/>
          <w:color w:val="000000"/>
          <w:shd w:val="clear" w:color="auto" w:fill="FFFFFF"/>
        </w:rPr>
        <w:t>‰</w:t>
      </w:r>
      <w:r w:rsidR="00C36264" w:rsidRPr="009A2E44">
        <w:rPr>
          <w:rFonts w:ascii="Garamond" w:hAnsi="Garamond"/>
          <w:color w:val="000000"/>
          <w:shd w:val="clear" w:color="auto" w:fill="FFFFFF"/>
        </w:rPr>
        <w:t xml:space="preserve"> </w:t>
      </w:r>
      <w:r w:rsidR="0083204A" w:rsidRPr="009A2E44">
        <w:rPr>
          <w:rFonts w:ascii="Garamond" w:hAnsi="Garamond"/>
          <w:color w:val="000000"/>
          <w:shd w:val="clear" w:color="auto" w:fill="FFFFFF"/>
        </w:rPr>
        <w:t>and indicate</w:t>
      </w:r>
      <w:r w:rsidR="0090237E" w:rsidRPr="009A2E44">
        <w:rPr>
          <w:rFonts w:ascii="Garamond" w:hAnsi="Garamond"/>
          <w:color w:val="000000"/>
          <w:shd w:val="clear" w:color="auto" w:fill="FFFFFF"/>
        </w:rPr>
        <w:t xml:space="preserve"> </w:t>
      </w:r>
      <w:r w:rsidR="0059584F" w:rsidRPr="009A2E44">
        <w:rPr>
          <w:rFonts w:ascii="Garamond" w:hAnsi="Garamond"/>
          <w:color w:val="000000"/>
          <w:shd w:val="clear" w:color="auto" w:fill="FFFFFF"/>
        </w:rPr>
        <w:t xml:space="preserve">slightly </w:t>
      </w:r>
      <w:r w:rsidR="0090237E" w:rsidRPr="009A2E44">
        <w:rPr>
          <w:rFonts w:ascii="Garamond" w:hAnsi="Garamond"/>
          <w:color w:val="000000"/>
          <w:shd w:val="clear" w:color="auto" w:fill="FFFFFF"/>
        </w:rPr>
        <w:t xml:space="preserve">drier </w:t>
      </w:r>
      <w:r w:rsidR="008119C9">
        <w:rPr>
          <w:rFonts w:ascii="Garamond" w:hAnsi="Garamond"/>
          <w:color w:val="000000"/>
          <w:shd w:val="clear" w:color="auto" w:fill="FFFFFF"/>
        </w:rPr>
        <w:t xml:space="preserve">conditions during the time-period known as the </w:t>
      </w:r>
      <w:r w:rsidR="0090237E" w:rsidRPr="009A2E44">
        <w:rPr>
          <w:rFonts w:ascii="Garamond" w:hAnsi="Garamond"/>
          <w:color w:val="000000"/>
          <w:shd w:val="clear" w:color="auto" w:fill="FFFFFF"/>
        </w:rPr>
        <w:t>Medieval Climate Anomaly</w:t>
      </w:r>
      <w:r w:rsidR="00FD61E6" w:rsidRPr="009A2E44">
        <w:rPr>
          <w:rFonts w:ascii="Garamond" w:hAnsi="Garamond"/>
          <w:color w:val="000000"/>
          <w:shd w:val="clear" w:color="auto" w:fill="FFFFFF"/>
        </w:rPr>
        <w:t xml:space="preserve"> (MCA</w:t>
      </w:r>
      <w:r w:rsidR="00352CC8" w:rsidRPr="009A2E44">
        <w:rPr>
          <w:rFonts w:ascii="Garamond" w:hAnsi="Garamond"/>
          <w:color w:val="000000"/>
          <w:shd w:val="clear" w:color="auto" w:fill="FFFFFF"/>
        </w:rPr>
        <w:t xml:space="preserve">, </w:t>
      </w:r>
      <w:r w:rsidR="00352CC8" w:rsidRPr="009A2E44">
        <w:rPr>
          <w:rFonts w:ascii="Garamond" w:hAnsi="Garamond"/>
        </w:rPr>
        <w:t>950 – 1250 CE</w:t>
      </w:r>
      <w:r w:rsidR="00FD61E6" w:rsidRPr="009A2E44">
        <w:rPr>
          <w:rFonts w:ascii="Garamond" w:hAnsi="Garamond"/>
          <w:color w:val="000000"/>
          <w:shd w:val="clear" w:color="auto" w:fill="FFFFFF"/>
        </w:rPr>
        <w:t>)</w:t>
      </w:r>
      <w:r w:rsidR="001B1E3A" w:rsidRPr="009A2E44">
        <w:rPr>
          <w:rFonts w:ascii="Garamond" w:hAnsi="Garamond"/>
          <w:color w:val="000000"/>
          <w:shd w:val="clear" w:color="auto" w:fill="FFFFFF"/>
        </w:rPr>
        <w:t xml:space="preserve">. </w:t>
      </w:r>
      <w:r w:rsidR="00352CC8" w:rsidRPr="009A2E44">
        <w:rPr>
          <w:rFonts w:ascii="Garamond" w:hAnsi="Garamond"/>
          <w:color w:val="000000"/>
          <w:shd w:val="clear" w:color="auto" w:fill="FFFFFF"/>
        </w:rPr>
        <w:t>The</w:t>
      </w:r>
      <w:r w:rsidR="00FD61E6" w:rsidRPr="009A2E44">
        <w:rPr>
          <w:rFonts w:ascii="Garamond" w:hAnsi="Garamond"/>
          <w:color w:val="000000"/>
          <w:shd w:val="clear" w:color="auto" w:fill="FFFFFF"/>
        </w:rPr>
        <w:t xml:space="preserve"> </w:t>
      </w:r>
      <w:r w:rsidR="00FD61E6" w:rsidRPr="009A2E44">
        <w:rPr>
          <w:rFonts w:ascii="Garamond" w:hAnsi="Garamond"/>
        </w:rPr>
        <w:sym w:font="Symbol" w:char="F064"/>
      </w:r>
      <w:r w:rsidR="00FD61E6" w:rsidRPr="009A2E44">
        <w:rPr>
          <w:rFonts w:ascii="Garamond" w:hAnsi="Garamond"/>
          <w:vertAlign w:val="superscript"/>
        </w:rPr>
        <w:t>2</w:t>
      </w:r>
      <w:r w:rsidR="00FD61E6" w:rsidRPr="009A2E44">
        <w:rPr>
          <w:rFonts w:ascii="Garamond" w:hAnsi="Garamond"/>
        </w:rPr>
        <w:t>H</w:t>
      </w:r>
      <w:r w:rsidR="00FD61E6" w:rsidRPr="009A2E44">
        <w:rPr>
          <w:rFonts w:ascii="Garamond" w:hAnsi="Garamond"/>
          <w:vertAlign w:val="subscript"/>
        </w:rPr>
        <w:t>dinosterol</w:t>
      </w:r>
      <w:r w:rsidR="00FD61E6" w:rsidRPr="009A2E44">
        <w:rPr>
          <w:rFonts w:ascii="Garamond" w:hAnsi="Garamond"/>
          <w:color w:val="000000"/>
          <w:shd w:val="clear" w:color="auto" w:fill="FFFFFF"/>
        </w:rPr>
        <w:t xml:space="preserve"> signal </w:t>
      </w:r>
      <w:r w:rsidR="00352CC8" w:rsidRPr="009A2E44">
        <w:rPr>
          <w:rFonts w:ascii="Garamond" w:hAnsi="Garamond"/>
          <w:color w:val="000000"/>
          <w:shd w:val="clear" w:color="auto" w:fill="FFFFFF"/>
        </w:rPr>
        <w:t xml:space="preserve">in Lac Lanutavake was muted </w:t>
      </w:r>
      <w:r w:rsidR="00FD61E6" w:rsidRPr="009A2E44">
        <w:rPr>
          <w:rFonts w:ascii="Garamond" w:hAnsi="Garamond"/>
          <w:color w:val="000000"/>
          <w:shd w:val="clear" w:color="auto" w:fill="FFFFFF"/>
        </w:rPr>
        <w:t>compare</w:t>
      </w:r>
      <w:r w:rsidR="00753D76" w:rsidRPr="009A2E44">
        <w:rPr>
          <w:rFonts w:ascii="Garamond" w:hAnsi="Garamond"/>
          <w:color w:val="000000"/>
          <w:shd w:val="clear" w:color="auto" w:fill="FFFFFF"/>
        </w:rPr>
        <w:t>d</w:t>
      </w:r>
      <w:r w:rsidR="00FD61E6" w:rsidRPr="009A2E44">
        <w:rPr>
          <w:rFonts w:ascii="Garamond" w:hAnsi="Garamond"/>
          <w:color w:val="000000"/>
          <w:shd w:val="clear" w:color="auto" w:fill="FFFFFF"/>
        </w:rPr>
        <w:t xml:space="preserve"> to </w:t>
      </w:r>
      <w:r w:rsidR="00751DBD" w:rsidRPr="009A2E44">
        <w:rPr>
          <w:rFonts w:ascii="Garamond" w:hAnsi="Garamond"/>
          <w:color w:val="000000"/>
          <w:shd w:val="clear" w:color="auto" w:fill="FFFFFF"/>
        </w:rPr>
        <w:t xml:space="preserve">published </w:t>
      </w:r>
      <w:r w:rsidR="00FD61E6" w:rsidRPr="009A2E44">
        <w:rPr>
          <w:rFonts w:ascii="Garamond" w:hAnsi="Garamond"/>
          <w:color w:val="000000"/>
          <w:shd w:val="clear" w:color="auto" w:fill="FFFFFF"/>
        </w:rPr>
        <w:t xml:space="preserve">records from </w:t>
      </w:r>
      <w:r w:rsidR="006D29BF" w:rsidRPr="009A2E44">
        <w:rPr>
          <w:rFonts w:ascii="Garamond" w:hAnsi="Garamond"/>
          <w:color w:val="000000"/>
          <w:shd w:val="clear" w:color="auto" w:fill="FFFFFF"/>
        </w:rPr>
        <w:t>‘Upolu</w:t>
      </w:r>
      <w:r w:rsidR="00751DBD" w:rsidRPr="009A2E44">
        <w:rPr>
          <w:rFonts w:ascii="Garamond" w:hAnsi="Garamond"/>
          <w:color w:val="000000"/>
          <w:shd w:val="clear" w:color="auto" w:fill="FFFFFF"/>
        </w:rPr>
        <w:t xml:space="preserve"> (</w:t>
      </w:r>
      <w:r w:rsidR="00FD61E6" w:rsidRPr="009A2E44">
        <w:rPr>
          <w:rFonts w:ascii="Garamond" w:hAnsi="Garamond"/>
          <w:color w:val="000000"/>
          <w:shd w:val="clear" w:color="auto" w:fill="FFFFFF"/>
        </w:rPr>
        <w:t>Samoa</w:t>
      </w:r>
      <w:r w:rsidR="00751DBD" w:rsidRPr="009A2E44">
        <w:rPr>
          <w:rFonts w:ascii="Garamond" w:hAnsi="Garamond"/>
          <w:color w:val="000000"/>
          <w:shd w:val="clear" w:color="auto" w:fill="FFFFFF"/>
        </w:rPr>
        <w:t>)</w:t>
      </w:r>
      <w:r w:rsidR="00FD61E6" w:rsidRPr="009A2E44">
        <w:rPr>
          <w:rFonts w:ascii="Garamond" w:hAnsi="Garamond"/>
          <w:color w:val="000000"/>
          <w:shd w:val="clear" w:color="auto" w:fill="FFFFFF"/>
        </w:rPr>
        <w:t xml:space="preserve"> and </w:t>
      </w:r>
      <w:r w:rsidR="006D29BF" w:rsidRPr="009A2E44">
        <w:rPr>
          <w:rFonts w:ascii="Garamond" w:hAnsi="Garamond"/>
          <w:color w:val="000000"/>
          <w:shd w:val="clear" w:color="auto" w:fill="FFFFFF"/>
        </w:rPr>
        <w:t>Efate</w:t>
      </w:r>
      <w:r w:rsidR="00751DBD" w:rsidRPr="009A2E44">
        <w:rPr>
          <w:rFonts w:ascii="Garamond" w:hAnsi="Garamond"/>
          <w:color w:val="000000"/>
          <w:shd w:val="clear" w:color="auto" w:fill="FFFFFF"/>
        </w:rPr>
        <w:t xml:space="preserve"> (</w:t>
      </w:r>
      <w:r w:rsidR="00FD61E6" w:rsidRPr="009A2E44">
        <w:rPr>
          <w:rFonts w:ascii="Garamond" w:hAnsi="Garamond"/>
          <w:color w:val="000000"/>
          <w:shd w:val="clear" w:color="auto" w:fill="FFFFFF"/>
        </w:rPr>
        <w:t>Vanuatu</w:t>
      </w:r>
      <w:r w:rsidR="00751DBD" w:rsidRPr="009A2E44">
        <w:rPr>
          <w:rFonts w:ascii="Garamond" w:hAnsi="Garamond"/>
          <w:color w:val="000000"/>
          <w:shd w:val="clear" w:color="auto" w:fill="FFFFFF"/>
        </w:rPr>
        <w:t>)</w:t>
      </w:r>
      <w:r w:rsidR="005D757D" w:rsidRPr="009A2E44">
        <w:rPr>
          <w:rFonts w:ascii="Garamond" w:hAnsi="Garamond"/>
          <w:color w:val="000000"/>
          <w:shd w:val="clear" w:color="auto" w:fill="FFFFFF"/>
        </w:rPr>
        <w:t xml:space="preserve"> indicating that ‘Uvea</w:t>
      </w:r>
      <w:r w:rsidR="00751DBD" w:rsidRPr="009A2E44">
        <w:rPr>
          <w:rFonts w:ascii="Garamond" w:hAnsi="Garamond"/>
          <w:color w:val="000000"/>
          <w:shd w:val="clear" w:color="auto" w:fill="FFFFFF"/>
        </w:rPr>
        <w:t>’s location</w:t>
      </w:r>
      <w:r w:rsidR="005D757D" w:rsidRPr="009A2E44">
        <w:rPr>
          <w:rFonts w:ascii="Garamond" w:hAnsi="Garamond"/>
          <w:color w:val="000000"/>
          <w:shd w:val="clear" w:color="auto" w:fill="FFFFFF"/>
        </w:rPr>
        <w:t xml:space="preserve"> is not as sensitive to precipitation </w:t>
      </w:r>
      <w:r w:rsidR="00352CC8" w:rsidRPr="009A2E44">
        <w:rPr>
          <w:rFonts w:ascii="Garamond" w:hAnsi="Garamond"/>
          <w:color w:val="000000"/>
          <w:shd w:val="clear" w:color="auto" w:fill="FFFFFF"/>
        </w:rPr>
        <w:t>variability</w:t>
      </w:r>
      <w:r w:rsidR="006A0895">
        <w:rPr>
          <w:rFonts w:ascii="Garamond" w:hAnsi="Garamond"/>
          <w:color w:val="000000"/>
          <w:shd w:val="clear" w:color="auto" w:fill="FFFFFF"/>
        </w:rPr>
        <w:t xml:space="preserve"> a</w:t>
      </w:r>
      <w:r w:rsidR="00353B31">
        <w:rPr>
          <w:rFonts w:ascii="Garamond" w:hAnsi="Garamond"/>
          <w:color w:val="000000"/>
          <w:shd w:val="clear" w:color="auto" w:fill="FFFFFF"/>
        </w:rPr>
        <w:t>t</w:t>
      </w:r>
      <w:r w:rsidR="006A0895">
        <w:rPr>
          <w:rFonts w:ascii="Garamond" w:hAnsi="Garamond"/>
          <w:color w:val="000000"/>
          <w:shd w:val="clear" w:color="auto" w:fill="FFFFFF"/>
        </w:rPr>
        <w:t xml:space="preserve"> sites farther from the SPCZ central axis</w:t>
      </w:r>
      <w:r w:rsidR="00FD61E6" w:rsidRPr="009A2E44">
        <w:rPr>
          <w:rFonts w:ascii="Garamond" w:hAnsi="Garamond"/>
          <w:color w:val="000000"/>
          <w:shd w:val="clear" w:color="auto" w:fill="FFFFFF"/>
        </w:rPr>
        <w:t xml:space="preserve">. </w:t>
      </w:r>
      <w:r w:rsidR="006D29BF" w:rsidRPr="009A2E44">
        <w:rPr>
          <w:rFonts w:ascii="Garamond" w:hAnsi="Garamond"/>
          <w:color w:val="000000"/>
          <w:shd w:val="clear" w:color="auto" w:fill="FFFFFF"/>
        </w:rPr>
        <w:t>Lithogenic</w:t>
      </w:r>
      <w:r w:rsidR="00FD61E6" w:rsidRPr="009A2E44">
        <w:rPr>
          <w:rFonts w:ascii="Garamond" w:hAnsi="Garamond"/>
          <w:color w:val="000000"/>
          <w:shd w:val="clear" w:color="auto" w:fill="FFFFFF"/>
        </w:rPr>
        <w:t xml:space="preserve"> runoff </w:t>
      </w:r>
      <w:r w:rsidR="00A71ACF" w:rsidRPr="009A2E44">
        <w:rPr>
          <w:rFonts w:ascii="Garamond" w:hAnsi="Garamond"/>
          <w:color w:val="000000"/>
          <w:shd w:val="clear" w:color="auto" w:fill="FFFFFF"/>
        </w:rPr>
        <w:t xml:space="preserve">proxies </w:t>
      </w:r>
      <w:r w:rsidR="00DB0B42" w:rsidRPr="009A2E44">
        <w:rPr>
          <w:rFonts w:ascii="Garamond" w:hAnsi="Garamond"/>
          <w:color w:val="000000"/>
          <w:shd w:val="clear" w:color="auto" w:fill="FFFFFF"/>
        </w:rPr>
        <w:t xml:space="preserve">combined with </w:t>
      </w:r>
      <w:r w:rsidR="00DB0B42" w:rsidRPr="009A2E44">
        <w:rPr>
          <w:rFonts w:ascii="Garamond" w:hAnsi="Garamond"/>
        </w:rPr>
        <w:sym w:font="Symbol" w:char="F064"/>
      </w:r>
      <w:r w:rsidR="00DB0B42" w:rsidRPr="009A2E44">
        <w:rPr>
          <w:rFonts w:ascii="Garamond" w:hAnsi="Garamond"/>
          <w:vertAlign w:val="superscript"/>
        </w:rPr>
        <w:t>2</w:t>
      </w:r>
      <w:r w:rsidR="00DB0B42" w:rsidRPr="009A2E44">
        <w:rPr>
          <w:rFonts w:ascii="Garamond" w:hAnsi="Garamond"/>
        </w:rPr>
        <w:t>H</w:t>
      </w:r>
      <w:r w:rsidR="00DB0B42" w:rsidRPr="009A2E44">
        <w:rPr>
          <w:rFonts w:ascii="Garamond" w:hAnsi="Garamond"/>
          <w:vertAlign w:val="subscript"/>
        </w:rPr>
        <w:t>dinosterol</w:t>
      </w:r>
      <w:r w:rsidR="00DB0B42" w:rsidRPr="009A2E44">
        <w:rPr>
          <w:rFonts w:ascii="Garamond" w:hAnsi="Garamond"/>
          <w:color w:val="000000"/>
          <w:shd w:val="clear" w:color="auto" w:fill="FFFFFF"/>
        </w:rPr>
        <w:t xml:space="preserve"> </w:t>
      </w:r>
      <w:r w:rsidR="00FD61E6" w:rsidRPr="009A2E44">
        <w:rPr>
          <w:rFonts w:ascii="Garamond" w:hAnsi="Garamond"/>
          <w:color w:val="000000"/>
          <w:shd w:val="clear" w:color="auto" w:fill="FFFFFF"/>
        </w:rPr>
        <w:t xml:space="preserve">support </w:t>
      </w:r>
      <w:r w:rsidR="005070AE">
        <w:rPr>
          <w:rFonts w:ascii="Garamond" w:hAnsi="Garamond"/>
          <w:color w:val="000000"/>
          <w:shd w:val="clear" w:color="auto" w:fill="FFFFFF"/>
        </w:rPr>
        <w:t xml:space="preserve">the </w:t>
      </w:r>
      <w:r w:rsidR="00FD61E6" w:rsidRPr="009A2E44">
        <w:rPr>
          <w:rFonts w:ascii="Garamond" w:hAnsi="Garamond"/>
          <w:color w:val="000000"/>
          <w:shd w:val="clear" w:color="auto" w:fill="FFFFFF"/>
        </w:rPr>
        <w:t xml:space="preserve">interpretation of a </w:t>
      </w:r>
      <w:r w:rsidR="00DB0B42" w:rsidRPr="009A2E44">
        <w:rPr>
          <w:rFonts w:ascii="Garamond" w:hAnsi="Garamond"/>
          <w:color w:val="000000"/>
          <w:shd w:val="clear" w:color="auto" w:fill="FFFFFF"/>
        </w:rPr>
        <w:t xml:space="preserve">relatively </w:t>
      </w:r>
      <w:r w:rsidR="00FD61E6" w:rsidRPr="009A2E44">
        <w:rPr>
          <w:rFonts w:ascii="Garamond" w:hAnsi="Garamond"/>
          <w:color w:val="000000"/>
          <w:shd w:val="clear" w:color="auto" w:fill="FFFFFF"/>
        </w:rPr>
        <w:t xml:space="preserve">dry MCA </w:t>
      </w:r>
      <w:r w:rsidR="006D29BF" w:rsidRPr="009A2E44">
        <w:rPr>
          <w:rFonts w:ascii="Garamond" w:hAnsi="Garamond"/>
        </w:rPr>
        <w:t xml:space="preserve">on </w:t>
      </w:r>
      <w:r w:rsidR="006D29BF" w:rsidRPr="009A2E44">
        <w:rPr>
          <w:rFonts w:ascii="Garamond" w:hAnsi="Garamond"/>
        </w:rPr>
        <w:lastRenderedPageBreak/>
        <w:t>‘Uvea</w:t>
      </w:r>
      <w:r w:rsidR="00FD61E6" w:rsidRPr="009A2E44">
        <w:rPr>
          <w:rFonts w:ascii="Garamond" w:hAnsi="Garamond"/>
        </w:rPr>
        <w:t xml:space="preserve">, </w:t>
      </w:r>
      <w:r w:rsidR="006D29BF" w:rsidRPr="009A2E44">
        <w:rPr>
          <w:rFonts w:ascii="Garamond" w:hAnsi="Garamond"/>
          <w:color w:val="000000"/>
          <w:shd w:val="clear" w:color="auto" w:fill="FFFFFF"/>
        </w:rPr>
        <w:t>‘Upolu</w:t>
      </w:r>
      <w:r w:rsidR="00FD61E6" w:rsidRPr="009A2E44">
        <w:rPr>
          <w:rFonts w:ascii="Garamond" w:hAnsi="Garamond"/>
        </w:rPr>
        <w:t xml:space="preserve">, and </w:t>
      </w:r>
      <w:r w:rsidR="006D29BF" w:rsidRPr="009A2E44">
        <w:rPr>
          <w:rFonts w:ascii="Garamond" w:hAnsi="Garamond"/>
          <w:color w:val="000000"/>
          <w:shd w:val="clear" w:color="auto" w:fill="FFFFFF"/>
        </w:rPr>
        <w:t>Efate</w:t>
      </w:r>
      <w:r w:rsidR="00FD61E6" w:rsidRPr="009A2E44">
        <w:rPr>
          <w:rFonts w:ascii="Garamond" w:hAnsi="Garamond"/>
        </w:rPr>
        <w:t xml:space="preserve">, potentially due to </w:t>
      </w:r>
      <w:r w:rsidR="00971324">
        <w:rPr>
          <w:rFonts w:ascii="Garamond" w:hAnsi="Garamond"/>
        </w:rPr>
        <w:t>less intense precipitation,</w:t>
      </w:r>
      <w:r w:rsidR="00FD61E6" w:rsidRPr="009A2E44">
        <w:rPr>
          <w:rFonts w:ascii="Garamond" w:hAnsi="Garamond"/>
        </w:rPr>
        <w:t xml:space="preserve"> </w:t>
      </w:r>
      <w:r w:rsidR="006A0895">
        <w:rPr>
          <w:rFonts w:ascii="Garamond" w:hAnsi="Garamond"/>
        </w:rPr>
        <w:t xml:space="preserve">a </w:t>
      </w:r>
      <w:r w:rsidR="00971324">
        <w:rPr>
          <w:rFonts w:ascii="Garamond" w:hAnsi="Garamond"/>
        </w:rPr>
        <w:t xml:space="preserve">contracted, or </w:t>
      </w:r>
      <w:r w:rsidR="006A0895">
        <w:rPr>
          <w:rFonts w:ascii="Garamond" w:hAnsi="Garamond"/>
        </w:rPr>
        <w:t xml:space="preserve">a </w:t>
      </w:r>
      <w:r w:rsidR="00FD61E6" w:rsidRPr="009A2E44">
        <w:rPr>
          <w:rFonts w:ascii="Garamond" w:hAnsi="Garamond"/>
        </w:rPr>
        <w:t xml:space="preserve">more zonally oriented </w:t>
      </w:r>
      <w:r w:rsidR="00F71787" w:rsidRPr="009A2E44">
        <w:rPr>
          <w:rFonts w:ascii="Garamond" w:hAnsi="Garamond"/>
        </w:rPr>
        <w:t>SPCZ</w:t>
      </w:r>
      <w:r w:rsidR="00FD61E6" w:rsidRPr="009A2E44">
        <w:rPr>
          <w:rFonts w:ascii="Garamond" w:hAnsi="Garamond"/>
          <w:color w:val="000000"/>
          <w:shd w:val="clear" w:color="auto" w:fill="FFFFFF"/>
        </w:rPr>
        <w:t xml:space="preserve">. </w:t>
      </w:r>
    </w:p>
    <w:p w14:paraId="44662E28" w14:textId="77777777" w:rsidR="004B4DC3" w:rsidRPr="009A2E44" w:rsidRDefault="004B4DC3" w:rsidP="001C47D3">
      <w:pPr>
        <w:spacing w:line="480" w:lineRule="auto"/>
        <w:rPr>
          <w:rFonts w:ascii="Garamond" w:hAnsi="Garamond"/>
          <w:b/>
        </w:rPr>
      </w:pPr>
    </w:p>
    <w:p w14:paraId="33871C2C" w14:textId="22225998" w:rsidR="00F570AC" w:rsidRPr="009A2E44" w:rsidRDefault="00C1270D" w:rsidP="001C47D3">
      <w:pPr>
        <w:spacing w:line="480" w:lineRule="auto"/>
        <w:rPr>
          <w:rFonts w:ascii="Garamond" w:hAnsi="Garamond"/>
          <w:b/>
        </w:rPr>
      </w:pPr>
      <w:r w:rsidRPr="009A2E44">
        <w:rPr>
          <w:rFonts w:ascii="Garamond" w:hAnsi="Garamond"/>
          <w:b/>
        </w:rPr>
        <w:t xml:space="preserve">1. </w:t>
      </w:r>
      <w:r w:rsidR="00F570AC" w:rsidRPr="009A2E44">
        <w:rPr>
          <w:rFonts w:ascii="Garamond" w:hAnsi="Garamond"/>
          <w:b/>
        </w:rPr>
        <w:t>Introduction</w:t>
      </w:r>
    </w:p>
    <w:p w14:paraId="681B2E0E" w14:textId="60F9EB12" w:rsidR="005B7B83" w:rsidRPr="009A2E44" w:rsidRDefault="00D40BC0" w:rsidP="001C47D3">
      <w:pPr>
        <w:spacing w:line="480" w:lineRule="auto"/>
        <w:ind w:firstLine="720"/>
        <w:rPr>
          <w:rFonts w:ascii="Garamond" w:hAnsi="Garamond"/>
        </w:rPr>
      </w:pPr>
      <w:r w:rsidRPr="009A2E44">
        <w:rPr>
          <w:rFonts w:ascii="Garamond" w:hAnsi="Garamond"/>
        </w:rPr>
        <w:t xml:space="preserve">The South Pacific Convergence Zone (SPCZ) is the southern hemisphere’s </w:t>
      </w:r>
      <w:r w:rsidR="007B25B3" w:rsidRPr="009A2E44">
        <w:rPr>
          <w:rFonts w:ascii="Garamond" w:hAnsi="Garamond"/>
        </w:rPr>
        <w:t xml:space="preserve">largest and </w:t>
      </w:r>
      <w:r w:rsidRPr="009A2E44">
        <w:rPr>
          <w:rFonts w:ascii="Garamond" w:hAnsi="Garamond"/>
        </w:rPr>
        <w:t xml:space="preserve">most prominent </w:t>
      </w:r>
      <w:r w:rsidR="00DC758D" w:rsidRPr="009A2E44">
        <w:rPr>
          <w:rFonts w:ascii="Garamond" w:hAnsi="Garamond"/>
        </w:rPr>
        <w:t xml:space="preserve">convective </w:t>
      </w:r>
      <w:r w:rsidRPr="009A2E44">
        <w:rPr>
          <w:rFonts w:ascii="Garamond" w:hAnsi="Garamond"/>
        </w:rPr>
        <w:t xml:space="preserve">feature characterized by </w:t>
      </w:r>
      <w:r w:rsidR="00B94558" w:rsidRPr="009A2E44">
        <w:rPr>
          <w:rFonts w:ascii="Garamond" w:hAnsi="Garamond"/>
        </w:rPr>
        <w:t>intense</w:t>
      </w:r>
      <w:r w:rsidRPr="009A2E44">
        <w:rPr>
          <w:rFonts w:ascii="Garamond" w:hAnsi="Garamond"/>
        </w:rPr>
        <w:t xml:space="preserve"> </w:t>
      </w:r>
      <w:r w:rsidR="00B94558" w:rsidRPr="009A2E44">
        <w:rPr>
          <w:rFonts w:ascii="Garamond" w:hAnsi="Garamond"/>
        </w:rPr>
        <w:t xml:space="preserve">precipitation </w:t>
      </w:r>
      <w:r w:rsidRPr="009A2E44">
        <w:rPr>
          <w:rFonts w:ascii="Garamond" w:hAnsi="Garamond"/>
        </w:rPr>
        <w:t xml:space="preserve">extending </w:t>
      </w:r>
      <w:r w:rsidR="00B94558" w:rsidRPr="009A2E44">
        <w:rPr>
          <w:rFonts w:ascii="Garamond" w:hAnsi="Garamond"/>
        </w:rPr>
        <w:t xml:space="preserve">diagonally </w:t>
      </w:r>
      <w:r w:rsidRPr="009A2E44">
        <w:rPr>
          <w:rFonts w:ascii="Garamond" w:hAnsi="Garamond"/>
        </w:rPr>
        <w:t xml:space="preserve">from the </w:t>
      </w:r>
      <w:r w:rsidR="00B94558" w:rsidRPr="009A2E44">
        <w:rPr>
          <w:rFonts w:ascii="Garamond" w:hAnsi="Garamond"/>
        </w:rPr>
        <w:t>equatorial western Pacific south</w:t>
      </w:r>
      <w:r w:rsidR="000666F1" w:rsidRPr="009A2E44">
        <w:rPr>
          <w:rFonts w:ascii="Garamond" w:hAnsi="Garamond"/>
        </w:rPr>
        <w:t>-</w:t>
      </w:r>
      <w:r w:rsidR="00B94558" w:rsidRPr="009A2E44">
        <w:rPr>
          <w:rFonts w:ascii="Garamond" w:hAnsi="Garamond"/>
        </w:rPr>
        <w:t>eastwards to</w:t>
      </w:r>
      <w:r w:rsidR="000666F1" w:rsidRPr="009A2E44">
        <w:rPr>
          <w:rFonts w:ascii="Garamond" w:hAnsi="Garamond"/>
        </w:rPr>
        <w:t>wards the</w:t>
      </w:r>
      <w:r w:rsidRPr="009A2E44">
        <w:rPr>
          <w:rFonts w:ascii="Garamond" w:hAnsi="Garamond"/>
        </w:rPr>
        <w:t xml:space="preserve"> subtropical </w:t>
      </w:r>
      <w:r w:rsidR="00B94558" w:rsidRPr="009A2E44">
        <w:rPr>
          <w:rFonts w:ascii="Garamond" w:hAnsi="Garamond"/>
        </w:rPr>
        <w:t>central Pacific</w:t>
      </w:r>
      <w:r w:rsidR="008923FD">
        <w:rPr>
          <w:rFonts w:ascii="Garamond" w:hAnsi="Garamond"/>
        </w:rPr>
        <w:t xml:space="preserve"> (</w:t>
      </w:r>
      <w:r w:rsidR="008923FD" w:rsidRPr="00B72974">
        <w:rPr>
          <w:rFonts w:ascii="Garamond" w:hAnsi="Garamond"/>
          <w:b/>
        </w:rPr>
        <w:t>Fig.</w:t>
      </w:r>
      <w:r w:rsidR="00E8392D">
        <w:rPr>
          <w:rFonts w:ascii="Garamond" w:hAnsi="Garamond"/>
          <w:b/>
        </w:rPr>
        <w:t xml:space="preserve"> </w:t>
      </w:r>
      <w:r w:rsidR="008923FD" w:rsidRPr="00B72974">
        <w:rPr>
          <w:rFonts w:ascii="Garamond" w:hAnsi="Garamond"/>
          <w:b/>
        </w:rPr>
        <w:t>1</w:t>
      </w:r>
      <w:r w:rsidR="008923FD">
        <w:rPr>
          <w:rFonts w:ascii="Garamond" w:hAnsi="Garamond"/>
        </w:rPr>
        <w:t>)</w:t>
      </w:r>
      <w:r w:rsidR="00B94558" w:rsidRPr="009A2E44">
        <w:rPr>
          <w:rFonts w:ascii="Garamond" w:hAnsi="Garamond"/>
        </w:rPr>
        <w:t>.</w:t>
      </w:r>
      <w:r w:rsidR="00AD2C66" w:rsidRPr="009A2E44">
        <w:rPr>
          <w:rFonts w:ascii="Garamond" w:hAnsi="Garamond"/>
        </w:rPr>
        <w:t xml:space="preserve"> With </w:t>
      </w:r>
      <w:r w:rsidR="003E3EF5" w:rsidRPr="009A2E44">
        <w:rPr>
          <w:rFonts w:ascii="Garamond" w:hAnsi="Garamond"/>
        </w:rPr>
        <w:t>~40 years</w:t>
      </w:r>
      <w:r w:rsidR="00787A2A" w:rsidRPr="009A2E44">
        <w:rPr>
          <w:rFonts w:ascii="Garamond" w:hAnsi="Garamond"/>
        </w:rPr>
        <w:t xml:space="preserve"> </w:t>
      </w:r>
      <w:r w:rsidR="003E3EF5" w:rsidRPr="009A2E44">
        <w:rPr>
          <w:rFonts w:ascii="Garamond" w:hAnsi="Garamond"/>
        </w:rPr>
        <w:t xml:space="preserve">of </w:t>
      </w:r>
      <w:r w:rsidR="00787A2A" w:rsidRPr="009A2E44">
        <w:rPr>
          <w:rFonts w:ascii="Garamond" w:hAnsi="Garamond"/>
        </w:rPr>
        <w:t>satellite</w:t>
      </w:r>
      <w:r w:rsidR="003E3EF5" w:rsidRPr="009A2E44">
        <w:rPr>
          <w:rFonts w:ascii="Garamond" w:hAnsi="Garamond"/>
        </w:rPr>
        <w:t xml:space="preserve"> data</w:t>
      </w:r>
      <w:r w:rsidR="00AD2C66" w:rsidRPr="009A2E44">
        <w:rPr>
          <w:rFonts w:ascii="Garamond" w:hAnsi="Garamond"/>
        </w:rPr>
        <w:t xml:space="preserve">, </w:t>
      </w:r>
      <w:r w:rsidR="00DB1F89" w:rsidRPr="009A2E44">
        <w:rPr>
          <w:rFonts w:ascii="Garamond" w:hAnsi="Garamond"/>
        </w:rPr>
        <w:t>synoptic</w:t>
      </w:r>
      <w:r w:rsidR="00787A2A" w:rsidRPr="009A2E44">
        <w:rPr>
          <w:rFonts w:ascii="Garamond" w:hAnsi="Garamond"/>
        </w:rPr>
        <w:t xml:space="preserve"> </w:t>
      </w:r>
      <w:r w:rsidR="00017B6D" w:rsidRPr="009A2E44">
        <w:rPr>
          <w:rFonts w:ascii="Garamond" w:hAnsi="Garamond"/>
        </w:rPr>
        <w:t xml:space="preserve">and </w:t>
      </w:r>
      <w:r w:rsidR="00787A2A" w:rsidRPr="009A2E44">
        <w:rPr>
          <w:rFonts w:ascii="Garamond" w:hAnsi="Garamond"/>
        </w:rPr>
        <w:t xml:space="preserve">interannual SPCZ </w:t>
      </w:r>
      <w:r w:rsidR="001B3AFC" w:rsidRPr="009A2E44">
        <w:rPr>
          <w:rFonts w:ascii="Garamond" w:hAnsi="Garamond"/>
        </w:rPr>
        <w:t xml:space="preserve">precipitation </w:t>
      </w:r>
      <w:r w:rsidR="00017B6D" w:rsidRPr="009A2E44">
        <w:rPr>
          <w:rFonts w:ascii="Garamond" w:hAnsi="Garamond"/>
        </w:rPr>
        <w:t>patterns are</w:t>
      </w:r>
      <w:r w:rsidR="00DB1F89" w:rsidRPr="009A2E44">
        <w:rPr>
          <w:rFonts w:ascii="Garamond" w:hAnsi="Garamond"/>
        </w:rPr>
        <w:t xml:space="preserve"> well </w:t>
      </w:r>
      <w:r w:rsidR="000666F1" w:rsidRPr="009A2E44">
        <w:rPr>
          <w:rFonts w:ascii="Garamond" w:hAnsi="Garamond"/>
        </w:rPr>
        <w:t>described</w:t>
      </w:r>
      <w:r w:rsidR="00DB1F89" w:rsidRPr="009A2E44">
        <w:rPr>
          <w:rFonts w:ascii="Garamond" w:hAnsi="Garamond"/>
        </w:rPr>
        <w:t xml:space="preserve">, </w:t>
      </w:r>
      <w:r w:rsidR="003E3EF5" w:rsidRPr="009A2E44">
        <w:rPr>
          <w:rFonts w:ascii="Garamond" w:hAnsi="Garamond"/>
        </w:rPr>
        <w:t>however</w:t>
      </w:r>
      <w:r w:rsidR="005422B5" w:rsidRPr="009A2E44">
        <w:rPr>
          <w:rFonts w:ascii="Garamond" w:hAnsi="Garamond"/>
        </w:rPr>
        <w:t xml:space="preserve"> pre-satellite decadal</w:t>
      </w:r>
      <w:r w:rsidR="00CD0F49" w:rsidRPr="009A2E44">
        <w:rPr>
          <w:rFonts w:ascii="Garamond" w:hAnsi="Garamond"/>
        </w:rPr>
        <w:t xml:space="preserve"> to </w:t>
      </w:r>
      <w:r w:rsidR="005422B5" w:rsidRPr="009A2E44">
        <w:rPr>
          <w:rFonts w:ascii="Garamond" w:hAnsi="Garamond"/>
        </w:rPr>
        <w:t xml:space="preserve">centennial </w:t>
      </w:r>
      <w:r w:rsidR="00017B6D" w:rsidRPr="009A2E44">
        <w:rPr>
          <w:rFonts w:ascii="Garamond" w:hAnsi="Garamond"/>
        </w:rPr>
        <w:t xml:space="preserve">spatiotemporal </w:t>
      </w:r>
      <w:r w:rsidR="005422B5" w:rsidRPr="009A2E44">
        <w:rPr>
          <w:rFonts w:ascii="Garamond" w:hAnsi="Garamond"/>
        </w:rPr>
        <w:t>variability is not well understood</w:t>
      </w:r>
      <w:r w:rsidR="004B72CA" w:rsidRPr="009A2E44">
        <w:rPr>
          <w:rFonts w:ascii="Garamond" w:hAnsi="Garamond"/>
        </w:rPr>
        <w:t xml:space="preserve"> </w:t>
      </w:r>
      <w:r w:rsidR="005E33FF" w:rsidRPr="009A2E44">
        <w:rPr>
          <w:rFonts w:ascii="Garamond" w:hAnsi="Garamond"/>
        </w:rPr>
        <w:fldChar w:fldCharType="begin" w:fldLock="1"/>
      </w:r>
      <w:r w:rsidR="00164602">
        <w:rPr>
          <w:rFonts w:ascii="Garamond" w:hAnsi="Garamond"/>
        </w:rPr>
        <w:instrText>ADDIN CSL_CITATION {"citationItems":[{"id":"ITEM-1","itemData":{"DOI":"10.1038/s43017-020-0078-2","ISSN":"2662-138X","abstract":"The South Pacific Convergence Zone (SPCZ) is a diagonal band of intense rainfall and deep atmospheric convection extending from the equator to the subtropical South Pacific. Displacement of the SPCZ causes variability in rainfall, tropical-cyclone activity and sea level that affects South Pacific island populations and surrounding ecosystems. In this Review, we synthesize recent advances in understanding the physical mechanisms responsible for the SPCZ location and orientation, its interactions with the principal drivers of tropical climate variability, regional and global effects of the SPCZ and its response to anthropogenic climate change. Emerging insight is beginning to provide a coherent description of the character and variability of the SPCZ over synoptic, intraseasonal, interannual and longer timescales. For example, the diagonal orientation of the SPCZ and its natural variability are both the result of a subtle chain of interactions between the tropical and extratropical atmosphere, forced and modulated by the underlying sea surface temperature gradients. However, persistent biases in, and deficiencies of, existing models limit confidence in future projections. Improved climate models and new methods for regional modelling might better constrain future SPCZ projections, aiding climate change adaptation and planning among vulnerable South Pacific communities. The South Pacific Convergence Zone describes a band of heavy precipitation extending south-eastwards from the Solomon Islands to French Polynesia. This Review discusses the mechanisms explaining the diagonal orientation of the South Pacific Convergence Zone, its variability and projected changes under anthropogenic warming.","author":[{"dropping-particle":"","family":"Brown","given":"Josephine R","non-dropping-particle":"","parse-names":false,"suffix":""},{"dropping-particle":"","family":"Lengaigne","given":"Matthieu","non-dropping-particle":"","parse-names":false,"suffix":""},{"dropping-particle":"","family":"Lintner","given":"Benjamin R","non-dropping-particle":"","parse-names":false,"suffix":""},{"dropping-particle":"","family":"Widlansky","given":"Matthew J","non-dropping-particle":"","parse-names":false,"suffix":""},{"dropping-particle":"","family":"Wiel","given":"Karin","non-dropping-particle":"van der","parse-names":false,"suffix":""},{"dropping-particle":"","family":"Dutheil","given":"Cyril","non-dropping-particle":"","parse-names":false,"suffix":""},{"dropping-particle":"","family":"Linsley","given":"Braddock K","non-dropping-particle":"","parse-names":false,"suffix":""},{"dropping-particle":"","family":"Matthews","given":"Adrian J","non-dropping-particle":"","parse-names":false,"suffix":""},{"dropping-particle":"","family":"Renwick","given":"James","non-dropping-particle":"","parse-names":false,"suffix":""}],"container-title":"Nature Reviews Earth &amp; Environment","id":"ITEM-1","issue":"10","issued":{"date-parts":[["2020"]]},"page":"530-543","publisher":"Springer US","title":"South Pacific Convergence Zone dynamics, variability and impacts in a changing climate","type":"article-journal","volume":"1"},"uris":["http://www.mendeley.com/documents/?uuid=cac44d45-7648-4824-90ca-be780a5fa60f"]}],"mendeley":{"formattedCitation":"(Brown et al., 2020)","manualFormatting":"(Brown et al., 2020 and references therein)","plainTextFormattedCitation":"(Brown et al., 2020)","previouslyFormattedCitation":"(Brown et al., 2020)"},"properties":{"noteIndex":0},"schema":"https://github.com/citation-style-language/schema/raw/master/csl-citation.json"}</w:instrText>
      </w:r>
      <w:r w:rsidR="005E33FF" w:rsidRPr="009A2E44">
        <w:rPr>
          <w:rFonts w:ascii="Garamond" w:hAnsi="Garamond"/>
        </w:rPr>
        <w:fldChar w:fldCharType="separate"/>
      </w:r>
      <w:r w:rsidR="005E33FF" w:rsidRPr="009A2E44">
        <w:rPr>
          <w:rFonts w:ascii="Garamond" w:hAnsi="Garamond"/>
          <w:noProof/>
        </w:rPr>
        <w:t>(Brown et al., 2020 and references therein)</w:t>
      </w:r>
      <w:r w:rsidR="005E33FF" w:rsidRPr="009A2E44">
        <w:rPr>
          <w:rFonts w:ascii="Garamond" w:hAnsi="Garamond"/>
        </w:rPr>
        <w:fldChar w:fldCharType="end"/>
      </w:r>
      <w:r w:rsidR="00787A2A" w:rsidRPr="009A2E44">
        <w:rPr>
          <w:rFonts w:ascii="Garamond" w:hAnsi="Garamond"/>
        </w:rPr>
        <w:t xml:space="preserve">. </w:t>
      </w:r>
      <w:r w:rsidR="007B25B3" w:rsidRPr="009A2E44">
        <w:rPr>
          <w:rFonts w:ascii="Garamond" w:hAnsi="Garamond"/>
        </w:rPr>
        <w:t>With 1</w:t>
      </w:r>
      <w:r w:rsidR="009D45BD" w:rsidRPr="009A2E44">
        <w:rPr>
          <w:rFonts w:ascii="Garamond" w:hAnsi="Garamond"/>
        </w:rPr>
        <w:t>2.1</w:t>
      </w:r>
      <w:r w:rsidR="007B25B3" w:rsidRPr="009A2E44">
        <w:rPr>
          <w:rFonts w:ascii="Garamond" w:hAnsi="Garamond"/>
        </w:rPr>
        <w:t xml:space="preserve"> million people</w:t>
      </w:r>
      <w:r w:rsidR="009D45BD" w:rsidRPr="009A2E44">
        <w:rPr>
          <w:rFonts w:ascii="Garamond" w:hAnsi="Garamond"/>
        </w:rPr>
        <w:t xml:space="preserve"> </w:t>
      </w:r>
      <w:r w:rsidR="007B25B3" w:rsidRPr="009A2E44">
        <w:rPr>
          <w:rFonts w:ascii="Garamond" w:hAnsi="Garamond"/>
        </w:rPr>
        <w:t>dependent on the SPCZ for freshwater and food security</w:t>
      </w:r>
      <w:r w:rsidR="00162709" w:rsidRPr="009A2E44">
        <w:rPr>
          <w:rFonts w:ascii="Garamond" w:hAnsi="Garamond"/>
        </w:rPr>
        <w:t xml:space="preserve"> (</w:t>
      </w:r>
      <w:r w:rsidR="00E70F0E" w:rsidRPr="009A2E44">
        <w:rPr>
          <w:rFonts w:ascii="Garamond" w:hAnsi="Garamond"/>
        </w:rPr>
        <w:t xml:space="preserve">inclusive of </w:t>
      </w:r>
      <w:r w:rsidR="00162709" w:rsidRPr="009A2E44">
        <w:rPr>
          <w:rFonts w:ascii="Garamond" w:hAnsi="Garamond"/>
        </w:rPr>
        <w:t xml:space="preserve">Melanesia, Polynesia, and Micronesian islands Kiribati and Nauru in 2021 </w:t>
      </w:r>
      <w:r w:rsidR="00162709" w:rsidRPr="009A2E44">
        <w:rPr>
          <w:rFonts w:ascii="Garamond" w:hAnsi="Garamond"/>
        </w:rPr>
        <w:fldChar w:fldCharType="begin" w:fldLock="1"/>
      </w:r>
      <w:r w:rsidR="00162709" w:rsidRPr="009A2E44">
        <w:rPr>
          <w:rFonts w:ascii="Garamond" w:hAnsi="Garamond"/>
        </w:rPr>
        <w:instrText>ADDIN CSL_CITATION {"citationItems":[{"id":"ITEM-1","itemData":{"URL":"https://population.un.org/wpp/DataQuery/","accessed":{"date-parts":[["2021","3","10"]]},"author":[{"dropping-particle":"","family":"United Nations","given":"","non-dropping-particle":"","parse-names":false,"suffix":""}],"container-title":"Department of Economic and Social Affairs, Population Division","id":"ITEM-1","issued":{"date-parts":[["2019"]]},"page":"custom data acquired via website","title":"World Population Prospects 2019","type":"webpage"},"uris":["http://www.mendeley.com/documents/?uuid=1269df3f-c664-487c-8704-e6320b654df0"]}],"mendeley":{"formattedCitation":"(United Nations, 2019)","plainTextFormattedCitation":"(United Nations, 2019)","previouslyFormattedCitation":"(United Nations, 2019)"},"properties":{"noteIndex":0},"schema":"https://github.com/citation-style-language/schema/raw/master/csl-citation.json"}</w:instrText>
      </w:r>
      <w:r w:rsidR="00162709" w:rsidRPr="009A2E44">
        <w:rPr>
          <w:rFonts w:ascii="Garamond" w:hAnsi="Garamond"/>
        </w:rPr>
        <w:fldChar w:fldCharType="separate"/>
      </w:r>
      <w:r w:rsidR="00162709" w:rsidRPr="009A2E44">
        <w:rPr>
          <w:rFonts w:ascii="Garamond" w:hAnsi="Garamond"/>
          <w:noProof/>
        </w:rPr>
        <w:t>(United Nations, 2019)</w:t>
      </w:r>
      <w:r w:rsidR="00162709" w:rsidRPr="009A2E44">
        <w:rPr>
          <w:rFonts w:ascii="Garamond" w:hAnsi="Garamond"/>
        </w:rPr>
        <w:fldChar w:fldCharType="end"/>
      </w:r>
      <w:r w:rsidR="00162709" w:rsidRPr="009A2E44">
        <w:rPr>
          <w:rFonts w:ascii="Garamond" w:hAnsi="Garamond"/>
        </w:rPr>
        <w:t>)</w:t>
      </w:r>
      <w:r w:rsidR="007B25B3" w:rsidRPr="009A2E44">
        <w:rPr>
          <w:rFonts w:ascii="Garamond" w:hAnsi="Garamond"/>
        </w:rPr>
        <w:t xml:space="preserve">, </w:t>
      </w:r>
      <w:r w:rsidR="00B0355A" w:rsidRPr="009A2E44">
        <w:rPr>
          <w:rFonts w:ascii="Garamond" w:hAnsi="Garamond"/>
        </w:rPr>
        <w:t>understanding pre-industrial trends in</w:t>
      </w:r>
      <w:r w:rsidR="002E7AD6" w:rsidRPr="009A2E44">
        <w:rPr>
          <w:rFonts w:ascii="Garamond" w:hAnsi="Garamond"/>
        </w:rPr>
        <w:t xml:space="preserve"> </w:t>
      </w:r>
      <w:r w:rsidR="00576ED6" w:rsidRPr="009A2E44">
        <w:rPr>
          <w:rFonts w:ascii="Garamond" w:hAnsi="Garamond"/>
        </w:rPr>
        <w:t xml:space="preserve">precipitation </w:t>
      </w:r>
      <w:r w:rsidR="00B0355A" w:rsidRPr="009A2E44">
        <w:rPr>
          <w:rFonts w:ascii="Garamond" w:hAnsi="Garamond"/>
        </w:rPr>
        <w:t xml:space="preserve">variability </w:t>
      </w:r>
      <w:r w:rsidR="00576ED6" w:rsidRPr="009A2E44">
        <w:rPr>
          <w:rFonts w:ascii="Garamond" w:hAnsi="Garamond"/>
        </w:rPr>
        <w:t xml:space="preserve">will </w:t>
      </w:r>
      <w:r w:rsidR="005F4CC6" w:rsidRPr="009A2E44">
        <w:rPr>
          <w:rFonts w:ascii="Garamond" w:hAnsi="Garamond"/>
        </w:rPr>
        <w:t>better</w:t>
      </w:r>
      <w:r w:rsidR="007B25B3" w:rsidRPr="009A2E44">
        <w:rPr>
          <w:rFonts w:ascii="Garamond" w:hAnsi="Garamond"/>
        </w:rPr>
        <w:t xml:space="preserve"> inform </w:t>
      </w:r>
      <w:r w:rsidR="005F4CC6" w:rsidRPr="009A2E44">
        <w:rPr>
          <w:rFonts w:ascii="Garamond" w:hAnsi="Garamond"/>
        </w:rPr>
        <w:t xml:space="preserve">prediction and mitigation of future changes to </w:t>
      </w:r>
      <w:r w:rsidR="00576ED6" w:rsidRPr="009A2E44">
        <w:rPr>
          <w:rFonts w:ascii="Garamond" w:hAnsi="Garamond"/>
        </w:rPr>
        <w:t xml:space="preserve">this important climate feature. </w:t>
      </w:r>
    </w:p>
    <w:p w14:paraId="1FE3E230" w14:textId="65B0CCDB" w:rsidR="00CD0F49" w:rsidRPr="009A2E44" w:rsidRDefault="00CD0F49" w:rsidP="001C47D3">
      <w:pPr>
        <w:spacing w:line="480" w:lineRule="auto"/>
        <w:ind w:firstLine="720"/>
        <w:rPr>
          <w:rFonts w:ascii="Garamond" w:hAnsi="Garamond"/>
        </w:rPr>
      </w:pPr>
      <w:r w:rsidRPr="009A2E44">
        <w:rPr>
          <w:rFonts w:ascii="Garamond" w:hAnsi="Garamond"/>
        </w:rPr>
        <w:t xml:space="preserve">Existing </w:t>
      </w:r>
      <w:r w:rsidR="00C46DBA" w:rsidRPr="009A2E44">
        <w:rPr>
          <w:rFonts w:ascii="Garamond" w:hAnsi="Garamond"/>
        </w:rPr>
        <w:t xml:space="preserve">proxy-based </w:t>
      </w:r>
      <w:r w:rsidRPr="009A2E44">
        <w:rPr>
          <w:rFonts w:ascii="Garamond" w:hAnsi="Garamond"/>
        </w:rPr>
        <w:t xml:space="preserve">records of past precipitation in the SPCZ region include speleothem </w:t>
      </w:r>
      <w:r w:rsidRPr="009A2E44">
        <w:rPr>
          <w:rFonts w:ascii="Garamond" w:hAnsi="Garamond"/>
        </w:rPr>
        <w:fldChar w:fldCharType="begin" w:fldLock="1"/>
      </w:r>
      <w:r w:rsidRPr="009A2E44">
        <w:rPr>
          <w:rFonts w:ascii="Garamond" w:hAnsi="Garamond"/>
        </w:rPr>
        <w:instrText>ADDIN CSL_CITATION {"citationItems":[{"id":"ITEM-1","itemData":{"DOI":"10.1130/G34718.1","ISSN":"0091-7613","author":[{"dropping-particle":"","family":"Partin","given":"Judson W","non-dropping-particle":"","parse-names":false,"suffix":""},{"dropping-particle":"","family":"Quinn","given":"T M","non-dropping-particle":"","parse-names":false,"suffix":""},{"dropping-particle":"","family":"Shen","given":"C-C","non-dropping-particle":"","parse-names":false,"suffix":""},{"dropping-particle":"","family":"Emile-Geay","given":"J","non-dropping-particle":"","parse-names":false,"suffix":""},{"dropping-particle":"","family":"Taylor","given":"F W","non-dropping-particle":"","parse-names":false,"suffix":""},{"dropping-particle":"","family":"Maupin","given":"C R","non-dropping-particle":"","parse-names":false,"suffix":""},{"dropping-particle":"","family":"Lin","given":"K","non-dropping-particle":"","parse-names":false,"suffix":""},{"dropping-particle":"","family":"Jackson","given":"C S","non-dropping-particle":"","parse-names":false,"suffix":""},{"dropping-particle":"","family":"Banner","given":"J L","non-dropping-particle":"","parse-names":false,"suffix":""},{"dropping-particle":"","family":"Sinclair","given":"D J","non-dropping-particle":"","parse-names":false,"suffix":""},{"dropping-particle":"","family":"Huh","given":"C-A","non-dropping-particle":"","parse-names":false,"suffix":""}],"container-title":"Geology","id":"ITEM-1","issue":"11","issued":{"date-parts":[["2013","9","6"]]},"page":"1143-1146","title":"Multidecadal rainfall variability in South Pacific Convergence Zone as revealed by stalagmite geochemistry","type":"article-journal","volume":"41"},"uris":["http://www.mendeley.com/documents/?uuid=c9296f05-1795-45cf-ad68-c010c52e078d"]},{"id":"ITEM-2","itemData":{"DOI":"10.5194/cp-10-1319-2014","ISSN":"1814-9332","author":[{"dropping-particle":"","family":"Maupin","given":"C R","non-dropping-particle":"","parse-names":false,"suffix":""},{"dropping-particle":"","family":"Partin","given":"Judson W","non-dropping-particle":"","parse-names":false,"suffix":""},{"dropping-particle":"","family":"Shen","given":"C-C","non-dropping-particle":"","parse-names":false,"suffix":""},{"dropping-particle":"","family":"Quinn","given":"T M","non-dropping-particle":"","parse-names":false,"suffix":""},{"dropping-particle":"","family":"Lin","given":"K","non-dropping-particle":"","parse-names":false,"suffix":""},{"dropping-particle":"","family":"Taylor","given":"F W","non-dropping-particle":"","parse-names":false,"suffix":""},{"dropping-particle":"","family":"Banner","given":"J L","non-dropping-particle":"","parse-names":false,"suffix":""},{"dropping-particle":"","family":"Thirumalai","given":"Kaustubh","non-dropping-particle":"","parse-names":false,"suffix":""},{"dropping-particle":"","family":"Sinclair","given":"D J","non-dropping-particle":"","parse-names":false,"suffix":""}],"container-title":"Climate of the Past","id":"ITEM-2","issued":{"date-parts":[["2014","7","10"]]},"page":"1319-1332","title":"Persistent decadal-scale rainfall variability in the tropical South Pacific Convergence Zone through the past six centuries","type":"article-journal","volume":"10"},"uris":["http://www.mendeley.com/documents/?uuid=a75b3c55-7e44-47aa-bf02-c080e244637f"]}],"mendeley":{"formattedCitation":"(Maupin et al., 2014; Partin et al., 2013)","plainTextFormattedCitation":"(Maupin et al., 2014; Partin et al., 2013)","previouslyFormattedCitation":"(Maupin et al., 2014; Partin et al., 2013)"},"properties":{"noteIndex":0},"schema":"https://github.com/citation-style-language/schema/raw/master/csl-citation.json"}</w:instrText>
      </w:r>
      <w:r w:rsidRPr="009A2E44">
        <w:rPr>
          <w:rFonts w:ascii="Garamond" w:hAnsi="Garamond"/>
        </w:rPr>
        <w:fldChar w:fldCharType="separate"/>
      </w:r>
      <w:r w:rsidRPr="009A2E44">
        <w:rPr>
          <w:rFonts w:ascii="Garamond" w:hAnsi="Garamond"/>
          <w:noProof/>
        </w:rPr>
        <w:t>(Maupin et al., 2014; Partin et al., 2013)</w:t>
      </w:r>
      <w:r w:rsidRPr="009A2E44">
        <w:rPr>
          <w:rFonts w:ascii="Garamond" w:hAnsi="Garamond"/>
        </w:rPr>
        <w:fldChar w:fldCharType="end"/>
      </w:r>
      <w:r w:rsidRPr="009A2E44">
        <w:rPr>
          <w:rFonts w:ascii="Garamond" w:hAnsi="Garamond"/>
        </w:rPr>
        <w:t xml:space="preserve"> and coral </w:t>
      </w:r>
      <w:r w:rsidRPr="009A2E44">
        <w:rPr>
          <w:rFonts w:ascii="Garamond" w:hAnsi="Garamond"/>
        </w:rPr>
        <w:fldChar w:fldCharType="begin" w:fldLock="1"/>
      </w:r>
      <w:r w:rsidR="00D04FB8">
        <w:rPr>
          <w:rFonts w:ascii="Garamond" w:hAnsi="Garamond"/>
        </w:rPr>
        <w:instrText>ADDIN CSL_CITATION {"citationItems":[{"id":"ITEM-1","itemData":{"DOI":"10.1029/2005GC001115","ISSN":"15252027","author":[{"dropping-particle":"","family":"Linsley","given":"Braddock K","non-dropping-particle":"","parse-names":false,"suffix":""},{"dropping-particle":"","family":"Kaplan","given":"Alexey","non-dropping-particle":"","parse-names":false,"suffix":""},{"dropping-particle":"","family":"Gouriou","given":"Yves","non-dropping-particle":"","parse-names":false,"suffix":""},{"dropping-particle":"","family":"Salinger","given":"M J","non-dropping-particle":"","parse-names":false,"suffix":""},{"dropping-particle":"","family":"DeMenocal","given":"Peter B","non-dropping-particle":"","parse-names":false,"suffix":""},{"dropping-particle":"","family":"Wellington","given":"Gerard M","non-dropping-particle":"","parse-names":false,"suffix":""},{"dropping-particle":"","family":"Howe","given":"Stephen S","non-dropping-particle":"","parse-names":false,"suffix":""}],"container-title":"Geochemistry, Geophysics, Geosystems","id":"ITEM-1","issue":"4","issued":{"date-parts":[["2006","5","3"]]},"page":"1-15","title":"Tracking the extent of the South Pacific Convergence Zone since the early 1600s","type":"article-journal","volume":"7"},"uris":["http://www.mendeley.com/documents/?uuid=9c16c578-43c2-430e-bc38-39f24ae64763"]},{"id":"ITEM-2","itemData":{"DOI":"10.1029/2007PA001539","ISSN":"08838305","author":[{"dropping-particle":"","family":"Linsley","given":"Braddock K","non-dropping-particle":"","parse-names":false,"suffix":""},{"dropping-particle":"","family":"Zhang","given":"Peipei","non-dropping-particle":"","parse-names":false,"suffix":""},{"dropping-particle":"","family":"Kaplan","given":"Alexey","non-dropping-particle":"","parse-names":false,"suffix":""},{"dropping-particle":"","family":"Howe","given":"Stephen S","non-dropping-particle":"","parse-names":false,"suffix":""},{"dropping-particle":"","family":"Wellington","given":"Gerard M","non-dropping-particle":"","parse-names":false,"suffix":""}],"container-title":"Paleoceanography","id":"ITEM-2","issued":{"date-parts":[["2008","6","20"]]},"page":"1-16","title":"Interdecadal-decadal climate variability from multicoral oxygen isotope records in the South Pacific Convergence Zone region since 1650 A.D.","type":"article-journal","volume":"23"},"uris":["http://www.mendeley.com/documents/?uuid=ef689167-ee1e-4280-a120-97508799fe0e"]},{"id":"ITEM-3","itemData":{"DOI":"10.1029/2017PA003310","ISSN":"25724525","abstract":"A 492-year-long, continuous δ18O time series from a massive Porites coral colony in Ta'u, American Samoa, records contrasting responses to different types of El Niño-Southern Oscillation (ENSO) through a mixed sea surface temperature and salinity signal. Currently, conventional El Niño (La Niña) events generate cold and salty (warm and fresh) anomalies at Ta'u, while Modoki El Niño (La Niña) events warm (cool) the waters at Ta'u. Over the course of the twentieth century, the Ta'u δ18O record underwent a polarity shift in its response to conventional ENSO: A warm and fresh (cool and salty) response to El Niño (La Niña) was replaced by the opposite pattern. We interpret this as evidence for the movement of the Eastern Pacific ENSO null zone, the narrow band of the surface ocean where sea surface temperature variability is not on average correlated with ENSO. This movement appears to be related to overall shrinking of the ENSO footprint over the twentieth century. We infer no such trend in the Modoki footprint. The five-century-long Ta'u record shows dramatic, century-scale changes in ENSO-band variability. Comparisons with other ENSO reconstructions lead to conflicting interpretations: The Ta'u coral may have recorded changes in the strength of ENSO or in its spatial footprint. Changes in the spatial footprint manifest as a changing sensitivity to ENSO at any given location, presenting challenges to established methods of ENSO reconstruction.","author":[{"dropping-particle":"","family":"Tangri","given":"Neil","non-dropping-particle":"","parse-names":false,"suffix":""},{"dropping-particle":"","family":"Dunbar","given":"Robert B","non-dropping-particle":"","parse-names":false,"suffix":""},{"dropping-particle":"","family":"Linsley","given":"B. K.","non-dropping-particle":"","parse-names":false,"suffix":""},{"dropping-particle":"","family":"Mucciarone","given":"D. M.","non-dropping-particle":"","parse-names":false,"suffix":""}],"container-title":"Paleoceanography and Paleoclimatology","id":"ITEM-3","issue":"11","issued":{"date-parts":[["2018"]]},"page":"1136-1150","title":"ENSO's shrinking 20th Century footprint revealed in a half-millennium coral core From the South Pacific Convergence Zone","type":"article-journal","volume":"33"},"uris":["http://www.mendeley.com/documents/?uuid=736385f7-3a6d-4794-b479-057894622ab5"]},{"id":"ITEM-4","itemData":{"DOI":"10.5194/adgeo-6-23-2006","ISSN":"1680-7359","abstract":"The south west Pacific is affected by climatic phenomena such as ENSO (El Ni˜no Southern Oscillation) or the PDO (Pacific Decadal Oscillation). Near-monthly resolution calibrations of Sr/Ca, U/Ca and 18Oc were made on corals taken from New Caledonia and Wallis Island. These geochemical variations could be linked to SST (sea surface temperature) and SSS (sea surface salinity) variations over the last two decades, itselves dependent on ENSO occurrences. On the other hand, near-half-yearly resolution over the last century smoothes seasonal and interannual climate signals, but emphasizes low frequency climate variability.","author":[{"dropping-particle":"","family":"Ourbak","given":"T.","non-dropping-particle":"","parse-names":false,"suffix":""},{"dropping-particle":"","family":"Corrège","given":"T.","non-dropping-particle":"","parse-names":false,"suffix":""},{"dropping-particle":"","family":"Malaizé","given":"B.","non-dropping-particle":"","parse-names":false,"suffix":""},{"dropping-particle":"","family":"Cornec","given":"F.","non-dropping-particle":"Le","parse-names":false,"suffix":""},{"dropping-particle":"","family":"Charlier","given":"K.","non-dropping-particle":"","parse-names":false,"suffix":""},{"dropping-particle":"","family":"Peypouquet","given":"J. P.","non-dropping-particle":"","parse-names":false,"suffix":""}],"container-title":"Advances in Geosciences","id":"ITEM-4","issued":{"date-parts":[["2006"]]},"page":"23-27","title":"ENSO and interdecadal climate variability over the last century documented by geochemical records of two coral cores from the South West Pacific","type":"article-journal","volume":"6"},"uris":["http://www.mendeley.com/documents/?uuid=0973fbb7-70c7-4cf1-8453-062c3d5bbfe4"]},{"id":"ITEM-5","itemData":{"DOI":"10.1029/2019PA003742","ISSN":"25724525","abstract":"Climate model simulations of El Niño–Southern Oscillation (ENSO) behavior for the last millennium demonstrate interdecadal to centennial changes in ENSO variability that can arise purely from stochastic processes internal to the climate system. That said, the instrumental record of ENSO does not have the temporal coverage needed to capture the full range of natural ENSO variability observed in long, unforced climate model simulations. Here we demonstrate a probabilistic framework to quantify changes in ENSO variability via histograms and probability density functions using monthly instrumental and coral-based sea surface temperature (SST) anomalies from 1900–2005 and 1051–1150 CE. We find that reconstructed SST anomalies from modern corals from the southwest Pacific capture changes in ENSO variability that are consistent with instrumental SST data from the central equatorial Pacific. Fossil coral records indicate 100 years of relatively lower ENSO variability during part of the Medieval Climate Anomaly. Our results demonstrate that periods of reduced ENSO variability can last a century, far longer in duration than modern observations in the instrumental record of ENSO, but consistent with results from unforced climate model simulations.","author":[{"dropping-particle":"","family":"Lawman","given":"Allison E.","non-dropping-particle":"","parse-names":false,"suffix":""},{"dropping-particle":"","family":"Quinn","given":"Terrence M.","non-dropping-particle":"","parse-names":false,"suffix":""},{"dropping-particle":"","family":"Partin","given":"Judson W.","non-dropping-particle":"","parse-names":false,"suffix":""},{"dropping-particle":"","family":"Thirumalai","given":"Kaustubh","non-dropping-particle":"","parse-names":false,"suffix":""},{"dropping-particle":"","family":"Taylor","given":"Frederick W.","non-dropping-particle":"","parse-names":false,"suffix":""},{"dropping-particle":"","family":"Wu","given":"Chung Che","non-dropping-particle":"","parse-names":false,"suffix":""},{"dropping-particle":"","family":"Yu","given":"Tsai Luen","non-dropping-particle":"","parse-names":false,"suffix":""},{"dropping-particle":"","family":"Gorman","given":"Meaghan K.","non-dropping-particle":"","parse-names":false,"suffix":""},{"dropping-particle":"","family":"Shen","given":"Chuan Chou","non-dropping-particle":"","parse-names":false,"suffix":""}],"container-title":"Paleoceanography and Paleoclimatology","id":"ITEM-5","issue":"4","issued":{"date-parts":[["2020"]]},"page":"1-17","title":"A Century of Reduced ENSO Variability During the Medieval Climate Anomaly","type":"article-journal","volume":"35"},"uris":["http://www.mendeley.com/documents/?uuid=eaae3072-d4c8-457d-8cfb-d64ac8cd560f"]}],"mendeley":{"formattedCitation":"(Lawman et al., 2020; Linsley et al., 2008, 2006; Ourbak et al., 2006; Tangri et al., 2018)","plainTextFormattedCitation":"(Lawman et al., 2020; Linsley et al., 2008, 2006; Ourbak et al., 2006; Tangri et al., 2018)","previouslyFormattedCitation":"(Lawman et al., 2020; Linsley et al., 2008, 2006; Ourbak et al., 2006; Tangri et al., 2018)"},"properties":{"noteIndex":0},"schema":"https://github.com/citation-style-language/schema/raw/master/csl-citation.json"}</w:instrText>
      </w:r>
      <w:r w:rsidRPr="009A2E44">
        <w:rPr>
          <w:rFonts w:ascii="Garamond" w:hAnsi="Garamond"/>
        </w:rPr>
        <w:fldChar w:fldCharType="separate"/>
      </w:r>
      <w:r w:rsidR="00B05C30" w:rsidRPr="009A2E44">
        <w:rPr>
          <w:rFonts w:ascii="Garamond" w:hAnsi="Garamond"/>
          <w:noProof/>
        </w:rPr>
        <w:t>(Lawman et al., 2020; Linsley et al., 2008, 2006; Ourbak et al., 2006; Tangri et al., 2018)</w:t>
      </w:r>
      <w:r w:rsidRPr="009A2E44">
        <w:rPr>
          <w:rFonts w:ascii="Garamond" w:hAnsi="Garamond"/>
        </w:rPr>
        <w:fldChar w:fldCharType="end"/>
      </w:r>
      <w:r w:rsidRPr="009A2E44">
        <w:rPr>
          <w:rFonts w:ascii="Garamond" w:hAnsi="Garamond"/>
        </w:rPr>
        <w:t xml:space="preserve"> records that reveal substantial </w:t>
      </w:r>
      <w:r w:rsidR="00C46DBA" w:rsidRPr="009A2E44">
        <w:rPr>
          <w:rFonts w:ascii="Garamond" w:hAnsi="Garamond"/>
        </w:rPr>
        <w:t xml:space="preserve">high-frequency </w:t>
      </w:r>
      <w:r w:rsidRPr="009A2E44">
        <w:rPr>
          <w:rFonts w:ascii="Garamond" w:hAnsi="Garamond"/>
        </w:rPr>
        <w:t xml:space="preserve">variability but </w:t>
      </w:r>
      <w:r w:rsidR="00C46DBA" w:rsidRPr="009A2E44">
        <w:rPr>
          <w:rFonts w:ascii="Garamond" w:hAnsi="Garamond"/>
        </w:rPr>
        <w:t>are either not continuous or are too short to capture the</w:t>
      </w:r>
      <w:r w:rsidRPr="009A2E44">
        <w:rPr>
          <w:rFonts w:ascii="Garamond" w:hAnsi="Garamond"/>
        </w:rPr>
        <w:t xml:space="preserve"> earliest portion of the Little Ice Age (LIA 1450 – 1850 CE) </w:t>
      </w:r>
      <w:r w:rsidR="00E70F0E" w:rsidRPr="009A2E44">
        <w:rPr>
          <w:rFonts w:ascii="Garamond" w:hAnsi="Garamond"/>
        </w:rPr>
        <w:t xml:space="preserve">and Medieval Climate Anomaly (MCA 950 – 1250 CE) </w:t>
      </w:r>
      <w:r w:rsidRPr="009A2E44">
        <w:rPr>
          <w:rFonts w:ascii="Garamond" w:hAnsi="Garamond"/>
        </w:rPr>
        <w:t xml:space="preserve">(time intervals defined by the IPCC </w:t>
      </w:r>
      <w:r w:rsidRPr="009A2E44">
        <w:rPr>
          <w:rFonts w:ascii="Garamond" w:hAnsi="Garamond"/>
        </w:rPr>
        <w:fldChar w:fldCharType="begin" w:fldLock="1"/>
      </w:r>
      <w:r w:rsidRPr="009A2E44">
        <w:rPr>
          <w:rFonts w:ascii="Garamond" w:hAnsi="Garamond"/>
        </w:rPr>
        <w:instrText>ADDIN CSL_CITATION {"citationItems":[{"id":"ITEM-1","itemData":{"DOI":"10.1017/CBO9781107415324.013","ISBN":"978-110741532-4;978-110705799-","ISSN":"16641884","abstract":"Executive Summary. Greenhouse-Gas Variations and Past Climate Responses. It is a fact that present-day (2011) concentrations of the atmospheric greenhouse gases (GHGs) carbon dioxide (CO2), methane (CH4) and nitrous oxide (N2O) exceed the range of concentrations recorded in ice cores during the past 800,000 years. Past changes in atmospheric GHG concentrations can be determined with very high confidence from polar ice cores. Since AR4 these records have been extended from 650,000 years to 800,000 years ago. {5.2.2}. With very high confidence, the current rates of CO2, CH4 and N2O rise in atmospheric concentrations and the associated radiative forcing are unprecedented with respect to the highest resolution ice core records of the last 22,000 years. There is medium confidence that the rate of change of the observed GHG rise is also unprecedented compared with the lower resolution records of the past 800,000 years. {5.2.2}. There is high confidence that changes in atmospheric CO2 concentration play an important role in glacial-interglacial cycles. Although the primary driver of glacial-interglacial cycles lies in the seasonal and latitudinal distribution of incoming solar energy driven by changes in the geometry of the Earth’s orbit around the Sun (“orbital forcing”), reconstructions and simulations together show that the full magnitude of glacial-interglacial temperature and ice volume changes cannot be explained without accounting for changes in atmospheric CO2 content and the associated climate feedbacks. During the last deglaciation, it is very likely that global mean temperature increased by 3°C to 8°C. © Intergovernmental Panel on Climate Change 2014.","author":[{"dropping-particle":"","family":"Masson-Delmotte","given":"V","non-dropping-particle":"","parse-names":false,"suffix":""},{"dropping-particle":"","family":"Schulz","given":"M","non-dropping-particle":"","parse-names":false,"suffix":""},{"dropping-particle":"","family":"Abe-Ouchi","given":"A","non-dropping-particle":"","parse-names":false,"suffix":""},{"dropping-particle":"","family":"Beer","given":"J","non-dropping-particle":"","parse-names":false,"suffix":""},{"dropping-particle":"","family":"Ganopolski","given":"A","non-dropping-particle":"","parse-names":false,"suffix":""},{"dropping-particle":"","family":"González Rouco","given":"JF","non-dropping-particle":"","parse-names":false,"suffix":""},{"dropping-particle":"","family":"Jansen","given":"E","non-dropping-particle":"","parse-names":false,"suffix":""},{"dropping-particle":"","family":"Lambeck","given":"K","non-dropping-particle":"","parse-names":false,"suffix":""},{"dropping-particle":"","family":"Luterbacher","given":"J","non-dropping-particle":"","parse-names":false,"suffix":""},{"dropping-particle":"","family":"Naish","given":"T","non-dropping-particle":"","parse-names":false,"suffix":""},{"dropping-particle":"","family":"Osborn","given":"T","non-dropping-particle":"","parse-names":false,"suffix":""},{"dropping-particle":"","family":"Otto-Bliesner","given":"B","non-dropping-particle":"","parse-names":false,"suffix":""},{"dropping-particle":"","family":"Quinn","given":"T","non-dropping-particle":"","parse-names":false,"suffix":""},{"dropping-particle":"","family":"Ramesh","given":"","non-dropping-particle":"","parse-names":false,"suffix":""},{"dropping-particle":"","family":"Rojas","given":"M","non-dropping-particle":"","parse-names":false,"suffix":""},{"dropping-particle":"","family":"Shao","given":"X","non-dropping-particle":"","parse-names":false,"suffix":""},{"dropping-particle":"","family":"Timmermann","given":"A","non-dropping-particle":"","parse-names":false,"suffix":""}],"container-title":"Climate Change 2013 - The Physical Science Basis. Contribution of Working Group 1 to the Fifth Assessment Report of the Intergovernnmental Panel on Climate Change","editor":[{"dropping-particle":"","family":"Stocker","given":"Thomas F","non-dropping-particle":"","parse-names":false,"suffix":""},{"dropping-particle":"","family":"Qin","given":"D","non-dropping-particle":"","parse-names":false,"suffix":""},{"dropping-particle":"","family":"Plattner","given":"G-K","non-dropping-particle":"","parse-names":false,"suffix":""},{"dropping-particle":"","family":"Tignor","given":"M","non-dropping-particle":"","parse-names":false,"suffix":""},{"dropping-particle":"","family":"Allen","given":"SK","non-dropping-particle":"","parse-names":false,"suffix":""},{"dropping-particle":"","family":"Boschung","given":"J","non-dropping-particle":"","parse-names":false,"suffix":""},{"dropping-particle":"","family":"Nauels","given":"A","non-dropping-particle":"","parse-names":false,"suffix":""},{"dropping-particle":"","family":"Xia","given":"Y","non-dropping-particle":"","parse-names":false,"suffix":""},{"dropping-particle":"","family":"Bex","given":"V","non-dropping-particle":"","parse-names":false,"suffix":""},{"dropping-particle":"","family":"Midgely","given":"P M","non-dropping-particle":"","parse-names":false,"suffix":""}],"id":"ITEM-1","issued":{"date-parts":[["2013"]]},"page":"383-464","publisher":"Cambridge University Press","publisher-place":"Cambridge, United Kingdom and New York, NY, USA","title":"Information from Paleoclimate Archives","type":"chapter"},"uris":["http://www.mendeley.com/documents/?uuid=9a4b8743-302f-4d85-9e6c-6a0a6a323638"]}],"mendeley":{"formattedCitation":"(Masson-Delmotte et al., 2013)","plainTextFormattedCitation":"(Masson-Delmotte et al., 2013)","previouslyFormattedCitation":"(Masson-Delmotte et al., 2013)"},"properties":{"noteIndex":0},"schema":"https://github.com/citation-style-language/schema/raw/master/csl-citation.json"}</w:instrText>
      </w:r>
      <w:r w:rsidRPr="009A2E44">
        <w:rPr>
          <w:rFonts w:ascii="Garamond" w:hAnsi="Garamond"/>
        </w:rPr>
        <w:fldChar w:fldCharType="separate"/>
      </w:r>
      <w:r w:rsidRPr="009A2E44">
        <w:rPr>
          <w:rFonts w:ascii="Garamond" w:hAnsi="Garamond"/>
          <w:noProof/>
        </w:rPr>
        <w:t>(Masson-Delmotte et al., 2013)</w:t>
      </w:r>
      <w:r w:rsidRPr="009A2E44">
        <w:rPr>
          <w:rFonts w:ascii="Garamond" w:hAnsi="Garamond"/>
        </w:rPr>
        <w:fldChar w:fldCharType="end"/>
      </w:r>
      <w:r w:rsidRPr="009A2E44">
        <w:rPr>
          <w:rFonts w:ascii="Garamond" w:hAnsi="Garamond"/>
        </w:rPr>
        <w:t>)</w:t>
      </w:r>
      <w:r w:rsidR="005F4F7E" w:rsidRPr="009A2E44">
        <w:rPr>
          <w:rFonts w:ascii="Garamond" w:hAnsi="Garamond"/>
        </w:rPr>
        <w:t>.</w:t>
      </w:r>
      <w:r w:rsidRPr="009A2E44">
        <w:rPr>
          <w:rFonts w:ascii="Garamond" w:hAnsi="Garamond"/>
        </w:rPr>
        <w:t xml:space="preserve"> </w:t>
      </w:r>
      <w:r w:rsidR="002F6DFF">
        <w:rPr>
          <w:rFonts w:ascii="Garamond" w:hAnsi="Garamond"/>
        </w:rPr>
        <w:t>Lipid biomarker and runoff paleoprecipitation proxies stored in s</w:t>
      </w:r>
      <w:r w:rsidR="002F6DFF" w:rsidRPr="009A2E44">
        <w:rPr>
          <w:rFonts w:ascii="Garamond" w:hAnsi="Garamond"/>
        </w:rPr>
        <w:t xml:space="preserve">edimentary </w:t>
      </w:r>
      <w:r w:rsidRPr="009A2E44">
        <w:rPr>
          <w:rFonts w:ascii="Garamond" w:hAnsi="Garamond"/>
        </w:rPr>
        <w:t xml:space="preserve">archives from lakes </w:t>
      </w:r>
      <w:r w:rsidRPr="009A2E44">
        <w:rPr>
          <w:rFonts w:ascii="Garamond" w:hAnsi="Garamond"/>
        </w:rPr>
        <w:fldChar w:fldCharType="begin" w:fldLock="1"/>
      </w:r>
      <w:r w:rsidR="00E757E6">
        <w:rPr>
          <w:rFonts w:ascii="Garamond" w:hAnsi="Garamond"/>
        </w:rPr>
        <w:instrText>ADDIN CSL_CITATION {"citationItems":[{"id":"ITEM-1","itemData":{"DOI":"10.1073/pnas.1920975117","ISSN":"10916490","PMID":"32253300","abstract":"The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America","id":"ITEM-1","issue":"16","issued":{"date-parts":[["2020"]]},"page":"8813-8819","title":"Human settlement of East Polynesia earlier, incremental, and coincident with prolonged South Pacific drought","type":"article-journal","volume":"117"},"uris":["http://www.mendeley.com/documents/?uuid=5e4a7b40-a602-4fa6-8dd7-b9d6ae8d7f06"]},{"id":"ITEM-2","itemData":{"DOI":"10.1029/2012GL054331","ISSN":"00948276","abstract":"Modern precipitation in Indonesia is strongly correlated to variations in the Asian/Australasian monsoons, the Walker circulation, and migrations of the Intertropical Convergence Zone (ITCZ), but controls on multidecadal to millennial rainfall variations are less clear. We present a new, highresolution, precipitation proxy reconstruction from Lake Lading (8°S, 113°E), Java, from 850 Common Era (C.E.) to present, based on the δD of terrestrial plant waxes. We find that rainfall has steadily increased in Java over the past millennium. This increase persists into the twentieth century despite evidence from other tropical proxy records for a northward ITCZ migration during the last two centuries, which should introduce drier conditions to Java. Aspects of this long-term increase in rainfall resemble records from the Northern Hemisphere, tropical Indo-Pacific, suggesting that strengthening Walker circulation played an important role in this long-term increase in rainfall and decrease in the δD of precipitation, while ITCZ variations may have been important to climate variations on multidecadal to centennial timescales. © 2013. American Geophysical Union. All Rights Reserved.","author":[{"dropping-particle":"","family":"Konecky","given":"Bronwen Louise","non-dropping-particle":"","parse-names":false,"suffix":""},{"dropping-particle":"","family":"Russell","given":"James M.","non-dropping-particle":"","parse-names":false,"suffix":""},{"dropping-particle":"","family":"Rodysill","given":"Jessica R.","non-dropping-particle":"","parse-names":false,"suffix":""},{"dropping-particle":"","family":"Vuille","given":"Mathias","non-dropping-particle":"","parse-names":false,"suffix":""},{"dropping-particle":"","family":"Bijaksana","given":"Satria","non-dropping-particle":"","parse-names":false,"suffix":""},{"dropping-particle":"","family":"Huang","given":"Yongsong","non-dropping-particle":"","parse-names":false,"suffix":""}],"container-title":"Geophysical Research Letters","id":"ITEM-2","issue":"2","issued":{"date-parts":[["2013"]]},"page":"386-391","title":"Intensification of southwestern Indonesian rainfall over the past millennium","type":"article-journal","volume":"40"},"uris":["http://www.mendeley.com/documents/?uuid=03668741-de0c-46f1-8ba3-01f0fecebaa9"]}],"mendeley":{"formattedCitation":"(Konecky et al., 2013; Sear et al., 2020)","plainTextFormattedCitation":"(Konecky et al., 2013; Sear et al., 2020)","previouslyFormattedCitation":"(Konecky et al., 2013; Sear et al., 2020)"},"properties":{"noteIndex":0},"schema":"https://github.com/citation-style-language/schema/raw/master/csl-citation.json"}</w:instrText>
      </w:r>
      <w:r w:rsidRPr="009A2E44">
        <w:rPr>
          <w:rFonts w:ascii="Garamond" w:hAnsi="Garamond"/>
        </w:rPr>
        <w:fldChar w:fldCharType="separate"/>
      </w:r>
      <w:r w:rsidRPr="009A2E44">
        <w:rPr>
          <w:rFonts w:ascii="Garamond" w:hAnsi="Garamond"/>
          <w:noProof/>
        </w:rPr>
        <w:t>(Konecky et al., 2013; Sear et al., 2020)</w:t>
      </w:r>
      <w:r w:rsidRPr="009A2E44">
        <w:rPr>
          <w:rFonts w:ascii="Garamond" w:hAnsi="Garamond"/>
        </w:rPr>
        <w:fldChar w:fldCharType="end"/>
      </w:r>
      <w:r w:rsidRPr="009A2E44">
        <w:rPr>
          <w:rFonts w:ascii="Garamond" w:hAnsi="Garamond"/>
        </w:rPr>
        <w:t xml:space="preserve"> and marine settings </w:t>
      </w:r>
      <w:r w:rsidRPr="009A2E44">
        <w:rPr>
          <w:rFonts w:ascii="Garamond" w:hAnsi="Garamond"/>
        </w:rPr>
        <w:fldChar w:fldCharType="begin" w:fldLock="1"/>
      </w:r>
      <w:r w:rsidR="00E757E6">
        <w:rPr>
          <w:rFonts w:ascii="Garamond" w:hAnsi="Garamond"/>
        </w:rPr>
        <w:instrText>ADDIN CSL_CITATION {"citationItems":[{"id":"ITEM-1","itemData":{"DOI":"10.1029/2009PA001871","ISBN":"0883-8305","ISSN":"19449186","abstract":"Instrumental data suggest that major shifts in tropical Pacific atmospheric dynamics and hydrology have occurred within the past century, potentially in response to anthropogenic warming. To better understand these trends, we use the hydrogen isotopic ratios of terrestrial higher plant leaf waxes (dDwax) in marine sediments from southwest Sulawesi, Indonesia, to compile a detailed reconstruction of central Indo</w:instrText>
      </w:r>
      <w:r w:rsidR="00E757E6">
        <w:rPr>
          <w:rFonts w:ascii="Cambria Math" w:hAnsi="Cambria Math" w:cs="Cambria Math"/>
        </w:rPr>
        <w:instrText>‐</w:instrText>
      </w:r>
      <w:r w:rsidR="00E757E6">
        <w:rPr>
          <w:rFonts w:ascii="Garamond" w:hAnsi="Garamond"/>
        </w:rPr>
        <w:instrText>Pacific Warm Pool (IPWP) hydrologic variability spanning most of the last two millennia. Our paleodata are highly correlated with a monsoon reconstruction from Southeast Asia, indicating that intervals of strong East Asian summer monsoon (EASM) activity are associated with a weaker Indonesian monsoon (IM). Furthermore, the centennial</w:instrText>
      </w:r>
      <w:r w:rsidR="00E757E6">
        <w:rPr>
          <w:rFonts w:ascii="Cambria Math" w:hAnsi="Cambria Math" w:cs="Cambria Math"/>
        </w:rPr>
        <w:instrText>‐</w:instrText>
      </w:r>
      <w:r w:rsidR="00E757E6">
        <w:rPr>
          <w:rFonts w:ascii="Garamond" w:hAnsi="Garamond"/>
        </w:rPr>
        <w:instrText>scale oscillations in our data follow known changes in Northern Hemisphere climate (e.g., the Little Ice Age and Medieval Warm Period) implying a dynamic link between Northern Hemisphere temperatures and IPWP hydrology. The inverse relationship between the EASM and IM suggests that migrations of the Intertropical Convergence Zone and associated changes in monsoon strength caused synoptic hydrologic shifts in the IPWP throughout most of the past two millennia.","author":[{"dropping-particle":"","family":"Tierney","given":"Jessica E","non-dropping-particle":"","parse-names":false,"suffix":""},{"dropping-particle":"","family":"Oppo","given":"Delia W","non-dropping-particle":"","parse-names":false,"suffix":""},{"dropping-particle":"","family":"Rosenthal","given":"Yair","non-dropping-particle":"","parse-names":false,"suffix":""},{"dropping-particle":"","family":"Russell","given":"James M","non-dropping-particle":"","parse-names":false,"suffix":""},{"dropping-particle":"","family":"Linsley","given":"Braddock K","non-dropping-particle":"","parse-names":false,"suffix":""}],"container-title":"Paleoceanography","id":"ITEM-1","issue":"1","issued":{"date-parts":[["2010"]]},"page":"1-7","title":"Coordinated hydrological regimes in the Indo-Pacific region during the past two millennia","type":"article-journal","volume":"25"},"uris":["http://www.mendeley.com/documents/?uuid=d4da5293-580b-47d1-8817-ec1915c8722f"]},{"id":"ITEM-2","itemData":{"DOI":"10.1002/2015PA002870","ISSN":"19449186","abstract":"Major excursions in the position of the South Pacific Convergence Zone (SPCZ) and/or changes in its intensity are thought to drive tropical cyclone (TC) and precipitation variability across much of the central South Pacific. A lack of conventional sites typically used for multimillennial proxy reconstructions has limited efforts to extend observational rainfall/TC data sets and our ability to fully assess the risks posed to central Pacific islands by future changes in fresh water availability or the frequency of storm landfalls. Here we use the sedimentary record of Apu Bay, offshore the island of Tahaa, French Polynesia, to explore the relationship between SPCZ position/intensity and tropical cyclone overwash, resolved at decadal time scales, since 3200 years B.P. Changes in orbital precession and Pacific sea surface temperatures best explain evidence for a coordinated pattern of rainfall variability at Tahaa and across the Pacific over the late Holocene. Our companion record of tropical cyclone activity from Tahaa suggests major storm activity was higher between 2600-1500 years B.P., when decadal scale SPCZ variability may also have been stronger. A transition to lower storm frequency and a shift or expansion of the SPCZ toward French Polynesia around 1000 years B.P. may have prompted Polynesian migration into the central Pacific.","author":[{"dropping-particle":"","family":"Toomey","given":"Michael R","non-dropping-particle":"","parse-names":false,"suffix":""},{"dropping-particle":"","family":"Donnelly","given":"Jeffrey P","non-dropping-particle":"","parse-names":false,"suffix":""},{"dropping-particle":"","family":"Tierney","given":"Jessica E","non-dropping-particle":"","parse-names":false,"suffix":""}],"container-title":"Paleoceanography","id":"ITEM-2","issue":"4","issued":{"date-parts":[["2016"]]},"page":"491-504","title":"South Pacific hydrologic and cyclone variability during the last 3000 years","type":"article-journal","volume":"31"},"uris":["http://www.mendeley.com/documents/?uuid=2e203bd9-57ba-420a-af80-28a147e07e59"]}],"mendeley":{"formattedCitation":"(Tierney et al., 2010; Toomey et al., 2016)","plainTextFormattedCitation":"(Tierney et al., 2010; Toomey et al., 2016)","previouslyFormattedCitation":"(Tierney et al., 2010; Toomey et al., 2016)"},"properties":{"noteIndex":0},"schema":"https://github.com/citation-style-language/schema/raw/master/csl-citation.json"}</w:instrText>
      </w:r>
      <w:r w:rsidRPr="009A2E44">
        <w:rPr>
          <w:rFonts w:ascii="Garamond" w:hAnsi="Garamond"/>
        </w:rPr>
        <w:fldChar w:fldCharType="separate"/>
      </w:r>
      <w:r w:rsidR="00E757E6" w:rsidRPr="00E757E6">
        <w:rPr>
          <w:rFonts w:ascii="Garamond" w:hAnsi="Garamond"/>
          <w:noProof/>
        </w:rPr>
        <w:t>(Tierney et al., 2010; Toomey et al., 2016)</w:t>
      </w:r>
      <w:r w:rsidRPr="009A2E44">
        <w:rPr>
          <w:rFonts w:ascii="Garamond" w:hAnsi="Garamond"/>
        </w:rPr>
        <w:fldChar w:fldCharType="end"/>
      </w:r>
      <w:r w:rsidRPr="009A2E44">
        <w:rPr>
          <w:rFonts w:ascii="Garamond" w:hAnsi="Garamond"/>
        </w:rPr>
        <w:t xml:space="preserve"> in and near the SPCZ offer an opportunity to extend the length of records in this </w:t>
      </w:r>
      <w:r w:rsidR="00DC758D" w:rsidRPr="009A2E44">
        <w:rPr>
          <w:rFonts w:ascii="Garamond" w:hAnsi="Garamond"/>
        </w:rPr>
        <w:t>region and quantify the longer timescale variability in precipitation</w:t>
      </w:r>
      <w:r w:rsidRPr="009A2E44">
        <w:rPr>
          <w:rFonts w:ascii="Garamond" w:hAnsi="Garamond"/>
        </w:rPr>
        <w:t xml:space="preserve">. </w:t>
      </w:r>
      <w:r w:rsidR="00241B80">
        <w:rPr>
          <w:rFonts w:ascii="Garamond" w:hAnsi="Garamond"/>
        </w:rPr>
        <w:t>T</w:t>
      </w:r>
      <w:r w:rsidR="00742657">
        <w:rPr>
          <w:rFonts w:ascii="Garamond" w:hAnsi="Garamond"/>
        </w:rPr>
        <w:t xml:space="preserve">heoretical explanations for </w:t>
      </w:r>
      <w:r w:rsidR="00441AE5">
        <w:rPr>
          <w:rFonts w:ascii="Garamond" w:hAnsi="Garamond"/>
        </w:rPr>
        <w:t>observed</w:t>
      </w:r>
      <w:r w:rsidR="00742657">
        <w:rPr>
          <w:rFonts w:ascii="Garamond" w:hAnsi="Garamond"/>
        </w:rPr>
        <w:t xml:space="preserve"> </w:t>
      </w:r>
      <w:r w:rsidR="00D72BCF">
        <w:rPr>
          <w:rFonts w:ascii="Garamond" w:hAnsi="Garamond"/>
        </w:rPr>
        <w:t xml:space="preserve">modern </w:t>
      </w:r>
      <w:r w:rsidR="00742657">
        <w:rPr>
          <w:rFonts w:ascii="Garamond" w:hAnsi="Garamond"/>
        </w:rPr>
        <w:t>SPCZ precipitation variability</w:t>
      </w:r>
      <w:r w:rsidR="00241B80">
        <w:rPr>
          <w:rFonts w:ascii="Garamond" w:hAnsi="Garamond"/>
        </w:rPr>
        <w:t xml:space="preserve"> invoke ocean-atmosphere forcings (Brown et al. 2020)</w:t>
      </w:r>
      <w:r w:rsidR="00742657">
        <w:rPr>
          <w:rFonts w:ascii="Garamond" w:hAnsi="Garamond"/>
        </w:rPr>
        <w:t xml:space="preserve">. However, recent attempts to synthesize Pacific-basin paleoproxy data </w:t>
      </w:r>
      <w:r w:rsidR="00742657">
        <w:rPr>
          <w:rFonts w:ascii="Garamond" w:hAnsi="Garamond"/>
        </w:rPr>
        <w:fldChar w:fldCharType="begin" w:fldLock="1"/>
      </w:r>
      <w:r w:rsidR="00C53924">
        <w:rPr>
          <w:rFonts w:ascii="Garamond" w:hAnsi="Garamond"/>
        </w:rPr>
        <w:instrText>ADDIN CSL_CITATION {"citationItems":[{"id":"ITEM-1","itemData":{"DOI":"10.1029/2020PA003934","ISSN":"25724525","abstract":"We examine the evidence for large-scale tropical hydroclimate changes over the Common Era based on a compilation of 67 tropical hydroclimate records from 55 sites and assess the consistency between the reconstructed hydroclimate changes and those simulated by transient model simulations of the last millennium. Our synthesis of the proxy records reveals several regionally coherent patterns on centennial time scales. From 800 to 1000 CE, records from the eastern Pacific and parts of Mesoamerica indicate a pronounced drying event relative to background conditions of the Common Era. In addition, 1400–1700 CE is marked by pronounced hydroclimate changes across the tropics, including dry and/or isotopically enriched conditions in South and East Asia, wet and/or isotopically depleted conditions in the central Andes and southern Amazon in South America, and fresher and/or isotopically depleted conditions in the Maritime Continent. We find notable dissimilarities between the regional hydroclimate changes and global-scale and hemispheric-scale temperature reconstructions, indicating that more work needs to be done to understand the mechanisms of the widespread tropical hydroclimate changes during the LIA. Apropos to previous interpretations of large-scale reorganization of tropical Pacific climate during the LIA, we do not find support for a large-scale southward shift of the Pacific Intertropical Convergence Zone, while evidence for a strengthened Pacific Walker Circulation and/or an equatorward contraction of the monsoonal Asian-Australian rain belt exists from limited geographic regions but require additional paleoclimate constraints. Transient climate model simulations exhibit weak forced long-term tropical rainfall changes over the last millennium but provide several important insights to the proxy reconstructions.","author":[{"dropping-particle":"","family":"Atwood","given":"Alyssa R","non-dropping-particle":"","parse-names":false,"suffix":""},{"dropping-particle":"","family":"Battisti","given":"David S","non-dropping-particle":"","parse-names":false,"suffix":""},{"dropping-particle":"","family":"Wu","given":"E","non-dropping-particle":"","parse-names":false,"suffix":""},{"dropping-particle":"","family":"Frierson","given":"D. M.W.","non-dropping-particle":"","parse-names":false,"suffix":""},{"dropping-particle":"","family":"Sachs","given":"Julian P","non-dropping-particle":"","parse-names":false,"suffix":""}],"container-title":"Paleoceanography and Paleoclimatology","id":"ITEM-1","issue":"7","issued":{"date-parts":[["2021"]]},"page":"1-30","title":"Data-Model Comparisons of Tropical Hydroclimate Changes Over the Common Era","type":"article-journal","volume":"36"},"uris":["http://www.mendeley.com/documents/?uuid=3c9003ec-1ee1-4040-b190-3521a2200498"]},{"id":"ITEM-2","itemData":{"DOI":"10.1073/pnas.1920975117","ISSN":"10916490","PMID":"32253300","abstract":"The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America","id":"ITEM-2","issue":"16","issued":{"date-parts":[["2020"]]},"page":"8813-8819","title":"Human settlement of East Polynesia earlier, incremental, and coincident with prolonged South Pacific drought","type":"article-journal","volume":"117"},"uris":["http://www.mendeley.com/documents/?uuid=5e4a7b40-a602-4fa6-8dd7-b9d6ae8d7f06"]},{"id":"ITEM-3","itemData":{"DOI":"10.1002/2017PA003233","author":[{"dropping-particle":"","family":"Higley","given":"Melinda C","non-dropping-particle":"","parse-names":false,"suffix":""}],"id":"ITEM-3","issued":{"date-parts":[["2018"]]},"page":"354-366","title":"Last Millennium Meridional Shifts in Hydroclimate in the Central Tropical Paci fi c Paleoceanography and Paleoclimatology","type":"article-journal"},"uris":["http://www.mendeley.com/documents/?uuid=86092cfe-2b36-4434-a964-2d1ad65178b7"]}],"mendeley":{"formattedCitation":"(Atwood et al., 2021; Higley, 2018; Sear et al., 2020)","manualFormatting":"(e.g. Atwood et al., 2021; Higley, 2018; Sear et al., 2020)","plainTextFormattedCitation":"(Atwood et al., 2021; Higley, 2018; Sear et al., 2020)","previouslyFormattedCitation":"(Atwood et al., 2021; Higley, 2018; Sear et al., 2020)"},"properties":{"noteIndex":0},"schema":"https://github.com/citation-style-language/schema/raw/master/csl-citation.json"}</w:instrText>
      </w:r>
      <w:r w:rsidR="00742657">
        <w:rPr>
          <w:rFonts w:ascii="Garamond" w:hAnsi="Garamond"/>
        </w:rPr>
        <w:fldChar w:fldCharType="separate"/>
      </w:r>
      <w:r w:rsidR="00742657" w:rsidRPr="009A6499">
        <w:rPr>
          <w:rFonts w:ascii="Garamond" w:hAnsi="Garamond"/>
          <w:noProof/>
        </w:rPr>
        <w:t>(</w:t>
      </w:r>
      <w:r w:rsidR="00441AE5">
        <w:rPr>
          <w:rFonts w:ascii="Garamond" w:hAnsi="Garamond"/>
          <w:noProof/>
        </w:rPr>
        <w:t xml:space="preserve">e.g. </w:t>
      </w:r>
      <w:r w:rsidR="00742657" w:rsidRPr="009A6499">
        <w:rPr>
          <w:rFonts w:ascii="Garamond" w:hAnsi="Garamond"/>
          <w:noProof/>
        </w:rPr>
        <w:t>Atwood et al., 2021; Higley</w:t>
      </w:r>
      <w:r w:rsidR="00D80E1B">
        <w:rPr>
          <w:rFonts w:ascii="Garamond" w:hAnsi="Garamond"/>
          <w:noProof/>
        </w:rPr>
        <w:t xml:space="preserve"> et al.</w:t>
      </w:r>
      <w:r w:rsidR="00742657" w:rsidRPr="009A6499">
        <w:rPr>
          <w:rFonts w:ascii="Garamond" w:hAnsi="Garamond"/>
          <w:noProof/>
        </w:rPr>
        <w:t>, 2018; Sear et al., 2020)</w:t>
      </w:r>
      <w:r w:rsidR="00742657">
        <w:rPr>
          <w:rFonts w:ascii="Garamond" w:hAnsi="Garamond"/>
        </w:rPr>
        <w:fldChar w:fldCharType="end"/>
      </w:r>
      <w:r w:rsidR="00742657">
        <w:rPr>
          <w:rFonts w:ascii="Garamond" w:hAnsi="Garamond"/>
        </w:rPr>
        <w:t xml:space="preserve"> indicate the </w:t>
      </w:r>
      <w:r w:rsidR="00742657">
        <w:rPr>
          <w:rFonts w:ascii="Garamond" w:hAnsi="Garamond"/>
        </w:rPr>
        <w:lastRenderedPageBreak/>
        <w:t>patterns and mechanisms of tropical precipitation variability are complex</w:t>
      </w:r>
      <w:r w:rsidR="002E2D3E">
        <w:rPr>
          <w:rFonts w:ascii="Garamond" w:hAnsi="Garamond"/>
        </w:rPr>
        <w:t xml:space="preserve"> </w:t>
      </w:r>
      <w:r w:rsidR="002E2D3E" w:rsidRPr="002E2D3E">
        <w:rPr>
          <w:rFonts w:ascii="Garamond" w:hAnsi="Garamond"/>
        </w:rPr>
        <w:t>and/or that some paleohydrology reconstructions contain unknown biases</w:t>
      </w:r>
      <w:r w:rsidR="00742657">
        <w:rPr>
          <w:rFonts w:ascii="Garamond" w:hAnsi="Garamond"/>
        </w:rPr>
        <w:t xml:space="preserve">. Additional records from the SPCZ region </w:t>
      </w:r>
      <w:r w:rsidR="00241B80">
        <w:rPr>
          <w:rFonts w:ascii="Garamond" w:hAnsi="Garamond"/>
        </w:rPr>
        <w:t xml:space="preserve">are needed </w:t>
      </w:r>
      <w:r w:rsidR="002E2D3E" w:rsidRPr="002E2D3E">
        <w:rPr>
          <w:rFonts w:ascii="Garamond" w:hAnsi="Garamond"/>
        </w:rPr>
        <w:t xml:space="preserve">to replicate existing </w:t>
      </w:r>
      <w:proofErr w:type="spellStart"/>
      <w:r w:rsidR="002E2D3E" w:rsidRPr="002E2D3E">
        <w:rPr>
          <w:rFonts w:ascii="Garamond" w:hAnsi="Garamond"/>
        </w:rPr>
        <w:t>paleoreconstructions</w:t>
      </w:r>
      <w:proofErr w:type="spellEnd"/>
      <w:r w:rsidR="002E2D3E" w:rsidRPr="002E2D3E">
        <w:rPr>
          <w:rFonts w:ascii="Garamond" w:hAnsi="Garamond"/>
        </w:rPr>
        <w:t xml:space="preserve"> and </w:t>
      </w:r>
      <w:r w:rsidR="00241B80">
        <w:rPr>
          <w:rFonts w:ascii="Garamond" w:hAnsi="Garamond"/>
        </w:rPr>
        <w:t>to</w:t>
      </w:r>
      <w:r w:rsidR="00742657">
        <w:rPr>
          <w:rFonts w:ascii="Garamond" w:hAnsi="Garamond"/>
        </w:rPr>
        <w:t xml:space="preserve"> clarify how </w:t>
      </w:r>
      <w:r w:rsidR="00441AE5">
        <w:rPr>
          <w:rFonts w:ascii="Garamond" w:hAnsi="Garamond"/>
        </w:rPr>
        <w:t xml:space="preserve">and why </w:t>
      </w:r>
      <w:r w:rsidR="00742657">
        <w:rPr>
          <w:rFonts w:ascii="Garamond" w:hAnsi="Garamond"/>
        </w:rPr>
        <w:t xml:space="preserve">the SPCZ varied in the past. </w:t>
      </w:r>
    </w:p>
    <w:p w14:paraId="03D41672" w14:textId="7FFABF3F" w:rsidR="00D772E7" w:rsidRDefault="00CD0F49" w:rsidP="001C47D3">
      <w:pPr>
        <w:spacing w:line="480" w:lineRule="auto"/>
        <w:ind w:firstLine="720"/>
        <w:rPr>
          <w:rFonts w:ascii="Garamond" w:hAnsi="Garamond"/>
        </w:rPr>
      </w:pPr>
      <w:r w:rsidRPr="009A2E44">
        <w:rPr>
          <w:rFonts w:ascii="Garamond" w:hAnsi="Garamond"/>
        </w:rPr>
        <w:t xml:space="preserve">Tropical hydroclimate reconstructions using </w:t>
      </w:r>
      <w:r w:rsidR="002F6DFF">
        <w:rPr>
          <w:rFonts w:ascii="Garamond" w:hAnsi="Garamond"/>
        </w:rPr>
        <w:t>lipid biomarker</w:t>
      </w:r>
      <w:r w:rsidRPr="009A2E44">
        <w:rPr>
          <w:rFonts w:ascii="Garamond" w:hAnsi="Garamond"/>
        </w:rPr>
        <w:t xml:space="preserve"> hydrogen isotope ratios rely on the link between fluxes of water though the hydrologic cycle and resulting changes in </w:t>
      </w:r>
      <w:r w:rsidR="00E70F0E" w:rsidRPr="009A2E44">
        <w:rPr>
          <w:rFonts w:ascii="Garamond" w:hAnsi="Garamond"/>
        </w:rPr>
        <w:t xml:space="preserve">water </w:t>
      </w:r>
      <w:r w:rsidRPr="009A2E44">
        <w:rPr>
          <w:rFonts w:ascii="Garamond" w:hAnsi="Garamond"/>
        </w:rPr>
        <w:t xml:space="preserve">isotopic composition </w:t>
      </w:r>
      <w:r w:rsidRPr="009A2E44">
        <w:rPr>
          <w:rFonts w:ascii="Garamond" w:hAnsi="Garamond"/>
        </w:rPr>
        <w:fldChar w:fldCharType="begin" w:fldLock="1"/>
      </w:r>
      <w:r w:rsidR="00594E8A">
        <w:rPr>
          <w:rFonts w:ascii="Garamond" w:hAnsi="Garamond"/>
        </w:rPr>
        <w:instrText>ADDIN CSL_CITATION {"citationItems":[{"id":"ITEM-1","itemData":{"DOI":"10.1146/annurev-earth-042711-105535","ISSN":"0084-6597","author":[{"dropping-particle":"","family":"Sachse","given":"Dirk","non-dropping-particle":"","parse-names":false,"suffix":""},{"dropping-particle":"","family":"Billault","given":"Isabelle","non-dropping-particle":"","parse-names":false,"suffix":""},{"dropping-particle":"","family":"Bowen","given":"Gabriel J","non-dropping-particle":"","parse-names":false,"suffix":""},{"dropping-particle":"","family":"Chikaraishi","given":"Yoshito","non-dropping-particle":"","parse-names":false,"suffix":""},{"dropping-particle":"","family":"Dawson","given":"Todd E","non-dropping-particle":"","parse-names":false,"suffix":""},{"dropping-particle":"","family":"Feakins","given":"Sarah J","non-dropping-particle":"","parse-names":false,"suffix":""},{"dropping-particle":"","family":"Freeman","given":"Katherine H","non-dropping-particle":"","parse-names":false,"suffix":""},{"dropping-particle":"","family":"Magill","given":"Clayton R","non-dropping-particle":"","parse-names":false,"suffix":""},{"dropping-particle":"","family":"McInerney","given":"Francesca A","non-dropping-particle":"","parse-names":false,"suffix":""},{"dropping-particle":"","family":"Meer","given":"Marcel T J","non-dropping-particle":"van der","parse-names":false,"suffix":""},{"dropping-particle":"","family":"Polissar","given":"Pratigya J","non-dropping-particle":"","parse-names":false,"suffix":""},{"dropping-particle":"","family":"Robins","given":"Richard J","non-dropping-particle":"","parse-names":false,"suffix":""},{"dropping-particle":"","family":"Sachs","given":"Julian P","non-dropping-particle":"","parse-names":false,"suffix":""},{"dropping-particle":"","family":"Schmidt","given":"Hanns-Ludwig","non-dropping-particle":"","parse-names":false,"suffix":""},{"dropping-particle":"","family":"Sessions","given":"Alex L","non-dropping-particle":"","parse-names":false,"suffix":""},{"dropping-particle":"","family":"White","given":"James WC","non-dropping-particle":"","parse-names":false,"suffix":""},{"dropping-particle":"","family":"West","given":"Jason B","non-dropping-particle":"","parse-names":false,"suffix":""},{"dropping-particle":"","family":"Kahmen","given":"Ansgar","non-dropping-particle":"","parse-names":false,"suffix":""}],"container-title":"Annual Review of Earth and Planetary Sciences","id":"ITEM-1","issued":{"date-parts":[["2012","5","30"]]},"page":"221-249","title":"Molecular paleohydrology: Interpreting the hydrogen-isotopic composition of lipid biomarkers from photosynthesizing organisms","type":"article-journal","volume":"40"},"uris":["http://www.mendeley.com/documents/?uuid=16a9fd7a-650b-4c4d-aeef-55c827de7218"]}],"mendeley":{"formattedCitation":"(Sachse et al., 2012)","plainTextFormattedCitation":"(Sachse et al., 2012)","previouslyFormattedCitation":"(Sachse et al., 2012)"},"properties":{"noteIndex":0},"schema":"https://github.com/citation-style-language/schema/raw/master/csl-citation.json"}</w:instrText>
      </w:r>
      <w:r w:rsidRPr="009A2E44">
        <w:rPr>
          <w:rFonts w:ascii="Garamond" w:hAnsi="Garamond"/>
        </w:rPr>
        <w:fldChar w:fldCharType="separate"/>
      </w:r>
      <w:r w:rsidR="00786653" w:rsidRPr="00786653">
        <w:rPr>
          <w:rFonts w:ascii="Garamond" w:hAnsi="Garamond"/>
          <w:noProof/>
        </w:rPr>
        <w:t>(Sachse et al., 2012)</w:t>
      </w:r>
      <w:r w:rsidRPr="009A2E44">
        <w:rPr>
          <w:rFonts w:ascii="Garamond" w:hAnsi="Garamond"/>
        </w:rPr>
        <w:fldChar w:fldCharType="end"/>
      </w:r>
      <w:r w:rsidRPr="009A2E44">
        <w:rPr>
          <w:rFonts w:ascii="Garamond" w:hAnsi="Garamond"/>
        </w:rPr>
        <w:t xml:space="preserve">. In the maritime tropics, the isotopic composition of precipitation </w:t>
      </w:r>
      <w:r w:rsidR="00BF7106">
        <w:rPr>
          <w:rFonts w:ascii="Garamond" w:hAnsi="Garamond"/>
        </w:rPr>
        <w:t xml:space="preserve">largely </w:t>
      </w:r>
      <w:r w:rsidR="00AC05A3">
        <w:rPr>
          <w:rFonts w:ascii="Garamond" w:hAnsi="Garamond"/>
        </w:rPr>
        <w:t>follows precipitation rates</w:t>
      </w:r>
      <w:r w:rsidRPr="009A2E44">
        <w:rPr>
          <w:rFonts w:ascii="Garamond" w:hAnsi="Garamond"/>
        </w:rPr>
        <w:t xml:space="preserve"> </w:t>
      </w:r>
      <w:proofErr w:type="spellStart"/>
      <w:r w:rsidRPr="009A2E44">
        <w:rPr>
          <w:rFonts w:ascii="Garamond" w:hAnsi="Garamond"/>
        </w:rPr>
        <w:t>where</w:t>
      </w:r>
      <w:proofErr w:type="spellEnd"/>
      <w:r w:rsidRPr="009A2E44">
        <w:rPr>
          <w:rFonts w:ascii="Garamond" w:hAnsi="Garamond"/>
        </w:rPr>
        <w:t xml:space="preserve"> higher </w:t>
      </w:r>
      <w:r w:rsidR="00AC05A3">
        <w:rPr>
          <w:rFonts w:ascii="Garamond" w:hAnsi="Garamond"/>
        </w:rPr>
        <w:t xml:space="preserve">regional </w:t>
      </w:r>
      <w:r w:rsidRPr="009A2E44">
        <w:rPr>
          <w:rFonts w:ascii="Garamond" w:hAnsi="Garamond"/>
        </w:rPr>
        <w:t xml:space="preserve">precipitation </w:t>
      </w:r>
      <w:r w:rsidR="00531676">
        <w:rPr>
          <w:rFonts w:ascii="Garamond" w:hAnsi="Garamond"/>
        </w:rPr>
        <w:t xml:space="preserve">rates </w:t>
      </w:r>
      <w:r w:rsidR="00AC05A3">
        <w:rPr>
          <w:rFonts w:ascii="Garamond" w:hAnsi="Garamond"/>
        </w:rPr>
        <w:t>result in</w:t>
      </w:r>
      <w:r w:rsidRPr="009A2E44">
        <w:rPr>
          <w:rFonts w:ascii="Garamond" w:hAnsi="Garamond"/>
        </w:rPr>
        <w:t xml:space="preserve"> isotopically depleted rain </w:t>
      </w:r>
      <w:r w:rsidRPr="009A2E44">
        <w:rPr>
          <w:rFonts w:ascii="Garamond" w:hAnsi="Garamond"/>
        </w:rPr>
        <w:fldChar w:fldCharType="begin" w:fldLock="1"/>
      </w:r>
      <w:r w:rsidR="0034089C">
        <w:rPr>
          <w:rFonts w:ascii="Garamond" w:hAnsi="Garamond"/>
        </w:rPr>
        <w:instrText>ADDIN CSL_CITATION {"citationItems":[{"id":"ITEM-1","itemData":{"DOI":"10.1002/jgrd.50412","ISSN":"2169897X","author":[{"dropping-particle":"","family":"Conroy","given":"Jessica L","non-dropping-particle":"","parse-names":false,"suffix":""},{"dropping-particle":"","family":"Cobb","given":"Kim M","non-dropping-particle":"","parse-names":false,"suffix":""},{"dropping-particle":"","family":"Noone","given":"David","non-dropping-particle":"","parse-names":false,"suffix":""}],"container-title":"Journal of Geophysical Research: Atmospheres","id":"ITEM-1","issued":{"date-parts":[["2013","6","16"]]},"page":"5867-5892","title":"Comparison of precipitation isotope variability across the tropical Pacific in observations and SWING2 model simulations","type":"article-journal","volume":"118"},"uris":["http://www.mendeley.com/documents/?uuid=e03c5e80-a768-4bf2-89a7-52e5a62e06d7"]},{"id":"ITEM-2","itemData":{"author":[{"dropping-particle":"","family":"Dansgaard","given":"W","non-dropping-particle":"","parse-names":false,"suffix":""}],"container-title":"Tellus","id":"ITEM-2","issue":"4","issued":{"date-parts":[["1964"]]},"page":"436-468","title":"Stable isotopes in precipitation","type":"article-journal","volume":"16"},"uris":["http://www.mendeley.com/documents/?uuid=6d26d2a5-908f-431d-90f3-652259829b65"]},{"id":"ITEM-3","itemData":{"DOI":"10.1002/jgrd.50754","ISSN":"2169897X","author":[{"dropping-particle":"","family":"Kurita","given":"Naoyuki","non-dropping-particle":"","parse-names":false,"suffix":""}],"container-title":"Journal of Geophysical Research: Atmospheres","id":"ITEM-3","issue":"18","issued":{"date-parts":[["2013","9","27"]]},"page":"10,376-10,390","title":"Water isotopic variability in response to mesoscale convective system over the tropical ocean","type":"article-journal","volume":"118"},"uris":["http://www.mendeley.com/documents/?uuid=656736e7-c4f3-4ed1-bb84-6761dfa150fc"]},{"id":"ITEM-4","itemData":{"DOI":"10.1038/ngeo2739","ISSN":"17520908","abstract":"Tropical and midlatitude precipitation is fundamentally of two types, spatially limited and high-intensity convective or widespread and lower-intensity stratiform, owing to differences in vertical air motions and microphysical processes governing rain formation. These processes are difficult to observe or model and precipitation partitioning into rain types is critical for understanding how the water cycle responds to changes in climate. Here, we combine two independent data sets - convective and stratiform precipitation fractions, derived from the Tropical Rainfall Measuring Mission satellite or synoptic cloud observations, and stable isotope and tritium compositions of surface precipitation, derived from a global network - to show that isotope ratios reflect rain type proportions and are negatively correlated with stratiform fractions. Condensation and riming associated with boundary layer moisture produces higher isotope ratios in convective rain, along with higher tritium when riming in deep convection occurs with entrained air at higher altitudes. On the basis of our data, stable isotope ratios can be used to monitor changes in the character of precipitation in response to periodic variability or changes in climate. Our results also provide observational constraints for an improved simulation of convection in climate models and a better understanding of isotope variations in proxy archives, such as speleothems and tropical ice.","author":[{"dropping-particle":"","family":"Aggarwal","given":"Pradeep K.","non-dropping-particle":"","parse-names":false,"suffix":""},{"dropping-particle":"","family":"Romatschke","given":"Ulrike","non-dropping-particle":"","parse-names":false,"suffix":""},{"dropping-particle":"","family":"Araguas-Araguas","given":"Luis","non-dropping-particle":"","parse-names":false,"suffix":""},{"dropping-particle":"","family":"Belachew","given":"Dagnachew","non-dropping-particle":"","parse-names":false,"suffix":""},{"dropping-particle":"","family":"Longstaffe","given":"Frederick J.","non-dropping-particle":"","parse-names":false,"suffix":""},{"dropping-particle":"","family":"Berg","given":"Peter","non-dropping-particle":"","parse-names":false,"suffix":""},{"dropping-particle":"","family":"Schumacher","given":"Courtney","non-dropping-particle":"","parse-names":false,"suffix":""},{"dropping-particle":"","family":"Funk","given":"Aaron","non-dropping-particle":"","parse-names":false,"suffix":""}],"container-title":"Nature Geoscience","id":"ITEM-4","issue":"8","issued":{"date-parts":[["2016"]]},"page":"624-629","title":"Proportions of convective and stratiform precipitation revealed in water isotope ratios","type":"article-journal","volume":"9"},"uris":["http://www.mendeley.com/documents/?uuid=44f7c94d-1aa3-4939-92da-036f27190236"]}],"mendeley":{"formattedCitation":"(Aggarwal et al., 2016; Conroy et al., 2013; Dansgaard, 1964; Kurita, 2013)","plainTextFormattedCitation":"(Aggarwal et al., 2016; Conroy et al., 2013; Dansgaard, 1964; Kurita, 2013)","previouslyFormattedCitation":"(Aggarwal et al., 2016; Conroy et al., 2013; Dansgaard, 1964; Kurita, 2013)"},"properties":{"noteIndex":0},"schema":"https://github.com/citation-style-language/schema/raw/master/csl-citation.json"}</w:instrText>
      </w:r>
      <w:r w:rsidRPr="009A2E44">
        <w:rPr>
          <w:rFonts w:ascii="Garamond" w:hAnsi="Garamond"/>
        </w:rPr>
        <w:fldChar w:fldCharType="separate"/>
      </w:r>
      <w:r w:rsidR="00594E8A" w:rsidRPr="00594E8A">
        <w:rPr>
          <w:rFonts w:ascii="Garamond" w:hAnsi="Garamond"/>
          <w:noProof/>
        </w:rPr>
        <w:t>(Aggarwal et al., 2016; Conroy et al., 2013; Dansgaard, 1964; Kurita, 2013)</w:t>
      </w:r>
      <w:r w:rsidRPr="009A2E44">
        <w:rPr>
          <w:rFonts w:ascii="Garamond" w:hAnsi="Garamond"/>
        </w:rPr>
        <w:fldChar w:fldCharType="end"/>
      </w:r>
      <w:r w:rsidRPr="009A2E44">
        <w:rPr>
          <w:rFonts w:ascii="Garamond" w:hAnsi="Garamond"/>
        </w:rPr>
        <w:t xml:space="preserve">. </w:t>
      </w:r>
      <w:r w:rsidR="00733D76" w:rsidRPr="009A2E44">
        <w:rPr>
          <w:rFonts w:ascii="Garamond" w:hAnsi="Garamond"/>
        </w:rPr>
        <w:t xml:space="preserve">Surface waters, including lakes </w:t>
      </w:r>
      <w:r w:rsidR="008923FD">
        <w:rPr>
          <w:rFonts w:ascii="Garamond" w:hAnsi="Garamond"/>
        </w:rPr>
        <w:t>that</w:t>
      </w:r>
      <w:r w:rsidR="008923FD" w:rsidRPr="009A2E44">
        <w:rPr>
          <w:rFonts w:ascii="Garamond" w:hAnsi="Garamond"/>
        </w:rPr>
        <w:t xml:space="preserve"> </w:t>
      </w:r>
      <w:r w:rsidR="00733D76" w:rsidRPr="009A2E44">
        <w:rPr>
          <w:rFonts w:ascii="Garamond" w:hAnsi="Garamond"/>
        </w:rPr>
        <w:t xml:space="preserve">accumulate </w:t>
      </w:r>
      <w:r w:rsidR="0060177A" w:rsidRPr="009A2E44">
        <w:rPr>
          <w:rFonts w:ascii="Garamond" w:hAnsi="Garamond"/>
        </w:rPr>
        <w:t xml:space="preserve">valuable </w:t>
      </w:r>
      <w:r w:rsidR="00733D76" w:rsidRPr="009A2E44">
        <w:rPr>
          <w:rFonts w:ascii="Garamond" w:hAnsi="Garamond"/>
        </w:rPr>
        <w:t>sedimentary archives,</w:t>
      </w:r>
      <w:r w:rsidR="00B427D8" w:rsidRPr="009A2E44">
        <w:rPr>
          <w:rFonts w:ascii="Garamond" w:hAnsi="Garamond"/>
        </w:rPr>
        <w:t xml:space="preserve"> </w:t>
      </w:r>
      <w:r w:rsidR="0024465C" w:rsidRPr="009A2E44">
        <w:rPr>
          <w:rFonts w:ascii="Garamond" w:hAnsi="Garamond"/>
        </w:rPr>
        <w:t xml:space="preserve">primarily </w:t>
      </w:r>
      <w:r w:rsidR="00733D76" w:rsidRPr="009A2E44">
        <w:rPr>
          <w:rFonts w:ascii="Garamond" w:hAnsi="Garamond"/>
        </w:rPr>
        <w:t>reflect</w:t>
      </w:r>
      <w:r w:rsidR="00B427D8" w:rsidRPr="009A2E44">
        <w:rPr>
          <w:rFonts w:ascii="Garamond" w:hAnsi="Garamond"/>
        </w:rPr>
        <w:t xml:space="preserve"> precipitation</w:t>
      </w:r>
      <w:r w:rsidR="000B049B" w:rsidRPr="009A2E44">
        <w:rPr>
          <w:rFonts w:ascii="Garamond" w:hAnsi="Garamond"/>
        </w:rPr>
        <w:t xml:space="preserve"> isotope</w:t>
      </w:r>
      <w:r w:rsidR="004A675D" w:rsidRPr="009A2E44">
        <w:rPr>
          <w:rFonts w:ascii="Garamond" w:hAnsi="Garamond"/>
        </w:rPr>
        <w:t xml:space="preserve"> ratios</w:t>
      </w:r>
      <w:r w:rsidR="00786653">
        <w:rPr>
          <w:rFonts w:ascii="Garamond" w:hAnsi="Garamond"/>
        </w:rPr>
        <w:t>; i</w:t>
      </w:r>
      <w:r w:rsidR="002D24FE" w:rsidRPr="009A2E44">
        <w:rPr>
          <w:rFonts w:ascii="Garamond" w:hAnsi="Garamond"/>
        </w:rPr>
        <w:t xml:space="preserve">mprinted </w:t>
      </w:r>
      <w:r w:rsidR="0024465C" w:rsidRPr="009A2E44">
        <w:rPr>
          <w:rFonts w:ascii="Garamond" w:hAnsi="Garamond"/>
        </w:rPr>
        <w:t xml:space="preserve">on top of the precipitation signal are </w:t>
      </w:r>
      <w:r w:rsidR="002D24FE" w:rsidRPr="009A2E44">
        <w:rPr>
          <w:rFonts w:ascii="Garamond" w:hAnsi="Garamond"/>
        </w:rPr>
        <w:t xml:space="preserve">the effects of </w:t>
      </w:r>
      <w:r w:rsidR="00B427D8" w:rsidRPr="009A2E44">
        <w:rPr>
          <w:rFonts w:ascii="Garamond" w:hAnsi="Garamond"/>
        </w:rPr>
        <w:t>evaporation</w:t>
      </w:r>
      <w:r w:rsidR="000B049B" w:rsidRPr="009A2E44">
        <w:rPr>
          <w:rFonts w:ascii="Garamond" w:hAnsi="Garamond"/>
        </w:rPr>
        <w:t xml:space="preserve"> and non-rain </w:t>
      </w:r>
      <w:r w:rsidR="008D7F2C" w:rsidRPr="009A2E44">
        <w:rPr>
          <w:rFonts w:ascii="Garamond" w:hAnsi="Garamond"/>
        </w:rPr>
        <w:t xml:space="preserve">contributions </w:t>
      </w:r>
      <w:r w:rsidR="000B049B" w:rsidRPr="009A2E44">
        <w:rPr>
          <w:rFonts w:ascii="Garamond" w:hAnsi="Garamond"/>
        </w:rPr>
        <w:t>(</w:t>
      </w:r>
      <w:r w:rsidR="00715D73" w:rsidRPr="009A2E44">
        <w:rPr>
          <w:rFonts w:ascii="Garamond" w:hAnsi="Garamond"/>
        </w:rPr>
        <w:t>i.e.,</w:t>
      </w:r>
      <w:r w:rsidR="00FD0A66" w:rsidRPr="009A2E44">
        <w:rPr>
          <w:rFonts w:ascii="Garamond" w:hAnsi="Garamond"/>
        </w:rPr>
        <w:t xml:space="preserve"> </w:t>
      </w:r>
      <w:r w:rsidR="000B049B" w:rsidRPr="009A2E44">
        <w:rPr>
          <w:rFonts w:ascii="Garamond" w:hAnsi="Garamond"/>
        </w:rPr>
        <w:t>stream</w:t>
      </w:r>
      <w:r w:rsidR="00FD0A66" w:rsidRPr="009A2E44">
        <w:rPr>
          <w:rFonts w:ascii="Garamond" w:hAnsi="Garamond"/>
        </w:rPr>
        <w:t xml:space="preserve">, </w:t>
      </w:r>
      <w:r w:rsidR="000B049B" w:rsidRPr="009A2E44">
        <w:rPr>
          <w:rFonts w:ascii="Garamond" w:hAnsi="Garamond"/>
        </w:rPr>
        <w:t>groundwater</w:t>
      </w:r>
      <w:r w:rsidR="00FD0A66" w:rsidRPr="009A2E44">
        <w:rPr>
          <w:rFonts w:ascii="Garamond" w:hAnsi="Garamond"/>
        </w:rPr>
        <w:t>, hydrothermal, or s</w:t>
      </w:r>
      <w:r w:rsidR="000B049B" w:rsidRPr="009A2E44">
        <w:rPr>
          <w:rFonts w:ascii="Garamond" w:hAnsi="Garamond"/>
        </w:rPr>
        <w:t>eawater)</w:t>
      </w:r>
      <w:r w:rsidR="00786653">
        <w:rPr>
          <w:rFonts w:ascii="Garamond" w:hAnsi="Garamond"/>
        </w:rPr>
        <w:t xml:space="preserve"> </w:t>
      </w:r>
      <w:r w:rsidR="00786653">
        <w:rPr>
          <w:rFonts w:ascii="Garamond" w:hAnsi="Garamond"/>
        </w:rPr>
        <w:fldChar w:fldCharType="begin" w:fldLock="1"/>
      </w:r>
      <w:r w:rsidR="00786653">
        <w:rPr>
          <w:rFonts w:ascii="Garamond" w:hAnsi="Garamond"/>
        </w:rPr>
        <w:instrText>ADDIN CSL_CITATION {"citationItems":[{"id":"ITEM-1","itemData":{"DOI":"10.1146/annurev-earth-053018-060220","ISSN":"0084-6597","abstract":"Stable isotope ratios of hydrogen and oxygen have been applied to water cycle research for over 60 years. Over the past two decades, however, new data, data compilations, and quantitative methods have supported the application of isotopic data to address large-scale water cycle problems. Recent results have demonstrated the impact of climate variation on atmospheric water cycling, provided constraints on continental- to global-scale land-atmosphere water vapor fluxes, revealed biases in the sources of runoff in hydrological models, and illustrated regional patterns of water use and management by people. In the past decade, global isotopic observations have spurred new debate over the role of soils in the water cycle, with potential to impact both ecological and hydrological theory. Many components of the water cycle remain underrepresented in isotopic databases. Increasing accessibility of analyses and improved platforms for data sharing will refine and grow the breadth of these contributions in the future. ▪ Isotope ratios in water integrate information on hydrological processes over scales from cities to the globe. ▪ Tracing water with isotopes helps reveal the processes that govern variability in the water cycle and may govern future global changes. ▪ Improvements in instrumentation, data sharing, and quantitative analysis have advanced isotopic water cycle science over the past 20 years.","author":[{"dropping-particle":"","family":"Bowen","given":"Gabriel J","non-dropping-particle":"","parse-names":false,"suffix":""},{"dropping-particle":"","family":"Cai","given":"Zhongyin","non-dropping-particle":"","parse-names":false,"suffix":""},{"dropping-particle":"","family":"Fiorella","given":"Richard P.","non-dropping-particle":"","parse-names":false,"suffix":""},{"dropping-particle":"","family":"Putman","given":"Annie L.","non-dropping-particle":"","parse-names":false,"suffix":""}],"container-title":"Annual Review of Earth and Planetary Sciences","id":"ITEM-1","issued":{"date-parts":[["2019"]]},"page":"453-479","title":"Isotopes in the water cycle: Regional- to global-scale patterns and applications","type":"article-journal","volume":"47"},"uris":["http://www.mendeley.com/documents/?uuid=9735cacc-bf1e-4541-a310-1c702d1572b1"]},{"id":"ITEM-2","itemData":{"DOI":"10.1146/annurev-earth-040809-152429","ISSN":"0084-6597","author":[{"dropping-particle":"","family":"Bowen","given":"Gabriel J","non-dropping-particle":"","parse-names":false,"suffix":""}],"container-title":"Annual Review of Earth and Planetary Sciences","id":"ITEM-2","issue":"1","issued":{"date-parts":[["2010","4"]]},"page":"161-187","title":"Isoscapes: Spatial Pattern in Isotopic Biogeochemistry","type":"article-journal","volume":"38"},"uris":["http://www.mendeley.com/documents/?uuid=f94469db-f023-478b-9187-4c7914f643e3"]}],"mendeley":{"formattedCitation":"(Bowen, 2010; Bowen et al., 2019)","plainTextFormattedCitation":"(Bowen, 2010; Bowen et al., 2019)","previouslyFormattedCitation":"(Bowen, 2010; Bowen et al., 2019)"},"properties":{"noteIndex":0},"schema":"https://github.com/citation-style-language/schema/raw/master/csl-citation.json"}</w:instrText>
      </w:r>
      <w:r w:rsidR="00786653">
        <w:rPr>
          <w:rFonts w:ascii="Garamond" w:hAnsi="Garamond"/>
        </w:rPr>
        <w:fldChar w:fldCharType="separate"/>
      </w:r>
      <w:r w:rsidR="00786653" w:rsidRPr="00786653">
        <w:rPr>
          <w:rFonts w:ascii="Garamond" w:hAnsi="Garamond"/>
          <w:noProof/>
        </w:rPr>
        <w:t>(Bowen, 2010; Bowen et al., 2019)</w:t>
      </w:r>
      <w:r w:rsidR="00786653">
        <w:rPr>
          <w:rFonts w:ascii="Garamond" w:hAnsi="Garamond"/>
        </w:rPr>
        <w:fldChar w:fldCharType="end"/>
      </w:r>
      <w:r w:rsidR="00733D76" w:rsidRPr="009A2E44">
        <w:rPr>
          <w:rFonts w:ascii="Garamond" w:hAnsi="Garamond"/>
        </w:rPr>
        <w:t xml:space="preserve">. </w:t>
      </w:r>
    </w:p>
    <w:p w14:paraId="79BA926B" w14:textId="5187D895" w:rsidR="004A675D" w:rsidRPr="009A2E44" w:rsidRDefault="005E33FF" w:rsidP="001C47D3">
      <w:pPr>
        <w:spacing w:line="480" w:lineRule="auto"/>
        <w:ind w:firstLine="720"/>
        <w:rPr>
          <w:rFonts w:ascii="Garamond" w:hAnsi="Garamond"/>
        </w:rPr>
      </w:pPr>
      <w:r w:rsidRPr="009A2E44">
        <w:rPr>
          <w:rFonts w:ascii="Garamond" w:hAnsi="Garamond"/>
        </w:rPr>
        <w:t>P</w:t>
      </w:r>
      <w:r w:rsidR="000B049B" w:rsidRPr="009A2E44">
        <w:rPr>
          <w:rFonts w:ascii="Garamond" w:hAnsi="Garamond"/>
        </w:rPr>
        <w:t xml:space="preserve">hytoplankton </w:t>
      </w:r>
      <w:r w:rsidR="00C46AA1" w:rsidRPr="009A2E44">
        <w:rPr>
          <w:rFonts w:ascii="Garamond" w:hAnsi="Garamond"/>
        </w:rPr>
        <w:t>lipids</w:t>
      </w:r>
      <w:r w:rsidR="00D772E7">
        <w:rPr>
          <w:rFonts w:ascii="Garamond" w:hAnsi="Garamond"/>
        </w:rPr>
        <w:t>, biomolecules that make up cellular membranes and energy stores,</w:t>
      </w:r>
      <w:r w:rsidR="00C46AA1" w:rsidRPr="009A2E44">
        <w:rPr>
          <w:rFonts w:ascii="Garamond" w:hAnsi="Garamond"/>
        </w:rPr>
        <w:t xml:space="preserve"> </w:t>
      </w:r>
      <w:r w:rsidR="000B049B" w:rsidRPr="009A2E44">
        <w:rPr>
          <w:rFonts w:ascii="Garamond" w:hAnsi="Garamond"/>
        </w:rPr>
        <w:t>have</w:t>
      </w:r>
      <w:r w:rsidR="00B427D8" w:rsidRPr="009A2E44">
        <w:rPr>
          <w:rFonts w:ascii="Garamond" w:hAnsi="Garamond"/>
        </w:rPr>
        <w:t xml:space="preserve"> </w:t>
      </w:r>
      <w:r w:rsidR="000B049B" w:rsidRPr="009A2E44">
        <w:rPr>
          <w:rFonts w:ascii="Garamond" w:hAnsi="Garamond"/>
        </w:rPr>
        <w:t>hydrogen isotope (</w:t>
      </w:r>
      <w:r w:rsidR="00733D76" w:rsidRPr="009A2E44">
        <w:rPr>
          <w:rFonts w:ascii="Garamond" w:hAnsi="Garamond"/>
          <w:vertAlign w:val="superscript"/>
        </w:rPr>
        <w:t>2</w:t>
      </w:r>
      <w:r w:rsidR="00733D76" w:rsidRPr="009A2E44">
        <w:rPr>
          <w:rFonts w:ascii="Garamond" w:hAnsi="Garamond"/>
        </w:rPr>
        <w:t>H/</w:t>
      </w:r>
      <w:r w:rsidR="00733D76" w:rsidRPr="009A2E44">
        <w:rPr>
          <w:rFonts w:ascii="Garamond" w:hAnsi="Garamond"/>
          <w:vertAlign w:val="superscript"/>
        </w:rPr>
        <w:t>1</w:t>
      </w:r>
      <w:r w:rsidR="00733D76" w:rsidRPr="009A2E44">
        <w:rPr>
          <w:rFonts w:ascii="Garamond" w:hAnsi="Garamond"/>
        </w:rPr>
        <w:t>H</w:t>
      </w:r>
      <w:r w:rsidR="000B049B" w:rsidRPr="009A2E44">
        <w:rPr>
          <w:rFonts w:ascii="Garamond" w:hAnsi="Garamond"/>
        </w:rPr>
        <w:t>)</w:t>
      </w:r>
      <w:r w:rsidR="00733D76" w:rsidRPr="009A2E44">
        <w:rPr>
          <w:rFonts w:ascii="Garamond" w:hAnsi="Garamond"/>
        </w:rPr>
        <w:t xml:space="preserve"> ratios </w:t>
      </w:r>
      <w:r w:rsidR="000B049B" w:rsidRPr="009A2E44">
        <w:rPr>
          <w:rFonts w:ascii="Garamond" w:hAnsi="Garamond"/>
        </w:rPr>
        <w:t xml:space="preserve">that are set by their environmental water </w:t>
      </w:r>
      <w:r w:rsidR="00B427D8" w:rsidRPr="009A2E44">
        <w:rPr>
          <w:rFonts w:ascii="Garamond" w:hAnsi="Garamond"/>
        </w:rPr>
        <w:fldChar w:fldCharType="begin" w:fldLock="1"/>
      </w:r>
      <w:r w:rsidR="00932F7A" w:rsidRPr="009A2E44">
        <w:rPr>
          <w:rFonts w:ascii="Garamond" w:hAnsi="Garamond"/>
        </w:rPr>
        <w:instrText>ADDIN CSL_CITATION {"citationItems":[{"id":"ITEM-1","itemData":{"DOI":"10.1016/j.orggeochem.2006.12.004","ISSN":"01466380","author":[{"dropping-particle":"","family":"Zhang","given":"Zhaohui","non-dropping-particle":"","parse-names":false,"suffix":""},{"dropping-particle":"","family":"Sachs","given":"Julian P","non-dropping-particle":"","parse-names":false,"suffix":""}],"container-title":"Organic Geochemistry","id":"ITEM-1","issued":{"date-parts":[["2007","4"]]},"page":"582-608","title":"Hydrogen isotope fractionation in freshwater algae: I. Variations among lipids and species","type":"article-journal","volume":"38"},"uris":["http://www.mendeley.com/documents/?uuid=13d8bf09-17bc-4b0f-95e1-f4ec89a6fa59"]},{"id":"ITEM-2","itemData":{"DOI":"10.1016/j.gca.2005.04.011","ISSN":"00167037","author":[{"dropping-particle":"","family":"Englebrecht","given":"Amy C","non-dropping-particle":"","parse-names":false,"suffix":""},{"dropping-particle":"","family":"Sachs","given":"Julian P","non-dropping-particle":"","parse-names":false,"suffix":""}],"container-title":"Geochimica et Cosmochimica Acta","id":"ITEM-2","issue":"17","issued":{"date-parts":[["2005","9"]]},"page":"4253-4265","title":"Determination of sediment provenance at drift sites using hydrogen isotopes and unsaturation ratios in alkenones","type":"article-journal","volume":"69"},"uris":["http://www.mendeley.com/documents/?uuid=0b9a5a44-e35b-4891-a465-70a5af967859"]},{"id":"ITEM-3","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Acta","id":"ITEM-3","issued":{"date-parts":[["2019"]]},"page":"190-206","publisher":"Elsevier Ltd","title":"Reconstructing precipitation in the tropical South Pacific from dinosterol 2H/1H ratios in lake sediment","type":"article-journal","volume":"245"},"uris":["http://www.mendeley.com/documents/?uuid=c7ab851f-4ac6-4a60-a0db-daaa3baed28f"]}],"mendeley":{"formattedCitation":"(Englebrecht and Sachs, 2005; Maloney et al., 2019; Zhang and Sachs, 2007)","plainTextFormattedCitation":"(Englebrecht and Sachs, 2005; Maloney et al., 2019; Zhang and Sachs, 2007)","previouslyFormattedCitation":"(Englebrecht and Sachs, 2005; Maloney et al., 2019; Zhang and Sachs, 2007)"},"properties":{"noteIndex":0},"schema":"https://github.com/citation-style-language/schema/raw/master/csl-citation.json"}</w:instrText>
      </w:r>
      <w:r w:rsidR="00B427D8" w:rsidRPr="009A2E44">
        <w:rPr>
          <w:rFonts w:ascii="Garamond" w:hAnsi="Garamond"/>
        </w:rPr>
        <w:fldChar w:fldCharType="separate"/>
      </w:r>
      <w:r w:rsidR="00936A85" w:rsidRPr="009A2E44">
        <w:rPr>
          <w:rFonts w:ascii="Garamond" w:hAnsi="Garamond"/>
          <w:noProof/>
        </w:rPr>
        <w:t>(Englebrecht and Sachs, 2005; Maloney et al., 2019; Zhang and Sachs, 2007)</w:t>
      </w:r>
      <w:r w:rsidR="00B427D8" w:rsidRPr="009A2E44">
        <w:rPr>
          <w:rFonts w:ascii="Garamond" w:hAnsi="Garamond"/>
        </w:rPr>
        <w:fldChar w:fldCharType="end"/>
      </w:r>
      <w:r w:rsidR="00576ED6" w:rsidRPr="009A2E44">
        <w:rPr>
          <w:rFonts w:ascii="Garamond" w:hAnsi="Garamond"/>
        </w:rPr>
        <w:t>,</w:t>
      </w:r>
      <w:r w:rsidR="00733D76" w:rsidRPr="009A2E44">
        <w:rPr>
          <w:rFonts w:ascii="Garamond" w:hAnsi="Garamond"/>
        </w:rPr>
        <w:t xml:space="preserve"> </w:t>
      </w:r>
      <w:r w:rsidR="000B049B" w:rsidRPr="009A2E44">
        <w:rPr>
          <w:rFonts w:ascii="Garamond" w:hAnsi="Garamond"/>
        </w:rPr>
        <w:t xml:space="preserve">and the accumulation </w:t>
      </w:r>
      <w:r w:rsidR="00C10749">
        <w:rPr>
          <w:rFonts w:ascii="Garamond" w:hAnsi="Garamond"/>
        </w:rPr>
        <w:t xml:space="preserve">and preservation </w:t>
      </w:r>
      <w:r w:rsidR="000B049B" w:rsidRPr="009A2E44">
        <w:rPr>
          <w:rFonts w:ascii="Garamond" w:hAnsi="Garamond"/>
        </w:rPr>
        <w:t>of these lipids in lake sediment</w:t>
      </w:r>
      <w:r w:rsidR="0060177A" w:rsidRPr="009A2E44">
        <w:rPr>
          <w:rFonts w:ascii="Garamond" w:hAnsi="Garamond"/>
        </w:rPr>
        <w:t xml:space="preserve"> </w:t>
      </w:r>
      <w:r w:rsidR="000B049B" w:rsidRPr="009A2E44">
        <w:rPr>
          <w:rFonts w:ascii="Garamond" w:hAnsi="Garamond"/>
        </w:rPr>
        <w:t>offers</w:t>
      </w:r>
      <w:r w:rsidR="00733D76" w:rsidRPr="009A2E44">
        <w:rPr>
          <w:rFonts w:ascii="Garamond" w:hAnsi="Garamond"/>
        </w:rPr>
        <w:t xml:space="preserve"> a tool </w:t>
      </w:r>
      <w:r w:rsidR="00576ED6" w:rsidRPr="009A2E44">
        <w:rPr>
          <w:rFonts w:ascii="Garamond" w:hAnsi="Garamond"/>
        </w:rPr>
        <w:t>for</w:t>
      </w:r>
      <w:r w:rsidR="00733D76" w:rsidRPr="009A2E44">
        <w:rPr>
          <w:rFonts w:ascii="Garamond" w:hAnsi="Garamond"/>
        </w:rPr>
        <w:t xml:space="preserve"> reconstruct</w:t>
      </w:r>
      <w:r w:rsidR="00576ED6" w:rsidRPr="009A2E44">
        <w:rPr>
          <w:rFonts w:ascii="Garamond" w:hAnsi="Garamond"/>
        </w:rPr>
        <w:t>ing</w:t>
      </w:r>
      <w:r w:rsidR="00733D76" w:rsidRPr="009A2E44">
        <w:rPr>
          <w:rFonts w:ascii="Garamond" w:hAnsi="Garamond"/>
        </w:rPr>
        <w:t xml:space="preserve"> past </w:t>
      </w:r>
      <w:r w:rsidR="00E75A8C" w:rsidRPr="009A2E44">
        <w:rPr>
          <w:rFonts w:ascii="Garamond" w:hAnsi="Garamond"/>
        </w:rPr>
        <w:t>hydrology</w:t>
      </w:r>
      <w:r w:rsidR="00B427D8" w:rsidRPr="009A2E44">
        <w:rPr>
          <w:rFonts w:ascii="Garamond" w:hAnsi="Garamond"/>
        </w:rPr>
        <w:t xml:space="preserve">. </w:t>
      </w:r>
      <w:r w:rsidR="000B049B" w:rsidRPr="009A2E44">
        <w:rPr>
          <w:rFonts w:ascii="Garamond" w:hAnsi="Garamond"/>
        </w:rPr>
        <w:t>The dinoflagellate lipid bioma</w:t>
      </w:r>
      <w:r w:rsidR="0076647C" w:rsidRPr="009A2E44">
        <w:rPr>
          <w:rFonts w:ascii="Garamond" w:hAnsi="Garamond"/>
        </w:rPr>
        <w:t>r</w:t>
      </w:r>
      <w:r w:rsidR="000B049B" w:rsidRPr="009A2E44">
        <w:rPr>
          <w:rFonts w:ascii="Garamond" w:hAnsi="Garamond"/>
        </w:rPr>
        <w:t>ker</w:t>
      </w:r>
      <w:r w:rsidR="00B427D8" w:rsidRPr="009A2E44">
        <w:rPr>
          <w:rFonts w:ascii="Garamond" w:hAnsi="Garamond"/>
        </w:rPr>
        <w:t xml:space="preserve"> </w:t>
      </w:r>
      <w:proofErr w:type="spellStart"/>
      <w:r w:rsidR="00B427D8" w:rsidRPr="009A2E44">
        <w:rPr>
          <w:rFonts w:ascii="Garamond" w:hAnsi="Garamond"/>
        </w:rPr>
        <w:t>dinosterol</w:t>
      </w:r>
      <w:proofErr w:type="spellEnd"/>
      <w:r w:rsidR="00B427D8" w:rsidRPr="009A2E44">
        <w:rPr>
          <w:rFonts w:ascii="Garamond" w:hAnsi="Garamond"/>
        </w:rPr>
        <w:t xml:space="preserve"> </w:t>
      </w:r>
      <w:r w:rsidR="00371694" w:rsidRPr="009A2E44">
        <w:rPr>
          <w:rFonts w:ascii="Garamond" w:hAnsi="Garamond"/>
        </w:rPr>
        <w:t>(4a, 23, 24-trimethyl-5a-cholest-22E-en-3β-</w:t>
      </w:r>
      <w:proofErr w:type="spellStart"/>
      <w:r w:rsidR="00371694" w:rsidRPr="009A2E44">
        <w:rPr>
          <w:rFonts w:ascii="Garamond" w:hAnsi="Garamond"/>
        </w:rPr>
        <w:t>ol</w:t>
      </w:r>
      <w:proofErr w:type="spellEnd"/>
      <w:r w:rsidR="00371694" w:rsidRPr="009A2E44">
        <w:rPr>
          <w:rFonts w:ascii="Garamond" w:hAnsi="Garamond"/>
        </w:rPr>
        <w:t xml:space="preserve">) </w:t>
      </w:r>
      <w:r w:rsidR="000B049B" w:rsidRPr="009A2E44">
        <w:rPr>
          <w:rFonts w:ascii="Garamond" w:hAnsi="Garamond"/>
        </w:rPr>
        <w:t xml:space="preserve">was targeted for this study </w:t>
      </w:r>
      <w:r w:rsidR="00B427D8" w:rsidRPr="009A2E44">
        <w:rPr>
          <w:rFonts w:ascii="Garamond" w:hAnsi="Garamond"/>
        </w:rPr>
        <w:t xml:space="preserve">since it is highly source-specific and produced by only a limited number of taxa </w:t>
      </w:r>
      <w:r w:rsidR="00B427D8" w:rsidRPr="009A2E44">
        <w:rPr>
          <w:rFonts w:ascii="Garamond" w:hAnsi="Garamond"/>
        </w:rPr>
        <w:fldChar w:fldCharType="begin" w:fldLock="1"/>
      </w:r>
      <w:r w:rsidR="00932F7A" w:rsidRPr="009A2E44">
        <w:rPr>
          <w:rFonts w:ascii="Garamond" w:hAnsi="Garamond"/>
        </w:rPr>
        <w:instrText>ADDIN CSL_CITATION {"citationItems":[{"id":"ITEM-1","itemData":{"DOI":"10.1016/j.orggeochem.2004.06.013","ISSN":"01466380","author":[{"dropping-particle":"","family":"Volkman","given":"John K","non-dropping-particle":"","parse-names":false,"suffix":""}],"container-title":"Organic Geochemistry","id":"ITEM-1","issued":{"date-parts":[["2005","2"]]},"page":"139-159","title":"Sterols and other triterpenoids: source specificity and evolution of biosynthetic pathways","type":"article-journal","volume":"36"},"uris":["http://www.mendeley.com/documents/?uuid=67af1536-5246-4aff-8b73-771544a3d4a3"]},{"id":"ITEM-2","itemData":{"DOI":"10.1016/S0146-6380(98)00062-X","ISSN":"01466380","author":[{"dropping-particle":"","family":"Volkman","given":"John K","non-dropping-particle":"","parse-names":false,"suffix":""},{"dropping-particle":"","family":"Barrett","given":"Stephanie M","non-dropping-particle":"","parse-names":false,"suffix":""},{"dropping-particle":"","family":"Blackburn","given":"Susan I","non-dropping-particle":"","parse-names":false,"suffix":""},{"dropping-particle":"","family":"Mansour","given":"Maged P","non-dropping-particle":"","parse-names":false,"suffix":""},{"dropping-particle":"","family":"Sikes","given":"Elisabeth L","non-dropping-particle":"","parse-names":false,"suffix":""},{"dropping-particle":"","family":"Gelin","given":"François","non-dropping-particle":"","parse-names":false,"suffix":""}],"container-title":"Organic Geochemistry","id":"ITEM-2","issue":"5-7","issued":{"date-parts":[["1998","11"]]},"page":"1163-1179","title":"Microalgal biomarkers: A review of recent research developments","type":"article-journal","volume":"29"},"uris":["http://www.mendeley.com/documents/?uuid=f49fc2fe-15ee-47aa-b5f6-e3f09d0023e5"]},{"id":"ITEM-3","itemData":{"DOI":"10.1016/0146-6380(93)90076-N","ISBN":"0146-6380","ISSN":"01466380","PMID":"12864","abstract":"The 4-methyl sterol 4??,23,24R-trimethyl-5??-cholest-22E-en-3??-ol (dinosterol) is commonly used as an unambiguous biomarker for organic matter derived from dinoflagellates in sediments and seawater. Consequently, the presence in petroleum of the saturated hydrocarbon dinosterane, which is thought to be derived from dinosterol, is used as evidence for the presence of dinoflagellate organic matter in petroleum source rocks. Here we report the first identification of dinosterol (or its C-24 epimer since the two are not separable on conventional non-polar capillary columns) in a laboratory culture of a marine diatom Navicula sp. (CS-46c). Although it was only a minor constituent (2.0-3.6% of total sterols), this result indicates that diatoms may be a source of dinosterol in marine sediments particularly those lacking obvious contributions of organic matter from dinoflagellates. Navicula sp. also contained the 4-methyl sterols 4??,24-dimethyl-5??-cholest-22E-en-3??-ol (9.7-12.6%), 4??,24-dimethyl-5??-cholestan-3??-ol (2.0-3.4%) and 4??,23,24-trimethyl-5??-cholestan-3??-ol (dinostanol or its C-23/C-24 epimer; 0.3-0.6%). The 4-desmethyl sterol fraction included the common diatom sterol 24-methylcholesta-5,22E-dien-3??-ol (20.2-30.5%), but the major sterol was 24-ethylcholest-5-en-3??-ol (31.0-38.6%). This provides another example of a marine algal source for C29 sterols. Minor amounts of 23,24-dimethylcholesta-5,22E-dien-3??-ol were also found. Ultrastructural studies were made, but no evidence could be obtained for a dinoflagellate symbiont, and the fatty acid and pigment distributions were typical of marine diatoms. An unusual compound tentatively identified as a C34 tetra-unsaturated straight-chain alcohol was also detected. ?? 1993.","author":[{"dropping-particle":"","family":"Volkman","given":"John K","non-dropping-particle":"","parse-names":false,"suffix":""},{"dropping-particle":"","family":"Barrett","given":"Stephanie M","non-dropping-particle":"","parse-names":false,"suffix":""},{"dropping-particle":"","family":"Dunstan","given":"Graeme A","non-dropping-particle":"","parse-names":false,"suffix":""},{"dropping-particle":"","family":"Jeffrey","given":"S W","non-dropping-particle":"","parse-names":false,"suffix":""}],"container-title":"Organic Geochemistry","id":"ITEM-3","issue":"1","issued":{"date-parts":[["1993"]]},"page":"7-15","title":"Geochemical significance of the occurrence of dinosterol and other 4-methyl sterols in a marine diatom","type":"article-journal","volume":"20"},"uris":["http://www.mendeley.com/documents/?uuid=bce23968-4012-413d-b544-2edf039d6df5"]}],"mendeley":{"formattedCitation":"(Volkman, 2005; Volkman et al., 1998, 1993)","plainTextFormattedCitation":"(Volkman, 2005; Volkman et al., 1998, 1993)","previouslyFormattedCitation":"(Volkman, 2005; Volkman et al., 1998, 1993)"},"properties":{"noteIndex":0},"schema":"https://github.com/citation-style-language/schema/raw/master/csl-citation.json"}</w:instrText>
      </w:r>
      <w:r w:rsidR="00B427D8" w:rsidRPr="009A2E44">
        <w:rPr>
          <w:rFonts w:ascii="Garamond" w:hAnsi="Garamond"/>
        </w:rPr>
        <w:fldChar w:fldCharType="separate"/>
      </w:r>
      <w:r w:rsidR="00936A85" w:rsidRPr="009A2E44">
        <w:rPr>
          <w:rFonts w:ascii="Garamond" w:hAnsi="Garamond"/>
          <w:noProof/>
        </w:rPr>
        <w:t>(Volkman, 2005; Volkman et al., 1998, 1993)</w:t>
      </w:r>
      <w:r w:rsidR="00B427D8" w:rsidRPr="009A2E44">
        <w:rPr>
          <w:rFonts w:ascii="Garamond" w:hAnsi="Garamond"/>
        </w:rPr>
        <w:fldChar w:fldCharType="end"/>
      </w:r>
      <w:r w:rsidR="00C46AA1" w:rsidRPr="009A2E44">
        <w:rPr>
          <w:rFonts w:ascii="Garamond" w:hAnsi="Garamond"/>
        </w:rPr>
        <w:t>. T</w:t>
      </w:r>
      <w:r w:rsidR="00083CA1" w:rsidRPr="009A2E44">
        <w:rPr>
          <w:rFonts w:ascii="Garamond" w:hAnsi="Garamond"/>
        </w:rPr>
        <w:t>he</w:t>
      </w:r>
      <w:r w:rsidR="008D7F2C" w:rsidRPr="009A2E44">
        <w:rPr>
          <w:rFonts w:ascii="Garamond" w:hAnsi="Garamond"/>
        </w:rPr>
        <w:t xml:space="preserve"> hydrogen isotopic composition </w:t>
      </w:r>
      <w:r w:rsidR="004A675D" w:rsidRPr="009A2E44">
        <w:rPr>
          <w:rFonts w:ascii="Garamond" w:hAnsi="Garamond"/>
        </w:rPr>
        <w:t xml:space="preserve">of </w:t>
      </w:r>
      <w:r w:rsidR="004E652A" w:rsidRPr="009A2E44">
        <w:rPr>
          <w:rFonts w:ascii="Garamond" w:hAnsi="Garamond"/>
        </w:rPr>
        <w:t>this</w:t>
      </w:r>
      <w:r w:rsidR="004A675D" w:rsidRPr="009A2E44">
        <w:rPr>
          <w:rFonts w:ascii="Garamond" w:hAnsi="Garamond"/>
        </w:rPr>
        <w:t xml:space="preserve"> lipid biomarker </w:t>
      </w:r>
      <w:r w:rsidR="004E652A" w:rsidRPr="009A2E44">
        <w:rPr>
          <w:rFonts w:ascii="Garamond" w:hAnsi="Garamond"/>
        </w:rPr>
        <w:t>is</w:t>
      </w:r>
      <w:r w:rsidR="004A675D" w:rsidRPr="009A2E44">
        <w:rPr>
          <w:rFonts w:ascii="Garamond" w:hAnsi="Garamond"/>
        </w:rPr>
        <w:t xml:space="preserve"> expressed as δ</w:t>
      </w:r>
      <w:r w:rsidR="004A675D" w:rsidRPr="009A2E44">
        <w:rPr>
          <w:rFonts w:ascii="Garamond" w:hAnsi="Garamond"/>
          <w:vertAlign w:val="superscript"/>
        </w:rPr>
        <w:t>2</w:t>
      </w:r>
      <w:r w:rsidR="004A675D" w:rsidRPr="009A2E44">
        <w:rPr>
          <w:rFonts w:ascii="Garamond" w:hAnsi="Garamond"/>
        </w:rPr>
        <w:t>H</w:t>
      </w:r>
      <w:r w:rsidR="004A675D" w:rsidRPr="009A2E44">
        <w:rPr>
          <w:rFonts w:ascii="Garamond" w:hAnsi="Garamond"/>
          <w:vertAlign w:val="subscript"/>
        </w:rPr>
        <w:t>dinosterol</w:t>
      </w:r>
      <w:r w:rsidR="004A675D" w:rsidRPr="009A2E44">
        <w:rPr>
          <w:rFonts w:ascii="Garamond" w:hAnsi="Garamond"/>
        </w:rPr>
        <w:t xml:space="preserve"> (δ</w:t>
      </w:r>
      <w:r w:rsidR="00E70F0E" w:rsidRPr="009A2E44">
        <w:rPr>
          <w:rFonts w:ascii="Garamond" w:hAnsi="Garamond"/>
          <w:vertAlign w:val="superscript"/>
        </w:rPr>
        <w:t>2</w:t>
      </w:r>
      <w:r w:rsidR="00E70F0E" w:rsidRPr="009A2E44">
        <w:rPr>
          <w:rFonts w:ascii="Garamond" w:hAnsi="Garamond"/>
        </w:rPr>
        <w:t>H</w:t>
      </w:r>
      <w:r w:rsidR="004A675D" w:rsidRPr="009A2E44">
        <w:rPr>
          <w:rFonts w:ascii="Garamond" w:hAnsi="Garamond"/>
          <w:vertAlign w:val="subscript"/>
        </w:rPr>
        <w:t xml:space="preserve"> </w:t>
      </w:r>
      <w:r w:rsidR="004A675D" w:rsidRPr="009A2E44">
        <w:rPr>
          <w:rFonts w:ascii="Garamond" w:hAnsi="Garamond"/>
        </w:rPr>
        <w:t>= [</w:t>
      </w:r>
      <w:r w:rsidR="00F23D1A">
        <w:rPr>
          <w:rFonts w:ascii="Garamond" w:hAnsi="Garamond"/>
        </w:rPr>
        <w:t>(</w:t>
      </w:r>
      <w:r w:rsidR="00F23D1A" w:rsidRPr="00F23D1A">
        <w:rPr>
          <w:vertAlign w:val="superscript"/>
          <w:lang w:val="de-DE"/>
        </w:rPr>
        <w:t>2</w:t>
      </w:r>
      <w:r w:rsidR="00F23D1A" w:rsidRPr="00F23D1A">
        <w:rPr>
          <w:lang w:val="de-DE"/>
        </w:rPr>
        <w:t>H/</w:t>
      </w:r>
      <w:r w:rsidR="00F23D1A" w:rsidRPr="00F23D1A">
        <w:rPr>
          <w:vertAlign w:val="superscript"/>
          <w:lang w:val="de-DE"/>
        </w:rPr>
        <w:t>1</w:t>
      </w:r>
      <w:proofErr w:type="gramStart"/>
      <w:r w:rsidR="00F23D1A" w:rsidRPr="00F23D1A">
        <w:rPr>
          <w:lang w:val="de-DE"/>
        </w:rPr>
        <w:t>H</w:t>
      </w:r>
      <w:r w:rsidR="00F23D1A">
        <w:rPr>
          <w:rFonts w:ascii="Garamond" w:hAnsi="Garamond"/>
        </w:rPr>
        <w:t>)</w:t>
      </w:r>
      <w:r w:rsidR="004A675D" w:rsidRPr="009A2E44">
        <w:rPr>
          <w:rFonts w:ascii="Garamond" w:hAnsi="Garamond"/>
          <w:vertAlign w:val="subscript"/>
        </w:rPr>
        <w:t>sample</w:t>
      </w:r>
      <w:proofErr w:type="gramEnd"/>
      <w:r w:rsidR="004A675D" w:rsidRPr="009A2E44">
        <w:rPr>
          <w:rFonts w:ascii="Garamond" w:hAnsi="Garamond"/>
        </w:rPr>
        <w:t>/</w:t>
      </w:r>
      <w:r w:rsidR="00F23D1A">
        <w:rPr>
          <w:rFonts w:ascii="Garamond" w:hAnsi="Garamond"/>
        </w:rPr>
        <w:t>(</w:t>
      </w:r>
      <w:r w:rsidR="00F23D1A" w:rsidRPr="00F23D1A">
        <w:rPr>
          <w:vertAlign w:val="superscript"/>
          <w:lang w:val="de-DE"/>
        </w:rPr>
        <w:t>2</w:t>
      </w:r>
      <w:r w:rsidR="00F23D1A" w:rsidRPr="00F23D1A">
        <w:rPr>
          <w:lang w:val="de-DE"/>
        </w:rPr>
        <w:t>H/</w:t>
      </w:r>
      <w:r w:rsidR="00F23D1A" w:rsidRPr="00F23D1A">
        <w:rPr>
          <w:vertAlign w:val="superscript"/>
          <w:lang w:val="de-DE"/>
        </w:rPr>
        <w:t>1</w:t>
      </w:r>
      <w:r w:rsidR="00F23D1A" w:rsidRPr="00F23D1A">
        <w:rPr>
          <w:lang w:val="de-DE"/>
        </w:rPr>
        <w:t>H</w:t>
      </w:r>
      <w:r w:rsidR="00F23D1A">
        <w:rPr>
          <w:rFonts w:ascii="Garamond" w:hAnsi="Garamond"/>
        </w:rPr>
        <w:t>)</w:t>
      </w:r>
      <w:r w:rsidR="004A675D" w:rsidRPr="009A2E44">
        <w:rPr>
          <w:rFonts w:ascii="Garamond" w:hAnsi="Garamond"/>
          <w:vertAlign w:val="subscript"/>
        </w:rPr>
        <w:t>VSMOW</w:t>
      </w:r>
      <w:r w:rsidR="004A675D" w:rsidRPr="009A2E44">
        <w:rPr>
          <w:rFonts w:ascii="Garamond" w:hAnsi="Garamond"/>
        </w:rPr>
        <w:t>]</w:t>
      </w:r>
      <w:r w:rsidR="004A675D" w:rsidRPr="009A2E44">
        <w:rPr>
          <w:rFonts w:ascii="Garamond" w:hAnsi="Garamond"/>
          <w:vertAlign w:val="subscript"/>
        </w:rPr>
        <w:t xml:space="preserve"> </w:t>
      </w:r>
      <w:r w:rsidR="004A675D" w:rsidRPr="009A2E44">
        <w:rPr>
          <w:rFonts w:ascii="Garamond" w:hAnsi="Garamond"/>
        </w:rPr>
        <w:t>– 1, VSMOW is Vienna Standard Mean Ocean Water)</w:t>
      </w:r>
      <w:r w:rsidR="004E652A" w:rsidRPr="009A2E44">
        <w:rPr>
          <w:rFonts w:ascii="Garamond" w:hAnsi="Garamond"/>
        </w:rPr>
        <w:t>.</w:t>
      </w:r>
      <w:r w:rsidR="00B20902" w:rsidRPr="009A2E44">
        <w:rPr>
          <w:rFonts w:ascii="Garamond" w:hAnsi="Garamond"/>
        </w:rPr>
        <w:t xml:space="preserve"> </w:t>
      </w:r>
      <w:r w:rsidR="00CD0F49" w:rsidRPr="009A2E44">
        <w:rPr>
          <w:rFonts w:ascii="Garamond" w:hAnsi="Garamond"/>
        </w:rPr>
        <w:t>The δ</w:t>
      </w:r>
      <w:r w:rsidR="00CD0F49" w:rsidRPr="009A2E44">
        <w:rPr>
          <w:rFonts w:ascii="Garamond" w:hAnsi="Garamond"/>
          <w:vertAlign w:val="superscript"/>
        </w:rPr>
        <w:t>2</w:t>
      </w:r>
      <w:r w:rsidR="00CD0F49" w:rsidRPr="009A2E44">
        <w:rPr>
          <w:rFonts w:ascii="Garamond" w:hAnsi="Garamond"/>
        </w:rPr>
        <w:t>H</w:t>
      </w:r>
      <w:r w:rsidR="00CD0F49" w:rsidRPr="009A2E44">
        <w:rPr>
          <w:rFonts w:ascii="Garamond" w:hAnsi="Garamond"/>
          <w:vertAlign w:val="subscript"/>
        </w:rPr>
        <w:t>dinosterol</w:t>
      </w:r>
      <w:r w:rsidR="00CD0F49" w:rsidRPr="009A2E44">
        <w:rPr>
          <w:rFonts w:ascii="Garamond" w:hAnsi="Garamond"/>
        </w:rPr>
        <w:t xml:space="preserve"> proxy has enhanced our understanding of Late Holocene climate in brackish lakes in Palau </w:t>
      </w:r>
      <w:r w:rsidR="00CD0F49" w:rsidRPr="009A2E44">
        <w:rPr>
          <w:rFonts w:ascii="Garamond" w:hAnsi="Garamond"/>
        </w:rPr>
        <w:fldChar w:fldCharType="begin" w:fldLock="1"/>
      </w:r>
      <w:r w:rsidR="00CD0F49" w:rsidRPr="009A2E44">
        <w:rPr>
          <w:rFonts w:ascii="Garamond" w:hAnsi="Garamond"/>
        </w:rPr>
        <w:instrText>ADDIN CSL_CITATION {"citationItems":[{"id":"ITEM-1","itemData":{"DOI":"10.1029/2018PA003469","author":[{"dropping-particle":"","family":"Sachs","given":"Julian P","non-dropping-particle":"","parse-names":false,"suffix":""},{"dropping-particle":"","family":"Blois","given":"Jessica L","non-dropping-particle":"","parse-names":false,"suffix":""},{"dropping-particle":"","family":"McGee","given":"Tessa","non-dropping-particle":"","parse-names":false,"suffix":""},{"dropping-particle":"","family":"Wolhowe","given":"Matthew D","non-dropping-particle":"","parse-names":false,"suffix":""},{"dropping-particle":"","family":"Haberle","given":"Simon G","non-dropping-particle":"","parse-names":false,"suffix":""},{"dropping-particle":"","family":"Clark","given":"Geoffrey","non-dropping-particle":"","parse-names":false,"suffix":""},{"dropping-particle":"","family":"Atahan","given":"Pia","non-dropping-particle":"","parse-names":false,"suffix":""}],"container-title":"Paleoceanography and Paleoclimatology","id":"ITEM-1","issued":{"date-parts":[["2018"]]},"page":"1-13","title":"Southward shift of the Pacific ITCZ during the Holocene","type":"article-journal","volume":"33"},"uris":["http://www.mendeley.com/documents/?uuid=4774975a-14a0-45e6-8cf3-3b80b15573a3"]},{"id":"ITEM-2","itemData":{"DOI":"10.1130/G37822.1","author":[{"dropping-particle":"","family":"Richey","given":"Julie N","non-dropping-particle":"","parse-names":false,"suffix":""},{"dropping-particle":"","family":"Sachs","given":"Julian P","non-dropping-particle":"","parse-names":false,"suffix":""}],"container-title":"Geology","id":"ITEM-2","issue":"8","issued":{"date-parts":[["2016"]]},"page":"671-674","title":"Precipitation changes in the western tropical Pacific over the past millennium","type":"article-journal","volume":"44"},"uris":["http://www.mendeley.com/documents/?uuid=201c5133-7217-4592-b001-6f95f9c43d84"]},{"id":"ITEM-3","itemData":{"DOI":"10.1016/j.quascirev.2011.01.012","ISSN":"02773791","author":[{"dropping-particle":"","family":"Smittenberg","given":"Rienk H","non-dropping-particle":"","parse-names":false,"suffix":""},{"dropping-particle":"","family":"Saenger","given":"Casey","non-dropping-particle":"","parse-names":false,"suffix":""},{"dropping-particle":"","family":"Dawson","given":"M N","non-dropping-particle":"","parse-names":false,"suffix":""},{"dropping-particle":"","family":"Sachs","given":"Julian P","non-dropping-particle":"","parse-names":false,"suffix":""}],"container-title":"Quaternary Science Reviews","id":"ITEM-3","issued":{"date-parts":[["2011","4"]]},"page":"921-933","title":"Compound-specific D/H ratios of the marine lakes of Palau as proxies for West Pacific Warm Pool hydrologic variability","type":"article-journal","volume":"30"},"uris":["http://www.mendeley.com/documents/?uuid=a7ab952f-4fe3-48a5-97b9-547f1a718ef5"]}],"mendeley":{"formattedCitation":"(Richey and Sachs, 2016; Sachs et al., 2018; Smittenberg et al., 2011)","plainTextFormattedCitation":"(Richey and Sachs, 2016; Sachs et al., 2018; Smittenberg et al., 2011)","previouslyFormattedCitation":"(Richey and Sachs, 2016; Sachs et al., 2018; Smittenberg et al., 2011)"},"properties":{"noteIndex":0},"schema":"https://github.com/citation-style-language/schema/raw/master/csl-citation.json"}</w:instrText>
      </w:r>
      <w:r w:rsidR="00CD0F49" w:rsidRPr="009A2E44">
        <w:rPr>
          <w:rFonts w:ascii="Garamond" w:hAnsi="Garamond"/>
        </w:rPr>
        <w:fldChar w:fldCharType="separate"/>
      </w:r>
      <w:r w:rsidR="00CD0F49" w:rsidRPr="009A2E44">
        <w:rPr>
          <w:rFonts w:ascii="Garamond" w:hAnsi="Garamond"/>
          <w:noProof/>
        </w:rPr>
        <w:t>(Richey and Sachs, 2016; Sachs et al., 2018; Smittenberg et al., 2011)</w:t>
      </w:r>
      <w:r w:rsidR="00CD0F49" w:rsidRPr="009A2E44">
        <w:rPr>
          <w:rFonts w:ascii="Garamond" w:hAnsi="Garamond"/>
        </w:rPr>
        <w:fldChar w:fldCharType="end"/>
      </w:r>
      <w:r w:rsidR="00C523DB" w:rsidRPr="009A2E44">
        <w:rPr>
          <w:rFonts w:ascii="Garamond" w:hAnsi="Garamond"/>
        </w:rPr>
        <w:t xml:space="preserve">, </w:t>
      </w:r>
      <w:r w:rsidR="00CD0F49" w:rsidRPr="009A2E44">
        <w:rPr>
          <w:rFonts w:ascii="Garamond" w:hAnsi="Garamond"/>
        </w:rPr>
        <w:t xml:space="preserve">brackish </w:t>
      </w:r>
      <w:r w:rsidR="00CD0F49" w:rsidRPr="009A2E44">
        <w:rPr>
          <w:rFonts w:ascii="Garamond" w:hAnsi="Garamond"/>
        </w:rPr>
        <w:fldChar w:fldCharType="begin" w:fldLock="1"/>
      </w:r>
      <w:r w:rsidR="00CD0F49" w:rsidRPr="009A2E44">
        <w:rPr>
          <w:rFonts w:ascii="Garamond" w:hAnsi="Garamond"/>
        </w:rPr>
        <w:instrText>ADDIN CSL_CITATION {"citationItems":[{"id":"ITEM-1","itemData":{"DOI":"10.1073/pnas.1516271113","author":[{"dropping-particle":"","family":"Nelson","given":"Daniel B","non-dropping-particle":"","parse-names":false,"suffix":""},{"dropping-particle":"","family":"Sachs","given":"Julian P","non-dropping-particle":"","parse-names":false,"suffix":""}],"container-title":"Proceedings of the National Academy of Sciences of the United States of America","id":"ITEM-1","issue":"13","issued":{"date-parts":[["2016"]]},"page":"3476-3481","title":"Galápagos hydroclimate of the Common Era from paired microalgal and mangrove biomarker 2H/1H values","type":"article-journal","volume":"113"},"uris":["http://www.mendeley.com/documents/?uuid=df473d62-948f-4d3d-b6ab-6f7b68212d81"]}],"mendeley":{"formattedCitation":"(Nelson and Sachs, 2016)","plainTextFormattedCitation":"(Nelson and Sachs, 2016)","previouslyFormattedCitation":"(Nelson and Sachs, 2016)"},"properties":{"noteIndex":0},"schema":"https://github.com/citation-style-language/schema/raw/master/csl-citation.json"}</w:instrText>
      </w:r>
      <w:r w:rsidR="00CD0F49" w:rsidRPr="009A2E44">
        <w:rPr>
          <w:rFonts w:ascii="Garamond" w:hAnsi="Garamond"/>
        </w:rPr>
        <w:fldChar w:fldCharType="separate"/>
      </w:r>
      <w:r w:rsidR="00CD0F49" w:rsidRPr="009A2E44">
        <w:rPr>
          <w:rFonts w:ascii="Garamond" w:hAnsi="Garamond"/>
          <w:noProof/>
        </w:rPr>
        <w:t>(Nelson and Sachs, 2016)</w:t>
      </w:r>
      <w:r w:rsidR="00CD0F49" w:rsidRPr="009A2E44">
        <w:rPr>
          <w:rFonts w:ascii="Garamond" w:hAnsi="Garamond"/>
        </w:rPr>
        <w:fldChar w:fldCharType="end"/>
      </w:r>
      <w:r w:rsidR="00CD0F49" w:rsidRPr="009A2E44">
        <w:rPr>
          <w:rFonts w:ascii="Garamond" w:hAnsi="Garamond"/>
        </w:rPr>
        <w:t xml:space="preserve"> and freshwater </w:t>
      </w:r>
      <w:r w:rsidR="00083CA1" w:rsidRPr="009A2E44">
        <w:rPr>
          <w:rFonts w:ascii="Garamond" w:hAnsi="Garamond"/>
        </w:rPr>
        <w:fldChar w:fldCharType="begin" w:fldLock="1"/>
      </w:r>
      <w:r w:rsidR="00083CA1" w:rsidRPr="009A2E44">
        <w:rPr>
          <w:rFonts w:ascii="Garamond" w:hAnsi="Garamond"/>
        </w:rPr>
        <w:instrText>ADDIN CSL_CITATION {"citationItems":[{"id":"ITEM-1","itemData":{"DOI":"doi: 10.1016/j.epsl.2014.07.038","author":[{"dropping-particle":"","family":"Atwood","given":"Alyssa R","non-dropping-particle":"","parse-names":false,"suffix":""},{"dropping-particle":"","family":"Sachs","given":"Julian P","non-dropping-particle":"","parse-names":false,"suffix":""}],"container-title":"Earth and Planetary Science Letters","id":"ITEM-1","issued":{"date-parts":[["2014"]]},"page":"408-419","title":"Separating ITCZ- and ENSO-related rainfall changes in the Galápagos over the last 3 kyr using D/H ratios of multiple lipid biomarkers","type":"article-journal","volume":"404"},"uris":["http://www.mendeley.com/documents/?uuid=c01fb347-64ee-4a03-bae1-951e0e399800"]}],"mendeley":{"formattedCitation":"(Atwood and Sachs, 2014)","plainTextFormattedCitation":"(Atwood and Sachs, 2014)","previouslyFormattedCitation":"(Atwood and Sachs, 2014)"},"properties":{"noteIndex":0},"schema":"https://github.com/citation-style-language/schema/raw/master/csl-citation.json"}</w:instrText>
      </w:r>
      <w:r w:rsidR="00083CA1" w:rsidRPr="009A2E44">
        <w:rPr>
          <w:rFonts w:ascii="Garamond" w:hAnsi="Garamond"/>
        </w:rPr>
        <w:fldChar w:fldCharType="separate"/>
      </w:r>
      <w:r w:rsidR="00083CA1" w:rsidRPr="009A2E44">
        <w:rPr>
          <w:rFonts w:ascii="Garamond" w:hAnsi="Garamond"/>
          <w:noProof/>
        </w:rPr>
        <w:t>(Atwood and Sachs, 2014)</w:t>
      </w:r>
      <w:r w:rsidR="00083CA1" w:rsidRPr="009A2E44">
        <w:rPr>
          <w:rFonts w:ascii="Garamond" w:hAnsi="Garamond"/>
        </w:rPr>
        <w:fldChar w:fldCharType="end"/>
      </w:r>
      <w:r w:rsidR="00083CA1" w:rsidRPr="009A2E44">
        <w:rPr>
          <w:rFonts w:ascii="Garamond" w:hAnsi="Garamond"/>
        </w:rPr>
        <w:t xml:space="preserve"> </w:t>
      </w:r>
      <w:r w:rsidR="00CD0F49" w:rsidRPr="009A2E44">
        <w:rPr>
          <w:rFonts w:ascii="Garamond" w:hAnsi="Garamond"/>
        </w:rPr>
        <w:t>lakes in the Galápagos Islands</w:t>
      </w:r>
      <w:r w:rsidR="00C523DB" w:rsidRPr="009A2E44">
        <w:rPr>
          <w:rFonts w:ascii="Garamond" w:hAnsi="Garamond"/>
        </w:rPr>
        <w:t>, and a freshwater lake on Washington Island in the Northern Line Islands</w:t>
      </w:r>
      <w:r w:rsidR="00557883" w:rsidRPr="009A2E44">
        <w:rPr>
          <w:rFonts w:ascii="Garamond" w:hAnsi="Garamond"/>
        </w:rPr>
        <w:t xml:space="preserve"> </w:t>
      </w:r>
      <w:r w:rsidR="00557883" w:rsidRPr="009A2E44">
        <w:rPr>
          <w:rFonts w:ascii="Garamond" w:hAnsi="Garamond"/>
        </w:rPr>
        <w:fldChar w:fldCharType="begin" w:fldLock="1"/>
      </w:r>
      <w:r w:rsidR="00715D73" w:rsidRPr="009A2E44">
        <w:rPr>
          <w:rFonts w:ascii="Garamond" w:hAnsi="Garamond"/>
        </w:rPr>
        <w:instrText xml:space="preserve">ADDIN CSL_CITATION {"citationItems":[{"id":"ITEM-1","itemData":{"DOI":"10.1016/j.quascirev.2021.106906","ISSN":"02773791","abstract":"Hydrogen isotope ratios (2H/1H or δ2H) were measured in lipid biomarkers from algal, plant and microbial sources in sediment cores from a lake and a peat bog on the small, sparsely-inhabited Washington Island (4°43′N, 160°25′W) to assess central equatorial Pacific hydroclimate conditions during the last millennium. High δ2H values in lipids from a variety of biological sources indicate that the driest period of the last millennium occurred </w:instrText>
      </w:r>
      <w:r w:rsidR="00715D73" w:rsidRPr="009A2E44">
        <w:rPr>
          <w:rFonts w:ascii="Cambria Math" w:hAnsi="Cambria Math" w:cs="Cambria Math"/>
        </w:rPr>
        <w:instrText>∼</w:instrText>
      </w:r>
      <w:r w:rsidR="00715D73" w:rsidRPr="009A2E44">
        <w:rPr>
          <w:rFonts w:ascii="Garamond" w:hAnsi="Garamond"/>
        </w:rPr>
        <w:instrText xml:space="preserve">1450–1600 CE, during the first half of the Little Ice Age (LIA; 1450–1850 CE). An Intertropical Convergence Zone (ITCZ) located south of its modern position, less frequent and/or weaker El Niño events, and/or a La Niña-like mean state in the tropical Pacific are potential causes for this drying at Washington Island. From </w:instrText>
      </w:r>
      <w:r w:rsidR="00715D73" w:rsidRPr="009A2E44">
        <w:rPr>
          <w:rFonts w:ascii="Cambria Math" w:hAnsi="Cambria Math" w:cs="Cambria Math"/>
        </w:rPr>
        <w:instrText>∼</w:instrText>
      </w:r>
      <w:r w:rsidR="00715D73" w:rsidRPr="009A2E44">
        <w:rPr>
          <w:rFonts w:ascii="Garamond" w:hAnsi="Garamond"/>
        </w:rPr>
        <w:instrText xml:space="preserve">1600 to 1650 CE, an abrupt transition to modern-like low δ2H values in phytoplankton, plant, and microbial lipids occurred, signaling the establishment of a high-rainfall regime similar to that observed today. This transition coincided with increased ENSO variability, an excess of central-Pacific relative to eastern-Pacific El Niños, and a decline in the zonal SST gradient across the tropical Pacific, reflecting an El Niño-like mean state. The Medieval Warm Period (MWP; 900–1250 CE) was characterized by high δ2H values in lipids from phytoplankton (dinosterol, dinostanol), bacteria (hop-21-ene), and vascular plants (sitostanol), and by extension a drier climate relative to the modern lake. An increasing δ2H trend through the MWP in lipids from all sources implies drying as Northern Hemisphere temperatures declined from the early to the late MWP. This drying is hypothesized to have been driven by extensive volcanism in northern, southern, and tropical latitudes, all of which tend to cause zonal mean drying at the latitude of WI (5°N). Finally, the transition period between the LIA and MWP </w:instrText>
      </w:r>
      <w:r w:rsidR="00715D73" w:rsidRPr="009A2E44">
        <w:rPr>
          <w:rFonts w:ascii="Cambria Math" w:hAnsi="Cambria Math" w:cs="Cambria Math"/>
        </w:rPr>
        <w:instrText>∼</w:instrText>
      </w:r>
      <w:r w:rsidR="00715D73" w:rsidRPr="009A2E44">
        <w:rPr>
          <w:rFonts w:ascii="Garamond" w:hAnsi="Garamond"/>
        </w:rPr>
        <w:instrText>1250–1450 CE was characterized by declining δ2H values of plant and microbial lipids in peat sediments, indicating a trend toward wetter conditions; in the absence of known internal or external climate forcings, this may have been a regional or local event. This study demonstrates that the application of compound-specific δ2H measurements of lipids from multiple biological sources and in multiple sedimentary archives from a single location can yield hydroclimate reconstructions with higher confidence than those based on single lipids. Such reconstructions are particularly important in the vast tropical Pacific, whe…","author":[{"dropping-particle":"","family":"Sachs","given":"Julian P","non-dropping-particle":"","parse-names":false,"suffix":""},{"dropping-particle":"","family":"Mügler","given":"Ines","non-dropping-particle":"","parse-names":false,"suffix":""},{"dropping-particle":"","family":"Sachse","given":"Dirk","non-dropping-particle":"","parse-names":false,"suffix":""},{"dropping-particle":"","family":"Prebble","given":"Matthew","non-dropping-particle":"","parse-names":false,"suffix":""},{"dropping-particle":"","family":"Wolhowe","given":"Matthew","non-dropping-particle":"","parse-names":false,"suffix":""}],"container-title":"Quaternary Science Reviews","id":"ITEM-1","issued":{"date-parts":[["2021"]]},"page":"106906","publisher":"Elsevier Ltd","title":"Last millennium hydroclimate in the central equatorial North Pacific (5°N, 160°W)","type":"article-journal","volume":"259"},"uris":["http://www.mendeley.com/documents/?uuid=f4a8bbbf-4af1-4d52-8bbc-17514d049228"]}],"mendeley":{"formattedCitation":"(Sachs et al., 2021)","plainTextFormattedCitation":"(Sachs et al., 2021)","previouslyFormattedCitation":"(Sachs et al., 2021)"},"properties":{"noteIndex":0},"schema":"https://github.com/citation-style-language/schema/raw/master/csl-citation.json"}</w:instrText>
      </w:r>
      <w:r w:rsidR="00557883" w:rsidRPr="009A2E44">
        <w:rPr>
          <w:rFonts w:ascii="Garamond" w:hAnsi="Garamond"/>
        </w:rPr>
        <w:fldChar w:fldCharType="separate"/>
      </w:r>
      <w:r w:rsidR="00557883" w:rsidRPr="009A2E44">
        <w:rPr>
          <w:rFonts w:ascii="Garamond" w:hAnsi="Garamond"/>
          <w:noProof/>
        </w:rPr>
        <w:t>(Sachs et al., 2021)</w:t>
      </w:r>
      <w:r w:rsidR="00557883" w:rsidRPr="009A2E44">
        <w:rPr>
          <w:rFonts w:ascii="Garamond" w:hAnsi="Garamond"/>
        </w:rPr>
        <w:fldChar w:fldCharType="end"/>
      </w:r>
      <w:r w:rsidR="00CD0F49" w:rsidRPr="009A2E44">
        <w:rPr>
          <w:rFonts w:ascii="Garamond" w:hAnsi="Garamond"/>
        </w:rPr>
        <w:t xml:space="preserve">. </w:t>
      </w:r>
      <w:r w:rsidR="00B20902" w:rsidRPr="009A2E44">
        <w:rPr>
          <w:rFonts w:ascii="Garamond" w:hAnsi="Garamond"/>
        </w:rPr>
        <w:t>An earlier study established that δ</w:t>
      </w:r>
      <w:r w:rsidR="00B20902" w:rsidRPr="009A2E44">
        <w:rPr>
          <w:rFonts w:ascii="Garamond" w:hAnsi="Garamond"/>
          <w:vertAlign w:val="superscript"/>
        </w:rPr>
        <w:t>2</w:t>
      </w:r>
      <w:r w:rsidR="00B20902" w:rsidRPr="009A2E44">
        <w:rPr>
          <w:rFonts w:ascii="Garamond" w:hAnsi="Garamond"/>
        </w:rPr>
        <w:t>H</w:t>
      </w:r>
      <w:r w:rsidR="00B20902" w:rsidRPr="009A2E44">
        <w:rPr>
          <w:rFonts w:ascii="Garamond" w:hAnsi="Garamond"/>
          <w:vertAlign w:val="subscript"/>
        </w:rPr>
        <w:t>dinosterol</w:t>
      </w:r>
      <w:r w:rsidR="00B20902" w:rsidRPr="009A2E44">
        <w:rPr>
          <w:rFonts w:ascii="Garamond" w:hAnsi="Garamond"/>
        </w:rPr>
        <w:t xml:space="preserve"> </w:t>
      </w:r>
      <w:r w:rsidR="007A15B8" w:rsidRPr="009A2E44">
        <w:rPr>
          <w:rFonts w:ascii="Garamond" w:hAnsi="Garamond"/>
        </w:rPr>
        <w:t xml:space="preserve">values </w:t>
      </w:r>
      <w:r w:rsidR="00B20902" w:rsidRPr="009A2E44">
        <w:rPr>
          <w:rFonts w:ascii="Garamond" w:hAnsi="Garamond"/>
        </w:rPr>
        <w:t>in modern lake sediment</w:t>
      </w:r>
      <w:r w:rsidR="007A15B8" w:rsidRPr="009A2E44">
        <w:rPr>
          <w:rFonts w:ascii="Garamond" w:hAnsi="Garamond"/>
        </w:rPr>
        <w:t>s</w:t>
      </w:r>
      <w:r w:rsidR="00B20902" w:rsidRPr="009A2E44">
        <w:rPr>
          <w:rFonts w:ascii="Garamond" w:hAnsi="Garamond"/>
        </w:rPr>
        <w:t xml:space="preserve"> throughout the SPCZ </w:t>
      </w:r>
      <w:r w:rsidR="00531676">
        <w:rPr>
          <w:rFonts w:ascii="Garamond" w:hAnsi="Garamond"/>
        </w:rPr>
        <w:t xml:space="preserve">region </w:t>
      </w:r>
      <w:r w:rsidR="007A15B8" w:rsidRPr="009A2E44">
        <w:rPr>
          <w:rFonts w:ascii="Garamond" w:hAnsi="Garamond"/>
        </w:rPr>
        <w:t xml:space="preserve">are </w:t>
      </w:r>
      <w:r w:rsidR="00B20902" w:rsidRPr="009A2E44">
        <w:rPr>
          <w:rFonts w:ascii="Garamond" w:hAnsi="Garamond"/>
        </w:rPr>
        <w:t>well correlated with spatial variability in precipitation rates</w:t>
      </w:r>
      <w:r w:rsidR="008D7F2C" w:rsidRPr="009A2E44">
        <w:rPr>
          <w:rFonts w:ascii="Garamond" w:hAnsi="Garamond"/>
        </w:rPr>
        <w:t xml:space="preserve"> </w:t>
      </w:r>
      <w:r w:rsidR="008D7F2C" w:rsidRPr="009A2E44">
        <w:rPr>
          <w:rFonts w:ascii="Garamond" w:hAnsi="Garamond"/>
        </w:rPr>
        <w:fldChar w:fldCharType="begin" w:fldLock="1"/>
      </w:r>
      <w:r w:rsidR="008D7F2C" w:rsidRPr="009A2E44">
        <w:rPr>
          <w:rFonts w:ascii="Garamond" w:hAnsi="Garamond"/>
        </w:rPr>
        <w:instrText>ADDIN CSL_CITATION {"citationItems":[{"id":"ITEM-1","itemData":{"DOI":"10.1016/j.gca.2018.10.028","ISSN":"0016-7037","author":[{"dropping-particle":"","family":"Maloney","given":"Ashley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Acta","id":"ITEM-1","issued":{"date-parts":[["2019"]]},"page":"190-206","publisher":"Elsevier Ltd","title":"Reconstructing precipitation in the tropical South Pacific from dinosterol 2H/1H ratios in lake sediment","type":"article-journal","volume":"245"},"uris":["http://www.mendeley.com/documents/?uuid=c7ab851f-4ac6-4a60-a0db-daaa3baed28f"]}],"mendeley":{"formattedCitation":"(Maloney et al., 2019)","plainTextFormattedCitation":"(Maloney et al., 2019)","previouslyFormattedCitation":"(Maloney et al., 2019)"},"properties":{"noteIndex":0},"schema":"https://github.com/citation-style-language/schema/raw/master/csl-citation.json"}</w:instrText>
      </w:r>
      <w:r w:rsidR="008D7F2C" w:rsidRPr="009A2E44">
        <w:rPr>
          <w:rFonts w:ascii="Garamond" w:hAnsi="Garamond"/>
        </w:rPr>
        <w:fldChar w:fldCharType="separate"/>
      </w:r>
      <w:r w:rsidR="008D7F2C" w:rsidRPr="009A2E44">
        <w:rPr>
          <w:rFonts w:ascii="Garamond" w:hAnsi="Garamond"/>
          <w:noProof/>
        </w:rPr>
        <w:t>(Maloney et al., 2019)</w:t>
      </w:r>
      <w:r w:rsidR="008D7F2C" w:rsidRPr="009A2E44">
        <w:rPr>
          <w:rFonts w:ascii="Garamond" w:hAnsi="Garamond"/>
        </w:rPr>
        <w:fldChar w:fldCharType="end"/>
      </w:r>
      <w:r w:rsidR="00B20902" w:rsidRPr="009A2E44">
        <w:rPr>
          <w:rFonts w:ascii="Garamond" w:hAnsi="Garamond"/>
        </w:rPr>
        <w:t xml:space="preserve">, offering an </w:t>
      </w:r>
      <w:r w:rsidR="00B20902" w:rsidRPr="009A2E44">
        <w:rPr>
          <w:rFonts w:ascii="Garamond" w:hAnsi="Garamond"/>
        </w:rPr>
        <w:lastRenderedPageBreak/>
        <w:t>opportunity to make quantitative estimates of precipitation changes in this region</w:t>
      </w:r>
      <w:r w:rsidR="008844A2" w:rsidRPr="009A2E44">
        <w:rPr>
          <w:rFonts w:ascii="Garamond" w:hAnsi="Garamond"/>
        </w:rPr>
        <w:t xml:space="preserve">; an approach that was </w:t>
      </w:r>
      <w:r w:rsidR="00851F03" w:rsidRPr="009A2E44">
        <w:rPr>
          <w:rFonts w:ascii="Garamond" w:hAnsi="Garamond"/>
        </w:rPr>
        <w:t xml:space="preserve">recently applied to </w:t>
      </w:r>
      <w:r w:rsidR="00083CA1" w:rsidRPr="009A2E44">
        <w:rPr>
          <w:rFonts w:ascii="Garamond" w:hAnsi="Garamond"/>
        </w:rPr>
        <w:t xml:space="preserve">freshwater </w:t>
      </w:r>
      <w:r w:rsidR="00851F03" w:rsidRPr="009A2E44">
        <w:rPr>
          <w:rFonts w:ascii="Garamond" w:hAnsi="Garamond"/>
        </w:rPr>
        <w:t>SPCZ lakes in Samoa and Vanuatu</w:t>
      </w:r>
      <w:r w:rsidR="00B20902" w:rsidRPr="009A2E44">
        <w:rPr>
          <w:rFonts w:ascii="Garamond" w:hAnsi="Garamond"/>
        </w:rPr>
        <w:t xml:space="preserve"> </w:t>
      </w:r>
      <w:r w:rsidR="00B20902" w:rsidRPr="009A2E44">
        <w:rPr>
          <w:rFonts w:ascii="Garamond" w:hAnsi="Garamond"/>
        </w:rPr>
        <w:fldChar w:fldCharType="begin" w:fldLock="1"/>
      </w:r>
      <w:r w:rsidR="00B513AA">
        <w:rPr>
          <w:rFonts w:ascii="Garamond" w:hAnsi="Garamond"/>
        </w:rPr>
        <w:instrText>ADDIN CSL_CITATION {"citationItems":[{"id":"ITEM-1","itemData":{"DOI":"10.1073/pnas.1920975117","ISSN":"10916490","PMID":"32253300","abstract":"The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America","id":"ITEM-1","issue":"16","issued":{"date-parts":[["2020"]]},"page":"8813-8819","title":"Human settlement of East Polynesia earlier, incremental, and coincident with prolonged South Pacific drought","type":"article-journal","volume":"117"},"uris":["http://www.mendeley.com/documents/?uuid=5e4a7b40-a602-4fa6-8dd7-b9d6ae8d7f06"]}],"mendeley":{"formattedCitation":"(Sear et al., 2020)","plainTextFormattedCitation":"(Sear et al., 2020)","previouslyFormattedCitation":"(Sear et al., 2020)"},"properties":{"noteIndex":0},"schema":"https://github.com/citation-style-language/schema/raw/master/csl-citation.json"}</w:instrText>
      </w:r>
      <w:r w:rsidR="00B20902" w:rsidRPr="009A2E44">
        <w:rPr>
          <w:rFonts w:ascii="Garamond" w:hAnsi="Garamond"/>
        </w:rPr>
        <w:fldChar w:fldCharType="separate"/>
      </w:r>
      <w:r w:rsidR="00E757E6" w:rsidRPr="00E757E6">
        <w:rPr>
          <w:rFonts w:ascii="Garamond" w:hAnsi="Garamond"/>
          <w:noProof/>
        </w:rPr>
        <w:t>(Sear et al., 2020)</w:t>
      </w:r>
      <w:r w:rsidR="00B20902" w:rsidRPr="009A2E44">
        <w:rPr>
          <w:rFonts w:ascii="Garamond" w:hAnsi="Garamond"/>
        </w:rPr>
        <w:fldChar w:fldCharType="end"/>
      </w:r>
      <w:r w:rsidR="001306A8" w:rsidRPr="009A2E44">
        <w:rPr>
          <w:rFonts w:ascii="Garamond" w:hAnsi="Garamond"/>
        </w:rPr>
        <w:t xml:space="preserve"> </w:t>
      </w:r>
      <w:r w:rsidR="00441AE5">
        <w:rPr>
          <w:rFonts w:ascii="Garamond" w:hAnsi="Garamond"/>
        </w:rPr>
        <w:t>and</w:t>
      </w:r>
      <w:r w:rsidR="001306A8" w:rsidRPr="009A2E44">
        <w:rPr>
          <w:rFonts w:ascii="Garamond" w:hAnsi="Garamond"/>
        </w:rPr>
        <w:t xml:space="preserve"> explored in more detail here</w:t>
      </w:r>
      <w:r w:rsidR="00B20902" w:rsidRPr="009A2E44">
        <w:rPr>
          <w:rFonts w:ascii="Garamond" w:hAnsi="Garamond"/>
        </w:rPr>
        <w:t>.</w:t>
      </w:r>
    </w:p>
    <w:p w14:paraId="7E8247CC" w14:textId="5FD8D252" w:rsidR="002863CB" w:rsidRPr="009A2E44" w:rsidRDefault="004A675D" w:rsidP="001C47D3">
      <w:pPr>
        <w:spacing w:line="480" w:lineRule="auto"/>
        <w:ind w:firstLine="720"/>
        <w:rPr>
          <w:rFonts w:ascii="Garamond" w:hAnsi="Garamond"/>
        </w:rPr>
      </w:pPr>
      <w:r w:rsidRPr="009A2E44">
        <w:rPr>
          <w:rFonts w:ascii="Garamond" w:hAnsi="Garamond"/>
        </w:rPr>
        <w:t xml:space="preserve">This work presents new </w:t>
      </w:r>
      <w:r w:rsidR="005A7F95" w:rsidRPr="009A2E44">
        <w:rPr>
          <w:rFonts w:ascii="Garamond" w:hAnsi="Garamond"/>
        </w:rPr>
        <w:t>δ</w:t>
      </w:r>
      <w:r w:rsidR="005A7F95" w:rsidRPr="009A2E44">
        <w:rPr>
          <w:rFonts w:ascii="Garamond" w:hAnsi="Garamond"/>
          <w:vertAlign w:val="superscript"/>
        </w:rPr>
        <w:t>2</w:t>
      </w:r>
      <w:r w:rsidR="005A7F95" w:rsidRPr="009A2E44">
        <w:rPr>
          <w:rFonts w:ascii="Garamond" w:hAnsi="Garamond"/>
        </w:rPr>
        <w:t>H</w:t>
      </w:r>
      <w:r w:rsidR="005A7F95" w:rsidRPr="009A2E44">
        <w:rPr>
          <w:rFonts w:ascii="Garamond" w:hAnsi="Garamond"/>
          <w:vertAlign w:val="subscript"/>
        </w:rPr>
        <w:t>dinosterol</w:t>
      </w:r>
      <w:r w:rsidR="005A7F95" w:rsidRPr="009A2E44">
        <w:rPr>
          <w:rFonts w:ascii="Garamond" w:hAnsi="Garamond"/>
        </w:rPr>
        <w:t xml:space="preserve"> </w:t>
      </w:r>
      <w:r w:rsidRPr="009A2E44">
        <w:rPr>
          <w:rFonts w:ascii="Garamond" w:hAnsi="Garamond"/>
        </w:rPr>
        <w:t xml:space="preserve">records </w:t>
      </w:r>
      <w:r w:rsidR="00487DB6" w:rsidRPr="009A2E44">
        <w:rPr>
          <w:rFonts w:ascii="Garamond" w:hAnsi="Garamond"/>
        </w:rPr>
        <w:t>(</w:t>
      </w:r>
      <w:r w:rsidR="00487DB6" w:rsidRPr="009A2E44">
        <w:rPr>
          <w:rFonts w:ascii="Garamond" w:hAnsi="Garamond"/>
          <w:b/>
          <w:bCs/>
        </w:rPr>
        <w:t>Table 1</w:t>
      </w:r>
      <w:r w:rsidR="00487DB6" w:rsidRPr="009A2E44">
        <w:rPr>
          <w:rFonts w:ascii="Garamond" w:hAnsi="Garamond"/>
        </w:rPr>
        <w:t xml:space="preserve">) </w:t>
      </w:r>
      <w:r w:rsidRPr="009A2E44">
        <w:rPr>
          <w:rFonts w:ascii="Garamond" w:hAnsi="Garamond"/>
        </w:rPr>
        <w:t xml:space="preserve">from two lakes on </w:t>
      </w:r>
      <w:r w:rsidR="005A7F95" w:rsidRPr="009A2E44">
        <w:rPr>
          <w:rFonts w:ascii="Garamond" w:hAnsi="Garamond"/>
        </w:rPr>
        <w:t>‘Uvea (</w:t>
      </w:r>
      <w:r w:rsidRPr="009A2E44">
        <w:rPr>
          <w:rFonts w:ascii="Garamond" w:hAnsi="Garamond"/>
        </w:rPr>
        <w:t xml:space="preserve">Wallis </w:t>
      </w:r>
      <w:r w:rsidR="007B6A66" w:rsidRPr="009A2E44">
        <w:rPr>
          <w:rFonts w:ascii="Garamond" w:hAnsi="Garamond"/>
        </w:rPr>
        <w:t xml:space="preserve">et </w:t>
      </w:r>
      <w:r w:rsidR="005A7F95" w:rsidRPr="009A2E44">
        <w:rPr>
          <w:rFonts w:ascii="Garamond" w:hAnsi="Garamond"/>
        </w:rPr>
        <w:t>Futuna)</w:t>
      </w:r>
      <w:r w:rsidRPr="009A2E44">
        <w:rPr>
          <w:rFonts w:ascii="Garamond" w:hAnsi="Garamond"/>
        </w:rPr>
        <w:t xml:space="preserve"> in the western tropical Pacific</w:t>
      </w:r>
      <w:r w:rsidR="005A7F95" w:rsidRPr="009A2E44">
        <w:rPr>
          <w:rFonts w:ascii="Garamond" w:hAnsi="Garamond"/>
        </w:rPr>
        <w:t xml:space="preserve"> </w:t>
      </w:r>
      <w:r w:rsidR="00CD0F49" w:rsidRPr="009A2E44">
        <w:rPr>
          <w:rFonts w:ascii="Garamond" w:hAnsi="Garamond"/>
        </w:rPr>
        <w:t xml:space="preserve">to understand </w:t>
      </w:r>
      <w:r w:rsidR="00DC758D" w:rsidRPr="009A2E44">
        <w:rPr>
          <w:rFonts w:ascii="Garamond" w:hAnsi="Garamond"/>
        </w:rPr>
        <w:t>how central SPCZ precipitation varied during the late Holocene</w:t>
      </w:r>
      <w:r w:rsidR="005A7F95" w:rsidRPr="009A2E44">
        <w:rPr>
          <w:rFonts w:ascii="Garamond" w:hAnsi="Garamond"/>
        </w:rPr>
        <w:t>.</w:t>
      </w:r>
      <w:r w:rsidR="00912F12" w:rsidRPr="009A2E44">
        <w:rPr>
          <w:rFonts w:ascii="Garamond" w:hAnsi="Garamond"/>
        </w:rPr>
        <w:t xml:space="preserve"> Duplicate </w:t>
      </w:r>
      <w:r w:rsidR="002E7AD6" w:rsidRPr="009A2E44">
        <w:rPr>
          <w:rFonts w:ascii="Garamond" w:hAnsi="Garamond"/>
        </w:rPr>
        <w:t>cores</w:t>
      </w:r>
      <w:r w:rsidR="00912F12" w:rsidRPr="009A2E44">
        <w:rPr>
          <w:rFonts w:ascii="Garamond" w:hAnsi="Garamond"/>
        </w:rPr>
        <w:t xml:space="preserve"> </w:t>
      </w:r>
      <w:r w:rsidR="005E33FF" w:rsidRPr="009A2E44">
        <w:rPr>
          <w:rFonts w:ascii="Garamond" w:hAnsi="Garamond"/>
        </w:rPr>
        <w:t>from each</w:t>
      </w:r>
      <w:r w:rsidR="00912F12" w:rsidRPr="009A2E44">
        <w:rPr>
          <w:rFonts w:ascii="Garamond" w:hAnsi="Garamond"/>
        </w:rPr>
        <w:t xml:space="preserve"> lake allow for intra</w:t>
      </w:r>
      <w:r w:rsidR="00312A9C" w:rsidRPr="009A2E44">
        <w:rPr>
          <w:rFonts w:ascii="Garamond" w:hAnsi="Garamond"/>
        </w:rPr>
        <w:t>-</w:t>
      </w:r>
      <w:r w:rsidR="00912F12" w:rsidRPr="009A2E44">
        <w:rPr>
          <w:rFonts w:ascii="Garamond" w:hAnsi="Garamond"/>
        </w:rPr>
        <w:t xml:space="preserve"> </w:t>
      </w:r>
      <w:r w:rsidR="00312A9C" w:rsidRPr="009A2E44">
        <w:rPr>
          <w:rFonts w:ascii="Garamond" w:hAnsi="Garamond"/>
        </w:rPr>
        <w:t xml:space="preserve">and inter-lake </w:t>
      </w:r>
      <w:r w:rsidR="00912F12" w:rsidRPr="009A2E44">
        <w:rPr>
          <w:rFonts w:ascii="Garamond" w:hAnsi="Garamond"/>
        </w:rPr>
        <w:t xml:space="preserve">comparisons </w:t>
      </w:r>
      <w:r w:rsidR="00312A9C" w:rsidRPr="009A2E44">
        <w:rPr>
          <w:rFonts w:ascii="Garamond" w:hAnsi="Garamond"/>
        </w:rPr>
        <w:t xml:space="preserve">and </w:t>
      </w:r>
      <w:r w:rsidR="00912F12" w:rsidRPr="009A2E44">
        <w:rPr>
          <w:rFonts w:ascii="Garamond" w:hAnsi="Garamond"/>
        </w:rPr>
        <w:t xml:space="preserve">provide important lessons </w:t>
      </w:r>
      <w:r w:rsidR="00BB4CA9">
        <w:rPr>
          <w:rFonts w:ascii="Garamond" w:hAnsi="Garamond"/>
        </w:rPr>
        <w:t xml:space="preserve">on </w:t>
      </w:r>
      <w:r w:rsidR="00912F12" w:rsidRPr="009A2E44">
        <w:rPr>
          <w:rFonts w:ascii="Garamond" w:hAnsi="Garamond"/>
        </w:rPr>
        <w:t>how unique lake environments influence δ</w:t>
      </w:r>
      <w:r w:rsidR="00912F12" w:rsidRPr="009A2E44">
        <w:rPr>
          <w:rFonts w:ascii="Garamond" w:hAnsi="Garamond"/>
          <w:vertAlign w:val="superscript"/>
        </w:rPr>
        <w:t>2</w:t>
      </w:r>
      <w:r w:rsidR="00912F12" w:rsidRPr="009A2E44">
        <w:rPr>
          <w:rFonts w:ascii="Garamond" w:hAnsi="Garamond"/>
        </w:rPr>
        <w:t>H</w:t>
      </w:r>
      <w:r w:rsidR="00912F12" w:rsidRPr="009A2E44">
        <w:rPr>
          <w:rFonts w:ascii="Garamond" w:hAnsi="Garamond"/>
          <w:vertAlign w:val="subscript"/>
        </w:rPr>
        <w:t>dinosterol</w:t>
      </w:r>
      <w:r w:rsidR="00ED40CF">
        <w:rPr>
          <w:rFonts w:ascii="Garamond" w:hAnsi="Garamond"/>
        </w:rPr>
        <w:t xml:space="preserve"> values.</w:t>
      </w:r>
      <w:r w:rsidR="00912F12" w:rsidRPr="009A2E44">
        <w:rPr>
          <w:rFonts w:ascii="Garamond" w:hAnsi="Garamond"/>
        </w:rPr>
        <w:t xml:space="preserve"> </w:t>
      </w:r>
      <w:r w:rsidR="00FF1FE7" w:rsidRPr="009A2E44">
        <w:rPr>
          <w:rFonts w:ascii="Garamond" w:hAnsi="Garamond"/>
        </w:rPr>
        <w:t>We also present</w:t>
      </w:r>
      <w:r w:rsidR="00912F12" w:rsidRPr="009A2E44">
        <w:rPr>
          <w:rFonts w:ascii="Garamond" w:hAnsi="Garamond"/>
        </w:rPr>
        <w:t xml:space="preserve"> records </w:t>
      </w:r>
      <w:r w:rsidR="00FF1FE7" w:rsidRPr="009A2E44">
        <w:rPr>
          <w:rFonts w:ascii="Garamond" w:hAnsi="Garamond"/>
        </w:rPr>
        <w:t xml:space="preserve">of lithogenic runoff proxies </w:t>
      </w:r>
      <w:r w:rsidR="002E7AD6" w:rsidRPr="009A2E44">
        <w:rPr>
          <w:rFonts w:ascii="Garamond" w:hAnsi="Garamond"/>
        </w:rPr>
        <w:t>from ‘Uvea</w:t>
      </w:r>
      <w:r w:rsidR="005E33FF" w:rsidRPr="009A2E44">
        <w:rPr>
          <w:rFonts w:ascii="Garamond" w:hAnsi="Garamond"/>
        </w:rPr>
        <w:t>,</w:t>
      </w:r>
      <w:r w:rsidR="00851F03" w:rsidRPr="009A2E44">
        <w:rPr>
          <w:rFonts w:ascii="Garamond" w:hAnsi="Garamond"/>
        </w:rPr>
        <w:t xml:space="preserve"> </w:t>
      </w:r>
      <w:r w:rsidR="00552157" w:rsidRPr="009A2E44">
        <w:rPr>
          <w:rFonts w:ascii="Garamond" w:hAnsi="Garamond"/>
        </w:rPr>
        <w:t xml:space="preserve">Lake </w:t>
      </w:r>
      <w:r w:rsidR="00851F03" w:rsidRPr="009A2E44">
        <w:rPr>
          <w:rFonts w:ascii="Garamond" w:hAnsi="Garamond"/>
        </w:rPr>
        <w:t>Emaotul (Efate, Vanu</w:t>
      </w:r>
      <w:r w:rsidR="00FD0A66" w:rsidRPr="009A2E44">
        <w:rPr>
          <w:rFonts w:ascii="Garamond" w:hAnsi="Garamond"/>
        </w:rPr>
        <w:t>a</w:t>
      </w:r>
      <w:r w:rsidR="00851F03" w:rsidRPr="009A2E44">
        <w:rPr>
          <w:rFonts w:ascii="Garamond" w:hAnsi="Garamond"/>
        </w:rPr>
        <w:t>t</w:t>
      </w:r>
      <w:r w:rsidR="00FD0A66" w:rsidRPr="009A2E44">
        <w:rPr>
          <w:rFonts w:ascii="Garamond" w:hAnsi="Garamond"/>
        </w:rPr>
        <w:t>u</w:t>
      </w:r>
      <w:r w:rsidR="00851F03" w:rsidRPr="009A2E44">
        <w:rPr>
          <w:rFonts w:ascii="Garamond" w:hAnsi="Garamond"/>
        </w:rPr>
        <w:t>)</w:t>
      </w:r>
      <w:r w:rsidR="005E33FF" w:rsidRPr="009A2E44">
        <w:rPr>
          <w:rFonts w:ascii="Garamond" w:hAnsi="Garamond"/>
        </w:rPr>
        <w:t>,</w:t>
      </w:r>
      <w:r w:rsidR="00EA3AE5" w:rsidRPr="009A2E44">
        <w:rPr>
          <w:rFonts w:ascii="Garamond" w:hAnsi="Garamond"/>
        </w:rPr>
        <w:t xml:space="preserve"> and higher resolution records from those published from Lake Lanoto’o (‘Upolu, Samoa) </w:t>
      </w:r>
      <w:r w:rsidR="00EA3AE5" w:rsidRPr="009A2E44">
        <w:rPr>
          <w:rFonts w:ascii="Garamond" w:hAnsi="Garamond"/>
        </w:rPr>
        <w:fldChar w:fldCharType="begin" w:fldLock="1"/>
      </w:r>
      <w:r w:rsidR="00870BA6" w:rsidRPr="009A2E44">
        <w:rPr>
          <w:rFonts w:ascii="Garamond" w:hAnsi="Garamond"/>
        </w:rPr>
        <w:instrText>ADDIN CSL_CITATION {"citationItems":[{"id":"ITEM-1","itemData":{"DOI":"10.1111/jbi.13783","ISSN":"13652699","abstract":"Aim: To track the peopling of the South Pacific and assess their impact on terrestrial and aquatic ecosystems. Location: Upolu, Samoa. Taxon: Terrestrial and aquatic plants. Methods: A sedimentary record covering the last c. 10,500 years was recovered from the volcanic crater that contains Lake Lanoto'o near the centre of Upolu Island. Information on past ecological change was obtained from microscopic and macroscopic remains extracted from the sediments: charcoal (fire history), pollen/spores and plant remains (vegetation history), and lake status (algae/cyanobacteria). Information on the depositional environment and climate was obtained from geochemical and sedimentary analysis: loss-on-ignition (sediment composition), cryptotephras (volcanic eruptions) and precipitation regime (Ti/inc). The environmental history developed was compared with the archaeological record from the region. Results: Charcoal material was found in the Lake Lanoto'o sediments at higher abundances and more frequently in samples from the period after the first archaeological evidence of people on Upolu (c. 2900–2700 years ago). No abrupt shift is recognized in the vegetation or aquatic ecosystem assemblages coincident with the arrival of people on the island. Main conclusions: Macrocharcoal is demonstrated to be an effective proxy for detecting human occupation of Upolu around 2,800 years ago. The immediate impact of these settlers on the vegetation seems to have been minimal; however, a subsequent opening up of the landscape is suggested through the gradual increase in ferns. The absence of any significant change in the aquatic community associated with, or after, the arrival of people on the islands suggests that humans rarely visited the lake. We suggest that on Upolu a simple model of decreasing human impact away from coastal areas is applicable.","author":[{"dropping-particle":"","family":"Gosling","given":"William D","non-dropping-particle":"","parse-names":false,"suffix":""},{"dropping-particle":"","family":"Sear","given":"David A","non-dropping-particle":"","parse-names":false,"suffix":""},{"dropping-particle":"","family":"Hassall","given":"Jonathan D","non-dropping-particle":"","parse-names":false,"suffix":""},{"dropping-particle":"","family":"Langdon","given":"Pete G","non-dropping-particle":"","parse-names":false,"suffix":""},{"dropping-particle":"","family":"Bönnen","given":"Mick N T","non-dropping-particle":"","parse-names":false,"suffix":""},{"dropping-particle":"","family":"Driessen","given":"Tessa D","non-dropping-particle":"","parse-names":false,"suffix":""},{"dropping-particle":"","family":"Kemenade","given":"Zoë R","non-dropping-particle":"van","parse-names":false,"suffix":""},{"dropping-particle":"","family":"Noort","given":"Kevin","non-dropping-particle":"","parse-names":false,"suffix":""},{"dropping-particle":"","family":"Leng","given":"Melanie J","non-dropping-particle":"","parse-names":false,"suffix":""},{"dropping-particle":"","family":"Croudace","given":"Ian W","non-dropping-particle":"","parse-names":false,"suffix":""},{"dropping-particle":"","family":"Bourne","given":"Anna J","non-dropping-particle":"","parse-names":false,"suffix":""},{"dropping-particle":"Van","family":"Kemenade","given":"Zoë R","non-dropping-particle":"","parse-names":false,"suffix":""},{"dropping-particle":"","family":"McMichael","given":"Crystal N H","non-dropping-particle":"","parse-names":false,"suffix":""}],"container-title":"Journal of Biogeography","id":"ITEM-1","issued":{"date-parts":[["2020"]]},"page":"600-614","title":"Human occupation and ecosystem change on Upolu (Samoa) during the Holocene","type":"article-journal","volume":"47"},"uris":["http://www.mendeley.com/documents/?uuid=895f1559-fc09-4400-9937-b186d0b60b34"]}],"mendeley":{"formattedCitation":"(Gosling et al., 2020)","plainTextFormattedCitation":"(Gosling et al., 2020)","previouslyFormattedCitation":"(Gosling et al., 2020)"},"properties":{"noteIndex":0},"schema":"https://github.com/citation-style-language/schema/raw/master/csl-citation.json"}</w:instrText>
      </w:r>
      <w:r w:rsidR="00EA3AE5" w:rsidRPr="009A2E44">
        <w:rPr>
          <w:rFonts w:ascii="Garamond" w:hAnsi="Garamond"/>
        </w:rPr>
        <w:fldChar w:fldCharType="separate"/>
      </w:r>
      <w:r w:rsidR="00EA3AE5" w:rsidRPr="009A2E44">
        <w:rPr>
          <w:rFonts w:ascii="Garamond" w:hAnsi="Garamond"/>
          <w:noProof/>
        </w:rPr>
        <w:t>(Gosling et al., 2020)</w:t>
      </w:r>
      <w:r w:rsidR="00EA3AE5" w:rsidRPr="009A2E44">
        <w:rPr>
          <w:rFonts w:ascii="Garamond" w:hAnsi="Garamond"/>
        </w:rPr>
        <w:fldChar w:fldCharType="end"/>
      </w:r>
      <w:r w:rsidR="005E33FF" w:rsidRPr="009A2E44">
        <w:rPr>
          <w:rFonts w:ascii="Garamond" w:hAnsi="Garamond"/>
        </w:rPr>
        <w:t>,</w:t>
      </w:r>
      <w:r w:rsidR="00851F03" w:rsidRPr="009A2E44">
        <w:rPr>
          <w:rFonts w:ascii="Garamond" w:hAnsi="Garamond"/>
        </w:rPr>
        <w:t xml:space="preserve"> </w:t>
      </w:r>
      <w:r w:rsidR="00FF1FE7" w:rsidRPr="009A2E44">
        <w:rPr>
          <w:rFonts w:ascii="Garamond" w:hAnsi="Garamond"/>
        </w:rPr>
        <w:t>that</w:t>
      </w:r>
      <w:r w:rsidR="00912F12" w:rsidRPr="009A2E44">
        <w:rPr>
          <w:rFonts w:ascii="Garamond" w:hAnsi="Garamond"/>
        </w:rPr>
        <w:t xml:space="preserve"> </w:t>
      </w:r>
      <w:r w:rsidR="00FF1FE7" w:rsidRPr="009A2E44">
        <w:rPr>
          <w:rFonts w:ascii="Garamond" w:hAnsi="Garamond"/>
        </w:rPr>
        <w:t>complement</w:t>
      </w:r>
      <w:r w:rsidR="00912F12" w:rsidRPr="009A2E44">
        <w:rPr>
          <w:rFonts w:ascii="Garamond" w:hAnsi="Garamond"/>
        </w:rPr>
        <w:t xml:space="preserve"> </w:t>
      </w:r>
      <w:r w:rsidR="00FF1FE7" w:rsidRPr="009A2E44">
        <w:rPr>
          <w:rFonts w:ascii="Garamond" w:hAnsi="Garamond"/>
        </w:rPr>
        <w:t>the δ</w:t>
      </w:r>
      <w:r w:rsidR="00FF1FE7" w:rsidRPr="009A2E44">
        <w:rPr>
          <w:rFonts w:ascii="Garamond" w:hAnsi="Garamond"/>
          <w:vertAlign w:val="superscript"/>
        </w:rPr>
        <w:t>2</w:t>
      </w:r>
      <w:r w:rsidR="00FF1FE7" w:rsidRPr="009A2E44">
        <w:rPr>
          <w:rFonts w:ascii="Garamond" w:hAnsi="Garamond"/>
        </w:rPr>
        <w:t>H</w:t>
      </w:r>
      <w:r w:rsidR="00FF1FE7" w:rsidRPr="009A2E44">
        <w:rPr>
          <w:rFonts w:ascii="Garamond" w:hAnsi="Garamond"/>
          <w:vertAlign w:val="subscript"/>
        </w:rPr>
        <w:t>dinosterol</w:t>
      </w:r>
      <w:r w:rsidR="00FF1FE7" w:rsidRPr="009A2E44">
        <w:rPr>
          <w:rFonts w:ascii="Garamond" w:hAnsi="Garamond"/>
        </w:rPr>
        <w:t xml:space="preserve"> records</w:t>
      </w:r>
      <w:r w:rsidR="00654613" w:rsidRPr="009A2E44">
        <w:rPr>
          <w:rFonts w:ascii="Garamond" w:hAnsi="Garamond"/>
        </w:rPr>
        <w:t xml:space="preserve"> </w:t>
      </w:r>
      <w:r w:rsidR="00FF1FE7" w:rsidRPr="009A2E44">
        <w:rPr>
          <w:rFonts w:ascii="Garamond" w:hAnsi="Garamond"/>
        </w:rPr>
        <w:t>in the same cores,</w:t>
      </w:r>
      <w:r w:rsidR="00912F12" w:rsidRPr="009A2E44">
        <w:rPr>
          <w:rFonts w:ascii="Garamond" w:hAnsi="Garamond"/>
        </w:rPr>
        <w:t xml:space="preserve"> </w:t>
      </w:r>
      <w:r w:rsidR="002E7AD6" w:rsidRPr="009A2E44">
        <w:rPr>
          <w:rFonts w:ascii="Garamond" w:hAnsi="Garamond"/>
        </w:rPr>
        <w:t>aid</w:t>
      </w:r>
      <w:r w:rsidR="00FF1FE7" w:rsidRPr="009A2E44">
        <w:rPr>
          <w:rFonts w:ascii="Garamond" w:hAnsi="Garamond"/>
        </w:rPr>
        <w:t xml:space="preserve">ing </w:t>
      </w:r>
      <w:r w:rsidR="00912F12" w:rsidRPr="009A2E44">
        <w:rPr>
          <w:rFonts w:ascii="Garamond" w:hAnsi="Garamond"/>
        </w:rPr>
        <w:t>interpretations of precipitation change</w:t>
      </w:r>
      <w:r w:rsidR="007B25B3" w:rsidRPr="009A2E44">
        <w:rPr>
          <w:rFonts w:ascii="Garamond" w:hAnsi="Garamond"/>
        </w:rPr>
        <w:t xml:space="preserve"> within the SPCZ</w:t>
      </w:r>
      <w:r w:rsidR="002E7AD6" w:rsidRPr="009A2E44">
        <w:rPr>
          <w:rFonts w:ascii="Garamond" w:hAnsi="Garamond"/>
        </w:rPr>
        <w:t>.</w:t>
      </w:r>
    </w:p>
    <w:p w14:paraId="53F81DE5" w14:textId="4B31703B" w:rsidR="009D72CE" w:rsidRPr="009A2E44" w:rsidRDefault="002E7AD6" w:rsidP="00266B6C">
      <w:pPr>
        <w:spacing w:line="480" w:lineRule="auto"/>
        <w:rPr>
          <w:rFonts w:ascii="Garamond" w:hAnsi="Garamond"/>
          <w:b/>
          <w:bCs/>
        </w:rPr>
      </w:pPr>
      <w:r w:rsidRPr="009A2E44">
        <w:rPr>
          <w:rFonts w:ascii="Garamond" w:hAnsi="Garamond"/>
        </w:rPr>
        <w:t xml:space="preserve"> </w:t>
      </w:r>
    </w:p>
    <w:p w14:paraId="4E752C4A" w14:textId="79808EED" w:rsidR="00216A2F" w:rsidRPr="009A2E44" w:rsidRDefault="00216A2F" w:rsidP="001C47D3">
      <w:pPr>
        <w:spacing w:line="480" w:lineRule="auto"/>
        <w:rPr>
          <w:rFonts w:ascii="Garamond" w:hAnsi="Garamond"/>
          <w:b/>
          <w:bCs/>
        </w:rPr>
      </w:pPr>
      <w:r w:rsidRPr="009A2E44">
        <w:rPr>
          <w:rFonts w:ascii="Garamond" w:hAnsi="Garamond"/>
          <w:b/>
          <w:bCs/>
        </w:rPr>
        <w:t xml:space="preserve">2. Regional </w:t>
      </w:r>
      <w:r w:rsidR="00812253" w:rsidRPr="009A2E44">
        <w:rPr>
          <w:rFonts w:ascii="Garamond" w:hAnsi="Garamond"/>
          <w:b/>
          <w:bCs/>
        </w:rPr>
        <w:t>S</w:t>
      </w:r>
      <w:r w:rsidRPr="009A2E44">
        <w:rPr>
          <w:rFonts w:ascii="Garamond" w:hAnsi="Garamond"/>
          <w:b/>
          <w:bCs/>
        </w:rPr>
        <w:t>etting</w:t>
      </w:r>
    </w:p>
    <w:p w14:paraId="448B6259" w14:textId="248AB26F" w:rsidR="009C7243" w:rsidRPr="009A2E44" w:rsidRDefault="00654613" w:rsidP="001C47D3">
      <w:pPr>
        <w:spacing w:line="480" w:lineRule="auto"/>
        <w:ind w:firstLine="720"/>
        <w:rPr>
          <w:rFonts w:ascii="Garamond" w:hAnsi="Garamond"/>
        </w:rPr>
      </w:pPr>
      <w:r w:rsidRPr="009A2E44">
        <w:rPr>
          <w:rFonts w:ascii="Garamond" w:hAnsi="Garamond"/>
        </w:rPr>
        <w:t xml:space="preserve">‘Uvea is the main island of Wallis (French territory of Wallis </w:t>
      </w:r>
      <w:r w:rsidR="007B6A66" w:rsidRPr="009A2E44">
        <w:rPr>
          <w:rFonts w:ascii="Garamond" w:hAnsi="Garamond"/>
        </w:rPr>
        <w:t xml:space="preserve">et </w:t>
      </w:r>
      <w:r w:rsidRPr="009A2E44">
        <w:rPr>
          <w:rFonts w:ascii="Garamond" w:hAnsi="Garamond"/>
        </w:rPr>
        <w:t xml:space="preserve">Futuna) </w:t>
      </w:r>
      <w:r w:rsidR="00B427D8" w:rsidRPr="009A2E44">
        <w:rPr>
          <w:rFonts w:ascii="Garamond" w:hAnsi="Garamond"/>
        </w:rPr>
        <w:t xml:space="preserve">located in the southeastern region of the SPCZ </w:t>
      </w:r>
      <w:r w:rsidR="00EA3AE5" w:rsidRPr="009A2E44">
        <w:rPr>
          <w:rFonts w:ascii="Garamond" w:hAnsi="Garamond"/>
        </w:rPr>
        <w:t xml:space="preserve">along its central axis </w:t>
      </w:r>
      <w:r w:rsidR="00B427D8" w:rsidRPr="009A2E44">
        <w:rPr>
          <w:rFonts w:ascii="Garamond" w:hAnsi="Garamond"/>
        </w:rPr>
        <w:t>(</w:t>
      </w:r>
      <w:r w:rsidR="00B427D8" w:rsidRPr="009A2E44">
        <w:rPr>
          <w:rFonts w:ascii="Garamond" w:hAnsi="Garamond"/>
          <w:b/>
        </w:rPr>
        <w:t>Fig. 1</w:t>
      </w:r>
      <w:r w:rsidR="00B427D8" w:rsidRPr="009A2E44">
        <w:rPr>
          <w:rFonts w:ascii="Garamond" w:hAnsi="Garamond"/>
        </w:rPr>
        <w:t>)</w:t>
      </w:r>
      <w:r w:rsidR="00650D6C" w:rsidRPr="009A2E44">
        <w:rPr>
          <w:rFonts w:ascii="Garamond" w:hAnsi="Garamond"/>
        </w:rPr>
        <w:t xml:space="preserve"> </w:t>
      </w:r>
      <w:r w:rsidR="00CD0F49" w:rsidRPr="009A2E44">
        <w:rPr>
          <w:rFonts w:ascii="Garamond" w:hAnsi="Garamond"/>
        </w:rPr>
        <w:t xml:space="preserve">and influenced by the seasonal and interannual </w:t>
      </w:r>
      <w:r w:rsidR="002863CB" w:rsidRPr="009A2E44">
        <w:rPr>
          <w:rFonts w:ascii="Garamond" w:hAnsi="Garamond"/>
        </w:rPr>
        <w:t xml:space="preserve">SPCZ </w:t>
      </w:r>
      <w:r w:rsidR="00CD0F49" w:rsidRPr="009A2E44">
        <w:rPr>
          <w:rFonts w:ascii="Garamond" w:hAnsi="Garamond"/>
        </w:rPr>
        <w:t xml:space="preserve">migrations </w:t>
      </w:r>
      <w:r w:rsidR="00CD0F49" w:rsidRPr="009A2E44">
        <w:rPr>
          <w:rFonts w:ascii="Garamond" w:hAnsi="Garamond"/>
        </w:rPr>
        <w:fldChar w:fldCharType="begin" w:fldLock="1"/>
      </w:r>
      <w:r w:rsidR="00CD0F49" w:rsidRPr="009A2E44">
        <w:rPr>
          <w:rFonts w:ascii="Garamond" w:hAnsi="Garamond"/>
        </w:rPr>
        <w:instrText>ADDIN CSL_CITATION {"citationItems":[{"id":"ITEM-1","itemData":{"DOI":"10.1016/S0399-1784(99)80050-4","ISSN":"03991784","abstract":"Mean conditions, seasonal, and ENSO-related (El Nino Southern Oscillation) variability in the vicinity of Wallis, Futuna, and Samoa islands (13°-15°S, 180°-170°W) over the 1973-1995 period are analysed for wind pseudo-stress, satellite-derived and in situ precipitation, sea surface temperature (SST) and salinity (SSS), sea level, and 0-450 m temperature and geostrophic current. The mean local conditions reflect the presence of the large scale features such as the western Pacific warm pool, the South Pacific Convergence Zone (SPCZ), and the South Pacific anticyclonic gyre. The seasonal changes are closely related to the meridional migrations of the SPCZ, which passes twice a year over the region of study. During the warm phase of ENSO (El Nino), we generally observe saltier-than-average SSS (of the order of 0.4), consistent with a rainfall deficit (0.4 m yr-1), a hint of colder-than-average surface temperature is also identified in subsurface (0.3 °C), a weak tendency for westward geostrophic current anomalies (2 cm s-1 at the surface), a sea level decrease (5-10 cm), together with easterly (5 m2 s-2) and well marked southerly (10 m2 s-2) wind pseudo-stress anomalies. Anomalies of similar magnitude, but of opposite sign, are detected during the cold phase of ENSO (La Nina). While these ENSO-related changes apply prior to the 1990s, they were not observed during the 1991-1994 period, which appears atypical.","author":[{"dropping-particle":"","family":"Alory","given":"Gaël","non-dropping-particle":"","parse-names":false,"suffix":""},{"dropping-particle":"","family":"Delcroix","given":"Thierry","non-dropping-particle":"","parse-names":false,"suffix":""}],"container-title":"Oceanologica Acta","id":"ITEM-1","issue":"3","issued":{"date-parts":[["1999"]]},"page":"249-263","title":"Climatic variability in the vicinity of Wallis, Futuna, and Samoa islands (13-15°S, 180°-170°W)","type":"article-journal","volume":"22"},"uris":["http://www.mendeley.com/documents/?uuid=d5be88f4-821d-48e2-b72b-41a760836252"]}],"mendeley":{"formattedCitation":"(Alory and Delcroix, 1999)","plainTextFormattedCitation":"(Alory and Delcroix, 1999)","previouslyFormattedCitation":"(Alory and Delcroix, 1999)"},"properties":{"noteIndex":0},"schema":"https://github.com/citation-style-language/schema/raw/master/csl-citation.json"}</w:instrText>
      </w:r>
      <w:r w:rsidR="00CD0F49" w:rsidRPr="009A2E44">
        <w:rPr>
          <w:rFonts w:ascii="Garamond" w:hAnsi="Garamond"/>
        </w:rPr>
        <w:fldChar w:fldCharType="separate"/>
      </w:r>
      <w:r w:rsidR="00CD0F49" w:rsidRPr="009A2E44">
        <w:rPr>
          <w:rFonts w:ascii="Garamond" w:hAnsi="Garamond"/>
          <w:noProof/>
        </w:rPr>
        <w:t>(Alory and Delcroix, 1999)</w:t>
      </w:r>
      <w:r w:rsidR="00CD0F49" w:rsidRPr="009A2E44">
        <w:rPr>
          <w:rFonts w:ascii="Garamond" w:hAnsi="Garamond"/>
        </w:rPr>
        <w:fldChar w:fldCharType="end"/>
      </w:r>
      <w:r w:rsidR="00CD0F49" w:rsidRPr="009A2E44">
        <w:rPr>
          <w:rFonts w:ascii="Garamond" w:hAnsi="Garamond"/>
        </w:rPr>
        <w:t xml:space="preserve"> </w:t>
      </w:r>
      <w:r w:rsidR="00B427D8" w:rsidRPr="009A2E44">
        <w:rPr>
          <w:rFonts w:ascii="Garamond" w:hAnsi="Garamond"/>
        </w:rPr>
        <w:t xml:space="preserve">with </w:t>
      </w:r>
      <w:r w:rsidR="001D5339" w:rsidRPr="009A2E44">
        <w:rPr>
          <w:rFonts w:ascii="Garamond" w:hAnsi="Garamond"/>
        </w:rPr>
        <w:t xml:space="preserve">an </w:t>
      </w:r>
      <w:r w:rsidR="00B427D8" w:rsidRPr="009A2E44">
        <w:rPr>
          <w:rFonts w:ascii="Garamond" w:hAnsi="Garamond"/>
        </w:rPr>
        <w:t>average</w:t>
      </w:r>
      <w:r w:rsidR="00715D73" w:rsidRPr="009A2E44">
        <w:rPr>
          <w:rFonts w:ascii="Garamond" w:hAnsi="Garamond"/>
        </w:rPr>
        <w:t xml:space="preserve"> Global Precipitation Climatology Project </w:t>
      </w:r>
      <w:r w:rsidR="00715D73" w:rsidRPr="009A2E44">
        <w:rPr>
          <w:rFonts w:ascii="Garamond" w:hAnsi="Garamond"/>
        </w:rPr>
        <w:fldChar w:fldCharType="begin" w:fldLock="1"/>
      </w:r>
      <w:r w:rsidR="00D04FB8">
        <w:rPr>
          <w:rFonts w:ascii="Garamond" w:hAnsi="Garamond"/>
        </w:rPr>
        <w:instrText>ADDIN CSL_CITATION {"citationItems":[{"id":"ITEM-1","itemData":{"DOI":"10.1175/JAMC-D-11-052.1","ISBN":"1558-8424","ISSN":"15588424","abstract":"A procedure is described to estimate bias errors for mean precipitation by using multiple estimates from different algorithms, satellite sources, and merged products. The Global Precipitation Climatology Project (GPCP) monthly product is used as a base precipitation estimate, with other input products included when they are within +/- 50% of the GPCP estimates on a zonal-mean basis (ocean and land separately). The standard deviation a of the included products is then taken to be the estimated systematic, or bias, error. The results allow one to examine monthly climatologies and the annual climatology, producing maps of estimated bias errors, zonal-mean errors, and estimated errors over large areas such as ocean and land for both the tropics and the globe. For ocean areas, where there is the largest question as to absolute magnitude of precipitation, the analysis shows spatial variations in the estimated bias errors, indicating areas where one should have more or less confidence in the mean precipitation estimates. In the tropics, relative bias error estimates (sigma/mu, where mu is the mean precipitation) over the eastern Pacific Ocean are as large as 20%, as compared with 10%-15% in the western Pacific part of the ITCZ. An examination of latitudinal differences over ocean clearly shows an increase in estimated bias error at higher latitudes, reaching up to 50%. Over land, the error estimates also locate regions of potential problems in the tropics and larger cold-season errors at high latitudes that are due to snow. An empirical technique to area average the gridded errors (sigma) is described that allows one to make error estimates for arbitrary areas and for the tropics and the globe (land and ocean separately, and combined). Over the tropics this calculation leads to a relative error estimate for tropical land and ocean combined of 7%, which is considered to be an upper bound because of the lack of sign-of-the-error canceling when integrating over different areas with a different number of input products. For the globe the calculated relative error estimate from this study is about 9%, which is also probably a slight overestimate. These tropical and global estimated bias errors provide one estimate of the current state of knowledge of the planet's mean precipitation.","author":[{"dropping-particle":"","family":"Adler","given":"Robert F","non-dropping-particle":"","parse-names":false,"suffix":""},{"dropping-particle":"","family":"Gu","given":"Guojun","non-dropping-particle":"","parse-names":false,"suffix":""},{"dropping-particle":"","family":"Huffman","given":"George J.","non-dropping-particle":"","parse-names":false,"suffix":""}],"container-title":"Journal of Applied Meteorology and Climatology","id":"ITEM-1","issued":{"date-parts":[["2012"]]},"page":"84-99","title":"Estimating climatological bias errors for the global precipitation climatology project (GPCP)","type":"article-journal","volume":"51"},"uris":["http://www.mendeley.com/documents/?uuid=a2380467-c26a-4374-adbe-42e9835d9b41"]},{"id":"ITEM-2","itemData":{"DOI":"10.3390/atmos9040138","ISSN":"20734433","abstract":"The new Version 2.3 of the Global Precipitation Climatology Project (GPCP) Monthly analysis is described in terms of changes made to improve the homogeneity of the product, especially after 2002. These changes include corrections to cross-calibration of satellite data inputs and updates to the gauge analysis. Over-ocean changes starting in 2003 resulted in an overall precipitation increase of 1.8% after 2009. Updating the gauge analysis to its final, high-quality version increases the global land total by 1.8% for the post-2002 period. These changes correct a small, incorrect dip in the estimated global precipitation over the last decade given by the earlier Version 2.2. The GPCP analysis is also used to describe global precipitation in 2017. The general La Niña pattern for 2017 is noted and the evolution from the early 2016 El Niño pattern is described. The 2017 global value is one of the highest for the 1979-2017 period, exceeded only by 2016 and 1998 (both El Niño years), and reinforces the small positive trend. Results for 2017 also reinforce significant trends in precipitation intensity (on a monthly scale) in the tropics. These results for 2017 indicate the value of the GPCP analysis, in addition to research, for climate monitoring.","author":[{"dropping-particle":"","family":"Adler","given":"Robert F","non-dropping-particle":"","parse-names":false,"suffix":""},{"dropping-particle":"","family":"Sapiano","given":"Mathew R.P.","non-dropping-particle":"","parse-names":false,"suffix":""},{"dropping-particle":"","family":"Huffman","given":"George J.","non-dropping-particle":"","parse-names":false,"suffix":""},{"dropping-particle":"","family":"Wang","given":"Jian Jian","non-dropping-particle":"","parse-names":false,"suffix":""},{"dropping-particle":"","family":"Gu","given":"Guojun","non-dropping-particle":"","parse-names":false,"suffix":""},{"dropping-particle":"","family":"Bolvin","given":"David","non-dropping-particle":"","parse-names":false,"suffix":""},{"dropping-particle":"","family":"Chiu","given":"Long","non-dropping-particle":"","parse-names":false,"suffix":""},{"dropping-particle":"","family":"Schneider","given":"Udo","non-dropping-particle":"","parse-names":false,"suffix":""},{"dropping-particle":"","family":"Becker","given":"Andreas","non-dropping-particle":"","parse-names":false,"suffix":""},{"dropping-particle":"","family":"Nelkin","given":"Eric","non-dropping-particle":"","parse-names":false,"suffix":""},{"dropping-particle":"","family":"Xie","given":"Pingping","non-dropping-particle":"","parse-names":false,"suffix":""},{"dropping-particle":"","family":"Ferraro","given":"Ralph","non-dropping-particle":"","parse-names":false,"suffix":""},{"dropping-particle":"Bin","family":"Shin","given":"Dong","non-dropping-particle":"","parse-names":false,"suffix":""}],"container-title":"Atmosphere","id":"ITEM-2","issued":{"date-parts":[["2018"]]},"title":"The Global Precipitation Climatology Project (GPCP) monthly analysis (New Version 2.3) and a review of 2017 global precipitation","type":"article-journal","volume":"9"},"uris":["http://www.mendeley.com/documents/?uuid=bfcdffd8-35a6-4552-acb6-ddde75e7b4d7"]},{"id":"ITEM-3","itemData":{"DOI":"10.1175/1525-7541(2003)004&lt;1147:TVGPCP&gt;2.0.CO;2","ISBN":"1525-755X","ISSN":"1525-755X","PMID":"2580904","abstract":"Abstract The Global Precipitation Climatology Project (GPCP) Version-2 Monthly Precipitation Analysis is described. This globally complete, monthly analysis of surface precipitation at 2.5° latitude × 2.5° longitude resolution is available from January 1979 to the present. It is a merged analysis that incorporates precipitation estimates from low-orbit satellite microwave data, geosynchronous-orbit satellite infrared data, and surface rain gauge observations. The merging approach utilizes the higher accuracy of the low-orbit microwave observations to calibrate, or adjust, the more frequent geosynchronous infrared observations. The dataset is extended back into the premicrowave era (before mid-1987) by using infrared-only observations calibrated to the microwave-based analysis of the later years. The combined satellite-based product is adjusted by the rain gauge analysis. The dataset archive also contains the individual input fields, a combined satellite estimate, and error estimates for each field. This m...","author":[{"dropping-particle":"","family":"Adler","given":"Robert F","non-dropping-particle":"","parse-names":false,"suffix":""},{"dropping-particle":"","family":"Huffman","given":"George J","non-dropping-particle":"","parse-names":false,"suffix":""},{"dropping-particle":"","family":"Chang","given":"Alfred","non-dropping-particle":"","parse-names":false,"suffix":""},{"dropping-particle":"","family":"Ferraro","given":"Ralph","non-dropping-particle":"","parse-names":false,"suffix":""},{"dropping-particle":"","family":"Xie","given":"Ping-Ping","non-dropping-particle":"","parse-names":false,"suffix":""},{"dropping-particle":"","family":"Janowiak","given":"John","non-dropping-particle":"","parse-names":false,"suffix":""},{"dropping-particle":"","family":"Rudolf","given":"Bruno","non-dropping-particle":"","parse-names":false,"suffix":""},{"dropping-particle":"","family":"Schneider","given":"Udo","non-dropping-particle":"","parse-names":false,"suffix":""},{"dropping-particle":"","family":"Curtis","given":"Scott","non-dropping-particle":"","parse-names":false,"suffix":""},{"dropping-particle":"","family":"Bolvin","given":"David","non-dropping-particle":"","parse-names":false,"suffix":""},{"dropping-particle":"","family":"Gruber","given":"Arnold","non-dropping-particle":"","parse-names":false,"suffix":""},{"dropping-particle":"","family":"Susskind","given":"Joel","non-dropping-particle":"","parse-names":false,"suffix":""},{"dropping-particle":"","family":"Arkin","given":"Philip","non-dropping-particle":"","parse-names":false,"suffix":""},{"dropping-particle":"","family":"Nelkin","given":"Eric","non-dropping-particle":"","parse-names":false,"suffix":""}],"container-title":"Journal of Hydrometeorology","id":"ITEM-3","issued":{"date-parts":[["2003"]]},"page":"1147-1167","title":"The Version-2 Global Precipitation Climatology Project (GPCP) Monthly Precipitation Analysis (1979–Present)","type":"article-journal","volume":"4"},"uris":["http://www.mendeley.com/documents/?uuid=786e574c-ac0d-4b03-aa79-5e3bea572a2e"]}],"mendeley":{"formattedCitation":"(Adler et al., 2018, 2012, 2003)","plainTextFormattedCitation":"(Adler et al., 2018, 2012, 2003)","previouslyFormattedCitation":"(Adler et al., 2018, 2012, 2003)"},"properties":{"noteIndex":0},"schema":"https://github.com/citation-style-language/schema/raw/master/csl-citation.json"}</w:instrText>
      </w:r>
      <w:r w:rsidR="00715D73" w:rsidRPr="009A2E44">
        <w:rPr>
          <w:rFonts w:ascii="Garamond" w:hAnsi="Garamond"/>
        </w:rPr>
        <w:fldChar w:fldCharType="separate"/>
      </w:r>
      <w:r w:rsidR="00C53924" w:rsidRPr="00C53924">
        <w:rPr>
          <w:rFonts w:ascii="Garamond" w:hAnsi="Garamond"/>
          <w:noProof/>
        </w:rPr>
        <w:t>(Adler et al., 2018, 2012, 2003)</w:t>
      </w:r>
      <w:r w:rsidR="00715D73" w:rsidRPr="009A2E44">
        <w:rPr>
          <w:rFonts w:ascii="Garamond" w:hAnsi="Garamond"/>
        </w:rPr>
        <w:fldChar w:fldCharType="end"/>
      </w:r>
      <w:r w:rsidR="00715D73" w:rsidRPr="009A2E44">
        <w:rPr>
          <w:rFonts w:ascii="Garamond" w:hAnsi="Garamond"/>
        </w:rPr>
        <w:t xml:space="preserve"> (GPCP</w:t>
      </w:r>
      <w:r w:rsidR="00C53924">
        <w:rPr>
          <w:rFonts w:ascii="Garamond" w:hAnsi="Garamond"/>
        </w:rPr>
        <w:t>v2.3</w:t>
      </w:r>
      <w:r w:rsidR="00715D73" w:rsidRPr="009A2E44">
        <w:rPr>
          <w:rFonts w:ascii="Garamond" w:hAnsi="Garamond"/>
        </w:rPr>
        <w:t>)</w:t>
      </w:r>
      <w:r w:rsidR="00B427D8" w:rsidRPr="009A2E44">
        <w:rPr>
          <w:rFonts w:ascii="Garamond" w:hAnsi="Garamond"/>
        </w:rPr>
        <w:t xml:space="preserve"> </w:t>
      </w:r>
      <w:r w:rsidR="00E75A8C" w:rsidRPr="009A2E44">
        <w:rPr>
          <w:rFonts w:ascii="Garamond" w:hAnsi="Garamond"/>
        </w:rPr>
        <w:t>(1979</w:t>
      </w:r>
      <w:r w:rsidR="00D335DC" w:rsidRPr="009A2E44">
        <w:rPr>
          <w:rFonts w:ascii="Garamond" w:hAnsi="Garamond"/>
          <w:color w:val="202020"/>
          <w:shd w:val="clear" w:color="auto" w:fill="FFFFFF"/>
        </w:rPr>
        <w:t>–</w:t>
      </w:r>
      <w:r w:rsidR="00E75A8C" w:rsidRPr="009A2E44">
        <w:rPr>
          <w:rFonts w:ascii="Garamond" w:hAnsi="Garamond"/>
        </w:rPr>
        <w:t>201</w:t>
      </w:r>
      <w:r w:rsidR="00CA0847" w:rsidRPr="009A2E44">
        <w:rPr>
          <w:rFonts w:ascii="Garamond" w:hAnsi="Garamond"/>
        </w:rPr>
        <w:t>6</w:t>
      </w:r>
      <w:r w:rsidR="00E75A8C" w:rsidRPr="009A2E44">
        <w:rPr>
          <w:rFonts w:ascii="Garamond" w:hAnsi="Garamond"/>
        </w:rPr>
        <w:t xml:space="preserve">) </w:t>
      </w:r>
      <w:r w:rsidR="00B427D8" w:rsidRPr="009A2E44">
        <w:rPr>
          <w:rFonts w:ascii="Garamond" w:hAnsi="Garamond"/>
        </w:rPr>
        <w:t>precipitation rate of 6.0 mm d</w:t>
      </w:r>
      <w:r w:rsidR="00B427D8" w:rsidRPr="009A2E44">
        <w:rPr>
          <w:rFonts w:ascii="Garamond" w:hAnsi="Garamond"/>
          <w:color w:val="202020"/>
          <w:shd w:val="clear" w:color="auto" w:fill="FFFFFF"/>
          <w:vertAlign w:val="superscript"/>
        </w:rPr>
        <w:t>−</w:t>
      </w:r>
      <w:r w:rsidR="00B427D8" w:rsidRPr="009A2E44">
        <w:rPr>
          <w:rFonts w:ascii="Garamond" w:hAnsi="Garamond"/>
          <w:vertAlign w:val="superscript"/>
        </w:rPr>
        <w:t>1</w:t>
      </w:r>
      <w:r w:rsidR="00B427D8" w:rsidRPr="009A2E44">
        <w:rPr>
          <w:rFonts w:ascii="Garamond" w:hAnsi="Garamond"/>
        </w:rPr>
        <w:t xml:space="preserve">. </w:t>
      </w:r>
      <w:r w:rsidR="001D5339" w:rsidRPr="009A2E44">
        <w:rPr>
          <w:rFonts w:ascii="Garamond" w:hAnsi="Garamond"/>
        </w:rPr>
        <w:t xml:space="preserve">‘Uvea </w:t>
      </w:r>
      <w:r w:rsidR="00B427D8" w:rsidRPr="009A2E44">
        <w:rPr>
          <w:rFonts w:ascii="Garamond" w:hAnsi="Garamond"/>
        </w:rPr>
        <w:t>has a large average</w:t>
      </w:r>
      <w:r w:rsidR="00FB4E7D" w:rsidRPr="009A2E44">
        <w:rPr>
          <w:rFonts w:ascii="Garamond" w:hAnsi="Garamond"/>
        </w:rPr>
        <w:t xml:space="preserve"> seasonal</w:t>
      </w:r>
      <w:r w:rsidR="00B427D8" w:rsidRPr="009A2E44">
        <w:rPr>
          <w:rFonts w:ascii="Garamond" w:hAnsi="Garamond"/>
        </w:rPr>
        <w:t xml:space="preserve"> [</w:t>
      </w:r>
      <w:r w:rsidR="00FB4E7D" w:rsidRPr="009A2E44">
        <w:rPr>
          <w:rFonts w:ascii="Garamond" w:hAnsi="Garamond"/>
        </w:rPr>
        <w:t>DJF</w:t>
      </w:r>
      <w:r w:rsidR="00E8392D" w:rsidRPr="00E8392D">
        <w:rPr>
          <w:rFonts w:ascii="Garamond" w:hAnsi="Garamond"/>
          <w:color w:val="202020"/>
          <w:shd w:val="clear" w:color="auto" w:fill="FFFFFF"/>
        </w:rPr>
        <w:t>−</w:t>
      </w:r>
      <w:r w:rsidR="00FB4E7D" w:rsidRPr="009A2E44">
        <w:rPr>
          <w:rFonts w:ascii="Garamond" w:hAnsi="Garamond"/>
        </w:rPr>
        <w:t>JJA</w:t>
      </w:r>
      <w:r w:rsidR="00B427D8" w:rsidRPr="009A2E44">
        <w:rPr>
          <w:rFonts w:ascii="Garamond" w:hAnsi="Garamond"/>
        </w:rPr>
        <w:t xml:space="preserve">] </w:t>
      </w:r>
      <w:r w:rsidR="00591A1F">
        <w:rPr>
          <w:rFonts w:ascii="Garamond" w:hAnsi="Garamond"/>
        </w:rPr>
        <w:t xml:space="preserve">precipitation </w:t>
      </w:r>
      <w:r w:rsidR="000B1F9C" w:rsidRPr="009A2E44">
        <w:rPr>
          <w:rFonts w:ascii="Garamond" w:hAnsi="Garamond"/>
        </w:rPr>
        <w:t xml:space="preserve">range </w:t>
      </w:r>
      <w:r w:rsidR="00B427D8" w:rsidRPr="009A2E44">
        <w:rPr>
          <w:rFonts w:ascii="Garamond" w:hAnsi="Garamond"/>
        </w:rPr>
        <w:t>(5.2 mm d</w:t>
      </w:r>
      <w:r w:rsidR="00B427D8" w:rsidRPr="009A2E44">
        <w:rPr>
          <w:rFonts w:ascii="Garamond" w:hAnsi="Garamond"/>
          <w:color w:val="202020"/>
          <w:shd w:val="clear" w:color="auto" w:fill="FFFFFF"/>
          <w:vertAlign w:val="superscript"/>
        </w:rPr>
        <w:t>−</w:t>
      </w:r>
      <w:r w:rsidR="00B427D8" w:rsidRPr="009A2E44">
        <w:rPr>
          <w:rFonts w:ascii="Garamond" w:hAnsi="Garamond"/>
          <w:vertAlign w:val="superscript"/>
        </w:rPr>
        <w:t>1</w:t>
      </w:r>
      <w:r w:rsidR="00B427D8" w:rsidRPr="009A2E44">
        <w:rPr>
          <w:rFonts w:ascii="Garamond" w:hAnsi="Garamond"/>
        </w:rPr>
        <w:t xml:space="preserve">) and </w:t>
      </w:r>
      <w:r w:rsidR="00BB4CA9">
        <w:rPr>
          <w:rFonts w:ascii="Garamond" w:hAnsi="Garamond"/>
        </w:rPr>
        <w:t>minor</w:t>
      </w:r>
      <w:r w:rsidR="00BB4CA9" w:rsidRPr="009A2E44">
        <w:rPr>
          <w:rFonts w:ascii="Garamond" w:hAnsi="Garamond"/>
        </w:rPr>
        <w:t xml:space="preserve"> </w:t>
      </w:r>
      <w:r w:rsidR="00B427D8" w:rsidRPr="009A2E44">
        <w:rPr>
          <w:rFonts w:ascii="Garamond" w:hAnsi="Garamond"/>
        </w:rPr>
        <w:t xml:space="preserve">average </w:t>
      </w:r>
      <w:r w:rsidR="00984097" w:rsidRPr="009A2E44">
        <w:rPr>
          <w:rFonts w:ascii="Garamond" w:hAnsi="Garamond"/>
        </w:rPr>
        <w:t>El Niño-Southern Oscillation (</w:t>
      </w:r>
      <w:r w:rsidR="00FB4E7D" w:rsidRPr="009A2E44">
        <w:rPr>
          <w:rFonts w:ascii="Garamond" w:hAnsi="Garamond"/>
        </w:rPr>
        <w:t>ENSO</w:t>
      </w:r>
      <w:r w:rsidR="00984097" w:rsidRPr="009A2E44">
        <w:rPr>
          <w:rFonts w:ascii="Garamond" w:hAnsi="Garamond"/>
        </w:rPr>
        <w:t>)</w:t>
      </w:r>
      <w:r w:rsidR="00FB4E7D" w:rsidRPr="009A2E44">
        <w:rPr>
          <w:rFonts w:ascii="Garamond" w:hAnsi="Garamond"/>
        </w:rPr>
        <w:t xml:space="preserve"> </w:t>
      </w:r>
      <w:r w:rsidR="00B427D8" w:rsidRPr="009A2E44">
        <w:rPr>
          <w:rFonts w:ascii="Garamond" w:hAnsi="Garamond"/>
        </w:rPr>
        <w:t>[La Ni</w:t>
      </w:r>
      <w:r w:rsidR="00B427D8" w:rsidRPr="009A2E44">
        <w:rPr>
          <w:rFonts w:ascii="Garamond" w:hAnsi="Garamond"/>
          <w:color w:val="101010"/>
        </w:rPr>
        <w:t>ñ</w:t>
      </w:r>
      <w:r w:rsidR="00B427D8" w:rsidRPr="009A2E44">
        <w:rPr>
          <w:rFonts w:ascii="Garamond" w:hAnsi="Garamond"/>
        </w:rPr>
        <w:t>a</w:t>
      </w:r>
      <w:r w:rsidR="00E8392D" w:rsidRPr="00E8392D">
        <w:rPr>
          <w:rFonts w:ascii="Garamond" w:hAnsi="Garamond"/>
          <w:color w:val="202020"/>
          <w:shd w:val="clear" w:color="auto" w:fill="FFFFFF"/>
        </w:rPr>
        <w:t>−</w:t>
      </w:r>
      <w:r w:rsidR="00B427D8" w:rsidRPr="009A2E44">
        <w:rPr>
          <w:rFonts w:ascii="Garamond" w:hAnsi="Garamond"/>
        </w:rPr>
        <w:t>El Ni</w:t>
      </w:r>
      <w:r w:rsidR="00B427D8" w:rsidRPr="009A2E44">
        <w:rPr>
          <w:rFonts w:ascii="Garamond" w:hAnsi="Garamond"/>
          <w:color w:val="101010"/>
        </w:rPr>
        <w:t>ñ</w:t>
      </w:r>
      <w:r w:rsidR="00B427D8" w:rsidRPr="009A2E44">
        <w:rPr>
          <w:rFonts w:ascii="Garamond" w:hAnsi="Garamond"/>
        </w:rPr>
        <w:t xml:space="preserve">o] </w:t>
      </w:r>
      <w:r w:rsidR="00591A1F">
        <w:rPr>
          <w:rFonts w:ascii="Garamond" w:hAnsi="Garamond"/>
        </w:rPr>
        <w:t xml:space="preserve">precipitation </w:t>
      </w:r>
      <w:r w:rsidR="004336B4" w:rsidRPr="009A2E44">
        <w:rPr>
          <w:rFonts w:ascii="Garamond" w:hAnsi="Garamond"/>
        </w:rPr>
        <w:t xml:space="preserve">variability </w:t>
      </w:r>
      <w:r w:rsidR="00B427D8" w:rsidRPr="009A2E44">
        <w:rPr>
          <w:rFonts w:ascii="Garamond" w:hAnsi="Garamond"/>
        </w:rPr>
        <w:t>(0.8 mm d</w:t>
      </w:r>
      <w:r w:rsidR="00B427D8" w:rsidRPr="009A2E44">
        <w:rPr>
          <w:rFonts w:ascii="Garamond" w:hAnsi="Garamond"/>
          <w:color w:val="202020"/>
          <w:shd w:val="clear" w:color="auto" w:fill="FFFFFF"/>
          <w:vertAlign w:val="superscript"/>
        </w:rPr>
        <w:t>−</w:t>
      </w:r>
      <w:r w:rsidR="00B427D8" w:rsidRPr="009A2E44">
        <w:rPr>
          <w:rFonts w:ascii="Garamond" w:hAnsi="Garamond"/>
          <w:vertAlign w:val="superscript"/>
        </w:rPr>
        <w:t>1</w:t>
      </w:r>
      <w:r w:rsidR="00B427D8" w:rsidRPr="009A2E44">
        <w:rPr>
          <w:rFonts w:ascii="Garamond" w:hAnsi="Garamond"/>
        </w:rPr>
        <w:t>) (</w:t>
      </w:r>
      <w:r w:rsidR="00B427D8" w:rsidRPr="009A2E44">
        <w:rPr>
          <w:rFonts w:ascii="Garamond" w:hAnsi="Garamond"/>
          <w:b/>
        </w:rPr>
        <w:t xml:space="preserve">Table </w:t>
      </w:r>
      <w:r w:rsidR="00552157" w:rsidRPr="009A2E44">
        <w:rPr>
          <w:rFonts w:ascii="Garamond" w:hAnsi="Garamond"/>
          <w:b/>
        </w:rPr>
        <w:t>A.1</w:t>
      </w:r>
      <w:r w:rsidR="00B427D8" w:rsidRPr="009A2E44">
        <w:rPr>
          <w:rFonts w:ascii="Garamond" w:hAnsi="Garamond"/>
        </w:rPr>
        <w:t>)</w:t>
      </w:r>
      <w:r w:rsidR="005239EA" w:rsidRPr="009A2E44">
        <w:rPr>
          <w:rFonts w:ascii="Garamond" w:hAnsi="Garamond"/>
        </w:rPr>
        <w:t xml:space="preserve">. </w:t>
      </w:r>
      <w:r w:rsidR="001F63D3">
        <w:rPr>
          <w:rFonts w:ascii="Garamond" w:hAnsi="Garamond"/>
        </w:rPr>
        <w:t xml:space="preserve">Here </w:t>
      </w:r>
      <w:r w:rsidR="00E80795" w:rsidRPr="009A2E44">
        <w:rPr>
          <w:rFonts w:ascii="Garamond" w:hAnsi="Garamond"/>
        </w:rPr>
        <w:t>El Ni</w:t>
      </w:r>
      <w:r w:rsidR="00E80795" w:rsidRPr="009A2E44">
        <w:rPr>
          <w:rFonts w:ascii="Garamond" w:hAnsi="Garamond"/>
          <w:color w:val="000000"/>
        </w:rPr>
        <w:t>ñ</w:t>
      </w:r>
      <w:r w:rsidR="00E80795" w:rsidRPr="009A2E44">
        <w:rPr>
          <w:rFonts w:ascii="Garamond" w:hAnsi="Garamond"/>
        </w:rPr>
        <w:t xml:space="preserve">o </w:t>
      </w:r>
      <w:r w:rsidR="000B1F9C" w:rsidRPr="009A2E44">
        <w:rPr>
          <w:rFonts w:ascii="Garamond" w:hAnsi="Garamond"/>
        </w:rPr>
        <w:t xml:space="preserve">or </w:t>
      </w:r>
      <w:r w:rsidR="00E80795" w:rsidRPr="009A2E44">
        <w:rPr>
          <w:rFonts w:ascii="Garamond" w:hAnsi="Garamond"/>
        </w:rPr>
        <w:t>La Ni</w:t>
      </w:r>
      <w:r w:rsidR="00E80795" w:rsidRPr="009A2E44">
        <w:rPr>
          <w:rFonts w:ascii="Garamond" w:hAnsi="Garamond"/>
          <w:color w:val="101010"/>
        </w:rPr>
        <w:t>ñ</w:t>
      </w:r>
      <w:r w:rsidR="00E80795" w:rsidRPr="009A2E44">
        <w:rPr>
          <w:rFonts w:ascii="Garamond" w:hAnsi="Garamond"/>
        </w:rPr>
        <w:t xml:space="preserve">a conditions are </w:t>
      </w:r>
      <w:r w:rsidR="005239EA" w:rsidRPr="009A2E44">
        <w:rPr>
          <w:rFonts w:ascii="Garamond" w:hAnsi="Garamond"/>
        </w:rPr>
        <w:t xml:space="preserve">defined </w:t>
      </w:r>
      <w:r w:rsidR="00E80795" w:rsidRPr="009A2E44">
        <w:rPr>
          <w:rFonts w:ascii="Garamond" w:hAnsi="Garamond"/>
        </w:rPr>
        <w:t xml:space="preserve">as </w:t>
      </w:r>
      <w:r w:rsidR="006D4E80" w:rsidRPr="009A2E44">
        <w:rPr>
          <w:rFonts w:ascii="Garamond" w:hAnsi="Garamond"/>
        </w:rPr>
        <w:t>periods</w:t>
      </w:r>
      <w:r w:rsidR="00E80795" w:rsidRPr="009A2E44">
        <w:rPr>
          <w:rFonts w:ascii="Garamond" w:hAnsi="Garamond"/>
        </w:rPr>
        <w:t xml:space="preserve"> when the Oceanic Ni</w:t>
      </w:r>
      <w:r w:rsidR="00E80795" w:rsidRPr="009A2E44">
        <w:rPr>
          <w:rFonts w:ascii="Garamond" w:hAnsi="Garamond"/>
          <w:color w:val="000000"/>
        </w:rPr>
        <w:t>ñ</w:t>
      </w:r>
      <w:r w:rsidR="00E80795" w:rsidRPr="009A2E44">
        <w:rPr>
          <w:rFonts w:ascii="Garamond" w:hAnsi="Garamond"/>
        </w:rPr>
        <w:t>o Index, derived from sea surface temperature anomalies in the Ni</w:t>
      </w:r>
      <w:r w:rsidR="00E80795" w:rsidRPr="009A2E44">
        <w:rPr>
          <w:rFonts w:ascii="Garamond" w:hAnsi="Garamond"/>
          <w:color w:val="000000"/>
        </w:rPr>
        <w:t>ñ</w:t>
      </w:r>
      <w:r w:rsidR="00E80795" w:rsidRPr="009A2E44">
        <w:rPr>
          <w:rFonts w:ascii="Garamond" w:hAnsi="Garamond"/>
        </w:rPr>
        <w:t xml:space="preserve">o 3.4 region, </w:t>
      </w:r>
      <w:r w:rsidR="008844A2" w:rsidRPr="009A2E44">
        <w:rPr>
          <w:rFonts w:ascii="Garamond" w:hAnsi="Garamond"/>
        </w:rPr>
        <w:t>i</w:t>
      </w:r>
      <w:r w:rsidR="001D5339" w:rsidRPr="009A2E44">
        <w:rPr>
          <w:rFonts w:ascii="Garamond" w:hAnsi="Garamond"/>
        </w:rPr>
        <w:t>s</w:t>
      </w:r>
      <w:r w:rsidR="00E80795" w:rsidRPr="009A2E44">
        <w:rPr>
          <w:rFonts w:ascii="Garamond" w:hAnsi="Garamond"/>
        </w:rPr>
        <w:t xml:space="preserve"> above 0.5 </w:t>
      </w:r>
      <w:r w:rsidR="00E80795" w:rsidRPr="009A2E44">
        <w:rPr>
          <w:rFonts w:ascii="Garamond" w:hAnsi="Garamond"/>
        </w:rPr>
        <w:sym w:font="Symbol" w:char="F0B0"/>
      </w:r>
      <w:r w:rsidR="00E80795" w:rsidRPr="009A2E44">
        <w:rPr>
          <w:rFonts w:ascii="Garamond" w:hAnsi="Garamond"/>
        </w:rPr>
        <w:t>C</w:t>
      </w:r>
      <w:r w:rsidR="008844A2" w:rsidRPr="009A2E44">
        <w:rPr>
          <w:rFonts w:ascii="Garamond" w:hAnsi="Garamond"/>
        </w:rPr>
        <w:t xml:space="preserve"> or below </w:t>
      </w:r>
      <w:r w:rsidR="000B1F9C" w:rsidRPr="009A2E44">
        <w:rPr>
          <w:rFonts w:ascii="Garamond" w:hAnsi="Garamond"/>
          <w:color w:val="202020"/>
          <w:shd w:val="clear" w:color="auto" w:fill="FFFFFF"/>
        </w:rPr>
        <w:t>−</w:t>
      </w:r>
      <w:r w:rsidR="008844A2" w:rsidRPr="009A2E44">
        <w:rPr>
          <w:rFonts w:ascii="Garamond" w:hAnsi="Garamond"/>
        </w:rPr>
        <w:t xml:space="preserve">0.5 </w:t>
      </w:r>
      <w:r w:rsidR="000B1F9C" w:rsidRPr="009A2E44">
        <w:rPr>
          <w:rFonts w:ascii="Garamond" w:hAnsi="Garamond"/>
        </w:rPr>
        <w:sym w:font="Symbol" w:char="F0B0"/>
      </w:r>
      <w:r w:rsidR="000B1F9C" w:rsidRPr="009A2E44">
        <w:rPr>
          <w:rFonts w:ascii="Garamond" w:hAnsi="Garamond"/>
        </w:rPr>
        <w:t>C</w:t>
      </w:r>
      <w:r w:rsidR="001F63D3">
        <w:rPr>
          <w:rFonts w:ascii="Garamond" w:hAnsi="Garamond"/>
        </w:rPr>
        <w:t xml:space="preserve"> following </w:t>
      </w:r>
      <w:r w:rsidR="001F63D3">
        <w:rPr>
          <w:rFonts w:ascii="Garamond" w:hAnsi="Garamond"/>
        </w:rPr>
        <w:fldChar w:fldCharType="begin" w:fldLock="1"/>
      </w:r>
      <w:r w:rsidR="00D04FB8">
        <w:rPr>
          <w:rFonts w:ascii="Garamond" w:hAnsi="Garamond"/>
        </w:rPr>
        <w:instrText>ADDIN CSL_CITATION {"citationItems":[{"id":"ITEM-1","itemData":{"URL":"https://origin.cpc.ncep.noaa.gov/products/analysis_monitoring/ensostuff/ONI_v5.php","accessed":{"date-parts":[["2021","10","11"]]},"author":[{"dropping-particle":"","family":"NOAA","given":"","non-dropping-particle":"","parse-names":false,"suffix":""}],"container-title":"(National Oceanic and Atmospheric Administration)","id":"ITEM-1","issued":{"date-parts":[["2021"]]},"title":"Cold &amp; Warm Episodes by Season","type":"webpage"},"uris":["http://www.mendeley.com/documents/?uuid=9493c42d-b8f2-4c9d-9cdc-277d9bc58705"]}],"mendeley":{"formattedCitation":"(NOAA, 2021)","manualFormatting":"NOAA (2021","plainTextFormattedCitation":"(NOAA, 2021)","previouslyFormattedCitation":"(NOAA, 2021)"},"properties":{"noteIndex":0},"schema":"https://github.com/citation-style-language/schema/raw/master/csl-citation.json"}</w:instrText>
      </w:r>
      <w:r w:rsidR="001F63D3">
        <w:rPr>
          <w:rFonts w:ascii="Garamond" w:hAnsi="Garamond"/>
        </w:rPr>
        <w:fldChar w:fldCharType="separate"/>
      </w:r>
      <w:r w:rsidR="001F63D3" w:rsidRPr="001F63D3">
        <w:rPr>
          <w:rFonts w:ascii="Garamond" w:hAnsi="Garamond"/>
          <w:noProof/>
        </w:rPr>
        <w:t>NOAA</w:t>
      </w:r>
      <w:r w:rsidR="00441AE5">
        <w:rPr>
          <w:rFonts w:ascii="Garamond" w:hAnsi="Garamond"/>
          <w:noProof/>
        </w:rPr>
        <w:t xml:space="preserve"> (</w:t>
      </w:r>
      <w:r w:rsidR="001F63D3" w:rsidRPr="001F63D3">
        <w:rPr>
          <w:rFonts w:ascii="Garamond" w:hAnsi="Garamond"/>
          <w:noProof/>
        </w:rPr>
        <w:t>2021</w:t>
      </w:r>
      <w:r w:rsidR="001F63D3">
        <w:rPr>
          <w:rFonts w:ascii="Garamond" w:hAnsi="Garamond"/>
        </w:rPr>
        <w:fldChar w:fldCharType="end"/>
      </w:r>
      <w:r w:rsidR="00441AE5">
        <w:rPr>
          <w:rFonts w:ascii="Garamond" w:hAnsi="Garamond"/>
        </w:rPr>
        <w:t>)</w:t>
      </w:r>
      <w:r w:rsidR="00E80795" w:rsidRPr="009A2E44">
        <w:rPr>
          <w:rFonts w:ascii="Garamond" w:hAnsi="Garamond"/>
        </w:rPr>
        <w:t xml:space="preserve">. </w:t>
      </w:r>
      <w:r w:rsidR="00812253" w:rsidRPr="009A2E44">
        <w:rPr>
          <w:rFonts w:ascii="Garamond" w:hAnsi="Garamond"/>
        </w:rPr>
        <w:t xml:space="preserve">Located </w:t>
      </w:r>
      <w:r w:rsidR="008119C9">
        <w:rPr>
          <w:rFonts w:ascii="Garamond" w:hAnsi="Garamond"/>
        </w:rPr>
        <w:t>48</w:t>
      </w:r>
      <w:r w:rsidR="00D93C0D">
        <w:rPr>
          <w:rFonts w:ascii="Garamond" w:hAnsi="Garamond"/>
        </w:rPr>
        <w:t>0</w:t>
      </w:r>
      <w:r w:rsidR="008119C9" w:rsidRPr="009A2E44">
        <w:rPr>
          <w:rFonts w:ascii="Garamond" w:hAnsi="Garamond"/>
        </w:rPr>
        <w:t xml:space="preserve"> </w:t>
      </w:r>
      <w:r w:rsidR="008119C9">
        <w:rPr>
          <w:rFonts w:ascii="Garamond" w:hAnsi="Garamond"/>
        </w:rPr>
        <w:t>km</w:t>
      </w:r>
      <w:r w:rsidR="008119C9" w:rsidRPr="009A2E44">
        <w:rPr>
          <w:rFonts w:ascii="Garamond" w:hAnsi="Garamond"/>
        </w:rPr>
        <w:t xml:space="preserve"> </w:t>
      </w:r>
      <w:r w:rsidR="00EA3AE5" w:rsidRPr="009A2E44">
        <w:rPr>
          <w:rFonts w:ascii="Garamond" w:hAnsi="Garamond"/>
        </w:rPr>
        <w:t xml:space="preserve">to the </w:t>
      </w:r>
      <w:r w:rsidR="00812253" w:rsidRPr="009A2E44">
        <w:rPr>
          <w:rFonts w:ascii="Garamond" w:hAnsi="Garamond"/>
        </w:rPr>
        <w:t>southeast</w:t>
      </w:r>
      <w:r w:rsidR="00D335DC" w:rsidRPr="009A2E44">
        <w:rPr>
          <w:rFonts w:ascii="Garamond" w:hAnsi="Garamond"/>
        </w:rPr>
        <w:t>,</w:t>
      </w:r>
      <w:r w:rsidR="001D5339" w:rsidRPr="009A2E44">
        <w:rPr>
          <w:rFonts w:ascii="Garamond" w:hAnsi="Garamond"/>
        </w:rPr>
        <w:t xml:space="preserve"> ‘Upolu</w:t>
      </w:r>
      <w:r w:rsidR="00EA3AE5" w:rsidRPr="009A2E44">
        <w:rPr>
          <w:rFonts w:ascii="Garamond" w:hAnsi="Garamond"/>
        </w:rPr>
        <w:t xml:space="preserve"> (</w:t>
      </w:r>
      <w:r w:rsidR="006D4E80" w:rsidRPr="009A2E44">
        <w:rPr>
          <w:rFonts w:ascii="Garamond" w:hAnsi="Garamond"/>
        </w:rPr>
        <w:t>Samoa</w:t>
      </w:r>
      <w:r w:rsidR="00EA3AE5" w:rsidRPr="009A2E44">
        <w:rPr>
          <w:rFonts w:ascii="Garamond" w:hAnsi="Garamond"/>
        </w:rPr>
        <w:t>)</w:t>
      </w:r>
      <w:r w:rsidR="00812253" w:rsidRPr="009A2E44">
        <w:rPr>
          <w:rFonts w:ascii="Garamond" w:hAnsi="Garamond"/>
        </w:rPr>
        <w:t xml:space="preserve"> has very similar precipitation conditions with an average GPCP precipitation rate of 5.6 mm d</w:t>
      </w:r>
      <w:r w:rsidR="00812253" w:rsidRPr="009A2E44">
        <w:rPr>
          <w:rFonts w:ascii="Garamond" w:hAnsi="Garamond"/>
          <w:color w:val="202020"/>
          <w:shd w:val="clear" w:color="auto" w:fill="FFFFFF"/>
          <w:vertAlign w:val="superscript"/>
        </w:rPr>
        <w:t>−</w:t>
      </w:r>
      <w:r w:rsidR="00812253" w:rsidRPr="009A2E44">
        <w:rPr>
          <w:rFonts w:ascii="Garamond" w:hAnsi="Garamond"/>
          <w:vertAlign w:val="superscript"/>
        </w:rPr>
        <w:t>1</w:t>
      </w:r>
      <w:r w:rsidR="009C4A96" w:rsidRPr="009A2E44">
        <w:rPr>
          <w:rFonts w:ascii="Garamond" w:hAnsi="Garamond"/>
        </w:rPr>
        <w:t xml:space="preserve">, </w:t>
      </w:r>
      <w:r w:rsidR="00812253" w:rsidRPr="009A2E44">
        <w:rPr>
          <w:rFonts w:ascii="Garamond" w:hAnsi="Garamond"/>
        </w:rPr>
        <w:t xml:space="preserve">large </w:t>
      </w:r>
      <w:r w:rsidR="009C4A96" w:rsidRPr="009A2E44">
        <w:rPr>
          <w:rFonts w:ascii="Garamond" w:hAnsi="Garamond"/>
        </w:rPr>
        <w:t>(5.6 mm d</w:t>
      </w:r>
      <w:r w:rsidR="009C4A96" w:rsidRPr="009A2E44">
        <w:rPr>
          <w:rFonts w:ascii="Garamond" w:hAnsi="Garamond"/>
          <w:color w:val="202020"/>
          <w:shd w:val="clear" w:color="auto" w:fill="FFFFFF"/>
          <w:vertAlign w:val="superscript"/>
        </w:rPr>
        <w:t>−</w:t>
      </w:r>
      <w:r w:rsidR="009C4A96" w:rsidRPr="009A2E44">
        <w:rPr>
          <w:rFonts w:ascii="Garamond" w:hAnsi="Garamond"/>
          <w:vertAlign w:val="superscript"/>
        </w:rPr>
        <w:t>1</w:t>
      </w:r>
      <w:r w:rsidR="009C4A96" w:rsidRPr="009A2E44">
        <w:rPr>
          <w:rFonts w:ascii="Garamond" w:hAnsi="Garamond"/>
        </w:rPr>
        <w:t xml:space="preserve">) </w:t>
      </w:r>
      <w:r w:rsidR="00812253" w:rsidRPr="009A2E44">
        <w:rPr>
          <w:rFonts w:ascii="Garamond" w:hAnsi="Garamond"/>
        </w:rPr>
        <w:t>seasonal variation</w:t>
      </w:r>
      <w:r w:rsidR="00FB0850" w:rsidRPr="009A2E44">
        <w:rPr>
          <w:rFonts w:ascii="Garamond" w:hAnsi="Garamond"/>
        </w:rPr>
        <w:t>s</w:t>
      </w:r>
      <w:r w:rsidR="00EA3AE5" w:rsidRPr="009A2E44">
        <w:rPr>
          <w:rFonts w:ascii="Garamond" w:hAnsi="Garamond"/>
        </w:rPr>
        <w:t>,</w:t>
      </w:r>
      <w:r w:rsidR="00812253" w:rsidRPr="009A2E44">
        <w:rPr>
          <w:rFonts w:ascii="Garamond" w:hAnsi="Garamond"/>
        </w:rPr>
        <w:t xml:space="preserve"> and small ENSO variations where La Ni</w:t>
      </w:r>
      <w:r w:rsidR="00812253" w:rsidRPr="009A2E44">
        <w:rPr>
          <w:rFonts w:ascii="Garamond" w:hAnsi="Garamond"/>
          <w:color w:val="101010"/>
        </w:rPr>
        <w:t>ñ</w:t>
      </w:r>
      <w:r w:rsidR="00812253" w:rsidRPr="009A2E44">
        <w:rPr>
          <w:rFonts w:ascii="Garamond" w:hAnsi="Garamond"/>
        </w:rPr>
        <w:t>a</w:t>
      </w:r>
      <w:r w:rsidR="00FB0850" w:rsidRPr="009A2E44">
        <w:rPr>
          <w:rFonts w:ascii="Garamond" w:hAnsi="Garamond"/>
        </w:rPr>
        <w:t xml:space="preserve"> </w:t>
      </w:r>
      <w:r w:rsidR="00BF6754" w:rsidRPr="009A2E44">
        <w:rPr>
          <w:rFonts w:ascii="Garamond" w:hAnsi="Garamond"/>
        </w:rPr>
        <w:t xml:space="preserve">precipitation rates </w:t>
      </w:r>
      <w:r w:rsidR="00812253" w:rsidRPr="009A2E44">
        <w:rPr>
          <w:rFonts w:ascii="Garamond" w:hAnsi="Garamond"/>
        </w:rPr>
        <w:t>are 0.7 mm d</w:t>
      </w:r>
      <w:r w:rsidR="00812253" w:rsidRPr="009A2E44">
        <w:rPr>
          <w:rFonts w:ascii="Garamond" w:hAnsi="Garamond"/>
          <w:color w:val="202020"/>
          <w:shd w:val="clear" w:color="auto" w:fill="FFFFFF"/>
          <w:vertAlign w:val="superscript"/>
        </w:rPr>
        <w:t>−</w:t>
      </w:r>
      <w:r w:rsidR="00812253" w:rsidRPr="009A2E44">
        <w:rPr>
          <w:rFonts w:ascii="Garamond" w:hAnsi="Garamond"/>
          <w:vertAlign w:val="superscript"/>
        </w:rPr>
        <w:t>1</w:t>
      </w:r>
      <w:r w:rsidR="00812253" w:rsidRPr="009A2E44">
        <w:rPr>
          <w:rFonts w:ascii="Garamond" w:hAnsi="Garamond"/>
        </w:rPr>
        <w:t xml:space="preserve"> wetter than El Ni</w:t>
      </w:r>
      <w:r w:rsidR="00812253" w:rsidRPr="009A2E44">
        <w:rPr>
          <w:rFonts w:ascii="Garamond" w:hAnsi="Garamond"/>
          <w:color w:val="101010"/>
        </w:rPr>
        <w:t>ñ</w:t>
      </w:r>
      <w:r w:rsidR="00812253" w:rsidRPr="009A2E44">
        <w:rPr>
          <w:rFonts w:ascii="Garamond" w:hAnsi="Garamond"/>
        </w:rPr>
        <w:t>o</w:t>
      </w:r>
      <w:r w:rsidR="001D5339" w:rsidRPr="009A2E44">
        <w:rPr>
          <w:rFonts w:ascii="Garamond" w:hAnsi="Garamond"/>
        </w:rPr>
        <w:t xml:space="preserve"> conditions</w:t>
      </w:r>
      <w:r w:rsidR="00812253" w:rsidRPr="009A2E44">
        <w:rPr>
          <w:rFonts w:ascii="Garamond" w:hAnsi="Garamond"/>
        </w:rPr>
        <w:t xml:space="preserve">. </w:t>
      </w:r>
      <w:r w:rsidR="006D4E80" w:rsidRPr="009A2E44">
        <w:rPr>
          <w:rFonts w:ascii="Garamond" w:hAnsi="Garamond"/>
        </w:rPr>
        <w:t>Lake Lanoto’o on</w:t>
      </w:r>
      <w:r w:rsidRPr="009A2E44">
        <w:rPr>
          <w:rFonts w:ascii="Garamond" w:hAnsi="Garamond"/>
        </w:rPr>
        <w:t xml:space="preserve"> </w:t>
      </w:r>
      <w:r w:rsidR="00EA3AE5" w:rsidRPr="009A2E44">
        <w:rPr>
          <w:rFonts w:ascii="Garamond" w:hAnsi="Garamond"/>
        </w:rPr>
        <w:t>‘</w:t>
      </w:r>
      <w:r w:rsidR="006D4E80" w:rsidRPr="009A2E44">
        <w:rPr>
          <w:rFonts w:ascii="Garamond" w:hAnsi="Garamond"/>
        </w:rPr>
        <w:t xml:space="preserve">Upolu </w:t>
      </w:r>
      <w:r w:rsidRPr="009A2E44">
        <w:rPr>
          <w:rFonts w:ascii="Garamond" w:hAnsi="Garamond"/>
        </w:rPr>
        <w:t xml:space="preserve">is </w:t>
      </w:r>
      <w:r w:rsidR="00812253" w:rsidRPr="009A2E44">
        <w:rPr>
          <w:rFonts w:ascii="Garamond" w:hAnsi="Garamond"/>
        </w:rPr>
        <w:t xml:space="preserve">situated </w:t>
      </w:r>
      <w:r w:rsidR="00D1680B">
        <w:rPr>
          <w:rFonts w:ascii="Garamond" w:hAnsi="Garamond"/>
        </w:rPr>
        <w:t>i</w:t>
      </w:r>
      <w:r w:rsidR="00ED1E42" w:rsidRPr="009A2E44">
        <w:rPr>
          <w:rFonts w:ascii="Garamond" w:hAnsi="Garamond"/>
        </w:rPr>
        <w:t xml:space="preserve">n </w:t>
      </w:r>
      <w:r w:rsidR="00812253" w:rsidRPr="009A2E44">
        <w:rPr>
          <w:rFonts w:ascii="Garamond" w:hAnsi="Garamond"/>
        </w:rPr>
        <w:t xml:space="preserve">a volcanic crater 760 m above sea level </w:t>
      </w:r>
      <w:r w:rsidR="004A597A">
        <w:rPr>
          <w:rFonts w:ascii="Garamond" w:hAnsi="Garamond"/>
        </w:rPr>
        <w:t>(</w:t>
      </w:r>
      <w:proofErr w:type="spellStart"/>
      <w:r w:rsidR="004A597A">
        <w:rPr>
          <w:rFonts w:ascii="Garamond" w:hAnsi="Garamond"/>
        </w:rPr>
        <w:t>m.a.s.l</w:t>
      </w:r>
      <w:proofErr w:type="spellEnd"/>
      <w:r w:rsidR="004A597A">
        <w:rPr>
          <w:rFonts w:ascii="Garamond" w:hAnsi="Garamond"/>
        </w:rPr>
        <w:t xml:space="preserve">.) </w:t>
      </w:r>
      <w:r w:rsidR="00812253" w:rsidRPr="009A2E44">
        <w:rPr>
          <w:rFonts w:ascii="Garamond" w:hAnsi="Garamond"/>
        </w:rPr>
        <w:t xml:space="preserve">with a maximum depth of 16.4 m, previously </w:t>
      </w:r>
      <w:r w:rsidR="00812253" w:rsidRPr="009A2E44">
        <w:rPr>
          <w:rFonts w:ascii="Garamond" w:hAnsi="Garamond"/>
        </w:rPr>
        <w:lastRenderedPageBreak/>
        <w:t>described in detail</w:t>
      </w:r>
      <w:r w:rsidR="004A4D7D" w:rsidRPr="009A2E44">
        <w:rPr>
          <w:rFonts w:ascii="Garamond" w:hAnsi="Garamond"/>
        </w:rPr>
        <w:t xml:space="preserve"> </w:t>
      </w:r>
      <w:r w:rsidR="004A4D7D" w:rsidRPr="009A2E44">
        <w:rPr>
          <w:rFonts w:ascii="Garamond" w:hAnsi="Garamond"/>
        </w:rPr>
        <w:fldChar w:fldCharType="begin" w:fldLock="1"/>
      </w:r>
      <w:r w:rsidR="00E757E6">
        <w:rPr>
          <w:rFonts w:ascii="Garamond" w:hAnsi="Garamond"/>
        </w:rPr>
        <w:instrText>ADDIN CSL_CITATION {"citationItems":[{"id":"ITEM-1","itemData":{"author":[{"dropping-particle":"","family":"Parkes","given":"Annette","non-dropping-particle":"","parse-names":false,"suffix":""}],"id":"ITEM-1","issued":{"date-parts":[["1994"]]},"number-of-pages":"458","publisher":"University of Hull","title":"Holocene environments and vegetational change on four Polynesian islands","type":"thesis"},"uris":["http://www.mendeley.com/documents/?uuid=bfade783-dce2-42cd-aa9c-d6e596ba980d"]},{"id":"ITEM-2","itemData":{"DOI":"10.1111/jbi.13783","ISSN":"13652699","abstract":"Aim: To track the peopling of the South Pacific and assess their impact on terrestrial and aquatic ecosystems. Location: Upolu, Samoa. Taxon: Terrestrial and aquatic plants. Methods: A sedimentary record covering the last c. 10,500 years was recovered from the volcanic crater that contains Lake Lanoto'o near the centre of Upolu Island. Information on past ecological change was obtained from microscopic and macroscopic remains extracted from the sediments: charcoal (fire history), pollen/spores and plant remains (vegetation history), and lake status (algae/cyanobacteria). Information on the depositional environment and climate was obtained from geochemical and sedimentary analysis: loss-on-ignition (sediment composition), cryptotephras (volcanic eruptions) and precipitation regime (Ti/inc). The environmental history developed was compared with the archaeological record from the region. Results: Charcoal material was found in the Lake Lanoto'o sediments at higher abundances and more frequently in samples from the period after the first archaeological evidence of people on Upolu (c. 2900–2700 years ago). No abrupt shift is recognized in the vegetation or aquatic ecosystem assemblages coincident with the arrival of people on the island. Main conclusions: Macrocharcoal is demonstrated to be an effective proxy for detecting human occupation of Upolu around 2,800 years ago. The immediate impact of these settlers on the vegetation seems to have been minimal; however, a subsequent opening up of the landscape is suggested through the gradual increase in ferns. The absence of any significant change in the aquatic community associated with, or after, the arrival of people on the islands suggests that humans rarely visited the lake. We suggest that on Upolu a simple model of decreasing human impact away from coastal areas is applicable.","author":[{"dropping-particle":"","family":"Gosling","given":"William D","non-dropping-particle":"","parse-names":false,"suffix":""},{"dropping-particle":"","family":"Sear","given":"David A","non-dropping-particle":"","parse-names":false,"suffix":""},{"dropping-particle":"","family":"Hassall","given":"Jonathan D","non-dropping-particle":"","parse-names":false,"suffix":""},{"dropping-particle":"","family":"Langdon","given":"Pete G","non-dropping-particle":"","parse-names":false,"suffix":""},{"dropping-particle":"","family":"Bönnen","given":"Mick N T","non-dropping-particle":"","parse-names":false,"suffix":""},{"dropping-particle":"","family":"Driessen","given":"Tessa D","non-dropping-particle":"","parse-names":false,"suffix":""},{"dropping-particle":"","family":"Kemenade","given":"Zoë R","non-dropping-particle":"van","parse-names":false,"suffix":""},{"dropping-particle":"","family":"Noort","given":"Kevin","non-dropping-particle":"","parse-names":false,"suffix":""},{"dropping-particle":"","family":"Leng","given":"Melanie J","non-dropping-particle":"","parse-names":false,"suffix":""},{"dropping-particle":"","family":"Croudace","given":"Ian W","non-dropping-particle":"","parse-names":false,"suffix":""},{"dropping-particle":"","family":"Bourne","given":"Anna J","non-dropping-particle":"","parse-names":false,"suffix":""},{"dropping-particle":"Van","family":"Kemenade","given":"Zoë R","non-dropping-particle":"","parse-names":false,"suffix":""},{"dropping-particle":"","family":"McMichael","given":"Crystal N H","non-dropping-particle":"","parse-names":false,"suffix":""}],"container-title":"Journal of Biogeography","id":"ITEM-2","issued":{"date-parts":[["2020"]]},"page":"600-614","title":"Human occupation and ecosystem change on Upolu (Samoa) during the Holocene","type":"article-journal","volume":"47"},"uris":["http://www.mendeley.com/documents/?uuid=895f1559-fc09-4400-9937-b186d0b60b34"]},{"id":"ITEM-3","itemData":{"DOI":"10.1073/pnas.1920975117","ISSN":"10916490","PMID":"32253300","abstract":"The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America","id":"ITEM-3","issue":"16","issued":{"date-parts":[["2020"]]},"page":"8813-8819","title":"Human settlement of East Polynesia earlier, incremental, and coincident with prolonged South Pacific drought","type":"article-journal","volume":"117"},"uris":["http://www.mendeley.com/documents/?uuid=5e4a7b40-a602-4fa6-8dd7-b9d6ae8d7f06"]}],"mendeley":{"formattedCitation":"(Gosling et al., 2020; Parkes, 1994; Sear et al., 2020)","plainTextFormattedCitation":"(Gosling et al., 2020; Parkes, 1994; Sear et al., 2020)","previouslyFormattedCitation":"(Gosling et al., 2020; Parkes, 1994; Sear et al., 2020)"},"properties":{"noteIndex":0},"schema":"https://github.com/citation-style-language/schema/raw/master/csl-citation.json"}</w:instrText>
      </w:r>
      <w:r w:rsidR="004A4D7D" w:rsidRPr="009A2E44">
        <w:rPr>
          <w:rFonts w:ascii="Garamond" w:hAnsi="Garamond"/>
        </w:rPr>
        <w:fldChar w:fldCharType="separate"/>
      </w:r>
      <w:r w:rsidR="004A4D7D" w:rsidRPr="009A2E44">
        <w:rPr>
          <w:rFonts w:ascii="Garamond" w:hAnsi="Garamond"/>
          <w:noProof/>
        </w:rPr>
        <w:t>(Gosling et al., 2020; Parkes, 1994; Sear et al., 2020)</w:t>
      </w:r>
      <w:r w:rsidR="004A4D7D" w:rsidRPr="009A2E44">
        <w:rPr>
          <w:rFonts w:ascii="Garamond" w:hAnsi="Garamond"/>
        </w:rPr>
        <w:fldChar w:fldCharType="end"/>
      </w:r>
      <w:r w:rsidR="00653F3D" w:rsidRPr="009A2E44">
        <w:rPr>
          <w:rFonts w:ascii="Garamond" w:hAnsi="Garamond"/>
        </w:rPr>
        <w:t xml:space="preserve"> and harbors dinosterol-producing dinoflagellates </w:t>
      </w:r>
      <w:r w:rsidR="00653F3D" w:rsidRPr="009A2E44">
        <w:rPr>
          <w:rFonts w:ascii="Garamond" w:hAnsi="Garamond"/>
        </w:rPr>
        <w:fldChar w:fldCharType="begin" w:fldLock="1"/>
      </w:r>
      <w:r w:rsidR="00D04FB8">
        <w:rPr>
          <w:rFonts w:ascii="Garamond" w:hAnsi="Garamond"/>
        </w:rPr>
        <w:instrText>ADDIN CSL_CITATION {"citationItems":[{"id":"ITEM-1","itemData":{"DOI":"10.2984/75.1.8","author":[{"dropping-particle":"","family":"Schabetsberger","given":"Robert","non-dropping-particle":"","parse-names":false,"suffix":""},{"dropping-particle":"","family":"Jersabek","given":"Christian D.","non-dropping-particle":"","parse-names":false,"suffix":""},{"dropping-particle":"","family":"Levkov","given":"Zlatko","non-dropping-particle":"","parse-names":false,"suffix":""},{"dropping-particle":"","family":"Ehrenfellner","given":"Bianca","non-dropping-particle":"","parse-names":false,"suffix":""},{"dropping-particle":"","family":"Enoka","given":"Laulu Fialelei","non-dropping-particle":"","parse-names":false,"suffix":""},{"dropping-particle":"","family":"Faiilagi","given":"Seumalo Afele","non-dropping-particle":"","parse-names":false,"suffix":""}],"container-title":"Pacific Science","id":"ITEM-1","issue":"1","issued":{"date-parts":[["2021"]]},"page":"163-174","title":"Limnological characterization of three tropical crater lakes in the archipelago of Samoa (Lanoto‘o, Olomaga, Mataulano)","type":"article-journal","volume":"75"},"uris":["http://www.mendeley.com/documents/?uuid=84b47f5c-bf40-490c-809e-3c0d913c956f"]},{"id":"ITEM-2","itemData":{"DOI":"10.2984/049.063.0201","ISBN":"0030-8870","ISSN":"0030-8870","abstract":"The South Pacific freshwater ecosystems have never been investigated systematically. Although their ecological value has long been recognized and recommended for protection, little action has been taken so far. Here, we present results of 39 lentic water bodies on 18 islands belonging to seven countries. Temperature, conductivity, and pH were measured and samples of aquatic organisms were collected. Freshwater algae, nematodes, rotifers, ostracods, copepods, cladocerans, and aquatic oribatid mites were identified to genus or species level. Sixty-six percent of all taxa recorded have a cosmopolitan distribution, 14% are circumtropical/tropicopolitan species, and for 20% a restricted distribution predominantly in Australasia has previously been reported. Eleven new copepod and three new ostracod taxa were discovered. Out of 39 water bodies we found at least 17 stocked with nonindigenous fish species. Salinization and uncontrolled introduction of alien fish species may lead to reduced species richness in these remote freshwater ecosystems. The highest species richness was recorded in old, shallow, fish-free softwater lakes at high altitude.","author":[{"dropping-particle":"","family":"Schabetsberger","given":"Robert","non-dropping-particle":"","parse-names":false,"suffix":""},{"dropping-particle":"","family":"Drozdowski","given":"Gabriele","non-dropping-particle":"","parse-names":false,"suffix":""},{"dropping-particle":"","family":"Rott","given":"E.","non-dropping-particle":"","parse-names":false,"suffix":""},{"dropping-particle":"","family":"Lenzenweger","given":"R.","non-dropping-particle":"","parse-names":false,"suffix":""},{"dropping-particle":"","family":"Jersabek","given":"Christian D.","non-dropping-particle":"","parse-names":false,"suffix":""},{"dropping-particle":"","family":"Fiers","given":"Frank","non-dropping-particle":"","parse-names":false,"suffix":""},{"dropping-particle":"","family":"Traunspurger","given":"Walter","non-dropping-particle":"","parse-names":false,"suffix":""},{"dropping-particle":"","family":"Reiff","given":"Nicola","non-dropping-particle":"","parse-names":false,"suffix":""},{"dropping-particle":"","family":"Stoch","given":"Fabio","non-dropping-particle":"","parse-names":false,"suffix":""},{"dropping-particle":"","family":"Kotov","given":"Alexey a.","non-dropping-particle":"","parse-names":false,"suffix":""},{"dropping-particle":"","family":"Martens","given":"Koen","non-dropping-particle":"","parse-names":false,"suffix":""},{"dropping-particle":"","family":"Schatz","given":"Heinrich","non-dropping-particle":"","parse-names":false,"suffix":""},{"dropping-particle":"","family":"Kaiser","given":"Roland","non-dropping-particle":"","parse-names":false,"suffix":""}],"container-title":"Pacific Science","id":"ITEM-2","issue":"2","issued":{"date-parts":[["2009"]]},"page":"153-179","title":"Losing the bounty? Investigating species richness in isolated freshwater ecosystems of Oceania.","type":"article-journal","volume":"63"},"uris":["http://www.mendeley.com/documents/?uuid=e6648b04-e67a-4637-beae-dc221a01e4ef"]}],"mendeley":{"formattedCitation":"(Schabetsberger et al., 2021, 2009)","plainTextFormattedCitation":"(Schabetsberger et al., 2021, 2009)","previouslyFormattedCitation":"(Schabetsberger et al., 2021, 2009)"},"properties":{"noteIndex":0},"schema":"https://github.com/citation-style-language/schema/raw/master/csl-citation.json"}</w:instrText>
      </w:r>
      <w:r w:rsidR="00653F3D" w:rsidRPr="009A2E44">
        <w:rPr>
          <w:rFonts w:ascii="Garamond" w:hAnsi="Garamond"/>
        </w:rPr>
        <w:fldChar w:fldCharType="separate"/>
      </w:r>
      <w:r w:rsidR="00653F3D" w:rsidRPr="009A2E44">
        <w:rPr>
          <w:rFonts w:ascii="Garamond" w:hAnsi="Garamond"/>
          <w:noProof/>
        </w:rPr>
        <w:t>(Schabetsberger et al., 2021, 2009)</w:t>
      </w:r>
      <w:r w:rsidR="00653F3D" w:rsidRPr="009A2E44">
        <w:rPr>
          <w:rFonts w:ascii="Garamond" w:hAnsi="Garamond"/>
        </w:rPr>
        <w:fldChar w:fldCharType="end"/>
      </w:r>
      <w:r w:rsidR="009C4A96" w:rsidRPr="009A2E44">
        <w:rPr>
          <w:rFonts w:ascii="Garamond" w:hAnsi="Garamond"/>
        </w:rPr>
        <w:t xml:space="preserve">. </w:t>
      </w:r>
      <w:r w:rsidR="00F73093" w:rsidRPr="009A2E44">
        <w:rPr>
          <w:rFonts w:ascii="Garamond" w:hAnsi="Garamond"/>
        </w:rPr>
        <w:t>To the s</w:t>
      </w:r>
      <w:r w:rsidR="003E7EB4" w:rsidRPr="009A2E44">
        <w:rPr>
          <w:rFonts w:ascii="Garamond" w:hAnsi="Garamond"/>
        </w:rPr>
        <w:t>outhwest</w:t>
      </w:r>
      <w:r w:rsidR="00F73093" w:rsidRPr="009A2E44">
        <w:rPr>
          <w:rFonts w:ascii="Garamond" w:hAnsi="Garamond"/>
        </w:rPr>
        <w:t>,</w:t>
      </w:r>
      <w:r w:rsidR="003E7EB4" w:rsidRPr="009A2E44">
        <w:rPr>
          <w:rFonts w:ascii="Garamond" w:hAnsi="Garamond"/>
        </w:rPr>
        <w:t xml:space="preserve"> </w:t>
      </w:r>
      <w:r w:rsidR="00FB0850" w:rsidRPr="009A2E44">
        <w:rPr>
          <w:rFonts w:ascii="Garamond" w:hAnsi="Garamond"/>
        </w:rPr>
        <w:t>Lake Em</w:t>
      </w:r>
      <w:r w:rsidR="001D5339" w:rsidRPr="009A2E44">
        <w:rPr>
          <w:rFonts w:ascii="Garamond" w:hAnsi="Garamond"/>
        </w:rPr>
        <w:t>ao</w:t>
      </w:r>
      <w:r w:rsidR="00FB0850" w:rsidRPr="009A2E44">
        <w:rPr>
          <w:rFonts w:ascii="Garamond" w:hAnsi="Garamond"/>
        </w:rPr>
        <w:t xml:space="preserve">tul on the volcanic Efate Island (Ash et al., 1978; </w:t>
      </w:r>
      <w:proofErr w:type="spellStart"/>
      <w:r w:rsidR="00FB0850" w:rsidRPr="009A2E44">
        <w:rPr>
          <w:rFonts w:ascii="Garamond" w:hAnsi="Garamond"/>
        </w:rPr>
        <w:t>Raos</w:t>
      </w:r>
      <w:proofErr w:type="spellEnd"/>
      <w:r w:rsidR="00FB0850" w:rsidRPr="009A2E44">
        <w:rPr>
          <w:rFonts w:ascii="Garamond" w:hAnsi="Garamond"/>
        </w:rPr>
        <w:t xml:space="preserve"> and Crawford, 2004) is ~131 m above sea level and experiences fluctuating water depths between 0 and 10 m (Hope, 1996; </w:t>
      </w:r>
      <w:proofErr w:type="spellStart"/>
      <w:r w:rsidR="00FB0850" w:rsidRPr="009A2E44">
        <w:rPr>
          <w:rFonts w:ascii="Garamond" w:hAnsi="Garamond"/>
        </w:rPr>
        <w:t>Schabetsberger</w:t>
      </w:r>
      <w:proofErr w:type="spellEnd"/>
      <w:r w:rsidR="00FB0850" w:rsidRPr="009A2E44">
        <w:rPr>
          <w:rFonts w:ascii="Garamond" w:hAnsi="Garamond"/>
        </w:rPr>
        <w:t xml:space="preserve"> et al., 2009)</w:t>
      </w:r>
      <w:r w:rsidR="00441AE5">
        <w:rPr>
          <w:rFonts w:ascii="Garamond" w:hAnsi="Garamond"/>
        </w:rPr>
        <w:t xml:space="preserve">; </w:t>
      </w:r>
      <w:r w:rsidR="00DC758D" w:rsidRPr="009A2E44">
        <w:rPr>
          <w:rFonts w:ascii="Garamond" w:hAnsi="Garamond"/>
        </w:rPr>
        <w:t xml:space="preserve">the shallower areas of the lake surrounding the core site were </w:t>
      </w:r>
      <w:r w:rsidR="00FB0850" w:rsidRPr="009A2E44">
        <w:rPr>
          <w:rFonts w:ascii="Garamond" w:hAnsi="Garamond"/>
        </w:rPr>
        <w:t>mostly dry between 1994 and 1997 (</w:t>
      </w:r>
      <w:proofErr w:type="spellStart"/>
      <w:r w:rsidR="00FB0850" w:rsidRPr="009A2E44">
        <w:rPr>
          <w:rFonts w:ascii="Garamond" w:hAnsi="Garamond"/>
        </w:rPr>
        <w:t>Sémah</w:t>
      </w:r>
      <w:proofErr w:type="spellEnd"/>
      <w:r w:rsidR="00FB0850" w:rsidRPr="009A2E44">
        <w:rPr>
          <w:rFonts w:ascii="Garamond" w:hAnsi="Garamond"/>
        </w:rPr>
        <w:t xml:space="preserve"> and </w:t>
      </w:r>
      <w:proofErr w:type="spellStart"/>
      <w:r w:rsidR="00FB0850" w:rsidRPr="009A2E44">
        <w:rPr>
          <w:rFonts w:ascii="Garamond" w:hAnsi="Garamond"/>
        </w:rPr>
        <w:t>Wirrmann</w:t>
      </w:r>
      <w:proofErr w:type="spellEnd"/>
      <w:r w:rsidR="00FB0850" w:rsidRPr="009A2E44">
        <w:rPr>
          <w:rFonts w:ascii="Garamond" w:hAnsi="Garamond"/>
        </w:rPr>
        <w:t xml:space="preserve">, 2006). Compared to </w:t>
      </w:r>
      <w:r w:rsidR="001D5339" w:rsidRPr="009A2E44">
        <w:rPr>
          <w:rFonts w:ascii="Garamond" w:hAnsi="Garamond"/>
        </w:rPr>
        <w:t>‘Uvea</w:t>
      </w:r>
      <w:r w:rsidR="00FB0850" w:rsidRPr="009A2E44">
        <w:rPr>
          <w:rFonts w:ascii="Garamond" w:hAnsi="Garamond"/>
        </w:rPr>
        <w:t xml:space="preserve"> and </w:t>
      </w:r>
      <w:r w:rsidR="001D5339" w:rsidRPr="009A2E44">
        <w:rPr>
          <w:rFonts w:ascii="Garamond" w:hAnsi="Garamond"/>
        </w:rPr>
        <w:t>‘Upolu</w:t>
      </w:r>
      <w:r w:rsidR="00FB0850" w:rsidRPr="009A2E44">
        <w:rPr>
          <w:rFonts w:ascii="Garamond" w:hAnsi="Garamond"/>
        </w:rPr>
        <w:t xml:space="preserve">, average GPCP precipitation rates are lowest </w:t>
      </w:r>
      <w:r w:rsidR="001D5339" w:rsidRPr="009A2E44">
        <w:rPr>
          <w:rFonts w:ascii="Garamond" w:hAnsi="Garamond"/>
        </w:rPr>
        <w:t>on Efate</w:t>
      </w:r>
      <w:r w:rsidR="00FB0850" w:rsidRPr="009A2E44">
        <w:rPr>
          <w:rFonts w:ascii="Garamond" w:hAnsi="Garamond"/>
        </w:rPr>
        <w:t xml:space="preserve"> (4.8 mm d</w:t>
      </w:r>
      <w:r w:rsidR="00FB0850" w:rsidRPr="009A2E44">
        <w:rPr>
          <w:rFonts w:ascii="Garamond" w:hAnsi="Garamond"/>
          <w:vertAlign w:val="superscript"/>
        </w:rPr>
        <w:t>−1</w:t>
      </w:r>
      <w:r w:rsidR="00FB0850" w:rsidRPr="009A2E44">
        <w:rPr>
          <w:rFonts w:ascii="Garamond" w:hAnsi="Garamond"/>
        </w:rPr>
        <w:t>) with moderate seasonal variability where austral summers are on average 3.5 mm d</w:t>
      </w:r>
      <w:r w:rsidR="00FB0850" w:rsidRPr="009A2E44">
        <w:rPr>
          <w:rFonts w:ascii="Garamond" w:hAnsi="Garamond"/>
          <w:vertAlign w:val="superscript"/>
        </w:rPr>
        <w:t>−1</w:t>
      </w:r>
      <w:r w:rsidR="00FB0850" w:rsidRPr="009A2E44">
        <w:rPr>
          <w:rFonts w:ascii="Garamond" w:hAnsi="Garamond"/>
        </w:rPr>
        <w:t xml:space="preserve"> wetter than winters. </w:t>
      </w:r>
      <w:r w:rsidR="005B12C2" w:rsidRPr="009A2E44">
        <w:rPr>
          <w:rFonts w:ascii="Garamond" w:hAnsi="Garamond"/>
        </w:rPr>
        <w:t>Efate experiences large</w:t>
      </w:r>
      <w:r w:rsidR="00BB4CA9">
        <w:rPr>
          <w:rFonts w:ascii="Garamond" w:hAnsi="Garamond"/>
        </w:rPr>
        <w:t>r</w:t>
      </w:r>
      <w:r w:rsidR="005B12C2" w:rsidRPr="009A2E44">
        <w:rPr>
          <w:rFonts w:ascii="Garamond" w:hAnsi="Garamond"/>
        </w:rPr>
        <w:t xml:space="preserve"> ENSO variations</w:t>
      </w:r>
      <w:r w:rsidR="0019196A" w:rsidRPr="009A2E44">
        <w:rPr>
          <w:rFonts w:ascii="Garamond" w:hAnsi="Garamond"/>
        </w:rPr>
        <w:t xml:space="preserve"> and mean annual precipitation rates at Efate are better correlated with mean annual Ni</w:t>
      </w:r>
      <w:r w:rsidR="000634D9" w:rsidRPr="009A2E44">
        <w:rPr>
          <w:rFonts w:ascii="Garamond" w:hAnsi="Garamond"/>
        </w:rPr>
        <w:t>ñ</w:t>
      </w:r>
      <w:r w:rsidR="0019196A" w:rsidRPr="009A2E44">
        <w:rPr>
          <w:rFonts w:ascii="Garamond" w:hAnsi="Garamond"/>
        </w:rPr>
        <w:t>o 3.4 region sea surface temperatures than ‘Uvea or ‘Upolu (</w:t>
      </w:r>
      <w:r w:rsidR="0019196A" w:rsidRPr="009A2E44">
        <w:rPr>
          <w:rFonts w:ascii="Garamond" w:hAnsi="Garamond"/>
          <w:b/>
          <w:bCs/>
        </w:rPr>
        <w:t>Fig. A.1</w:t>
      </w:r>
      <w:r w:rsidR="0019196A" w:rsidRPr="009A2E44">
        <w:rPr>
          <w:rFonts w:ascii="Garamond" w:hAnsi="Garamond"/>
        </w:rPr>
        <w:t>).</w:t>
      </w:r>
      <w:r w:rsidR="005B12C2" w:rsidRPr="009A2E44">
        <w:rPr>
          <w:rFonts w:ascii="Garamond" w:hAnsi="Garamond"/>
        </w:rPr>
        <w:t xml:space="preserve"> </w:t>
      </w:r>
      <w:r w:rsidR="0019196A" w:rsidRPr="009A2E44">
        <w:rPr>
          <w:rFonts w:ascii="Garamond" w:hAnsi="Garamond"/>
        </w:rPr>
        <w:t>M</w:t>
      </w:r>
      <w:r w:rsidR="000B1F9C" w:rsidRPr="009A2E44">
        <w:rPr>
          <w:rFonts w:ascii="Garamond" w:hAnsi="Garamond"/>
        </w:rPr>
        <w:t xml:space="preserve">ean precipitation rates during </w:t>
      </w:r>
      <w:r w:rsidR="005B12C2" w:rsidRPr="009A2E44">
        <w:rPr>
          <w:rFonts w:ascii="Garamond" w:hAnsi="Garamond"/>
        </w:rPr>
        <w:t>La Niña events are on average 2.0 mm d</w:t>
      </w:r>
      <w:r w:rsidR="005B12C2" w:rsidRPr="009A2E44">
        <w:rPr>
          <w:rFonts w:ascii="Garamond" w:hAnsi="Garamond"/>
          <w:vertAlign w:val="superscript"/>
        </w:rPr>
        <w:t>−1</w:t>
      </w:r>
      <w:r w:rsidR="005B12C2" w:rsidRPr="009A2E44">
        <w:rPr>
          <w:rFonts w:ascii="Garamond" w:hAnsi="Garamond"/>
        </w:rPr>
        <w:t xml:space="preserve"> wetter than El Niño events, occasionally making Efate as wet or wetter than ‘Uvea and ‘Upolu during strong La Ni</w:t>
      </w:r>
      <w:r w:rsidR="005B12C2" w:rsidRPr="009A2E44">
        <w:rPr>
          <w:rFonts w:ascii="Garamond" w:hAnsi="Garamond"/>
          <w:color w:val="000000"/>
        </w:rPr>
        <w:t>ñ</w:t>
      </w:r>
      <w:r w:rsidR="005B12C2" w:rsidRPr="009A2E44">
        <w:rPr>
          <w:rFonts w:ascii="Garamond" w:hAnsi="Garamond"/>
        </w:rPr>
        <w:t xml:space="preserve">a </w:t>
      </w:r>
      <w:r w:rsidR="00F91B8D" w:rsidRPr="009A2E44">
        <w:rPr>
          <w:rFonts w:ascii="Garamond" w:hAnsi="Garamond"/>
        </w:rPr>
        <w:t>periods</w:t>
      </w:r>
      <w:r w:rsidR="00ED1E42" w:rsidRPr="009A2E44">
        <w:rPr>
          <w:rFonts w:ascii="Garamond" w:hAnsi="Garamond"/>
        </w:rPr>
        <w:t xml:space="preserve"> (</w:t>
      </w:r>
      <w:r w:rsidR="00ED1E42" w:rsidRPr="009A2E44">
        <w:rPr>
          <w:rFonts w:ascii="Garamond" w:hAnsi="Garamond"/>
          <w:b/>
          <w:bCs/>
        </w:rPr>
        <w:t>Fig. 1</w:t>
      </w:r>
      <w:r w:rsidR="00ED1E42" w:rsidRPr="009A2E44">
        <w:rPr>
          <w:rFonts w:ascii="Garamond" w:hAnsi="Garamond"/>
        </w:rPr>
        <w:t>)</w:t>
      </w:r>
      <w:r w:rsidR="004336B4" w:rsidRPr="009A2E44">
        <w:rPr>
          <w:rFonts w:ascii="Garamond" w:hAnsi="Garamond"/>
        </w:rPr>
        <w:t>. The SPCZ index</w:t>
      </w:r>
      <w:r w:rsidR="005344F9" w:rsidRPr="009A2E44">
        <w:rPr>
          <w:rFonts w:ascii="Garamond" w:hAnsi="Garamond"/>
        </w:rPr>
        <w:t xml:space="preserve"> (</w:t>
      </w:r>
      <w:proofErr w:type="spellStart"/>
      <w:r w:rsidR="005344F9" w:rsidRPr="009A2E44">
        <w:rPr>
          <w:rFonts w:ascii="Garamond" w:hAnsi="Garamond"/>
        </w:rPr>
        <w:t>SPCZi</w:t>
      </w:r>
      <w:proofErr w:type="spellEnd"/>
      <w:r w:rsidR="005344F9" w:rsidRPr="009A2E44">
        <w:rPr>
          <w:rFonts w:ascii="Garamond" w:hAnsi="Garamond"/>
        </w:rPr>
        <w:t>)</w:t>
      </w:r>
      <w:r w:rsidR="004336B4" w:rsidRPr="009A2E44">
        <w:rPr>
          <w:rFonts w:ascii="Garamond" w:hAnsi="Garamond"/>
        </w:rPr>
        <w:t xml:space="preserve">, a measure of the </w:t>
      </w:r>
      <w:r w:rsidR="005B1EDB" w:rsidRPr="009A2E44">
        <w:rPr>
          <w:rFonts w:ascii="Garamond" w:hAnsi="Garamond"/>
        </w:rPr>
        <w:t>November</w:t>
      </w:r>
      <w:r w:rsidR="001700AF" w:rsidRPr="00E8392D">
        <w:rPr>
          <w:rFonts w:ascii="Garamond" w:hAnsi="Garamond"/>
          <w:color w:val="202020"/>
          <w:shd w:val="clear" w:color="auto" w:fill="FFFFFF"/>
        </w:rPr>
        <w:t>−</w:t>
      </w:r>
      <w:r w:rsidR="005B1EDB" w:rsidRPr="009A2E44">
        <w:rPr>
          <w:rFonts w:ascii="Garamond" w:hAnsi="Garamond"/>
        </w:rPr>
        <w:t xml:space="preserve">April mean sea level </w:t>
      </w:r>
      <w:r w:rsidR="004336B4" w:rsidRPr="009A2E44">
        <w:rPr>
          <w:rFonts w:ascii="Garamond" w:hAnsi="Garamond"/>
        </w:rPr>
        <w:t xml:space="preserve">pressure difference between Suva, Fiji and Apia, Samoa </w:t>
      </w:r>
      <w:r w:rsidR="005344F9" w:rsidRPr="009A2E44">
        <w:rPr>
          <w:rFonts w:ascii="Garamond" w:hAnsi="Garamond"/>
        </w:rPr>
        <w:fldChar w:fldCharType="begin" w:fldLock="1"/>
      </w:r>
      <w:r w:rsidR="00FE31C6" w:rsidRPr="009A2E44">
        <w:rPr>
          <w:rFonts w:ascii="Garamond" w:hAnsi="Garamond"/>
        </w:rPr>
        <w:instrText>ADDIN CSL_CITATION {"citationItems":[{"id":"ITEM-1","itemData":{"DOI":"10.1007/s00382-013-2035-y","ISSN":"14320894","abstract":"Quality controlled and recently homogenised mean sea level pressure records for the South Pacific are used to specify the location and variability of the South Pacific convergence zone (SPCZ) during the austral warm season (November-April). The SPCZ is the world's largest rainfall band during the austral summer, when it dominates the climate of the South Pacific. A new index called the South Pacific convergence zone index (SPCZI) is derived, and is shown to be coherent with changes in low level wind convergence associated with the SPCZ. This index replaces the earlier SPCZ position index because it uses higher quality mean sea level pressure data than the superseded index and extends the time series further forward in time. The SPCZI allows interannual to decadal variability in the climate of the South Pacific to be tracked for more than a century from 1910/1911 to 2011/2012. During El Niño episodes the SPCZ is displaced by about 1°-3° east, and La Niña events 1°-3° west of the mean position on average. The index indicates a striking movement eastward for the period 1977/78-1998/99, compared with 1944/45-1976/77 in association with the Interdecadal Pacific oscillation (IPO). The eastward movement of the SPCZ in the late twentieth century is related to significant precipitation trends in the South Pacific region. Since 1998/99 the SPCZ has regressed westward with the negative phase change of the IPO. The long-term trend in the SPCZI is very small relative to the interannual to decadal variability and is not statistically significant, suggesting that there has been little overall change in the mean position of the SPCZ over the past century. © 2014 Springer-Verlag Berlin Heidelberg.","author":[{"dropping-particle":"","family":"Salinger","given":"M J","non-dropping-particle":"","parse-names":false,"suffix":""},{"dropping-particle":"","family":"McGree","given":"Simon","non-dropping-particle":"","parse-names":false,"suffix":""},{"dropping-particle":"","family":"Beucher","given":"Florent","non-dropping-particle":"","parse-names":false,"suffix":""},{"dropping-particle":"","family":"Power","given":"Scott B.","non-dropping-particle":"","parse-names":false,"suffix":""},{"dropping-particle":"","family":"Delage","given":"François","non-dropping-particle":"","parse-names":false,"suffix":""}],"container-title":"Climate Dynamics","id":"ITEM-1","issue":"3-4","issued":{"date-parts":[["2014"]]},"page":"881-892","title":"A new index for variations in the position of the South Pacific convergence zone 1910/11-2011/2012","type":"article-journal","volume":"43"},"uris":["http://www.mendeley.com/documents/?uuid=d3d1814c-f84e-4d8e-8c94-d6f1575dee2b"]}],"mendeley":{"formattedCitation":"(Salinger et al., 2014)","plainTextFormattedCitation":"(Salinger et al., 2014)","previouslyFormattedCitation":"(Salinger et al., 2014)"},"properties":{"noteIndex":0},"schema":"https://github.com/citation-style-language/schema/raw/master/csl-citation.json"}</w:instrText>
      </w:r>
      <w:r w:rsidR="005344F9" w:rsidRPr="009A2E44">
        <w:rPr>
          <w:rFonts w:ascii="Garamond" w:hAnsi="Garamond"/>
        </w:rPr>
        <w:fldChar w:fldCharType="separate"/>
      </w:r>
      <w:r w:rsidR="005344F9" w:rsidRPr="009A2E44">
        <w:rPr>
          <w:rFonts w:ascii="Garamond" w:hAnsi="Garamond"/>
          <w:noProof/>
        </w:rPr>
        <w:t>(Salinger et al., 2014)</w:t>
      </w:r>
      <w:r w:rsidR="005344F9" w:rsidRPr="009A2E44">
        <w:rPr>
          <w:rFonts w:ascii="Garamond" w:hAnsi="Garamond"/>
        </w:rPr>
        <w:fldChar w:fldCharType="end"/>
      </w:r>
      <w:r w:rsidR="005344F9" w:rsidRPr="009A2E44">
        <w:rPr>
          <w:rFonts w:ascii="Garamond" w:hAnsi="Garamond"/>
        </w:rPr>
        <w:t xml:space="preserve"> </w:t>
      </w:r>
      <w:r w:rsidR="004336B4" w:rsidRPr="009A2E44">
        <w:rPr>
          <w:rFonts w:ascii="Garamond" w:hAnsi="Garamond"/>
        </w:rPr>
        <w:t xml:space="preserve">describes shifts of the SPCZ position and is reflected in precipitation patterns at these sites. </w:t>
      </w:r>
      <w:r w:rsidR="00ED1E42" w:rsidRPr="009A2E44">
        <w:rPr>
          <w:rFonts w:ascii="Garamond" w:hAnsi="Garamond"/>
        </w:rPr>
        <w:t>All three islands experience wetter conditions when the SPCZ is shifted westward (La Ni</w:t>
      </w:r>
      <w:r w:rsidR="00ED1E42" w:rsidRPr="009A2E44">
        <w:rPr>
          <w:rFonts w:ascii="Garamond" w:hAnsi="Garamond"/>
          <w:color w:val="101010"/>
        </w:rPr>
        <w:t>ñ</w:t>
      </w:r>
      <w:r w:rsidR="00ED1E42" w:rsidRPr="009A2E44">
        <w:rPr>
          <w:rFonts w:ascii="Garamond" w:hAnsi="Garamond"/>
        </w:rPr>
        <w:t xml:space="preserve">a and/or negative </w:t>
      </w:r>
      <w:proofErr w:type="spellStart"/>
      <w:r w:rsidR="00ED1E42" w:rsidRPr="009A2E44">
        <w:rPr>
          <w:rFonts w:ascii="Garamond" w:hAnsi="Garamond"/>
        </w:rPr>
        <w:t>SPCZi</w:t>
      </w:r>
      <w:proofErr w:type="spellEnd"/>
      <w:r w:rsidR="00ED1E42" w:rsidRPr="009A2E44">
        <w:rPr>
          <w:rFonts w:ascii="Garamond" w:hAnsi="Garamond"/>
        </w:rPr>
        <w:t xml:space="preserve"> conditions), and drier conditions when the SPCZ is shifted eastward/equatorward (El Ni</w:t>
      </w:r>
      <w:r w:rsidR="00ED1E42" w:rsidRPr="009A2E44">
        <w:rPr>
          <w:rFonts w:ascii="Garamond" w:hAnsi="Garamond"/>
          <w:color w:val="101010"/>
        </w:rPr>
        <w:t>ñ</w:t>
      </w:r>
      <w:r w:rsidR="00ED1E42" w:rsidRPr="009A2E44">
        <w:rPr>
          <w:rFonts w:ascii="Garamond" w:hAnsi="Garamond"/>
        </w:rPr>
        <w:t xml:space="preserve">o </w:t>
      </w:r>
      <w:r w:rsidR="00441AE5">
        <w:rPr>
          <w:rFonts w:ascii="Garamond" w:hAnsi="Garamond"/>
        </w:rPr>
        <w:t>and/</w:t>
      </w:r>
      <w:r w:rsidR="00ED1E42" w:rsidRPr="009A2E44">
        <w:rPr>
          <w:rFonts w:ascii="Garamond" w:hAnsi="Garamond"/>
        </w:rPr>
        <w:t xml:space="preserve">or positive </w:t>
      </w:r>
      <w:proofErr w:type="spellStart"/>
      <w:r w:rsidR="00ED1E42" w:rsidRPr="009A2E44">
        <w:rPr>
          <w:rFonts w:ascii="Garamond" w:hAnsi="Garamond"/>
        </w:rPr>
        <w:t>SPCZi</w:t>
      </w:r>
      <w:proofErr w:type="spellEnd"/>
      <w:r w:rsidR="00ED1E42" w:rsidRPr="009A2E44">
        <w:rPr>
          <w:rFonts w:ascii="Garamond" w:hAnsi="Garamond"/>
        </w:rPr>
        <w:t xml:space="preserve"> conditions). The observational record indicates that precipitation </w:t>
      </w:r>
      <w:r w:rsidR="002863CB" w:rsidRPr="009A2E44">
        <w:rPr>
          <w:rFonts w:ascii="Garamond" w:hAnsi="Garamond"/>
        </w:rPr>
        <w:t xml:space="preserve">more closely aligns with </w:t>
      </w:r>
      <w:r w:rsidR="00B71973" w:rsidRPr="009A2E44">
        <w:rPr>
          <w:rFonts w:ascii="Garamond" w:hAnsi="Garamond"/>
        </w:rPr>
        <w:t xml:space="preserve">Niño 3.4 region </w:t>
      </w:r>
      <w:r w:rsidR="002863CB" w:rsidRPr="009A2E44">
        <w:rPr>
          <w:rFonts w:ascii="Garamond" w:hAnsi="Garamond"/>
        </w:rPr>
        <w:t>sea surface temperature than it does with other climate indices such as the</w:t>
      </w:r>
      <w:r w:rsidR="008923FD">
        <w:rPr>
          <w:rFonts w:ascii="Garamond" w:hAnsi="Garamond"/>
        </w:rPr>
        <w:t xml:space="preserve"> </w:t>
      </w:r>
      <w:proofErr w:type="spellStart"/>
      <w:r w:rsidR="008923FD">
        <w:rPr>
          <w:rFonts w:ascii="Garamond" w:hAnsi="Garamond"/>
        </w:rPr>
        <w:t>SPCZ</w:t>
      </w:r>
      <w:r w:rsidR="001700AF">
        <w:rPr>
          <w:rFonts w:ascii="Garamond" w:hAnsi="Garamond"/>
        </w:rPr>
        <w:t>i</w:t>
      </w:r>
      <w:proofErr w:type="spellEnd"/>
      <w:r w:rsidR="001700AF">
        <w:rPr>
          <w:rFonts w:ascii="Garamond" w:hAnsi="Garamond"/>
        </w:rPr>
        <w:t xml:space="preserve"> </w:t>
      </w:r>
      <w:r w:rsidR="002863CB" w:rsidRPr="009A2E44">
        <w:rPr>
          <w:rFonts w:ascii="Garamond" w:hAnsi="Garamond"/>
        </w:rPr>
        <w:t xml:space="preserve">and </w:t>
      </w:r>
      <w:r w:rsidR="008923FD">
        <w:rPr>
          <w:rFonts w:ascii="Garamond" w:hAnsi="Garamond"/>
        </w:rPr>
        <w:t>Interdecadal Pacific Oscillation (</w:t>
      </w:r>
      <w:r w:rsidR="002863CB" w:rsidRPr="009A2E44">
        <w:rPr>
          <w:rFonts w:ascii="Garamond" w:hAnsi="Garamond"/>
        </w:rPr>
        <w:t>IPO</w:t>
      </w:r>
      <w:r w:rsidR="008923FD">
        <w:rPr>
          <w:rFonts w:ascii="Garamond" w:hAnsi="Garamond"/>
        </w:rPr>
        <w:t>)</w:t>
      </w:r>
      <w:r w:rsidR="002863CB" w:rsidRPr="009A2E44">
        <w:rPr>
          <w:rFonts w:ascii="Garamond" w:hAnsi="Garamond"/>
        </w:rPr>
        <w:t xml:space="preserve"> </w:t>
      </w:r>
      <w:r w:rsidR="002863CB" w:rsidRPr="009A2E44">
        <w:rPr>
          <w:rFonts w:ascii="Garamond" w:hAnsi="Garamond"/>
        </w:rPr>
        <w:fldChar w:fldCharType="begin" w:fldLock="1"/>
      </w:r>
      <w:r w:rsidR="002863CB" w:rsidRPr="009A2E44">
        <w:rPr>
          <w:rFonts w:ascii="Garamond" w:hAnsi="Garamond"/>
        </w:rPr>
        <w:instrText>ADDIN CSL_CITATION {"citationItems":[{"id":"ITEM-1","itemData":{"author":[{"dropping-particle":"","family":"Folland","given":"C K","non-dropping-particle":"","parse-names":false,"suffix":""},{"dropping-particle":"","family":"Renwick","given":"J A","non-dropping-particle":"","parse-names":false,"suffix":""},{"dropping-particle":"","family":"Salinger","given":"M J","non-dropping-particle":"","parse-names":false,"suffix":""},{"dropping-particle":"","family":"Mullan","given":"A B","non-dropping-particle":"","parse-names":false,"suffix":""},{"dropping-particle":"","family":"Nin","given":"El","non-dropping-particle":"","parse-names":false,"suffix":""}],"id":"ITEM-1","issue":"13","issued":{"date-parts":[["2002"]]},"page":"2-5","title":"Relative influences of the Interdecadal Pacific Oscillation and ENSO on the South Pacific Convergence Zone","type":"article-journal","volume":"29"},"uris":["http://www.mendeley.com/documents/?uuid=43aaba76-fbbd-47da-8998-117845aaed72"]}],"mendeley":{"formattedCitation":"(Folland et al., 2002)","manualFormatting":"(Folland et al., 2002)","plainTextFormattedCitation":"(Folland et al., 2002)","previouslyFormattedCitation":"(Folland et al., 2002)"},"properties":{"noteIndex":0},"schema":"https://github.com/citation-style-language/schema/raw/master/csl-citation.json"}</w:instrText>
      </w:r>
      <w:r w:rsidR="002863CB" w:rsidRPr="009A2E44">
        <w:rPr>
          <w:rFonts w:ascii="Garamond" w:hAnsi="Garamond"/>
        </w:rPr>
        <w:fldChar w:fldCharType="separate"/>
      </w:r>
      <w:r w:rsidR="002863CB" w:rsidRPr="009A2E44">
        <w:rPr>
          <w:rFonts w:ascii="Garamond" w:hAnsi="Garamond"/>
          <w:noProof/>
        </w:rPr>
        <w:t>(Folland et al., 2002)</w:t>
      </w:r>
      <w:r w:rsidR="002863CB" w:rsidRPr="009A2E44">
        <w:rPr>
          <w:rFonts w:ascii="Garamond" w:hAnsi="Garamond"/>
        </w:rPr>
        <w:fldChar w:fldCharType="end"/>
      </w:r>
      <w:r w:rsidR="005B12C2" w:rsidRPr="009A2E44">
        <w:rPr>
          <w:rFonts w:ascii="Garamond" w:hAnsi="Garamond"/>
        </w:rPr>
        <w:t xml:space="preserve"> (</w:t>
      </w:r>
      <w:r w:rsidR="005B12C2" w:rsidRPr="009A2E44">
        <w:rPr>
          <w:rFonts w:ascii="Garamond" w:hAnsi="Garamond"/>
          <w:b/>
          <w:bCs/>
        </w:rPr>
        <w:t xml:space="preserve">Fig. </w:t>
      </w:r>
      <w:r w:rsidR="00CD547C" w:rsidRPr="009A2E44">
        <w:rPr>
          <w:rFonts w:ascii="Garamond" w:hAnsi="Garamond"/>
          <w:b/>
          <w:bCs/>
        </w:rPr>
        <w:t>1</w:t>
      </w:r>
      <w:r w:rsidR="005B12C2" w:rsidRPr="009A2E44">
        <w:rPr>
          <w:rFonts w:ascii="Garamond" w:hAnsi="Garamond"/>
        </w:rPr>
        <w:t>).</w:t>
      </w:r>
    </w:p>
    <w:p w14:paraId="66D28787" w14:textId="01F154ED" w:rsidR="00227E8F" w:rsidRPr="009A2E44" w:rsidRDefault="001D5339" w:rsidP="001C47D3">
      <w:pPr>
        <w:spacing w:line="480" w:lineRule="auto"/>
        <w:ind w:firstLine="720"/>
        <w:rPr>
          <w:rFonts w:ascii="Garamond" w:hAnsi="Garamond"/>
        </w:rPr>
      </w:pPr>
      <w:r w:rsidRPr="009A2E44">
        <w:rPr>
          <w:rFonts w:ascii="Garamond" w:hAnsi="Garamond"/>
        </w:rPr>
        <w:t>‘Uvea and its surround</w:t>
      </w:r>
      <w:r w:rsidR="0005716C" w:rsidRPr="009A2E44">
        <w:rPr>
          <w:rFonts w:ascii="Garamond" w:hAnsi="Garamond"/>
        </w:rPr>
        <w:t>ing</w:t>
      </w:r>
      <w:r w:rsidRPr="009A2E44">
        <w:rPr>
          <w:rFonts w:ascii="Garamond" w:hAnsi="Garamond"/>
        </w:rPr>
        <w:t xml:space="preserve"> barrier reef </w:t>
      </w:r>
      <w:r w:rsidR="005C7FBF" w:rsidRPr="009A2E44">
        <w:rPr>
          <w:rFonts w:ascii="Garamond" w:hAnsi="Garamond"/>
        </w:rPr>
        <w:t>belong to the 5 to 23-Myr-old Samoa Ridge capped with</w:t>
      </w:r>
      <w:r w:rsidR="006D4E80" w:rsidRPr="009A2E44">
        <w:rPr>
          <w:rFonts w:ascii="Garamond" w:hAnsi="Garamond"/>
        </w:rPr>
        <w:t xml:space="preserve"> Quaternary basaltic flows and </w:t>
      </w:r>
      <w:proofErr w:type="spellStart"/>
      <w:r w:rsidR="006D4E80" w:rsidRPr="009A2E44">
        <w:rPr>
          <w:rFonts w:ascii="Garamond" w:hAnsi="Garamond"/>
        </w:rPr>
        <w:t>pyroclastics</w:t>
      </w:r>
      <w:proofErr w:type="spellEnd"/>
      <w:r w:rsidR="006D4E80" w:rsidRPr="009A2E44">
        <w:rPr>
          <w:rFonts w:ascii="Garamond" w:hAnsi="Garamond"/>
        </w:rPr>
        <w:t xml:space="preserve"> less than </w:t>
      </w:r>
      <w:r w:rsidR="005C50E0" w:rsidRPr="009A2E44">
        <w:rPr>
          <w:rFonts w:ascii="Garamond" w:hAnsi="Garamond"/>
        </w:rPr>
        <w:t>0</w:t>
      </w:r>
      <w:r w:rsidR="006D4E80" w:rsidRPr="009A2E44">
        <w:rPr>
          <w:rFonts w:ascii="Garamond" w:hAnsi="Garamond"/>
        </w:rPr>
        <w:t>.5</w:t>
      </w:r>
      <w:r w:rsidR="005C50E0" w:rsidRPr="009A2E44">
        <w:rPr>
          <w:rFonts w:ascii="Garamond" w:hAnsi="Garamond"/>
        </w:rPr>
        <w:t>-</w:t>
      </w:r>
      <w:r w:rsidR="006D4E80" w:rsidRPr="009A2E44">
        <w:rPr>
          <w:rFonts w:ascii="Garamond" w:hAnsi="Garamond"/>
        </w:rPr>
        <w:t>M</w:t>
      </w:r>
      <w:r w:rsidR="005C50E0" w:rsidRPr="009A2E44">
        <w:rPr>
          <w:rFonts w:ascii="Garamond" w:hAnsi="Garamond"/>
        </w:rPr>
        <w:t>yr-old</w:t>
      </w:r>
      <w:r w:rsidR="006D4E80" w:rsidRPr="009A2E44">
        <w:rPr>
          <w:rFonts w:ascii="Garamond" w:hAnsi="Garamond"/>
        </w:rPr>
        <w:t>.</w:t>
      </w:r>
      <w:r w:rsidR="005C7FBF" w:rsidRPr="009A2E44">
        <w:rPr>
          <w:rFonts w:ascii="Garamond" w:hAnsi="Garamond"/>
        </w:rPr>
        <w:t xml:space="preserve"> </w:t>
      </w:r>
      <w:r w:rsidR="006D4E80" w:rsidRPr="009A2E44">
        <w:rPr>
          <w:rFonts w:ascii="Garamond" w:hAnsi="Garamond"/>
        </w:rPr>
        <w:t xml:space="preserve">Lac Lalolalo marks an eruptive vent of the youngest tholeiitic flow (and Lac Lanutavake the second youngest) </w:t>
      </w:r>
      <w:r w:rsidR="006D4E80" w:rsidRPr="009A2E44">
        <w:rPr>
          <w:rFonts w:ascii="Garamond" w:hAnsi="Garamond"/>
        </w:rPr>
        <w:fldChar w:fldCharType="begin" w:fldLock="1"/>
      </w:r>
      <w:r w:rsidR="00932F7A" w:rsidRPr="009A2E44">
        <w:rPr>
          <w:rFonts w:ascii="Garamond" w:hAnsi="Garamond"/>
        </w:rPr>
        <w:instrText>ADDIN CSL_CITATION {"citationItems":[{"id":"ITEM-1","itemData":{"DOI":"10.1016/0377-0273(91)90063-6","ISSN":"03770273","abstract":"The Wallis Islands are located on the western extension of the Samoan seamount chain and are composed largely of basaltic flows and pyroclastics with ages that are less than 0.5 Ma. The youngest eruptives are tholeiitic in composition and are relatively depleted in large ion lithophile and high field strength trace and minor elements. In contrast, the older basaltic flows and pyroclastics, which make up the bulk of exposed volcanic rocks, have transitional alkalic chemistry and are relatively enriched in incompatible trace and minor elements. The younger tholeiites have lower 87Sr/86Sr (0.7045-0.7048) and tend to have higher 143Nd/144Nd (0.512844-0.512910) than the older alkalic rocks (87Sr/86Sr: 0.7049-0.7052; 143Nd/144Nd: 0.512800-0.512895). Major- and trace-element modelling based on relationships inferred from the isotopic and trace-element compositions of stratigraphically related samples supports the hypothesis that some of the evolved basalts could have been generated by crystal fractionation from less evolved parental basalts. The Quaternary volcanism on the Wallis Islands is too young to be directly related to passage of the Pacific Plate over the Samoan hot spot, but isotopically Wallis basalts are very similar to shield lavas of the Samoan Islands. This suggests that Wallis basaltic magmas were generated in the lithosphere by a later thermal disturbance that was probably related to deformation along the transform boundary between the Pacific and Indo-Australian plates. A model is proposed whereby the basalts derived from a complex, heterogeneous, lithospheric mantle by progressive melting which initially extracted relatively alkalic melts from mantle domains dominated by an enriched component. With time, as melting proceeded, the enriched component was diluted by a more depleted, and more refractory component. The relationship of the mantle plume, that generated the Samoan seamount chain, to the volcanism on the chain may be largely thermal with very little geochemical input from the plume into the erupted magmas. The northern Melanesian Borderland may be a region where unusual lithospheric mantle has existed for some time and the shield lavas of the Samoan chain, along with the Wallis basalts, may have been extracted largely from this lithosphere. © 1991.","author":[{"dropping-particle":"","family":"Price","given":"Richard C.","non-dropping-particle":"","parse-names":false,"suffix":""},{"dropping-particle":"","family":"Maillet","given":"Patrick","non-dropping-particle":"","parse-names":false,"suffix":""},{"dropping-particle":"","family":"McDougall","given":"Ian","non-dropping-particle":"","parse-names":false,"suffix":""},{"dropping-particle":"","family":"Dupont","given":"Jacques","non-dropping-particle":"","parse-names":false,"suffix":""}],"container-title":"Journal of Volcanology and Geothermal Research","id":"ITEM-1","issue":"3-4","issued":{"date-parts":[["1991"]]},"page":"267-288","title":"The geochemistry of basalts from the Wallis Islands, northern Melanesian Borderland: Evidence for a lithospheric origin for Samoan-type basaltic magmas?","type":"article-journal","volume":"45"},"uris":["http://www.mendeley.com/documents/?uuid=82c63f7c-dad9-4a4e-b76e-8dad6a49358b"]}],"mendeley":{"formattedCitation":"(Price et al., 1991)","plainTextFormattedCitation":"(Price et al., 1991)","previouslyFormattedCitation":"(Price et al., 1991)"},"properties":{"noteIndex":0},"schema":"https://github.com/citation-style-language/schema/raw/master/csl-citation.json"}</w:instrText>
      </w:r>
      <w:r w:rsidR="006D4E80" w:rsidRPr="009A2E44">
        <w:rPr>
          <w:rFonts w:ascii="Garamond" w:hAnsi="Garamond"/>
        </w:rPr>
        <w:fldChar w:fldCharType="separate"/>
      </w:r>
      <w:r w:rsidR="00936A85" w:rsidRPr="009A2E44">
        <w:rPr>
          <w:rFonts w:ascii="Garamond" w:hAnsi="Garamond"/>
          <w:noProof/>
        </w:rPr>
        <w:t>(Price et al., 1991)</w:t>
      </w:r>
      <w:r w:rsidR="006D4E80" w:rsidRPr="009A2E44">
        <w:rPr>
          <w:rFonts w:ascii="Garamond" w:hAnsi="Garamond"/>
        </w:rPr>
        <w:fldChar w:fldCharType="end"/>
      </w:r>
      <w:r w:rsidR="006D4E80" w:rsidRPr="009A2E44">
        <w:rPr>
          <w:rFonts w:ascii="Garamond" w:hAnsi="Garamond"/>
        </w:rPr>
        <w:t>. Lac Lalolalo (88</w:t>
      </w:r>
      <w:r w:rsidR="00BB4CA9">
        <w:rPr>
          <w:rFonts w:ascii="Garamond" w:hAnsi="Garamond"/>
        </w:rPr>
        <w:t>-</w:t>
      </w:r>
      <w:r w:rsidR="001A4747" w:rsidRPr="009A2E44">
        <w:rPr>
          <w:rFonts w:ascii="Garamond" w:hAnsi="Garamond"/>
        </w:rPr>
        <w:t>m</w:t>
      </w:r>
      <w:r w:rsidR="00BB4CA9">
        <w:rPr>
          <w:rFonts w:ascii="Garamond" w:hAnsi="Garamond"/>
        </w:rPr>
        <w:t>-</w:t>
      </w:r>
      <w:r w:rsidR="006D4E80" w:rsidRPr="009A2E44">
        <w:rPr>
          <w:rFonts w:ascii="Garamond" w:hAnsi="Garamond"/>
        </w:rPr>
        <w:t>deep) and nearby Lac Lanutavake (25</w:t>
      </w:r>
      <w:r w:rsidR="00BB4CA9">
        <w:rPr>
          <w:rFonts w:ascii="Garamond" w:hAnsi="Garamond"/>
        </w:rPr>
        <w:t>-</w:t>
      </w:r>
      <w:r w:rsidR="001A4747" w:rsidRPr="009A2E44">
        <w:rPr>
          <w:rFonts w:ascii="Garamond" w:hAnsi="Garamond"/>
        </w:rPr>
        <w:t>m</w:t>
      </w:r>
      <w:r w:rsidR="00BB4CA9">
        <w:rPr>
          <w:rFonts w:ascii="Garamond" w:hAnsi="Garamond"/>
        </w:rPr>
        <w:t>-</w:t>
      </w:r>
      <w:r w:rsidR="006D4E80" w:rsidRPr="009A2E44">
        <w:rPr>
          <w:rFonts w:ascii="Garamond" w:hAnsi="Garamond"/>
        </w:rPr>
        <w:t xml:space="preserve">deep) are crater lakes that formed from collapse after eruption of lava and enlarged by phreatic or phreatomagmatic explosions less than a few thousand years ago </w:t>
      </w:r>
      <w:r w:rsidRPr="009A2E44">
        <w:rPr>
          <w:rFonts w:ascii="Garamond" w:hAnsi="Garamond"/>
        </w:rPr>
        <w:t>(</w:t>
      </w:r>
      <w:r w:rsidR="006D4E80" w:rsidRPr="009A2E44">
        <w:rPr>
          <w:rFonts w:ascii="Garamond" w:hAnsi="Garamond"/>
        </w:rPr>
        <w:t>based on &lt;</w:t>
      </w:r>
      <w:r w:rsidR="008119C9">
        <w:rPr>
          <w:rFonts w:ascii="Garamond" w:hAnsi="Garamond"/>
        </w:rPr>
        <w:t>0.3</w:t>
      </w:r>
      <w:r w:rsidR="008119C9" w:rsidRPr="009A2E44">
        <w:rPr>
          <w:rFonts w:ascii="Garamond" w:hAnsi="Garamond"/>
        </w:rPr>
        <w:t xml:space="preserve"> </w:t>
      </w:r>
      <w:r w:rsidR="008119C9">
        <w:rPr>
          <w:rFonts w:ascii="Garamond" w:hAnsi="Garamond"/>
        </w:rPr>
        <w:t>meters</w:t>
      </w:r>
      <w:r w:rsidR="008119C9" w:rsidRPr="009A2E44">
        <w:rPr>
          <w:rFonts w:ascii="Garamond" w:hAnsi="Garamond"/>
        </w:rPr>
        <w:t xml:space="preserve"> </w:t>
      </w:r>
      <w:r w:rsidR="006D4E80" w:rsidRPr="009A2E44">
        <w:rPr>
          <w:rFonts w:ascii="Garamond" w:hAnsi="Garamond"/>
        </w:rPr>
        <w:t>of soil covering the flows</w:t>
      </w:r>
      <w:r w:rsidRPr="009A2E44">
        <w:rPr>
          <w:rFonts w:ascii="Garamond" w:hAnsi="Garamond"/>
        </w:rPr>
        <w:t>)</w:t>
      </w:r>
      <w:r w:rsidR="006D4E80" w:rsidRPr="009A2E44">
        <w:rPr>
          <w:rFonts w:ascii="Garamond" w:hAnsi="Garamond"/>
        </w:rPr>
        <w:t xml:space="preserve"> </w:t>
      </w:r>
      <w:r w:rsidR="006D4E80" w:rsidRPr="009A2E44">
        <w:rPr>
          <w:rFonts w:ascii="Garamond" w:hAnsi="Garamond"/>
        </w:rPr>
        <w:fldChar w:fldCharType="begin" w:fldLock="1"/>
      </w:r>
      <w:r w:rsidR="0034089C">
        <w:rPr>
          <w:rFonts w:ascii="Garamond" w:hAnsi="Garamond"/>
        </w:rPr>
        <w:instrText>ADDIN CSL_CITATION {"citationItems":[{"id":"ITEM-1","itemData":{"DOI":"10.1130/0016-7606(1945)56[849:GOTWI]2.0.CO;2","ISSN":"00167606","abstract":"The Wallis Islands comprise Uvea, the main island, and 22 islets enclosed by or lying upon a nearly circular barrier reef about 200 miles west of the Samoan group in the Southern Pacific Ocean. The highest point in the group, about 470 feet above sea level, and several crater lakes exist on Uvea Island.The high islands are composed of olivine basaltic lavas and pyroclastics, except for one cinder cone and its associated flows of oligoclase andesite on Uvea Island. The low islands either are composed of calcareous sand or are erosional remnants of tuff cones and lava domes.Uvea Island was built by the coalescence of lava flows from 19 volcanic vents. The vents comprise 15 flat shield-shaped lava cones, 3 consolidated ash cones, and 1 cinder cone. Except for two Recent lava cones barely covered with soil, the bulk of the island is composed of deeply weathered middle Pleistocene(?) volcanics. Lavas of intermediate age do not exist. Limestone ejecta in the tuff cones indicate that the whole group is built on a submerged reef, probably about 180 feet below sea level. This reef presumably rests on a Tertiary basaltic volcano. Definite evidence of emerged shore lines at 25 and 5 feet above mean sea level exists, as well as evidence suggestive of higher stands.","author":[{"dropping-particle":"","family":"Stearns","given":"Harold T.","non-dropping-particle":"","parse-names":false,"suffix":""}],"container-title":"Bulletin of the Geological Society of America","id":"ITEM-1","issued":{"date-parts":[["1945"]]},"page":"849-860","title":"Geology of the Wallis Islands","type":"article-journal","volume":"56"},"uris":["http://www.mendeley.com/documents/?uuid=615d5f3e-cde6-4849-b800-8092f007f344"]},{"id":"ITEM-2","itemData":{"abstract":"The lavas of Uvea Island, in the Wallis group, include olivine basalts containing colorless mono- clinic pyroxene, less abundant olivine basalts containing titaniferous pyroxene, and oligoclase ande- site. Palagonite tuff builds cones along the eastern coast. Of the lesser islands in the Wallis group, Nukuatea is built largely of palagonite tuff, with a flow of olivine basalt; Nukufetau is composed of olivine basalt flows and cinders; Luaniva is composed largely of olivine basalt with a little tuff; and Fugalei of olivine basalt which filled the bowl of a tuff cone, most of which has been eroded away. Other islets represent the emergent edge of the barrier reef and are composed of poorly to well-con- solidated calcareous sand. The lavas of the Wallis Islands belong to the alkaline suite of the central Pacific volcanoes, rather than to the calc-alkaline suite of the circum-Pacific belt.","author":[{"dropping-particle":"","family":"MacDonald","given":"Gorden","non-dropping-particle":"","parse-names":false,"suffix":""}],"container-title":"Bulletin of the Geological Society of America","id":"ITEM-2","issued":{"date-parts":[["1945"]]},"page":"861-872","title":"Petrography of the Wallis Islands","type":"article-journal","volume":"56"},"uris":["http://www.mendeley.com/documents/?uuid=7ad1fa08-fa78-4593-9a9a-de6c3896c167"]}],"mendeley":{"formattedCitation":"(MacDonald, 1945; Stearns, 1945)","plainTextFormattedCitation":"(MacDonald, 1945; Stearns, 1945)","previouslyFormattedCitation":"(MacDonald, 1945; Stearns, 1945)"},"properties":{"noteIndex":0},"schema":"https://github.com/citation-style-language/schema/raw/master/csl-citation.json"}</w:instrText>
      </w:r>
      <w:r w:rsidR="006D4E80" w:rsidRPr="009A2E44">
        <w:rPr>
          <w:rFonts w:ascii="Garamond" w:hAnsi="Garamond"/>
        </w:rPr>
        <w:fldChar w:fldCharType="separate"/>
      </w:r>
      <w:r w:rsidR="00936A85" w:rsidRPr="009A2E44">
        <w:rPr>
          <w:rFonts w:ascii="Garamond" w:hAnsi="Garamond"/>
          <w:noProof/>
        </w:rPr>
        <w:t>(MacDonald, 1945; Stearns, 1945)</w:t>
      </w:r>
      <w:r w:rsidR="006D4E80" w:rsidRPr="009A2E44">
        <w:rPr>
          <w:rFonts w:ascii="Garamond" w:hAnsi="Garamond"/>
        </w:rPr>
        <w:fldChar w:fldCharType="end"/>
      </w:r>
      <w:r w:rsidR="006D4E80" w:rsidRPr="009A2E44">
        <w:rPr>
          <w:rFonts w:ascii="Garamond" w:hAnsi="Garamond"/>
        </w:rPr>
        <w:t xml:space="preserve">. </w:t>
      </w:r>
      <w:r w:rsidR="005C50E0" w:rsidRPr="009A2E44">
        <w:rPr>
          <w:rFonts w:ascii="Garamond" w:hAnsi="Garamond"/>
        </w:rPr>
        <w:t>Outcrops of fresh olivine-</w:t>
      </w:r>
      <w:proofErr w:type="spellStart"/>
      <w:r w:rsidR="005C50E0" w:rsidRPr="009A2E44">
        <w:rPr>
          <w:rFonts w:ascii="Garamond" w:hAnsi="Garamond"/>
        </w:rPr>
        <w:t>phyric</w:t>
      </w:r>
      <w:proofErr w:type="spellEnd"/>
      <w:r w:rsidR="005C50E0" w:rsidRPr="009A2E44">
        <w:rPr>
          <w:rFonts w:ascii="Garamond" w:hAnsi="Garamond"/>
        </w:rPr>
        <w:t xml:space="preserve"> </w:t>
      </w:r>
      <w:r w:rsidR="005C50E0" w:rsidRPr="009A2E44">
        <w:rPr>
          <w:rFonts w:ascii="Garamond" w:hAnsi="Garamond"/>
        </w:rPr>
        <w:lastRenderedPageBreak/>
        <w:t xml:space="preserve">basalt surround both lakes. </w:t>
      </w:r>
      <w:r w:rsidR="006D4E80" w:rsidRPr="009A2E44">
        <w:rPr>
          <w:rFonts w:ascii="Garamond" w:hAnsi="Garamond"/>
        </w:rPr>
        <w:t>Only 2.</w:t>
      </w:r>
      <w:r w:rsidR="00F73093" w:rsidRPr="009A2E44">
        <w:rPr>
          <w:rFonts w:ascii="Garamond" w:hAnsi="Garamond"/>
        </w:rPr>
        <w:t>7</w:t>
      </w:r>
      <w:r w:rsidR="006D4E80" w:rsidRPr="009A2E44">
        <w:rPr>
          <w:rFonts w:ascii="Garamond" w:hAnsi="Garamond"/>
        </w:rPr>
        <w:t xml:space="preserve">5 km apart, these lakes experience identical climate conditions but have different physical and chemical properties </w:t>
      </w:r>
      <w:r w:rsidR="006D4E80" w:rsidRPr="009A2E44">
        <w:rPr>
          <w:rFonts w:ascii="Garamond" w:hAnsi="Garamond"/>
        </w:rPr>
        <w:fldChar w:fldCharType="begin" w:fldLock="1"/>
      </w:r>
      <w:r w:rsidR="00653F3D" w:rsidRPr="009A2E44">
        <w:rPr>
          <w:rFonts w:ascii="Garamond" w:hAnsi="Garamond"/>
        </w:rPr>
        <w:instrText>ADDIN CSL_CITATION {"citationItems":[{"id":"ITEM-1","itemData":{"DOI":"10.2984/68.3.3","ISSN":"15346188","abstract":"Species composition and vertical distribution of planktonic organisms in Lakes Lalolalo, Lanutavake, and Lano on the Pacific island of Uvea were investigated in relation to physicochemical water column profiles of temperature, conductivity, dissolved oxygen, and pH. The meromictic lakes Lalolalo (maximum depth 88.5 m) and Lanutavake (23.6 m) exhibited a strong chemocline with anoxic conditions below 10 m depth. Mixis was inhibited by sheltered topography, thermal stratification, and in Lalolalo a strong halocline. Crustaceans and rotifers were limited to the oxygenated epilimnion, but diversity and density of ciliates were highest within and below the chemocline. In Lalolalo, euryhaline rotifers dominated the community, reflecting the brackish condition of the lake. Species richness and densities were highest within the shallow lake Lano (3.5 m). On a calm day, hypoxic conditions occurred near the sediment-water interface, but higher oxygen concentrations were observed after heavy winds, indicating occasional mixis. In total, 32 phytoplankton species, 23 ciliate taxa, 18 rotiferan, 1 cladoceran, 1 copepod, and 1 gastrotrich species were identified in the pelagic zones of all three lakes. © 2014 by University of Hawai'i Press All rights reserved.","author":[{"dropping-particle":"","family":"Sichrowsky","given":"Ursula","non-dropping-particle":"","parse-names":false,"suffix":""},{"dropping-particle":"","family":"Schabetsberger","given":"Robert","non-dropping-particle":"","parse-names":false,"suffix":""},{"dropping-particle":"","family":"Sonntag","given":"Bettina","non-dropping-particle":"","parse-names":false,"suffix":""},{"dropping-particle":"","family":"Stoyneva","given":"Maya","non-dropping-particle":"","parse-names":false,"suffix":""},{"dropping-particle":"","family":"Maloney","given":"Ashley E","non-dropping-particle":"","parse-names":false,"suffix":""},{"dropping-particle":"","family":"Nelson","given":"Daniel B","non-dropping-particle":"","parse-names":false,"suffix":""},{"dropping-particle":"","family":"Richey","given":"Julie N","non-dropping-particle":"","parse-names":false,"suffix":""},{"dropping-particle":"","family":"Sachs","given":"Julian P","non-dropping-particle":"","parse-names":false,"suffix":""}],"container-title":"Pacific Science","id":"ITEM-1","issue":"3","issued":{"date-parts":[["2014","7"]]},"page":"333-343","title":"Limnological characterization of volcanic crater lakes on Uvea Island (Wallis and Futuna, South Pacific)","type":"article-journal","volume":"68"},"uris":["http://www.mendeley.com/documents/?uuid=923ca64f-f41e-45b0-a85c-cd355925b74b"]},{"id":"ITEM-2","itemData":{"abstract":"The freshwater Ostracoda collected during a survey carried out in October 2004 on the French islands of Futuna and Wallis, Polynesia, Pacific Ocean, are presented. In total, 10 species were found, of which 5 could be identified to the species level. Notes on the taxonomy of the species are provided. Parastenocypris perarmata (Brady, 1904) McKenzie, 1971 is transferred into the genus Chrissia Hartmann, 1957: Chrissia perarmata (Brady, 1904) comb. nov. Scanning electron micrographs of Strandesia vinciguerrae (Masi, 1905) and Cypretta seurati Gauthier, 1929 are presented. A check-list of the non-marine Ostracoda of the Pacific Islands (Oceania minus Australia and New Zealand) is given.","author":[{"dropping-particle":"","family":"Meisch","given":"Claude","non-dropping-particle":"","parse-names":false,"suffix":""},{"dropping-particle":"","family":"Mary-Sasal","given":"Nathalie J","non-dropping-particle":"","parse-names":false,"suffix":""},{"dropping-particle":"","family":"Colin","given":"Jean-paul","non-dropping-particle":"","parse-names":false,"suffix":""},{"dropping-particle":"","family":"Wouters","given":"Karel","non-dropping-particle":"","parse-names":false,"suffix":""}],"container-title":"Bulletin Soc. Nat. luxemb.","id":"ITEM-2","issue":"1997","issued":{"date-parts":[["2007"]]},"page":"89-103","title":"Freshwater Ostracoda (Crustacea) collected from the islands of Futuna and Wallis, Pacific Ocean, with a check-list of the non-marine Ostracoda of the Pacific Islands","type":"article-journal","volume":"108"},"uris":["http://www.mendeley.com/documents/?uuid=96e5fcff-f42f-4029-ac89-8e1dded6e9f2"]},{"id":"ITEM-3","itemData":{"DOI":"10.2984/049.063.0201","ISBN":"0030-8870","ISSN":"0030-8870","abstract":"The South Pacific freshwater ecosystems have never been investigated systematically. Although their ecological value has long been recognized and recommended for protection, little action has been taken so far. Here, we present results of 39 lentic water bodies on 18 islands belonging to seven countries. Temperature, conductivity, and pH were measured and samples of aquatic organisms were collected. Freshwater algae, nematodes, rotifers, ostracods, copepods, cladocerans, and aquatic oribatid mites were identified to genus or species level. Sixty-six percent of all taxa recorded have a cosmopolitan distribution, 14% are circumtropical/tropicopolitan species, and for 20% a restricted distribution predominantly in Australasia has previously been reported. Eleven new copepod and three new ostracod taxa were discovered. Out of 39 water bodies we found at least 17 stocked with nonindigenous fish species. Salinization and uncontrolled introduction of alien fish species may lead to reduced species richness in these remote freshwater ecosystems. The highest species richness was recorded in old, shallow, fish-free softwater lakes at high altitude.","author":[{"dropping-particle":"","family":"Schabetsberger","given":"Robert","non-dropping-particle":"","parse-names":false,"suffix":""},{"dropping-particle":"","family":"Drozdowski","given":"Gabriele","non-dropping-particle":"","parse-names":false,"suffix":""},{"dropping-particle":"","family":"Rott","given":"E.","non-dropping-particle":"","parse-names":false,"suffix":""},{"dropping-particle":"","family":"Lenzenweger","given":"R.","non-dropping-particle":"","parse-names":false,"suffix":""},{"dropping-particle":"","family":"Jersabek","given":"Christian D.","non-dropping-particle":"","parse-names":false,"suffix":""},{"dropping-particle":"","family":"Fiers","given":"Frank","non-dropping-particle":"","parse-names":false,"suffix":""},{"dropping-particle":"","family":"Traunspurger","given":"Walter","non-dropping-particle":"","parse-names":false,"suffix":""},{"dropping-particle":"","family":"Reiff","given":"Nicola","non-dropping-particle":"","parse-names":false,"suffix":""},{"dropping-particle":"","family":"Stoch","given":"Fabio","non-dropping-particle":"","parse-names":false,"suffix":""},{"dropping-particle":"","family":"Kotov","given":"Alexey a.","non-dropping-particle":"","parse-names":false,"suffix":""},{"dropping-particle":"","family":"Martens","given":"Koen","non-dropping-particle":"","parse-names":false,"suffix":""},{"dropping-particle":"","family":"Schatz","given":"Heinrich","non-dropping-particle":"","parse-names":false,"suffix":""},{"dropping-particle":"","family":"Kaiser","given":"Roland","non-dropping-particle":"","parse-names":false,"suffix":""}],"container-title":"Pacific Science","id":"ITEM-3","issue":"2","issued":{"date-parts":[["2009"]]},"page":"153-179","title":"Losing the bounty? Investigating species richness in isolated freshwater ecosystems of Oceania.","type":"article-journal","volume":"63"},"uris":["http://www.mendeley.com/documents/?uuid=e6648b04-e67a-4637-beae-dc221a01e4ef"]}],"mendeley":{"formattedCitation":"(Meisch et al., 2007; Schabetsberger et al., 2009; Sichrowsky et al., 2014)","plainTextFormattedCitation":"(Meisch et al., 2007; Schabetsberger et al., 2009; Sichrowsky et al., 2014)","previouslyFormattedCitation":"(Meisch et al., 2007; Schabetsberger et al., 2009; Sichrowsky et al., 2014)"},"properties":{"noteIndex":0},"schema":"https://github.com/citation-style-language/schema/raw/master/csl-citation.json"}</w:instrText>
      </w:r>
      <w:r w:rsidR="006D4E80" w:rsidRPr="009A2E44">
        <w:rPr>
          <w:rFonts w:ascii="Garamond" w:hAnsi="Garamond"/>
        </w:rPr>
        <w:fldChar w:fldCharType="separate"/>
      </w:r>
      <w:r w:rsidR="00936A85" w:rsidRPr="009A2E44">
        <w:rPr>
          <w:rFonts w:ascii="Garamond" w:hAnsi="Garamond"/>
          <w:noProof/>
        </w:rPr>
        <w:t>(Meisch et al., 2007; Schabetsberger et al., 2009; Sichrowsky et al., 2014)</w:t>
      </w:r>
      <w:r w:rsidR="006D4E80" w:rsidRPr="009A2E44">
        <w:rPr>
          <w:rFonts w:ascii="Garamond" w:hAnsi="Garamond"/>
        </w:rPr>
        <w:fldChar w:fldCharType="end"/>
      </w:r>
      <w:r w:rsidR="006D4E80" w:rsidRPr="009A2E44">
        <w:rPr>
          <w:rFonts w:ascii="Garamond" w:hAnsi="Garamond"/>
        </w:rPr>
        <w:t xml:space="preserve">. The present-day photic zones </w:t>
      </w:r>
      <w:r w:rsidR="00235D53" w:rsidRPr="009A2E44">
        <w:rPr>
          <w:rFonts w:ascii="Garamond" w:hAnsi="Garamond"/>
        </w:rPr>
        <w:t>(~6</w:t>
      </w:r>
      <w:r w:rsidR="00A3784C" w:rsidRPr="009A2E44">
        <w:rPr>
          <w:rFonts w:ascii="Garamond" w:hAnsi="Garamond"/>
        </w:rPr>
        <w:t xml:space="preserve"> </w:t>
      </w:r>
      <w:r w:rsidR="00235D53" w:rsidRPr="009A2E44">
        <w:rPr>
          <w:rFonts w:ascii="Garamond" w:hAnsi="Garamond"/>
        </w:rPr>
        <w:t>m in Lac Lanutavake and ~4</w:t>
      </w:r>
      <w:r w:rsidR="00A3784C" w:rsidRPr="009A2E44">
        <w:rPr>
          <w:rFonts w:ascii="Garamond" w:hAnsi="Garamond"/>
        </w:rPr>
        <w:t xml:space="preserve"> </w:t>
      </w:r>
      <w:r w:rsidR="00235D53" w:rsidRPr="009A2E44">
        <w:rPr>
          <w:rFonts w:ascii="Garamond" w:hAnsi="Garamond"/>
        </w:rPr>
        <w:t xml:space="preserve">m Lac Lalolalo) </w:t>
      </w:r>
      <w:r w:rsidR="006D4E80" w:rsidRPr="009A2E44">
        <w:rPr>
          <w:rFonts w:ascii="Garamond" w:hAnsi="Garamond"/>
        </w:rPr>
        <w:t xml:space="preserve">are freshwater, Lac Lalolalo becomes brackish below </w:t>
      </w:r>
      <w:r w:rsidR="00EC15CE">
        <w:rPr>
          <w:rFonts w:ascii="Garamond" w:hAnsi="Garamond"/>
        </w:rPr>
        <w:t>~10 m</w:t>
      </w:r>
      <w:r w:rsidR="006D4E80" w:rsidRPr="009A2E44">
        <w:rPr>
          <w:rFonts w:ascii="Garamond" w:hAnsi="Garamond"/>
        </w:rPr>
        <w:t xml:space="preserve"> and increases in salinity at depth </w:t>
      </w:r>
      <w:r w:rsidR="006D4E80" w:rsidRPr="009A2E44">
        <w:rPr>
          <w:rFonts w:ascii="Garamond" w:hAnsi="Garamond"/>
        </w:rPr>
        <w:fldChar w:fldCharType="begin" w:fldLock="1"/>
      </w:r>
      <w:r w:rsidRPr="009A2E44">
        <w:rPr>
          <w:rFonts w:ascii="Garamond" w:hAnsi="Garamond"/>
        </w:rPr>
        <w:instrText>ADDIN CSL_CITATION {"citationItems":[{"id":"ITEM-1","itemData":{"DOI":"10.2984/68.3.3","ISSN":"15346188","abstract":"Species composition and vertical distribution of planktonic organisms in Lakes Lalolalo, Lanutavake, and Lano on the Pacific island of Uvea were investigated in relation to physicochemical water column profiles of temperature, conductivity, dissolved oxygen, and pH. The meromictic lakes Lalolalo (maximum depth 88.5 m) and Lanutavake (23.6 m) exhibited a strong chemocline with anoxic conditions below 10 m depth. Mixis was inhibited by sheltered topography, thermal stratification, and in Lalolalo a strong halocline. Crustaceans and rotifers were limited to the oxygenated epilimnion, but diversity and density of ciliates were highest within and below the chemocline. In Lalolalo, euryhaline rotifers dominated the community, reflecting the brackish condition of the lake. Species richness and densities were highest within the shallow lake Lano (3.5 m). On a calm day, hypoxic conditions occurred near the sediment-water interface, but higher oxygen concentrations were observed after heavy winds, indicating occasional mixis. In total, 32 phytoplankton species, 23 ciliate taxa, 18 rotiferan, 1 cladoceran, 1 copepod, and 1 gastrotrich species were identified in the pelagic zones of all three lakes. © 2014 by University of Hawai'i Press All rights reserved.","author":[{"dropping-particle":"","family":"Sichrowsky","given":"Ursula","non-dropping-particle":"","parse-names":false,"suffix":""},{"dropping-particle":"","family":"Schabetsberger","given":"Robert","non-dropping-particle":"","parse-names":false,"suffix":""},{"dropping-particle":"","family":"Sonntag","given":"Bettina","non-dropping-particle":"","parse-names":false,"suffix":""},{"dropping-particle":"","family":"Stoyneva","given":"Maya","non-dropping-particle":"","parse-names":false,"suffix":""},{"dropping-particle":"","family":"Maloney","given":"Ashley E","non-dropping-particle":"","parse-names":false,"suffix":""},{"dropping-particle":"","family":"Nelson","given":"Daniel B","non-dropping-particle":"","parse-names":false,"suffix":""},{"dropping-particle":"","family":"Richey","given":"Julie N","non-dropping-particle":"","parse-names":false,"suffix":""},{"dropping-particle":"","family":"Sachs","given":"Julian P","non-dropping-particle":"","parse-names":false,"suffix":""}],"container-title":"Pacific Science","id":"ITEM-1","issue":"3","issued":{"date-parts":[["2014","7"]]},"page":"333-343","title":"Limnological characterization of volcanic crater lakes on Uvea Island (Wallis and Futuna, South Pacific)","type":"article-journal","volume":"68"},"uris":["http://www.mendeley.com/documents/?uuid=923ca64f-f41e-45b0-a85c-cd355925b74b"]},{"id":"ITEM-2","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Acta","id":"ITEM-2","issued":{"date-parts":[["2019"]]},"page":"190-206","publisher":"Elsevier Ltd","title":"Reconstructing precipitation in the tropical South Pacific from dinosterol 2H/1H ratios in lake sediment","type":"article-journal","volume":"245"},"uris":["http://www.mendeley.com/documents/?uuid=c7ab851f-4ac6-4a60-a0db-daaa3baed28f"]}],"mendeley":{"formattedCitation":"(Maloney et al., 2019; Sichrowsky et al., 2014)","plainTextFormattedCitation":"(Maloney et al., 2019; Sichrowsky et al., 2014)","previouslyFormattedCitation":"(Maloney et al., 2019; Sichrowsky et al., 2014)"},"properties":{"noteIndex":0},"schema":"https://github.com/citation-style-language/schema/raw/master/csl-citation.json"}</w:instrText>
      </w:r>
      <w:r w:rsidR="006D4E80" w:rsidRPr="009A2E44">
        <w:rPr>
          <w:rFonts w:ascii="Garamond" w:hAnsi="Garamond"/>
        </w:rPr>
        <w:fldChar w:fldCharType="separate"/>
      </w:r>
      <w:r w:rsidRPr="009A2E44">
        <w:rPr>
          <w:rFonts w:ascii="Garamond" w:hAnsi="Garamond"/>
          <w:noProof/>
        </w:rPr>
        <w:t>(Maloney et al., 2019; Sichrowsky et al., 2014)</w:t>
      </w:r>
      <w:r w:rsidR="006D4E80" w:rsidRPr="009A2E44">
        <w:rPr>
          <w:rFonts w:ascii="Garamond" w:hAnsi="Garamond"/>
        </w:rPr>
        <w:fldChar w:fldCharType="end"/>
      </w:r>
      <w:r w:rsidR="006D4E80" w:rsidRPr="009A2E44">
        <w:rPr>
          <w:rFonts w:ascii="Garamond" w:hAnsi="Garamond"/>
        </w:rPr>
        <w:t xml:space="preserve">. </w:t>
      </w:r>
      <w:r w:rsidR="00654613" w:rsidRPr="009A2E44">
        <w:rPr>
          <w:rFonts w:ascii="Garamond" w:hAnsi="Garamond"/>
        </w:rPr>
        <w:t>‘</w:t>
      </w:r>
      <w:r w:rsidR="00227E8F" w:rsidRPr="009A2E44">
        <w:rPr>
          <w:rFonts w:ascii="Garamond" w:hAnsi="Garamond"/>
        </w:rPr>
        <w:t xml:space="preserve">Uvea is a low relief island with a maximum elevation of </w:t>
      </w:r>
      <w:r w:rsidR="005C7FBF" w:rsidRPr="009A2E44">
        <w:rPr>
          <w:rFonts w:ascii="Garamond" w:hAnsi="Garamond"/>
        </w:rPr>
        <w:t xml:space="preserve">151 </w:t>
      </w:r>
      <w:r w:rsidR="00227E8F" w:rsidRPr="009A2E44">
        <w:rPr>
          <w:rFonts w:ascii="Garamond" w:hAnsi="Garamond"/>
        </w:rPr>
        <w:t xml:space="preserve">m </w:t>
      </w:r>
      <w:r w:rsidR="005C7FBF" w:rsidRPr="009A2E44">
        <w:rPr>
          <w:rFonts w:ascii="Garamond" w:hAnsi="Garamond"/>
        </w:rPr>
        <w:t xml:space="preserve">at Mt. Lulu </w:t>
      </w:r>
      <w:proofErr w:type="spellStart"/>
      <w:r w:rsidR="005C7FBF" w:rsidRPr="009A2E44">
        <w:rPr>
          <w:rFonts w:ascii="Garamond" w:hAnsi="Garamond"/>
        </w:rPr>
        <w:t>Fakahega</w:t>
      </w:r>
      <w:proofErr w:type="spellEnd"/>
      <w:r w:rsidR="005C7FBF" w:rsidRPr="009A2E44">
        <w:rPr>
          <w:rFonts w:ascii="Garamond" w:hAnsi="Garamond"/>
        </w:rPr>
        <w:t xml:space="preserve"> with </w:t>
      </w:r>
      <w:r w:rsidR="00227E8F" w:rsidRPr="009A2E44">
        <w:rPr>
          <w:rFonts w:ascii="Garamond" w:hAnsi="Garamond"/>
        </w:rPr>
        <w:t xml:space="preserve">permeable soils that result in no permanent rivers. The rim of Lac </w:t>
      </w:r>
      <w:proofErr w:type="spellStart"/>
      <w:r w:rsidR="00227E8F" w:rsidRPr="009A2E44">
        <w:rPr>
          <w:rFonts w:ascii="Garamond" w:hAnsi="Garamond"/>
        </w:rPr>
        <w:t>Lalolalo</w:t>
      </w:r>
      <w:proofErr w:type="spellEnd"/>
      <w:r w:rsidR="00227E8F" w:rsidRPr="009A2E44">
        <w:rPr>
          <w:rFonts w:ascii="Garamond" w:hAnsi="Garamond"/>
        </w:rPr>
        <w:t xml:space="preserve"> is </w:t>
      </w:r>
      <w:r w:rsidR="000C676E" w:rsidRPr="009A2E44">
        <w:rPr>
          <w:rFonts w:ascii="Garamond" w:hAnsi="Garamond"/>
        </w:rPr>
        <w:t xml:space="preserve">~40 </w:t>
      </w:r>
      <w:proofErr w:type="spellStart"/>
      <w:r w:rsidR="00B95FC4" w:rsidRPr="009A2E44">
        <w:rPr>
          <w:rFonts w:ascii="Garamond" w:hAnsi="Garamond"/>
        </w:rPr>
        <w:t>m</w:t>
      </w:r>
      <w:r w:rsidR="004A597A" w:rsidRPr="009A2E44">
        <w:rPr>
          <w:rFonts w:ascii="Garamond" w:hAnsi="Garamond"/>
        </w:rPr>
        <w:t>.a.s.l</w:t>
      </w:r>
      <w:proofErr w:type="spellEnd"/>
      <w:r w:rsidR="004A597A" w:rsidRPr="009A2E44">
        <w:rPr>
          <w:rFonts w:ascii="Garamond" w:hAnsi="Garamond"/>
        </w:rPr>
        <w:t>.</w:t>
      </w:r>
      <w:r w:rsidR="00AB6D5D" w:rsidRPr="009A2E44">
        <w:rPr>
          <w:rFonts w:ascii="Garamond" w:hAnsi="Garamond"/>
        </w:rPr>
        <w:t xml:space="preserve"> </w:t>
      </w:r>
      <w:r w:rsidR="00227E8F" w:rsidRPr="009A2E44">
        <w:rPr>
          <w:rFonts w:ascii="Garamond" w:hAnsi="Garamond"/>
        </w:rPr>
        <w:t>and the lake</w:t>
      </w:r>
      <w:r w:rsidR="00AB6D5D" w:rsidRPr="009A2E44">
        <w:rPr>
          <w:rFonts w:ascii="Garamond" w:hAnsi="Garamond"/>
        </w:rPr>
        <w:t xml:space="preserve"> surface is</w:t>
      </w:r>
      <w:r w:rsidR="00227E8F" w:rsidRPr="009A2E44">
        <w:rPr>
          <w:rFonts w:ascii="Garamond" w:hAnsi="Garamond"/>
        </w:rPr>
        <w:t xml:space="preserve"> </w:t>
      </w:r>
      <w:r w:rsidR="000C676E" w:rsidRPr="009A2E44">
        <w:rPr>
          <w:rFonts w:ascii="Garamond" w:hAnsi="Garamond"/>
        </w:rPr>
        <w:t xml:space="preserve">~1 </w:t>
      </w:r>
      <w:proofErr w:type="spellStart"/>
      <w:r w:rsidR="00B95FC4" w:rsidRPr="009A2E44">
        <w:rPr>
          <w:rFonts w:ascii="Garamond" w:hAnsi="Garamond"/>
        </w:rPr>
        <w:t>m.a.s.l</w:t>
      </w:r>
      <w:proofErr w:type="spellEnd"/>
      <w:r w:rsidR="00B95FC4" w:rsidRPr="009A2E44">
        <w:rPr>
          <w:rFonts w:ascii="Garamond" w:hAnsi="Garamond"/>
        </w:rPr>
        <w:t>.</w:t>
      </w:r>
      <w:r w:rsidR="00227E8F" w:rsidRPr="009A2E44">
        <w:rPr>
          <w:rFonts w:ascii="Garamond" w:hAnsi="Garamond"/>
        </w:rPr>
        <w:t xml:space="preserve">, </w:t>
      </w:r>
      <w:r w:rsidR="00BF2E78" w:rsidRPr="009A2E44">
        <w:rPr>
          <w:rFonts w:ascii="Garamond" w:hAnsi="Garamond"/>
        </w:rPr>
        <w:t xml:space="preserve">the </w:t>
      </w:r>
      <w:r w:rsidR="00227E8F" w:rsidRPr="009A2E44">
        <w:rPr>
          <w:rFonts w:ascii="Garamond" w:hAnsi="Garamond"/>
        </w:rPr>
        <w:t xml:space="preserve">Lanutavake rim is </w:t>
      </w:r>
      <w:r w:rsidR="000C676E" w:rsidRPr="009A2E44">
        <w:rPr>
          <w:rFonts w:ascii="Garamond" w:hAnsi="Garamond"/>
        </w:rPr>
        <w:t xml:space="preserve">~67 </w:t>
      </w:r>
      <w:proofErr w:type="spellStart"/>
      <w:r w:rsidR="000C676E" w:rsidRPr="009A2E44">
        <w:rPr>
          <w:rFonts w:ascii="Garamond" w:hAnsi="Garamond"/>
        </w:rPr>
        <w:t>m.a.s.l</w:t>
      </w:r>
      <w:proofErr w:type="spellEnd"/>
      <w:r w:rsidR="000C676E" w:rsidRPr="009A2E44">
        <w:rPr>
          <w:rFonts w:ascii="Garamond" w:hAnsi="Garamond"/>
        </w:rPr>
        <w:t xml:space="preserve">. and </w:t>
      </w:r>
      <w:r w:rsidR="00BF2E78" w:rsidRPr="009A2E44">
        <w:rPr>
          <w:rFonts w:ascii="Garamond" w:hAnsi="Garamond"/>
        </w:rPr>
        <w:t xml:space="preserve">the </w:t>
      </w:r>
      <w:r w:rsidR="00227E8F" w:rsidRPr="009A2E44">
        <w:rPr>
          <w:rFonts w:ascii="Garamond" w:hAnsi="Garamond"/>
        </w:rPr>
        <w:t>lake surface</w:t>
      </w:r>
      <w:r w:rsidR="00BF2E78" w:rsidRPr="009A2E44">
        <w:rPr>
          <w:rFonts w:ascii="Garamond" w:hAnsi="Garamond"/>
        </w:rPr>
        <w:t xml:space="preserve"> is</w:t>
      </w:r>
      <w:r w:rsidR="00227E8F" w:rsidRPr="009A2E44">
        <w:rPr>
          <w:rFonts w:ascii="Garamond" w:hAnsi="Garamond"/>
        </w:rPr>
        <w:t xml:space="preserve"> </w:t>
      </w:r>
      <w:r w:rsidR="000C676E" w:rsidRPr="009A2E44">
        <w:rPr>
          <w:rFonts w:ascii="Garamond" w:hAnsi="Garamond"/>
        </w:rPr>
        <w:t xml:space="preserve">~8 </w:t>
      </w:r>
      <w:proofErr w:type="spellStart"/>
      <w:r w:rsidR="000C676E" w:rsidRPr="009A2E44">
        <w:rPr>
          <w:rFonts w:ascii="Garamond" w:hAnsi="Garamond"/>
        </w:rPr>
        <w:t>m.a.s.l</w:t>
      </w:r>
      <w:proofErr w:type="spellEnd"/>
      <w:r w:rsidR="000C676E" w:rsidRPr="009A2E44">
        <w:rPr>
          <w:rFonts w:ascii="Garamond" w:hAnsi="Garamond"/>
        </w:rPr>
        <w:t>.</w:t>
      </w:r>
      <w:r w:rsidR="00227E8F" w:rsidRPr="009A2E44">
        <w:rPr>
          <w:rFonts w:ascii="Garamond" w:hAnsi="Garamond"/>
        </w:rPr>
        <w:t xml:space="preserve"> </w:t>
      </w:r>
      <w:r w:rsidR="00227E8F" w:rsidRPr="009A2E44">
        <w:rPr>
          <w:rFonts w:ascii="Garamond" w:hAnsi="Garamond"/>
        </w:rPr>
        <w:fldChar w:fldCharType="begin" w:fldLock="1"/>
      </w:r>
      <w:r w:rsidR="0034089C">
        <w:rPr>
          <w:rFonts w:ascii="Garamond" w:hAnsi="Garamond"/>
        </w:rPr>
        <w:instrText>ADDIN CSL_CITATION {"citationItems":[{"id":"ITEM-1","itemData":{"DOI":"10.1130/0016-7606(1945)56[849:GOTWI]2.0.CO;2","ISSN":"00167606","abstract":"The Wallis Islands comprise Uvea, the main island, and 22 islets enclosed by or lying upon a nearly circular barrier reef about 200 miles west of the Samoan group in the Southern Pacific Ocean. The highest point in the group, about 470 feet above sea level, and several crater lakes exist on Uvea Island.The high islands are composed of olivine basaltic lavas and pyroclastics, except for one cinder cone and its associated flows of oligoclase andesite on Uvea Island. The low islands either are composed of calcareous sand or are erosional remnants of tuff cones and lava domes.Uvea Island was built by the coalescence of lava flows from 19 volcanic vents. The vents comprise 15 flat shield-shaped lava cones, 3 consolidated ash cones, and 1 cinder cone. Except for two Recent lava cones barely covered with soil, the bulk of the island is composed of deeply weathered middle Pleistocene(?) volcanics. Lavas of intermediate age do not exist. Limestone ejecta in the tuff cones indicate that the whole group is built on a submerged reef, probably about 180 feet below sea level. This reef presumably rests on a Tertiary basaltic volcano. Definite evidence of emerged shore lines at 25 and 5 feet above mean sea level exists, as well as evidence suggestive of higher stands.","author":[{"dropping-particle":"","family":"Stearns","given":"Harold T.","non-dropping-particle":"","parse-names":false,"suffix":""}],"container-title":"Bulletin of the Geological Society of America","id":"ITEM-1","issued":{"date-parts":[["1945"]]},"page":"849-860","title":"Geology of the Wallis Islands","type":"article-journal","volume":"56"},"uris":["http://www.mendeley.com/documents/?uuid=615d5f3e-cde6-4849-b800-8092f007f344"]}],"mendeley":{"formattedCitation":"(Stearns, 1945)","plainTextFormattedCitation":"(Stearns, 1945)","previouslyFormattedCitation":"(Stearns, 1945)"},"properties":{"noteIndex":0},"schema":"https://github.com/citation-style-language/schema/raw/master/csl-citation.json"}</w:instrText>
      </w:r>
      <w:r w:rsidR="00227E8F" w:rsidRPr="009A2E44">
        <w:rPr>
          <w:rFonts w:ascii="Garamond" w:hAnsi="Garamond"/>
        </w:rPr>
        <w:fldChar w:fldCharType="separate"/>
      </w:r>
      <w:r w:rsidR="00936A85" w:rsidRPr="009A2E44">
        <w:rPr>
          <w:rFonts w:ascii="Garamond" w:hAnsi="Garamond"/>
          <w:noProof/>
        </w:rPr>
        <w:t>(Stearns, 1945)</w:t>
      </w:r>
      <w:r w:rsidR="00227E8F" w:rsidRPr="009A2E44">
        <w:rPr>
          <w:rFonts w:ascii="Garamond" w:hAnsi="Garamond"/>
        </w:rPr>
        <w:fldChar w:fldCharType="end"/>
      </w:r>
      <w:r w:rsidR="00D2560D" w:rsidRPr="009A2E44">
        <w:rPr>
          <w:rFonts w:ascii="Garamond" w:hAnsi="Garamond"/>
        </w:rPr>
        <w:t xml:space="preserve"> (</w:t>
      </w:r>
      <w:r w:rsidR="00D2560D" w:rsidRPr="009A2E44">
        <w:rPr>
          <w:rFonts w:ascii="Garamond" w:hAnsi="Garamond"/>
          <w:b/>
          <w:bCs/>
        </w:rPr>
        <w:t>Fig. A</w:t>
      </w:r>
      <w:r w:rsidR="00000FC4" w:rsidRPr="009A2E44">
        <w:rPr>
          <w:rFonts w:ascii="Garamond" w:hAnsi="Garamond"/>
          <w:b/>
          <w:bCs/>
        </w:rPr>
        <w:t>.</w:t>
      </w:r>
      <w:r w:rsidR="00D2560D" w:rsidRPr="009A2E44">
        <w:rPr>
          <w:rFonts w:ascii="Garamond" w:hAnsi="Garamond"/>
          <w:b/>
          <w:bCs/>
        </w:rPr>
        <w:t>2</w:t>
      </w:r>
      <w:r w:rsidR="00D2560D" w:rsidRPr="009A2E44">
        <w:rPr>
          <w:rFonts w:ascii="Garamond" w:hAnsi="Garamond"/>
        </w:rPr>
        <w:t>)</w:t>
      </w:r>
      <w:r w:rsidR="00227E8F" w:rsidRPr="009A2E44">
        <w:rPr>
          <w:rFonts w:ascii="Garamond" w:hAnsi="Garamond"/>
        </w:rPr>
        <w:t xml:space="preserve">. </w:t>
      </w:r>
      <w:r w:rsidR="007F2D5D" w:rsidRPr="009A2E44">
        <w:rPr>
          <w:rFonts w:ascii="Garamond" w:hAnsi="Garamond"/>
        </w:rPr>
        <w:t>Daily tidal patterns do not influence the surface level of either lake, which slightly decreased (by ~0.4 and ~0.8 cm d</w:t>
      </w:r>
      <w:r w:rsidR="007F2D5D" w:rsidRPr="009A2E44">
        <w:rPr>
          <w:rFonts w:ascii="Garamond" w:hAnsi="Garamond"/>
          <w:vertAlign w:val="superscript"/>
        </w:rPr>
        <w:t>−1</w:t>
      </w:r>
      <w:r w:rsidR="007F2D5D" w:rsidRPr="009A2E44">
        <w:rPr>
          <w:rFonts w:ascii="Garamond" w:hAnsi="Garamond"/>
        </w:rPr>
        <w:t>) during our visit</w:t>
      </w:r>
      <w:r w:rsidR="00436695">
        <w:rPr>
          <w:rFonts w:ascii="Garamond" w:hAnsi="Garamond"/>
        </w:rPr>
        <w:t xml:space="preserve">, May </w:t>
      </w:r>
      <w:r w:rsidR="00F5736A">
        <w:rPr>
          <w:rFonts w:ascii="Garamond" w:hAnsi="Garamond"/>
        </w:rPr>
        <w:t>9</w:t>
      </w:r>
      <w:r w:rsidR="00436695">
        <w:rPr>
          <w:rFonts w:ascii="Garamond" w:hAnsi="Garamond"/>
        </w:rPr>
        <w:t xml:space="preserve"> – 22 (2011), </w:t>
      </w:r>
      <w:r w:rsidR="007F2D5D" w:rsidRPr="009A2E44">
        <w:rPr>
          <w:rFonts w:ascii="Garamond" w:hAnsi="Garamond"/>
        </w:rPr>
        <w:t>the dr</w:t>
      </w:r>
      <w:r w:rsidR="00BB4CA9">
        <w:rPr>
          <w:rFonts w:ascii="Garamond" w:hAnsi="Garamond"/>
        </w:rPr>
        <w:t>ier part of the</w:t>
      </w:r>
      <w:r w:rsidR="007F2D5D" w:rsidRPr="009A2E44">
        <w:rPr>
          <w:rFonts w:ascii="Garamond" w:hAnsi="Garamond"/>
        </w:rPr>
        <w:t xml:space="preserve"> season (</w:t>
      </w:r>
      <w:r w:rsidR="007F2D5D" w:rsidRPr="009A2E44">
        <w:rPr>
          <w:rFonts w:ascii="Garamond" w:hAnsi="Garamond"/>
          <w:b/>
          <w:bCs/>
        </w:rPr>
        <w:t>Fig. A.</w:t>
      </w:r>
      <w:r w:rsidR="00C71597" w:rsidRPr="009A2E44">
        <w:rPr>
          <w:rFonts w:ascii="Garamond" w:hAnsi="Garamond"/>
          <w:b/>
          <w:bCs/>
        </w:rPr>
        <w:t>3</w:t>
      </w:r>
      <w:r w:rsidR="007F2D5D" w:rsidRPr="009A2E44">
        <w:rPr>
          <w:rFonts w:ascii="Garamond" w:hAnsi="Garamond"/>
        </w:rPr>
        <w:t>).</w:t>
      </w:r>
      <w:r w:rsidR="009E5B16" w:rsidRPr="009A2E44">
        <w:rPr>
          <w:rFonts w:ascii="Garamond" w:hAnsi="Garamond"/>
        </w:rPr>
        <w:t xml:space="preserve"> </w:t>
      </w:r>
      <w:r w:rsidR="00227E8F" w:rsidRPr="009A2E44">
        <w:rPr>
          <w:rFonts w:ascii="Garamond" w:hAnsi="Garamond"/>
        </w:rPr>
        <w:t xml:space="preserve">There </w:t>
      </w:r>
      <w:r w:rsidR="005639B7" w:rsidRPr="009A2E44">
        <w:rPr>
          <w:rFonts w:ascii="Garamond" w:hAnsi="Garamond"/>
        </w:rPr>
        <w:t>ha</w:t>
      </w:r>
      <w:r w:rsidR="005639B7">
        <w:rPr>
          <w:rFonts w:ascii="Garamond" w:hAnsi="Garamond"/>
        </w:rPr>
        <w:t>s</w:t>
      </w:r>
      <w:r w:rsidR="005639B7" w:rsidRPr="009A2E44">
        <w:rPr>
          <w:rFonts w:ascii="Garamond" w:hAnsi="Garamond"/>
        </w:rPr>
        <w:t xml:space="preserve"> </w:t>
      </w:r>
      <w:r w:rsidR="00F73093" w:rsidRPr="009A2E44">
        <w:rPr>
          <w:rFonts w:ascii="Garamond" w:hAnsi="Garamond"/>
        </w:rPr>
        <w:t>been</w:t>
      </w:r>
      <w:r w:rsidR="00227E8F" w:rsidRPr="009A2E44">
        <w:rPr>
          <w:rFonts w:ascii="Garamond" w:hAnsi="Garamond"/>
        </w:rPr>
        <w:t xml:space="preserve"> no documented </w:t>
      </w:r>
      <w:r w:rsidR="005639B7">
        <w:rPr>
          <w:rFonts w:ascii="Garamond" w:hAnsi="Garamond"/>
        </w:rPr>
        <w:t xml:space="preserve">damage from </w:t>
      </w:r>
      <w:r w:rsidR="00227E8F" w:rsidRPr="009A2E44">
        <w:rPr>
          <w:rFonts w:ascii="Garamond" w:hAnsi="Garamond"/>
        </w:rPr>
        <w:t>tsunamis</w:t>
      </w:r>
      <w:r w:rsidR="00F73093" w:rsidRPr="009A2E44">
        <w:rPr>
          <w:rFonts w:ascii="Garamond" w:hAnsi="Garamond"/>
        </w:rPr>
        <w:t xml:space="preserve"> t</w:t>
      </w:r>
      <w:r w:rsidR="00BF2E78" w:rsidRPr="009A2E44">
        <w:rPr>
          <w:rFonts w:ascii="Garamond" w:hAnsi="Garamond"/>
        </w:rPr>
        <w:t>hat have</w:t>
      </w:r>
      <w:r w:rsidR="00F73093" w:rsidRPr="009A2E44">
        <w:rPr>
          <w:rFonts w:ascii="Garamond" w:hAnsi="Garamond"/>
        </w:rPr>
        <w:t xml:space="preserve"> reach</w:t>
      </w:r>
      <w:r w:rsidR="00BF2E78" w:rsidRPr="009A2E44">
        <w:rPr>
          <w:rFonts w:ascii="Garamond" w:hAnsi="Garamond"/>
        </w:rPr>
        <w:t>ed</w:t>
      </w:r>
      <w:r w:rsidR="00F73093" w:rsidRPr="009A2E44">
        <w:rPr>
          <w:rFonts w:ascii="Garamond" w:hAnsi="Garamond"/>
        </w:rPr>
        <w:t xml:space="preserve"> ‘Uvea</w:t>
      </w:r>
      <w:r w:rsidR="00BF2E78" w:rsidRPr="009A2E44">
        <w:rPr>
          <w:rFonts w:ascii="Garamond" w:hAnsi="Garamond"/>
        </w:rPr>
        <w:t>.</w:t>
      </w:r>
      <w:r w:rsidR="00227E8F" w:rsidRPr="009A2E44">
        <w:rPr>
          <w:rFonts w:ascii="Garamond" w:hAnsi="Garamond"/>
        </w:rPr>
        <w:t xml:space="preserve"> </w:t>
      </w:r>
      <w:r w:rsidR="00BF2E78" w:rsidRPr="009A2E44">
        <w:rPr>
          <w:rFonts w:ascii="Garamond" w:hAnsi="Garamond"/>
        </w:rPr>
        <w:t>I</w:t>
      </w:r>
      <w:r w:rsidR="00B95FC4" w:rsidRPr="009A2E44">
        <w:rPr>
          <w:rFonts w:ascii="Garamond" w:hAnsi="Garamond"/>
        </w:rPr>
        <w:t xml:space="preserve">ts </w:t>
      </w:r>
      <w:r w:rsidR="00227E8F" w:rsidRPr="009A2E44">
        <w:rPr>
          <w:rFonts w:ascii="Garamond" w:hAnsi="Garamond"/>
        </w:rPr>
        <w:t xml:space="preserve">barrier and fringing reefs seem to play a role in protecting </w:t>
      </w:r>
      <w:r w:rsidR="00B95FC4" w:rsidRPr="009A2E44">
        <w:rPr>
          <w:rFonts w:ascii="Garamond" w:hAnsi="Garamond"/>
        </w:rPr>
        <w:t>the island</w:t>
      </w:r>
      <w:r w:rsidR="00227E8F" w:rsidRPr="009A2E44">
        <w:rPr>
          <w:rFonts w:ascii="Garamond" w:hAnsi="Garamond"/>
        </w:rPr>
        <w:t xml:space="preserve"> from wave heights greater than </w:t>
      </w:r>
      <w:r w:rsidR="00A3784C" w:rsidRPr="009A2E44">
        <w:rPr>
          <w:rFonts w:ascii="Garamond" w:hAnsi="Garamond"/>
        </w:rPr>
        <w:t>two to three</w:t>
      </w:r>
      <w:r w:rsidR="00227E8F" w:rsidRPr="009A2E44">
        <w:rPr>
          <w:rFonts w:ascii="Garamond" w:hAnsi="Garamond"/>
        </w:rPr>
        <w:t xml:space="preserve"> m</w:t>
      </w:r>
      <w:r w:rsidR="00D80D00">
        <w:rPr>
          <w:rFonts w:ascii="Garamond" w:hAnsi="Garamond"/>
        </w:rPr>
        <w:t>eters</w:t>
      </w:r>
      <w:r w:rsidR="00BF2E78" w:rsidRPr="009A2E44">
        <w:rPr>
          <w:rFonts w:ascii="Garamond" w:hAnsi="Garamond"/>
        </w:rPr>
        <w:t xml:space="preserve">, although </w:t>
      </w:r>
      <w:r w:rsidR="00AB6D5D" w:rsidRPr="009A2E44">
        <w:rPr>
          <w:rFonts w:ascii="Garamond" w:hAnsi="Garamond"/>
        </w:rPr>
        <w:t>evidence</w:t>
      </w:r>
      <w:r w:rsidR="00AD722C" w:rsidRPr="009A2E44">
        <w:rPr>
          <w:rFonts w:ascii="Garamond" w:hAnsi="Garamond"/>
        </w:rPr>
        <w:t xml:space="preserve"> exists</w:t>
      </w:r>
      <w:r w:rsidR="00AB6D5D" w:rsidRPr="009A2E44">
        <w:rPr>
          <w:rFonts w:ascii="Garamond" w:hAnsi="Garamond"/>
        </w:rPr>
        <w:t xml:space="preserve"> for </w:t>
      </w:r>
      <w:proofErr w:type="spellStart"/>
      <w:r w:rsidR="00AB6D5D" w:rsidRPr="009A2E44">
        <w:rPr>
          <w:rFonts w:ascii="Garamond" w:hAnsi="Garamond"/>
        </w:rPr>
        <w:t>paleotsunamis</w:t>
      </w:r>
      <w:proofErr w:type="spellEnd"/>
      <w:r w:rsidR="00AB6D5D" w:rsidRPr="009A2E44">
        <w:rPr>
          <w:rFonts w:ascii="Garamond" w:hAnsi="Garamond"/>
        </w:rPr>
        <w:t xml:space="preserve"> </w:t>
      </w:r>
      <w:r w:rsidR="00AD722C" w:rsidRPr="009A2E44">
        <w:rPr>
          <w:rFonts w:ascii="Garamond" w:hAnsi="Garamond"/>
        </w:rPr>
        <w:t>~</w:t>
      </w:r>
      <w:r w:rsidR="00AB6D5D" w:rsidRPr="009A2E44">
        <w:rPr>
          <w:rFonts w:ascii="Garamond" w:hAnsi="Garamond"/>
        </w:rPr>
        <w:t xml:space="preserve">1450 </w:t>
      </w:r>
      <w:r w:rsidR="00A3784C" w:rsidRPr="009A2E44">
        <w:rPr>
          <w:rFonts w:ascii="Garamond" w:hAnsi="Garamond"/>
        </w:rPr>
        <w:t xml:space="preserve">CE </w:t>
      </w:r>
      <w:r w:rsidR="00AB6D5D" w:rsidRPr="009A2E44">
        <w:rPr>
          <w:rFonts w:ascii="Garamond" w:hAnsi="Garamond"/>
        </w:rPr>
        <w:t xml:space="preserve">and </w:t>
      </w:r>
      <w:r w:rsidR="00AD722C" w:rsidRPr="009A2E44">
        <w:rPr>
          <w:rFonts w:ascii="Garamond" w:hAnsi="Garamond"/>
        </w:rPr>
        <w:t xml:space="preserve">~0 </w:t>
      </w:r>
      <w:r w:rsidR="00A3784C" w:rsidRPr="009A2E44">
        <w:rPr>
          <w:rFonts w:ascii="Garamond" w:hAnsi="Garamond"/>
        </w:rPr>
        <w:t>CE</w:t>
      </w:r>
      <w:r w:rsidR="00227E8F" w:rsidRPr="009A2E44">
        <w:rPr>
          <w:rFonts w:ascii="Garamond" w:hAnsi="Garamond"/>
        </w:rPr>
        <w:t xml:space="preserve"> </w:t>
      </w:r>
      <w:r w:rsidR="00227E8F" w:rsidRPr="009A2E44">
        <w:rPr>
          <w:rFonts w:ascii="Garamond" w:hAnsi="Garamond"/>
        </w:rPr>
        <w:fldChar w:fldCharType="begin" w:fldLock="1"/>
      </w:r>
      <w:r w:rsidR="00932F7A" w:rsidRPr="009A2E44">
        <w:rPr>
          <w:rFonts w:ascii="Garamond" w:hAnsi="Garamond"/>
        </w:rPr>
        <w:instrText>ADDIN CSL_CITATION {"citationItems":[{"id":"ITEM-1","itemData":{"DOI":"10.5194/nhess-15-1763-2015","ISSN":"16849981","abstract":"We investigated the tsunami hazard in the remote French territory of Wallis and Futuna, Southwest Pacific, using the Gerris flow solver to produce numerical models of tsunami generation, propagation and inundation. Wallis consists of the inhabited volcanic island of Uvéa that is surrounded by a lagoon delimited by a barrier reef. Futuna and the island of Alofi form the Horn Archipelago located ca. 240 km east of Wallis. They are surrounded by a narrow fringing reef. Futuna and Alofi emerge from the North Fiji Transform Fault that marks the seismically active Pacific-Australia plate boundary. We generated 15 tsunami scenarios. For each, we calculated maximum wave elevation (MWE), inundation distance and expected time of arrival (ETA). The tsunami sources were local, regional and distant earthquake faults located along the Pacific Rim. In Wallis, the outer reef may experience 6.8 m-high MWE. Uvéa is protected by the barrier reef and the lagoon, but inundation depths of 2-3 m occur in several coastal areas. In Futuna, flow depths exceeding 2 m are modelled in several populated areas, and have been confirmed by a post-September 2009 South Pacific tsunami survey. The channel between the islands of Futuna and Alofi amplified the 2009 tsunami, which resulted in inundation distance of almost 100 m and MWE of 4.4 m. This first ever tsunami hazard modelling study of Wallis and Futuna compares well with palaeotsunamis recognised on both islands and observation of the impact of the 2009 South Pacific tsunami. The study provides evidence for the mitigating effect of barrier and fringing reefs from tsunamis.","author":[{"dropping-particle":"","family":"Lamarche","given":"G.","non-dropping-particle":"","parse-names":false,"suffix":""},{"dropping-particle":"","family":"Popinet","given":"S.","non-dropping-particle":"","parse-names":false,"suffix":""},{"dropping-particle":"","family":"Pelletier","given":"B.","non-dropping-particle":"","parse-names":false,"suffix":""},{"dropping-particle":"","family":"Mountjoy","given":"J.","non-dropping-particle":"","parse-names":false,"suffix":""},{"dropping-particle":"","family":"Goff","given":"J.","non-dropping-particle":"","parse-names":false,"suffix":""},{"dropping-particle":"","family":"Delaux","given":"S.","non-dropping-particle":"","parse-names":false,"suffix":""},{"dropping-particle":"","family":"Bind","given":"J.","non-dropping-particle":"","parse-names":false,"suffix":""}],"container-title":"Natural Hazards and Earth System Sciences","id":"ITEM-1","issue":"8","issued":{"date-parts":[["2015"]]},"page":"1763-1784","title":"Scenario-based numerical modelling and the palaeo-historic record of tsunamis in Wallis and Futuna, Southwest Pacific","type":"article-journal","volume":"15"},"uris":["http://www.mendeley.com/documents/?uuid=a1a93943-c227-48d4-b09b-7f6462722b09"]}],"mendeley":{"formattedCitation":"(Lamarche et al., 2015)","plainTextFormattedCitation":"(Lamarche et al., 2015)","previouslyFormattedCitation":"(Lamarche et al., 2015)"},"properties":{"noteIndex":0},"schema":"https://github.com/citation-style-language/schema/raw/master/csl-citation.json"}</w:instrText>
      </w:r>
      <w:r w:rsidR="00227E8F" w:rsidRPr="009A2E44">
        <w:rPr>
          <w:rFonts w:ascii="Garamond" w:hAnsi="Garamond"/>
        </w:rPr>
        <w:fldChar w:fldCharType="separate"/>
      </w:r>
      <w:r w:rsidR="00936A85" w:rsidRPr="009A2E44">
        <w:rPr>
          <w:rFonts w:ascii="Garamond" w:hAnsi="Garamond"/>
          <w:noProof/>
        </w:rPr>
        <w:t>(Lamarche et al., 2015)</w:t>
      </w:r>
      <w:r w:rsidR="00227E8F" w:rsidRPr="009A2E44">
        <w:rPr>
          <w:rFonts w:ascii="Garamond" w:hAnsi="Garamond"/>
        </w:rPr>
        <w:fldChar w:fldCharType="end"/>
      </w:r>
      <w:r w:rsidR="00AB6D5D" w:rsidRPr="009A2E44">
        <w:rPr>
          <w:rFonts w:ascii="Garamond" w:hAnsi="Garamond"/>
        </w:rPr>
        <w:t>.</w:t>
      </w:r>
    </w:p>
    <w:p w14:paraId="2812DD33" w14:textId="0066F28E" w:rsidR="00D8116F" w:rsidRPr="009A2E44" w:rsidRDefault="008953A9" w:rsidP="001C47D3">
      <w:pPr>
        <w:spacing w:line="480" w:lineRule="auto"/>
        <w:ind w:firstLine="720"/>
        <w:rPr>
          <w:rFonts w:ascii="Garamond" w:hAnsi="Garamond"/>
        </w:rPr>
      </w:pPr>
      <w:r w:rsidRPr="009A2E44">
        <w:rPr>
          <w:rFonts w:ascii="Garamond" w:hAnsi="Garamond"/>
        </w:rPr>
        <w:t xml:space="preserve">Polynesian arrival to </w:t>
      </w:r>
      <w:r w:rsidR="009A7B4F" w:rsidRPr="009A2E44">
        <w:rPr>
          <w:rFonts w:ascii="Garamond" w:hAnsi="Garamond"/>
        </w:rPr>
        <w:t>‘Uvea</w:t>
      </w:r>
      <w:r w:rsidRPr="009A2E44">
        <w:rPr>
          <w:rFonts w:ascii="Garamond" w:hAnsi="Garamond"/>
        </w:rPr>
        <w:t xml:space="preserve"> is thought to have started as early as </w:t>
      </w:r>
      <w:r w:rsidR="0035247C" w:rsidRPr="009A2E44">
        <w:rPr>
          <w:rFonts w:ascii="Garamond" w:hAnsi="Garamond"/>
        </w:rPr>
        <w:t>900</w:t>
      </w:r>
      <w:r w:rsidR="00861493" w:rsidRPr="009A2E44">
        <w:rPr>
          <w:rFonts w:ascii="Garamond" w:hAnsi="Garamond"/>
        </w:rPr>
        <w:t xml:space="preserve"> </w:t>
      </w:r>
      <w:r w:rsidR="00861493" w:rsidRPr="009A2E44">
        <w:rPr>
          <w:rFonts w:ascii="Garamond" w:hAnsi="Garamond"/>
          <w:color w:val="202020"/>
          <w:shd w:val="clear" w:color="auto" w:fill="FFFFFF"/>
        </w:rPr>
        <w:t xml:space="preserve">– </w:t>
      </w:r>
      <w:r w:rsidR="0035247C" w:rsidRPr="009A2E44">
        <w:rPr>
          <w:rFonts w:ascii="Garamond" w:hAnsi="Garamond"/>
        </w:rPr>
        <w:t>800 BCE</w:t>
      </w:r>
      <w:r w:rsidRPr="009A2E44">
        <w:rPr>
          <w:rFonts w:ascii="Garamond" w:hAnsi="Garamond"/>
        </w:rPr>
        <w:t xml:space="preserve"> followed by Tongan </w:t>
      </w:r>
      <w:r w:rsidR="00654613" w:rsidRPr="009A2E44">
        <w:rPr>
          <w:rFonts w:ascii="Garamond" w:hAnsi="Garamond"/>
        </w:rPr>
        <w:t>colonization</w:t>
      </w:r>
      <w:r w:rsidRPr="009A2E44">
        <w:rPr>
          <w:rFonts w:ascii="Garamond" w:hAnsi="Garamond"/>
        </w:rPr>
        <w:t xml:space="preserve"> around 1000</w:t>
      </w:r>
      <w:r w:rsidR="007F2D5D" w:rsidRPr="009A2E44">
        <w:rPr>
          <w:rFonts w:ascii="Garamond" w:hAnsi="Garamond"/>
        </w:rPr>
        <w:t xml:space="preserve"> </w:t>
      </w:r>
      <w:r w:rsidR="00654613" w:rsidRPr="009A2E44">
        <w:rPr>
          <w:rFonts w:ascii="Garamond" w:hAnsi="Garamond"/>
          <w:color w:val="202020"/>
          <w:shd w:val="clear" w:color="auto" w:fill="FFFFFF"/>
        </w:rPr>
        <w:t>–</w:t>
      </w:r>
      <w:r w:rsidR="007F2D5D" w:rsidRPr="009A2E44">
        <w:rPr>
          <w:rFonts w:ascii="Garamond" w:hAnsi="Garamond"/>
          <w:color w:val="202020"/>
          <w:shd w:val="clear" w:color="auto" w:fill="FFFFFF"/>
        </w:rPr>
        <w:t xml:space="preserve"> </w:t>
      </w:r>
      <w:r w:rsidRPr="009A2E44">
        <w:rPr>
          <w:rFonts w:ascii="Garamond" w:hAnsi="Garamond"/>
        </w:rPr>
        <w:t xml:space="preserve">1100 </w:t>
      </w:r>
      <w:r w:rsidR="0005716C" w:rsidRPr="009A2E44">
        <w:rPr>
          <w:rFonts w:ascii="Garamond" w:hAnsi="Garamond"/>
        </w:rPr>
        <w:t>and</w:t>
      </w:r>
      <w:r w:rsidRPr="009A2E44">
        <w:rPr>
          <w:rFonts w:ascii="Garamond" w:hAnsi="Garamond"/>
        </w:rPr>
        <w:t xml:space="preserve"> 1400 CE </w:t>
      </w:r>
      <w:r w:rsidRPr="009A2E44">
        <w:rPr>
          <w:rFonts w:ascii="Garamond" w:hAnsi="Garamond"/>
        </w:rPr>
        <w:fldChar w:fldCharType="begin" w:fldLock="1"/>
      </w:r>
      <w:r w:rsidR="001D5339" w:rsidRPr="009A2E44">
        <w:rPr>
          <w:rFonts w:ascii="Garamond" w:hAnsi="Garamond"/>
        </w:rPr>
        <w:instrText>ADDIN CSL_CITATION {"citationItems":[{"id":"ITEM-1","itemData":{"DOI":"10.5194/nhess-15-1763-2015","ISSN":"16849981","abstract":"We investigated the tsunami hazard in the remote French territory of Wallis and Futuna, Southwest Pacific, using the Gerris flow solver to produce numerical models of tsunami generation, propagation and inundation. Wallis consists of the inhabited volcanic island of Uvéa that is surrounded by a lagoon delimited by a barrier reef. Futuna and the island of Alofi form the Horn Archipelago located ca. 240 km east of Wallis. They are surrounded by a narrow fringing reef. Futuna and Alofi emerge from the North Fiji Transform Fault that marks the seismically active Pacific-Australia plate boundary. We generated 15 tsunami scenarios. For each, we calculated maximum wave elevation (MWE), inundation distance and expected time of arrival (ETA). The tsunami sources were local, regional and distant earthquake faults located along the Pacific Rim. In Wallis, the outer reef may experience 6.8 m-high MWE. Uvéa is protected by the barrier reef and the lagoon, but inundation depths of 2-3 m occur in several coastal areas. In Futuna, flow depths exceeding 2 m are modelled in several populated areas, and have been confirmed by a post-September 2009 South Pacific tsunami survey. The channel between the islands of Futuna and Alofi amplified the 2009 tsunami, which resulted in inundation distance of almost 100 m and MWE of 4.4 m. This first ever tsunami hazard modelling study of Wallis and Futuna compares well with palaeotsunamis recognised on both islands and observation of the impact of the 2009 South Pacific tsunami. The study provides evidence for the mitigating effect of barrier and fringing reefs from tsunamis.","author":[{"dropping-particle":"","family":"Lamarche","given":"G.","non-dropping-particle":"","parse-names":false,"suffix":""},{"dropping-particle":"","family":"Popinet","given":"S.","non-dropping-particle":"","parse-names":false,"suffix":""},{"dropping-particle":"","family":"Pelletier","given":"B.","non-dropping-particle":"","parse-names":false,"suffix":""},{"dropping-particle":"","family":"Mountjoy","given":"J.","non-dropping-particle":"","parse-names":false,"suffix":""},{"dropping-particle":"","family":"Goff","given":"J.","non-dropping-particle":"","parse-names":false,"suffix":""},{"dropping-particle":"","family":"Delaux","given":"S.","non-dropping-particle":"","parse-names":false,"suffix":""},{"dropping-particle":"","family":"Bind","given":"J.","non-dropping-particle":"","parse-names":false,"suffix":""}],"container-title":"Natural Hazards and Earth System Sciences","id":"ITEM-1","issue":"8","issued":{"date-parts":[["2015"]]},"page":"1763-1784","title":"Scenario-based numerical modelling and the palaeo-historic record of tsunamis in Wallis and Futuna, Southwest Pacific","type":"article-journal","volume":"15"},"uris":["http://www.mendeley.com/documents/?uuid=a1a93943-c227-48d4-b09b-7f6462722b09"]},{"id":"ITEM-2","itemData":{"DOI":"10.3406/jso.2000.2132","ISSN":"0300-953X","abstract":"nullLa date du premier peuplement de Wallis ('Uvea) et de Futuna en Polynésie occidentale reste débattue. Cet article propose une analyse des différentes datations Cl 4 publiées à ce jour sur le sujet, replacées dans leur contexte archéologique. L'étude critique des résultats permet de situer la plus ancienne arrivée de populations austronésiennes dans les deux îles dans une fourchette entre 900 et 800 ans avant J.-C. Cette proposition, discutée dans son cadre régional, s'inscrit de façon satisfaisante dans les différentes chronologies datant la progression du front de peuplement Lapita en Océanie lointaine entre 1200 et 800 avant J.-C.\\n\\nThe date of first settlement for the small archipelagos of Wallis ('Uvea) and Futuna in Western Polynesia is still a matter of debate. This paper analyses the different C14 dates published so far on the topic, in their archaeological context. The critical study of the results indicates that the oldest arrival of Austronesian groups happened in the two islands between 900 and 800 years B. C. This proposal, discussed in a regional perspective, falls nicely in the set of local chronologies dating the spread of Lapita in Remote Oceania between 1200 and 800 B.C.","author":[{"dropping-particle":"","family":"Sand","given":"Christophe","non-dropping-particle":"","parse-names":false,"suffix":""}],"container-title":"Journal de la Société des océanistes","id":"ITEM-2","issue":"2","issued":{"date-parts":[["2000"]]},"page":"165-172","title":"La datation du premier peuplement de Wallis et Futuna : contribution à la définition de la chronologie Lapita en Polynésie occidentale","type":"article-journal","volume":"111"},"uris":["http://www.mendeley.com/documents/?uuid=7b98dcc8-6c2c-45f6-843a-baed1f353bef"]}],"mendeley":{"formattedCitation":"(Lamarche et al., 2015; Sand, 2000)","manualFormatting":"(Lamarche et al., 2015; Sand, 2000, and references therein)","plainTextFormattedCitation":"(Lamarche et al., 2015; Sand, 2000)","previouslyFormattedCitation":"(Lamarche et al., 2015; Sand, 2000)"},"properties":{"noteIndex":0},"schema":"https://github.com/citation-style-language/schema/raw/master/csl-citation.json"}</w:instrText>
      </w:r>
      <w:r w:rsidRPr="009A2E44">
        <w:rPr>
          <w:rFonts w:ascii="Garamond" w:hAnsi="Garamond"/>
        </w:rPr>
        <w:fldChar w:fldCharType="separate"/>
      </w:r>
      <w:r w:rsidR="001D5339" w:rsidRPr="009A2E44">
        <w:rPr>
          <w:rFonts w:ascii="Garamond" w:hAnsi="Garamond"/>
          <w:noProof/>
        </w:rPr>
        <w:t>(Lamarche et al., 2015; Sand, 2000, and references therein)</w:t>
      </w:r>
      <w:r w:rsidRPr="009A2E44">
        <w:rPr>
          <w:rFonts w:ascii="Garamond" w:hAnsi="Garamond"/>
        </w:rPr>
        <w:fldChar w:fldCharType="end"/>
      </w:r>
      <w:r w:rsidRPr="009A2E44">
        <w:rPr>
          <w:rFonts w:ascii="Garamond" w:hAnsi="Garamond"/>
        </w:rPr>
        <w:t xml:space="preserve">. </w:t>
      </w:r>
      <w:r w:rsidR="005C7FBF" w:rsidRPr="009A2E44">
        <w:rPr>
          <w:rFonts w:ascii="Garamond" w:hAnsi="Garamond"/>
        </w:rPr>
        <w:t>Native and introduced</w:t>
      </w:r>
      <w:r w:rsidR="00F867E6" w:rsidRPr="009A2E44">
        <w:rPr>
          <w:rFonts w:ascii="Garamond" w:hAnsi="Garamond"/>
        </w:rPr>
        <w:t xml:space="preserve"> agricultural f</w:t>
      </w:r>
      <w:r w:rsidR="001A78AD" w:rsidRPr="009A2E44">
        <w:rPr>
          <w:rFonts w:ascii="Garamond" w:hAnsi="Garamond"/>
        </w:rPr>
        <w:t xml:space="preserve">lora </w:t>
      </w:r>
      <w:r w:rsidR="001A78AD" w:rsidRPr="009A2E44">
        <w:rPr>
          <w:rFonts w:ascii="Garamond" w:hAnsi="Garamond"/>
        </w:rPr>
        <w:fldChar w:fldCharType="begin" w:fldLock="1"/>
      </w:r>
      <w:r w:rsidR="00653F3D" w:rsidRPr="009A2E44">
        <w:rPr>
          <w:rFonts w:ascii="Garamond" w:hAnsi="Garamond"/>
        </w:rPr>
        <w:instrText>ADDIN CSL_CITATION {"citationItems":[{"id":"ITEM-1","itemData":{"author":[{"dropping-particle":"","family":"Badré","given":"F","non-dropping-particle":"","parse-names":false,"suffix":""},{"dropping-particle":"","family":"Hoff","given":"M","non-dropping-particle":"","parse-names":false,"suffix":""}],"container-title":"Feddes Repertorium","id":"ITEM-1","issued":{"date-parts":[["1995"]]},"page":"271-290","title":"Les Ptéridophytes des Iles Wallis et Futuna (Pacifique Sud) : écologie et répartition","type":"article-journal","volume":"106"},"uris":["http://www.mendeley.com/documents/?uuid=b82c6947-a79d-4f10-a190-b1fd41f3a5f8"]},{"id":"ITEM-2","itemData":{"ISBN":"0030-8870","ISSN":"0030-8870","abstract":"Recent botanical collections by H. S. McKee and Douglas E. Yen, together with the few available records from published papers, have been collated into a checklist of the known vascular plants of the Horne and Wallis Islands. Of 248 species here listed, 170 appear to be indigenous. Many of these are widespread, but 45 of them are limited to the Fijian Region (New Hebrides to Samoa) . Of the four known endemic species, Elatostema yenii St. John and Peperomia futunaensis St. John are herewith proposed as new, and a new combination in the fern genus Thelypteris, by G. Brownlie, is included.","author":[{"dropping-particle":"","family":"John","given":"Harold","non-dropping-particle":"St.","parse-names":false,"suffix":""},{"dropping-particle":"","family":"Smith","given":"Albert C","non-dropping-particle":"","parse-names":false,"suffix":""}],"container-title":"Pacific Science","id":"ITEM-2","issued":{"date-parts":[["1971"]]},"page":"313-348","title":"The vascular plants of the Horne and Wallis Islands","type":"article-journal","volume":"25"},"uris":["http://www.mendeley.com/documents/?uuid=bf23efcc-60ae-49d3-95c4-fc2856b65642"]},{"id":"ITEM-3","itemData":{"DOI":"10.1007/BF02866870","ISBN":"0013-0001","ISSN":"00130001","PMID":"19780779813","abstract":"The indigenous agricultural system on Uvea, French Polynesia is described and certain implications for prehistory and the study of agricultural adaptations are summarized. Colocasia esculenta is found growing naturally on the coastal margins and on artificially produced raised planting beds. Yam is the main crop. Certain clones of Dioscorea alta are recognized as being best suited for planting at particular times of the dry season. D. esculenta is commonly planted in shifting cultivation and D. rummulana is mainly a feral plant and not commonly cultivated. After trees and undergrowth have been removed by chopping and burning, D. alta is planted at 2 plants/mound and interplanted with C. esculenta and harvested 7-8 months later when the vines have withered. A rotation of C. esculenta from wet to dry to wet conditions is considered ideal and results in max. plant vigour.","author":[{"dropping-particle":"","family":"Kirch","given":"Patrick Vinton","non-dropping-particle":"","parse-names":false,"suffix":""}],"container-title":"Economic Botany","id":"ITEM-3","issue":"2","issued":{"date-parts":[["1978"]]},"page":"157-181","title":"Indigenous agriculture on Uvea (Western Polynesia)","type":"article-journal","volume":"32"},"uris":["http://www.mendeley.com/documents/?uuid=a5db9f45-795c-48df-9a5c-dd09ed9075a8"]},{"id":"ITEM-4","itemData":{"DOI":"10.1080/00223344.2018.1542294","ISSN":"00223344","abstract":"Early colonial officials and other newcomers frequently lamented the poor copra production in Wallis and Futuna, positioning the continued consumption of coconuts by Islanders as a waste. This article explores the contested uses of coconuts and the divergent visions of the islands’ landscape and future held by Islanders, officials, missionaries and traders during opening decades of French colony rule. In particular, a variety of incidents in the 1920s – from an indigenous co-operative to French expulsions – highlight the centrality of the emergent copra trade to the social and political status of these different groups. More broadly, however, the article demonstrates the failure of elites – both indigenous and newcomer – to substantially increase copra exports prior to the Depression in 1930, indicative of the limits of their ability to demand labour and transform the lifeways of the wider population.","author":[{"dropping-particle":"","family":"Stevens","given":"Kate","non-dropping-particle":"","parse-names":false,"suffix":""}],"container-title":"Journal of Pacific History","id":"ITEM-4","issue":"4","issued":{"date-parts":[["2018"]]},"page":"478-501","publisher":"Taylor &amp; Francis","title":"Wasting coconuts? Consumption versus commerce in colonial Wallis and Futuna","type":"article-journal","volume":"53"},"uris":["http://www.mendeley.com/documents/?uuid=4eacacbe-0b69-4538-b753-a3c257ccb464"]},{"id":"ITEM-5","itemData":{"author":[{"dropping-particle":"","family":"Meyer","given":"Jean-Yves","non-dropping-particle":"","parse-names":false,"suffix":""}],"id":"ITEM-5","issued":{"date-parts":[["2017"]]},"number-of-pages":"486","publisher":"Éditions Au Vent des Îles","publisher-place":"Papeete","title":"Guide des plantes de Wallis et Futuna","type":"book"},"uris":["http://www.mendeley.com/documents/?uuid=a1324906-2ffc-431d-811f-5b21ff82b1dd"]}],"mendeley":{"formattedCitation":"(Badré and Hoff, 1995; Kirch, 1978; Meyer, 2017; St. John and Smith, 1971; Stevens, 2018)","plainTextFormattedCitation":"(Badré and Hoff, 1995; Kirch, 1978; Meyer, 2017; St. John and Smith, 1971; Stevens, 2018)","previouslyFormattedCitation":"(Badré and Hoff, 1995; Kirch, 1978; Meyer, 2017; St. John and Smith, 1971; Stevens, 2018)"},"properties":{"noteIndex":0},"schema":"https://github.com/citation-style-language/schema/raw/master/csl-citation.json"}</w:instrText>
      </w:r>
      <w:r w:rsidR="001A78AD" w:rsidRPr="009A2E44">
        <w:rPr>
          <w:rFonts w:ascii="Garamond" w:hAnsi="Garamond"/>
        </w:rPr>
        <w:fldChar w:fldCharType="separate"/>
      </w:r>
      <w:r w:rsidR="005C7FBF" w:rsidRPr="009A2E44">
        <w:rPr>
          <w:rFonts w:ascii="Garamond" w:hAnsi="Garamond"/>
          <w:noProof/>
        </w:rPr>
        <w:t>(Badré and Hoff, 1995; Kirch, 1978; Meyer, 2017; St. John and Smith, 1971; Stevens, 2018)</w:t>
      </w:r>
      <w:r w:rsidR="001A78AD" w:rsidRPr="009A2E44">
        <w:rPr>
          <w:rFonts w:ascii="Garamond" w:hAnsi="Garamond"/>
        </w:rPr>
        <w:fldChar w:fldCharType="end"/>
      </w:r>
      <w:r w:rsidR="001A78AD" w:rsidRPr="009A2E44">
        <w:rPr>
          <w:rFonts w:ascii="Garamond" w:hAnsi="Garamond"/>
        </w:rPr>
        <w:t xml:space="preserve"> and fauna </w:t>
      </w:r>
      <w:r w:rsidR="001A78AD" w:rsidRPr="009A2E44">
        <w:rPr>
          <w:rFonts w:ascii="Garamond" w:hAnsi="Garamond"/>
        </w:rPr>
        <w:fldChar w:fldCharType="begin" w:fldLock="1"/>
      </w:r>
      <w:r w:rsidR="00E757E6">
        <w:rPr>
          <w:rFonts w:ascii="Garamond" w:hAnsi="Garamond"/>
        </w:rPr>
        <w:instrText>ADDIN CSL_CITATION {"citationItems":[{"id":"ITEM-1","itemData":{"ISSN":"02408759","author":[{"dropping-particle":"","family":"Bareille","given":"G.","non-dropping-particle":"","parse-names":false,"suffix":""},{"dropping-particle":"","family":"Sasal","given":"P.","non-dropping-particle":"","parse-names":false,"suffix":""},{"dropping-particle":"","family":"Mary","given":"Nathalie","non-dropping-particle":"","parse-names":false,"suffix":""},{"dropping-particle":"","family":"Meunier","given":"F. J.","non-dropping-particle":"","parse-names":false,"suffix":""},{"dropping-particle":"","family":"Deschamps","given":"M. H.","non-dropping-particle":"","parse-names":false,"suffix":""},{"dropping-particle":"","family":"Berail","given":"S.","non-dropping-particle":"","parse-names":false,"suffix":""},{"dropping-particle":"","family":"Pecheyran","given":"C.","non-dropping-particle":"","parse-names":false,"suffix":""},{"dropping-particle":"","family":"Lecomte-Finiger","given":"R.","non-dropping-particle":"","parse-names":false,"suffix":""}],"container-title":"Vie et Milieu","id":"ITEM-1","issue":"1","issued":{"date-parts":[["2015"]]},"page":"29-39","title":"Are elemental and strontium isotopic microchemistry of otolith and histomorphometrical characteristics of vertebral bone useful to resolve the eel &lt;i&gt;Anguilla obscura&lt;/i&gt; status in Lalolalo lake in Wallis Island?","type":"article-journal","volume":"65"},"uris":["http://www.mendeley.com/documents/?uuid=e869fa41-e9dc-41e5-b320-5ac327a92cd1"]},{"id":"ITEM-2","itemData":{"abstract":"The freshwater Ostracoda collected during a survey carried out in October 2004 on the French islands of Futuna and Wallis, Polynesia, Pacific Ocean, are presented. In total, 10 species were found, of which 5 could be identified to the species level. Notes on the taxonomy of the species are provided. Parastenocypris perarmata (Brady, 1904) McKenzie, 1971 is transferred into the genus Chrissia Hartmann, 1957: Chrissia perarmata (Brady, 1904) comb. nov. Scanning electron micrographs of Strandesia vinciguerrae (Masi, 1905) and Cypretta seurati Gauthier, 1929 are presented. A check-list of the non-marine Ostracoda of the Pacific Islands (Oceania minus Australia and New Zealand) is given.","author":[{"dropping-particle":"","family":"Meisch","given":"Claude","non-dropping-particle":"","parse-names":false,"suffix":""},{"dropping-particle":"","family":"Mary-Sasal","given":"Nathalie J","non-dropping-particle":"","parse-names":false,"suffix":""},{"dropping-particle":"","family":"Colin","given":"Jean-paul","non-dropping-particle":"","parse-names":false,"suffix":""},{"dropping-particle":"","family":"Wouters","given":"Karel","non-dropping-particle":"","parse-names":false,"suffix":""}],"container-title":"Bulletin Soc. Nat. luxemb.","id":"ITEM-2","issue":"1997","issued":{"date-parts":[["2007"]]},"page":"89-103","title":"Freshwater Ostracoda (Crustacea) collected from the islands of Futuna and Wallis, Pacific Ocean, with a check-list of the non-marine Ostracoda of the Pacific Islands","type":"article-journal","volume":"108"},"uris":["http://www.mendeley.com/documents/?uuid=96e5fcff-f42f-4029-ac89-8e1dded6e9f2"]},{"id":"ITEM-3","itemData":{"author":[{"dropping-particle":"","family":"Thibault","given":"Jean-Claude","non-dropping-particle":"","parse-names":false,"suffix":""},{"dropping-particle":"","family":"Cibois","given":"Alice","non-dropping-particle":"","parse-names":false,"suffix":""},{"dropping-particle":"","family":"Meyer","given":"Jean-Yves","non-dropping-particle":"","parse-names":false,"suffix":""}],"container-title":"Notornis","id":"ITEM-3","issue":"May 1925","issued":{"date-parts":[["2015"]]},"page":"30-37","title":"Birds of Uvea (Wallis), Futuna and Alofi islands (South-West Pacific): an update","type":"article-journal","volume":"62"},"uris":["http://www.mendeley.com/documents/?uuid=ad42b7d2-4d0f-4838-8547-b72f0fbe41d0"]},{"id":"ITEM-4","itemData":{"DOI":"10.1016/j.scitotenv.2015.06.110","ISSN":"18791026","PMID":"26172601","abstract":"In small Polynesian islands, family pig breeding is usually conducted without recovery of pig slurry. Raw pig slurry is spread onto the soil without any treatment. So far, most of the studies were carried out in temperate climate and for industrial digested pig slurry applications on agricultural lands. In the present case study, conducted in Uvéa Island, the aim is to determine if long term application of raw pig slurry on tropical soils, naturally rich in heavy metals has a significant influence on elements concentrations and mobility. Two types of tropical soils and two pig breeding systems, pig enclosure on small concrete pens or pig enclosure in large land pens, were investigated. Here we demonstrate that raw pig slurry inputs on soils can lead to an increase of total nitrogen and phosphorus content with high Contamination Factors. The Pollution Load Index values (1.3; 5.3; 2.5; 2.3) were indicative of multi-heavy metals pollution (Fe, Mn, Al, Cu, Zn, Cr and Ni) in mixed calcareous soils of the coastal area and they are exchangeable while they are immobilized or less mobile in inland pure ferralitic soils. For mixed calcareous soils of the coastal area, family pig breeding represents a drainage risk of soluble species (phosphorus, inorganic nitrogen, Fe, Mn, Al, Cu, Zn, Cr and Ni). For inland ferralitic soils, family pig breeding is more compatible with a sustainable management of the environment in Uvéa Island and by extension in volcanic tropical islands with respect to the investigated chemical elements.","author":[{"dropping-particle":"","family":"Gunkel-Grillon","given":"P.","non-dropping-particle":"","parse-names":false,"suffix":""},{"dropping-particle":"","family":"Roth","given":"E.","non-dropping-particle":"","parse-names":false,"suffix":""},{"dropping-particle":"","family":"Laporte-Magoni","given":"C.","non-dropping-particle":"","parse-names":false,"suffix":""},{"dropping-particle":"","family":"Mestre","given":"M.","non-dropping-particle":"Le","parse-names":false,"suffix":""}],"container-title":"Science of the Total Environment","id":"ITEM-4","issued":{"date-parts":[["2015"]]},"page":"339-346","publisher":"Elsevier B.V.","title":"Effects of long term raw pig slurry inputs on nutrient and metal contamination of tropical volcanogenic soils, Uvéa Island (South Pacific)","type":"article-journal","volume":"533"},"uris":["http://www.mendeley.com/documents/?uuid=e4de68c3-a95a-41ee-904c-442c2e090146"]},{"id":"ITEM-5","itemData":{"abstract":"A collection of adult specimens made duringa hydrobiological mission (5-23 Oct. 2004) to the French Pacific Island Territories of Wallis and Futuna is studied. Itcon- stitutes the first odon. inventory from this archipelago, and is composed of 10 spp. (B Anisoptera,2 Zygoptera), all of which were known from the Pacific before. Pacific island material ofIschnura a. aurora (Brauer, 1865) is comparedwith specimens from the western part of the range of this species. These represent a good ssp., I. a. rubilio proposed.","author":[{"dropping-particle":"","family":"Papazian","given":"M","non-dropping-particle":"","parse-names":false,"suffix":""},{"dropping-particle":"","family":"Dumont","given":"Henri J","non-dropping-particle":"","parse-names":false,"suffix":""},{"dropping-particle":"","family":"Mary-Sasal","given":"Nathalie J","non-dropping-particle":"","parse-names":false,"suffix":""}],"container-title":"Odonatologica","id":"ITEM-5","issue":"1","issued":{"date-parts":[["2007"]]},"page":"53-62","title":"The Odonata of the Pacific Ocean islands of Wallis and Futuna, with special reference to speciation in &lt;i&gt;Ischnura aurora&lt;i/&gt; (Brauer)","type":"article-journal","volume":"36"},"uris":["http://www.mendeley.com/documents/?uuid=845b54e4-0aac-4e60-b574-721b83cb2066"]}],"mendeley":{"formattedCitation":"(Bareille et al., 2015; Gunkel-Grillon et al., 2015; Meisch et al., 2007; Papazian et al., 2007; Thibault et al., 2015)","plainTextFormattedCitation":"(Bareille et al., 2015; Gunkel-Grillon et al., 2015; Meisch et al., 2007; Papazian et al., 2007; Thibault et al., 2015)","previouslyFormattedCitation":"(Bareille et al., 2015; Gunkel-Grillon et al., 2015; Meisch et al., 2007; Papazian et al., 2007; Thibault et al., 2015)"},"properties":{"noteIndex":0},"schema":"https://github.com/citation-style-language/schema/raw/master/csl-citation.json"}</w:instrText>
      </w:r>
      <w:r w:rsidR="001A78AD" w:rsidRPr="009A2E44">
        <w:rPr>
          <w:rFonts w:ascii="Garamond" w:hAnsi="Garamond"/>
        </w:rPr>
        <w:fldChar w:fldCharType="separate"/>
      </w:r>
      <w:r w:rsidR="00870BA6" w:rsidRPr="009A2E44">
        <w:rPr>
          <w:rFonts w:ascii="Garamond" w:hAnsi="Garamond"/>
          <w:noProof/>
        </w:rPr>
        <w:t>(Bareille et al., 2015; Gunkel-Grillon et al., 2015; Meisch et al., 2007; Papazian et al., 2007; Thibault et al., 2015)</w:t>
      </w:r>
      <w:r w:rsidR="001A78AD" w:rsidRPr="009A2E44">
        <w:rPr>
          <w:rFonts w:ascii="Garamond" w:hAnsi="Garamond"/>
        </w:rPr>
        <w:fldChar w:fldCharType="end"/>
      </w:r>
      <w:r w:rsidR="001A78AD" w:rsidRPr="009A2E44">
        <w:rPr>
          <w:rFonts w:ascii="Garamond" w:hAnsi="Garamond"/>
        </w:rPr>
        <w:t xml:space="preserve"> </w:t>
      </w:r>
      <w:r w:rsidR="006D20E1" w:rsidRPr="009A2E44">
        <w:rPr>
          <w:rFonts w:ascii="Garamond" w:hAnsi="Garamond"/>
        </w:rPr>
        <w:t xml:space="preserve">are </w:t>
      </w:r>
      <w:r w:rsidR="00F867E6" w:rsidRPr="009A2E44">
        <w:rPr>
          <w:rFonts w:ascii="Garamond" w:hAnsi="Garamond"/>
        </w:rPr>
        <w:t>found on</w:t>
      </w:r>
      <w:r w:rsidR="001A78AD" w:rsidRPr="009A2E44">
        <w:rPr>
          <w:rFonts w:ascii="Garamond" w:hAnsi="Garamond"/>
        </w:rPr>
        <w:t xml:space="preserve"> Wallis </w:t>
      </w:r>
      <w:r w:rsidR="007B6A66" w:rsidRPr="009A2E44">
        <w:rPr>
          <w:rFonts w:ascii="Garamond" w:hAnsi="Garamond"/>
        </w:rPr>
        <w:t xml:space="preserve">et </w:t>
      </w:r>
      <w:r w:rsidR="001A78AD" w:rsidRPr="009A2E44">
        <w:rPr>
          <w:rFonts w:ascii="Garamond" w:hAnsi="Garamond"/>
        </w:rPr>
        <w:t xml:space="preserve">Futuna. </w:t>
      </w:r>
      <w:r w:rsidR="004E5CBF" w:rsidRPr="009A2E44">
        <w:rPr>
          <w:rFonts w:ascii="Garamond" w:hAnsi="Garamond"/>
        </w:rPr>
        <w:t>While impacts of</w:t>
      </w:r>
      <w:r w:rsidR="00423909" w:rsidRPr="009A2E44">
        <w:rPr>
          <w:rFonts w:ascii="Garamond" w:hAnsi="Garamond"/>
        </w:rPr>
        <w:t xml:space="preserve"> </w:t>
      </w:r>
      <w:r w:rsidR="005676BE" w:rsidRPr="009A2E44">
        <w:rPr>
          <w:rFonts w:ascii="Garamond" w:hAnsi="Garamond"/>
        </w:rPr>
        <w:t xml:space="preserve">pig farming </w:t>
      </w:r>
      <w:r w:rsidR="004E5CBF" w:rsidRPr="009A2E44">
        <w:rPr>
          <w:rFonts w:ascii="Garamond" w:hAnsi="Garamond"/>
        </w:rPr>
        <w:t xml:space="preserve">have been noted on the soil chemistry on </w:t>
      </w:r>
      <w:r w:rsidR="009F7A60" w:rsidRPr="009A2E44">
        <w:rPr>
          <w:rFonts w:ascii="Garamond" w:hAnsi="Garamond"/>
        </w:rPr>
        <w:t>‘</w:t>
      </w:r>
      <w:r w:rsidR="004E5CBF" w:rsidRPr="009A2E44">
        <w:rPr>
          <w:rFonts w:ascii="Garamond" w:hAnsi="Garamond"/>
        </w:rPr>
        <w:t xml:space="preserve">Uvea </w:t>
      </w:r>
      <w:r w:rsidR="004E5CBF" w:rsidRPr="009A2E44">
        <w:rPr>
          <w:rFonts w:ascii="Garamond" w:hAnsi="Garamond"/>
        </w:rPr>
        <w:fldChar w:fldCharType="begin" w:fldLock="1"/>
      </w:r>
      <w:r w:rsidR="00932F7A" w:rsidRPr="009A2E44">
        <w:rPr>
          <w:rFonts w:ascii="Garamond" w:hAnsi="Garamond"/>
        </w:rPr>
        <w:instrText>ADDIN CSL_CITATION {"citationItems":[{"id":"ITEM-1","itemData":{"DOI":"10.1016/j.scitotenv.2015.06.110","ISSN":"18791026","PMID":"26172601","abstract":"In small Polynesian islands, family pig breeding is usually conducted without recovery of pig slurry. Raw pig slurry is spread onto the soil without any treatment. So far, most of the studies were carried out in temperate climate and for industrial digested pig slurry applications on agricultural lands. In the present case study, conducted in Uvéa Island, the aim is to determine if long term application of raw pig slurry on tropical soils, naturally rich in heavy metals has a significant influence on elements concentrations and mobility. Two types of tropical soils and two pig breeding systems, pig enclosure on small concrete pens or pig enclosure in large land pens, were investigated. Here we demonstrate that raw pig slurry inputs on soils can lead to an increase of total nitrogen and phosphorus content with high Contamination Factors. The Pollution Load Index values (1.3; 5.3; 2.5; 2.3) were indicative of multi-heavy metals pollution (Fe, Mn, Al, Cu, Zn, Cr and Ni) in mixed calcareous soils of the coastal area and they are exchangeable while they are immobilized or less mobile in inland pure ferralitic soils. For mixed calcareous soils of the coastal area, family pig breeding represents a drainage risk of soluble species (phosphorus, inorganic nitrogen, Fe, Mn, Al, Cu, Zn, Cr and Ni). For inland ferralitic soils, family pig breeding is more compatible with a sustainable management of the environment in Uvéa Island and by extension in volcanic tropical islands with respect to the investigated chemical elements.","author":[{"dropping-particle":"","family":"Gunkel-Grillon","given":"P.","non-dropping-particle":"","parse-names":false,"suffix":""},{"dropping-particle":"","family":"Roth","given":"E.","non-dropping-particle":"","parse-names":false,"suffix":""},{"dropping-particle":"","family":"Laporte-Magoni","given":"C.","non-dropping-particle":"","parse-names":false,"suffix":""},{"dropping-particle":"","family":"Mestre","given":"M.","non-dropping-particle":"Le","parse-names":false,"suffix":""}],"container-title":"Science of the Total Environment","id":"ITEM-1","issued":{"date-parts":[["2015"]]},"page":"339-346","publisher":"Elsevier B.V.","title":"Effects of long term raw pig slurry inputs on nutrient and metal contamination of tropical volcanogenic soils, Uvéa Island (South Pacific)","type":"article-journal","volume":"533"},"uris":["http://www.mendeley.com/documents/?uuid=e4de68c3-a95a-41ee-904c-442c2e090146"]}],"mendeley":{"formattedCitation":"(Gunkel-Grillon et al., 2015)","plainTextFormattedCitation":"(Gunkel-Grillon et al., 2015)","previouslyFormattedCitation":"(Gunkel-Grillon et al., 2015)"},"properties":{"noteIndex":0},"schema":"https://github.com/citation-style-language/schema/raw/master/csl-citation.json"}</w:instrText>
      </w:r>
      <w:r w:rsidR="004E5CBF" w:rsidRPr="009A2E44">
        <w:rPr>
          <w:rFonts w:ascii="Garamond" w:hAnsi="Garamond"/>
        </w:rPr>
        <w:fldChar w:fldCharType="separate"/>
      </w:r>
      <w:r w:rsidR="00936A85" w:rsidRPr="009A2E44">
        <w:rPr>
          <w:rFonts w:ascii="Garamond" w:hAnsi="Garamond"/>
          <w:noProof/>
        </w:rPr>
        <w:t>(Gunkel-Grillon et al., 2015)</w:t>
      </w:r>
      <w:r w:rsidR="004E5CBF" w:rsidRPr="009A2E44">
        <w:rPr>
          <w:rFonts w:ascii="Garamond" w:hAnsi="Garamond"/>
        </w:rPr>
        <w:fldChar w:fldCharType="end"/>
      </w:r>
      <w:r w:rsidR="004E5CBF" w:rsidRPr="009A2E44">
        <w:rPr>
          <w:rFonts w:ascii="Garamond" w:hAnsi="Garamond"/>
        </w:rPr>
        <w:t>, t</w:t>
      </w:r>
      <w:r w:rsidR="004C3380" w:rsidRPr="009A2E44">
        <w:rPr>
          <w:rFonts w:ascii="Garamond" w:hAnsi="Garamond"/>
        </w:rPr>
        <w:t xml:space="preserve">he forest surrounding Lac Lalolalo has been carefully managed and protected </w:t>
      </w:r>
      <w:r w:rsidR="006D20E1" w:rsidRPr="009A2E44">
        <w:rPr>
          <w:rFonts w:ascii="Garamond" w:hAnsi="Garamond"/>
        </w:rPr>
        <w:t>in the past</w:t>
      </w:r>
      <w:r w:rsidR="004C3380" w:rsidRPr="009A2E44">
        <w:rPr>
          <w:rFonts w:ascii="Garamond" w:hAnsi="Garamond"/>
        </w:rPr>
        <w:t xml:space="preserve"> </w:t>
      </w:r>
      <w:r w:rsidR="004C3380" w:rsidRPr="009A2E44">
        <w:rPr>
          <w:rFonts w:ascii="Garamond" w:hAnsi="Garamond"/>
        </w:rPr>
        <w:fldChar w:fldCharType="begin" w:fldLock="1"/>
      </w:r>
      <w:r w:rsidR="00932F7A" w:rsidRPr="009A2E44">
        <w:rPr>
          <w:rFonts w:ascii="Garamond" w:hAnsi="Garamond"/>
        </w:rPr>
        <w:instrText>ADDIN CSL_CITATION {"citationItems":[{"id":"ITEM-1","itemData":{"DOI":"10.3406/jso.1998.2057","ISSN":"0300-953X","author":[{"dropping-particle":"","family":"Guiot","given":"Hélène","non-dropping-particle":"","parse-names":false,"suffix":""}],"container-title":"Journal de la Société des Océanistes","id":"ITEM-1","issued":{"date-parts":[["1998"]]},"page":"179-198","title":"Forêt taboue et représentations de l'environnement à 'Uvea (Wallis). Approche ethno-archéologique.","type":"article-journal","volume":"107"},"uris":["http://www.mendeley.com/documents/?uuid=59594892-4950-43ad-aec1-88c94902bbd0"]}],"mendeley":{"formattedCitation":"(Guiot, 1998)","plainTextFormattedCitation":"(Guiot, 1998)","previouslyFormattedCitation":"(Guiot, 1998)"},"properties":{"noteIndex":0},"schema":"https://github.com/citation-style-language/schema/raw/master/csl-citation.json"}</w:instrText>
      </w:r>
      <w:r w:rsidR="004C3380" w:rsidRPr="009A2E44">
        <w:rPr>
          <w:rFonts w:ascii="Garamond" w:hAnsi="Garamond"/>
        </w:rPr>
        <w:fldChar w:fldCharType="separate"/>
      </w:r>
      <w:r w:rsidR="00936A85" w:rsidRPr="009A2E44">
        <w:rPr>
          <w:rFonts w:ascii="Garamond" w:hAnsi="Garamond"/>
          <w:noProof/>
        </w:rPr>
        <w:t>(Guiot, 1998)</w:t>
      </w:r>
      <w:r w:rsidR="004C3380" w:rsidRPr="009A2E44">
        <w:rPr>
          <w:rFonts w:ascii="Garamond" w:hAnsi="Garamond"/>
        </w:rPr>
        <w:fldChar w:fldCharType="end"/>
      </w:r>
      <w:r w:rsidR="004C3380" w:rsidRPr="009A2E44">
        <w:rPr>
          <w:rFonts w:ascii="Garamond" w:hAnsi="Garamond"/>
        </w:rPr>
        <w:t xml:space="preserve">. </w:t>
      </w:r>
      <w:r w:rsidR="001A78AD" w:rsidRPr="009A2E44">
        <w:rPr>
          <w:rFonts w:ascii="Garamond" w:hAnsi="Garamond"/>
        </w:rPr>
        <w:t>During our</w:t>
      </w:r>
      <w:r w:rsidR="006C0C37" w:rsidRPr="009A2E44">
        <w:rPr>
          <w:rFonts w:ascii="Garamond" w:hAnsi="Garamond"/>
        </w:rPr>
        <w:t xml:space="preserve"> </w:t>
      </w:r>
      <w:r w:rsidR="001A78AD" w:rsidRPr="009A2E44">
        <w:rPr>
          <w:rFonts w:ascii="Garamond" w:hAnsi="Garamond"/>
        </w:rPr>
        <w:t xml:space="preserve">visit we identified plants living </w:t>
      </w:r>
      <w:r w:rsidR="00D91E96" w:rsidRPr="009A2E44">
        <w:rPr>
          <w:rFonts w:ascii="Garamond" w:hAnsi="Garamond"/>
        </w:rPr>
        <w:t>directly on</w:t>
      </w:r>
      <w:r w:rsidR="001A78AD" w:rsidRPr="009A2E44">
        <w:rPr>
          <w:rFonts w:ascii="Garamond" w:hAnsi="Garamond"/>
        </w:rPr>
        <w:t xml:space="preserve"> the shoreline </w:t>
      </w:r>
      <w:r w:rsidR="004E5CBF" w:rsidRPr="009A2E44">
        <w:rPr>
          <w:rFonts w:ascii="Garamond" w:hAnsi="Garamond"/>
        </w:rPr>
        <w:t>and within reach from our sampling boat in</w:t>
      </w:r>
      <w:r w:rsidR="001A78AD" w:rsidRPr="009A2E44">
        <w:rPr>
          <w:rFonts w:ascii="Garamond" w:hAnsi="Garamond"/>
        </w:rPr>
        <w:t xml:space="preserve"> Lac Lalolalo (</w:t>
      </w:r>
      <w:r w:rsidR="001A78AD" w:rsidRPr="009A2E44">
        <w:rPr>
          <w:rFonts w:ascii="Garamond" w:hAnsi="Garamond"/>
          <w:b/>
          <w:bCs/>
        </w:rPr>
        <w:t xml:space="preserve">Table </w:t>
      </w:r>
      <w:r w:rsidR="00870BA6" w:rsidRPr="009A2E44">
        <w:rPr>
          <w:rFonts w:ascii="Garamond" w:hAnsi="Garamond"/>
          <w:b/>
          <w:bCs/>
        </w:rPr>
        <w:t>A.2</w:t>
      </w:r>
      <w:r w:rsidR="001A78AD" w:rsidRPr="009A2E44">
        <w:rPr>
          <w:rFonts w:ascii="Garamond" w:hAnsi="Garamond"/>
        </w:rPr>
        <w:t xml:space="preserve">). Lac </w:t>
      </w:r>
      <w:proofErr w:type="spellStart"/>
      <w:r w:rsidR="001A78AD" w:rsidRPr="009A2E44">
        <w:rPr>
          <w:rFonts w:ascii="Garamond" w:hAnsi="Garamond"/>
        </w:rPr>
        <w:t>Lalolalo</w:t>
      </w:r>
      <w:proofErr w:type="spellEnd"/>
      <w:r w:rsidR="001A78AD" w:rsidRPr="009A2E44">
        <w:rPr>
          <w:rFonts w:ascii="Garamond" w:hAnsi="Garamond"/>
        </w:rPr>
        <w:t xml:space="preserve"> and Lac </w:t>
      </w:r>
      <w:proofErr w:type="spellStart"/>
      <w:r w:rsidR="001A78AD" w:rsidRPr="009A2E44">
        <w:rPr>
          <w:rFonts w:ascii="Garamond" w:hAnsi="Garamond"/>
        </w:rPr>
        <w:t>Lanutavake</w:t>
      </w:r>
      <w:proofErr w:type="spellEnd"/>
      <w:r w:rsidR="001A78AD" w:rsidRPr="009A2E44">
        <w:rPr>
          <w:rFonts w:ascii="Garamond" w:hAnsi="Garamond"/>
        </w:rPr>
        <w:t xml:space="preserve"> </w:t>
      </w:r>
      <w:r w:rsidR="00D91E96" w:rsidRPr="009A2E44">
        <w:rPr>
          <w:rFonts w:ascii="Garamond" w:hAnsi="Garamond"/>
        </w:rPr>
        <w:t xml:space="preserve">waters </w:t>
      </w:r>
      <w:r w:rsidR="001F754D" w:rsidRPr="009A2E44">
        <w:rPr>
          <w:rFonts w:ascii="Garamond" w:hAnsi="Garamond"/>
        </w:rPr>
        <w:t xml:space="preserve">harbor </w:t>
      </w:r>
      <w:proofErr w:type="spellStart"/>
      <w:r w:rsidR="009F3969" w:rsidRPr="009A2E44">
        <w:rPr>
          <w:rFonts w:ascii="Garamond" w:hAnsi="Garamond"/>
        </w:rPr>
        <w:t>dinosterol</w:t>
      </w:r>
      <w:proofErr w:type="spellEnd"/>
      <w:r w:rsidR="009F3969" w:rsidRPr="009A2E44">
        <w:rPr>
          <w:rFonts w:ascii="Garamond" w:hAnsi="Garamond"/>
        </w:rPr>
        <w:t xml:space="preserve">-producing dinoflagellate genera </w:t>
      </w:r>
      <w:proofErr w:type="spellStart"/>
      <w:r w:rsidR="001F754D" w:rsidRPr="009A2E44">
        <w:rPr>
          <w:rFonts w:ascii="Garamond" w:hAnsi="Garamond" w:cs="JansonTextMacron-Regular"/>
          <w:i/>
          <w:iCs/>
          <w:lang w:val="en-GB"/>
        </w:rPr>
        <w:t>Peridinium</w:t>
      </w:r>
      <w:proofErr w:type="spellEnd"/>
      <w:r w:rsidR="001F754D" w:rsidRPr="009A2E44">
        <w:rPr>
          <w:rFonts w:ascii="Garamond" w:hAnsi="Garamond" w:cs="JansonTextMacron-Regular"/>
          <w:lang w:val="en-GB"/>
        </w:rPr>
        <w:t xml:space="preserve"> </w:t>
      </w:r>
      <w:r w:rsidR="009F3969" w:rsidRPr="009A2E44">
        <w:rPr>
          <w:rFonts w:ascii="Garamond" w:hAnsi="Garamond" w:cs="JansonTextMacron-Regular"/>
          <w:lang w:val="en-GB"/>
        </w:rPr>
        <w:t xml:space="preserve">and </w:t>
      </w:r>
      <w:proofErr w:type="spellStart"/>
      <w:r w:rsidR="009F3969" w:rsidRPr="009A2E44">
        <w:rPr>
          <w:rFonts w:ascii="Garamond" w:hAnsi="Garamond" w:cs="JansonTextMacron-Regular"/>
          <w:i/>
          <w:iCs/>
          <w:lang w:val="en-GB"/>
        </w:rPr>
        <w:t>Gymnodinium</w:t>
      </w:r>
      <w:proofErr w:type="spellEnd"/>
      <w:r w:rsidR="001F754D" w:rsidRPr="009A2E44">
        <w:rPr>
          <w:rFonts w:ascii="Garamond" w:hAnsi="Garamond"/>
        </w:rPr>
        <w:t xml:space="preserve"> </w:t>
      </w:r>
      <w:r w:rsidR="001F754D" w:rsidRPr="009A2E44">
        <w:rPr>
          <w:rFonts w:ascii="Garamond" w:hAnsi="Garamond"/>
        </w:rPr>
        <w:fldChar w:fldCharType="begin" w:fldLock="1"/>
      </w:r>
      <w:r w:rsidR="00DC758D" w:rsidRPr="009A2E44">
        <w:rPr>
          <w:rFonts w:ascii="Garamond" w:hAnsi="Garamond"/>
        </w:rPr>
        <w:instrText>ADDIN CSL_CITATION {"citationItems":[{"id":"ITEM-1","itemData":{"DOI":"10.2984/049.063.0201","ISBN":"0030-8870","ISSN":"0030-8870","abstract":"The South Pacific freshwater ecosystems have never been investigated systematically. Although their ecological value has long been recognized and recommended for protection, little action has been taken so far. Here, we present results of 39 lentic water bodies on 18 islands belonging to seven countries. Temperature, conductivity, and pH were measured and samples of aquatic organisms were collected. Freshwater algae, nematodes, rotifers, ostracods, copepods, cladocerans, and aquatic oribatid mites were identified to genus or species level. Sixty-six percent of all taxa recorded have a cosmopolitan distribution, 14% are circumtropical/tropicopolitan species, and for 20% a restricted distribution predominantly in Australasia has previously been reported. Eleven new copepod and three new ostracod taxa were discovered. Out of 39 water bodies we found at least 17 stocked with nonindigenous fish species. Salinization and uncontrolled introduction of alien fish species may lead to reduced species richness in these remote freshwater ecosystems. The highest species richness was recorded in old, shallow, fish-free softwater lakes at high altitude.","author":[{"dropping-particle":"","family":"Schabetsberger","given":"Robert","non-dropping-particle":"","parse-names":false,"suffix":""},{"dropping-particle":"","family":"Drozdowski","given":"Gabriele","non-dropping-particle":"","parse-names":false,"suffix":""},{"dropping-particle":"","family":"Rott","given":"E.","non-dropping-particle":"","parse-names":false,"suffix":""},{"dropping-particle":"","family":"Lenzenweger","given":"R.","non-dropping-particle":"","parse-names":false,"suffix":""},{"dropping-particle":"","family":"Jersabek","given":"Christian D.","non-dropping-particle":"","parse-names":false,"suffix":""},{"dropping-particle":"","family":"Fiers","given":"Frank","non-dropping-particle":"","parse-names":false,"suffix":""},{"dropping-particle":"","family":"Traunspurger","given":"Walter","non-dropping-particle":"","parse-names":false,"suffix":""},{"dropping-particle":"","family":"Reiff","given":"Nicola","non-dropping-particle":"","parse-names":false,"suffix":""},{"dropping-particle":"","family":"Stoch","given":"Fabio","non-dropping-particle":"","parse-names":false,"suffix":""},{"dropping-particle":"","family":"Kotov","given":"Alexey a.","non-dropping-particle":"","parse-names":false,"suffix":""},{"dropping-particle":"","family":"Martens","given":"Koen","non-dropping-particle":"","parse-names":false,"suffix":""},{"dropping-particle":"","family":"Schatz","given":"Heinrich","non-dropping-particle":"","parse-names":false,"suffix":""},{"dropping-particle":"","family":"Kaiser","given":"Roland","non-dropping-particle":"","parse-names":false,"suffix":""}],"container-title":"Pacific Science","id":"ITEM-1","issue":"2","issued":{"date-parts":[["2009"]]},"page":"153-179","title":"Losing the bounty? Investigating species richness in isolated freshwater ecosystems of Oceania.","type":"article-journal","volume":"63"},"uris":["http://www.mendeley.com/documents/?uuid=e6648b04-e67a-4637-beae-dc221a01e4ef"]}],"mendeley":{"formattedCitation":"(Schabetsberger et al., 2009)","plainTextFormattedCitation":"(Schabetsberger et al., 2009)","previouslyFormattedCitation":"(Schabetsberger et al., 2009)"},"properties":{"noteIndex":0},"schema":"https://github.com/citation-style-language/schema/raw/master/csl-citation.json"}</w:instrText>
      </w:r>
      <w:r w:rsidR="001F754D" w:rsidRPr="009A2E44">
        <w:rPr>
          <w:rFonts w:ascii="Garamond" w:hAnsi="Garamond"/>
        </w:rPr>
        <w:fldChar w:fldCharType="separate"/>
      </w:r>
      <w:r w:rsidR="001F754D" w:rsidRPr="009A2E44">
        <w:rPr>
          <w:rFonts w:ascii="Garamond" w:hAnsi="Garamond"/>
          <w:noProof/>
        </w:rPr>
        <w:t>(Schabetsberger et al., 2009)</w:t>
      </w:r>
      <w:r w:rsidR="001F754D" w:rsidRPr="009A2E44">
        <w:rPr>
          <w:rFonts w:ascii="Garamond" w:hAnsi="Garamond"/>
        </w:rPr>
        <w:fldChar w:fldCharType="end"/>
      </w:r>
      <w:r w:rsidR="001F754D" w:rsidRPr="009A2E44">
        <w:rPr>
          <w:rFonts w:ascii="Garamond" w:hAnsi="Garamond"/>
        </w:rPr>
        <w:t xml:space="preserve">, </w:t>
      </w:r>
      <w:r w:rsidR="009F3969" w:rsidRPr="009A2E44">
        <w:rPr>
          <w:rFonts w:ascii="Garamond" w:hAnsi="Garamond"/>
        </w:rPr>
        <w:t xml:space="preserve">in addition to </w:t>
      </w:r>
      <w:r w:rsidR="001A78AD" w:rsidRPr="009A2E44">
        <w:rPr>
          <w:rFonts w:ascii="Garamond" w:hAnsi="Garamond"/>
        </w:rPr>
        <w:t xml:space="preserve">zooplankton </w:t>
      </w:r>
      <w:r w:rsidR="001A78AD" w:rsidRPr="009A2E44">
        <w:rPr>
          <w:rFonts w:ascii="Garamond" w:hAnsi="Garamond"/>
        </w:rPr>
        <w:fldChar w:fldCharType="begin" w:fldLock="1"/>
      </w:r>
      <w:r w:rsidR="00653F3D" w:rsidRPr="009A2E44">
        <w:rPr>
          <w:rFonts w:ascii="Garamond" w:hAnsi="Garamond"/>
        </w:rPr>
        <w:instrText>ADDIN CSL_CITATION {"citationItems":[{"id":"ITEM-1","itemData":{"DOI":"10.2984/68.3.3","ISSN":"15346188","abstract":"Species composition and vertical distribution of planktonic organisms in Lakes Lalolalo, Lanutavake, and Lano on the Pacific island of Uvea were investigated in relation to physicochemical water column profiles of temperature, conductivity, dissolved oxygen, and pH. The meromictic lakes Lalolalo (maximum depth 88.5 m) and Lanutavake (23.6 m) exhibited a strong chemocline with anoxic conditions below 10 m depth. Mixis was inhibited by sheltered topography, thermal stratification, and in Lalolalo a strong halocline. Crustaceans and rotifers were limited to the oxygenated epilimnion, but diversity and density of ciliates were highest within and below the chemocline. In Lalolalo, euryhaline rotifers dominated the community, reflecting the brackish condition of the lake. Species richness and densities were highest within the shallow lake Lano (3.5 m). On a calm day, hypoxic conditions occurred near the sediment-water interface, but higher oxygen concentrations were observed after heavy winds, indicating occasional mixis. In total, 32 phytoplankton species, 23 ciliate taxa, 18 rotiferan, 1 cladoceran, 1 copepod, and 1 gastrotrich species were identified in the pelagic zones of all three lakes. © 2014 by University of Hawai'i Press All rights reserved.","author":[{"dropping-particle":"","family":"Sichrowsky","given":"Ursula","non-dropping-particle":"","parse-names":false,"suffix":""},{"dropping-particle":"","family":"Schabetsberger","given":"Robert","non-dropping-particle":"","parse-names":false,"suffix":""},{"dropping-particle":"","family":"Sonntag","given":"Bettina","non-dropping-particle":"","parse-names":false,"suffix":""},{"dropping-particle":"","family":"Stoyneva","given":"Maya","non-dropping-particle":"","parse-names":false,"suffix":""},{"dropping-particle":"","family":"Maloney","given":"Ashley E","non-dropping-particle":"","parse-names":false,"suffix":""},{"dropping-particle":"","family":"Nelson","given":"Daniel B","non-dropping-particle":"","parse-names":false,"suffix":""},{"dropping-particle":"","family":"Richey","given":"Julie N","non-dropping-particle":"","parse-names":false,"suffix":""},{"dropping-particle":"","family":"Sachs","given":"Julian P","non-dropping-particle":"","parse-names":false,"suffix":""}],"container-title":"Pacific Science","id":"ITEM-1","issue":"3","issued":{"date-parts":[["2014","7"]]},"page":"333-343","title":"Limnological characterization of volcanic crater lakes on Uvea Island (Wallis and Futuna, South Pacific)","type":"article-journal","volume":"68"},"uris":["http://www.mendeley.com/documents/?uuid=923ca64f-f41e-45b0-a85c-cd355925b74b"]},{"id":"ITEM-2","itemData":{"abstract":"The freshwater Ostracoda collected during a survey carried out in October 2004 on the French islands of Futuna and Wallis, Polynesia, Pacific Ocean, are presented. In total, 10 species were found, of which 5 could be identified to the species level. Notes on the taxonomy of the species are provided. Parastenocypris perarmata (Brady, 1904) McKenzie, 1971 is transferred into the genus Chrissia Hartmann, 1957: Chrissia perarmata (Brady, 1904) comb. nov. Scanning electron micrographs of Strandesia vinciguerrae (Masi, 1905) and Cypretta seurati Gauthier, 1929 are presented. A check-list of the non-marine Ostracoda of the Pacific Islands (Oceania minus Australia and New Zealand) is given.","author":[{"dropping-particle":"","family":"Meisch","given":"Claude","non-dropping-particle":"","parse-names":false,"suffix":""},{"dropping-particle":"","family":"Mary-Sasal","given":"Nathalie J","non-dropping-particle":"","parse-names":false,"suffix":""},{"dropping-particle":"","family":"Colin","given":"Jean-paul","non-dropping-particle":"","parse-names":false,"suffix":""},{"dropping-particle":"","family":"Wouters","given":"Karel","non-dropping-particle":"","parse-names":false,"suffix":""}],"container-title":"Bulletin Soc. Nat. luxemb.","id":"ITEM-2","issue":"1997","issued":{"date-parts":[["2007"]]},"page":"89-103","title":"Freshwater Ostracoda (Crustacea) collected from the islands of Futuna and Wallis, Pacific Ocean, with a check-list of the non-marine Ostracoda of the Pacific Islands","type":"article-journal","volume":"108"},"uris":["http://www.mendeley.com/documents/?uuid=96e5fcff-f42f-4029-ac89-8e1dded6e9f2"]}],"mendeley":{"formattedCitation":"(Meisch et al., 2007; Sichrowsky et al., 2014)","plainTextFormattedCitation":"(Meisch et al., 2007; Sichrowsky et al., 2014)","previouslyFormattedCitation":"(Meisch et al., 2007; Sichrowsky et al., 2014)"},"properties":{"noteIndex":0},"schema":"https://github.com/citation-style-language/schema/raw/master/csl-citation.json"}</w:instrText>
      </w:r>
      <w:r w:rsidR="001A78AD" w:rsidRPr="009A2E44">
        <w:rPr>
          <w:rFonts w:ascii="Garamond" w:hAnsi="Garamond"/>
        </w:rPr>
        <w:fldChar w:fldCharType="separate"/>
      </w:r>
      <w:r w:rsidR="00936A85" w:rsidRPr="009A2E44">
        <w:rPr>
          <w:rFonts w:ascii="Garamond" w:hAnsi="Garamond"/>
          <w:noProof/>
        </w:rPr>
        <w:t>(Meisch et al., 2007; Sichrowsky et al., 2014)</w:t>
      </w:r>
      <w:r w:rsidR="001A78AD" w:rsidRPr="009A2E44">
        <w:rPr>
          <w:rFonts w:ascii="Garamond" w:hAnsi="Garamond"/>
        </w:rPr>
        <w:fldChar w:fldCharType="end"/>
      </w:r>
      <w:r w:rsidR="001A78AD" w:rsidRPr="009A2E44">
        <w:rPr>
          <w:rFonts w:ascii="Garamond" w:hAnsi="Garamond"/>
        </w:rPr>
        <w:t xml:space="preserve">, tilapia </w:t>
      </w:r>
      <w:r w:rsidR="001A78AD" w:rsidRPr="009A2E44">
        <w:rPr>
          <w:rFonts w:ascii="Garamond" w:hAnsi="Garamond"/>
        </w:rPr>
        <w:fldChar w:fldCharType="begin" w:fldLock="1"/>
      </w:r>
      <w:r w:rsidR="002058C8" w:rsidRPr="009A2E44">
        <w:rPr>
          <w:rFonts w:ascii="Garamond" w:hAnsi="Garamond"/>
        </w:rPr>
        <w:instrText>ADDIN CSL_CITATION {"citationItems":[{"id":"ITEM-1","itemData":{"DOI":"10.2984/049.063.0201","ISBN":"0030-8870","ISSN":"0030-8870","abstract":"The South Pacific freshwater ecosystems have never been investigated systematically. Although their ecological value has long been recognized and recommended for protection, little action has been taken so far. Here, we present results of 39 lentic water bodies on 18 islands belonging to seven countries. Temperature, conductivity, and pH were measured and samples of aquatic organisms were collected. Freshwater algae, nematodes, rotifers, ostracods, copepods, cladocerans, and aquatic oribatid mites were identified to genus or species level. Sixty-six percent of all taxa recorded have a cosmopolitan distribution, 14% are circumtropical/tropicopolitan species, and for 20% a restricted distribution predominantly in Australasia has previously been reported. Eleven new copepod and three new ostracod taxa were discovered. Out of 39 water bodies we found at least 17 stocked with nonindigenous fish species. Salinization and uncontrolled introduction of alien fish species may lead to reduced species richness in these remote freshwater ecosystems. The highest species richness was recorded in old, shallow, fish-free softwater lakes at high altitude.","author":[{"dropping-particle":"","family":"Schabetsberger","given":"Robert","non-dropping-particle":"","parse-names":false,"suffix":""},{"dropping-particle":"","family":"Drozdowski","given":"Gabriele","non-dropping-particle":"","parse-names":false,"suffix":""},{"dropping-particle":"","family":"Rott","given":"E.","non-dropping-particle":"","parse-names":false,"suffix":""},{"dropping-particle":"","family":"Lenzenweger","given":"R.","non-dropping-particle":"","parse-names":false,"suffix":""},{"dropping-particle":"","family":"Jersabek","given":"Christian D.","non-dropping-particle":"","parse-names":false,"suffix":""},{"dropping-particle":"","family":"Fiers","given":"Frank","non-dropping-particle":"","parse-names":false,"suffix":""},{"dropping-particle":"","family":"Traunspurger","given":"Walter","non-dropping-particle":"","parse-names":false,"suffix":""},{"dropping-particle":"","family":"Reiff","given":"Nicola","non-dropping-particle":"","parse-names":false,"suffix":""},{"dropping-particle":"","family":"Stoch","given":"Fabio","non-dropping-particle":"","parse-names":false,"suffix":""},{"dropping-particle":"","family":"Kotov","given":"Alexey a.","non-dropping-particle":"","parse-names":false,"suffix":""},{"dropping-particle":"","family":"Martens","given":"Koen","non-dropping-particle":"","parse-names":false,"suffix":""},{"dropping-particle":"","family":"Schatz","given":"Heinrich","non-dropping-particle":"","parse-names":false,"suffix":""},{"dropping-particle":"","family":"Kaiser","given":"Roland","non-dropping-particle":"","parse-names":false,"suffix":""}],"container-title":"Pacific Science","id":"ITEM-1","issue":"2","issued":{"date-parts":[["2009"]]},"page":"153-179","title":"Losing the bounty? Investigating species richness in isolated freshwater ecosystems of Oceania.","type":"article-journal","volume":"63"},"uris":["http://www.mendeley.com/documents/?uuid=e6648b04-e67a-4637-beae-dc221a01e4ef"]},{"id":"ITEM-2","itemData":{"author":[{"dropping-particle":"","family":"Hinds","given":"V T","non-dropping-particle":"","parse-names":false,"suffix":""}],"container-title":"South Pacific Commission, Nouméa, New Caledonia","id":"ITEM-2","issued":{"date-parts":[["1969"]]},"number-of-pages":"36","title":"A fisheries reconnaissance to Wallis Island","type":"report"},"uris":["http://www.mendeley.com/documents/?uuid=724d139e-cf37-4d2c-956d-b614ce29789f"]}],"mendeley":{"formattedCitation":"(Hinds, 1969; Schabetsberger et al., 2009)","plainTextFormattedCitation":"(Hinds, 1969; Schabetsberger et al., 2009)","previouslyFormattedCitation":"(Hinds, 1969; Schabetsberger et al., 2009)"},"properties":{"noteIndex":0},"schema":"https://github.com/citation-style-language/schema/raw/master/csl-citation.json"}</w:instrText>
      </w:r>
      <w:r w:rsidR="001A78AD" w:rsidRPr="009A2E44">
        <w:rPr>
          <w:rFonts w:ascii="Garamond" w:hAnsi="Garamond"/>
        </w:rPr>
        <w:fldChar w:fldCharType="separate"/>
      </w:r>
      <w:r w:rsidR="002C7B32" w:rsidRPr="009A2E44">
        <w:rPr>
          <w:rFonts w:ascii="Garamond" w:hAnsi="Garamond"/>
          <w:noProof/>
        </w:rPr>
        <w:t>(Hinds, 1969; Schabetsberger et al., 2009)</w:t>
      </w:r>
      <w:r w:rsidR="001A78AD" w:rsidRPr="009A2E44">
        <w:rPr>
          <w:rFonts w:ascii="Garamond" w:hAnsi="Garamond"/>
        </w:rPr>
        <w:fldChar w:fldCharType="end"/>
      </w:r>
      <w:r w:rsidR="00925F1C" w:rsidRPr="009A2E44">
        <w:rPr>
          <w:rFonts w:ascii="Garamond" w:hAnsi="Garamond"/>
        </w:rPr>
        <w:t xml:space="preserve"> and</w:t>
      </w:r>
      <w:r w:rsidR="009F3969" w:rsidRPr="009A2E44">
        <w:rPr>
          <w:rFonts w:ascii="Garamond" w:hAnsi="Garamond"/>
        </w:rPr>
        <w:t>,</w:t>
      </w:r>
      <w:r w:rsidR="00925F1C" w:rsidRPr="009A2E44">
        <w:rPr>
          <w:rFonts w:ascii="Garamond" w:hAnsi="Garamond"/>
        </w:rPr>
        <w:t xml:space="preserve"> in Lac Lalolalo, </w:t>
      </w:r>
      <w:r w:rsidR="006D20E1" w:rsidRPr="009A2E44">
        <w:rPr>
          <w:rFonts w:ascii="Garamond" w:hAnsi="Garamond"/>
        </w:rPr>
        <w:t xml:space="preserve">native </w:t>
      </w:r>
      <w:r w:rsidR="00925F1C" w:rsidRPr="009A2E44">
        <w:rPr>
          <w:rFonts w:ascii="Garamond" w:hAnsi="Garamond"/>
        </w:rPr>
        <w:t>eels</w:t>
      </w:r>
      <w:r w:rsidR="006D20E1" w:rsidRPr="009A2E44">
        <w:rPr>
          <w:rFonts w:ascii="Garamond" w:hAnsi="Garamond"/>
        </w:rPr>
        <w:t xml:space="preserve"> </w:t>
      </w:r>
      <w:r w:rsidR="006D20E1" w:rsidRPr="009A2E44">
        <w:rPr>
          <w:rFonts w:ascii="Garamond" w:hAnsi="Garamond"/>
        </w:rPr>
        <w:fldChar w:fldCharType="begin" w:fldLock="1"/>
      </w:r>
      <w:r w:rsidR="00E757E6">
        <w:rPr>
          <w:rFonts w:ascii="Garamond" w:hAnsi="Garamond"/>
        </w:rPr>
        <w:instrText>ADDIN CSL_CITATION {"citationItems":[{"id":"ITEM-1","itemData":{"ISSN":"02408759","author":[{"dropping-particle":"","family":"Bareille","given":"G.","non-dropping-particle":"","parse-names":false,"suffix":""},{"dropping-particle":"","family":"Sasal","given":"P.","non-dropping-particle":"","parse-names":false,"suffix":""},{"dropping-particle":"","family":"Mary","given":"Nathalie","non-dropping-particle":"","parse-names":false,"suffix":""},{"dropping-particle":"","family":"Meunier","given":"F. J.","non-dropping-particle":"","parse-names":false,"suffix":""},{"dropping-particle":"","family":"Deschamps","given":"M. H.","non-dropping-particle":"","parse-names":false,"suffix":""},{"dropping-particle":"","family":"Berail","given":"S.","non-dropping-particle":"","parse-names":false,"suffix":""},{"dropping-particle":"","family":"Pecheyran","given":"C.","non-dropping-particle":"","parse-names":false,"suffix":""},{"dropping-particle":"","family":"Lecomte-Finiger","given":"R.","non-dropping-particle":"","parse-names":false,"suffix":""}],"container-title":"Vie et Milieu","id":"ITEM-1","issue":"1","issued":{"date-parts":[["2015"]]},"page":"29-39","title":"Are elemental and strontium isotopic microchemistry of otolith and histomorphometrical characteristics of vertebral bone useful to resolve the eel &lt;i&gt;Anguilla obscura&lt;/i&gt; status in Lalolalo lake in Wallis Island?","type":"article-journal","volume":"65"},"uris":["http://www.mendeley.com/documents/?uuid=e869fa41-e9dc-41e5-b320-5ac327a92cd1"]}],"mendeley":{"formattedCitation":"(Bareille et al., 2015)","plainTextFormattedCitation":"(Bareille et al., 2015)","previouslyFormattedCitation":"(Bareille et al., 2015)"},"properties":{"noteIndex":0},"schema":"https://github.com/citation-style-language/schema/raw/master/csl-citation.json"}</w:instrText>
      </w:r>
      <w:r w:rsidR="006D20E1" w:rsidRPr="009A2E44">
        <w:rPr>
          <w:rFonts w:ascii="Garamond" w:hAnsi="Garamond"/>
        </w:rPr>
        <w:fldChar w:fldCharType="separate"/>
      </w:r>
      <w:r w:rsidR="006D20E1" w:rsidRPr="009A2E44">
        <w:rPr>
          <w:rFonts w:ascii="Garamond" w:hAnsi="Garamond"/>
          <w:noProof/>
        </w:rPr>
        <w:t>(Bareille et al., 2015)</w:t>
      </w:r>
      <w:r w:rsidR="006D20E1" w:rsidRPr="009A2E44">
        <w:rPr>
          <w:rFonts w:ascii="Garamond" w:hAnsi="Garamond"/>
        </w:rPr>
        <w:fldChar w:fldCharType="end"/>
      </w:r>
      <w:r w:rsidR="002C7B32" w:rsidRPr="009A2E44">
        <w:rPr>
          <w:rFonts w:ascii="Garamond" w:hAnsi="Garamond"/>
        </w:rPr>
        <w:t>.</w:t>
      </w:r>
      <w:r w:rsidR="001A78AD" w:rsidRPr="009A2E44">
        <w:rPr>
          <w:rFonts w:ascii="Garamond" w:hAnsi="Garamond"/>
        </w:rPr>
        <w:t xml:space="preserve"> </w:t>
      </w:r>
      <w:r w:rsidR="0035247C" w:rsidRPr="009A2E44">
        <w:rPr>
          <w:rFonts w:ascii="Garamond" w:hAnsi="Garamond"/>
        </w:rPr>
        <w:t>S</w:t>
      </w:r>
      <w:r w:rsidR="00870BA6" w:rsidRPr="009A2E44">
        <w:rPr>
          <w:rFonts w:ascii="Garamond" w:hAnsi="Garamond"/>
        </w:rPr>
        <w:t>trontium isotope</w:t>
      </w:r>
      <w:r w:rsidR="0035247C" w:rsidRPr="009A2E44">
        <w:rPr>
          <w:rFonts w:ascii="Garamond" w:hAnsi="Garamond"/>
        </w:rPr>
        <w:t xml:space="preserve"> ratios of otoliths</w:t>
      </w:r>
      <w:r w:rsidR="0088373F" w:rsidRPr="009A2E44">
        <w:rPr>
          <w:rFonts w:ascii="Garamond" w:hAnsi="Garamond"/>
        </w:rPr>
        <w:t xml:space="preserve"> provide clear support </w:t>
      </w:r>
      <w:r w:rsidR="00D442A7" w:rsidRPr="009A2E44">
        <w:rPr>
          <w:rFonts w:ascii="Garamond" w:hAnsi="Garamond"/>
        </w:rPr>
        <w:t>that</w:t>
      </w:r>
      <w:r w:rsidR="0088373F" w:rsidRPr="009A2E44">
        <w:rPr>
          <w:rFonts w:ascii="Garamond" w:hAnsi="Garamond"/>
        </w:rPr>
        <w:t xml:space="preserve"> </w:t>
      </w:r>
      <w:r w:rsidR="00D442A7" w:rsidRPr="009A2E44">
        <w:rPr>
          <w:rFonts w:ascii="Garamond" w:hAnsi="Garamond"/>
        </w:rPr>
        <w:t xml:space="preserve">young </w:t>
      </w:r>
      <w:r w:rsidR="001A78AD" w:rsidRPr="009A2E44">
        <w:rPr>
          <w:rFonts w:ascii="Garamond" w:hAnsi="Garamond"/>
        </w:rPr>
        <w:t xml:space="preserve">eels </w:t>
      </w:r>
      <w:r w:rsidR="004E5CBF" w:rsidRPr="009A2E44">
        <w:rPr>
          <w:rFonts w:ascii="Garamond" w:hAnsi="Garamond"/>
        </w:rPr>
        <w:t xml:space="preserve">enter </w:t>
      </w:r>
      <w:r w:rsidR="002C7B32" w:rsidRPr="009A2E44">
        <w:rPr>
          <w:rFonts w:ascii="Garamond" w:hAnsi="Garamond"/>
        </w:rPr>
        <w:t xml:space="preserve">Lac Lalolalo </w:t>
      </w:r>
      <w:r w:rsidR="004E5CBF" w:rsidRPr="009A2E44">
        <w:rPr>
          <w:rFonts w:ascii="Garamond" w:hAnsi="Garamond"/>
        </w:rPr>
        <w:t xml:space="preserve">from the ocean </w:t>
      </w:r>
      <w:r w:rsidR="004E5CBF" w:rsidRPr="009A2E44">
        <w:rPr>
          <w:rFonts w:ascii="Garamond" w:hAnsi="Garamond"/>
        </w:rPr>
        <w:lastRenderedPageBreak/>
        <w:t xml:space="preserve">presumably through </w:t>
      </w:r>
      <w:r w:rsidR="00D442A7" w:rsidRPr="009A2E44">
        <w:rPr>
          <w:rFonts w:ascii="Garamond" w:hAnsi="Garamond"/>
        </w:rPr>
        <w:t xml:space="preserve">small, </w:t>
      </w:r>
      <w:r w:rsidR="004E5CBF" w:rsidRPr="009A2E44">
        <w:rPr>
          <w:rFonts w:ascii="Garamond" w:hAnsi="Garamond"/>
        </w:rPr>
        <w:t xml:space="preserve">hidden underground connections </w:t>
      </w:r>
      <w:r w:rsidR="001A78AD" w:rsidRPr="009A2E44">
        <w:rPr>
          <w:rFonts w:ascii="Garamond" w:hAnsi="Garamond"/>
        </w:rPr>
        <w:fldChar w:fldCharType="begin" w:fldLock="1"/>
      </w:r>
      <w:r w:rsidR="00E757E6">
        <w:rPr>
          <w:rFonts w:ascii="Garamond" w:hAnsi="Garamond"/>
        </w:rPr>
        <w:instrText>ADDIN CSL_CITATION {"citationItems":[{"id":"ITEM-1","itemData":{"ISSN":"02408759","author":[{"dropping-particle":"","family":"Bareille","given":"G.","non-dropping-particle":"","parse-names":false,"suffix":""},{"dropping-particle":"","family":"Sasal","given":"P.","non-dropping-particle":"","parse-names":false,"suffix":""},{"dropping-particle":"","family":"Mary","given":"Nathalie","non-dropping-particle":"","parse-names":false,"suffix":""},{"dropping-particle":"","family":"Meunier","given":"F. J.","non-dropping-particle":"","parse-names":false,"suffix":""},{"dropping-particle":"","family":"Deschamps","given":"M. H.","non-dropping-particle":"","parse-names":false,"suffix":""},{"dropping-particle":"","family":"Berail","given":"S.","non-dropping-particle":"","parse-names":false,"suffix":""},{"dropping-particle":"","family":"Pecheyran","given":"C.","non-dropping-particle":"","parse-names":false,"suffix":""},{"dropping-particle":"","family":"Lecomte-Finiger","given":"R.","non-dropping-particle":"","parse-names":false,"suffix":""}],"container-title":"Vie et Milieu","id":"ITEM-1","issue":"1","issued":{"date-parts":[["2015"]]},"page":"29-39","title":"Are elemental and strontium isotopic microchemistry of otolith and histomorphometrical characteristics of vertebral bone useful to resolve the eel &lt;i&gt;Anguilla obscura&lt;/i&gt; status in Lalolalo lake in Wallis Island?","type":"article-journal","volume":"65"},"uris":["http://www.mendeley.com/documents/?uuid=e869fa41-e9dc-41e5-b320-5ac327a92cd1"]}],"mendeley":{"formattedCitation":"(Bareille et al., 2015)","plainTextFormattedCitation":"(Bareille et al., 2015)","previouslyFormattedCitation":"(Bareille et al., 2015)"},"properties":{"noteIndex":0},"schema":"https://github.com/citation-style-language/schema/raw/master/csl-citation.json"}</w:instrText>
      </w:r>
      <w:r w:rsidR="001A78AD" w:rsidRPr="009A2E44">
        <w:rPr>
          <w:rFonts w:ascii="Garamond" w:hAnsi="Garamond"/>
        </w:rPr>
        <w:fldChar w:fldCharType="separate"/>
      </w:r>
      <w:r w:rsidR="00936A85" w:rsidRPr="009A2E44">
        <w:rPr>
          <w:rFonts w:ascii="Garamond" w:hAnsi="Garamond"/>
          <w:noProof/>
        </w:rPr>
        <w:t>(Bareille et al., 2015)</w:t>
      </w:r>
      <w:r w:rsidR="001A78AD" w:rsidRPr="009A2E44">
        <w:rPr>
          <w:rFonts w:ascii="Garamond" w:hAnsi="Garamond"/>
        </w:rPr>
        <w:fldChar w:fldCharType="end"/>
      </w:r>
      <w:r w:rsidR="00D442A7" w:rsidRPr="009A2E44">
        <w:rPr>
          <w:rFonts w:ascii="Garamond" w:hAnsi="Garamond"/>
        </w:rPr>
        <w:t xml:space="preserve"> and become trapped in the lake as they mature</w:t>
      </w:r>
      <w:r w:rsidR="001A78AD" w:rsidRPr="009A2E44">
        <w:rPr>
          <w:rFonts w:ascii="Garamond" w:hAnsi="Garamond"/>
        </w:rPr>
        <w:t xml:space="preserve">. </w:t>
      </w:r>
      <w:r w:rsidR="00283175" w:rsidRPr="009A2E44">
        <w:rPr>
          <w:rFonts w:ascii="Garamond" w:hAnsi="Garamond"/>
        </w:rPr>
        <w:t>D</w:t>
      </w:r>
      <w:r w:rsidR="00113F2F" w:rsidRPr="009A2E44">
        <w:rPr>
          <w:rFonts w:ascii="Garamond" w:hAnsi="Garamond"/>
        </w:rPr>
        <w:t>etails</w:t>
      </w:r>
      <w:r w:rsidR="00AE6C79" w:rsidRPr="009A2E44">
        <w:rPr>
          <w:rFonts w:ascii="Garamond" w:hAnsi="Garamond"/>
        </w:rPr>
        <w:t xml:space="preserve"> about </w:t>
      </w:r>
      <w:r w:rsidR="002C7B32" w:rsidRPr="009A2E44">
        <w:rPr>
          <w:rFonts w:ascii="Garamond" w:hAnsi="Garamond"/>
        </w:rPr>
        <w:t xml:space="preserve">surface sediments from </w:t>
      </w:r>
      <w:r w:rsidR="008A65F5" w:rsidRPr="009A2E44">
        <w:rPr>
          <w:rFonts w:ascii="Garamond" w:hAnsi="Garamond"/>
        </w:rPr>
        <w:t>‘Uvea, ‘Upolu, Efate</w:t>
      </w:r>
      <w:r w:rsidR="00AE6C79" w:rsidRPr="009A2E44">
        <w:rPr>
          <w:rFonts w:ascii="Garamond" w:hAnsi="Garamond"/>
        </w:rPr>
        <w:t xml:space="preserve"> lakes</w:t>
      </w:r>
      <w:r w:rsidR="00826D24" w:rsidRPr="009A2E44">
        <w:rPr>
          <w:rFonts w:ascii="Garamond" w:hAnsi="Garamond"/>
        </w:rPr>
        <w:t>,</w:t>
      </w:r>
      <w:r w:rsidR="00113F2F" w:rsidRPr="009A2E44">
        <w:rPr>
          <w:rFonts w:ascii="Garamond" w:hAnsi="Garamond"/>
        </w:rPr>
        <w:t xml:space="preserve"> including compound-specific isotope </w:t>
      </w:r>
      <w:r w:rsidR="00826D24" w:rsidRPr="009A2E44">
        <w:rPr>
          <w:rFonts w:ascii="Garamond" w:hAnsi="Garamond"/>
        </w:rPr>
        <w:t xml:space="preserve">analyses </w:t>
      </w:r>
      <w:r w:rsidR="00113F2F" w:rsidRPr="009A2E44">
        <w:rPr>
          <w:rFonts w:ascii="Garamond" w:hAnsi="Garamond"/>
        </w:rPr>
        <w:t xml:space="preserve">and pollen </w:t>
      </w:r>
      <w:r w:rsidR="006C0C37" w:rsidRPr="009A2E44">
        <w:rPr>
          <w:rFonts w:ascii="Garamond" w:hAnsi="Garamond"/>
        </w:rPr>
        <w:t>assemblages</w:t>
      </w:r>
      <w:r w:rsidR="00826D24" w:rsidRPr="009A2E44">
        <w:rPr>
          <w:rFonts w:ascii="Garamond" w:hAnsi="Garamond"/>
        </w:rPr>
        <w:t>,</w:t>
      </w:r>
      <w:r w:rsidR="00113F2F" w:rsidRPr="009A2E44">
        <w:rPr>
          <w:rFonts w:ascii="Garamond" w:hAnsi="Garamond"/>
        </w:rPr>
        <w:t xml:space="preserve"> have been recently described</w:t>
      </w:r>
      <w:r w:rsidR="00041CFA" w:rsidRPr="009A2E44">
        <w:rPr>
          <w:rFonts w:ascii="Garamond" w:hAnsi="Garamond"/>
        </w:rPr>
        <w:t xml:space="preserve"> </w:t>
      </w:r>
      <w:r w:rsidR="00041CFA" w:rsidRPr="009A2E44">
        <w:rPr>
          <w:rFonts w:ascii="Garamond" w:hAnsi="Garamond"/>
        </w:rPr>
        <w:fldChar w:fldCharType="begin" w:fldLock="1"/>
      </w:r>
      <w:r w:rsidR="00A134C8" w:rsidRPr="009A2E44">
        <w:rPr>
          <w:rFonts w:ascii="Garamond" w:hAnsi="Garamond"/>
        </w:rPr>
        <w:instrText>ADDIN CSL_CITATION {"citationItems":[{"id":"ITEM-1","itemData":{"DOI":"10.1029/2020jg005891","ISSN":"2169-8953","abstract":"Abstract Hydrogen isotope ratios of sedimentary leaf waxes (δ2HWax values) are increasingly used to reconstruct past hydroclimate. Here, we add δ2HWax values from 19 lakes and four swamps on 15 tropical Pacific islands to an updated global compilation of published data from surface sediments and soils. Globally, there is a strong positive linear correlation between δ2H values of mean annual precipitation (δ2HP values) and the leaf waxes n-C29-alkane (R2 = 0.74, n = 665) and n-C28-acid (R2 = 0.74, n = 242). Tropical Pacific δ2HWax values fall within the predicted range of values based on the global calibration, and the largest residuals from the global regression line are no greater than those observed elsewhere, despite large uncertainties in δ2HP values at some Pacific sites. However, tropical Pacific δ2HWax values in isolation are not correlated with estimated δ2HP values from isoscapes or from isotope-enabled general circulation models. Palynological analyses from these same Pacific sediment samples suggest no systematic relationship between any particular type of pollen distribution and deviations from the global calibration line. Rather, the poor correlations observed in the tropical Pacific are likely a function of the small range of δ2HP values relative to the typical residuals around the global calibration line. Our results suggest that δ2HWax values are currently most suitable for use in detecting large changes in precipitation in the tropical Pacific and elsewhere, but that ample room for improving this threshold exits in both improved understanding of δ2H variability in plants, as well as in precipitation.","author":[{"dropping-particle":"","family":"Ladd","given":"S Nemiah","non-dropping-particle":"","parse-names":false,"suffix":""},{"dropping-particle":"","family":"Maloney","given":"Ashley E","non-dropping-particle":"","parse-names":false,"suffix":""},{"dropping-particle":"","family":"Nelson","given":"Daniel B","non-dropping-particle":"","parse-names":false,"suffix":""},{"dropping-particle":"","family":"Prebble","given":"Matthew","non-dropping-particle":"","parse-names":false,"suffix":""},{"dropping-particle":"","family":"Camperio","given":"G.","non-dropping-particle":"","parse-names":false,"suffix":""},{"dropping-particle":"","family":"Sear","given":"David A","non-dropping-particle":"","parse-names":false,"suffix":""},{"dropping-particle":"","family":"Hassall","given":"Jonathan D","non-dropping-particle":"","parse-names":false,"suffix":""},{"dropping-particle":"","family":"Langdon","given":"P G","non-dropping-particle":"","parse-names":false,"suffix":""},{"dropping-particle":"","family":"Sachs","given":"Julian P","non-dropping-particle":"","parse-names":false,"suffix":""},{"dropping-particle":"","family":"Dubois","given":"N","non-dropping-particle":"","parse-names":false,"suffix":""}],"container-title":"Journal of Geophysical Research: Biogeosciences","id":"ITEM-1","issued":{"date-parts":[["2021"]]},"page":"e2020JG005891","title":"Leaf Wax Hydrogen Isotope s as a Hydroclimate Proxy in the Tropical Pacific","type":"article-journal","volume":"126"},"uris":["http://www.mendeley.com/documents/?uuid=4b90027e-4dd0-4523-8745-3463b8126b6e"]},{"id":"ITEM-2","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Acta","id":"ITEM-2","issued":{"date-parts":[["2019"]]},"page":"190-206","publisher":"Elsevier Ltd","title":"Reconstructing precipitation in the tropical South Pacific from dinosterol 2H/1H ratios in lake sediment","type":"article-journal","volume":"245"},"uris":["http://www.mendeley.com/documents/?uuid=c7ab851f-4ac6-4a60-a0db-daaa3baed28f"]}],"mendeley":{"formattedCitation":"(Ladd et al., 2021; Maloney et al., 2019)","plainTextFormattedCitation":"(Ladd et al., 2021; Maloney et al., 2019)","previouslyFormattedCitation":"(Ladd et al., 2021; Maloney et al., 2019)"},"properties":{"noteIndex":0},"schema":"https://github.com/citation-style-language/schema/raw/master/csl-citation.json"}</w:instrText>
      </w:r>
      <w:r w:rsidR="00041CFA" w:rsidRPr="009A2E44">
        <w:rPr>
          <w:rFonts w:ascii="Garamond" w:hAnsi="Garamond"/>
        </w:rPr>
        <w:fldChar w:fldCharType="separate"/>
      </w:r>
      <w:r w:rsidR="00041CFA" w:rsidRPr="009A2E44">
        <w:rPr>
          <w:rFonts w:ascii="Garamond" w:hAnsi="Garamond"/>
          <w:noProof/>
        </w:rPr>
        <w:t>(Ladd et al., 2021; Maloney et al., 2019)</w:t>
      </w:r>
      <w:r w:rsidR="00041CFA" w:rsidRPr="009A2E44">
        <w:rPr>
          <w:rFonts w:ascii="Garamond" w:hAnsi="Garamond"/>
        </w:rPr>
        <w:fldChar w:fldCharType="end"/>
      </w:r>
      <w:r w:rsidR="00113F2F" w:rsidRPr="009A2E44">
        <w:rPr>
          <w:rFonts w:ascii="Garamond" w:hAnsi="Garamond"/>
        </w:rPr>
        <w:t xml:space="preserve"> </w:t>
      </w:r>
      <w:r w:rsidR="00283175" w:rsidRPr="009A2E44">
        <w:rPr>
          <w:rFonts w:ascii="Garamond" w:hAnsi="Garamond"/>
        </w:rPr>
        <w:t xml:space="preserve">and a preliminary assessment of microfossils in ‘Uvea sediment is described in </w:t>
      </w:r>
      <w:r w:rsidR="00283175" w:rsidRPr="009A2E44">
        <w:rPr>
          <w:rFonts w:ascii="Garamond" w:hAnsi="Garamond"/>
          <w:b/>
          <w:bCs/>
        </w:rPr>
        <w:t>Appendix</w:t>
      </w:r>
      <w:r w:rsidR="00A042D6" w:rsidRPr="009A2E44">
        <w:rPr>
          <w:rFonts w:ascii="Garamond" w:hAnsi="Garamond"/>
          <w:b/>
          <w:bCs/>
        </w:rPr>
        <w:t xml:space="preserve"> A</w:t>
      </w:r>
      <w:r w:rsidR="00283175" w:rsidRPr="009A2E44">
        <w:rPr>
          <w:rFonts w:ascii="Garamond" w:hAnsi="Garamond"/>
        </w:rPr>
        <w:t>.</w:t>
      </w:r>
      <w:r w:rsidR="00041CFA" w:rsidRPr="009A2E44">
        <w:rPr>
          <w:rFonts w:ascii="Garamond" w:hAnsi="Garamond"/>
        </w:rPr>
        <w:t xml:space="preserve"> </w:t>
      </w:r>
    </w:p>
    <w:p w14:paraId="0714E04A" w14:textId="77777777" w:rsidR="006002DA" w:rsidRPr="009A2E44" w:rsidRDefault="006002DA" w:rsidP="001C47D3">
      <w:pPr>
        <w:spacing w:line="480" w:lineRule="auto"/>
        <w:rPr>
          <w:rFonts w:ascii="Garamond" w:hAnsi="Garamond"/>
          <w:b/>
        </w:rPr>
      </w:pPr>
    </w:p>
    <w:p w14:paraId="2D02ABF0" w14:textId="64C8D15E" w:rsidR="002A003E" w:rsidRPr="009A2E44" w:rsidRDefault="00216AC5" w:rsidP="001C47D3">
      <w:pPr>
        <w:spacing w:line="480" w:lineRule="auto"/>
        <w:rPr>
          <w:rFonts w:ascii="Garamond" w:hAnsi="Garamond"/>
          <w:b/>
        </w:rPr>
      </w:pPr>
      <w:r w:rsidRPr="009A2E44">
        <w:rPr>
          <w:rFonts w:ascii="Garamond" w:hAnsi="Garamond"/>
          <w:b/>
        </w:rPr>
        <w:t>3</w:t>
      </w:r>
      <w:r w:rsidR="005D39F4" w:rsidRPr="009A2E44">
        <w:rPr>
          <w:rFonts w:ascii="Garamond" w:hAnsi="Garamond"/>
          <w:b/>
        </w:rPr>
        <w:t xml:space="preserve">. </w:t>
      </w:r>
      <w:r w:rsidR="009A77E3" w:rsidRPr="009A2E44">
        <w:rPr>
          <w:rFonts w:ascii="Garamond" w:hAnsi="Garamond"/>
          <w:b/>
        </w:rPr>
        <w:t>Methods</w:t>
      </w:r>
    </w:p>
    <w:p w14:paraId="12E41A68" w14:textId="010E2F2E" w:rsidR="00703DA6" w:rsidRPr="009A2E44" w:rsidRDefault="00216AC5" w:rsidP="001C47D3">
      <w:pPr>
        <w:spacing w:line="480" w:lineRule="auto"/>
        <w:rPr>
          <w:rFonts w:ascii="Garamond" w:hAnsi="Garamond"/>
          <w:i/>
        </w:rPr>
      </w:pPr>
      <w:r w:rsidRPr="009A2E44">
        <w:rPr>
          <w:rFonts w:ascii="Garamond" w:hAnsi="Garamond"/>
          <w:i/>
        </w:rPr>
        <w:t>3</w:t>
      </w:r>
      <w:r w:rsidR="005D39F4" w:rsidRPr="009A2E44">
        <w:rPr>
          <w:rFonts w:ascii="Garamond" w:hAnsi="Garamond"/>
          <w:i/>
        </w:rPr>
        <w:t>.1</w:t>
      </w:r>
      <w:r w:rsidR="00CA250B" w:rsidRPr="009A2E44">
        <w:rPr>
          <w:rFonts w:ascii="Garamond" w:hAnsi="Garamond"/>
          <w:i/>
        </w:rPr>
        <w:t>.</w:t>
      </w:r>
      <w:r w:rsidR="005D39F4" w:rsidRPr="009A2E44">
        <w:rPr>
          <w:rFonts w:ascii="Garamond" w:hAnsi="Garamond"/>
          <w:i/>
        </w:rPr>
        <w:t xml:space="preserve"> </w:t>
      </w:r>
      <w:r w:rsidR="002D0B7C" w:rsidRPr="009A2E44">
        <w:rPr>
          <w:rFonts w:ascii="Garamond" w:hAnsi="Garamond"/>
          <w:i/>
        </w:rPr>
        <w:t>S</w:t>
      </w:r>
      <w:r w:rsidR="00DE6956" w:rsidRPr="009A2E44">
        <w:rPr>
          <w:rFonts w:ascii="Garamond" w:hAnsi="Garamond"/>
          <w:i/>
        </w:rPr>
        <w:t>ediment s</w:t>
      </w:r>
      <w:r w:rsidR="00703DA6" w:rsidRPr="009A2E44">
        <w:rPr>
          <w:rFonts w:ascii="Garamond" w:hAnsi="Garamond"/>
          <w:i/>
        </w:rPr>
        <w:t>ampling</w:t>
      </w:r>
      <w:r w:rsidR="00AD090C" w:rsidRPr="009A2E44">
        <w:rPr>
          <w:rFonts w:ascii="Garamond" w:hAnsi="Garamond"/>
          <w:i/>
        </w:rPr>
        <w:t xml:space="preserve"> and scanning</w:t>
      </w:r>
    </w:p>
    <w:p w14:paraId="5349419B" w14:textId="62D0D558" w:rsidR="00392056" w:rsidRPr="009A2E44" w:rsidRDefault="00CE7972" w:rsidP="001C47D3">
      <w:pPr>
        <w:spacing w:line="480" w:lineRule="auto"/>
        <w:ind w:firstLine="720"/>
        <w:rPr>
          <w:rFonts w:ascii="Garamond" w:hAnsi="Garamond"/>
        </w:rPr>
      </w:pPr>
      <w:r w:rsidRPr="009A2E44">
        <w:rPr>
          <w:rFonts w:ascii="Garamond" w:hAnsi="Garamond"/>
        </w:rPr>
        <w:t xml:space="preserve">Sediment </w:t>
      </w:r>
      <w:r w:rsidR="00D02D4D" w:rsidRPr="009A2E44">
        <w:rPr>
          <w:rFonts w:ascii="Garamond" w:hAnsi="Garamond"/>
        </w:rPr>
        <w:t xml:space="preserve">from </w:t>
      </w:r>
      <w:r w:rsidR="00AD090C" w:rsidRPr="009A2E44">
        <w:rPr>
          <w:rFonts w:ascii="Garamond" w:hAnsi="Garamond"/>
        </w:rPr>
        <w:t>‘Uvea</w:t>
      </w:r>
      <w:r w:rsidR="00F84EDE" w:rsidRPr="009A2E44">
        <w:rPr>
          <w:rFonts w:ascii="Garamond" w:hAnsi="Garamond"/>
        </w:rPr>
        <w:t xml:space="preserve"> </w:t>
      </w:r>
      <w:r w:rsidR="00AD090C" w:rsidRPr="009A2E44">
        <w:rPr>
          <w:rFonts w:ascii="Garamond" w:hAnsi="Garamond"/>
        </w:rPr>
        <w:t xml:space="preserve">(Wallis </w:t>
      </w:r>
      <w:r w:rsidR="007B6A66" w:rsidRPr="009A2E44">
        <w:rPr>
          <w:rFonts w:ascii="Garamond" w:hAnsi="Garamond"/>
        </w:rPr>
        <w:t xml:space="preserve">et </w:t>
      </w:r>
      <w:r w:rsidR="00AD090C" w:rsidRPr="009A2E44">
        <w:rPr>
          <w:rFonts w:ascii="Garamond" w:hAnsi="Garamond"/>
        </w:rPr>
        <w:t xml:space="preserve">Futuna) </w:t>
      </w:r>
      <w:r w:rsidR="00B20E30" w:rsidRPr="009A2E44">
        <w:rPr>
          <w:rFonts w:ascii="Garamond" w:hAnsi="Garamond"/>
        </w:rPr>
        <w:t>w</w:t>
      </w:r>
      <w:r w:rsidR="00F84EDE" w:rsidRPr="009A2E44">
        <w:rPr>
          <w:rFonts w:ascii="Garamond" w:hAnsi="Garamond"/>
        </w:rPr>
        <w:t>as</w:t>
      </w:r>
      <w:r w:rsidR="00B20E30" w:rsidRPr="009A2E44">
        <w:rPr>
          <w:rFonts w:ascii="Garamond" w:hAnsi="Garamond"/>
        </w:rPr>
        <w:t xml:space="preserve"> collected </w:t>
      </w:r>
      <w:r w:rsidR="00D02D4D" w:rsidRPr="009A2E44">
        <w:rPr>
          <w:rFonts w:ascii="Garamond" w:hAnsi="Garamond"/>
        </w:rPr>
        <w:t xml:space="preserve">from </w:t>
      </w:r>
      <w:r w:rsidR="001B494B" w:rsidRPr="009A2E44">
        <w:rPr>
          <w:rFonts w:ascii="Garamond" w:hAnsi="Garamond"/>
        </w:rPr>
        <w:t xml:space="preserve">Lac Lalolalo and Lac Lanutavake </w:t>
      </w:r>
      <w:r w:rsidRPr="009A2E44">
        <w:rPr>
          <w:rFonts w:ascii="Garamond" w:hAnsi="Garamond"/>
        </w:rPr>
        <w:t xml:space="preserve">in </w:t>
      </w:r>
      <w:r w:rsidR="00D442A7" w:rsidRPr="009A2E44">
        <w:rPr>
          <w:rFonts w:ascii="Garamond" w:hAnsi="Garamond"/>
        </w:rPr>
        <w:t xml:space="preserve">May </w:t>
      </w:r>
      <w:r w:rsidRPr="009A2E44">
        <w:rPr>
          <w:rFonts w:ascii="Garamond" w:hAnsi="Garamond"/>
        </w:rPr>
        <w:t>2011</w:t>
      </w:r>
      <w:r w:rsidR="00AB6D5D" w:rsidRPr="009A2E44">
        <w:rPr>
          <w:rFonts w:ascii="Garamond" w:hAnsi="Garamond"/>
        </w:rPr>
        <w:t xml:space="preserve"> </w:t>
      </w:r>
      <w:r w:rsidRPr="009A2E44">
        <w:rPr>
          <w:rFonts w:ascii="Garamond" w:hAnsi="Garamond"/>
        </w:rPr>
        <w:t xml:space="preserve">with a </w:t>
      </w:r>
      <w:r w:rsidR="00095F83" w:rsidRPr="009A2E44">
        <w:rPr>
          <w:rFonts w:ascii="Garamond" w:hAnsi="Garamond"/>
        </w:rPr>
        <w:t>hand-operated check valve coring device</w:t>
      </w:r>
      <w:r w:rsidRPr="009A2E44">
        <w:rPr>
          <w:rFonts w:ascii="Garamond" w:hAnsi="Garamond"/>
        </w:rPr>
        <w:t xml:space="preserve"> (</w:t>
      </w:r>
      <w:r w:rsidR="00095F83" w:rsidRPr="009A2E44">
        <w:rPr>
          <w:rFonts w:ascii="Garamond" w:hAnsi="Garamond"/>
        </w:rPr>
        <w:t xml:space="preserve">Universal Percussion Corer, </w:t>
      </w:r>
      <w:r w:rsidRPr="009A2E44">
        <w:rPr>
          <w:rFonts w:ascii="Garamond" w:hAnsi="Garamond"/>
        </w:rPr>
        <w:t>Aquatic Research</w:t>
      </w:r>
      <w:r w:rsidR="009F3969" w:rsidRPr="009A2E44">
        <w:rPr>
          <w:rFonts w:ascii="Garamond" w:hAnsi="Garamond"/>
        </w:rPr>
        <w:t>, Hope, ID</w:t>
      </w:r>
      <w:r w:rsidRPr="009A2E44">
        <w:rPr>
          <w:rFonts w:ascii="Garamond" w:hAnsi="Garamond"/>
        </w:rPr>
        <w:t xml:space="preserve">) </w:t>
      </w:r>
      <w:r w:rsidR="009A6B32" w:rsidRPr="009A2E44">
        <w:rPr>
          <w:rFonts w:ascii="Garamond" w:hAnsi="Garamond"/>
        </w:rPr>
        <w:t>with</w:t>
      </w:r>
      <w:r w:rsidR="00115C06" w:rsidRPr="009A2E44">
        <w:rPr>
          <w:rFonts w:ascii="Garamond" w:hAnsi="Garamond"/>
        </w:rPr>
        <w:t xml:space="preserve"> 6.6 cm</w:t>
      </w:r>
      <w:r w:rsidRPr="009A2E44">
        <w:rPr>
          <w:rFonts w:ascii="Garamond" w:hAnsi="Garamond"/>
        </w:rPr>
        <w:t xml:space="preserve"> diameter</w:t>
      </w:r>
      <w:r w:rsidR="009A6B32" w:rsidRPr="009A2E44">
        <w:rPr>
          <w:rFonts w:ascii="Garamond" w:hAnsi="Garamond"/>
        </w:rPr>
        <w:t xml:space="preserve"> core liners</w:t>
      </w:r>
      <w:r w:rsidR="00DE6B62" w:rsidRPr="009A2E44">
        <w:rPr>
          <w:rFonts w:ascii="Garamond" w:hAnsi="Garamond"/>
        </w:rPr>
        <w:t xml:space="preserve"> (2 m maximum length)</w:t>
      </w:r>
      <w:r w:rsidR="009A6B32" w:rsidRPr="009A2E44">
        <w:rPr>
          <w:rFonts w:ascii="Garamond" w:hAnsi="Garamond"/>
        </w:rPr>
        <w:t>.</w:t>
      </w:r>
      <w:r w:rsidRPr="009A2E44">
        <w:rPr>
          <w:rFonts w:ascii="Garamond" w:hAnsi="Garamond"/>
        </w:rPr>
        <w:t xml:space="preserve"> </w:t>
      </w:r>
      <w:r w:rsidR="001103E2" w:rsidRPr="009A2E44">
        <w:rPr>
          <w:rFonts w:ascii="Garamond" w:hAnsi="Garamond"/>
        </w:rPr>
        <w:t>The uppermost portion</w:t>
      </w:r>
      <w:r w:rsidR="002D1EB3">
        <w:rPr>
          <w:rFonts w:ascii="Garamond" w:hAnsi="Garamond"/>
        </w:rPr>
        <w:t>s</w:t>
      </w:r>
      <w:r w:rsidR="001103E2" w:rsidRPr="009A2E44">
        <w:rPr>
          <w:rFonts w:ascii="Garamond" w:hAnsi="Garamond"/>
        </w:rPr>
        <w:t xml:space="preserve"> (</w:t>
      </w:r>
      <w:r w:rsidR="00053B85">
        <w:rPr>
          <w:rFonts w:ascii="Garamond" w:hAnsi="Garamond"/>
        </w:rPr>
        <w:t>ranging from</w:t>
      </w:r>
      <w:r w:rsidR="002D1EB3">
        <w:rPr>
          <w:rFonts w:ascii="Garamond" w:hAnsi="Garamond"/>
        </w:rPr>
        <w:t xml:space="preserve"> 0</w:t>
      </w:r>
      <w:r w:rsidR="002D1EB3" w:rsidRPr="009A2E44">
        <w:rPr>
          <w:rFonts w:ascii="Garamond" w:hAnsi="Garamond"/>
        </w:rPr>
        <w:t xml:space="preserve"> </w:t>
      </w:r>
      <w:r w:rsidR="002D1EB3" w:rsidRPr="009A2E44">
        <w:rPr>
          <w:rFonts w:ascii="Garamond" w:hAnsi="Garamond"/>
          <w:color w:val="202020"/>
          <w:shd w:val="clear" w:color="auto" w:fill="FFFFFF"/>
        </w:rPr>
        <w:t>–</w:t>
      </w:r>
      <w:r w:rsidR="002D1EB3" w:rsidRPr="009A2E44">
        <w:rPr>
          <w:rFonts w:ascii="Garamond" w:hAnsi="Garamond"/>
        </w:rPr>
        <w:t xml:space="preserve"> </w:t>
      </w:r>
      <w:r w:rsidR="00AD090C" w:rsidRPr="009A2E44">
        <w:rPr>
          <w:rFonts w:ascii="Garamond" w:hAnsi="Garamond"/>
        </w:rPr>
        <w:t>18</w:t>
      </w:r>
      <w:r w:rsidR="00B427D8" w:rsidRPr="009A2E44">
        <w:rPr>
          <w:rFonts w:ascii="Garamond" w:hAnsi="Garamond"/>
        </w:rPr>
        <w:t xml:space="preserve"> </w:t>
      </w:r>
      <w:r w:rsidR="002D1EB3">
        <w:rPr>
          <w:rFonts w:ascii="Garamond" w:hAnsi="Garamond"/>
        </w:rPr>
        <w:t>cm to 0</w:t>
      </w:r>
      <w:r w:rsidR="002D1EB3" w:rsidRPr="009A2E44">
        <w:rPr>
          <w:rFonts w:ascii="Garamond" w:hAnsi="Garamond"/>
        </w:rPr>
        <w:t xml:space="preserve"> </w:t>
      </w:r>
      <w:r w:rsidR="002D1EB3" w:rsidRPr="009A2E44">
        <w:rPr>
          <w:rFonts w:ascii="Garamond" w:hAnsi="Garamond"/>
          <w:color w:val="202020"/>
          <w:shd w:val="clear" w:color="auto" w:fill="FFFFFF"/>
        </w:rPr>
        <w:t>–</w:t>
      </w:r>
      <w:r w:rsidR="002D1EB3" w:rsidRPr="009A2E44">
        <w:rPr>
          <w:rFonts w:ascii="Garamond" w:hAnsi="Garamond"/>
        </w:rPr>
        <w:t xml:space="preserve"> </w:t>
      </w:r>
      <w:r w:rsidR="001103E2" w:rsidRPr="009A2E44">
        <w:rPr>
          <w:rFonts w:ascii="Garamond" w:hAnsi="Garamond"/>
        </w:rPr>
        <w:t>9</w:t>
      </w:r>
      <w:r w:rsidR="00AD090C" w:rsidRPr="009A2E44">
        <w:rPr>
          <w:rFonts w:ascii="Garamond" w:hAnsi="Garamond"/>
        </w:rPr>
        <w:t>7</w:t>
      </w:r>
      <w:r w:rsidR="001103E2" w:rsidRPr="009A2E44">
        <w:rPr>
          <w:rFonts w:ascii="Garamond" w:hAnsi="Garamond"/>
        </w:rPr>
        <w:t xml:space="preserve"> cm) </w:t>
      </w:r>
      <w:r w:rsidR="00053B85" w:rsidRPr="009A2E44">
        <w:rPr>
          <w:rFonts w:ascii="Garamond" w:hAnsi="Garamond"/>
        </w:rPr>
        <w:t>w</w:t>
      </w:r>
      <w:r w:rsidR="00053B85">
        <w:rPr>
          <w:rFonts w:ascii="Garamond" w:hAnsi="Garamond"/>
        </w:rPr>
        <w:t>ere</w:t>
      </w:r>
      <w:r w:rsidR="00053B85" w:rsidRPr="009A2E44">
        <w:rPr>
          <w:rFonts w:ascii="Garamond" w:hAnsi="Garamond"/>
        </w:rPr>
        <w:t xml:space="preserve"> </w:t>
      </w:r>
      <w:r w:rsidR="001103E2" w:rsidRPr="009A2E44">
        <w:rPr>
          <w:rFonts w:ascii="Garamond" w:hAnsi="Garamond"/>
        </w:rPr>
        <w:t xml:space="preserve">sectioned in the field at 1 cm intervals (0.5 </w:t>
      </w:r>
      <w:r w:rsidR="00A0422A" w:rsidRPr="009A2E44">
        <w:rPr>
          <w:rFonts w:ascii="Garamond" w:hAnsi="Garamond"/>
        </w:rPr>
        <w:t>cm f</w:t>
      </w:r>
      <w:r w:rsidR="001103E2" w:rsidRPr="009A2E44">
        <w:rPr>
          <w:rFonts w:ascii="Garamond" w:hAnsi="Garamond"/>
        </w:rPr>
        <w:t>or LATVKUC4) to a depth at which the sediment was sufficiently consolidated to transport without disturbance to stratigraphy</w:t>
      </w:r>
      <w:r w:rsidR="00000FC4" w:rsidRPr="009A2E44">
        <w:rPr>
          <w:rFonts w:ascii="Garamond" w:hAnsi="Garamond"/>
        </w:rPr>
        <w:t xml:space="preserve"> (</w:t>
      </w:r>
      <w:r w:rsidR="00000FC4" w:rsidRPr="009A2E44">
        <w:rPr>
          <w:rFonts w:ascii="Garamond" w:hAnsi="Garamond"/>
          <w:b/>
          <w:bCs/>
        </w:rPr>
        <w:t>Table A.3</w:t>
      </w:r>
      <w:r w:rsidR="00000FC4" w:rsidRPr="009A2E44">
        <w:rPr>
          <w:rFonts w:ascii="Garamond" w:hAnsi="Garamond"/>
        </w:rPr>
        <w:t>)</w:t>
      </w:r>
      <w:r w:rsidR="001103E2" w:rsidRPr="009A2E44">
        <w:rPr>
          <w:rFonts w:ascii="Garamond" w:hAnsi="Garamond"/>
        </w:rPr>
        <w:t xml:space="preserve">. </w:t>
      </w:r>
      <w:r w:rsidR="00DE6B62" w:rsidRPr="009A2E44">
        <w:rPr>
          <w:rFonts w:ascii="Garamond" w:hAnsi="Garamond"/>
        </w:rPr>
        <w:t>If the remaining intact core</w:t>
      </w:r>
      <w:r w:rsidR="00870BA6" w:rsidRPr="009A2E44">
        <w:rPr>
          <w:rFonts w:ascii="Garamond" w:hAnsi="Garamond"/>
        </w:rPr>
        <w:t>s were</w:t>
      </w:r>
      <w:r w:rsidR="00DE6B62" w:rsidRPr="009A2E44">
        <w:rPr>
          <w:rFonts w:ascii="Garamond" w:hAnsi="Garamond"/>
        </w:rPr>
        <w:t xml:space="preserve"> too long for transport, they were cut into two sections</w:t>
      </w:r>
      <w:r w:rsidR="00870BA6" w:rsidRPr="009A2E44">
        <w:rPr>
          <w:rFonts w:ascii="Garamond" w:hAnsi="Garamond"/>
        </w:rPr>
        <w:t xml:space="preserve">, but all </w:t>
      </w:r>
      <w:r w:rsidR="00863D22" w:rsidRPr="009A2E44">
        <w:rPr>
          <w:rFonts w:ascii="Garamond" w:hAnsi="Garamond"/>
        </w:rPr>
        <w:t xml:space="preserve">‘Uvea </w:t>
      </w:r>
      <w:r w:rsidR="00870BA6" w:rsidRPr="009A2E44">
        <w:rPr>
          <w:rFonts w:ascii="Garamond" w:hAnsi="Garamond"/>
        </w:rPr>
        <w:t xml:space="preserve">cores are single </w:t>
      </w:r>
      <w:r w:rsidR="00863D22" w:rsidRPr="009A2E44">
        <w:rPr>
          <w:rFonts w:ascii="Garamond" w:hAnsi="Garamond"/>
        </w:rPr>
        <w:t>drive cores</w:t>
      </w:r>
      <w:r w:rsidR="00DE6B62" w:rsidRPr="009A2E44">
        <w:rPr>
          <w:rFonts w:ascii="Garamond" w:hAnsi="Garamond"/>
        </w:rPr>
        <w:t xml:space="preserve">. </w:t>
      </w:r>
      <w:r w:rsidR="00577D29" w:rsidRPr="009A2E44">
        <w:rPr>
          <w:rFonts w:ascii="Garamond" w:hAnsi="Garamond"/>
        </w:rPr>
        <w:t>C</w:t>
      </w:r>
      <w:r w:rsidR="007D4C01" w:rsidRPr="009A2E44">
        <w:rPr>
          <w:rFonts w:ascii="Garamond" w:hAnsi="Garamond"/>
        </w:rPr>
        <w:t>ores collected from 88</w:t>
      </w:r>
      <w:r w:rsidR="00DD44F0" w:rsidRPr="009A2E44">
        <w:rPr>
          <w:rFonts w:ascii="Garamond" w:hAnsi="Garamond"/>
        </w:rPr>
        <w:t xml:space="preserve"> </w:t>
      </w:r>
      <w:r w:rsidR="007D4C01" w:rsidRPr="009A2E44">
        <w:rPr>
          <w:rFonts w:ascii="Garamond" w:hAnsi="Garamond"/>
        </w:rPr>
        <w:t xml:space="preserve">m water depth in Lac Lalolalo displayed vigorous degassing </w:t>
      </w:r>
      <w:r w:rsidR="00D02D4D" w:rsidRPr="009A2E44">
        <w:rPr>
          <w:rFonts w:ascii="Garamond" w:hAnsi="Garamond"/>
        </w:rPr>
        <w:t>in</w:t>
      </w:r>
      <w:r w:rsidR="007D4C01" w:rsidRPr="009A2E44">
        <w:rPr>
          <w:rFonts w:ascii="Garamond" w:hAnsi="Garamond"/>
        </w:rPr>
        <w:t xml:space="preserve"> </w:t>
      </w:r>
      <w:r w:rsidR="001103E2" w:rsidRPr="009A2E44">
        <w:rPr>
          <w:rFonts w:ascii="Garamond" w:hAnsi="Garamond"/>
        </w:rPr>
        <w:t xml:space="preserve">the </w:t>
      </w:r>
      <w:r w:rsidR="007D4C01" w:rsidRPr="009A2E44">
        <w:rPr>
          <w:rFonts w:ascii="Garamond" w:hAnsi="Garamond"/>
        </w:rPr>
        <w:t>top</w:t>
      </w:r>
      <w:r w:rsidR="00155D9F" w:rsidRPr="009A2E44">
        <w:rPr>
          <w:rFonts w:ascii="Garamond" w:hAnsi="Garamond"/>
        </w:rPr>
        <w:t>most</w:t>
      </w:r>
      <w:r w:rsidR="007D4C01" w:rsidRPr="009A2E44">
        <w:rPr>
          <w:rFonts w:ascii="Garamond" w:hAnsi="Garamond"/>
        </w:rPr>
        <w:t xml:space="preserve"> sediment</w:t>
      </w:r>
      <w:r w:rsidR="00577D29" w:rsidRPr="009A2E44">
        <w:rPr>
          <w:rFonts w:ascii="Garamond" w:hAnsi="Garamond"/>
        </w:rPr>
        <w:t xml:space="preserve"> upon retrieval</w:t>
      </w:r>
      <w:r w:rsidR="00863D22" w:rsidRPr="009A2E44">
        <w:rPr>
          <w:rFonts w:ascii="Garamond" w:hAnsi="Garamond"/>
        </w:rPr>
        <w:t>,</w:t>
      </w:r>
      <w:r w:rsidR="006C0C37" w:rsidRPr="009A2E44">
        <w:rPr>
          <w:rFonts w:ascii="Garamond" w:hAnsi="Garamond"/>
        </w:rPr>
        <w:t xml:space="preserve"> mix</w:t>
      </w:r>
      <w:r w:rsidR="00577D29" w:rsidRPr="009A2E44">
        <w:rPr>
          <w:rFonts w:ascii="Garamond" w:hAnsi="Garamond"/>
        </w:rPr>
        <w:t>ing</w:t>
      </w:r>
      <w:r w:rsidR="006C0C37" w:rsidRPr="009A2E44">
        <w:rPr>
          <w:rFonts w:ascii="Garamond" w:hAnsi="Garamond"/>
        </w:rPr>
        <w:t xml:space="preserve"> </w:t>
      </w:r>
      <w:r w:rsidR="00610771" w:rsidRPr="009A2E44">
        <w:rPr>
          <w:rFonts w:ascii="Garamond" w:hAnsi="Garamond"/>
        </w:rPr>
        <w:t xml:space="preserve">stratigraphy </w:t>
      </w:r>
      <w:r w:rsidR="00610771">
        <w:rPr>
          <w:rFonts w:ascii="Garamond" w:hAnsi="Garamond"/>
        </w:rPr>
        <w:t xml:space="preserve">in </w:t>
      </w:r>
      <w:r w:rsidR="006C0C37" w:rsidRPr="009A2E44">
        <w:rPr>
          <w:rFonts w:ascii="Garamond" w:hAnsi="Garamond"/>
        </w:rPr>
        <w:t xml:space="preserve">the </w:t>
      </w:r>
      <w:r w:rsidR="00610771">
        <w:rPr>
          <w:rFonts w:ascii="Garamond" w:hAnsi="Garamond"/>
        </w:rPr>
        <w:t>top 15 to 20 cm</w:t>
      </w:r>
      <w:r w:rsidR="006C0C37" w:rsidRPr="009A2E44">
        <w:rPr>
          <w:rFonts w:ascii="Garamond" w:hAnsi="Garamond"/>
        </w:rPr>
        <w:t xml:space="preserve">. </w:t>
      </w:r>
      <w:r w:rsidR="00BF2BE3" w:rsidRPr="009A2E44">
        <w:rPr>
          <w:rFonts w:ascii="Garamond" w:hAnsi="Garamond"/>
        </w:rPr>
        <w:t>Therefore,</w:t>
      </w:r>
      <w:r w:rsidR="007D4C01" w:rsidRPr="009A2E44">
        <w:rPr>
          <w:rFonts w:ascii="Garamond" w:hAnsi="Garamond"/>
        </w:rPr>
        <w:t xml:space="preserve"> the first 15</w:t>
      </w:r>
      <w:r w:rsidR="00392056" w:rsidRPr="009A2E44">
        <w:rPr>
          <w:rFonts w:ascii="Garamond" w:hAnsi="Garamond"/>
        </w:rPr>
        <w:t xml:space="preserve"> cm (LALOUC14)</w:t>
      </w:r>
      <w:r w:rsidR="00684309" w:rsidRPr="009A2E44">
        <w:rPr>
          <w:rFonts w:ascii="Garamond" w:hAnsi="Garamond"/>
        </w:rPr>
        <w:t xml:space="preserve"> </w:t>
      </w:r>
      <w:r w:rsidR="00392056" w:rsidRPr="009A2E44">
        <w:rPr>
          <w:rFonts w:ascii="Garamond" w:hAnsi="Garamond"/>
        </w:rPr>
        <w:t>or</w:t>
      </w:r>
      <w:r w:rsidR="00684309" w:rsidRPr="009A2E44">
        <w:rPr>
          <w:rFonts w:ascii="Garamond" w:hAnsi="Garamond"/>
        </w:rPr>
        <w:t xml:space="preserve"> </w:t>
      </w:r>
      <w:r w:rsidR="007D4C01" w:rsidRPr="009A2E44">
        <w:rPr>
          <w:rFonts w:ascii="Garamond" w:hAnsi="Garamond"/>
        </w:rPr>
        <w:t>20</w:t>
      </w:r>
      <w:r w:rsidR="00DD44F0" w:rsidRPr="009A2E44">
        <w:rPr>
          <w:rFonts w:ascii="Garamond" w:hAnsi="Garamond"/>
        </w:rPr>
        <w:t xml:space="preserve"> </w:t>
      </w:r>
      <w:r w:rsidR="007D4C01" w:rsidRPr="009A2E44">
        <w:rPr>
          <w:rFonts w:ascii="Garamond" w:hAnsi="Garamond"/>
        </w:rPr>
        <w:t xml:space="preserve">cm </w:t>
      </w:r>
      <w:r w:rsidR="00392056" w:rsidRPr="009A2E44">
        <w:rPr>
          <w:rFonts w:ascii="Garamond" w:hAnsi="Garamond"/>
        </w:rPr>
        <w:t xml:space="preserve">(LALOUC13) </w:t>
      </w:r>
      <w:r w:rsidR="007D4C01" w:rsidRPr="009A2E44">
        <w:rPr>
          <w:rFonts w:ascii="Garamond" w:hAnsi="Garamond"/>
        </w:rPr>
        <w:t xml:space="preserve">were sampled </w:t>
      </w:r>
      <w:r w:rsidR="006C0C37" w:rsidRPr="009A2E44">
        <w:rPr>
          <w:rFonts w:ascii="Garamond" w:hAnsi="Garamond"/>
        </w:rPr>
        <w:t xml:space="preserve">in bulk </w:t>
      </w:r>
      <w:r w:rsidR="007D4C01" w:rsidRPr="009A2E44">
        <w:rPr>
          <w:rFonts w:ascii="Garamond" w:hAnsi="Garamond"/>
        </w:rPr>
        <w:t>into one bag</w:t>
      </w:r>
      <w:r w:rsidR="00392056" w:rsidRPr="009A2E44">
        <w:rPr>
          <w:rFonts w:ascii="Garamond" w:hAnsi="Garamond"/>
        </w:rPr>
        <w:t>. A</w:t>
      </w:r>
      <w:r w:rsidR="00D02D4D" w:rsidRPr="009A2E44">
        <w:rPr>
          <w:rFonts w:ascii="Garamond" w:hAnsi="Garamond"/>
        </w:rPr>
        <w:t>dditional core</w:t>
      </w:r>
      <w:r w:rsidR="009D2F6C" w:rsidRPr="009A2E44">
        <w:rPr>
          <w:rFonts w:ascii="Garamond" w:hAnsi="Garamond"/>
        </w:rPr>
        <w:t>s</w:t>
      </w:r>
      <w:r w:rsidR="00D02D4D" w:rsidRPr="009A2E44">
        <w:rPr>
          <w:rFonts w:ascii="Garamond" w:hAnsi="Garamond"/>
        </w:rPr>
        <w:t xml:space="preserve"> c</w:t>
      </w:r>
      <w:r w:rsidR="007D4C01" w:rsidRPr="009A2E44">
        <w:rPr>
          <w:rFonts w:ascii="Garamond" w:hAnsi="Garamond"/>
        </w:rPr>
        <w:t xml:space="preserve">ollected </w:t>
      </w:r>
      <w:r w:rsidR="00D02D4D" w:rsidRPr="009A2E44">
        <w:rPr>
          <w:rFonts w:ascii="Garamond" w:hAnsi="Garamond"/>
        </w:rPr>
        <w:t xml:space="preserve">from </w:t>
      </w:r>
      <w:r w:rsidR="00396057" w:rsidRPr="009A2E44">
        <w:rPr>
          <w:rFonts w:ascii="Garamond" w:hAnsi="Garamond"/>
        </w:rPr>
        <w:t>~</w:t>
      </w:r>
      <w:r w:rsidR="00D02D4D" w:rsidRPr="009A2E44">
        <w:rPr>
          <w:rFonts w:ascii="Garamond" w:hAnsi="Garamond"/>
        </w:rPr>
        <w:t>24</w:t>
      </w:r>
      <w:r w:rsidR="00A0422A" w:rsidRPr="009A2E44">
        <w:rPr>
          <w:rFonts w:ascii="Garamond" w:hAnsi="Garamond"/>
        </w:rPr>
        <w:t xml:space="preserve"> </w:t>
      </w:r>
      <w:r w:rsidR="00D02D4D" w:rsidRPr="009A2E44">
        <w:rPr>
          <w:rFonts w:ascii="Garamond" w:hAnsi="Garamond"/>
        </w:rPr>
        <w:t xml:space="preserve">m water depth </w:t>
      </w:r>
      <w:r w:rsidR="00396057" w:rsidRPr="009A2E44">
        <w:rPr>
          <w:rFonts w:ascii="Garamond" w:hAnsi="Garamond"/>
        </w:rPr>
        <w:t xml:space="preserve">near the shore of Lac Lalolalo </w:t>
      </w:r>
      <w:r w:rsidR="00863D22" w:rsidRPr="009A2E44">
        <w:rPr>
          <w:rFonts w:ascii="Garamond" w:hAnsi="Garamond"/>
        </w:rPr>
        <w:t>(</w:t>
      </w:r>
      <w:r w:rsidR="00863D22" w:rsidRPr="009A2E44">
        <w:rPr>
          <w:rFonts w:ascii="Garamond" w:hAnsi="Garamond"/>
          <w:b/>
          <w:bCs/>
        </w:rPr>
        <w:t xml:space="preserve">Fig. </w:t>
      </w:r>
      <w:r w:rsidR="00C71597" w:rsidRPr="009A2E44">
        <w:rPr>
          <w:rFonts w:ascii="Garamond" w:hAnsi="Garamond"/>
          <w:b/>
          <w:bCs/>
        </w:rPr>
        <w:t>A</w:t>
      </w:r>
      <w:r w:rsidR="009D36D9" w:rsidRPr="009A2E44">
        <w:rPr>
          <w:rFonts w:ascii="Garamond" w:hAnsi="Garamond"/>
          <w:b/>
          <w:bCs/>
        </w:rPr>
        <w:t>.</w:t>
      </w:r>
      <w:r w:rsidR="00C71597" w:rsidRPr="009A2E44">
        <w:rPr>
          <w:rFonts w:ascii="Garamond" w:hAnsi="Garamond"/>
          <w:b/>
          <w:bCs/>
        </w:rPr>
        <w:t>4</w:t>
      </w:r>
      <w:r w:rsidR="00863D22" w:rsidRPr="009A2E44">
        <w:rPr>
          <w:rFonts w:ascii="Garamond" w:hAnsi="Garamond"/>
        </w:rPr>
        <w:t xml:space="preserve">) </w:t>
      </w:r>
      <w:r w:rsidR="001103E2" w:rsidRPr="009A2E44">
        <w:rPr>
          <w:rFonts w:ascii="Garamond" w:hAnsi="Garamond"/>
        </w:rPr>
        <w:t>had intact, un</w:t>
      </w:r>
      <w:r w:rsidR="007D4C01" w:rsidRPr="009A2E44">
        <w:rPr>
          <w:rFonts w:ascii="Garamond" w:hAnsi="Garamond"/>
        </w:rPr>
        <w:t>mixed sediment</w:t>
      </w:r>
      <w:r w:rsidR="00A0422A" w:rsidRPr="009A2E44">
        <w:rPr>
          <w:rFonts w:ascii="Garamond" w:hAnsi="Garamond"/>
        </w:rPr>
        <w:t>-water</w:t>
      </w:r>
      <w:r w:rsidR="001103E2" w:rsidRPr="009A2E44">
        <w:rPr>
          <w:rFonts w:ascii="Garamond" w:hAnsi="Garamond"/>
        </w:rPr>
        <w:t xml:space="preserve"> interfaces</w:t>
      </w:r>
      <w:r w:rsidR="00187DA2" w:rsidRPr="009A2E44">
        <w:rPr>
          <w:rFonts w:ascii="Garamond" w:hAnsi="Garamond"/>
        </w:rPr>
        <w:t xml:space="preserve"> to capture the most recent </w:t>
      </w:r>
      <w:r w:rsidR="00ED5192" w:rsidRPr="009A2E44">
        <w:rPr>
          <w:rFonts w:ascii="Garamond" w:hAnsi="Garamond"/>
        </w:rPr>
        <w:t>sedimentary history</w:t>
      </w:r>
      <w:r w:rsidR="00392056" w:rsidRPr="009A2E44">
        <w:rPr>
          <w:rFonts w:ascii="Garamond" w:hAnsi="Garamond"/>
        </w:rPr>
        <w:t xml:space="preserve"> and the top 16 cm (LALOUC22) or entire 27 cm core (LALOUC24) were sectioned in the field</w:t>
      </w:r>
      <w:r w:rsidR="00D2560D" w:rsidRPr="009A2E44">
        <w:rPr>
          <w:rFonts w:ascii="Garamond" w:hAnsi="Garamond"/>
        </w:rPr>
        <w:t>.</w:t>
      </w:r>
    </w:p>
    <w:p w14:paraId="1B2CC43A" w14:textId="27BF6DF5" w:rsidR="00392056" w:rsidRPr="009A2E44" w:rsidRDefault="00392056" w:rsidP="001C47D3">
      <w:pPr>
        <w:spacing w:line="480" w:lineRule="auto"/>
        <w:ind w:firstLine="720"/>
        <w:rPr>
          <w:rFonts w:ascii="Garamond" w:hAnsi="Garamond"/>
        </w:rPr>
      </w:pPr>
      <w:r w:rsidRPr="009A2E44">
        <w:rPr>
          <w:rFonts w:ascii="Garamond" w:hAnsi="Garamond"/>
        </w:rPr>
        <w:t>‘Uvea c</w:t>
      </w:r>
      <w:r w:rsidR="009A6B32" w:rsidRPr="009A2E44">
        <w:rPr>
          <w:rFonts w:ascii="Garamond" w:hAnsi="Garamond"/>
        </w:rPr>
        <w:t xml:space="preserve">ores </w:t>
      </w:r>
      <w:r w:rsidR="009A77E3" w:rsidRPr="009A2E44">
        <w:rPr>
          <w:rFonts w:ascii="Garamond" w:hAnsi="Garamond"/>
        </w:rPr>
        <w:t xml:space="preserve">were split at </w:t>
      </w:r>
      <w:r w:rsidR="00473744" w:rsidRPr="009A2E44">
        <w:rPr>
          <w:rFonts w:ascii="Garamond" w:hAnsi="Garamond"/>
        </w:rPr>
        <w:t xml:space="preserve">the </w:t>
      </w:r>
      <w:r w:rsidRPr="009A2E44">
        <w:rPr>
          <w:rFonts w:ascii="Garamond" w:hAnsi="Garamond"/>
        </w:rPr>
        <w:t xml:space="preserve">University of Washington or </w:t>
      </w:r>
      <w:r w:rsidR="00BF2E78" w:rsidRPr="009A2E44">
        <w:rPr>
          <w:rFonts w:ascii="Garamond" w:hAnsi="Garamond"/>
        </w:rPr>
        <w:t xml:space="preserve">at the </w:t>
      </w:r>
      <w:proofErr w:type="spellStart"/>
      <w:r w:rsidR="00473744" w:rsidRPr="009A2E44">
        <w:rPr>
          <w:rFonts w:ascii="Garamond" w:hAnsi="Garamond"/>
        </w:rPr>
        <w:t>LacCore</w:t>
      </w:r>
      <w:proofErr w:type="spellEnd"/>
      <w:r w:rsidR="00473744" w:rsidRPr="009A2E44">
        <w:rPr>
          <w:rFonts w:ascii="Garamond" w:hAnsi="Garamond"/>
        </w:rPr>
        <w:t xml:space="preserve"> facility at </w:t>
      </w:r>
      <w:r w:rsidR="00A65426" w:rsidRPr="009A2E44">
        <w:rPr>
          <w:rFonts w:ascii="Garamond" w:hAnsi="Garamond"/>
        </w:rPr>
        <w:t xml:space="preserve">the </w:t>
      </w:r>
      <w:r w:rsidR="00473744" w:rsidRPr="009A2E44">
        <w:rPr>
          <w:rFonts w:ascii="Garamond" w:hAnsi="Garamond"/>
        </w:rPr>
        <w:t>Limnological Research Center (LRC), University of Minnesota.</w:t>
      </w:r>
      <w:r w:rsidR="009F7C4E" w:rsidRPr="009A2E44">
        <w:rPr>
          <w:rFonts w:ascii="Garamond" w:hAnsi="Garamond"/>
        </w:rPr>
        <w:t xml:space="preserve"> </w:t>
      </w:r>
      <w:r w:rsidR="009A6B32" w:rsidRPr="009A2E44">
        <w:rPr>
          <w:rFonts w:ascii="Garamond" w:hAnsi="Garamond"/>
        </w:rPr>
        <w:t xml:space="preserve">Cores were </w:t>
      </w:r>
      <w:r w:rsidR="00933B8E" w:rsidRPr="009A2E44">
        <w:rPr>
          <w:rFonts w:ascii="Garamond" w:hAnsi="Garamond"/>
        </w:rPr>
        <w:t>imaged with a DMT</w:t>
      </w:r>
      <w:r w:rsidR="009E6BD3" w:rsidRPr="009A2E44">
        <w:rPr>
          <w:rFonts w:ascii="Garamond" w:hAnsi="Garamond"/>
        </w:rPr>
        <w:t xml:space="preserve"> </w:t>
      </w:r>
      <w:proofErr w:type="spellStart"/>
      <w:r w:rsidR="00B20E30" w:rsidRPr="009A2E44">
        <w:rPr>
          <w:rFonts w:ascii="Garamond" w:hAnsi="Garamond"/>
        </w:rPr>
        <w:t>CoreScan</w:t>
      </w:r>
      <w:proofErr w:type="spellEnd"/>
      <w:r w:rsidR="00933B8E" w:rsidRPr="009A2E44">
        <w:rPr>
          <w:rFonts w:ascii="Garamond" w:hAnsi="Garamond"/>
        </w:rPr>
        <w:t xml:space="preserve"> and analyzed for magnetic sus</w:t>
      </w:r>
      <w:r w:rsidR="00B20E30" w:rsidRPr="009A2E44">
        <w:rPr>
          <w:rFonts w:ascii="Garamond" w:hAnsi="Garamond"/>
        </w:rPr>
        <w:t>ceptibility at 0.5</w:t>
      </w:r>
      <w:r w:rsidR="00DD44F0" w:rsidRPr="009A2E44">
        <w:rPr>
          <w:rFonts w:ascii="Garamond" w:hAnsi="Garamond"/>
        </w:rPr>
        <w:t xml:space="preserve"> </w:t>
      </w:r>
      <w:r w:rsidR="00B20E30" w:rsidRPr="009A2E44">
        <w:rPr>
          <w:rFonts w:ascii="Garamond" w:hAnsi="Garamond"/>
        </w:rPr>
        <w:t>cm intervals</w:t>
      </w:r>
      <w:r w:rsidR="00933B8E" w:rsidRPr="009A2E44">
        <w:rPr>
          <w:rFonts w:ascii="Garamond" w:hAnsi="Garamond"/>
        </w:rPr>
        <w:t xml:space="preserve"> using a high-resolution point sensor (MS2E) mounted on a </w:t>
      </w:r>
      <w:r w:rsidR="00933B8E" w:rsidRPr="009A2E44">
        <w:rPr>
          <w:rFonts w:ascii="Garamond" w:hAnsi="Garamond"/>
        </w:rPr>
        <w:lastRenderedPageBreak/>
        <w:t>GEOTEK</w:t>
      </w:r>
      <w:r w:rsidR="009E6BD3" w:rsidRPr="009A2E44">
        <w:rPr>
          <w:rFonts w:ascii="Garamond" w:hAnsi="Garamond"/>
        </w:rPr>
        <w:t xml:space="preserve"> </w:t>
      </w:r>
      <w:r w:rsidR="00933B8E" w:rsidRPr="009A2E44">
        <w:rPr>
          <w:rFonts w:ascii="Garamond" w:hAnsi="Garamond"/>
        </w:rPr>
        <w:t>XYZMSCL</w:t>
      </w:r>
      <w:r w:rsidR="00FC0451" w:rsidRPr="009A2E44">
        <w:rPr>
          <w:rFonts w:ascii="Garamond" w:hAnsi="Garamond"/>
        </w:rPr>
        <w:t>.</w:t>
      </w:r>
      <w:r w:rsidR="00F577C5" w:rsidRPr="009A2E44">
        <w:rPr>
          <w:rFonts w:ascii="Garamond" w:hAnsi="Garamond"/>
        </w:rPr>
        <w:t xml:space="preserve"> </w:t>
      </w:r>
      <w:r w:rsidR="00F076AC" w:rsidRPr="009A2E44">
        <w:rPr>
          <w:rFonts w:ascii="Garamond" w:hAnsi="Garamond"/>
        </w:rPr>
        <w:t>Magnetic susceptibility</w:t>
      </w:r>
      <w:r w:rsidR="00E7391F" w:rsidRPr="009A2E44">
        <w:rPr>
          <w:rFonts w:ascii="Garamond" w:hAnsi="Garamond"/>
        </w:rPr>
        <w:t xml:space="preserve"> data </w:t>
      </w:r>
      <w:r w:rsidR="00155D9F" w:rsidRPr="009A2E44">
        <w:rPr>
          <w:rFonts w:ascii="Garamond" w:hAnsi="Garamond"/>
        </w:rPr>
        <w:t xml:space="preserve">was not </w:t>
      </w:r>
      <w:r w:rsidR="004B615A" w:rsidRPr="009A2E44">
        <w:rPr>
          <w:rFonts w:ascii="Garamond" w:hAnsi="Garamond"/>
        </w:rPr>
        <w:t>acquired</w:t>
      </w:r>
      <w:r w:rsidR="00E7391F" w:rsidRPr="009A2E44">
        <w:rPr>
          <w:rFonts w:ascii="Garamond" w:hAnsi="Garamond"/>
        </w:rPr>
        <w:t xml:space="preserve"> for the </w:t>
      </w:r>
      <w:r w:rsidRPr="009A2E44">
        <w:rPr>
          <w:rFonts w:ascii="Garamond" w:hAnsi="Garamond"/>
        </w:rPr>
        <w:t>uppermost</w:t>
      </w:r>
      <w:r w:rsidR="00350122" w:rsidRPr="009A2E44">
        <w:rPr>
          <w:rFonts w:ascii="Garamond" w:hAnsi="Garamond"/>
        </w:rPr>
        <w:t xml:space="preserve"> </w:t>
      </w:r>
      <w:r w:rsidR="00E7391F" w:rsidRPr="009A2E44">
        <w:rPr>
          <w:rFonts w:ascii="Garamond" w:hAnsi="Garamond"/>
        </w:rPr>
        <w:t>portions of sediment cores that were sectioned in the field.</w:t>
      </w:r>
      <w:r w:rsidR="00BB7553" w:rsidRPr="009A2E44">
        <w:rPr>
          <w:rFonts w:ascii="Garamond" w:hAnsi="Garamond"/>
        </w:rPr>
        <w:t xml:space="preserve"> </w:t>
      </w:r>
    </w:p>
    <w:p w14:paraId="7B12401F" w14:textId="27289EC1" w:rsidR="0054774B" w:rsidRPr="009A2E44" w:rsidRDefault="00577D29" w:rsidP="001C47D3">
      <w:pPr>
        <w:spacing w:line="480" w:lineRule="auto"/>
        <w:ind w:firstLine="720"/>
        <w:rPr>
          <w:rFonts w:ascii="Garamond" w:hAnsi="Garamond"/>
        </w:rPr>
      </w:pPr>
      <w:r w:rsidRPr="009A2E44">
        <w:rPr>
          <w:rFonts w:ascii="Garamond" w:hAnsi="Garamond"/>
        </w:rPr>
        <w:t xml:space="preserve">Sampling of </w:t>
      </w:r>
      <w:r w:rsidR="00EE1C99" w:rsidRPr="009A2E44">
        <w:rPr>
          <w:rFonts w:ascii="Garamond" w:hAnsi="Garamond"/>
        </w:rPr>
        <w:t xml:space="preserve">the sediment-water interface of </w:t>
      </w:r>
      <w:r w:rsidRPr="009A2E44">
        <w:rPr>
          <w:rFonts w:ascii="Garamond" w:hAnsi="Garamond"/>
        </w:rPr>
        <w:t xml:space="preserve">Lake Lanoto’o (‘Upolu, Samoa) and Lake Emaotul (Efate, Vanuatu) </w:t>
      </w:r>
      <w:r w:rsidR="00FF338B" w:rsidRPr="009A2E44">
        <w:rPr>
          <w:rFonts w:ascii="Garamond" w:hAnsi="Garamond"/>
        </w:rPr>
        <w:t xml:space="preserve">was conducted with </w:t>
      </w:r>
      <w:r w:rsidRPr="009A2E44">
        <w:rPr>
          <w:rFonts w:ascii="Garamond" w:hAnsi="Garamond"/>
        </w:rPr>
        <w:t>a split core tube in a U</w:t>
      </w:r>
      <w:r w:rsidR="00EE1C99" w:rsidRPr="009A2E44">
        <w:rPr>
          <w:rFonts w:ascii="Garamond" w:hAnsi="Garamond"/>
        </w:rPr>
        <w:t>WITEC</w:t>
      </w:r>
      <w:r w:rsidRPr="009A2E44">
        <w:rPr>
          <w:rFonts w:ascii="Garamond" w:hAnsi="Garamond"/>
        </w:rPr>
        <w:t xml:space="preserve"> gravity corer, the split sealed with gaffer tape. On recovery</w:t>
      </w:r>
      <w:r w:rsidR="00EE72F5" w:rsidRPr="009A2E44">
        <w:rPr>
          <w:rFonts w:ascii="Garamond" w:hAnsi="Garamond"/>
        </w:rPr>
        <w:t>,</w:t>
      </w:r>
      <w:r w:rsidRPr="009A2E44">
        <w:rPr>
          <w:rFonts w:ascii="Garamond" w:hAnsi="Garamond"/>
        </w:rPr>
        <w:t xml:space="preserve"> excess water was siphoned off and </w:t>
      </w:r>
      <w:proofErr w:type="spellStart"/>
      <w:r w:rsidRPr="009A2E44">
        <w:rPr>
          <w:rFonts w:ascii="Garamond" w:hAnsi="Garamond"/>
        </w:rPr>
        <w:t>Zorbitrol</w:t>
      </w:r>
      <w:proofErr w:type="spellEnd"/>
      <w:r w:rsidRPr="009A2E44">
        <w:rPr>
          <w:rFonts w:ascii="Garamond" w:hAnsi="Garamond"/>
        </w:rPr>
        <w:t xml:space="preserve"> powder gently added to the remaining 5</w:t>
      </w:r>
      <w:r w:rsidR="00717DBA" w:rsidRPr="009A2E44">
        <w:rPr>
          <w:rFonts w:ascii="Garamond" w:hAnsi="Garamond"/>
        </w:rPr>
        <w:t xml:space="preserve"> </w:t>
      </w:r>
      <w:r w:rsidRPr="009A2E44">
        <w:rPr>
          <w:rFonts w:ascii="Garamond" w:hAnsi="Garamond"/>
        </w:rPr>
        <w:t>cm of water above the sediment</w:t>
      </w:r>
      <w:r w:rsidR="00805861" w:rsidRPr="009A2E44">
        <w:rPr>
          <w:rFonts w:ascii="Garamond" w:hAnsi="Garamond"/>
        </w:rPr>
        <w:t xml:space="preserve"> </w:t>
      </w:r>
      <w:r w:rsidR="00D0290B" w:rsidRPr="009A2E44">
        <w:rPr>
          <w:rFonts w:ascii="Garamond" w:hAnsi="Garamond"/>
        </w:rPr>
        <w:t>to</w:t>
      </w:r>
      <w:r w:rsidR="00805861" w:rsidRPr="009A2E44">
        <w:rPr>
          <w:rFonts w:ascii="Garamond" w:hAnsi="Garamond"/>
        </w:rPr>
        <w:t xml:space="preserve"> consolidate the uppermost sediments for subsequent transport and sampling</w:t>
      </w:r>
      <w:r w:rsidRPr="009A2E44">
        <w:rPr>
          <w:rFonts w:ascii="Garamond" w:hAnsi="Garamond"/>
        </w:rPr>
        <w:t xml:space="preserve">. </w:t>
      </w:r>
      <w:r w:rsidR="00863D22" w:rsidRPr="009A2E44">
        <w:rPr>
          <w:rFonts w:ascii="Garamond" w:hAnsi="Garamond"/>
        </w:rPr>
        <w:t>Interface cores were</w:t>
      </w:r>
      <w:r w:rsidRPr="009A2E44">
        <w:rPr>
          <w:rFonts w:ascii="Garamond" w:hAnsi="Garamond"/>
        </w:rPr>
        <w:t xml:space="preserve"> split in the field and a plastic U-channel was impressed into the exposed sediment enabling an undisturbed section to be preserved and transported for analysis. The remaining intact sediment was subsampled in the field at 0.5 </w:t>
      </w:r>
      <w:r w:rsidR="00F759BA" w:rsidRPr="009A2E44">
        <w:rPr>
          <w:rFonts w:ascii="Garamond" w:hAnsi="Garamond"/>
          <w:color w:val="202020"/>
          <w:shd w:val="clear" w:color="auto" w:fill="FFFFFF"/>
        </w:rPr>
        <w:t>–</w:t>
      </w:r>
      <w:r w:rsidRPr="009A2E44">
        <w:rPr>
          <w:rFonts w:ascii="Garamond" w:hAnsi="Garamond"/>
        </w:rPr>
        <w:t xml:space="preserve"> </w:t>
      </w:r>
      <w:r w:rsidR="00886E91">
        <w:rPr>
          <w:rFonts w:ascii="Garamond" w:hAnsi="Garamond"/>
        </w:rPr>
        <w:t xml:space="preserve">2 </w:t>
      </w:r>
      <w:r w:rsidRPr="009A2E44">
        <w:rPr>
          <w:rFonts w:ascii="Garamond" w:hAnsi="Garamond"/>
        </w:rPr>
        <w:t xml:space="preserve">cm intervals. </w:t>
      </w:r>
      <w:r w:rsidR="00F759BA" w:rsidRPr="009A2E44">
        <w:rPr>
          <w:rFonts w:ascii="Garamond" w:hAnsi="Garamond"/>
        </w:rPr>
        <w:t>Deeper sediments were collected with a 120 cm Livingstone-type corer (</w:t>
      </w:r>
      <w:r w:rsidR="009F3969" w:rsidRPr="009A2E44">
        <w:rPr>
          <w:rFonts w:ascii="Garamond" w:hAnsi="Garamond"/>
        </w:rPr>
        <w:t>Geo-Core, Columbus, OH</w:t>
      </w:r>
      <w:r w:rsidR="00F759BA" w:rsidRPr="009A2E44">
        <w:rPr>
          <w:rFonts w:ascii="Garamond" w:hAnsi="Garamond"/>
        </w:rPr>
        <w:t>)</w:t>
      </w:r>
      <w:r w:rsidR="00FF338B" w:rsidRPr="009A2E44">
        <w:rPr>
          <w:rFonts w:ascii="Garamond" w:hAnsi="Garamond"/>
        </w:rPr>
        <w:t>.</w:t>
      </w:r>
      <w:r w:rsidR="00F759BA" w:rsidRPr="009A2E44">
        <w:rPr>
          <w:rFonts w:ascii="Garamond" w:hAnsi="Garamond"/>
        </w:rPr>
        <w:t xml:space="preserve"> </w:t>
      </w:r>
      <w:r w:rsidR="00FF338B" w:rsidRPr="009A2E44">
        <w:rPr>
          <w:rFonts w:ascii="Garamond" w:hAnsi="Garamond"/>
        </w:rPr>
        <w:t>A</w:t>
      </w:r>
      <w:r w:rsidR="00F759BA" w:rsidRPr="009A2E44">
        <w:rPr>
          <w:rFonts w:ascii="Garamond" w:hAnsi="Garamond"/>
        </w:rPr>
        <w:t xml:space="preserve">fter transport and extrusion into PVC </w:t>
      </w:r>
      <w:r w:rsidR="00FF338B" w:rsidRPr="009A2E44">
        <w:rPr>
          <w:rFonts w:ascii="Garamond" w:hAnsi="Garamond"/>
        </w:rPr>
        <w:t xml:space="preserve">tubing, </w:t>
      </w:r>
      <w:r w:rsidRPr="009A2E44">
        <w:rPr>
          <w:rFonts w:ascii="Garamond" w:hAnsi="Garamond"/>
        </w:rPr>
        <w:t xml:space="preserve">cores </w:t>
      </w:r>
      <w:r w:rsidR="0054774B" w:rsidRPr="009A2E44">
        <w:rPr>
          <w:rFonts w:ascii="Garamond" w:hAnsi="Garamond"/>
        </w:rPr>
        <w:t xml:space="preserve">underwent </w:t>
      </w:r>
      <w:r w:rsidR="00F076AC" w:rsidRPr="009A2E44">
        <w:rPr>
          <w:rFonts w:ascii="Garamond" w:hAnsi="Garamond"/>
        </w:rPr>
        <w:t>magnetic susceptibility</w:t>
      </w:r>
      <w:r w:rsidR="0054774B" w:rsidRPr="009A2E44">
        <w:rPr>
          <w:rFonts w:ascii="Garamond" w:hAnsi="Garamond"/>
        </w:rPr>
        <w:t xml:space="preserve"> analysis </w:t>
      </w:r>
      <w:r w:rsidR="00DE6956" w:rsidRPr="009A2E44">
        <w:rPr>
          <w:rFonts w:ascii="Garamond" w:hAnsi="Garamond"/>
        </w:rPr>
        <w:t>at 1.0 cm intervals</w:t>
      </w:r>
      <w:r w:rsidR="00F759BA" w:rsidRPr="009A2E44">
        <w:rPr>
          <w:rFonts w:ascii="Garamond" w:hAnsi="Garamond"/>
        </w:rPr>
        <w:t xml:space="preserve">. </w:t>
      </w:r>
      <w:r w:rsidR="00FF338B" w:rsidRPr="009A2E44">
        <w:rPr>
          <w:rFonts w:ascii="Garamond" w:hAnsi="Garamond"/>
        </w:rPr>
        <w:t>Cores were t</w:t>
      </w:r>
      <w:r w:rsidR="00F759BA" w:rsidRPr="009A2E44">
        <w:rPr>
          <w:rFonts w:ascii="Garamond" w:hAnsi="Garamond"/>
        </w:rPr>
        <w:t xml:space="preserve">hen split </w:t>
      </w:r>
      <w:proofErr w:type="gramStart"/>
      <w:r w:rsidR="00F759BA" w:rsidRPr="009A2E44">
        <w:rPr>
          <w:rFonts w:ascii="Garamond" w:hAnsi="Garamond"/>
        </w:rPr>
        <w:t>longitudinally</w:t>
      </w:r>
      <w:proofErr w:type="gramEnd"/>
      <w:r w:rsidR="00F759BA" w:rsidRPr="009A2E44">
        <w:rPr>
          <w:rFonts w:ascii="Garamond" w:hAnsi="Garamond"/>
        </w:rPr>
        <w:t xml:space="preserve"> and U-channels </w:t>
      </w:r>
      <w:r w:rsidR="00FF338B" w:rsidRPr="009A2E44">
        <w:rPr>
          <w:rFonts w:ascii="Garamond" w:hAnsi="Garamond"/>
        </w:rPr>
        <w:t xml:space="preserve">were </w:t>
      </w:r>
      <w:r w:rsidR="00F759BA" w:rsidRPr="009A2E44">
        <w:rPr>
          <w:rFonts w:ascii="Garamond" w:hAnsi="Garamond"/>
        </w:rPr>
        <w:t xml:space="preserve">taken for </w:t>
      </w:r>
      <w:r w:rsidR="0054774B" w:rsidRPr="009A2E44">
        <w:rPr>
          <w:rFonts w:ascii="Garamond" w:hAnsi="Garamond"/>
        </w:rPr>
        <w:t>micro X-ray fluorescence (</w:t>
      </w:r>
      <w:proofErr w:type="spellStart"/>
      <w:r w:rsidR="0054774B" w:rsidRPr="009A2E44">
        <w:rPr>
          <w:rFonts w:ascii="Garamond" w:hAnsi="Garamond"/>
        </w:rPr>
        <w:t>μXRF</w:t>
      </w:r>
      <w:proofErr w:type="spellEnd"/>
      <w:r w:rsidR="0054774B" w:rsidRPr="009A2E44">
        <w:rPr>
          <w:rFonts w:ascii="Garamond" w:hAnsi="Garamond"/>
        </w:rPr>
        <w:t xml:space="preserve">) </w:t>
      </w:r>
      <w:r w:rsidR="00C42928" w:rsidRPr="009A2E44">
        <w:rPr>
          <w:rFonts w:ascii="Garamond" w:hAnsi="Garamond"/>
        </w:rPr>
        <w:t>at 200</w:t>
      </w:r>
      <w:r w:rsidR="0020077F" w:rsidRPr="009A2E44">
        <w:rPr>
          <w:rFonts w:ascii="Garamond" w:hAnsi="Garamond"/>
        </w:rPr>
        <w:t xml:space="preserve"> </w:t>
      </w:r>
      <w:proofErr w:type="spellStart"/>
      <w:r w:rsidR="0020077F" w:rsidRPr="009A2E44">
        <w:rPr>
          <w:rFonts w:ascii="Garamond" w:hAnsi="Garamond"/>
        </w:rPr>
        <w:t>μm</w:t>
      </w:r>
      <w:proofErr w:type="spellEnd"/>
      <w:r w:rsidR="00C42928" w:rsidRPr="009A2E44">
        <w:rPr>
          <w:rFonts w:ascii="Garamond" w:hAnsi="Garamond"/>
        </w:rPr>
        <w:t xml:space="preserve"> resolution </w:t>
      </w:r>
      <w:r w:rsidR="00155D9F" w:rsidRPr="009A2E44">
        <w:rPr>
          <w:rFonts w:ascii="Garamond" w:hAnsi="Garamond"/>
        </w:rPr>
        <w:t xml:space="preserve">(500 </w:t>
      </w:r>
      <w:proofErr w:type="spellStart"/>
      <w:r w:rsidR="00155D9F" w:rsidRPr="009A2E44">
        <w:rPr>
          <w:rFonts w:ascii="Garamond" w:hAnsi="Garamond"/>
        </w:rPr>
        <w:t>μm</w:t>
      </w:r>
      <w:proofErr w:type="spellEnd"/>
      <w:r w:rsidR="00155D9F" w:rsidRPr="009A2E44">
        <w:rPr>
          <w:rFonts w:ascii="Garamond" w:hAnsi="Garamond"/>
        </w:rPr>
        <w:t xml:space="preserve"> in LAN14-L1-1) </w:t>
      </w:r>
      <w:r w:rsidR="0054774B" w:rsidRPr="009A2E44">
        <w:rPr>
          <w:rFonts w:ascii="Garamond" w:hAnsi="Garamond"/>
        </w:rPr>
        <w:t>at the</w:t>
      </w:r>
      <w:r w:rsidR="00C42928" w:rsidRPr="009A2E44">
        <w:rPr>
          <w:rFonts w:ascii="Garamond" w:hAnsi="Garamond"/>
        </w:rPr>
        <w:t xml:space="preserve"> National Core facility BOSCORF, </w:t>
      </w:r>
      <w:r w:rsidR="0054774B" w:rsidRPr="009A2E44">
        <w:rPr>
          <w:rFonts w:ascii="Garamond" w:hAnsi="Garamond"/>
        </w:rPr>
        <w:t>University of Southampton</w:t>
      </w:r>
      <w:r w:rsidR="00C42928" w:rsidRPr="009A2E44">
        <w:rPr>
          <w:rFonts w:ascii="Garamond" w:hAnsi="Garamond"/>
        </w:rPr>
        <w:t xml:space="preserve">. </w:t>
      </w:r>
      <w:r w:rsidR="005868B9">
        <w:rPr>
          <w:rFonts w:ascii="Garamond" w:hAnsi="Garamond"/>
        </w:rPr>
        <w:t>T</w:t>
      </w:r>
      <w:r w:rsidR="00805861" w:rsidRPr="009A2E44">
        <w:rPr>
          <w:rFonts w:ascii="Garamond" w:hAnsi="Garamond"/>
        </w:rPr>
        <w:t>he terrestrial in</w:t>
      </w:r>
      <w:r w:rsidR="00D57670" w:rsidRPr="009A2E44">
        <w:rPr>
          <w:rFonts w:ascii="Garamond" w:hAnsi="Garamond"/>
        </w:rPr>
        <w:t>-</w:t>
      </w:r>
      <w:r w:rsidR="00805861" w:rsidRPr="009A2E44">
        <w:rPr>
          <w:rFonts w:ascii="Garamond" w:hAnsi="Garamond"/>
        </w:rPr>
        <w:t>wash proxy titanium normalized by incoherence scatter (</w:t>
      </w:r>
      <w:proofErr w:type="spellStart"/>
      <w:r w:rsidR="00805861" w:rsidRPr="009A2E44">
        <w:rPr>
          <w:rFonts w:ascii="Garamond" w:hAnsi="Garamond"/>
        </w:rPr>
        <w:t>Ti</w:t>
      </w:r>
      <w:proofErr w:type="spellEnd"/>
      <w:r w:rsidR="00805861" w:rsidRPr="009A2E44">
        <w:rPr>
          <w:rFonts w:ascii="Garamond" w:hAnsi="Garamond"/>
        </w:rPr>
        <w:t>/Inc)</w:t>
      </w:r>
      <w:r w:rsidR="00FF338B" w:rsidRPr="009A2E44">
        <w:rPr>
          <w:rFonts w:ascii="Garamond" w:hAnsi="Garamond"/>
        </w:rPr>
        <w:t>,</w:t>
      </w:r>
      <w:r w:rsidR="00C42928" w:rsidRPr="009A2E44">
        <w:rPr>
          <w:rFonts w:ascii="Garamond" w:hAnsi="Garamond"/>
        </w:rPr>
        <w:t xml:space="preserve"> as reported in </w:t>
      </w:r>
      <w:r w:rsidR="004A4D7D" w:rsidRPr="009A2E44">
        <w:rPr>
          <w:rFonts w:ascii="Garamond" w:hAnsi="Garamond"/>
        </w:rPr>
        <w:fldChar w:fldCharType="begin" w:fldLock="1"/>
      </w:r>
      <w:r w:rsidR="00E757E6">
        <w:rPr>
          <w:rFonts w:ascii="Garamond" w:hAnsi="Garamond"/>
        </w:rPr>
        <w:instrText>ADDIN CSL_CITATION {"citationItems":[{"id":"ITEM-1","itemData":{"DOI":"10.1111/jbi.13783","ISSN":"13652699","abstract":"Aim: To track the peopling of the South Pacific and assess their impact on terrestrial and aquatic ecosystems. Location: Upolu, Samoa. Taxon: Terrestrial and aquatic plants. Methods: A sedimentary record covering the last c. 10,500 years was recovered from the volcanic crater that contains Lake Lanoto'o near the centre of Upolu Island. Information on past ecological change was obtained from microscopic and macroscopic remains extracted from the sediments: charcoal (fire history), pollen/spores and plant remains (vegetation history), and lake status (algae/cyanobacteria). Information on the depositional environment and climate was obtained from geochemical and sedimentary analysis: loss-on-ignition (sediment composition), cryptotephras (volcanic eruptions) and precipitation regime (Ti/inc). The environmental history developed was compared with the archaeological record from the region. Results: Charcoal material was found in the Lake Lanoto'o sediments at higher abundances and more frequently in samples from the period after the first archaeological evidence of people on Upolu (c. 2900–2700 years ago). No abrupt shift is recognized in the vegetation or aquatic ecosystem assemblages coincident with the arrival of people on the island. Main conclusions: Macrocharcoal is demonstrated to be an effective proxy for detecting human occupation of Upolu around 2,800 years ago. The immediate impact of these settlers on the vegetation seems to have been minimal; however, a subsequent opening up of the landscape is suggested through the gradual increase in ferns. The absence of any significant change in the aquatic community associated with, or after, the arrival of people on the islands suggests that humans rarely visited the lake. We suggest that on Upolu a simple model of decreasing human impact away from coastal areas is applicable.","author":[{"dropping-particle":"","family":"Gosling","given":"William D","non-dropping-particle":"","parse-names":false,"suffix":""},{"dropping-particle":"","family":"Sear","given":"David A","non-dropping-particle":"","parse-names":false,"suffix":""},{"dropping-particle":"","family":"Hassall","given":"Jonathan D","non-dropping-particle":"","parse-names":false,"suffix":""},{"dropping-particle":"","family":"Langdon","given":"Pete G","non-dropping-particle":"","parse-names":false,"suffix":""},{"dropping-particle":"","family":"Bönnen","given":"Mick N T","non-dropping-particle":"","parse-names":false,"suffix":""},{"dropping-particle":"","family":"Driessen","given":"Tessa D","non-dropping-particle":"","parse-names":false,"suffix":""},{"dropping-particle":"","family":"Kemenade","given":"Zoë R","non-dropping-particle":"van","parse-names":false,"suffix":""},{"dropping-particle":"","family":"Noort","given":"Kevin","non-dropping-particle":"","parse-names":false,"suffix":""},{"dropping-particle":"","family":"Leng","given":"Melanie J","non-dropping-particle":"","parse-names":false,"suffix":""},{"dropping-particle":"","family":"Croudace","given":"Ian W","non-dropping-particle":"","parse-names":false,"suffix":""},{"dropping-particle":"","family":"Bourne","given":"Anna J","non-dropping-particle":"","parse-names":false,"suffix":""},{"dropping-particle":"Van","family":"Kemenade","given":"Zoë R","non-dropping-particle":"","parse-names":false,"suffix":""},{"dropping-particle":"","family":"McMichael","given":"Crystal N H","non-dropping-particle":"","parse-names":false,"suffix":""}],"container-title":"Journal of Biogeography","id":"ITEM-1","issued":{"date-parts":[["2020"]]},"page":"600-614","title":"Human occupation and ecosystem change on Upolu (Samoa) during the Holocene","type":"article-journal","volume":"47"},"uris":["http://www.mendeley.com/documents/?uuid=895f1559-fc09-4400-9937-b186d0b60b34"]},{"id":"ITEM-2","itemData":{"DOI":"10.1073/pnas.1920975117","ISSN":"10916490","PMID":"32253300","abstract":"The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America","id":"ITEM-2","issue":"16","issued":{"date-parts":[["2020"]]},"page":"8813-8819","title":"Human settlement of East Polynesia earlier, incremental, and coincident with prolonged South Pacific drought","type":"article-journal","volume":"117"},"uris":["http://www.mendeley.com/documents/?uuid=5e4a7b40-a602-4fa6-8dd7-b9d6ae8d7f06"]}],"mendeley":{"formattedCitation":"(Gosling et al., 2020; Sear et al., 2020)","manualFormatting":"Gosling et al. (2020) and Sear et al. (2020)","plainTextFormattedCitation":"(Gosling et al., 2020; Sear et al., 2020)","previouslyFormattedCitation":"(Gosling et al., 2020; Sear et al., 2020)"},"properties":{"noteIndex":0},"schema":"https://github.com/citation-style-language/schema/raw/master/csl-citation.json"}</w:instrText>
      </w:r>
      <w:r w:rsidR="004A4D7D" w:rsidRPr="009A2E44">
        <w:rPr>
          <w:rFonts w:ascii="Garamond" w:hAnsi="Garamond"/>
        </w:rPr>
        <w:fldChar w:fldCharType="separate"/>
      </w:r>
      <w:r w:rsidR="004A4D7D" w:rsidRPr="009A2E44">
        <w:rPr>
          <w:rFonts w:ascii="Garamond" w:hAnsi="Garamond"/>
          <w:noProof/>
        </w:rPr>
        <w:t xml:space="preserve">Gosling et al. </w:t>
      </w:r>
      <w:r w:rsidR="00FF338B" w:rsidRPr="009A2E44">
        <w:rPr>
          <w:rFonts w:ascii="Garamond" w:hAnsi="Garamond"/>
          <w:noProof/>
        </w:rPr>
        <w:t>(</w:t>
      </w:r>
      <w:r w:rsidR="004A4D7D" w:rsidRPr="009A2E44">
        <w:rPr>
          <w:rFonts w:ascii="Garamond" w:hAnsi="Garamond"/>
          <w:noProof/>
        </w:rPr>
        <w:t>2020</w:t>
      </w:r>
      <w:r w:rsidR="00FF338B" w:rsidRPr="009A2E44">
        <w:rPr>
          <w:rFonts w:ascii="Garamond" w:hAnsi="Garamond"/>
          <w:noProof/>
        </w:rPr>
        <w:t>) and</w:t>
      </w:r>
      <w:r w:rsidR="004A4D7D" w:rsidRPr="009A2E44">
        <w:rPr>
          <w:rFonts w:ascii="Garamond" w:hAnsi="Garamond"/>
          <w:noProof/>
        </w:rPr>
        <w:t xml:space="preserve"> Sear et al.</w:t>
      </w:r>
      <w:r w:rsidR="00FF338B" w:rsidRPr="009A2E44">
        <w:rPr>
          <w:rFonts w:ascii="Garamond" w:hAnsi="Garamond"/>
          <w:noProof/>
        </w:rPr>
        <w:t xml:space="preserve"> (</w:t>
      </w:r>
      <w:r w:rsidR="004A4D7D" w:rsidRPr="009A2E44">
        <w:rPr>
          <w:rFonts w:ascii="Garamond" w:hAnsi="Garamond"/>
          <w:noProof/>
        </w:rPr>
        <w:t>2020)</w:t>
      </w:r>
      <w:r w:rsidR="004A4D7D" w:rsidRPr="009A2E44">
        <w:rPr>
          <w:rFonts w:ascii="Garamond" w:hAnsi="Garamond"/>
        </w:rPr>
        <w:fldChar w:fldCharType="end"/>
      </w:r>
      <w:r w:rsidR="005868B9">
        <w:rPr>
          <w:rFonts w:ascii="Garamond" w:hAnsi="Garamond"/>
        </w:rPr>
        <w:t>, was used</w:t>
      </w:r>
      <w:r w:rsidR="000B5304" w:rsidRPr="009A2E44">
        <w:rPr>
          <w:rFonts w:ascii="Garamond" w:hAnsi="Garamond"/>
        </w:rPr>
        <w:t xml:space="preserve"> for Lake Emaotul cores and </w:t>
      </w:r>
      <w:r w:rsidR="00155D9F" w:rsidRPr="009A2E44">
        <w:rPr>
          <w:rFonts w:ascii="Garamond" w:hAnsi="Garamond"/>
        </w:rPr>
        <w:t>titanium</w:t>
      </w:r>
      <w:r w:rsidR="000B5304" w:rsidRPr="009A2E44">
        <w:rPr>
          <w:rFonts w:ascii="Garamond" w:hAnsi="Garamond"/>
        </w:rPr>
        <w:t xml:space="preserve"> corrected for water (</w:t>
      </w:r>
      <w:proofErr w:type="spellStart"/>
      <w:r w:rsidR="000B5304" w:rsidRPr="009A2E44">
        <w:rPr>
          <w:rFonts w:ascii="Garamond" w:hAnsi="Garamond"/>
        </w:rPr>
        <w:t>Ti</w:t>
      </w:r>
      <w:proofErr w:type="spellEnd"/>
      <w:r w:rsidR="000B5304" w:rsidRPr="009A2E44">
        <w:rPr>
          <w:rFonts w:ascii="Garamond" w:hAnsi="Garamond"/>
        </w:rPr>
        <w:t xml:space="preserve">*) for Lake </w:t>
      </w:r>
      <w:proofErr w:type="spellStart"/>
      <w:r w:rsidR="000B5304" w:rsidRPr="009A2E44">
        <w:rPr>
          <w:rFonts w:ascii="Garamond" w:hAnsi="Garamond"/>
        </w:rPr>
        <w:t>Lanoto’o</w:t>
      </w:r>
      <w:proofErr w:type="spellEnd"/>
      <w:r w:rsidR="000B5304" w:rsidRPr="009A2E44">
        <w:rPr>
          <w:rFonts w:ascii="Garamond" w:hAnsi="Garamond"/>
        </w:rPr>
        <w:t xml:space="preserve"> cores</w:t>
      </w:r>
      <w:r w:rsidR="00225DCD" w:rsidRPr="009A2E44">
        <w:rPr>
          <w:rFonts w:ascii="Garamond" w:hAnsi="Garamond"/>
        </w:rPr>
        <w:t xml:space="preserve"> </w:t>
      </w:r>
      <w:r w:rsidR="00580559">
        <w:rPr>
          <w:rFonts w:ascii="Garamond" w:hAnsi="Garamond"/>
        </w:rPr>
        <w:t>following</w:t>
      </w:r>
      <w:r w:rsidR="00225DCD" w:rsidRPr="009A2E44">
        <w:rPr>
          <w:rFonts w:ascii="Garamond" w:hAnsi="Garamond"/>
        </w:rPr>
        <w:t xml:space="preserve"> </w:t>
      </w:r>
      <w:r w:rsidR="00720DEF" w:rsidRPr="009A2E44">
        <w:rPr>
          <w:rFonts w:ascii="Garamond" w:hAnsi="Garamond"/>
        </w:rPr>
        <w:fldChar w:fldCharType="begin" w:fldLock="1"/>
      </w:r>
      <w:r w:rsidR="00742688" w:rsidRPr="009A2E44">
        <w:rPr>
          <w:rFonts w:ascii="Garamond" w:hAnsi="Garamond"/>
        </w:rPr>
        <w:instrText>ADDIN CSL_CITATION {"citationItems":[{"id":"ITEM-1","itemData":{"DOI":"10.1007/978-94-017-9849-5_14","ISBN":"9789401798495","abstract":"Geochemical evaluation of sediment records traditionally exploits dry mass concentration data; the new generation of scanning XRF devices, however, are generally presented with wet sediment cores. Therefore, conversion of wet core measured XRF data to dry mass concentrations will aid the palaeoenvironmental interpretation, provided the method used is reliable and avoids loss of data qual- ity. Here, using data from a GEOTEK/Olympus DELTA scanning µXRF device (approximately 5 mm resolution), we compare two methods: (1) correction by simple regression, calibrated using dry sediment elemental concentration data mea- sured for a ‘training set’ of subsamples, and (2) a novel technique that corrects for water content estimated using X-ray scattering data obtained during scanning. We show that where sediment water contents are highly variable the regression method fails while water content correction methods can be highly effective. Where water sediment water contents are relatively constant, the elemental regression is as effec- tive and introduces less noise.","author":[{"dropping-particle":"","family":"Boyle","given":"John F.","non-dropping-particle":"","parse-names":false,"suffix":""},{"dropping-particle":"","family":"Chiverrell","given":"Richard C.","non-dropping-particle":"","parse-names":false,"suffix":""},{"dropping-particle":"","family":"Schillereff","given":"Dan","non-dropping-particle":"","parse-names":false,"suffix":""}],"chapter-number":"14","container-title":"Micro-XRF Studies of Sediment Cores, Applications of a non-destructive Tool for the Environmental Sciences","editor":[{"dropping-particle":"","family":"Croudace","given":"I W","non-dropping-particle":"","parse-names":false,"suffix":""},{"dropping-particle":"","family":"Rothwell","given":"R. G.","non-dropping-particle":"","parse-names":false,"suffix":""}],"id":"ITEM-1","issued":{"date-parts":[["2015"]]},"page":"373-390","publisher":"Springer","publisher-place":"Dordrecht","title":"Approaches to Water Content Correction and Calibration for µXRF Core Scanning: Comparing X-ray Scattering with Simple Regression of Elemental Concentrations","type":"chapter"},"uris":["http://www.mendeley.com/documents/?uuid=3807739b-0839-4b67-8d0c-46a92d31b676"]}],"mendeley":{"formattedCitation":"(Boyle et al., 2015)","manualFormatting":"Boyle et al. (2015)","plainTextFormattedCitation":"(Boyle et al., 2015)","previouslyFormattedCitation":"(Boyle et al., 2015)"},"properties":{"noteIndex":0},"schema":"https://github.com/citation-style-language/schema/raw/master/csl-citation.json"}</w:instrText>
      </w:r>
      <w:r w:rsidR="00720DEF" w:rsidRPr="009A2E44">
        <w:rPr>
          <w:rFonts w:ascii="Garamond" w:hAnsi="Garamond"/>
        </w:rPr>
        <w:fldChar w:fldCharType="separate"/>
      </w:r>
      <w:r w:rsidR="00720DEF" w:rsidRPr="009A2E44">
        <w:rPr>
          <w:rFonts w:ascii="Garamond" w:hAnsi="Garamond"/>
          <w:noProof/>
        </w:rPr>
        <w:t>Boyle et al. (2015)</w:t>
      </w:r>
      <w:r w:rsidR="00720DEF" w:rsidRPr="009A2E44">
        <w:rPr>
          <w:rFonts w:ascii="Garamond" w:hAnsi="Garamond"/>
        </w:rPr>
        <w:fldChar w:fldCharType="end"/>
      </w:r>
      <w:r w:rsidR="0054774B" w:rsidRPr="009A2E44">
        <w:rPr>
          <w:rFonts w:ascii="Garamond" w:hAnsi="Garamond"/>
        </w:rPr>
        <w:t>.</w:t>
      </w:r>
      <w:r w:rsidR="006E64ED" w:rsidRPr="009A2E44">
        <w:rPr>
          <w:rFonts w:ascii="Garamond" w:hAnsi="Garamond"/>
        </w:rPr>
        <w:t xml:space="preserve"> </w:t>
      </w:r>
      <w:r w:rsidR="00155D9F" w:rsidRPr="009A2E44">
        <w:rPr>
          <w:rFonts w:ascii="Garamond" w:hAnsi="Garamond"/>
        </w:rPr>
        <w:t xml:space="preserve">In Lake Lanoto’o the gravity core section LAN14-UC2 and Livingstone-type section LAN14-L1-1 were used as a single composite core. </w:t>
      </w:r>
      <w:r w:rsidR="006E64ED" w:rsidRPr="009A2E44">
        <w:rPr>
          <w:rFonts w:ascii="Garamond" w:hAnsi="Garamond"/>
        </w:rPr>
        <w:t xml:space="preserve">In Lake </w:t>
      </w:r>
      <w:r w:rsidR="00D2560D" w:rsidRPr="009A2E44">
        <w:rPr>
          <w:rFonts w:ascii="Garamond" w:hAnsi="Garamond"/>
        </w:rPr>
        <w:t>Emaotul</w:t>
      </w:r>
      <w:r w:rsidR="006E64ED" w:rsidRPr="009A2E44">
        <w:rPr>
          <w:rFonts w:ascii="Garamond" w:hAnsi="Garamond"/>
        </w:rPr>
        <w:t>, near</w:t>
      </w:r>
      <w:r w:rsidR="00053B85">
        <w:rPr>
          <w:rFonts w:ascii="Garamond" w:hAnsi="Garamond"/>
        </w:rPr>
        <w:t xml:space="preserve"> </w:t>
      </w:r>
      <w:r w:rsidR="006E64ED" w:rsidRPr="009A2E44">
        <w:rPr>
          <w:rFonts w:ascii="Garamond" w:hAnsi="Garamond"/>
        </w:rPr>
        <w:t>core top samples from two undated gravity cores (</w:t>
      </w:r>
      <w:r w:rsidR="00155D9F" w:rsidRPr="009A2E44">
        <w:rPr>
          <w:rFonts w:ascii="Garamond" w:hAnsi="Garamond"/>
        </w:rPr>
        <w:t>VAN</w:t>
      </w:r>
      <w:r w:rsidR="006E64ED" w:rsidRPr="009A2E44">
        <w:rPr>
          <w:rFonts w:ascii="Garamond" w:hAnsi="Garamond"/>
        </w:rPr>
        <w:t xml:space="preserve">G7 (0 </w:t>
      </w:r>
      <w:r w:rsidR="006E64ED" w:rsidRPr="009A2E44">
        <w:rPr>
          <w:rFonts w:ascii="Garamond" w:hAnsi="Garamond"/>
          <w:color w:val="202020"/>
          <w:shd w:val="clear" w:color="auto" w:fill="FFFFFF"/>
        </w:rPr>
        <w:t>–</w:t>
      </w:r>
      <w:r w:rsidR="006E64ED" w:rsidRPr="009A2E44">
        <w:rPr>
          <w:rFonts w:ascii="Garamond" w:hAnsi="Garamond"/>
        </w:rPr>
        <w:t xml:space="preserve"> 2 cm) and </w:t>
      </w:r>
      <w:r w:rsidR="00155D9F" w:rsidRPr="009A2E44">
        <w:rPr>
          <w:rFonts w:ascii="Garamond" w:hAnsi="Garamond"/>
        </w:rPr>
        <w:t>VAN</w:t>
      </w:r>
      <w:r w:rsidR="006E64ED" w:rsidRPr="009A2E44">
        <w:rPr>
          <w:rFonts w:ascii="Garamond" w:hAnsi="Garamond"/>
        </w:rPr>
        <w:t xml:space="preserve">G5 (0 </w:t>
      </w:r>
      <w:r w:rsidR="006E64ED" w:rsidRPr="009A2E44">
        <w:rPr>
          <w:rFonts w:ascii="Garamond" w:hAnsi="Garamond"/>
          <w:color w:val="202020"/>
          <w:shd w:val="clear" w:color="auto" w:fill="FFFFFF"/>
        </w:rPr>
        <w:t>–</w:t>
      </w:r>
      <w:r w:rsidR="006E64ED" w:rsidRPr="009A2E44">
        <w:rPr>
          <w:rFonts w:ascii="Garamond" w:hAnsi="Garamond"/>
        </w:rPr>
        <w:t xml:space="preserve"> 2</w:t>
      </w:r>
      <w:r w:rsidR="00580559">
        <w:rPr>
          <w:rFonts w:ascii="Garamond" w:hAnsi="Garamond"/>
        </w:rPr>
        <w:t xml:space="preserve"> cm</w:t>
      </w:r>
      <w:r w:rsidR="006E64ED" w:rsidRPr="009A2E44">
        <w:rPr>
          <w:rFonts w:ascii="Garamond" w:hAnsi="Garamond"/>
        </w:rPr>
        <w:t xml:space="preserve">)) as well as a 0 </w:t>
      </w:r>
      <w:r w:rsidR="006E64ED" w:rsidRPr="009A2E44">
        <w:rPr>
          <w:rFonts w:ascii="Garamond" w:hAnsi="Garamond"/>
          <w:color w:val="202020"/>
          <w:shd w:val="clear" w:color="auto" w:fill="FFFFFF"/>
        </w:rPr>
        <w:t>–</w:t>
      </w:r>
      <w:r w:rsidR="006E64ED" w:rsidRPr="009A2E44">
        <w:rPr>
          <w:rFonts w:ascii="Garamond" w:hAnsi="Garamond"/>
        </w:rPr>
        <w:t xml:space="preserve"> 1 cm sample from a core collected in 1995 </w:t>
      </w:r>
      <w:r w:rsidR="006E64ED" w:rsidRPr="009A2E44">
        <w:rPr>
          <w:rFonts w:ascii="Garamond" w:hAnsi="Garamond"/>
        </w:rPr>
        <w:fldChar w:fldCharType="begin" w:fldLock="1"/>
      </w:r>
      <w:r w:rsidR="000A0CF9" w:rsidRPr="009A2E44">
        <w:rPr>
          <w:rFonts w:ascii="Garamond" w:hAnsi="Garamond"/>
        </w:rPr>
        <w:instrText>ADDIN CSL_CITATION {"citationItems":[{"id":"ITEM-1","itemData":{"DOI":"10.1016/j.gca.2018.10.028","ISSN":"0016-7037","author":[{"dropping-particle":"","family":"Maloney","given":"Ashley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Acta","id":"ITEM-1","issued":{"date-parts":[["2019"]]},"page":"190-206","publisher":"Elsevier Ltd","title":"Reconstructing precipitation in the tropical South Pacific from dinosterol 2H/1H ratios in lake sediment","type":"article-journal","volume":"245"},"uris":["http://www.mendeley.com/documents/?uuid=c7ab851f-4ac6-4a60-a0db-daaa3baed28f"]}],"mendeley":{"formattedCitation":"(Maloney et al., 2019)","plainTextFormattedCitation":"(Maloney et al., 2019)","previouslyFormattedCitation":"(Maloney et al., 2019)"},"properties":{"noteIndex":0},"schema":"https://github.com/citation-style-language/schema/raw/master/csl-citation.json"}</w:instrText>
      </w:r>
      <w:r w:rsidR="006E64ED" w:rsidRPr="009A2E44">
        <w:rPr>
          <w:rFonts w:ascii="Garamond" w:hAnsi="Garamond"/>
        </w:rPr>
        <w:fldChar w:fldCharType="separate"/>
      </w:r>
      <w:r w:rsidR="006E64ED" w:rsidRPr="009A2E44">
        <w:rPr>
          <w:rFonts w:ascii="Garamond" w:hAnsi="Garamond"/>
          <w:noProof/>
        </w:rPr>
        <w:t>(Maloney et al., 2019)</w:t>
      </w:r>
      <w:r w:rsidR="006E64ED" w:rsidRPr="009A2E44">
        <w:rPr>
          <w:rFonts w:ascii="Garamond" w:hAnsi="Garamond"/>
        </w:rPr>
        <w:fldChar w:fldCharType="end"/>
      </w:r>
      <w:r w:rsidR="006E64ED" w:rsidRPr="009A2E44">
        <w:rPr>
          <w:rFonts w:ascii="Garamond" w:hAnsi="Garamond"/>
        </w:rPr>
        <w:t xml:space="preserve"> were combined for a single core top </w:t>
      </w:r>
      <w:r w:rsidR="00DE6B62" w:rsidRPr="009A2E44">
        <w:rPr>
          <w:rFonts w:ascii="Garamond" w:hAnsi="Garamond"/>
        </w:rPr>
        <w:t xml:space="preserve">mean </w:t>
      </w:r>
      <w:r w:rsidR="006E64ED" w:rsidRPr="009A2E44">
        <w:rPr>
          <w:rFonts w:ascii="Garamond" w:hAnsi="Garamond"/>
        </w:rPr>
        <w:sym w:font="Symbol" w:char="F064"/>
      </w:r>
      <w:r w:rsidR="006E64ED" w:rsidRPr="009A2E44">
        <w:rPr>
          <w:rFonts w:ascii="Garamond" w:hAnsi="Garamond"/>
          <w:vertAlign w:val="superscript"/>
        </w:rPr>
        <w:t>2</w:t>
      </w:r>
      <w:r w:rsidR="006E64ED" w:rsidRPr="009A2E44">
        <w:rPr>
          <w:rFonts w:ascii="Garamond" w:hAnsi="Garamond"/>
        </w:rPr>
        <w:t>H</w:t>
      </w:r>
      <w:r w:rsidR="006E64ED" w:rsidRPr="009A2E44">
        <w:rPr>
          <w:rFonts w:ascii="Garamond" w:hAnsi="Garamond"/>
          <w:vertAlign w:val="subscript"/>
        </w:rPr>
        <w:t>dinosterol</w:t>
      </w:r>
      <w:r w:rsidR="006E64ED" w:rsidRPr="009A2E44">
        <w:rPr>
          <w:rFonts w:ascii="Garamond" w:hAnsi="Garamond"/>
        </w:rPr>
        <w:t xml:space="preserve"> </w:t>
      </w:r>
      <w:r w:rsidR="00DE6B62" w:rsidRPr="009A2E44">
        <w:rPr>
          <w:rFonts w:ascii="Garamond" w:hAnsi="Garamond"/>
        </w:rPr>
        <w:t>value</w:t>
      </w:r>
      <w:r w:rsidR="00EC15CE">
        <w:rPr>
          <w:rFonts w:ascii="Garamond" w:hAnsi="Garamond"/>
        </w:rPr>
        <w:t xml:space="preserve">, </w:t>
      </w:r>
      <w:r w:rsidR="00886E91">
        <w:rPr>
          <w:rFonts w:ascii="Garamond" w:hAnsi="Garamond"/>
        </w:rPr>
        <w:t xml:space="preserve">and </w:t>
      </w:r>
      <w:r w:rsidR="00EC15CE">
        <w:rPr>
          <w:rFonts w:ascii="Garamond" w:hAnsi="Garamond"/>
        </w:rPr>
        <w:t xml:space="preserve">ages </w:t>
      </w:r>
      <w:r w:rsidR="00155D9F" w:rsidRPr="009A2E44">
        <w:rPr>
          <w:rFonts w:ascii="Garamond" w:hAnsi="Garamond"/>
        </w:rPr>
        <w:t xml:space="preserve">from two additional samples from G5 (2 </w:t>
      </w:r>
      <w:r w:rsidR="00155D9F" w:rsidRPr="009A2E44">
        <w:rPr>
          <w:rFonts w:ascii="Garamond" w:hAnsi="Garamond"/>
          <w:color w:val="202020"/>
          <w:shd w:val="clear" w:color="auto" w:fill="FFFFFF"/>
        </w:rPr>
        <w:t>–</w:t>
      </w:r>
      <w:r w:rsidR="00155D9F" w:rsidRPr="009A2E44">
        <w:rPr>
          <w:rFonts w:ascii="Garamond" w:hAnsi="Garamond"/>
        </w:rPr>
        <w:t xml:space="preserve"> 4</w:t>
      </w:r>
      <w:r w:rsidR="00580559">
        <w:rPr>
          <w:rFonts w:ascii="Garamond" w:hAnsi="Garamond"/>
        </w:rPr>
        <w:t xml:space="preserve"> cm and</w:t>
      </w:r>
      <w:r w:rsidR="00580559" w:rsidRPr="009A2E44">
        <w:rPr>
          <w:rFonts w:ascii="Garamond" w:hAnsi="Garamond"/>
        </w:rPr>
        <w:t xml:space="preserve"> </w:t>
      </w:r>
      <w:r w:rsidR="00155D9F" w:rsidRPr="009A2E44">
        <w:rPr>
          <w:rFonts w:ascii="Garamond" w:hAnsi="Garamond"/>
        </w:rPr>
        <w:t xml:space="preserve">4 </w:t>
      </w:r>
      <w:r w:rsidR="00155D9F" w:rsidRPr="009A2E44">
        <w:rPr>
          <w:rFonts w:ascii="Garamond" w:hAnsi="Garamond"/>
          <w:color w:val="202020"/>
          <w:shd w:val="clear" w:color="auto" w:fill="FFFFFF"/>
        </w:rPr>
        <w:t>–</w:t>
      </w:r>
      <w:r w:rsidR="00155D9F" w:rsidRPr="009A2E44">
        <w:rPr>
          <w:rFonts w:ascii="Garamond" w:hAnsi="Garamond"/>
        </w:rPr>
        <w:t xml:space="preserve"> 5 cm) are estimates only</w:t>
      </w:r>
      <w:r w:rsidR="006E64ED" w:rsidRPr="009A2E44">
        <w:rPr>
          <w:rFonts w:ascii="Garamond" w:hAnsi="Garamond"/>
        </w:rPr>
        <w:t xml:space="preserve">. </w:t>
      </w:r>
      <w:r w:rsidR="00DE6B62" w:rsidRPr="009A2E44">
        <w:rPr>
          <w:rFonts w:ascii="Garamond" w:hAnsi="Garamond"/>
        </w:rPr>
        <w:t xml:space="preserve">Dated </w:t>
      </w:r>
      <w:r w:rsidR="006E64ED" w:rsidRPr="009A2E44">
        <w:rPr>
          <w:rFonts w:ascii="Garamond" w:hAnsi="Garamond"/>
        </w:rPr>
        <w:t>gravity core (</w:t>
      </w:r>
      <w:r w:rsidR="00155D9F" w:rsidRPr="009A2E44">
        <w:rPr>
          <w:rFonts w:ascii="Garamond" w:hAnsi="Garamond"/>
        </w:rPr>
        <w:t>VAN</w:t>
      </w:r>
      <w:r w:rsidR="006E64ED" w:rsidRPr="009A2E44">
        <w:rPr>
          <w:rFonts w:ascii="Garamond" w:hAnsi="Garamond"/>
        </w:rPr>
        <w:t xml:space="preserve">G9) and </w:t>
      </w:r>
      <w:r w:rsidR="00DE6B62" w:rsidRPr="009A2E44">
        <w:rPr>
          <w:rFonts w:ascii="Garamond" w:hAnsi="Garamond"/>
        </w:rPr>
        <w:t xml:space="preserve">Livingstone-type sections </w:t>
      </w:r>
      <w:r w:rsidR="00AA4D8F" w:rsidRPr="009A2E44">
        <w:rPr>
          <w:rFonts w:ascii="Garamond" w:hAnsi="Garamond"/>
        </w:rPr>
        <w:t>(</w:t>
      </w:r>
      <w:r w:rsidR="00155D9F" w:rsidRPr="009A2E44">
        <w:rPr>
          <w:rFonts w:ascii="Garamond" w:hAnsi="Garamond"/>
        </w:rPr>
        <w:t>VAN</w:t>
      </w:r>
      <w:r w:rsidR="006E64ED" w:rsidRPr="009A2E44">
        <w:rPr>
          <w:rFonts w:ascii="Garamond" w:hAnsi="Garamond"/>
        </w:rPr>
        <w:t xml:space="preserve">L1, </w:t>
      </w:r>
      <w:r w:rsidR="00155D9F" w:rsidRPr="009A2E44">
        <w:rPr>
          <w:rFonts w:ascii="Garamond" w:hAnsi="Garamond"/>
        </w:rPr>
        <w:t>VAN</w:t>
      </w:r>
      <w:r w:rsidR="006E64ED" w:rsidRPr="009A2E44">
        <w:rPr>
          <w:rFonts w:ascii="Garamond" w:hAnsi="Garamond"/>
        </w:rPr>
        <w:t xml:space="preserve">L1A, </w:t>
      </w:r>
      <w:r w:rsidR="00155D9F" w:rsidRPr="009A2E44">
        <w:rPr>
          <w:rFonts w:ascii="Garamond" w:hAnsi="Garamond"/>
        </w:rPr>
        <w:t>VAN</w:t>
      </w:r>
      <w:r w:rsidR="006E64ED" w:rsidRPr="009A2E44">
        <w:rPr>
          <w:rFonts w:ascii="Garamond" w:hAnsi="Garamond"/>
        </w:rPr>
        <w:t xml:space="preserve">L2, </w:t>
      </w:r>
      <w:r w:rsidR="00155D9F" w:rsidRPr="009A2E44">
        <w:rPr>
          <w:rFonts w:ascii="Garamond" w:hAnsi="Garamond"/>
        </w:rPr>
        <w:t>VAN</w:t>
      </w:r>
      <w:r w:rsidR="006E64ED" w:rsidRPr="009A2E44">
        <w:rPr>
          <w:rFonts w:ascii="Garamond" w:hAnsi="Garamond"/>
        </w:rPr>
        <w:t xml:space="preserve">L2A, </w:t>
      </w:r>
      <w:r w:rsidR="00155D9F" w:rsidRPr="009A2E44">
        <w:rPr>
          <w:rFonts w:ascii="Garamond" w:hAnsi="Garamond"/>
        </w:rPr>
        <w:t>VAN</w:t>
      </w:r>
      <w:r w:rsidR="006E64ED" w:rsidRPr="009A2E44">
        <w:rPr>
          <w:rFonts w:ascii="Garamond" w:hAnsi="Garamond"/>
        </w:rPr>
        <w:t xml:space="preserve">L3, </w:t>
      </w:r>
      <w:r w:rsidR="00155D9F" w:rsidRPr="009A2E44">
        <w:rPr>
          <w:rFonts w:ascii="Garamond" w:hAnsi="Garamond"/>
        </w:rPr>
        <w:t>VAN</w:t>
      </w:r>
      <w:r w:rsidR="006E64ED" w:rsidRPr="009A2E44">
        <w:rPr>
          <w:rFonts w:ascii="Garamond" w:hAnsi="Garamond"/>
        </w:rPr>
        <w:t xml:space="preserve">L3A) were combined for a single </w:t>
      </w:r>
      <w:r w:rsidR="00DE6B62" w:rsidRPr="009A2E44">
        <w:rPr>
          <w:rFonts w:ascii="Garamond" w:hAnsi="Garamond"/>
        </w:rPr>
        <w:t>Lake Emaotul</w:t>
      </w:r>
      <w:r w:rsidR="006E64ED" w:rsidRPr="009A2E44">
        <w:rPr>
          <w:rFonts w:ascii="Garamond" w:hAnsi="Garamond"/>
        </w:rPr>
        <w:t xml:space="preserve"> record. </w:t>
      </w:r>
      <w:r w:rsidR="00155D9F" w:rsidRPr="009A2E44">
        <w:rPr>
          <w:rFonts w:ascii="Garamond" w:hAnsi="Garamond"/>
        </w:rPr>
        <w:t xml:space="preserve">We used the </w:t>
      </w:r>
      <w:proofErr w:type="spellStart"/>
      <w:r w:rsidR="00155D9F" w:rsidRPr="009A2E44">
        <w:rPr>
          <w:rFonts w:ascii="Garamond" w:hAnsi="Garamond"/>
        </w:rPr>
        <w:t>Ti</w:t>
      </w:r>
      <w:proofErr w:type="spellEnd"/>
      <w:r w:rsidR="00155D9F" w:rsidRPr="009A2E44">
        <w:rPr>
          <w:rFonts w:ascii="Garamond" w:hAnsi="Garamond"/>
        </w:rPr>
        <w:t>/Inc data from core sections from Lake Emaotul to update the composite depth</w:t>
      </w:r>
      <w:r w:rsidR="00C72055" w:rsidRPr="009A2E44">
        <w:rPr>
          <w:rFonts w:ascii="Garamond" w:hAnsi="Garamond"/>
        </w:rPr>
        <w:t xml:space="preserve">s of all samples and data that were previously published </w:t>
      </w:r>
      <w:r w:rsidR="00C72055" w:rsidRPr="009A2E44">
        <w:rPr>
          <w:rFonts w:ascii="Garamond" w:hAnsi="Garamond"/>
        </w:rPr>
        <w:fldChar w:fldCharType="begin" w:fldLock="1"/>
      </w:r>
      <w:r w:rsidR="00E757E6">
        <w:rPr>
          <w:rFonts w:ascii="Garamond" w:hAnsi="Garamond"/>
        </w:rPr>
        <w:instrText>ADDIN CSL_CITATION {"citationItems":[{"id":"ITEM-1","itemData":{"DOI":"10.1073/pnas.1920975117","ISSN":"10916490","PMID":"32253300","abstract":"The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America","id":"ITEM-1","issue":"16","issued":{"date-parts":[["2020"]]},"page":"8813-8819","title":"Human settlement of East Polynesia earlier, incremental, and coincident with prolonged South Pacific drought","type":"article-journal","volume":"117"},"uris":["http://www.mendeley.com/documents/?uuid=5e4a7b40-a602-4fa6-8dd7-b9d6ae8d7f06"]}],"mendeley":{"formattedCitation":"(Sear et al., 2020)","plainTextFormattedCitation":"(Sear et al., 2020)","previouslyFormattedCitation":"(Sear et al., 2020)"},"properties":{"noteIndex":0},"schema":"https://github.com/citation-style-language/schema/raw/master/csl-citation.json"}</w:instrText>
      </w:r>
      <w:r w:rsidR="00C72055" w:rsidRPr="009A2E44">
        <w:rPr>
          <w:rFonts w:ascii="Garamond" w:hAnsi="Garamond"/>
        </w:rPr>
        <w:fldChar w:fldCharType="separate"/>
      </w:r>
      <w:r w:rsidR="00C72055" w:rsidRPr="009A2E44">
        <w:rPr>
          <w:rFonts w:ascii="Garamond" w:hAnsi="Garamond"/>
          <w:noProof/>
        </w:rPr>
        <w:t>(Sear et al., 2020)</w:t>
      </w:r>
      <w:r w:rsidR="00C72055" w:rsidRPr="009A2E44">
        <w:rPr>
          <w:rFonts w:ascii="Garamond" w:hAnsi="Garamond"/>
        </w:rPr>
        <w:fldChar w:fldCharType="end"/>
      </w:r>
      <w:r w:rsidR="006B7258">
        <w:rPr>
          <w:rFonts w:ascii="Garamond" w:hAnsi="Garamond"/>
        </w:rPr>
        <w:t xml:space="preserve">, in particular all data from section VANL2 </w:t>
      </w:r>
      <w:r w:rsidR="00C623E9">
        <w:rPr>
          <w:rFonts w:ascii="Garamond" w:hAnsi="Garamond"/>
        </w:rPr>
        <w:t xml:space="preserve">were </w:t>
      </w:r>
      <w:r w:rsidR="00DF2A70">
        <w:rPr>
          <w:rFonts w:ascii="Garamond" w:hAnsi="Garamond"/>
        </w:rPr>
        <w:t>incorrectly</w:t>
      </w:r>
      <w:r w:rsidR="00DF2A70" w:rsidDel="00DF2A70">
        <w:rPr>
          <w:rFonts w:ascii="Garamond" w:hAnsi="Garamond"/>
        </w:rPr>
        <w:t xml:space="preserve"> </w:t>
      </w:r>
      <w:r w:rsidR="006B7258">
        <w:rPr>
          <w:rFonts w:ascii="Garamond" w:hAnsi="Garamond"/>
        </w:rPr>
        <w:t xml:space="preserve">inverted in Sear et al. (2020), </w:t>
      </w:r>
      <w:r w:rsidR="006B7258">
        <w:rPr>
          <w:rFonts w:ascii="Garamond" w:hAnsi="Garamond"/>
        </w:rPr>
        <w:lastRenderedPageBreak/>
        <w:t xml:space="preserve">the data here represent the correct </w:t>
      </w:r>
      <w:r w:rsidR="005C57C3">
        <w:rPr>
          <w:rFonts w:ascii="Garamond" w:hAnsi="Garamond"/>
        </w:rPr>
        <w:t>alignment between sections</w:t>
      </w:r>
      <w:r w:rsidR="006B7258">
        <w:rPr>
          <w:rFonts w:ascii="Garamond" w:hAnsi="Garamond"/>
        </w:rPr>
        <w:t xml:space="preserve"> using the most recent age model </w:t>
      </w:r>
      <w:r w:rsidR="005C57C3">
        <w:rPr>
          <w:rFonts w:ascii="Garamond" w:hAnsi="Garamond"/>
        </w:rPr>
        <w:t>which</w:t>
      </w:r>
      <w:r w:rsidR="006B7258">
        <w:rPr>
          <w:rFonts w:ascii="Garamond" w:hAnsi="Garamond"/>
        </w:rPr>
        <w:t xml:space="preserve"> incorporates new </w:t>
      </w:r>
      <w:r w:rsidR="006B7258" w:rsidRPr="009A2E44">
        <w:rPr>
          <w:rFonts w:ascii="Garamond" w:hAnsi="Garamond"/>
          <w:vertAlign w:val="superscript"/>
        </w:rPr>
        <w:t>14</w:t>
      </w:r>
      <w:r w:rsidR="006B7258" w:rsidRPr="009A2E44">
        <w:rPr>
          <w:rFonts w:ascii="Garamond" w:hAnsi="Garamond"/>
        </w:rPr>
        <w:t>C</w:t>
      </w:r>
      <w:r w:rsidR="006B7258">
        <w:rPr>
          <w:rFonts w:ascii="Garamond" w:hAnsi="Garamond"/>
        </w:rPr>
        <w:t xml:space="preserve"> dates</w:t>
      </w:r>
      <w:r w:rsidR="0068259E">
        <w:rPr>
          <w:rFonts w:ascii="Garamond" w:hAnsi="Garamond"/>
        </w:rPr>
        <w:t xml:space="preserve"> as well as two new </w:t>
      </w:r>
      <w:r w:rsidR="0068259E" w:rsidRPr="009A2E44">
        <w:rPr>
          <w:rFonts w:ascii="Garamond" w:hAnsi="Garamond"/>
        </w:rPr>
        <w:sym w:font="Symbol" w:char="F064"/>
      </w:r>
      <w:r w:rsidR="0068259E" w:rsidRPr="009A2E44">
        <w:rPr>
          <w:rFonts w:ascii="Garamond" w:hAnsi="Garamond"/>
          <w:vertAlign w:val="superscript"/>
        </w:rPr>
        <w:t>2</w:t>
      </w:r>
      <w:r w:rsidR="0068259E" w:rsidRPr="009A2E44">
        <w:rPr>
          <w:rFonts w:ascii="Garamond" w:hAnsi="Garamond"/>
        </w:rPr>
        <w:t>H</w:t>
      </w:r>
      <w:r w:rsidR="0068259E" w:rsidRPr="009A2E44">
        <w:rPr>
          <w:rFonts w:ascii="Garamond" w:hAnsi="Garamond"/>
          <w:vertAlign w:val="subscript"/>
        </w:rPr>
        <w:t>dinosterol</w:t>
      </w:r>
      <w:r w:rsidR="0068259E" w:rsidRPr="009A2E44">
        <w:rPr>
          <w:rFonts w:ascii="Garamond" w:hAnsi="Garamond"/>
        </w:rPr>
        <w:t xml:space="preserve"> </w:t>
      </w:r>
      <w:r w:rsidR="0068259E">
        <w:rPr>
          <w:rFonts w:ascii="Garamond" w:hAnsi="Garamond"/>
        </w:rPr>
        <w:t>values.</w:t>
      </w:r>
      <w:r w:rsidR="002A2582">
        <w:rPr>
          <w:rFonts w:ascii="Garamond" w:hAnsi="Garamond"/>
        </w:rPr>
        <w:t xml:space="preserve"> Note the incorrect alignment of section VANL2 in </w:t>
      </w:r>
      <w:r w:rsidR="004C1A6A">
        <w:rPr>
          <w:rFonts w:ascii="Garamond" w:hAnsi="Garamond"/>
        </w:rPr>
        <w:t>Sear et al. (2020)</w:t>
      </w:r>
      <w:r w:rsidR="002A2582">
        <w:rPr>
          <w:rFonts w:ascii="Garamond" w:hAnsi="Garamond"/>
        </w:rPr>
        <w:t xml:space="preserve"> does not impact the broader </w:t>
      </w:r>
      <w:r w:rsidR="004C1A6A">
        <w:rPr>
          <w:rFonts w:ascii="Garamond" w:hAnsi="Garamond"/>
        </w:rPr>
        <w:t>paleoclimate</w:t>
      </w:r>
      <w:r w:rsidR="002A2582">
        <w:rPr>
          <w:rFonts w:ascii="Garamond" w:hAnsi="Garamond"/>
        </w:rPr>
        <w:t xml:space="preserve"> interpretation from that record. </w:t>
      </w:r>
    </w:p>
    <w:p w14:paraId="5A8AF01A" w14:textId="77777777" w:rsidR="002A003E" w:rsidRPr="009A2E44" w:rsidRDefault="002A003E" w:rsidP="001C47D3">
      <w:pPr>
        <w:spacing w:line="480" w:lineRule="auto"/>
        <w:rPr>
          <w:rFonts w:ascii="Garamond" w:hAnsi="Garamond"/>
          <w:b/>
        </w:rPr>
      </w:pPr>
    </w:p>
    <w:p w14:paraId="3D24DA92" w14:textId="19E806BA" w:rsidR="000B511F" w:rsidRPr="009A2E44" w:rsidRDefault="00216AC5" w:rsidP="001C47D3">
      <w:pPr>
        <w:spacing w:line="480" w:lineRule="auto"/>
        <w:rPr>
          <w:rFonts w:ascii="Garamond" w:hAnsi="Garamond"/>
          <w:i/>
        </w:rPr>
      </w:pPr>
      <w:r w:rsidRPr="009A2E44">
        <w:rPr>
          <w:rFonts w:ascii="Garamond" w:hAnsi="Garamond"/>
          <w:i/>
        </w:rPr>
        <w:t>3</w:t>
      </w:r>
      <w:r w:rsidR="005D39F4" w:rsidRPr="009A2E44">
        <w:rPr>
          <w:rFonts w:ascii="Garamond" w:hAnsi="Garamond"/>
          <w:i/>
        </w:rPr>
        <w:t>.2</w:t>
      </w:r>
      <w:r w:rsidR="00CA250B" w:rsidRPr="009A2E44">
        <w:rPr>
          <w:rFonts w:ascii="Garamond" w:hAnsi="Garamond"/>
          <w:i/>
        </w:rPr>
        <w:t>.</w:t>
      </w:r>
      <w:r w:rsidR="005D39F4" w:rsidRPr="009A2E44">
        <w:rPr>
          <w:rFonts w:ascii="Garamond" w:hAnsi="Garamond"/>
          <w:i/>
        </w:rPr>
        <w:t xml:space="preserve"> </w:t>
      </w:r>
      <w:r w:rsidR="000B511F" w:rsidRPr="009A2E44">
        <w:rPr>
          <w:rFonts w:ascii="Garamond" w:hAnsi="Garamond"/>
          <w:i/>
        </w:rPr>
        <w:t>Chronology</w:t>
      </w:r>
    </w:p>
    <w:p w14:paraId="17E12F25" w14:textId="4B2309A1" w:rsidR="00230CB1" w:rsidRPr="00F40DC7" w:rsidRDefault="0002624F" w:rsidP="001C47D3">
      <w:pPr>
        <w:spacing w:line="480" w:lineRule="auto"/>
        <w:ind w:firstLine="720"/>
        <w:rPr>
          <w:rFonts w:ascii="Garamond" w:hAnsi="Garamond"/>
        </w:rPr>
      </w:pPr>
      <w:r w:rsidRPr="009A2E44">
        <w:rPr>
          <w:rFonts w:ascii="Garamond" w:hAnsi="Garamond"/>
        </w:rPr>
        <w:t xml:space="preserve">Age models were developed using </w:t>
      </w:r>
      <w:r w:rsidR="006D7ACA" w:rsidRPr="009A2E44">
        <w:rPr>
          <w:rFonts w:ascii="Garamond" w:hAnsi="Garamond"/>
          <w:vertAlign w:val="superscript"/>
        </w:rPr>
        <w:t>14</w:t>
      </w:r>
      <w:r w:rsidR="006D7ACA" w:rsidRPr="009A2E44">
        <w:rPr>
          <w:rFonts w:ascii="Garamond" w:hAnsi="Garamond"/>
        </w:rPr>
        <w:t>C</w:t>
      </w:r>
      <w:r w:rsidR="002A5145" w:rsidRPr="009A2E44">
        <w:rPr>
          <w:rFonts w:ascii="Garamond" w:hAnsi="Garamond"/>
        </w:rPr>
        <w:t xml:space="preserve"> dates of terrestrial macrofossils </w:t>
      </w:r>
      <w:r w:rsidRPr="009A2E44">
        <w:rPr>
          <w:rFonts w:ascii="Garamond" w:hAnsi="Garamond"/>
        </w:rPr>
        <w:t>and</w:t>
      </w:r>
      <w:r w:rsidR="002A5145" w:rsidRPr="009A2E44">
        <w:rPr>
          <w:rFonts w:ascii="Garamond" w:hAnsi="Garamond"/>
        </w:rPr>
        <w:t xml:space="preserve"> </w:t>
      </w:r>
      <w:r w:rsidRPr="009A2E44">
        <w:rPr>
          <w:rFonts w:ascii="Garamond" w:hAnsi="Garamond"/>
          <w:vertAlign w:val="superscript"/>
        </w:rPr>
        <w:t>210</w:t>
      </w:r>
      <w:r w:rsidRPr="009A2E44">
        <w:rPr>
          <w:rFonts w:ascii="Garamond" w:hAnsi="Garamond"/>
        </w:rPr>
        <w:t>Pb analysis</w:t>
      </w:r>
      <w:r w:rsidR="00005AC3" w:rsidRPr="009A2E44">
        <w:rPr>
          <w:rFonts w:ascii="Garamond" w:hAnsi="Garamond"/>
        </w:rPr>
        <w:t xml:space="preserve"> </w:t>
      </w:r>
      <w:r w:rsidR="002A5145" w:rsidRPr="009A2E44">
        <w:rPr>
          <w:rFonts w:ascii="Garamond" w:hAnsi="Garamond"/>
        </w:rPr>
        <w:t xml:space="preserve">of sediments </w:t>
      </w:r>
      <w:r w:rsidR="00005AC3" w:rsidRPr="009A2E44">
        <w:rPr>
          <w:rFonts w:ascii="Garamond" w:hAnsi="Garamond"/>
        </w:rPr>
        <w:t xml:space="preserve">as described in Maloney et al. </w:t>
      </w:r>
      <w:r w:rsidR="00D2560D" w:rsidRPr="009A2E44">
        <w:rPr>
          <w:rFonts w:ascii="Garamond" w:hAnsi="Garamond"/>
        </w:rPr>
        <w:t>(</w:t>
      </w:r>
      <w:r w:rsidR="00005AC3" w:rsidRPr="009A2E44">
        <w:rPr>
          <w:rFonts w:ascii="Garamond" w:hAnsi="Garamond"/>
        </w:rPr>
        <w:t>2019</w:t>
      </w:r>
      <w:r w:rsidR="00D2560D" w:rsidRPr="009A2E44">
        <w:rPr>
          <w:rFonts w:ascii="Garamond" w:hAnsi="Garamond"/>
        </w:rPr>
        <w:t>)</w:t>
      </w:r>
      <w:r w:rsidRPr="009A2E44">
        <w:rPr>
          <w:rFonts w:ascii="Garamond" w:hAnsi="Garamond"/>
        </w:rPr>
        <w:t xml:space="preserve">. </w:t>
      </w:r>
      <w:r w:rsidR="00E13E79" w:rsidRPr="009A2E44">
        <w:rPr>
          <w:rFonts w:ascii="Garamond" w:hAnsi="Garamond"/>
        </w:rPr>
        <w:t>Briefly, l</w:t>
      </w:r>
      <w:r w:rsidRPr="009A2E44">
        <w:rPr>
          <w:rFonts w:ascii="Garamond" w:hAnsi="Garamond"/>
        </w:rPr>
        <w:t>eaf</w:t>
      </w:r>
      <w:r w:rsidR="006D7ACA" w:rsidRPr="009A2E44">
        <w:rPr>
          <w:rFonts w:ascii="Garamond" w:hAnsi="Garamond"/>
        </w:rPr>
        <w:t xml:space="preserve"> or plant</w:t>
      </w:r>
      <w:r w:rsidRPr="009A2E44">
        <w:rPr>
          <w:rFonts w:ascii="Garamond" w:hAnsi="Garamond"/>
        </w:rPr>
        <w:t xml:space="preserve"> fossils were pre-treated </w:t>
      </w:r>
      <w:r w:rsidR="0081544C" w:rsidRPr="009A2E44">
        <w:rPr>
          <w:rFonts w:ascii="Garamond" w:hAnsi="Garamond"/>
        </w:rPr>
        <w:t xml:space="preserve">for radiocarbon </w:t>
      </w:r>
      <w:r w:rsidR="00CC0EE8" w:rsidRPr="009A2E44">
        <w:rPr>
          <w:rFonts w:ascii="Garamond" w:hAnsi="Garamond"/>
        </w:rPr>
        <w:t xml:space="preserve">analyses </w:t>
      </w:r>
      <w:r w:rsidRPr="009A2E44">
        <w:rPr>
          <w:rFonts w:ascii="Garamond" w:hAnsi="Garamond"/>
        </w:rPr>
        <w:t xml:space="preserve">with an acid-base-acid procedure </w:t>
      </w:r>
      <w:r w:rsidRPr="009A2E44">
        <w:rPr>
          <w:rFonts w:ascii="Garamond" w:hAnsi="Garamond"/>
        </w:rPr>
        <w:fldChar w:fldCharType="begin" w:fldLock="1"/>
      </w:r>
      <w:r w:rsidR="00932F7A" w:rsidRPr="009A2E44">
        <w:rPr>
          <w:rFonts w:ascii="Garamond" w:hAnsi="Garamond"/>
        </w:rPr>
        <w:instrText>ADDIN CSL_CITATION {"citationItems":[{"id":"ITEM-1","itemData":{"DOI":"10.1017/S0033822200045069","ISBN":"0033-8222","ISSN":"0033-8222","abstract":"See, stats, and: https://www.researchgate.net/publication/236200194 Current Radiocarbon Accelerator (Orau) Article DOI : 10. 1017 / S0033822200045069 CITATIONS 220 READS 977 4 , including : Some : CAPES (in) View Chronology Fiona Cranfield 160 , 070 SEE Christopher University 385 , 957 SEE All . The . All - text and , letting . ABSTRACT . In this paper , we summarize the main chemical pretreatment protocols currently used for AMS radiocarbon dating at the Oxford Radiocarbon Accelerator Unit , updating the protocols last described by Hedges et al . (1989) .","author":[{"dropping-particle":"","family":"Brock","given":"Fiona","non-dropping-particle":"","parse-names":false,"suffix":""},{"dropping-particle":"","family":"Higham","given":"Thomas","non-dropping-particle":"","parse-names":false,"suffix":""},{"dropping-particle":"","family":"Ditchfield","given":"Peter","non-dropping-particle":"","parse-names":false,"suffix":""},{"dropping-particle":"","family":"Ramsey","given":"Christopher Bronk","non-dropping-particle":"","parse-names":false,"suffix":""}],"container-title":"Radiocarbon","id":"ITEM-1","issue":"1","issued":{"date-parts":[["2010"]]},"page":"103-112","title":"Current pretreatment methods for AMS radiocarbon dating at the Oxford Radiocarbon Accelerator Unit (ORAU)","type":"article-journal","volume":"52"},"uris":["http://www.mendeley.com/documents/?uuid=daf83da8-1670-4809-870e-a4a280ab5406"]}],"mendeley":{"formattedCitation":"(Brock et al., 2010)","plainTextFormattedCitation":"(Brock et al., 2010)","previouslyFormattedCitation":"(Brock et al., 2010)"},"properties":{"noteIndex":0},"schema":"https://github.com/citation-style-language/schema/raw/master/csl-citation.json"}</w:instrText>
      </w:r>
      <w:r w:rsidRPr="009A2E44">
        <w:rPr>
          <w:rFonts w:ascii="Garamond" w:hAnsi="Garamond"/>
        </w:rPr>
        <w:fldChar w:fldCharType="separate"/>
      </w:r>
      <w:r w:rsidR="00936A85" w:rsidRPr="009A2E44">
        <w:rPr>
          <w:rFonts w:ascii="Garamond" w:hAnsi="Garamond"/>
          <w:noProof/>
        </w:rPr>
        <w:t>(Brock et al., 2010)</w:t>
      </w:r>
      <w:r w:rsidRPr="009A2E44">
        <w:rPr>
          <w:rFonts w:ascii="Garamond" w:hAnsi="Garamond"/>
        </w:rPr>
        <w:fldChar w:fldCharType="end"/>
      </w:r>
      <w:r w:rsidRPr="009A2E44">
        <w:rPr>
          <w:rFonts w:ascii="Garamond" w:hAnsi="Garamond"/>
        </w:rPr>
        <w:t xml:space="preserve"> at the University of Washington before analyses at Direct AMS (Seattle, WA), or CAMS (LLNL, Livermore, CA)</w:t>
      </w:r>
      <w:r w:rsidR="0081544C" w:rsidRPr="009A2E44">
        <w:rPr>
          <w:rFonts w:ascii="Garamond" w:hAnsi="Garamond"/>
        </w:rPr>
        <w:t xml:space="preserve">. All </w:t>
      </w:r>
      <w:r w:rsidR="006D7ACA" w:rsidRPr="009A2E44">
        <w:rPr>
          <w:rFonts w:ascii="Garamond" w:hAnsi="Garamond"/>
          <w:vertAlign w:val="superscript"/>
        </w:rPr>
        <w:t>14</w:t>
      </w:r>
      <w:r w:rsidR="006D7ACA" w:rsidRPr="009A2E44">
        <w:rPr>
          <w:rFonts w:ascii="Garamond" w:hAnsi="Garamond"/>
        </w:rPr>
        <w:t xml:space="preserve">C </w:t>
      </w:r>
      <w:r w:rsidR="0081544C" w:rsidRPr="009A2E44">
        <w:rPr>
          <w:rFonts w:ascii="Garamond" w:hAnsi="Garamond"/>
        </w:rPr>
        <w:t xml:space="preserve">dates </w:t>
      </w:r>
      <w:r w:rsidR="00DD44F0" w:rsidRPr="009A2E44">
        <w:rPr>
          <w:rFonts w:ascii="Garamond" w:hAnsi="Garamond"/>
        </w:rPr>
        <w:t xml:space="preserve">for </w:t>
      </w:r>
      <w:r w:rsidR="008E3BFF" w:rsidRPr="009A2E44">
        <w:rPr>
          <w:rFonts w:ascii="Garamond" w:hAnsi="Garamond"/>
        </w:rPr>
        <w:t xml:space="preserve">‘Uvea </w:t>
      </w:r>
      <w:r w:rsidR="00DD44F0" w:rsidRPr="009A2E44">
        <w:rPr>
          <w:rFonts w:ascii="Garamond" w:hAnsi="Garamond"/>
        </w:rPr>
        <w:t xml:space="preserve">cores </w:t>
      </w:r>
      <w:r w:rsidR="0081544C" w:rsidRPr="009A2E44">
        <w:rPr>
          <w:rFonts w:ascii="Garamond" w:hAnsi="Garamond"/>
        </w:rPr>
        <w:t xml:space="preserve">are listed in </w:t>
      </w:r>
      <w:r w:rsidR="00E34CF7" w:rsidRPr="009A2E44">
        <w:rPr>
          <w:rFonts w:ascii="Garamond" w:hAnsi="Garamond"/>
          <w:b/>
        </w:rPr>
        <w:t xml:space="preserve">Table </w:t>
      </w:r>
      <w:r w:rsidR="00D2560D" w:rsidRPr="009A2E44">
        <w:rPr>
          <w:rFonts w:ascii="Garamond" w:hAnsi="Garamond"/>
          <w:b/>
        </w:rPr>
        <w:t>A.</w:t>
      </w:r>
      <w:r w:rsidR="009D36D9" w:rsidRPr="009A2E44">
        <w:rPr>
          <w:rFonts w:ascii="Garamond" w:hAnsi="Garamond"/>
          <w:b/>
        </w:rPr>
        <w:t xml:space="preserve">4 </w:t>
      </w:r>
      <w:r w:rsidR="008E3BFF" w:rsidRPr="009A2E44">
        <w:rPr>
          <w:rFonts w:ascii="Garamond" w:hAnsi="Garamond"/>
          <w:bCs/>
        </w:rPr>
        <w:t xml:space="preserve">and age control points for all cores in this manuscript are </w:t>
      </w:r>
      <w:r w:rsidR="00886E91">
        <w:rPr>
          <w:rFonts w:ascii="Garamond" w:hAnsi="Garamond"/>
          <w:bCs/>
        </w:rPr>
        <w:t>reported</w:t>
      </w:r>
      <w:r w:rsidR="00886E91" w:rsidRPr="009A2E44">
        <w:rPr>
          <w:rFonts w:ascii="Garamond" w:hAnsi="Garamond"/>
          <w:bCs/>
        </w:rPr>
        <w:t xml:space="preserve"> </w:t>
      </w:r>
      <w:r w:rsidR="008E3BFF" w:rsidRPr="009A2E44">
        <w:rPr>
          <w:rFonts w:ascii="Garamond" w:hAnsi="Garamond"/>
          <w:bCs/>
        </w:rPr>
        <w:t xml:space="preserve">in </w:t>
      </w:r>
      <w:r w:rsidR="008E3BFF" w:rsidRPr="00707BE2">
        <w:rPr>
          <w:rFonts w:ascii="Garamond" w:hAnsi="Garamond"/>
          <w:b/>
        </w:rPr>
        <w:t xml:space="preserve">Table </w:t>
      </w:r>
      <w:r w:rsidR="009D36D9" w:rsidRPr="009A2E44">
        <w:rPr>
          <w:rFonts w:ascii="Garamond" w:hAnsi="Garamond"/>
          <w:b/>
        </w:rPr>
        <w:t>B.1</w:t>
      </w:r>
      <w:r w:rsidR="00A043DA" w:rsidRPr="009A2E44">
        <w:rPr>
          <w:rFonts w:ascii="Garamond" w:hAnsi="Garamond"/>
          <w:bCs/>
        </w:rPr>
        <w:t xml:space="preserve">. Each </w:t>
      </w:r>
      <w:r w:rsidR="008E3BFF" w:rsidRPr="009A2E44">
        <w:rPr>
          <w:rFonts w:ascii="Garamond" w:hAnsi="Garamond"/>
          <w:bCs/>
        </w:rPr>
        <w:t xml:space="preserve">of the four </w:t>
      </w:r>
      <w:r w:rsidR="00A043DA" w:rsidRPr="009A2E44">
        <w:rPr>
          <w:rFonts w:ascii="Garamond" w:hAnsi="Garamond"/>
          <w:bCs/>
        </w:rPr>
        <w:t>sediment core</w:t>
      </w:r>
      <w:r w:rsidR="008E3BFF" w:rsidRPr="009A2E44">
        <w:rPr>
          <w:rFonts w:ascii="Garamond" w:hAnsi="Garamond"/>
          <w:bCs/>
        </w:rPr>
        <w:t>s</w:t>
      </w:r>
      <w:r w:rsidR="00A043DA" w:rsidRPr="009A2E44">
        <w:rPr>
          <w:rFonts w:ascii="Garamond" w:hAnsi="Garamond"/>
          <w:bCs/>
        </w:rPr>
        <w:t xml:space="preserve"> </w:t>
      </w:r>
      <w:r w:rsidR="008E3BFF" w:rsidRPr="009A2E44">
        <w:rPr>
          <w:rFonts w:ascii="Garamond" w:hAnsi="Garamond"/>
          <w:bCs/>
        </w:rPr>
        <w:t xml:space="preserve">from Lac Lalolalo </w:t>
      </w:r>
      <w:r w:rsidR="00A043DA" w:rsidRPr="009A2E44">
        <w:rPr>
          <w:rFonts w:ascii="Garamond" w:hAnsi="Garamond"/>
          <w:bCs/>
        </w:rPr>
        <w:t xml:space="preserve">has its own age model </w:t>
      </w:r>
      <w:r w:rsidR="00527561" w:rsidRPr="009A2E44">
        <w:rPr>
          <w:rFonts w:ascii="Garamond" w:hAnsi="Garamond"/>
          <w:bCs/>
        </w:rPr>
        <w:t xml:space="preserve">and is </w:t>
      </w:r>
      <w:r w:rsidR="008E3BFF" w:rsidRPr="009A2E44">
        <w:rPr>
          <w:rFonts w:ascii="Garamond" w:hAnsi="Garamond"/>
          <w:bCs/>
        </w:rPr>
        <w:t>reported and graphed as an</w:t>
      </w:r>
      <w:r w:rsidR="00527561" w:rsidRPr="009A2E44">
        <w:rPr>
          <w:rFonts w:ascii="Garamond" w:hAnsi="Garamond"/>
          <w:bCs/>
        </w:rPr>
        <w:t xml:space="preserve"> independent</w:t>
      </w:r>
      <w:r w:rsidR="008E3BFF" w:rsidRPr="009A2E44">
        <w:rPr>
          <w:rFonts w:ascii="Garamond" w:hAnsi="Garamond"/>
          <w:bCs/>
        </w:rPr>
        <w:t xml:space="preserve"> core</w:t>
      </w:r>
      <w:r w:rsidR="00D0290B">
        <w:rPr>
          <w:rFonts w:ascii="Garamond" w:hAnsi="Garamond"/>
          <w:bCs/>
        </w:rPr>
        <w:t>. T</w:t>
      </w:r>
      <w:r w:rsidR="00A043DA" w:rsidRPr="009A2E44">
        <w:rPr>
          <w:rFonts w:ascii="Garamond" w:hAnsi="Garamond"/>
          <w:bCs/>
        </w:rPr>
        <w:t xml:space="preserve">he two cores from Lac Lanutavake were aligned to the same depth scale </w:t>
      </w:r>
      <w:r w:rsidR="008E3BFF" w:rsidRPr="009A2E44">
        <w:rPr>
          <w:rFonts w:ascii="Garamond" w:hAnsi="Garamond"/>
          <w:bCs/>
        </w:rPr>
        <w:t xml:space="preserve">and share the same age model </w:t>
      </w:r>
      <w:r w:rsidR="00A043DA" w:rsidRPr="009A2E44">
        <w:rPr>
          <w:rFonts w:ascii="Garamond" w:hAnsi="Garamond"/>
          <w:bCs/>
        </w:rPr>
        <w:t>(</w:t>
      </w:r>
      <w:r w:rsidR="00A043DA" w:rsidRPr="009A2E44">
        <w:rPr>
          <w:rFonts w:ascii="Garamond" w:hAnsi="Garamond"/>
          <w:b/>
        </w:rPr>
        <w:t>Fig. A.</w:t>
      </w:r>
      <w:r w:rsidR="00527561" w:rsidRPr="009A2E44">
        <w:rPr>
          <w:rFonts w:ascii="Garamond" w:hAnsi="Garamond"/>
          <w:b/>
        </w:rPr>
        <w:t>5</w:t>
      </w:r>
      <w:r w:rsidR="00A043DA" w:rsidRPr="009A2E44">
        <w:rPr>
          <w:rFonts w:ascii="Garamond" w:hAnsi="Garamond"/>
          <w:bCs/>
        </w:rPr>
        <w:t>)</w:t>
      </w:r>
      <w:r w:rsidRPr="009A2E44">
        <w:rPr>
          <w:rFonts w:ascii="Garamond" w:hAnsi="Garamond"/>
        </w:rPr>
        <w:t xml:space="preserve">. Radiocarbon ages </w:t>
      </w:r>
      <w:r w:rsidR="008E3BFF" w:rsidRPr="009A2E44">
        <w:rPr>
          <w:rFonts w:ascii="Garamond" w:hAnsi="Garamond"/>
        </w:rPr>
        <w:t>for Lac Lalolalo, Lac Lanutavake, Lake Lanoto’o</w:t>
      </w:r>
      <w:r w:rsidR="003D322F">
        <w:rPr>
          <w:rFonts w:ascii="Garamond" w:hAnsi="Garamond"/>
        </w:rPr>
        <w:t xml:space="preserve"> </w:t>
      </w:r>
      <w:r w:rsidR="003D322F" w:rsidRPr="009A2E44">
        <w:rPr>
          <w:rFonts w:ascii="Garamond" w:hAnsi="Garamond"/>
        </w:rPr>
        <w:fldChar w:fldCharType="begin" w:fldLock="1"/>
      </w:r>
      <w:r w:rsidR="003D322F">
        <w:rPr>
          <w:rFonts w:ascii="Garamond" w:hAnsi="Garamond"/>
        </w:rPr>
        <w:instrText>ADDIN CSL_CITATION {"citationItems":[{"id":"ITEM-1","itemData":{"DOI":"10.1073/pnas.1920975117","ISSN":"10916490","PMID":"32253300","abstract":"The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America","id":"ITEM-1","issue":"16","issued":{"date-parts":[["2020"]]},"page":"8813-8819","title":"Human settlement of East Polynesia earlier, incremental, and coincident with prolonged South Pacific drought","type":"article-journal","volume":"117"},"uris":["http://www.mendeley.com/documents/?uuid=5e4a7b40-a602-4fa6-8dd7-b9d6ae8d7f06"]}],"mendeley":{"formattedCitation":"(Sear et al., 2020)","plainTextFormattedCitation":"(Sear et al., 2020)","previouslyFormattedCitation":"(Sear et al., 2020)"},"properties":{"noteIndex":0},"schema":"https://github.com/citation-style-language/schema/raw/master/csl-citation.json"}</w:instrText>
      </w:r>
      <w:r w:rsidR="003D322F" w:rsidRPr="009A2E44">
        <w:rPr>
          <w:rFonts w:ascii="Garamond" w:hAnsi="Garamond"/>
        </w:rPr>
        <w:fldChar w:fldCharType="separate"/>
      </w:r>
      <w:r w:rsidR="003D322F" w:rsidRPr="009A2E44">
        <w:rPr>
          <w:rFonts w:ascii="Garamond" w:hAnsi="Garamond"/>
          <w:noProof/>
        </w:rPr>
        <w:t>(Sear et al., 2020)</w:t>
      </w:r>
      <w:r w:rsidR="003D322F" w:rsidRPr="009A2E44">
        <w:rPr>
          <w:rFonts w:ascii="Garamond" w:hAnsi="Garamond"/>
        </w:rPr>
        <w:fldChar w:fldCharType="end"/>
      </w:r>
      <w:r w:rsidR="008E3BFF" w:rsidRPr="009A2E44">
        <w:rPr>
          <w:rFonts w:ascii="Garamond" w:hAnsi="Garamond"/>
        </w:rPr>
        <w:t>, and Lake Emaotul</w:t>
      </w:r>
      <w:r w:rsidR="003D322F">
        <w:rPr>
          <w:rFonts w:ascii="Garamond" w:hAnsi="Garamond"/>
        </w:rPr>
        <w:t xml:space="preserve"> </w:t>
      </w:r>
      <w:r w:rsidR="003D322F" w:rsidRPr="009A2E44">
        <w:rPr>
          <w:rFonts w:ascii="Garamond" w:hAnsi="Garamond"/>
        </w:rPr>
        <w:fldChar w:fldCharType="begin" w:fldLock="1"/>
      </w:r>
      <w:r w:rsidR="003D322F">
        <w:rPr>
          <w:rFonts w:ascii="Garamond" w:hAnsi="Garamond"/>
        </w:rPr>
        <w:instrText>ADDIN CSL_CITATION {"citationItems":[{"id":"ITEM-1","itemData":{"DOI":"10.1073/pnas.1920975117","ISSN":"10916490","PMID":"32253300","abstract":"The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America","id":"ITEM-1","issue":"16","issued":{"date-parts":[["2020"]]},"page":"8813-8819","title":"Human settlement of East Polynesia earlier, incremental, and coincident with prolonged South Pacific drought","type":"article-journal","volume":"117"},"uris":["http://www.mendeley.com/documents/?uuid=5e4a7b40-a602-4fa6-8dd7-b9d6ae8d7f06"]}],"mendeley":{"formattedCitation":"(Sear et al., 2020)","plainTextFormattedCitation":"(Sear et al., 2020)","previouslyFormattedCitation":"(Sear et al., 2020)"},"properties":{"noteIndex":0},"schema":"https://github.com/citation-style-language/schema/raw/master/csl-citation.json"}</w:instrText>
      </w:r>
      <w:r w:rsidR="003D322F" w:rsidRPr="009A2E44">
        <w:rPr>
          <w:rFonts w:ascii="Garamond" w:hAnsi="Garamond"/>
        </w:rPr>
        <w:fldChar w:fldCharType="separate"/>
      </w:r>
      <w:r w:rsidR="003D322F" w:rsidRPr="009A2E44">
        <w:rPr>
          <w:rFonts w:ascii="Garamond" w:hAnsi="Garamond"/>
          <w:noProof/>
        </w:rPr>
        <w:t>(Sear et al., 2020)</w:t>
      </w:r>
      <w:r w:rsidR="003D322F" w:rsidRPr="009A2E44">
        <w:rPr>
          <w:rFonts w:ascii="Garamond" w:hAnsi="Garamond"/>
        </w:rPr>
        <w:fldChar w:fldCharType="end"/>
      </w:r>
      <w:r w:rsidR="008E3BFF" w:rsidRPr="009A2E44">
        <w:rPr>
          <w:rFonts w:ascii="Garamond" w:hAnsi="Garamond"/>
        </w:rPr>
        <w:t xml:space="preserve"> </w:t>
      </w:r>
      <w:r w:rsidRPr="009A2E44">
        <w:rPr>
          <w:rFonts w:ascii="Garamond" w:hAnsi="Garamond"/>
        </w:rPr>
        <w:t>were calibrated using SHC</w:t>
      </w:r>
      <w:r w:rsidR="00062366" w:rsidRPr="009A2E44">
        <w:rPr>
          <w:rFonts w:ascii="Garamond" w:hAnsi="Garamond"/>
        </w:rPr>
        <w:t>al20</w:t>
      </w:r>
      <w:r w:rsidRPr="009A2E44">
        <w:rPr>
          <w:rFonts w:ascii="Garamond" w:hAnsi="Garamond"/>
        </w:rPr>
        <w:t xml:space="preserve"> </w:t>
      </w:r>
      <w:r w:rsidRPr="009A2E44">
        <w:rPr>
          <w:rFonts w:ascii="Garamond" w:hAnsi="Garamond"/>
        </w:rPr>
        <w:fldChar w:fldCharType="begin" w:fldLock="1"/>
      </w:r>
      <w:r w:rsidR="00D04FB8">
        <w:rPr>
          <w:rFonts w:ascii="Garamond" w:hAnsi="Garamond"/>
        </w:rPr>
        <w:instrText>ADDIN CSL_CITATION {"citationItems":[{"id":"ITEM-1","itemData":{"DOI":"10.1017/RDC.2020.59","ISSN":"00338222","abstract":"Early researchers of radiocarbon levels in Southern Hemisphere tree rings identified a variable North-South hemispheric offset, necessitating construction of a separate radiocarbon calibration curve for the South. We present here SHCal20, a revised calibration curve from 0-55,000 cal BP, based upon SHCal13 and fortified by the addition of 14 new tree-ring data sets in the 2140-0, 3520-3453, 3608-3590 and 13,140-11,375 cal BP time intervals. We detail the statistical approaches used for curve construction and present recommendations for the use of the Northern Hemisphere curve (IntCal20), the Southern Hemisphere curve (SHCal20) and suggest where application of an equal mixture of the curves might be more appropriate. Using our Bayesian spline with errors-in-variables methodology, and based upon a comparison of Southern Hemisphere tree-ring data compared with contemporaneous Northern Hemisphere data, we estimate the mean Southern Hemisphere offset to be 36 ± 27 C yrs older.","author":[{"dropping-particle":"","family":"Hogg","given":"Alan G","non-dropping-particle":"","parse-names":false,"suffix":""},{"dropping-particle":"","family":"Heaton","given":"Timothy J.","non-dropping-particle":"","parse-names":false,"suffix":""},{"dropping-particle":"","family":"Hua","given":"Quan","non-dropping-particle":"","parse-names":false,"suffix":""},{"dropping-particle":"","family":"Palmer","given":"Jonathan G.","non-dropping-particle":"","parse-names":false,"suffix":""},{"dropping-particle":"","family":"Turney","given":"Chris S.M.","non-dropping-particle":"","parse-names":false,"suffix":""},{"dropping-particle":"","family":"Southon","given":"John","non-dropping-particle":"","parse-names":false,"suffix":""},{"dropping-particle":"","family":"Bayliss","given":"Alex","non-dropping-particle":"","parse-names":false,"suffix":""},{"dropping-particle":"","family":"Blackwell","given":"Paul G.","non-dropping-particle":"","parse-names":false,"suffix":""},{"dropping-particle":"","family":"Boswijk","given":"Gretel","non-dropping-particle":"","parse-names":false,"suffix":""},{"dropping-particle":"","family":"Bronk Ramsey","given":"Christopher","non-dropping-particle":"","parse-names":false,"suffix":""},{"dropping-particle":"","family":"Pearson","given":"Charlotte","non-dropping-particle":"","parse-names":false,"suffix":""},{"dropping-particle":"","family":"Petchey","given":"Fiona","non-dropping-particle":"","parse-names":false,"suffix":""},{"dropping-particle":"","family":"Reimer","given":"Paula","non-dropping-particle":"","parse-names":false,"suffix":""},{"dropping-particle":"","family":"Reimer","given":"Ron","non-dropping-particle":"","parse-names":false,"suffix":""},{"dropping-particle":"","family":"Wacker","given":"Lukas","non-dropping-particle":"","parse-names":false,"suffix":""}],"container-title":"Radiocarbon","id":"ITEM-1","issue":"4","issued":{"date-parts":[["2020"]]},"page":"759-778","title":"SHCal20 southern hemisphere calibration, 0-55,000 years cal BP","type":"article-journal","volume":"62"},"uris":["http://www.mendeley.com/documents/?uuid=5029c696-7bf8-4d6b-bca6-de69cea969a6"]}],"mendeley":{"formattedCitation":"(Hogg et al., 2020)","plainTextFormattedCitation":"(Hogg et al., 2020)","previouslyFormattedCitation":"(Hogg et al., 2020)"},"properties":{"noteIndex":0},"schema":"https://github.com/citation-style-language/schema/raw/master/csl-citation.json"}</w:instrText>
      </w:r>
      <w:r w:rsidRPr="009A2E44">
        <w:rPr>
          <w:rFonts w:ascii="Garamond" w:hAnsi="Garamond"/>
        </w:rPr>
        <w:fldChar w:fldCharType="separate"/>
      </w:r>
      <w:r w:rsidR="00062366" w:rsidRPr="009A2E44">
        <w:rPr>
          <w:rFonts w:ascii="Garamond" w:hAnsi="Garamond"/>
          <w:noProof/>
        </w:rPr>
        <w:t>(Hogg et al., 2020)</w:t>
      </w:r>
      <w:r w:rsidRPr="009A2E44">
        <w:rPr>
          <w:rFonts w:ascii="Garamond" w:hAnsi="Garamond"/>
        </w:rPr>
        <w:fldChar w:fldCharType="end"/>
      </w:r>
      <w:r w:rsidRPr="009A2E44">
        <w:rPr>
          <w:rFonts w:ascii="Garamond" w:hAnsi="Garamond"/>
        </w:rPr>
        <w:t xml:space="preserve"> and the SH1-2 bomb curve extension </w:t>
      </w:r>
      <w:r w:rsidRPr="009A2E44">
        <w:rPr>
          <w:rFonts w:ascii="Garamond" w:hAnsi="Garamond"/>
        </w:rPr>
        <w:fldChar w:fldCharType="begin" w:fldLock="1"/>
      </w:r>
      <w:r w:rsidR="00932F7A" w:rsidRPr="009A2E44">
        <w:rPr>
          <w:rFonts w:ascii="Garamond" w:hAnsi="Garamond"/>
        </w:rPr>
        <w:instrText>ADDIN CSL_CITATION {"citationItems":[{"id":"ITEM-1","itemData":{"DOI":"10.2458/azu_js_rc.v55i2.16177","ISBN":"0033-8222|escape}","ISSN":"00338222 (ISSN)","abstract":"We present a compilation of tropospheric 14CO2 for the period 1950-2010, based on published radiocarbon data from selected records of atmospheric CO2 sampling and tree-ring series. This compilation is a new version of the compilation by Hua and Barbetti (2004) and consists of yearly summer data sets for zonal, hemispheric, and global levels of atmospheric 14C. In addition, compiled (and extended) monthly data sets for 5 atmospheric zones (3 in the Northern Hemisphere and 2 in the Southern Hemisphere) are reported. The annual data sets are for use in regional and global carbon model calculations, while the extended monthly data sets serve as calibration curves for 14C dating of recent, short-lived terrestrial organic materials. © 2013 by the Arizona Board of Regents on behalf of the University of Arizona.","author":[{"dropping-particle":"","family":"Hua","given":"Quan","non-dropping-particle":"","parse-names":false,"suffix":""},{"dropping-particle":"","family":"Barbetti","given":"Mike","non-dropping-particle":"","parse-names":false,"suffix":""},{"dropping-particle":"","family":"Rakowski","given":"Andrzej Z","non-dropping-particle":"","parse-names":false,"suffix":""}],"container-title":"Radiocarbon","id":"ITEM-1","issue":"4","issued":{"date-parts":[["2013"]]},"page":"2059-2072","title":"Atmospheric radiocarbon for the period 1950-2010","type":"article-journal","volume":"55"},"uris":["http://www.mendeley.com/documents/?uuid=c63e1cc1-32a7-4191-b7b8-73232b281ca9"]}],"mendeley":{"formattedCitation":"(Hua et al., 2013)","plainTextFormattedCitation":"(Hua et al., 2013)","previouslyFormattedCitation":"(Hua et al., 2013)"},"properties":{"noteIndex":0},"schema":"https://github.com/citation-style-language/schema/raw/master/csl-citation.json"}</w:instrText>
      </w:r>
      <w:r w:rsidRPr="009A2E44">
        <w:rPr>
          <w:rFonts w:ascii="Garamond" w:hAnsi="Garamond"/>
        </w:rPr>
        <w:fldChar w:fldCharType="separate"/>
      </w:r>
      <w:r w:rsidR="00936A85" w:rsidRPr="009A2E44">
        <w:rPr>
          <w:rFonts w:ascii="Garamond" w:hAnsi="Garamond"/>
          <w:noProof/>
        </w:rPr>
        <w:t>(Hua et al., 2013)</w:t>
      </w:r>
      <w:r w:rsidRPr="009A2E44">
        <w:rPr>
          <w:rFonts w:ascii="Garamond" w:hAnsi="Garamond"/>
        </w:rPr>
        <w:fldChar w:fldCharType="end"/>
      </w:r>
      <w:r w:rsidR="00C25B2B">
        <w:rPr>
          <w:rFonts w:ascii="Garamond" w:hAnsi="Garamond"/>
        </w:rPr>
        <w:t>.</w:t>
      </w:r>
      <w:r w:rsidR="003D322F">
        <w:rPr>
          <w:rFonts w:ascii="Garamond" w:hAnsi="Garamond"/>
        </w:rPr>
        <w:t xml:space="preserve"> </w:t>
      </w:r>
      <w:r w:rsidR="00C25B2B">
        <w:rPr>
          <w:rFonts w:ascii="Garamond" w:hAnsi="Garamond"/>
        </w:rPr>
        <w:t xml:space="preserve">One </w:t>
      </w:r>
      <w:r w:rsidR="003D322F">
        <w:rPr>
          <w:rFonts w:ascii="Garamond" w:hAnsi="Garamond"/>
        </w:rPr>
        <w:t xml:space="preserve">new radiocarbon date from Lake </w:t>
      </w:r>
      <w:proofErr w:type="spellStart"/>
      <w:r w:rsidR="003D322F">
        <w:rPr>
          <w:rFonts w:ascii="Garamond" w:hAnsi="Garamond"/>
        </w:rPr>
        <w:t>Emaotul</w:t>
      </w:r>
      <w:proofErr w:type="spellEnd"/>
      <w:r w:rsidR="003D322F">
        <w:rPr>
          <w:rFonts w:ascii="Garamond" w:hAnsi="Garamond"/>
        </w:rPr>
        <w:t xml:space="preserve"> </w:t>
      </w:r>
      <w:r w:rsidR="00C25B2B">
        <w:rPr>
          <w:rFonts w:ascii="Garamond" w:hAnsi="Garamond"/>
        </w:rPr>
        <w:t xml:space="preserve">analyzed at the University of Belfast (UBA) and a date considered an outlier not published in </w:t>
      </w:r>
      <w:r w:rsidR="00C25B2B" w:rsidRPr="009A2E44">
        <w:rPr>
          <w:rFonts w:ascii="Garamond" w:hAnsi="Garamond"/>
          <w:noProof/>
        </w:rPr>
        <w:t>Sear et al.</w:t>
      </w:r>
      <w:r w:rsidR="00C25B2B">
        <w:rPr>
          <w:rFonts w:ascii="Garamond" w:hAnsi="Garamond"/>
          <w:noProof/>
        </w:rPr>
        <w:t xml:space="preserve"> (</w:t>
      </w:r>
      <w:r w:rsidR="00C25B2B" w:rsidRPr="009A2E44">
        <w:rPr>
          <w:rFonts w:ascii="Garamond" w:hAnsi="Garamond"/>
          <w:noProof/>
        </w:rPr>
        <w:t>2020</w:t>
      </w:r>
      <w:r w:rsidR="00C25B2B">
        <w:rPr>
          <w:rFonts w:ascii="Garamond" w:hAnsi="Garamond"/>
          <w:noProof/>
        </w:rPr>
        <w:t xml:space="preserve">) </w:t>
      </w:r>
      <w:r w:rsidR="003D322F">
        <w:rPr>
          <w:rFonts w:ascii="Garamond" w:hAnsi="Garamond"/>
        </w:rPr>
        <w:t>are included here</w:t>
      </w:r>
      <w:r w:rsidRPr="009A2E44">
        <w:rPr>
          <w:rFonts w:ascii="Garamond" w:hAnsi="Garamond"/>
        </w:rPr>
        <w:t>.</w:t>
      </w:r>
      <w:r w:rsidR="00DA749D" w:rsidRPr="009A2E44">
        <w:rPr>
          <w:rFonts w:ascii="Garamond" w:hAnsi="Garamond"/>
        </w:rPr>
        <w:t xml:space="preserve"> </w:t>
      </w:r>
      <w:r w:rsidR="000E7F37" w:rsidRPr="009A2E44">
        <w:rPr>
          <w:rFonts w:ascii="Garamond" w:hAnsi="Garamond"/>
        </w:rPr>
        <w:t xml:space="preserve">Selected sediment intervals from the uppermost </w:t>
      </w:r>
      <w:r w:rsidR="00DE6B62" w:rsidRPr="009A2E44">
        <w:rPr>
          <w:rFonts w:ascii="Garamond" w:hAnsi="Garamond"/>
        </w:rPr>
        <w:t xml:space="preserve">sediment </w:t>
      </w:r>
      <w:r w:rsidR="000E7F37" w:rsidRPr="009A2E44">
        <w:rPr>
          <w:rFonts w:ascii="Garamond" w:hAnsi="Garamond"/>
        </w:rPr>
        <w:t xml:space="preserve">(12 </w:t>
      </w:r>
      <w:r w:rsidR="00763685" w:rsidRPr="009A2E44">
        <w:rPr>
          <w:rFonts w:ascii="Garamond" w:hAnsi="Garamond"/>
        </w:rPr>
        <w:t>to</w:t>
      </w:r>
      <w:r w:rsidR="000E7F37" w:rsidRPr="009A2E44">
        <w:rPr>
          <w:rFonts w:ascii="Garamond" w:hAnsi="Garamond"/>
        </w:rPr>
        <w:t xml:space="preserve"> 90</w:t>
      </w:r>
      <w:r w:rsidR="00957E06" w:rsidRPr="009A2E44">
        <w:rPr>
          <w:rFonts w:ascii="Garamond" w:hAnsi="Garamond"/>
        </w:rPr>
        <w:t xml:space="preserve"> </w:t>
      </w:r>
      <w:r w:rsidR="000E7F37" w:rsidRPr="009A2E44">
        <w:rPr>
          <w:rFonts w:ascii="Garamond" w:hAnsi="Garamond"/>
        </w:rPr>
        <w:t xml:space="preserve">cm) were analyzed for abundance of atmosphere derived </w:t>
      </w:r>
      <w:r w:rsidR="000E7F37" w:rsidRPr="009A2E44">
        <w:rPr>
          <w:rFonts w:ascii="Garamond" w:hAnsi="Garamond"/>
          <w:vertAlign w:val="superscript"/>
        </w:rPr>
        <w:t>210</w:t>
      </w:r>
      <w:r w:rsidR="000E7F37" w:rsidRPr="009A2E44">
        <w:rPr>
          <w:rFonts w:ascii="Garamond" w:hAnsi="Garamond"/>
        </w:rPr>
        <w:t>Pb</w:t>
      </w:r>
      <w:r w:rsidR="00CC0EE8" w:rsidRPr="009A2E44">
        <w:rPr>
          <w:rFonts w:ascii="Garamond" w:hAnsi="Garamond"/>
        </w:rPr>
        <w:t>. A</w:t>
      </w:r>
      <w:r w:rsidR="006D7ACA" w:rsidRPr="009A2E44">
        <w:rPr>
          <w:rFonts w:ascii="Garamond" w:hAnsi="Garamond"/>
        </w:rPr>
        <w:t>ll</w:t>
      </w:r>
      <w:r w:rsidR="00716FC6" w:rsidRPr="009A2E44">
        <w:rPr>
          <w:rFonts w:ascii="Garamond" w:hAnsi="Garamond"/>
        </w:rPr>
        <w:t xml:space="preserve"> ‘Uvea</w:t>
      </w:r>
      <w:r w:rsidR="006D7ACA" w:rsidRPr="009A2E44">
        <w:rPr>
          <w:rFonts w:ascii="Garamond" w:hAnsi="Garamond"/>
        </w:rPr>
        <w:t xml:space="preserve"> </w:t>
      </w:r>
      <w:r w:rsidR="006D7ACA" w:rsidRPr="009A2E44">
        <w:rPr>
          <w:rFonts w:ascii="Garamond" w:hAnsi="Garamond"/>
          <w:vertAlign w:val="superscript"/>
        </w:rPr>
        <w:t>210</w:t>
      </w:r>
      <w:r w:rsidR="006D7ACA" w:rsidRPr="009A2E44">
        <w:rPr>
          <w:rFonts w:ascii="Garamond" w:hAnsi="Garamond"/>
        </w:rPr>
        <w:t xml:space="preserve">Pb results </w:t>
      </w:r>
      <w:r w:rsidR="00F76708" w:rsidRPr="009A2E44">
        <w:rPr>
          <w:rFonts w:ascii="Garamond" w:hAnsi="Garamond"/>
        </w:rPr>
        <w:t>are</w:t>
      </w:r>
      <w:r w:rsidR="006D7ACA" w:rsidRPr="009A2E44">
        <w:rPr>
          <w:rFonts w:ascii="Garamond" w:hAnsi="Garamond"/>
        </w:rPr>
        <w:t xml:space="preserve"> </w:t>
      </w:r>
      <w:r w:rsidR="00783F31" w:rsidRPr="009A2E44">
        <w:rPr>
          <w:rFonts w:ascii="Garamond" w:hAnsi="Garamond"/>
        </w:rPr>
        <w:t xml:space="preserve">reported </w:t>
      </w:r>
      <w:r w:rsidR="006D7ACA" w:rsidRPr="009A2E44">
        <w:rPr>
          <w:rFonts w:ascii="Garamond" w:hAnsi="Garamond"/>
        </w:rPr>
        <w:t xml:space="preserve">in Maloney et al. </w:t>
      </w:r>
      <w:r w:rsidR="00716FC6" w:rsidRPr="009A2E44">
        <w:rPr>
          <w:rFonts w:ascii="Garamond" w:hAnsi="Garamond"/>
        </w:rPr>
        <w:t>(</w:t>
      </w:r>
      <w:r w:rsidR="006D7ACA" w:rsidRPr="009A2E44">
        <w:rPr>
          <w:rFonts w:ascii="Garamond" w:hAnsi="Garamond"/>
        </w:rPr>
        <w:t>2019</w:t>
      </w:r>
      <w:r w:rsidR="00716FC6" w:rsidRPr="009A2E44">
        <w:rPr>
          <w:rFonts w:ascii="Garamond" w:hAnsi="Garamond"/>
        </w:rPr>
        <w:t xml:space="preserve">) and ‘Upolu and Efate results in Sear et al. (2020). </w:t>
      </w:r>
      <w:r w:rsidRPr="009A2E44">
        <w:rPr>
          <w:rFonts w:ascii="Garamond" w:hAnsi="Garamond"/>
        </w:rPr>
        <w:t>Age-depth relationships</w:t>
      </w:r>
      <w:r w:rsidR="00E828D3" w:rsidRPr="009A2E44">
        <w:rPr>
          <w:rFonts w:ascii="Garamond" w:hAnsi="Garamond"/>
        </w:rPr>
        <w:t xml:space="preserve"> </w:t>
      </w:r>
      <w:r w:rsidRPr="009A2E44">
        <w:rPr>
          <w:rFonts w:ascii="Garamond" w:hAnsi="Garamond"/>
        </w:rPr>
        <w:t xml:space="preserve">were constructed using </w:t>
      </w:r>
      <w:proofErr w:type="spellStart"/>
      <w:r w:rsidR="00062366" w:rsidRPr="009A2E44">
        <w:rPr>
          <w:rFonts w:ascii="Garamond" w:hAnsi="Garamond"/>
        </w:rPr>
        <w:t>r</w:t>
      </w:r>
      <w:r w:rsidRPr="009A2E44">
        <w:rPr>
          <w:rFonts w:ascii="Garamond" w:hAnsi="Garamond"/>
        </w:rPr>
        <w:t>BACON</w:t>
      </w:r>
      <w:proofErr w:type="spellEnd"/>
      <w:r w:rsidRPr="009A2E44">
        <w:rPr>
          <w:rFonts w:ascii="Garamond" w:hAnsi="Garamond"/>
        </w:rPr>
        <w:t xml:space="preserve"> v</w:t>
      </w:r>
      <w:r w:rsidR="006832AE" w:rsidRPr="009A2E44">
        <w:rPr>
          <w:rFonts w:ascii="Garamond" w:hAnsi="Garamond"/>
        </w:rPr>
        <w:t>2</w:t>
      </w:r>
      <w:r w:rsidRPr="009A2E44">
        <w:rPr>
          <w:rFonts w:ascii="Garamond" w:hAnsi="Garamond"/>
        </w:rPr>
        <w:t>.</w:t>
      </w:r>
      <w:r w:rsidR="00062366" w:rsidRPr="009A2E44">
        <w:rPr>
          <w:rFonts w:ascii="Garamond" w:hAnsi="Garamond"/>
        </w:rPr>
        <w:t>5.</w:t>
      </w:r>
      <w:r w:rsidR="008E3BFF" w:rsidRPr="009A2E44">
        <w:rPr>
          <w:rFonts w:ascii="Garamond" w:hAnsi="Garamond"/>
        </w:rPr>
        <w:t>6</w:t>
      </w:r>
      <w:r w:rsidRPr="009A2E44">
        <w:rPr>
          <w:rFonts w:ascii="Garamond" w:hAnsi="Garamond"/>
        </w:rPr>
        <w:t xml:space="preserve"> </w:t>
      </w:r>
      <w:r w:rsidR="00062366" w:rsidRPr="009A2E44">
        <w:rPr>
          <w:rFonts w:ascii="Garamond" w:hAnsi="Garamond"/>
        </w:rPr>
        <w:t xml:space="preserve">package </w:t>
      </w:r>
      <w:r w:rsidRPr="009A2E44">
        <w:rPr>
          <w:rFonts w:ascii="Garamond" w:hAnsi="Garamond"/>
        </w:rPr>
        <w:fldChar w:fldCharType="begin" w:fldLock="1"/>
      </w:r>
      <w:r w:rsidR="00932F7A" w:rsidRPr="009A2E44">
        <w:rPr>
          <w:rFonts w:ascii="Garamond" w:hAnsi="Garamond"/>
        </w:rPr>
        <w:instrText>ADDIN CSL_CITATION {"citationItems":[{"id":"ITEM-1","itemData":{"DOI":"10.1214/11-BA618","author":[{"dropping-particle":"","family":"Blaauw","given":"Maarten","non-dropping-particle":"","parse-names":false,"suffix":""},{"dropping-particle":"","family":"Christen","given":"J Andres","non-dropping-particle":"","parse-names":false,"suffix":""}],"container-title":"Bayesian Analysis","id":"ITEM-1","issue":"3","issued":{"date-parts":[["2011"]]},"page":"457-474","title":"Flexible paleoclimate age-depth models using an autoregressive gamma process","type":"article-journal","volume":"6"},"uris":["http://www.mendeley.com/documents/?uuid=ca1ac380-6d26-4dad-b7ab-11a6368cb32d"]}],"mendeley":{"formattedCitation":"(Blaauw and Christen, 2011)","plainTextFormattedCitation":"(Blaauw and Christen, 2011)","previouslyFormattedCitation":"(Blaauw and Christen, 2011)"},"properties":{"noteIndex":0},"schema":"https://github.com/citation-style-language/schema/raw/master/csl-citation.json"}</w:instrText>
      </w:r>
      <w:r w:rsidRPr="009A2E44">
        <w:rPr>
          <w:rFonts w:ascii="Garamond" w:hAnsi="Garamond"/>
        </w:rPr>
        <w:fldChar w:fldCharType="separate"/>
      </w:r>
      <w:r w:rsidR="00936A85" w:rsidRPr="009A2E44">
        <w:rPr>
          <w:rFonts w:ascii="Garamond" w:hAnsi="Garamond"/>
          <w:noProof/>
        </w:rPr>
        <w:t>(Blaauw and Christen, 2011)</w:t>
      </w:r>
      <w:r w:rsidRPr="009A2E44">
        <w:rPr>
          <w:rFonts w:ascii="Garamond" w:hAnsi="Garamond"/>
        </w:rPr>
        <w:fldChar w:fldCharType="end"/>
      </w:r>
      <w:r w:rsidR="00A043DA" w:rsidRPr="009A2E44">
        <w:rPr>
          <w:rFonts w:ascii="Garamond" w:hAnsi="Garamond"/>
        </w:rPr>
        <w:t xml:space="preserve">, run settings are specified in </w:t>
      </w:r>
      <w:r w:rsidR="00A043DA" w:rsidRPr="009A2E44">
        <w:rPr>
          <w:rFonts w:ascii="Garamond" w:hAnsi="Garamond"/>
          <w:b/>
          <w:bCs/>
        </w:rPr>
        <w:t>Table B.1</w:t>
      </w:r>
      <w:r w:rsidRPr="009A2E44">
        <w:rPr>
          <w:rFonts w:ascii="Garamond" w:hAnsi="Garamond"/>
        </w:rPr>
        <w:t>. For all cores the topmost age</w:t>
      </w:r>
      <w:r w:rsidR="00783F31" w:rsidRPr="009A2E44">
        <w:rPr>
          <w:rFonts w:ascii="Garamond" w:hAnsi="Garamond"/>
        </w:rPr>
        <w:t xml:space="preserve"> </w:t>
      </w:r>
      <w:r w:rsidR="00D0290B">
        <w:rPr>
          <w:rFonts w:ascii="Garamond" w:hAnsi="Garamond"/>
        </w:rPr>
        <w:t>at</w:t>
      </w:r>
      <w:r w:rsidR="00D0290B" w:rsidRPr="009A2E44">
        <w:rPr>
          <w:rFonts w:ascii="Garamond" w:hAnsi="Garamond"/>
        </w:rPr>
        <w:t xml:space="preserve"> </w:t>
      </w:r>
      <w:r w:rsidR="00783F31" w:rsidRPr="009A2E44">
        <w:rPr>
          <w:rFonts w:ascii="Garamond" w:hAnsi="Garamond"/>
        </w:rPr>
        <w:t xml:space="preserve">0 cm </w:t>
      </w:r>
      <w:r w:rsidRPr="009A2E44">
        <w:rPr>
          <w:rFonts w:ascii="Garamond" w:hAnsi="Garamond"/>
        </w:rPr>
        <w:t>was assumed to be the same as collection date</w:t>
      </w:r>
      <w:r w:rsidR="00A247BD" w:rsidRPr="009A2E44">
        <w:rPr>
          <w:rFonts w:ascii="Garamond" w:hAnsi="Garamond"/>
        </w:rPr>
        <w:t xml:space="preserve"> (</w:t>
      </w:r>
      <w:r w:rsidR="00A247BD" w:rsidRPr="009A2E44">
        <w:rPr>
          <w:rFonts w:ascii="Garamond" w:hAnsi="Garamond"/>
        </w:rPr>
        <w:sym w:font="Symbol" w:char="F0B1"/>
      </w:r>
      <w:r w:rsidR="00A247BD" w:rsidRPr="009A2E44">
        <w:rPr>
          <w:rFonts w:ascii="Garamond" w:hAnsi="Garamond"/>
        </w:rPr>
        <w:t xml:space="preserve"> 1 year)</w:t>
      </w:r>
      <w:r w:rsidR="008E3BFF" w:rsidRPr="009A2E44">
        <w:rPr>
          <w:rFonts w:ascii="Garamond" w:hAnsi="Garamond"/>
        </w:rPr>
        <w:t xml:space="preserve"> </w:t>
      </w:r>
      <w:r w:rsidR="008E3BFF" w:rsidRPr="00F40DC7">
        <w:rPr>
          <w:rFonts w:ascii="Garamond" w:hAnsi="Garamond"/>
        </w:rPr>
        <w:t xml:space="preserve">and </w:t>
      </w:r>
      <w:r w:rsidR="00F40DC7" w:rsidRPr="00F40DC7">
        <w:rPr>
          <w:rFonts w:ascii="Garamond" w:hAnsi="Garamond"/>
        </w:rPr>
        <w:t>no age control points were omitted from the age model</w:t>
      </w:r>
      <w:r w:rsidR="008E3BFF" w:rsidRPr="00F40DC7">
        <w:rPr>
          <w:rFonts w:ascii="Garamond" w:hAnsi="Garamond"/>
        </w:rPr>
        <w:t>.</w:t>
      </w:r>
    </w:p>
    <w:p w14:paraId="19A4A971" w14:textId="77777777" w:rsidR="00DA2568" w:rsidRPr="009A2E44" w:rsidRDefault="00DA2568" w:rsidP="001C47D3">
      <w:pPr>
        <w:spacing w:line="480" w:lineRule="auto"/>
        <w:outlineLvl w:val="0"/>
        <w:rPr>
          <w:rFonts w:ascii="Garamond" w:hAnsi="Garamond"/>
          <w:i/>
        </w:rPr>
      </w:pPr>
    </w:p>
    <w:p w14:paraId="53D4D948" w14:textId="4D06B5DC" w:rsidR="00E766ED" w:rsidRPr="009A2E44" w:rsidRDefault="00216AC5" w:rsidP="001C47D3">
      <w:pPr>
        <w:spacing w:line="480" w:lineRule="auto"/>
        <w:outlineLvl w:val="0"/>
        <w:rPr>
          <w:rFonts w:ascii="Garamond" w:hAnsi="Garamond"/>
          <w:i/>
        </w:rPr>
      </w:pPr>
      <w:r w:rsidRPr="009A2E44">
        <w:rPr>
          <w:rFonts w:ascii="Garamond" w:hAnsi="Garamond"/>
          <w:i/>
        </w:rPr>
        <w:t>3</w:t>
      </w:r>
      <w:r w:rsidR="005D39F4" w:rsidRPr="009A2E44">
        <w:rPr>
          <w:rFonts w:ascii="Garamond" w:hAnsi="Garamond"/>
          <w:i/>
        </w:rPr>
        <w:t>.3</w:t>
      </w:r>
      <w:r w:rsidR="00CA250B" w:rsidRPr="009A2E44">
        <w:rPr>
          <w:rFonts w:ascii="Garamond" w:hAnsi="Garamond"/>
          <w:i/>
        </w:rPr>
        <w:t>.</w:t>
      </w:r>
      <w:r w:rsidR="005D39F4" w:rsidRPr="009A2E44">
        <w:rPr>
          <w:rFonts w:ascii="Garamond" w:hAnsi="Garamond"/>
          <w:i/>
        </w:rPr>
        <w:t xml:space="preserve"> </w:t>
      </w:r>
      <w:r w:rsidR="00ED5192" w:rsidRPr="009A2E44">
        <w:rPr>
          <w:rFonts w:ascii="Garamond" w:hAnsi="Garamond"/>
          <w:i/>
        </w:rPr>
        <w:t>Lipid</w:t>
      </w:r>
      <w:r w:rsidR="00E766ED" w:rsidRPr="009A2E44">
        <w:rPr>
          <w:rFonts w:ascii="Garamond" w:hAnsi="Garamond"/>
          <w:i/>
        </w:rPr>
        <w:t xml:space="preserve"> isotope analyses</w:t>
      </w:r>
    </w:p>
    <w:p w14:paraId="72055023" w14:textId="0B56B3B9" w:rsidR="001E2E5F" w:rsidRPr="009A2E44" w:rsidRDefault="00F40DC7" w:rsidP="001C47D3">
      <w:pPr>
        <w:spacing w:line="480" w:lineRule="auto"/>
        <w:ind w:firstLine="720"/>
        <w:rPr>
          <w:rFonts w:ascii="Garamond" w:hAnsi="Garamond"/>
          <w:color w:val="000000" w:themeColor="text1"/>
        </w:rPr>
      </w:pPr>
      <w:r>
        <w:rPr>
          <w:rFonts w:ascii="Garamond" w:hAnsi="Garamond"/>
        </w:rPr>
        <w:lastRenderedPageBreak/>
        <w:t>Sediment samples consisted of</w:t>
      </w:r>
      <w:r w:rsidR="00984902" w:rsidRPr="009A2E44">
        <w:rPr>
          <w:rFonts w:ascii="Garamond" w:hAnsi="Garamond"/>
        </w:rPr>
        <w:t xml:space="preserve"> </w:t>
      </w:r>
      <w:r w:rsidR="00225823" w:rsidRPr="009A2E44">
        <w:rPr>
          <w:rFonts w:ascii="Garamond" w:hAnsi="Garamond"/>
        </w:rPr>
        <w:t>1</w:t>
      </w:r>
      <w:r w:rsidR="0031033B" w:rsidRPr="009A2E44">
        <w:rPr>
          <w:rFonts w:ascii="Garamond" w:hAnsi="Garamond"/>
        </w:rPr>
        <w:t xml:space="preserve"> </w:t>
      </w:r>
      <w:r w:rsidR="00225823" w:rsidRPr="009A2E44">
        <w:rPr>
          <w:rFonts w:ascii="Garamond" w:hAnsi="Garamond"/>
        </w:rPr>
        <w:t>cm intervals</w:t>
      </w:r>
      <w:r w:rsidR="00396057" w:rsidRPr="009A2E44">
        <w:rPr>
          <w:rFonts w:ascii="Garamond" w:hAnsi="Garamond"/>
        </w:rPr>
        <w:t xml:space="preserve">, </w:t>
      </w:r>
      <w:r w:rsidR="00225823" w:rsidRPr="009A2E44">
        <w:rPr>
          <w:rFonts w:ascii="Garamond" w:hAnsi="Garamond"/>
        </w:rPr>
        <w:t>0.5</w:t>
      </w:r>
      <w:r w:rsidR="00763685" w:rsidRPr="009A2E44">
        <w:rPr>
          <w:rFonts w:ascii="Garamond" w:hAnsi="Garamond"/>
        </w:rPr>
        <w:t xml:space="preserve"> </w:t>
      </w:r>
      <w:r w:rsidR="00225823" w:rsidRPr="009A2E44">
        <w:rPr>
          <w:rFonts w:ascii="Garamond" w:hAnsi="Garamond"/>
        </w:rPr>
        <w:t>cm for the top</w:t>
      </w:r>
      <w:r w:rsidR="00984902" w:rsidRPr="009A2E44">
        <w:rPr>
          <w:rFonts w:ascii="Garamond" w:hAnsi="Garamond"/>
        </w:rPr>
        <w:t xml:space="preserve"> 39</w:t>
      </w:r>
      <w:r w:rsidR="00763685" w:rsidRPr="009A2E44">
        <w:rPr>
          <w:rFonts w:ascii="Garamond" w:hAnsi="Garamond"/>
        </w:rPr>
        <w:t xml:space="preserve"> </w:t>
      </w:r>
      <w:r w:rsidR="00984902" w:rsidRPr="009A2E44">
        <w:rPr>
          <w:rFonts w:ascii="Garamond" w:hAnsi="Garamond"/>
        </w:rPr>
        <w:t>cm of LATVKUC4</w:t>
      </w:r>
      <w:r w:rsidR="00396057" w:rsidRPr="009A2E44">
        <w:rPr>
          <w:rFonts w:ascii="Garamond" w:hAnsi="Garamond"/>
        </w:rPr>
        <w:t xml:space="preserve">, or </w:t>
      </w:r>
      <w:r w:rsidR="0031033B" w:rsidRPr="009A2E44">
        <w:rPr>
          <w:rFonts w:ascii="Garamond" w:hAnsi="Garamond"/>
        </w:rPr>
        <w:t>a</w:t>
      </w:r>
      <w:r w:rsidR="004D51FF" w:rsidRPr="009A2E44">
        <w:rPr>
          <w:rFonts w:ascii="Garamond" w:hAnsi="Garamond"/>
        </w:rPr>
        <w:t xml:space="preserve"> homogenized</w:t>
      </w:r>
      <w:r w:rsidR="0031033B" w:rsidRPr="009A2E44">
        <w:rPr>
          <w:rFonts w:ascii="Garamond" w:hAnsi="Garamond"/>
        </w:rPr>
        <w:t xml:space="preserve"> 1</w:t>
      </w:r>
      <w:r w:rsidR="008D4681" w:rsidRPr="009A2E44">
        <w:rPr>
          <w:rFonts w:ascii="Garamond" w:hAnsi="Garamond"/>
        </w:rPr>
        <w:t>5</w:t>
      </w:r>
      <w:r w:rsidR="0031033B" w:rsidRPr="009A2E44">
        <w:rPr>
          <w:rFonts w:ascii="Garamond" w:hAnsi="Garamond"/>
        </w:rPr>
        <w:t xml:space="preserve"> cm or </w:t>
      </w:r>
      <w:r w:rsidR="008D4681" w:rsidRPr="009A2E44">
        <w:rPr>
          <w:rFonts w:ascii="Garamond" w:hAnsi="Garamond"/>
        </w:rPr>
        <w:t>20</w:t>
      </w:r>
      <w:r w:rsidR="00350122" w:rsidRPr="009A2E44">
        <w:rPr>
          <w:rFonts w:ascii="Garamond" w:hAnsi="Garamond"/>
        </w:rPr>
        <w:t xml:space="preserve"> </w:t>
      </w:r>
      <w:r w:rsidR="0031033B" w:rsidRPr="009A2E44">
        <w:rPr>
          <w:rFonts w:ascii="Garamond" w:hAnsi="Garamond"/>
        </w:rPr>
        <w:t>cm sample interval for the disturbed core top portions of LALOUC1</w:t>
      </w:r>
      <w:r w:rsidR="008D4681" w:rsidRPr="009A2E44">
        <w:rPr>
          <w:rFonts w:ascii="Garamond" w:hAnsi="Garamond"/>
        </w:rPr>
        <w:t>4</w:t>
      </w:r>
      <w:r w:rsidR="0031033B" w:rsidRPr="009A2E44">
        <w:rPr>
          <w:rFonts w:ascii="Garamond" w:hAnsi="Garamond"/>
        </w:rPr>
        <w:t xml:space="preserve"> and LALOUC1</w:t>
      </w:r>
      <w:r w:rsidR="008D4681" w:rsidRPr="009A2E44">
        <w:rPr>
          <w:rFonts w:ascii="Garamond" w:hAnsi="Garamond"/>
        </w:rPr>
        <w:t>3</w:t>
      </w:r>
      <w:r w:rsidR="00984902" w:rsidRPr="009A2E44">
        <w:rPr>
          <w:rFonts w:ascii="Garamond" w:hAnsi="Garamond"/>
        </w:rPr>
        <w:t xml:space="preserve">. </w:t>
      </w:r>
      <w:r w:rsidR="00551D3C" w:rsidRPr="009A2E44">
        <w:rPr>
          <w:rFonts w:ascii="Garamond" w:hAnsi="Garamond"/>
        </w:rPr>
        <w:t>To</w:t>
      </w:r>
      <w:r w:rsidR="00E7391F" w:rsidRPr="009A2E44">
        <w:rPr>
          <w:rFonts w:ascii="Garamond" w:hAnsi="Garamond"/>
        </w:rPr>
        <w:t xml:space="preserve"> balance resolution and spatial coverage, </w:t>
      </w:r>
      <w:r w:rsidR="00E12D57" w:rsidRPr="009A2E44">
        <w:rPr>
          <w:rFonts w:ascii="Garamond" w:hAnsi="Garamond"/>
        </w:rPr>
        <w:t xml:space="preserve">typical </w:t>
      </w:r>
      <w:r w:rsidR="00A247BD" w:rsidRPr="009A2E44">
        <w:rPr>
          <w:rFonts w:ascii="Garamond" w:hAnsi="Garamond"/>
        </w:rPr>
        <w:t>sampling intervals were every</w:t>
      </w:r>
      <w:r w:rsidR="00984902" w:rsidRPr="009A2E44">
        <w:rPr>
          <w:rFonts w:ascii="Garamond" w:hAnsi="Garamond"/>
        </w:rPr>
        <w:t xml:space="preserve"> </w:t>
      </w:r>
      <w:r w:rsidR="00716FC6" w:rsidRPr="009A2E44">
        <w:rPr>
          <w:rFonts w:ascii="Garamond" w:hAnsi="Garamond"/>
        </w:rPr>
        <w:t>two</w:t>
      </w:r>
      <w:r w:rsidR="00E12D57" w:rsidRPr="009A2E44">
        <w:rPr>
          <w:rFonts w:ascii="Garamond" w:hAnsi="Garamond"/>
        </w:rPr>
        <w:t xml:space="preserve"> to </w:t>
      </w:r>
      <w:r w:rsidR="00716FC6" w:rsidRPr="009A2E44">
        <w:rPr>
          <w:rFonts w:ascii="Garamond" w:hAnsi="Garamond"/>
        </w:rPr>
        <w:t>six</w:t>
      </w:r>
      <w:r w:rsidR="00EB1609" w:rsidRPr="009A2E44">
        <w:rPr>
          <w:rFonts w:ascii="Garamond" w:hAnsi="Garamond"/>
        </w:rPr>
        <w:t xml:space="preserve"> </w:t>
      </w:r>
      <w:r w:rsidR="00984902" w:rsidRPr="009A2E44">
        <w:rPr>
          <w:rFonts w:ascii="Garamond" w:hAnsi="Garamond"/>
        </w:rPr>
        <w:t xml:space="preserve">cm. </w:t>
      </w:r>
      <w:r w:rsidR="00511CF6" w:rsidRPr="009A2E44">
        <w:rPr>
          <w:rFonts w:ascii="Garamond" w:hAnsi="Garamond"/>
        </w:rPr>
        <w:t xml:space="preserve">Lipids </w:t>
      </w:r>
      <w:r w:rsidR="006835B9" w:rsidRPr="009A2E44">
        <w:rPr>
          <w:rFonts w:ascii="Garamond" w:hAnsi="Garamond"/>
        </w:rPr>
        <w:t xml:space="preserve">were </w:t>
      </w:r>
      <w:r w:rsidR="00E766ED" w:rsidRPr="009A2E44">
        <w:rPr>
          <w:rFonts w:ascii="Garamond" w:hAnsi="Garamond"/>
        </w:rPr>
        <w:t xml:space="preserve">extracted </w:t>
      </w:r>
      <w:r w:rsidR="00511CF6" w:rsidRPr="009A2E44">
        <w:rPr>
          <w:rFonts w:ascii="Garamond" w:hAnsi="Garamond"/>
        </w:rPr>
        <w:t xml:space="preserve">from </w:t>
      </w:r>
      <w:r>
        <w:rPr>
          <w:rFonts w:ascii="Garamond" w:hAnsi="Garamond"/>
        </w:rPr>
        <w:t xml:space="preserve">freeze-dried </w:t>
      </w:r>
      <w:r w:rsidR="00511CF6" w:rsidRPr="009A2E44">
        <w:rPr>
          <w:rFonts w:ascii="Garamond" w:hAnsi="Garamond"/>
        </w:rPr>
        <w:t xml:space="preserve">sediment samples </w:t>
      </w:r>
      <w:r w:rsidR="00E766ED" w:rsidRPr="009A2E44">
        <w:rPr>
          <w:rFonts w:ascii="Garamond" w:hAnsi="Garamond"/>
        </w:rPr>
        <w:t>with a</w:t>
      </w:r>
      <w:r w:rsidR="00104C5F" w:rsidRPr="009A2E44">
        <w:rPr>
          <w:rFonts w:ascii="Garamond" w:hAnsi="Garamond"/>
        </w:rPr>
        <w:t>n Accelerated Solvent Extractor</w:t>
      </w:r>
      <w:r w:rsidR="008B6DBD" w:rsidRPr="009A2E44">
        <w:rPr>
          <w:rFonts w:ascii="Garamond" w:hAnsi="Garamond"/>
        </w:rPr>
        <w:t xml:space="preserve"> </w:t>
      </w:r>
      <w:r w:rsidR="00A043DA" w:rsidRPr="009A2E44">
        <w:rPr>
          <w:rFonts w:ascii="Garamond" w:hAnsi="Garamond"/>
        </w:rPr>
        <w:t xml:space="preserve">(ASE-200, </w:t>
      </w:r>
      <w:proofErr w:type="spellStart"/>
      <w:r w:rsidR="00A043DA" w:rsidRPr="009A2E44">
        <w:rPr>
          <w:rFonts w:ascii="Garamond" w:hAnsi="Garamond"/>
        </w:rPr>
        <w:t>Dionex</w:t>
      </w:r>
      <w:proofErr w:type="spellEnd"/>
      <w:r w:rsidR="00A043DA" w:rsidRPr="009A2E44">
        <w:rPr>
          <w:rFonts w:ascii="Garamond" w:hAnsi="Garamond"/>
        </w:rPr>
        <w:t xml:space="preserve"> Corp. Sunnyvale, CA, USA) </w:t>
      </w:r>
      <w:r w:rsidR="008B6DBD" w:rsidRPr="009A2E44">
        <w:rPr>
          <w:rFonts w:ascii="Garamond" w:hAnsi="Garamond"/>
        </w:rPr>
        <w:t>and t</w:t>
      </w:r>
      <w:r w:rsidR="00E766ED" w:rsidRPr="009A2E44">
        <w:rPr>
          <w:rFonts w:ascii="Garamond" w:hAnsi="Garamond"/>
        </w:rPr>
        <w:t xml:space="preserve">otal lipid extracts were saponified </w:t>
      </w:r>
      <w:r w:rsidR="00104C5F" w:rsidRPr="009A2E44">
        <w:rPr>
          <w:rFonts w:ascii="Garamond" w:hAnsi="Garamond"/>
        </w:rPr>
        <w:t>then</w:t>
      </w:r>
      <w:r w:rsidR="00E766ED" w:rsidRPr="009A2E44">
        <w:rPr>
          <w:rFonts w:ascii="Garamond" w:hAnsi="Garamond"/>
        </w:rPr>
        <w:t xml:space="preserve"> purified using </w:t>
      </w:r>
      <w:r w:rsidR="002A04A3" w:rsidRPr="009A2E44">
        <w:rPr>
          <w:rFonts w:ascii="Garamond" w:hAnsi="Garamond"/>
        </w:rPr>
        <w:t xml:space="preserve">aminopropyl gel and silica gel </w:t>
      </w:r>
      <w:r w:rsidR="00E766ED" w:rsidRPr="009A2E44">
        <w:rPr>
          <w:rFonts w:ascii="Garamond" w:hAnsi="Garamond"/>
        </w:rPr>
        <w:t>column chromatography</w:t>
      </w:r>
      <w:r w:rsidR="000E2EB9" w:rsidRPr="009A2E44">
        <w:rPr>
          <w:rFonts w:ascii="Garamond" w:hAnsi="Garamond"/>
        </w:rPr>
        <w:t xml:space="preserve"> according to </w:t>
      </w:r>
      <w:r w:rsidR="00396057" w:rsidRPr="009A2E44">
        <w:rPr>
          <w:rFonts w:ascii="Garamond" w:hAnsi="Garamond"/>
        </w:rPr>
        <w:t>the procedure</w:t>
      </w:r>
      <w:r w:rsidR="000E2EB9" w:rsidRPr="009A2E44">
        <w:rPr>
          <w:rFonts w:ascii="Garamond" w:hAnsi="Garamond"/>
        </w:rPr>
        <w:t xml:space="preserve"> specified in </w:t>
      </w:r>
      <w:r w:rsidR="000E2EB9" w:rsidRPr="009A2E44">
        <w:rPr>
          <w:rFonts w:ascii="Garamond" w:hAnsi="Garamond"/>
        </w:rPr>
        <w:fldChar w:fldCharType="begin" w:fldLock="1"/>
      </w:r>
      <w:r w:rsidR="00115C06" w:rsidRPr="009A2E44">
        <w:rPr>
          <w:rFonts w:ascii="Garamond" w:hAnsi="Garamond"/>
        </w:rPr>
        <w:instrText>ADDIN CSL_CITATION {"citationItems":[{"id":"ITEM-1","itemData":{"DOI":"10.1016/j.gca.2018.10.028","ISSN":"0016-7037","author":[{"dropping-particle":"","family":"Maloney","given":"Ashley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Acta","id":"ITEM-1","issued":{"date-parts":[["2019"]]},"page":"190-206","publisher":"Elsevier Ltd","title":"Reconstructing precipitation in the tropical South Pacific from dinosterol 2H/1H ratios in lake sediment","type":"article-journal","volume":"245"},"uris":["http://www.mendeley.com/documents/?uuid=c7ab851f-4ac6-4a60-a0db-daaa3baed28f"]}],"mendeley":{"formattedCitation":"(Maloney et al., 2019)","manualFormatting":"Maloney et al. (2019)","plainTextFormattedCitation":"(Maloney et al., 2019)","previouslyFormattedCitation":"(Maloney et al., 2019)"},"properties":{"noteIndex":0},"schema":"https://github.com/citation-style-language/schema/raw/master/csl-citation.json"}</w:instrText>
      </w:r>
      <w:r w:rsidR="000E2EB9" w:rsidRPr="009A2E44">
        <w:rPr>
          <w:rFonts w:ascii="Garamond" w:hAnsi="Garamond"/>
        </w:rPr>
        <w:fldChar w:fldCharType="separate"/>
      </w:r>
      <w:r w:rsidR="00936A85" w:rsidRPr="009A2E44">
        <w:rPr>
          <w:rFonts w:ascii="Garamond" w:hAnsi="Garamond"/>
          <w:noProof/>
        </w:rPr>
        <w:t xml:space="preserve">Maloney et al. </w:t>
      </w:r>
      <w:r w:rsidR="00115C06" w:rsidRPr="009A2E44">
        <w:rPr>
          <w:rFonts w:ascii="Garamond" w:hAnsi="Garamond"/>
          <w:noProof/>
        </w:rPr>
        <w:t>(</w:t>
      </w:r>
      <w:r w:rsidR="00936A85" w:rsidRPr="009A2E44">
        <w:rPr>
          <w:rFonts w:ascii="Garamond" w:hAnsi="Garamond"/>
          <w:noProof/>
        </w:rPr>
        <w:t>2019)</w:t>
      </w:r>
      <w:r w:rsidR="000E2EB9" w:rsidRPr="009A2E44">
        <w:rPr>
          <w:rFonts w:ascii="Garamond" w:hAnsi="Garamond"/>
        </w:rPr>
        <w:fldChar w:fldCharType="end"/>
      </w:r>
      <w:r w:rsidR="00ED5192" w:rsidRPr="009A2E44">
        <w:rPr>
          <w:rFonts w:ascii="Garamond" w:hAnsi="Garamond"/>
        </w:rPr>
        <w:t xml:space="preserve">. The sterol-containing fraction was </w:t>
      </w:r>
      <w:r w:rsidR="0031033B" w:rsidRPr="009A2E44">
        <w:rPr>
          <w:rFonts w:ascii="Garamond" w:hAnsi="Garamond"/>
        </w:rPr>
        <w:t xml:space="preserve">acetylated, </w:t>
      </w:r>
      <w:r w:rsidR="00511CF6" w:rsidRPr="009A2E44">
        <w:rPr>
          <w:rFonts w:ascii="Garamond" w:hAnsi="Garamond"/>
        </w:rPr>
        <w:t xml:space="preserve">and dinosterol was </w:t>
      </w:r>
      <w:r w:rsidR="0031033B" w:rsidRPr="009A2E44">
        <w:rPr>
          <w:rFonts w:ascii="Garamond" w:hAnsi="Garamond"/>
        </w:rPr>
        <w:t>HPLC-purified (</w:t>
      </w:r>
      <w:r w:rsidR="0031033B" w:rsidRPr="009A2E44">
        <w:rPr>
          <w:rFonts w:ascii="Garamond" w:hAnsi="Garamond"/>
        </w:rPr>
        <w:fldChar w:fldCharType="begin" w:fldLock="1"/>
      </w:r>
      <w:r w:rsidR="00932F7A" w:rsidRPr="009A2E44">
        <w:rPr>
          <w:rFonts w:ascii="Garamond" w:hAnsi="Garamond"/>
        </w:rPr>
        <w:instrText>ADDIN CSL_CITATION {"citationItems":[{"id":"ITEM-1","itemData":{"DOI":"10.1016/j.orggeochem.2013.09.005","ISSN":"01466380","author":[{"dropping-particle":"","family":"Nelson","given":"Daniel B","non-dropping-particle":"","parse-names":false,"suffix":""},{"dropping-particle":"","family":"Sachs","given":"Julian P","non-dropping-particle":"","parse-names":false,"suffix":""}],"container-title":"Organic Geochemistry","id":"ITEM-1","issued":{"date-parts":[["2013","11"]]},"page":"19-28","publisher":"Elsevier Ltd","title":"Concurrent purification of sterols, triterpenols and alkenones from sediments for hydrogen isotope analysis using high performance liquid chromatography","type":"article-journal","volume":"64"},"uris":["http://www.mendeley.com/documents/?uuid=5b45cf29-fdc7-48bc-9b2d-d564ccf36c52"]}],"mendeley":{"formattedCitation":"(Nelson and Sachs, 2013)","manualFormatting":"Nelson &amp; Sachs 2013)","plainTextFormattedCitation":"(Nelson and Sachs, 2013)","previouslyFormattedCitation":"(Nelson and Sachs, 2013)"},"properties":{"noteIndex":0},"schema":"https://github.com/citation-style-language/schema/raw/master/csl-citation.json"}</w:instrText>
      </w:r>
      <w:r w:rsidR="0031033B" w:rsidRPr="009A2E44">
        <w:rPr>
          <w:rFonts w:ascii="Garamond" w:hAnsi="Garamond"/>
        </w:rPr>
        <w:fldChar w:fldCharType="separate"/>
      </w:r>
      <w:r w:rsidR="0031033B" w:rsidRPr="009A2E44">
        <w:rPr>
          <w:rFonts w:ascii="Garamond" w:hAnsi="Garamond"/>
          <w:noProof/>
        </w:rPr>
        <w:t>Nelson &amp; Sachs 2013)</w:t>
      </w:r>
      <w:r w:rsidR="0031033B" w:rsidRPr="009A2E44">
        <w:rPr>
          <w:rFonts w:ascii="Garamond" w:hAnsi="Garamond"/>
        </w:rPr>
        <w:fldChar w:fldCharType="end"/>
      </w:r>
      <w:r w:rsidR="0031033B" w:rsidRPr="009A2E44">
        <w:rPr>
          <w:rFonts w:ascii="Garamond" w:hAnsi="Garamond"/>
        </w:rPr>
        <w:t xml:space="preserve">, identified, quantified, and analyzed for </w:t>
      </w:r>
      <w:r w:rsidR="0031033B" w:rsidRPr="009A2E44">
        <w:rPr>
          <w:rFonts w:ascii="Garamond" w:hAnsi="Garamond"/>
        </w:rPr>
        <w:sym w:font="Symbol" w:char="F064"/>
      </w:r>
      <w:r w:rsidR="0031033B" w:rsidRPr="009A2E44">
        <w:rPr>
          <w:rFonts w:ascii="Garamond" w:hAnsi="Garamond"/>
          <w:vertAlign w:val="superscript"/>
        </w:rPr>
        <w:t>2</w:t>
      </w:r>
      <w:r w:rsidR="0031033B" w:rsidRPr="009A2E44">
        <w:rPr>
          <w:rFonts w:ascii="Garamond" w:hAnsi="Garamond"/>
        </w:rPr>
        <w:t>H</w:t>
      </w:r>
      <w:r w:rsidR="0031033B" w:rsidRPr="009A2E44">
        <w:rPr>
          <w:rFonts w:ascii="Garamond" w:hAnsi="Garamond"/>
          <w:vertAlign w:val="subscript"/>
        </w:rPr>
        <w:t>dinosterol</w:t>
      </w:r>
      <w:r w:rsidR="0031033B" w:rsidRPr="009A2E44">
        <w:rPr>
          <w:rFonts w:ascii="Garamond" w:hAnsi="Garamond"/>
        </w:rPr>
        <w:t xml:space="preserve"> at the University of Washington</w:t>
      </w:r>
      <w:r w:rsidR="004D51FF" w:rsidRPr="009A2E44">
        <w:rPr>
          <w:rFonts w:ascii="Garamond" w:hAnsi="Garamond"/>
        </w:rPr>
        <w:t xml:space="preserve"> according to previously used methods and instrument settings </w:t>
      </w:r>
      <w:r w:rsidR="004D51FF" w:rsidRPr="009A2E44">
        <w:rPr>
          <w:rFonts w:ascii="Garamond" w:hAnsi="Garamond"/>
        </w:rPr>
        <w:fldChar w:fldCharType="begin" w:fldLock="1"/>
      </w:r>
      <w:r w:rsidR="00932F7A" w:rsidRPr="009A2E44">
        <w:rPr>
          <w:rFonts w:ascii="Garamond" w:hAnsi="Garamond"/>
        </w:rPr>
        <w:instrText>ADDIN CSL_CITATION {"citationItems":[{"id":"ITEM-1","itemData":{"DOI":"10.1016/j.gca.2018.10.028","ISSN":"0016-7037","author":[{"dropping-particle":"","family":"Maloney","given":"Ashley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Acta","id":"ITEM-1","issued":{"date-parts":[["2019"]]},"page":"190-206","publisher":"Elsevier Ltd","title":"Reconstructing precipitation in the tropical South Pacific from dinosterol 2H/1H ratios in lake sediment","type":"article-journal","volume":"245"},"uris":["http://www.mendeley.com/documents/?uuid=c7ab851f-4ac6-4a60-a0db-daaa3baed28f"]}],"mendeley":{"formattedCitation":"(Maloney et al., 2019)","plainTextFormattedCitation":"(Maloney et al., 2019)","previouslyFormattedCitation":"(Maloney et al., 2019)"},"properties":{"noteIndex":0},"schema":"https://github.com/citation-style-language/schema/raw/master/csl-citation.json"}</w:instrText>
      </w:r>
      <w:r w:rsidR="004D51FF" w:rsidRPr="009A2E44">
        <w:rPr>
          <w:rFonts w:ascii="Garamond" w:hAnsi="Garamond"/>
        </w:rPr>
        <w:fldChar w:fldCharType="separate"/>
      </w:r>
      <w:r w:rsidR="00936A85" w:rsidRPr="009A2E44">
        <w:rPr>
          <w:rFonts w:ascii="Garamond" w:hAnsi="Garamond"/>
          <w:noProof/>
        </w:rPr>
        <w:t>(Maloney et al., 2019)</w:t>
      </w:r>
      <w:r w:rsidR="004D51FF" w:rsidRPr="009A2E44">
        <w:rPr>
          <w:rFonts w:ascii="Garamond" w:hAnsi="Garamond"/>
        </w:rPr>
        <w:fldChar w:fldCharType="end"/>
      </w:r>
      <w:r w:rsidR="0031033B" w:rsidRPr="009A2E44">
        <w:rPr>
          <w:rFonts w:ascii="Garamond" w:hAnsi="Garamond"/>
        </w:rPr>
        <w:t xml:space="preserve">. </w:t>
      </w:r>
      <w:r w:rsidR="005E4291">
        <w:rPr>
          <w:rFonts w:ascii="Garamond" w:hAnsi="Garamond"/>
        </w:rPr>
        <w:t xml:space="preserve">The average number of </w:t>
      </w:r>
      <w:r w:rsidR="007A731E">
        <w:rPr>
          <w:rFonts w:ascii="Garamond" w:hAnsi="Garamond"/>
        </w:rPr>
        <w:t xml:space="preserve">sample </w:t>
      </w:r>
      <w:r w:rsidR="005E4291">
        <w:rPr>
          <w:rFonts w:ascii="Garamond" w:hAnsi="Garamond"/>
        </w:rPr>
        <w:t>injections was at least</w:t>
      </w:r>
      <w:r w:rsidR="00396057" w:rsidRPr="009A2E44">
        <w:rPr>
          <w:rFonts w:ascii="Garamond" w:hAnsi="Garamond"/>
        </w:rPr>
        <w:t xml:space="preserve"> 2.1 </w:t>
      </w:r>
      <w:r w:rsidR="005E4291">
        <w:rPr>
          <w:rFonts w:ascii="Garamond" w:hAnsi="Garamond"/>
        </w:rPr>
        <w:t>times</w:t>
      </w:r>
      <w:r w:rsidR="007A731E">
        <w:rPr>
          <w:rFonts w:ascii="Garamond" w:hAnsi="Garamond"/>
        </w:rPr>
        <w:t xml:space="preserve"> for a core</w:t>
      </w:r>
      <w:r w:rsidR="005E4291">
        <w:rPr>
          <w:rFonts w:ascii="Garamond" w:hAnsi="Garamond"/>
        </w:rPr>
        <w:t xml:space="preserve"> (</w:t>
      </w:r>
      <w:r w:rsidR="00B74FD6">
        <w:rPr>
          <w:rFonts w:ascii="Garamond" w:hAnsi="Garamond"/>
        </w:rPr>
        <w:t>up to an average of</w:t>
      </w:r>
      <w:r w:rsidR="005E4291">
        <w:rPr>
          <w:rFonts w:ascii="Garamond" w:hAnsi="Garamond"/>
        </w:rPr>
        <w:t xml:space="preserve"> </w:t>
      </w:r>
      <w:r w:rsidR="00396057" w:rsidRPr="009A2E44">
        <w:rPr>
          <w:rFonts w:ascii="Garamond" w:hAnsi="Garamond"/>
        </w:rPr>
        <w:t xml:space="preserve">3.8 </w:t>
      </w:r>
      <w:r w:rsidR="00B74FD6">
        <w:rPr>
          <w:rFonts w:ascii="Garamond" w:hAnsi="Garamond"/>
        </w:rPr>
        <w:t>injections for a core</w:t>
      </w:r>
      <w:r w:rsidR="005E4291">
        <w:rPr>
          <w:rFonts w:ascii="Garamond" w:hAnsi="Garamond"/>
        </w:rPr>
        <w:t>)</w:t>
      </w:r>
      <w:r w:rsidR="00511CF6" w:rsidRPr="009A2E44">
        <w:rPr>
          <w:rFonts w:ascii="Garamond" w:hAnsi="Garamond"/>
        </w:rPr>
        <w:t>,</w:t>
      </w:r>
      <w:r w:rsidR="00396057" w:rsidRPr="009A2E44">
        <w:rPr>
          <w:rFonts w:ascii="Garamond" w:hAnsi="Garamond"/>
        </w:rPr>
        <w:t xml:space="preserve"> </w:t>
      </w:r>
      <w:r w:rsidR="00396057" w:rsidRPr="009A2E44">
        <w:rPr>
          <w:rFonts w:ascii="Garamond" w:hAnsi="Garamond"/>
          <w:color w:val="000000" w:themeColor="text1"/>
        </w:rPr>
        <w:t xml:space="preserve">and </w:t>
      </w:r>
      <w:r w:rsidR="00511CF6" w:rsidRPr="009A2E44">
        <w:rPr>
          <w:rFonts w:ascii="Garamond" w:hAnsi="Garamond"/>
          <w:color w:val="000000" w:themeColor="text1"/>
        </w:rPr>
        <w:t xml:space="preserve">the </w:t>
      </w:r>
      <w:r w:rsidR="00396057" w:rsidRPr="009A2E44">
        <w:rPr>
          <w:rFonts w:ascii="Garamond" w:hAnsi="Garamond"/>
          <w:color w:val="000000" w:themeColor="text1"/>
        </w:rPr>
        <w:t>pooled uncertaint</w:t>
      </w:r>
      <w:r w:rsidR="00511CF6" w:rsidRPr="009A2E44">
        <w:rPr>
          <w:rFonts w:ascii="Garamond" w:hAnsi="Garamond"/>
          <w:color w:val="000000" w:themeColor="text1"/>
        </w:rPr>
        <w:t>ies</w:t>
      </w:r>
      <w:r w:rsidR="00396057" w:rsidRPr="009A2E44">
        <w:rPr>
          <w:rFonts w:ascii="Garamond" w:hAnsi="Garamond"/>
          <w:color w:val="000000" w:themeColor="text1"/>
        </w:rPr>
        <w:t xml:space="preserve"> </w:t>
      </w:r>
      <w:r w:rsidR="00511CF6" w:rsidRPr="009A2E44">
        <w:rPr>
          <w:rFonts w:ascii="Garamond" w:hAnsi="Garamond"/>
          <w:color w:val="000000" w:themeColor="text1"/>
        </w:rPr>
        <w:t>of</w:t>
      </w:r>
      <w:r w:rsidR="00511CF6" w:rsidRPr="009A2E44">
        <w:rPr>
          <w:rFonts w:ascii="Garamond" w:hAnsi="Garamond"/>
        </w:rPr>
        <w:t xml:space="preserve"> </w:t>
      </w:r>
      <w:r w:rsidR="00511CF6" w:rsidRPr="009A2E44">
        <w:rPr>
          <w:rFonts w:ascii="Garamond" w:hAnsi="Garamond"/>
        </w:rPr>
        <w:sym w:font="Symbol" w:char="F064"/>
      </w:r>
      <w:r w:rsidR="00511CF6" w:rsidRPr="009A2E44">
        <w:rPr>
          <w:rFonts w:ascii="Garamond" w:hAnsi="Garamond"/>
          <w:vertAlign w:val="superscript"/>
        </w:rPr>
        <w:t>2</w:t>
      </w:r>
      <w:r w:rsidR="00511CF6" w:rsidRPr="009A2E44">
        <w:rPr>
          <w:rFonts w:ascii="Garamond" w:hAnsi="Garamond"/>
        </w:rPr>
        <w:t>H</w:t>
      </w:r>
      <w:r w:rsidR="00511CF6" w:rsidRPr="009A2E44">
        <w:rPr>
          <w:rFonts w:ascii="Garamond" w:hAnsi="Garamond"/>
          <w:vertAlign w:val="subscript"/>
        </w:rPr>
        <w:t>dinosterol</w:t>
      </w:r>
      <w:r w:rsidR="00511CF6" w:rsidRPr="009A2E44">
        <w:rPr>
          <w:rFonts w:ascii="Garamond" w:hAnsi="Garamond"/>
        </w:rPr>
        <w:t xml:space="preserve"> values from each </w:t>
      </w:r>
      <w:r w:rsidR="007A731E">
        <w:rPr>
          <w:rFonts w:ascii="Garamond" w:hAnsi="Garamond"/>
        </w:rPr>
        <w:t>core</w:t>
      </w:r>
      <w:r w:rsidR="007A731E" w:rsidRPr="009A2E44">
        <w:rPr>
          <w:rFonts w:ascii="Garamond" w:hAnsi="Garamond"/>
        </w:rPr>
        <w:t xml:space="preserve"> </w:t>
      </w:r>
      <w:r w:rsidR="00511CF6" w:rsidRPr="009A2E44">
        <w:rPr>
          <w:rFonts w:ascii="Garamond" w:hAnsi="Garamond"/>
        </w:rPr>
        <w:t xml:space="preserve">were </w:t>
      </w:r>
      <w:r w:rsidR="00396057" w:rsidRPr="009A2E44">
        <w:rPr>
          <w:rFonts w:ascii="Garamond" w:hAnsi="Garamond"/>
        </w:rPr>
        <w:t>between 4.2</w:t>
      </w:r>
      <w:r w:rsidR="009E2872" w:rsidRPr="009A2E44">
        <w:rPr>
          <w:rFonts w:ascii="Garamond" w:hAnsi="Garamond"/>
        </w:rPr>
        <w:t xml:space="preserve"> </w:t>
      </w:r>
      <w:r w:rsidR="00396057" w:rsidRPr="009A2E44">
        <w:rPr>
          <w:rFonts w:ascii="Garamond" w:hAnsi="Garamond"/>
        </w:rPr>
        <w:t>‰ and 6.4</w:t>
      </w:r>
      <w:r w:rsidR="009E2872" w:rsidRPr="009A2E44">
        <w:rPr>
          <w:rFonts w:ascii="Garamond" w:hAnsi="Garamond"/>
        </w:rPr>
        <w:t xml:space="preserve"> </w:t>
      </w:r>
      <w:r w:rsidR="00396057" w:rsidRPr="009A2E44">
        <w:rPr>
          <w:rFonts w:ascii="Garamond" w:hAnsi="Garamond"/>
        </w:rPr>
        <w:t xml:space="preserve">‰ </w:t>
      </w:r>
      <w:r w:rsidR="004A7991" w:rsidRPr="009A2E44">
        <w:rPr>
          <w:rFonts w:ascii="Garamond" w:hAnsi="Garamond"/>
          <w:color w:val="000000" w:themeColor="text1"/>
        </w:rPr>
        <w:fldChar w:fldCharType="begin" w:fldLock="1"/>
      </w:r>
      <w:r w:rsidR="00B05C30" w:rsidRPr="009A2E44">
        <w:rPr>
          <w:rFonts w:ascii="Garamond" w:hAnsi="Garamond"/>
          <w:color w:val="000000" w:themeColor="text1"/>
        </w:rPr>
        <w:instrText>ADDIN CSL_CITATION {"citationItems":[{"id":"ITEM-1","itemData":{"DOI":"10.1016/j.gca.2013.12.021","ISSN":"00167037","author":[{"dropping-particle":"","family":"Polissar","given":"Pratigya J","non-dropping-particle":"","parse-names":false,"suffix":""},{"dropping-particle":"","family":"D’Andrea","given":"William J","non-dropping-particle":"","parse-names":false,"suffix":""}],"container-title":"Geochimica et Cosmochimica Acta","id":"ITEM-1","issued":{"date-parts":[["2014","3"]]},"page":"146-156","publisher":"Elsevier Ltd","title":"Uncertainty in paleohydrologic reconstructions from molecular δD values","type":"article-journal","volume":"129"},"uris":["http://www.mendeley.com/documents/?uuid=ab37078a-ffd4-46cc-a666-b070a46a70a9"]}],"mendeley":{"formattedCitation":"(Polissar and D’Andrea, 2014)","manualFormatting":"(Polissar and D’Andrea, 2014","plainTextFormattedCitation":"(Polissar and D’Andrea, 2014)","previouslyFormattedCitation":"(Polissar and D’Andrea, 2014)"},"properties":{"noteIndex":0},"schema":"https://github.com/citation-style-language/schema/raw/master/csl-citation.json"}</w:instrText>
      </w:r>
      <w:r w:rsidR="004A7991" w:rsidRPr="009A2E44">
        <w:rPr>
          <w:rFonts w:ascii="Garamond" w:hAnsi="Garamond"/>
          <w:color w:val="000000" w:themeColor="text1"/>
        </w:rPr>
        <w:fldChar w:fldCharType="separate"/>
      </w:r>
      <w:r w:rsidR="00936A85" w:rsidRPr="009A2E44">
        <w:rPr>
          <w:rFonts w:ascii="Garamond" w:hAnsi="Garamond"/>
          <w:noProof/>
          <w:color w:val="000000" w:themeColor="text1"/>
        </w:rPr>
        <w:t>(Polissar and D’Andrea, 2014</w:t>
      </w:r>
      <w:r w:rsidR="004A7991" w:rsidRPr="009A2E44">
        <w:rPr>
          <w:rFonts w:ascii="Garamond" w:hAnsi="Garamond"/>
          <w:color w:val="000000" w:themeColor="text1"/>
        </w:rPr>
        <w:fldChar w:fldCharType="end"/>
      </w:r>
      <w:r w:rsidR="00511CF6" w:rsidRPr="009A2E44">
        <w:rPr>
          <w:rFonts w:ascii="Garamond" w:hAnsi="Garamond"/>
          <w:color w:val="000000" w:themeColor="text1"/>
        </w:rPr>
        <w:t xml:space="preserve">; </w:t>
      </w:r>
      <w:r w:rsidR="00551D3C" w:rsidRPr="009A2E44">
        <w:rPr>
          <w:rFonts w:ascii="Garamond" w:hAnsi="Garamond"/>
          <w:b/>
          <w:color w:val="000000" w:themeColor="text1"/>
        </w:rPr>
        <w:t xml:space="preserve">Tables </w:t>
      </w:r>
      <w:r w:rsidR="00524137" w:rsidRPr="009A2E44">
        <w:rPr>
          <w:rFonts w:ascii="Garamond" w:hAnsi="Garamond"/>
          <w:b/>
          <w:color w:val="000000" w:themeColor="text1"/>
        </w:rPr>
        <w:t>B.3</w:t>
      </w:r>
      <w:r w:rsidR="00551D3C" w:rsidRPr="009A2E44">
        <w:rPr>
          <w:rFonts w:ascii="Garamond" w:hAnsi="Garamond"/>
          <w:b/>
          <w:color w:val="000000" w:themeColor="text1"/>
        </w:rPr>
        <w:t>-</w:t>
      </w:r>
      <w:r w:rsidR="00524137" w:rsidRPr="009A2E44">
        <w:rPr>
          <w:rFonts w:ascii="Garamond" w:hAnsi="Garamond"/>
          <w:b/>
          <w:color w:val="000000" w:themeColor="text1"/>
        </w:rPr>
        <w:t>B.10</w:t>
      </w:r>
      <w:r w:rsidR="00511CF6" w:rsidRPr="009A2E44">
        <w:rPr>
          <w:rFonts w:ascii="Garamond" w:hAnsi="Garamond"/>
          <w:color w:val="000000" w:themeColor="text1"/>
        </w:rPr>
        <w:t>)</w:t>
      </w:r>
      <w:r w:rsidR="00826E0E" w:rsidRPr="009A2E44">
        <w:rPr>
          <w:rFonts w:ascii="Garamond" w:hAnsi="Garamond"/>
          <w:color w:val="000000" w:themeColor="text1"/>
        </w:rPr>
        <w:t xml:space="preserve">. </w:t>
      </w:r>
      <w:r w:rsidR="00511CF6" w:rsidRPr="009A2E44">
        <w:rPr>
          <w:rFonts w:ascii="Garamond" w:hAnsi="Garamond"/>
          <w:color w:val="000000" w:themeColor="text1"/>
        </w:rPr>
        <w:t xml:space="preserve">All dinosterol </w:t>
      </w:r>
      <w:r w:rsidR="00EB1609" w:rsidRPr="009A2E44">
        <w:rPr>
          <w:rFonts w:ascii="Garamond" w:hAnsi="Garamond"/>
        </w:rPr>
        <w:t xml:space="preserve">sample preparation </w:t>
      </w:r>
      <w:r w:rsidR="00511CF6" w:rsidRPr="009A2E44">
        <w:rPr>
          <w:rFonts w:ascii="Garamond" w:hAnsi="Garamond"/>
        </w:rPr>
        <w:t xml:space="preserve">and analyses </w:t>
      </w:r>
      <w:r w:rsidR="00EB1609" w:rsidRPr="009A2E44">
        <w:rPr>
          <w:rFonts w:ascii="Garamond" w:hAnsi="Garamond"/>
        </w:rPr>
        <w:t xml:space="preserve">from ‘Uvea, ‘Upolu, and Efate sediment </w:t>
      </w:r>
      <w:r w:rsidR="00511CF6" w:rsidRPr="009A2E44">
        <w:rPr>
          <w:rFonts w:ascii="Garamond" w:hAnsi="Garamond"/>
        </w:rPr>
        <w:t xml:space="preserve">were </w:t>
      </w:r>
      <w:r w:rsidR="00EB1609" w:rsidRPr="009A2E44">
        <w:rPr>
          <w:rFonts w:ascii="Garamond" w:hAnsi="Garamond"/>
        </w:rPr>
        <w:t>performed in the same lab</w:t>
      </w:r>
      <w:r w:rsidR="00060BA3">
        <w:rPr>
          <w:rFonts w:ascii="Garamond" w:hAnsi="Garamond"/>
        </w:rPr>
        <w:t xml:space="preserve">, and </w:t>
      </w:r>
      <w:r w:rsidR="00060BA3">
        <w:rPr>
          <w:rFonts w:ascii="Garamond" w:hAnsi="Garamond"/>
          <w:color w:val="000000" w:themeColor="text1"/>
        </w:rPr>
        <w:t xml:space="preserve">except for two new </w:t>
      </w:r>
      <w:r w:rsidR="00DD74DD">
        <w:rPr>
          <w:rFonts w:ascii="Garamond" w:hAnsi="Garamond"/>
          <w:color w:val="000000" w:themeColor="text1"/>
        </w:rPr>
        <w:t xml:space="preserve">Lake </w:t>
      </w:r>
      <w:proofErr w:type="spellStart"/>
      <w:r w:rsidR="00DD74DD">
        <w:rPr>
          <w:rFonts w:ascii="Garamond" w:hAnsi="Garamond"/>
          <w:color w:val="000000" w:themeColor="text1"/>
        </w:rPr>
        <w:t>Emaotul</w:t>
      </w:r>
      <w:proofErr w:type="spellEnd"/>
      <w:r w:rsidR="00DD74DD">
        <w:rPr>
          <w:rFonts w:ascii="Garamond" w:hAnsi="Garamond"/>
          <w:color w:val="000000" w:themeColor="text1"/>
        </w:rPr>
        <w:t xml:space="preserve"> (</w:t>
      </w:r>
      <w:proofErr w:type="spellStart"/>
      <w:proofErr w:type="gramStart"/>
      <w:r w:rsidR="00060BA3">
        <w:rPr>
          <w:rFonts w:ascii="Garamond" w:hAnsi="Garamond"/>
          <w:color w:val="000000" w:themeColor="text1"/>
        </w:rPr>
        <w:t>Efate</w:t>
      </w:r>
      <w:r w:rsidR="00DD74DD">
        <w:rPr>
          <w:rFonts w:ascii="Garamond" w:hAnsi="Garamond"/>
          <w:color w:val="000000" w:themeColor="text1"/>
        </w:rPr>
        <w:t>,Vanuatu</w:t>
      </w:r>
      <w:proofErr w:type="spellEnd"/>
      <w:proofErr w:type="gramEnd"/>
      <w:r w:rsidR="00DD74DD">
        <w:rPr>
          <w:rFonts w:ascii="Garamond" w:hAnsi="Garamond"/>
          <w:color w:val="000000" w:themeColor="text1"/>
        </w:rPr>
        <w:t>)</w:t>
      </w:r>
      <w:r w:rsidR="00060BA3">
        <w:rPr>
          <w:rFonts w:ascii="Garamond" w:hAnsi="Garamond"/>
          <w:color w:val="000000" w:themeColor="text1"/>
        </w:rPr>
        <w:t xml:space="preserve"> sediment samples from core section VANL2,</w:t>
      </w:r>
      <w:r w:rsidR="00EB1609" w:rsidRPr="009A2E44">
        <w:rPr>
          <w:rFonts w:ascii="Garamond" w:hAnsi="Garamond"/>
        </w:rPr>
        <w:t xml:space="preserve"> by the same workers during the same period</w:t>
      </w:r>
      <w:r w:rsidR="00511CF6" w:rsidRPr="009A2E44">
        <w:rPr>
          <w:rFonts w:ascii="Garamond" w:hAnsi="Garamond"/>
        </w:rPr>
        <w:t>, minimizing the potential for systematic preparatory artifacts t</w:t>
      </w:r>
      <w:r w:rsidR="008E3BFF" w:rsidRPr="009A2E44">
        <w:rPr>
          <w:rFonts w:ascii="Garamond" w:hAnsi="Garamond"/>
        </w:rPr>
        <w:t>hat</w:t>
      </w:r>
      <w:r w:rsidR="00511CF6" w:rsidRPr="009A2E44">
        <w:rPr>
          <w:rFonts w:ascii="Garamond" w:hAnsi="Garamond"/>
        </w:rPr>
        <w:t xml:space="preserve"> confound comparisons between sample sets.</w:t>
      </w:r>
    </w:p>
    <w:p w14:paraId="36829273" w14:textId="77777777" w:rsidR="00DE6956" w:rsidRPr="009A2E44" w:rsidRDefault="00DE6956" w:rsidP="001C47D3">
      <w:pPr>
        <w:spacing w:line="480" w:lineRule="auto"/>
        <w:ind w:firstLine="720"/>
        <w:rPr>
          <w:rFonts w:ascii="Garamond" w:hAnsi="Garamond"/>
          <w:color w:val="000000" w:themeColor="text1"/>
        </w:rPr>
      </w:pPr>
    </w:p>
    <w:p w14:paraId="6E2FDF5D" w14:textId="1FE675FA" w:rsidR="00DE6956" w:rsidRPr="009A2E44" w:rsidRDefault="00DE6956" w:rsidP="001C47D3">
      <w:pPr>
        <w:spacing w:line="480" w:lineRule="auto"/>
        <w:rPr>
          <w:rFonts w:ascii="Garamond" w:hAnsi="Garamond"/>
          <w:i/>
        </w:rPr>
      </w:pPr>
      <w:r w:rsidRPr="009A2E44">
        <w:rPr>
          <w:rFonts w:ascii="Garamond" w:hAnsi="Garamond"/>
          <w:i/>
          <w:color w:val="000000" w:themeColor="text1"/>
        </w:rPr>
        <w:t>3.4</w:t>
      </w:r>
      <w:r w:rsidR="00CA250B" w:rsidRPr="009A2E44">
        <w:rPr>
          <w:rFonts w:ascii="Garamond" w:hAnsi="Garamond"/>
          <w:i/>
          <w:color w:val="000000" w:themeColor="text1"/>
        </w:rPr>
        <w:t>.</w:t>
      </w:r>
      <w:r w:rsidRPr="009A2E44">
        <w:rPr>
          <w:rFonts w:ascii="Garamond" w:hAnsi="Garamond"/>
          <w:i/>
          <w:color w:val="000000" w:themeColor="text1"/>
        </w:rPr>
        <w:t xml:space="preserve"> </w:t>
      </w:r>
      <w:r w:rsidR="00E467AB" w:rsidRPr="009A2E44">
        <w:rPr>
          <w:rFonts w:ascii="Garamond" w:hAnsi="Garamond"/>
          <w:i/>
          <w:color w:val="000000" w:themeColor="text1"/>
        </w:rPr>
        <w:t xml:space="preserve">Observational </w:t>
      </w:r>
      <w:r w:rsidR="002A5145" w:rsidRPr="009A2E44">
        <w:rPr>
          <w:rFonts w:ascii="Garamond" w:hAnsi="Garamond"/>
          <w:i/>
          <w:color w:val="000000" w:themeColor="text1"/>
        </w:rPr>
        <w:t>records</w:t>
      </w:r>
    </w:p>
    <w:p w14:paraId="6B50411B" w14:textId="18396872" w:rsidR="00746131" w:rsidRPr="009A2E44" w:rsidRDefault="00DE6956" w:rsidP="001C47D3">
      <w:pPr>
        <w:spacing w:line="480" w:lineRule="auto"/>
        <w:ind w:firstLine="720"/>
        <w:rPr>
          <w:rFonts w:ascii="Garamond" w:hAnsi="Garamond"/>
        </w:rPr>
      </w:pPr>
      <w:r w:rsidRPr="009A2E44">
        <w:rPr>
          <w:rFonts w:ascii="Garamond" w:hAnsi="Garamond"/>
        </w:rPr>
        <w:t xml:space="preserve">The Global Precipitation Climatology Project (GPCPv2.3) </w:t>
      </w:r>
      <w:r w:rsidR="00E467AB" w:rsidRPr="009A2E44">
        <w:rPr>
          <w:rFonts w:ascii="Garamond" w:hAnsi="Garamond"/>
        </w:rPr>
        <w:t xml:space="preserve">gridded </w:t>
      </w:r>
      <w:r w:rsidR="00650E57" w:rsidRPr="009A2E44">
        <w:rPr>
          <w:rFonts w:ascii="Garamond" w:hAnsi="Garamond"/>
        </w:rPr>
        <w:t xml:space="preserve">satellite-gauge </w:t>
      </w:r>
      <w:r w:rsidRPr="009A2E44">
        <w:rPr>
          <w:rFonts w:ascii="Garamond" w:hAnsi="Garamond"/>
        </w:rPr>
        <w:t>data</w:t>
      </w:r>
      <w:r w:rsidR="00E467AB" w:rsidRPr="009A2E44">
        <w:rPr>
          <w:rFonts w:ascii="Garamond" w:hAnsi="Garamond"/>
        </w:rPr>
        <w:t xml:space="preserve"> product</w:t>
      </w:r>
      <w:r w:rsidRPr="009A2E44">
        <w:rPr>
          <w:rFonts w:ascii="Garamond" w:hAnsi="Garamond"/>
        </w:rPr>
        <w:t xml:space="preserve"> </w:t>
      </w:r>
      <w:r w:rsidRPr="009A2E44">
        <w:rPr>
          <w:rFonts w:ascii="Garamond" w:hAnsi="Garamond"/>
        </w:rPr>
        <w:fldChar w:fldCharType="begin" w:fldLock="1"/>
      </w:r>
      <w:r w:rsidR="00E757E6">
        <w:rPr>
          <w:rFonts w:ascii="Garamond" w:hAnsi="Garamond"/>
        </w:rPr>
        <w:instrText>ADDIN CSL_CITATION {"citationItems":[{"id":"ITEM-1","itemData":{"DOI":"10.3390/atmos9040138","ISSN":"20734433","abstract":"The new Version 2.3 of the Global Precipitation Climatology Project (GPCP) Monthly analysis is described in terms of changes made to improve the homogeneity of the product, especially after 2002. These changes include corrections to cross-calibration of satellite data inputs and updates to the gauge analysis. Over-ocean changes starting in 2003 resulted in an overall precipitation increase of 1.8% after 2009. Updating the gauge analysis to its final, high-quality version increases the global land total by 1.8% for the post-2002 period. These changes correct a small, incorrect dip in the estimated global precipitation over the last decade given by the earlier Version 2.2. The GPCP analysis is also used to describe global precipitation in 2017. The general La Niña pattern for 2017 is noted and the evolution from the early 2016 El Niño pattern is described. The 2017 global value is one of the highest for the 1979-2017 period, exceeded only by 2016 and 1998 (both El Niño years), and reinforces the small positive trend. Results for 2017 also reinforce significant trends in precipitation intensity (on a monthly scale) in the tropics. These results for 2017 indicate the value of the GPCP analysis, in addition to research, for climate monitoring.","author":[{"dropping-particle":"","family":"Adler","given":"Robert F","non-dropping-particle":"","parse-names":false,"suffix":""},{"dropping-particle":"","family":"Sapiano","given":"Mathew R.P.","non-dropping-particle":"","parse-names":false,"suffix":""},{"dropping-particle":"","family":"Huffman","given":"George J.","non-dropping-particle":"","parse-names":false,"suffix":""},{"dropping-particle":"","family":"Wang","given":"Jian Jian","non-dropping-particle":"","parse-names":false,"suffix":""},{"dropping-particle":"","family":"Gu","given":"Guojun","non-dropping-particle":"","parse-names":false,"suffix":""},{"dropping-particle":"","family":"Bolvin","given":"David","non-dropping-particle":"","parse-names":false,"suffix":""},{"dropping-particle":"","family":"Chiu","given":"Long","non-dropping-particle":"","parse-names":false,"suffix":""},{"dropping-particle":"","family":"Schneider","given":"Udo","non-dropping-particle":"","parse-names":false,"suffix":""},{"dropping-particle":"","family":"Becker","given":"Andreas","non-dropping-particle":"","parse-names":false,"suffix":""},{"dropping-particle":"","family":"Nelkin","given":"Eric","non-dropping-particle":"","parse-names":false,"suffix":""},{"dropping-particle":"","family":"Xie","given":"Pingping","non-dropping-particle":"","parse-names":false,"suffix":""},{"dropping-particle":"","family":"Ferraro","given":"Ralph","non-dropping-particle":"","parse-names":false,"suffix":""},{"dropping-particle":"Bin","family":"Shin","given":"Dong","non-dropping-particle":"","parse-names":false,"suffix":""}],"container-title":"Atmosphere","id":"ITEM-1","issued":{"date-parts":[["2018"]]},"title":"The Global Precipitation Climatology Project (GPCP) monthly analysis (New Version 2.3) and a review of 2017 global precipitation","type":"article-journal","volume":"9"},"uris":["http://www.mendeley.com/documents/?uuid=bfcdffd8-35a6-4552-acb6-ddde75e7b4d7"]},{"id":"ITEM-2","itemData":{"DOI":"10.1175/1525-7541(2003)004&lt;1147:TVGPCP&gt;2.0.CO;2","ISBN":"1525-755X","ISSN":"1525-755X","PMID":"2580904","abstract":"Abstract The Global Precipitation Climatology Project (GPCP) Version-2 Monthly Precipitation Analysis is described. This globally complete, monthly analysis of surface precipitation at 2.5° latitude × 2.5° longitude resolution is available from January 1979 to the present. It is a merged analysis that incorporates precipitation estimates from low-orbit satellite microwave data, geosynchronous-orbit satellite infrared data, and surface rain gauge observations. The merging approach utilizes the higher accuracy of the low-orbit microwave observations to calibrate, or adjust, the more frequent geosynchronous infrared observations. The dataset is extended back into the premicrowave era (before mid-1987) by using infrared-only observations calibrated to the microwave-based analysis of the later years. The combined satellite-based product is adjusted by the rain gauge analysis. The dataset archive also contains the individual input fields, a combined satellite estimate, and error estimates for each field. This m...","author":[{"dropping-particle":"","family":"Adler","given":"Robert F","non-dropping-particle":"","parse-names":false,"suffix":""},{"dropping-particle":"","family":"Huffman","given":"George J","non-dropping-particle":"","parse-names":false,"suffix":""},{"dropping-particle":"","family":"Chang","given":"Alfred","non-dropping-particle":"","parse-names":false,"suffix":""},{"dropping-particle":"","family":"Ferraro","given":"Ralph","non-dropping-particle":"","parse-names":false,"suffix":""},{"dropping-particle":"","family":"Xie","given":"Ping-Ping","non-dropping-particle":"","parse-names":false,"suffix":""},{"dropping-particle":"","family":"Janowiak","given":"John","non-dropping-particle":"","parse-names":false,"suffix":""},{"dropping-particle":"","family":"Rudolf","given":"Bruno","non-dropping-particle":"","parse-names":false,"suffix":""},{"dropping-particle":"","family":"Schneider","given":"Udo","non-dropping-particle":"","parse-names":false,"suffix":""},{"dropping-particle":"","family":"Curtis","given":"Scott","non-dropping-particle":"","parse-names":false,"suffix":""},{"dropping-particle":"","family":"Bolvin","given":"David","non-dropping-particle":"","parse-names":false,"suffix":""},{"dropping-particle":"","family":"Gruber","given":"Arnold","non-dropping-particle":"","parse-names":false,"suffix":""},{"dropping-particle":"","family":"Susskind","given":"Joel","non-dropping-particle":"","parse-names":false,"suffix":""},{"dropping-particle":"","family":"Arkin","given":"Philip","non-dropping-particle":"","parse-names":false,"suffix":""},{"dropping-particle":"","family":"Nelkin","given":"Eric","non-dropping-particle":"","parse-names":false,"suffix":""}],"container-title":"Journal of Hydrometeorology","id":"ITEM-2","issued":{"date-parts":[["2003"]]},"page":"1147-1167","title":"The Version-2 Global Precipitation Climatology Project (GPCP) Monthly Precipitation Analysis (1979–Present)","type":"article-journal","volume":"4"},"uris":["http://www.mendeley.com/documents/?uuid=786e574c-ac0d-4b03-aa79-5e3bea572a2e"]}],"mendeley":{"formattedCitation":"(Adler et al., 2018, 2003)","plainTextFormattedCitation":"(Adler et al., 2018, 2003)","previouslyFormattedCitation":"(Adler et al., 2018, 2003)"},"properties":{"noteIndex":0},"schema":"https://github.com/citation-style-language/schema/raw/master/csl-citation.json"}</w:instrText>
      </w:r>
      <w:r w:rsidRPr="009A2E44">
        <w:rPr>
          <w:rFonts w:ascii="Garamond" w:hAnsi="Garamond"/>
        </w:rPr>
        <w:fldChar w:fldCharType="separate"/>
      </w:r>
      <w:r w:rsidR="00EB2684" w:rsidRPr="009A2E44">
        <w:rPr>
          <w:rFonts w:ascii="Garamond" w:hAnsi="Garamond"/>
          <w:noProof/>
        </w:rPr>
        <w:t>(Adler et al., 2018, 2003)</w:t>
      </w:r>
      <w:r w:rsidRPr="009A2E44">
        <w:rPr>
          <w:rFonts w:ascii="Garamond" w:hAnsi="Garamond"/>
        </w:rPr>
        <w:fldChar w:fldCharType="end"/>
      </w:r>
      <w:r w:rsidRPr="009A2E44">
        <w:rPr>
          <w:rFonts w:ascii="Garamond" w:hAnsi="Garamond"/>
        </w:rPr>
        <w:t xml:space="preserve"> </w:t>
      </w:r>
      <w:r w:rsidR="007A56A2" w:rsidRPr="009A2E44">
        <w:rPr>
          <w:rFonts w:ascii="Garamond" w:hAnsi="Garamond"/>
        </w:rPr>
        <w:t xml:space="preserve">was </w:t>
      </w:r>
      <w:r w:rsidRPr="009A2E44">
        <w:rPr>
          <w:rFonts w:ascii="Garamond" w:hAnsi="Garamond"/>
        </w:rPr>
        <w:t xml:space="preserve">used to compute </w:t>
      </w:r>
      <w:r w:rsidR="00EF6727" w:rsidRPr="009A2E44">
        <w:rPr>
          <w:rFonts w:ascii="Garamond" w:hAnsi="Garamond"/>
        </w:rPr>
        <w:t xml:space="preserve">average </w:t>
      </w:r>
      <w:r w:rsidRPr="009A2E44">
        <w:rPr>
          <w:rFonts w:ascii="Garamond" w:hAnsi="Garamond"/>
        </w:rPr>
        <w:t>annual, seasonal, and ENSO precipitation rates for the 1979</w:t>
      </w:r>
      <w:r w:rsidR="00886E91">
        <w:rPr>
          <w:rFonts w:ascii="Garamond" w:hAnsi="Garamond"/>
        </w:rPr>
        <w:t xml:space="preserve"> </w:t>
      </w:r>
      <w:r w:rsidRPr="009A2E44">
        <w:rPr>
          <w:rFonts w:ascii="Garamond" w:hAnsi="Garamond"/>
          <w:color w:val="202020"/>
          <w:shd w:val="clear" w:color="auto" w:fill="FFFFFF"/>
        </w:rPr>
        <w:t>–</w:t>
      </w:r>
      <w:r w:rsidR="00886E91">
        <w:rPr>
          <w:rFonts w:ascii="Garamond" w:hAnsi="Garamond"/>
          <w:color w:val="202020"/>
          <w:shd w:val="clear" w:color="auto" w:fill="FFFFFF"/>
        </w:rPr>
        <w:t xml:space="preserve"> </w:t>
      </w:r>
      <w:r w:rsidRPr="009A2E44">
        <w:rPr>
          <w:rFonts w:ascii="Garamond" w:hAnsi="Garamond"/>
        </w:rPr>
        <w:t>2016 period (</w:t>
      </w:r>
      <w:r w:rsidR="00CA0847" w:rsidRPr="009A2E44">
        <w:rPr>
          <w:rFonts w:ascii="Garamond" w:hAnsi="Garamond"/>
          <w:b/>
          <w:bCs/>
        </w:rPr>
        <w:t>Fig. 1</w:t>
      </w:r>
      <w:r w:rsidR="009D36D9" w:rsidRPr="009A2E44">
        <w:rPr>
          <w:rFonts w:ascii="Garamond" w:hAnsi="Garamond"/>
          <w:b/>
          <w:bCs/>
        </w:rPr>
        <w:t>,</w:t>
      </w:r>
      <w:r w:rsidR="008E1D5F" w:rsidRPr="009A2E44">
        <w:rPr>
          <w:rFonts w:ascii="Garamond" w:hAnsi="Garamond"/>
          <w:b/>
          <w:bCs/>
        </w:rPr>
        <w:t xml:space="preserve"> </w:t>
      </w:r>
      <w:r w:rsidR="007A56A2" w:rsidRPr="009A2E44">
        <w:rPr>
          <w:rFonts w:ascii="Garamond" w:hAnsi="Garamond"/>
          <w:b/>
          <w:bCs/>
        </w:rPr>
        <w:t xml:space="preserve">Fig. </w:t>
      </w:r>
      <w:r w:rsidR="008E1D5F" w:rsidRPr="009A2E44">
        <w:rPr>
          <w:rFonts w:ascii="Garamond" w:hAnsi="Garamond"/>
          <w:b/>
          <w:bCs/>
        </w:rPr>
        <w:t>A.1</w:t>
      </w:r>
      <w:r w:rsidR="008E1D5F" w:rsidRPr="009A2E44">
        <w:rPr>
          <w:rFonts w:ascii="Garamond" w:hAnsi="Garamond"/>
        </w:rPr>
        <w:t>,</w:t>
      </w:r>
      <w:r w:rsidR="009D36D9" w:rsidRPr="009A2E44">
        <w:rPr>
          <w:rFonts w:ascii="Garamond" w:hAnsi="Garamond"/>
        </w:rPr>
        <w:t xml:space="preserve"> </w:t>
      </w:r>
      <w:r w:rsidR="007A56A2" w:rsidRPr="009A2E44">
        <w:rPr>
          <w:rFonts w:ascii="Garamond" w:hAnsi="Garamond"/>
          <w:b/>
          <w:bCs/>
        </w:rPr>
        <w:t>Fig.</w:t>
      </w:r>
      <w:r w:rsidR="007A56A2" w:rsidRPr="009A2E44">
        <w:rPr>
          <w:rFonts w:ascii="Garamond" w:hAnsi="Garamond"/>
        </w:rPr>
        <w:t xml:space="preserve"> </w:t>
      </w:r>
      <w:r w:rsidR="009D36D9" w:rsidRPr="009A2E44">
        <w:rPr>
          <w:rFonts w:ascii="Garamond" w:hAnsi="Garamond"/>
          <w:b/>
          <w:bCs/>
        </w:rPr>
        <w:t>A.3,</w:t>
      </w:r>
      <w:r w:rsidR="008E1D5F" w:rsidRPr="009A2E44">
        <w:rPr>
          <w:rFonts w:ascii="Garamond" w:hAnsi="Garamond"/>
        </w:rPr>
        <w:t xml:space="preserve"> </w:t>
      </w:r>
      <w:r w:rsidRPr="009A2E44">
        <w:rPr>
          <w:rFonts w:ascii="Garamond" w:hAnsi="Garamond"/>
          <w:b/>
          <w:color w:val="000000" w:themeColor="text1"/>
        </w:rPr>
        <w:t xml:space="preserve">Table </w:t>
      </w:r>
      <w:r w:rsidR="008E1D5F" w:rsidRPr="009A2E44">
        <w:rPr>
          <w:rFonts w:ascii="Garamond" w:hAnsi="Garamond"/>
          <w:b/>
          <w:color w:val="000000" w:themeColor="text1"/>
        </w:rPr>
        <w:t>A.1</w:t>
      </w:r>
      <w:r w:rsidRPr="009A2E44">
        <w:rPr>
          <w:rFonts w:ascii="Garamond" w:hAnsi="Garamond"/>
        </w:rPr>
        <w:t>)</w:t>
      </w:r>
      <w:r w:rsidR="00060BA3">
        <w:rPr>
          <w:rFonts w:ascii="Garamond" w:hAnsi="Garamond"/>
        </w:rPr>
        <w:t xml:space="preserve">; </w:t>
      </w:r>
      <w:r w:rsidR="007A56A2" w:rsidRPr="009A2E44">
        <w:rPr>
          <w:rFonts w:ascii="Garamond" w:hAnsi="Garamond"/>
        </w:rPr>
        <w:t xml:space="preserve">estimates of precipitation uncertainty </w:t>
      </w:r>
      <w:r w:rsidR="00C90D9E" w:rsidRPr="009A2E44">
        <w:rPr>
          <w:rFonts w:ascii="Garamond" w:hAnsi="Garamond"/>
        </w:rPr>
        <w:t xml:space="preserve">are from </w:t>
      </w:r>
      <w:r w:rsidR="007A56A2" w:rsidRPr="009A2E44">
        <w:rPr>
          <w:rFonts w:ascii="Garamond" w:hAnsi="Garamond"/>
        </w:rPr>
        <w:fldChar w:fldCharType="begin" w:fldLock="1"/>
      </w:r>
      <w:r w:rsidR="00C90D9E" w:rsidRPr="009A2E44">
        <w:rPr>
          <w:rFonts w:ascii="Garamond" w:hAnsi="Garamond"/>
        </w:rPr>
        <w:instrText>ADDIN CSL_CITATION {"citationItems":[{"id":"ITEM-1","itemData":{"DOI":"10.1175/JAMC-D-11-052.1","ISBN":"1558-8424","ISSN":"15588424","abstract":"A procedure is described to estimate bias errors for mean precipitation by using multiple estimates from different algorithms, satellite sources, and merged products. The Global Precipitation Climatology Project (GPCP) monthly product is used as a base precipitation estimate, with other input products included when they are within +/- 50% of the GPCP estimates on a zonal-mean basis (ocean and land separately). The standard deviation a of the included products is then taken to be the estimated systematic, or bias, error. The results allow one to examine monthly climatologies and the annual climatology, producing maps of estimated bias errors, zonal-mean errors, and estimated errors over large areas such as ocean and land for both the tropics and the globe. For ocean areas, where there is the largest question as to absolute magnitude of precipitation, the analysis shows spatial variations in the estimated bias errors, indicating areas where one should have more or less confidence in the mean precipitation estimates. In the tropics, relative bias error estimates (sigma/mu, where mu is the mean precipitation) over the eastern Pacific Ocean are as large as 20%, as compared with 10%-15% in the western Pacific part of the ITCZ. An examination of latitudinal differences over ocean clearly shows an increase in estimated bias error at higher latitudes, reaching up to 50%. Over land, the error estimates also locate regions of potential problems in the tropics and larger cold-season errors at high latitudes that are due to snow. An empirical technique to area average the gridded errors (sigma) is described that allows one to make error estimates for arbitrary areas and for the tropics and the globe (land and ocean separately, and combined). Over the tropics this calculation leads to a relative error estimate for tropical land and ocean combined of 7%, which is considered to be an upper bound because of the lack of sign-of-the-error canceling when integrating over different areas with a different number of input products. For the globe the calculated relative error estimate from this study is about 9%, which is also probably a slight overestimate. These tropical and global estimated bias errors provide one estimate of the current state of knowledge of the planet's mean precipitation.","author":[{"dropping-particle":"","family":"Adler","given":"Robert F","non-dropping-particle":"","parse-names":false,"suffix":""},{"dropping-particle":"","family":"Gu","given":"Guojun","non-dropping-particle":"","parse-names":false,"suffix":""},{"dropping-particle":"","family":"Huffman","given":"George J.","non-dropping-particle":"","parse-names":false,"suffix":""}],"container-title":"Journal of Applied Meteorology and Climatology","id":"ITEM-1","issued":{"date-parts":[["2012"]]},"page":"84-99","title":"Estimating climatological bias errors for the global precipitation climatology project (GPCP)","type":"article-journal","volume":"51"},"uris":["http://www.mendeley.com/documents/?uuid=a2380467-c26a-4374-adbe-42e9835d9b41"]}],"mendeley":{"formattedCitation":"(Adler et al., 2012)","manualFormatting":"Adler et al. (2012)","plainTextFormattedCitation":"(Adler et al., 2012)","previouslyFormattedCitation":"(Adler et al., 2012)"},"properties":{"noteIndex":0},"schema":"https://github.com/citation-style-language/schema/raw/master/csl-citation.json"}</w:instrText>
      </w:r>
      <w:r w:rsidR="007A56A2" w:rsidRPr="009A2E44">
        <w:rPr>
          <w:rFonts w:ascii="Garamond" w:hAnsi="Garamond"/>
        </w:rPr>
        <w:fldChar w:fldCharType="separate"/>
      </w:r>
      <w:r w:rsidR="007A56A2" w:rsidRPr="009A2E44">
        <w:rPr>
          <w:rFonts w:ascii="Garamond" w:hAnsi="Garamond"/>
          <w:noProof/>
        </w:rPr>
        <w:t>Adler et al.</w:t>
      </w:r>
      <w:r w:rsidR="00C90D9E" w:rsidRPr="009A2E44">
        <w:rPr>
          <w:rFonts w:ascii="Garamond" w:hAnsi="Garamond"/>
          <w:noProof/>
        </w:rPr>
        <w:t xml:space="preserve"> (</w:t>
      </w:r>
      <w:r w:rsidR="007A56A2" w:rsidRPr="009A2E44">
        <w:rPr>
          <w:rFonts w:ascii="Garamond" w:hAnsi="Garamond"/>
          <w:noProof/>
        </w:rPr>
        <w:t>2012)</w:t>
      </w:r>
      <w:r w:rsidR="007A56A2" w:rsidRPr="009A2E44">
        <w:rPr>
          <w:rFonts w:ascii="Garamond" w:hAnsi="Garamond"/>
        </w:rPr>
        <w:fldChar w:fldCharType="end"/>
      </w:r>
      <w:r w:rsidRPr="009A2E44">
        <w:rPr>
          <w:rFonts w:ascii="Garamond" w:hAnsi="Garamond"/>
        </w:rPr>
        <w:t xml:space="preserve">. </w:t>
      </w:r>
      <w:r w:rsidR="007A56A2" w:rsidRPr="009A2E44">
        <w:rPr>
          <w:rFonts w:ascii="Garamond" w:hAnsi="Garamond"/>
        </w:rPr>
        <w:t xml:space="preserve">The </w:t>
      </w:r>
      <w:r w:rsidR="00A043DA" w:rsidRPr="009A2E44">
        <w:rPr>
          <w:rFonts w:ascii="Garamond" w:hAnsi="Garamond"/>
        </w:rPr>
        <w:t>Global Precipitation Climatology Centre (</w:t>
      </w:r>
      <w:r w:rsidR="00203E5F" w:rsidRPr="009A2E44">
        <w:rPr>
          <w:rFonts w:ascii="Garamond" w:hAnsi="Garamond"/>
        </w:rPr>
        <w:t>GPCC</w:t>
      </w:r>
      <w:r w:rsidR="00A043DA" w:rsidRPr="009A2E44">
        <w:rPr>
          <w:rFonts w:ascii="Garamond" w:hAnsi="Garamond"/>
        </w:rPr>
        <w:t>)</w:t>
      </w:r>
      <w:r w:rsidR="00203E5F" w:rsidRPr="009A2E44">
        <w:rPr>
          <w:rFonts w:ascii="Garamond" w:hAnsi="Garamond"/>
        </w:rPr>
        <w:t xml:space="preserve"> gauge data </w:t>
      </w:r>
      <w:r w:rsidR="007A56A2" w:rsidRPr="009A2E44">
        <w:rPr>
          <w:rFonts w:ascii="Garamond" w:hAnsi="Garamond"/>
        </w:rPr>
        <w:t xml:space="preserve">product </w:t>
      </w:r>
      <w:r w:rsidR="006338EC" w:rsidRPr="009A2E44">
        <w:rPr>
          <w:rFonts w:ascii="Garamond" w:hAnsi="Garamond"/>
        </w:rPr>
        <w:t xml:space="preserve">(Schneider et al., 2018) </w:t>
      </w:r>
      <w:r w:rsidR="007A56A2" w:rsidRPr="009A2E44">
        <w:rPr>
          <w:rFonts w:ascii="Garamond" w:hAnsi="Garamond"/>
        </w:rPr>
        <w:t xml:space="preserve">was </w:t>
      </w:r>
      <w:r w:rsidR="00203E5F" w:rsidRPr="009A2E44">
        <w:rPr>
          <w:rFonts w:ascii="Garamond" w:hAnsi="Garamond"/>
        </w:rPr>
        <w:t xml:space="preserve">used </w:t>
      </w:r>
      <w:r w:rsidR="00650E57" w:rsidRPr="009A2E44">
        <w:rPr>
          <w:rFonts w:ascii="Garamond" w:hAnsi="Garamond"/>
        </w:rPr>
        <w:t>to compare average annual 1951</w:t>
      </w:r>
      <w:r w:rsidR="00C90D9E" w:rsidRPr="009A2E44">
        <w:rPr>
          <w:rFonts w:ascii="Garamond" w:hAnsi="Garamond"/>
        </w:rPr>
        <w:t xml:space="preserve"> </w:t>
      </w:r>
      <w:r w:rsidR="00650E57" w:rsidRPr="009A2E44">
        <w:rPr>
          <w:rFonts w:ascii="Garamond" w:hAnsi="Garamond"/>
          <w:color w:val="202020"/>
          <w:shd w:val="clear" w:color="auto" w:fill="FFFFFF"/>
        </w:rPr>
        <w:t>–</w:t>
      </w:r>
      <w:r w:rsidR="00C90D9E" w:rsidRPr="009A2E44">
        <w:rPr>
          <w:rFonts w:ascii="Garamond" w:hAnsi="Garamond"/>
          <w:color w:val="202020"/>
          <w:shd w:val="clear" w:color="auto" w:fill="FFFFFF"/>
        </w:rPr>
        <w:t xml:space="preserve"> </w:t>
      </w:r>
      <w:r w:rsidR="00650E57" w:rsidRPr="009A2E44">
        <w:rPr>
          <w:rFonts w:ascii="Garamond" w:hAnsi="Garamond"/>
        </w:rPr>
        <w:t>2016 precipitation rates</w:t>
      </w:r>
      <w:r w:rsidR="00203E5F" w:rsidRPr="009A2E44">
        <w:rPr>
          <w:rFonts w:ascii="Garamond" w:hAnsi="Garamond"/>
        </w:rPr>
        <w:t xml:space="preserve"> </w:t>
      </w:r>
      <w:r w:rsidR="00C90D9E" w:rsidRPr="009A2E44">
        <w:rPr>
          <w:rFonts w:ascii="Garamond" w:hAnsi="Garamond"/>
        </w:rPr>
        <w:t xml:space="preserve">to satellite era rates </w:t>
      </w:r>
      <w:r w:rsidR="00203E5F" w:rsidRPr="009A2E44">
        <w:rPr>
          <w:rFonts w:ascii="Garamond" w:hAnsi="Garamond"/>
        </w:rPr>
        <w:t>(</w:t>
      </w:r>
      <w:r w:rsidR="00203E5F" w:rsidRPr="009A2E44">
        <w:rPr>
          <w:rFonts w:ascii="Garamond" w:hAnsi="Garamond"/>
          <w:b/>
          <w:bCs/>
        </w:rPr>
        <w:t>Fig. A.1</w:t>
      </w:r>
      <w:r w:rsidR="00203E5F" w:rsidRPr="009A2E44">
        <w:rPr>
          <w:rFonts w:ascii="Garamond" w:hAnsi="Garamond"/>
        </w:rPr>
        <w:t>). GPCP and GPCC precipitation d</w:t>
      </w:r>
      <w:r w:rsidR="00EF6727" w:rsidRPr="009A2E44">
        <w:rPr>
          <w:rFonts w:ascii="Garamond" w:hAnsi="Garamond"/>
        </w:rPr>
        <w:t xml:space="preserve">ata are provided by the National Oceanic &amp; Atmospheric Administration/Oceanic &amp; Atmospheric Research/Earth System Research Laboratory Physical Sciences </w:t>
      </w:r>
      <w:r w:rsidR="00EF6727" w:rsidRPr="009A2E44">
        <w:rPr>
          <w:rFonts w:ascii="Garamond" w:hAnsi="Garamond"/>
        </w:rPr>
        <w:lastRenderedPageBreak/>
        <w:t xml:space="preserve">Division (NOAA/OAR/ESRL PSD), Boulder, Colorado, USA, from their website at </w:t>
      </w:r>
      <w:hyperlink r:id="rId11" w:history="1">
        <w:r w:rsidR="00EF6727" w:rsidRPr="009A2E44">
          <w:rPr>
            <w:rStyle w:val="Hyperlink"/>
            <w:rFonts w:ascii="Garamond" w:hAnsi="Garamond"/>
          </w:rPr>
          <w:t>http://www.esrl.noaa.gov/psd/</w:t>
        </w:r>
      </w:hyperlink>
      <w:r w:rsidR="00EF6727" w:rsidRPr="009A2E44">
        <w:rPr>
          <w:rFonts w:ascii="Garamond" w:hAnsi="Garamond"/>
        </w:rPr>
        <w:t xml:space="preserve">. </w:t>
      </w:r>
      <w:r w:rsidRPr="009A2E44">
        <w:rPr>
          <w:rFonts w:ascii="Garamond" w:hAnsi="Garamond"/>
        </w:rPr>
        <w:t>The dataset</w:t>
      </w:r>
      <w:r w:rsidR="00650E57" w:rsidRPr="009A2E44">
        <w:rPr>
          <w:rFonts w:ascii="Garamond" w:hAnsi="Garamond"/>
        </w:rPr>
        <w:t>s</w:t>
      </w:r>
      <w:r w:rsidRPr="009A2E44">
        <w:rPr>
          <w:rFonts w:ascii="Garamond" w:hAnsi="Garamond"/>
        </w:rPr>
        <w:t xml:space="preserve"> </w:t>
      </w:r>
      <w:r w:rsidR="00650E57" w:rsidRPr="009A2E44">
        <w:rPr>
          <w:rFonts w:ascii="Garamond" w:hAnsi="Garamond"/>
        </w:rPr>
        <w:t>are</w:t>
      </w:r>
      <w:r w:rsidR="00EF6727" w:rsidRPr="009A2E44">
        <w:rPr>
          <w:rFonts w:ascii="Garamond" w:hAnsi="Garamond"/>
        </w:rPr>
        <w:t xml:space="preserve"> gridded at a 2.5° x 2.5° scale and </w:t>
      </w:r>
      <w:r w:rsidRPr="009A2E44">
        <w:rPr>
          <w:rFonts w:ascii="Garamond" w:hAnsi="Garamond"/>
        </w:rPr>
        <w:t>based on gauge and</w:t>
      </w:r>
      <w:r w:rsidR="00650E57" w:rsidRPr="009A2E44">
        <w:rPr>
          <w:rFonts w:ascii="Garamond" w:hAnsi="Garamond"/>
        </w:rPr>
        <w:t>/or</w:t>
      </w:r>
      <w:r w:rsidRPr="009A2E44">
        <w:rPr>
          <w:rFonts w:ascii="Garamond" w:hAnsi="Garamond"/>
        </w:rPr>
        <w:t xml:space="preserve"> satellite observations. </w:t>
      </w:r>
      <w:r w:rsidR="00EF6727" w:rsidRPr="009A2E44">
        <w:rPr>
          <w:rFonts w:ascii="Garamond" w:hAnsi="Garamond"/>
        </w:rPr>
        <w:t xml:space="preserve">Smoothed point data extraction from </w:t>
      </w:r>
      <w:proofErr w:type="spellStart"/>
      <w:r w:rsidR="00EF6727" w:rsidRPr="009A2E44">
        <w:rPr>
          <w:rFonts w:ascii="Garamond" w:hAnsi="Garamond"/>
        </w:rPr>
        <w:t>netcdf</w:t>
      </w:r>
      <w:proofErr w:type="spellEnd"/>
      <w:r w:rsidR="00EF6727" w:rsidRPr="009A2E44">
        <w:rPr>
          <w:rFonts w:ascii="Garamond" w:hAnsi="Garamond"/>
        </w:rPr>
        <w:t xml:space="preserve"> files was performed in the R programming language using a “bilinear” method to average the four grid cells nearest to each lake site using </w:t>
      </w:r>
      <w:r w:rsidRPr="009A2E44">
        <w:rPr>
          <w:rFonts w:ascii="Garamond" w:hAnsi="Garamond"/>
        </w:rPr>
        <w:t>R (v</w:t>
      </w:r>
      <w:r w:rsidR="00A043DA" w:rsidRPr="009A2E44">
        <w:rPr>
          <w:rFonts w:ascii="Garamond" w:hAnsi="Garamond"/>
        </w:rPr>
        <w:t>4.0.5</w:t>
      </w:r>
      <w:r w:rsidR="004D43D0" w:rsidRPr="009A2E44">
        <w:rPr>
          <w:rFonts w:ascii="Garamond" w:hAnsi="Garamond"/>
        </w:rPr>
        <w:t>,</w:t>
      </w:r>
      <w:r w:rsidRPr="009A2E44">
        <w:rPr>
          <w:rFonts w:ascii="Garamond" w:hAnsi="Garamond"/>
        </w:rPr>
        <w:t xml:space="preserve"> </w:t>
      </w:r>
      <w:r w:rsidRPr="009A2E44">
        <w:rPr>
          <w:rFonts w:ascii="Garamond" w:hAnsi="Garamond"/>
        </w:rPr>
        <w:fldChar w:fldCharType="begin" w:fldLock="1"/>
      </w:r>
      <w:r w:rsidR="00C51F32" w:rsidRPr="009A2E44">
        <w:rPr>
          <w:rFonts w:ascii="Garamond" w:hAnsi="Garamond"/>
        </w:rPr>
        <w:instrText>ADDIN CSL_CITATION {"citationItems":[{"id":"ITEM-1","itemData":{"author":[{"dropping-particle":"","family":"R Core Team","given":"","non-dropping-particle":"","parse-names":false,"suffix":""}],"id":"ITEM-1","issued":{"date-parts":[["2021"]]},"publisher":"R Foundation for Statistical Computing","publisher-place":"Vienna, Austria","title":"R: A Language and Environment for Statistical Computing","type":"article"},"uris":["http://www.mendeley.com/documents/?uuid=ee7ae4df-b6f2-4153-99d5-09fd573af2e7"]}],"mendeley":{"formattedCitation":"(R Core Team, 2021)","manualFormatting":"R Core Team, 2021)","plainTextFormattedCitation":"(R Core Team, 2021)","previouslyFormattedCitation":"(R Core Team, 2021)"},"properties":{"noteIndex":0},"schema":"https://github.com/citation-style-language/schema/raw/master/csl-citation.json"}</w:instrText>
      </w:r>
      <w:r w:rsidRPr="009A2E44">
        <w:rPr>
          <w:rFonts w:ascii="Garamond" w:hAnsi="Garamond"/>
        </w:rPr>
        <w:fldChar w:fldCharType="separate"/>
      </w:r>
      <w:r w:rsidR="004D43D0" w:rsidRPr="009A2E44">
        <w:rPr>
          <w:rFonts w:ascii="Garamond" w:hAnsi="Garamond"/>
          <w:noProof/>
        </w:rPr>
        <w:t>R Core Team, 2021)</w:t>
      </w:r>
      <w:r w:rsidRPr="009A2E44">
        <w:rPr>
          <w:rFonts w:ascii="Garamond" w:hAnsi="Garamond"/>
        </w:rPr>
        <w:fldChar w:fldCharType="end"/>
      </w:r>
      <w:r w:rsidRPr="009A2E44">
        <w:rPr>
          <w:rFonts w:ascii="Garamond" w:hAnsi="Garamond"/>
        </w:rPr>
        <w:t xml:space="preserve"> with RStudio </w:t>
      </w:r>
      <w:r w:rsidR="00774E43" w:rsidRPr="009A2E44">
        <w:rPr>
          <w:rFonts w:ascii="Garamond" w:hAnsi="Garamond"/>
        </w:rPr>
        <w:t xml:space="preserve">Desktop </w:t>
      </w:r>
      <w:r w:rsidRPr="009A2E44">
        <w:rPr>
          <w:rFonts w:ascii="Garamond" w:hAnsi="Garamond"/>
        </w:rPr>
        <w:t>(v1.</w:t>
      </w:r>
      <w:r w:rsidR="00A043DA" w:rsidRPr="009A2E44">
        <w:rPr>
          <w:rFonts w:ascii="Garamond" w:hAnsi="Garamond"/>
        </w:rPr>
        <w:t>4.1106</w:t>
      </w:r>
      <w:r w:rsidR="00623832" w:rsidRPr="009A2E44">
        <w:rPr>
          <w:rFonts w:ascii="Garamond" w:hAnsi="Garamond"/>
        </w:rPr>
        <w:t>,</w:t>
      </w:r>
      <w:r w:rsidRPr="009A2E44">
        <w:rPr>
          <w:rFonts w:ascii="Garamond" w:hAnsi="Garamond"/>
        </w:rPr>
        <w:t xml:space="preserve"> </w:t>
      </w:r>
      <w:r w:rsidR="00A043DA" w:rsidRPr="009A2E44">
        <w:rPr>
          <w:rFonts w:ascii="Garamond" w:hAnsi="Garamond"/>
        </w:rPr>
        <w:fldChar w:fldCharType="begin" w:fldLock="1"/>
      </w:r>
      <w:r w:rsidR="004D43D0" w:rsidRPr="009A2E44">
        <w:rPr>
          <w:rFonts w:ascii="Garamond" w:hAnsi="Garamond"/>
        </w:rPr>
        <w:instrText>ADDIN CSL_CITATION {"citationItems":[{"id":"ITEM-1","itemData":{"author":[{"dropping-particle":"","family":"RStudio_Team","given":"","non-dropping-particle":"","parse-names":false,"suffix":""}],"id":"ITEM-1","issued":{"date-parts":[["2021"]]},"publisher":"RStudio, PCB","publisher-place":"Boston, MA","title":"RStudio: Integrated Development Environment for R","type":"article"},"uris":["http://www.mendeley.com/documents/?uuid=c0b55c6a-f9a3-4f10-9c99-5afcbbaeeacc"]}],"mendeley":{"formattedCitation":"(RStudio_Team, 2021)","manualFormatting":"RStudio Team, 2021)","plainTextFormattedCitation":"(RStudio_Team, 2021)","previouslyFormattedCitation":"(RStudio_Team, 2021)"},"properties":{"noteIndex":0},"schema":"https://github.com/citation-style-language/schema/raw/master/csl-citation.json"}</w:instrText>
      </w:r>
      <w:r w:rsidR="00A043DA" w:rsidRPr="009A2E44">
        <w:rPr>
          <w:rFonts w:ascii="Garamond" w:hAnsi="Garamond"/>
        </w:rPr>
        <w:fldChar w:fldCharType="separate"/>
      </w:r>
      <w:r w:rsidR="00A043DA" w:rsidRPr="009A2E44">
        <w:rPr>
          <w:rFonts w:ascii="Garamond" w:hAnsi="Garamond"/>
          <w:noProof/>
        </w:rPr>
        <w:t>RStudio</w:t>
      </w:r>
      <w:r w:rsidR="00623832" w:rsidRPr="009A2E44">
        <w:rPr>
          <w:rFonts w:ascii="Garamond" w:hAnsi="Garamond"/>
          <w:noProof/>
        </w:rPr>
        <w:t xml:space="preserve"> </w:t>
      </w:r>
      <w:r w:rsidR="00A043DA" w:rsidRPr="009A2E44">
        <w:rPr>
          <w:rFonts w:ascii="Garamond" w:hAnsi="Garamond"/>
          <w:noProof/>
        </w:rPr>
        <w:t>Team, 2021)</w:t>
      </w:r>
      <w:r w:rsidR="00A043DA" w:rsidRPr="009A2E44">
        <w:rPr>
          <w:rFonts w:ascii="Garamond" w:hAnsi="Garamond"/>
        </w:rPr>
        <w:fldChar w:fldCharType="end"/>
      </w:r>
      <w:r w:rsidR="001B703B" w:rsidRPr="009A2E44">
        <w:rPr>
          <w:rFonts w:ascii="Garamond" w:hAnsi="Garamond"/>
        </w:rPr>
        <w:t xml:space="preserve">, the raster </w:t>
      </w:r>
      <w:r w:rsidR="001B703B" w:rsidRPr="009A2E44">
        <w:rPr>
          <w:rFonts w:ascii="Garamond" w:hAnsi="Garamond"/>
        </w:rPr>
        <w:fldChar w:fldCharType="begin" w:fldLock="1"/>
      </w:r>
      <w:r w:rsidR="001306A8" w:rsidRPr="009A2E44">
        <w:rPr>
          <w:rFonts w:ascii="Garamond" w:hAnsi="Garamond"/>
        </w:rPr>
        <w:instrText>ADDIN CSL_CITATION {"citationItems":[{"id":"ITEM-1","itemData":{"author":[{"dropping-particle":"","family":"Hijmans","given":"Robert J.","non-dropping-particle":"","parse-names":false,"suffix":""},{"dropping-particle":"van","family":"Etten","given":"Jacob","non-dropping-particle":"","parse-names":false,"suffix":""},{"dropping-particle":"","family":"Cheng","given":"Joe","non-dropping-particle":"","parse-names":false,"suffix":""},{"dropping-particle":"","family":"Baston","given":"Dan","non-dropping-particle":"","parse-names":false,"suffix":""},{"dropping-particle":"","family":"Bevan","given":"Andrew","non-dropping-particle":"","parse-names":false,"suffix":""},{"dropping-particle":"","family":"Bivand","given":"Roger","non-dropping-particle":"","parse-names":false,"suffix":""},{"dropping-particle":"","family":"Busetto","given":"Lorenzo","non-dropping-particle":"","parse-names":false,"suffix":""},{"dropping-particle":"","family":"Canty","given":"Mort","non-dropping-particle":"","parse-names":false,"suffix":""},{"dropping-particle":"","family":"Fasoli","given":"Ben","non-dropping-particle":"","parse-names":false,"suffix":""},{"dropping-particle":"","family":"Forrest","given":"David","non-dropping-particle":"","parse-names":false,"suffix":""},{"dropping-particle":"","family":"Ghosh","given":"Aniruddha","non-dropping-particle":"","parse-names":false,"suffix":""},{"dropping-particle":"","family":"Golicher","given":"Duncan","non-dropping-particle":"","parse-names":false,"suffix":""},{"dropping-particle":"","family":"Gray","given":"Josh","non-dropping-particle":"","parse-names":false,"suffix":""},{"dropping-particle":"","family":"Greenberg","given":"Jonathan A.","non-dropping-particle":"","parse-names":false,"suffix":""},{"dropping-particle":"","family":"Hiemstra","given":"Paul","non-dropping-particle":"","parse-names":false,"suffix":""},{"dropping-particle":"","family":"Hingee","given":"Kassel","non-dropping-particle":"","parse-names":false,"suffix":""},{"dropping-particle":"","family":"KArney","given":"Charles","non-dropping-particle":"","parse-names":false,"suffix":""},{"dropping-particle":"","family":"Mattiuzzi","given":"Matteo","non-dropping-particle":"","parse-names":false,"suffix":""},{"dropping-particle":"","family":"Mosher","given":"Steven","non-dropping-particle":"","parse-names":false,"suffix":""},{"dropping-particle":"","family":"Naimi","given":"Babal","non-dropping-particle":"","parse-names":false,"suffix":""},{"dropping-particle":"","family":"Nowosad","given":"Jakub","non-dropping-particle":"","parse-names":false,"suffix":""},{"dropping-particle":"","family":"Pebesma","given":"Edzer","non-dropping-particle":"","parse-names":false,"suffix":""},{"dropping-particle":"","family":"Lamigueiro","given":"Oscar Perpinan","non-dropping-particle":"","parse-names":false,"suffix":""},{"dropping-particle":"","family":"Racine","given":"Etienne B.","non-dropping-particle":"","parse-names":false,"suffix":""},{"dropping-particle":"","family":"Rowlingson","given":"Barry","non-dropping-particle":"","parse-names":false,"suffix":""},{"dropping-particle":"","family":"Shortridge","given":"Ashton","non-dropping-particle":"","parse-names":false,"suffix":""},{"dropping-particle":"","family":"Venables","given":"Bill","non-dropping-particle":"","parse-names":false,"suffix":""},{"dropping-particle":"","family":"Wueest","given":"Rafael","non-dropping-particle":"","parse-names":false,"suffix":""}],"id":"ITEM-1","issued":{"date-parts":[["2021"]]},"number":"3.4-10","title":"raster: Geographic Data Analysis and Modeling. R package version 3.4-10","type":"article"},"uris":["http://www.mendeley.com/documents/?uuid=e8df7969-220d-4376-ade3-caface960f7e"]}],"mendeley":{"formattedCitation":"(Hijmans et al., 2021)","plainTextFormattedCitation":"(Hijmans et al., 2021)","previouslyFormattedCitation":"(Hijmans et al., 2021)"},"properties":{"noteIndex":0},"schema":"https://github.com/citation-style-language/schema/raw/master/csl-citation.json"}</w:instrText>
      </w:r>
      <w:r w:rsidR="001B703B" w:rsidRPr="009A2E44">
        <w:rPr>
          <w:rFonts w:ascii="Garamond" w:hAnsi="Garamond"/>
        </w:rPr>
        <w:fldChar w:fldCharType="separate"/>
      </w:r>
      <w:r w:rsidR="001B703B" w:rsidRPr="009A2E44">
        <w:rPr>
          <w:rFonts w:ascii="Garamond" w:hAnsi="Garamond"/>
          <w:noProof/>
        </w:rPr>
        <w:t>(Hijmans et al., 2021)</w:t>
      </w:r>
      <w:r w:rsidR="001B703B" w:rsidRPr="009A2E44">
        <w:rPr>
          <w:rFonts w:ascii="Garamond" w:hAnsi="Garamond"/>
        </w:rPr>
        <w:fldChar w:fldCharType="end"/>
      </w:r>
      <w:r w:rsidR="001B703B" w:rsidRPr="009A2E44">
        <w:rPr>
          <w:rFonts w:ascii="Garamond" w:hAnsi="Garamond"/>
        </w:rPr>
        <w:t xml:space="preserve"> and ncdf4 </w:t>
      </w:r>
      <w:r w:rsidR="001B703B" w:rsidRPr="009A2E44">
        <w:rPr>
          <w:rFonts w:ascii="Garamond" w:hAnsi="Garamond"/>
        </w:rPr>
        <w:fldChar w:fldCharType="begin" w:fldLock="1"/>
      </w:r>
      <w:r w:rsidR="001B703B" w:rsidRPr="009A2E44">
        <w:rPr>
          <w:rFonts w:ascii="Garamond" w:hAnsi="Garamond"/>
        </w:rPr>
        <w:instrText>ADDIN CSL_CITATION {"citationItems":[{"id":"ITEM-1","itemData":{"author":[{"dropping-particle":"","family":"Pierce","given":"Author David","non-dropping-particle":"","parse-names":false,"suffix":""}],"id":"ITEM-1","issued":{"date-parts":[["2019"]]},"number":"1.17","title":"ncdf4: Interface to Unidata netCDF (Version 4 or Earlier) Format Data Files. R package version 1.17","type":"article"},"uris":["http://www.mendeley.com/documents/?uuid=6944c840-0d0a-4489-9970-dabd6146b6ff"]}],"mendeley":{"formattedCitation":"(Pierce, 2019)","plainTextFormattedCitation":"(Pierce, 2019)","previouslyFormattedCitation":"(Pierce, 2019)"},"properties":{"noteIndex":0},"schema":"https://github.com/citation-style-language/schema/raw/master/csl-citation.json"}</w:instrText>
      </w:r>
      <w:r w:rsidR="001B703B" w:rsidRPr="009A2E44">
        <w:rPr>
          <w:rFonts w:ascii="Garamond" w:hAnsi="Garamond"/>
        </w:rPr>
        <w:fldChar w:fldCharType="separate"/>
      </w:r>
      <w:r w:rsidR="001B703B" w:rsidRPr="009A2E44">
        <w:rPr>
          <w:rFonts w:ascii="Garamond" w:hAnsi="Garamond"/>
          <w:noProof/>
        </w:rPr>
        <w:t>(Pierce, 2019)</w:t>
      </w:r>
      <w:r w:rsidR="001B703B" w:rsidRPr="009A2E44">
        <w:rPr>
          <w:rFonts w:ascii="Garamond" w:hAnsi="Garamond"/>
        </w:rPr>
        <w:fldChar w:fldCharType="end"/>
      </w:r>
      <w:r w:rsidR="001B703B" w:rsidRPr="009A2E44">
        <w:rPr>
          <w:rFonts w:ascii="Garamond" w:hAnsi="Garamond"/>
        </w:rPr>
        <w:t xml:space="preserve"> packages</w:t>
      </w:r>
      <w:r w:rsidRPr="009A2E44">
        <w:rPr>
          <w:rFonts w:ascii="Garamond" w:hAnsi="Garamond"/>
        </w:rPr>
        <w:t>.</w:t>
      </w:r>
      <w:r w:rsidR="00746131" w:rsidRPr="009A2E44">
        <w:rPr>
          <w:rFonts w:ascii="Garamond" w:hAnsi="Garamond"/>
        </w:rPr>
        <w:t xml:space="preserve"> </w:t>
      </w:r>
    </w:p>
    <w:p w14:paraId="2C4D6CA9" w14:textId="26CC5423" w:rsidR="00DE6956" w:rsidRPr="009A2E44" w:rsidRDefault="00203E5F" w:rsidP="001C47D3">
      <w:pPr>
        <w:spacing w:line="480" w:lineRule="auto"/>
        <w:ind w:firstLine="720"/>
        <w:rPr>
          <w:rFonts w:ascii="Garamond" w:hAnsi="Garamond"/>
        </w:rPr>
      </w:pPr>
      <w:r w:rsidRPr="009A2E44">
        <w:rPr>
          <w:rFonts w:ascii="Garamond" w:hAnsi="Garamond"/>
        </w:rPr>
        <w:t>Sea surface temperatures f</w:t>
      </w:r>
      <w:r w:rsidR="00F71787">
        <w:rPr>
          <w:rFonts w:ascii="Garamond" w:hAnsi="Garamond"/>
        </w:rPr>
        <w:t>ro</w:t>
      </w:r>
      <w:r w:rsidRPr="009A2E44">
        <w:rPr>
          <w:rFonts w:ascii="Garamond" w:hAnsi="Garamond"/>
        </w:rPr>
        <w:t xml:space="preserve">m the </w:t>
      </w:r>
      <w:r w:rsidR="00F97999" w:rsidRPr="009A2E44">
        <w:rPr>
          <w:rFonts w:ascii="Garamond" w:hAnsi="Garamond"/>
        </w:rPr>
        <w:t>Ni</w:t>
      </w:r>
      <w:r w:rsidR="00056F7B" w:rsidRPr="009A2E44">
        <w:rPr>
          <w:rFonts w:ascii="Garamond" w:hAnsi="Garamond"/>
        </w:rPr>
        <w:t>ñ</w:t>
      </w:r>
      <w:r w:rsidR="00F97999" w:rsidRPr="009A2E44">
        <w:rPr>
          <w:rFonts w:ascii="Garamond" w:hAnsi="Garamond"/>
        </w:rPr>
        <w:t>o 3.4</w:t>
      </w:r>
      <w:r w:rsidRPr="009A2E44">
        <w:rPr>
          <w:rFonts w:ascii="Garamond" w:hAnsi="Garamond"/>
        </w:rPr>
        <w:t xml:space="preserve"> region</w:t>
      </w:r>
      <w:r w:rsidR="00F97999" w:rsidRPr="009A2E44">
        <w:rPr>
          <w:rFonts w:ascii="Garamond" w:hAnsi="Garamond"/>
        </w:rPr>
        <w:t xml:space="preserve"> </w:t>
      </w:r>
      <w:r w:rsidR="00F97999" w:rsidRPr="009A2E44">
        <w:rPr>
          <w:rFonts w:ascii="Garamond" w:hAnsi="Garamond"/>
        </w:rPr>
        <w:fldChar w:fldCharType="begin" w:fldLock="1"/>
      </w:r>
      <w:r w:rsidR="00041CFA" w:rsidRPr="009A2E44">
        <w:rPr>
          <w:rFonts w:ascii="Garamond" w:hAnsi="Garamond"/>
        </w:rPr>
        <w:instrText>ADDIN CSL_CITATION {"citationItems":[{"id":"ITEM-1","itemData":{"DOI":"10.1029/2002jd002670","ISSN":"01480227","abstract":"We present the Met Office Hadley Centre's sea ice and sea surface temperature (SST) data set, HadISST1, and the nighttime marine air temperature (NMAT) data set, HadMAT1. HadISST1 replaces the global sea ice and sea surface temperature (GISST) data sets and is a unique combination of monthly globally complete fields of SST and sea ice concentration on a 1° latitude-longitude grid from 1871. The companion HadMAT1 runs monthly from 1856 on a 5° latitude-longitude grid and incorporates new corrections for the effect on NMAT of increasing deck (and hence measurement) heights. HadISST1 and HadMAT1 temperatures are reconstructed using a two-stage reduced-space optimal interpolation procedure, followed by superposition of quality-improved gridded observations onto the reconstructions to restore local detail. The sea ice fields are made more homogeneous by compensating satellite microwave-based sea ice concentrations for the impact of surface melt effects on retrievals in the Arctic and for algorithm deficiencies in the Antarctic and by making the historical in situ concentrations consistent with the satellite data. SSTs near sea ice are estimated using statistical relationships between SST and sea ice concentration. HadISST1 compares well with other published analyses, capturing trends in global, hemispheric, and regional SST well, containing SST fields with more uniform variance through time and better month-to-month persistence than those in GISST. HadMAT1 is more consistent with SST and with collocated land surface air temperatures than previous NMAT data sets.","author":[{"dropping-particle":"","family":"Rayner","given":"N. A.","non-dropping-particle":"","parse-names":false,"suffix":""},{"dropping-particle":"","family":"Parker","given":"D. E.","non-dropping-particle":"","parse-names":false,"suffix":""},{"dropping-particle":"","family":"Horton","given":"E. B.","non-dropping-particle":"","parse-names":false,"suffix":""},{"dropping-particle":"","family":"Folland","given":"C. K.","non-dropping-particle":"","parse-names":false,"suffix":""},{"dropping-particle":"V.","family":"Alexander","given":"L.","non-dropping-particle":"","parse-names":false,"suffix":""},{"dropping-particle":"","family":"Rowell","given":"D. P.","non-dropping-particle":"","parse-names":false,"suffix":""},{"dropping-particle":"","family":"Kent","given":"E. C.","non-dropping-particle":"","parse-names":false,"suffix":""},{"dropping-particle":"","family":"Kaplan","given":"A.","non-dropping-particle":"","parse-names":false,"suffix":""}],"container-title":"Journal of Geophysical Research: Atmospheres","id":"ITEM-1","issue":"14","issued":{"date-parts":[["2003"]]},"title":"Global analyses of sea surface temperature, sea ice, and night marine air temperature since the late nineteenth century","type":"article-journal","volume":"108"},"uris":["http://www.mendeley.com/documents/?uuid=bcfe4e48-b233-4909-9497-6d98c5e63219"]}],"mendeley":{"formattedCitation":"(Rayner et al., 2003)","plainTextFormattedCitation":"(Rayner et al., 2003)","previouslyFormattedCitation":"(Rayner et al., 2003)"},"properties":{"noteIndex":0},"schema":"https://github.com/citation-style-language/schema/raw/master/csl-citation.json"}</w:instrText>
      </w:r>
      <w:r w:rsidR="00F97999" w:rsidRPr="009A2E44">
        <w:rPr>
          <w:rFonts w:ascii="Garamond" w:hAnsi="Garamond"/>
        </w:rPr>
        <w:fldChar w:fldCharType="separate"/>
      </w:r>
      <w:r w:rsidR="00F97999" w:rsidRPr="009A2E44">
        <w:rPr>
          <w:rFonts w:ascii="Garamond" w:hAnsi="Garamond"/>
          <w:noProof/>
        </w:rPr>
        <w:t>(Rayner et al., 2003)</w:t>
      </w:r>
      <w:r w:rsidR="00F97999" w:rsidRPr="009A2E44">
        <w:rPr>
          <w:rFonts w:ascii="Garamond" w:hAnsi="Garamond"/>
        </w:rPr>
        <w:fldChar w:fldCharType="end"/>
      </w:r>
      <w:r w:rsidR="00B90FB5" w:rsidRPr="009A2E44">
        <w:rPr>
          <w:rFonts w:ascii="Garamond" w:hAnsi="Garamond"/>
        </w:rPr>
        <w:t xml:space="preserve"> </w:t>
      </w:r>
      <w:r w:rsidRPr="009A2E44">
        <w:rPr>
          <w:rFonts w:ascii="Garamond" w:hAnsi="Garamond"/>
        </w:rPr>
        <w:t xml:space="preserve">are from </w:t>
      </w:r>
      <w:hyperlink r:id="rId12" w:history="1">
        <w:r w:rsidR="006338EC" w:rsidRPr="009A2E44">
          <w:rPr>
            <w:rStyle w:val="Hyperlink"/>
            <w:rFonts w:ascii="Garamond" w:hAnsi="Garamond"/>
          </w:rPr>
          <w:t>https://psl.noaa.gov/gcos_wgsp/Timeseries/Nino34/</w:t>
        </w:r>
      </w:hyperlink>
      <w:r w:rsidRPr="009A2E44">
        <w:rPr>
          <w:rFonts w:ascii="Garamond" w:hAnsi="Garamond"/>
        </w:rPr>
        <w:t xml:space="preserve">. The </w:t>
      </w:r>
      <w:proofErr w:type="spellStart"/>
      <w:r w:rsidRPr="009A2E44">
        <w:rPr>
          <w:rFonts w:ascii="Garamond" w:hAnsi="Garamond"/>
        </w:rPr>
        <w:t>SPCZi</w:t>
      </w:r>
      <w:proofErr w:type="spellEnd"/>
      <w:r w:rsidRPr="009A2E44">
        <w:rPr>
          <w:rFonts w:ascii="Garamond" w:hAnsi="Garamond"/>
        </w:rPr>
        <w:t xml:space="preserve"> index is from </w:t>
      </w:r>
      <w:r w:rsidR="002863CB" w:rsidRPr="009A2E44">
        <w:rPr>
          <w:rFonts w:ascii="Garamond" w:hAnsi="Garamond"/>
        </w:rPr>
        <w:fldChar w:fldCharType="begin" w:fldLock="1"/>
      </w:r>
      <w:r w:rsidR="00FE31C6" w:rsidRPr="009A2E44">
        <w:rPr>
          <w:rFonts w:ascii="Garamond" w:hAnsi="Garamond"/>
        </w:rPr>
        <w:instrText>ADDIN CSL_CITATION {"citationItems":[{"id":"ITEM-1","itemData":{"DOI":"10.1007/s00382-013-2035-y","ISSN":"14320894","abstract":"Quality controlled and recently homogenised mean sea level pressure records for the South Pacific are used to specify the location and variability of the South Pacific convergence zone (SPCZ) during the austral warm season (November-April). The SPCZ is the world's largest rainfall band during the austral summer, when it dominates the climate of the South Pacific. A new index called the South Pacific convergence zone index (SPCZI) is derived, and is shown to be coherent with changes in low level wind convergence associated with the SPCZ. This index replaces the earlier SPCZ position index because it uses higher quality mean sea level pressure data than the superseded index and extends the time series further forward in time. The SPCZI allows interannual to decadal variability in the climate of the South Pacific to be tracked for more than a century from 1910/1911 to 2011/2012. During El Niño episodes the SPCZ is displaced by about 1°-3° east, and La Niña events 1°-3° west of the mean position on average. The index indicates a striking movement eastward for the period 1977/78-1998/99, compared with 1944/45-1976/77 in association with the Interdecadal Pacific oscillation (IPO). The eastward movement of the SPCZ in the late twentieth century is related to significant precipitation trends in the South Pacific region. Since 1998/99 the SPCZ has regressed westward with the negative phase change of the IPO. The long-term trend in the SPCZI is very small relative to the interannual to decadal variability and is not statistically significant, suggesting that there has been little overall change in the mean position of the SPCZ over the past century. © 2014 Springer-Verlag Berlin Heidelberg.","author":[{"dropping-particle":"","family":"Salinger","given":"M J","non-dropping-particle":"","parse-names":false,"suffix":""},{"dropping-particle":"","family":"McGree","given":"Simon","non-dropping-particle":"","parse-names":false,"suffix":""},{"dropping-particle":"","family":"Beucher","given":"Florent","non-dropping-particle":"","parse-names":false,"suffix":""},{"dropping-particle":"","family":"Power","given":"Scott B.","non-dropping-particle":"","parse-names":false,"suffix":""},{"dropping-particle":"","family":"Delage","given":"François","non-dropping-particle":"","parse-names":false,"suffix":""}],"container-title":"Climate Dynamics","id":"ITEM-1","issue":"3-4","issued":{"date-parts":[["2014"]]},"page":"881-892","title":"A new index for variations in the position of the South Pacific convergence zone 1910/11-2011/2012","type":"article-journal","volume":"43"},"uris":["http://www.mendeley.com/documents/?uuid=d3d1814c-f84e-4d8e-8c94-d6f1575dee2b"]}],"mendeley":{"formattedCitation":"(Salinger et al., 2014)","plainTextFormattedCitation":"(Salinger et al., 2014)","previouslyFormattedCitation":"(Salinger et al., 2014)"},"properties":{"noteIndex":0},"schema":"https://github.com/citation-style-language/schema/raw/master/csl-citation.json"}</w:instrText>
      </w:r>
      <w:r w:rsidR="002863CB" w:rsidRPr="009A2E44">
        <w:rPr>
          <w:rFonts w:ascii="Garamond" w:hAnsi="Garamond"/>
        </w:rPr>
        <w:fldChar w:fldCharType="separate"/>
      </w:r>
      <w:r w:rsidR="002863CB" w:rsidRPr="009A2E44">
        <w:rPr>
          <w:rFonts w:ascii="Garamond" w:hAnsi="Garamond"/>
          <w:noProof/>
        </w:rPr>
        <w:t>(Salinger et al., 2014)</w:t>
      </w:r>
      <w:r w:rsidR="002863CB" w:rsidRPr="009A2E44">
        <w:rPr>
          <w:rFonts w:ascii="Garamond" w:hAnsi="Garamond"/>
        </w:rPr>
        <w:fldChar w:fldCharType="end"/>
      </w:r>
      <w:r w:rsidR="002863CB" w:rsidRPr="009A2E44">
        <w:rPr>
          <w:rFonts w:ascii="Garamond" w:hAnsi="Garamond"/>
        </w:rPr>
        <w:t xml:space="preserve"> </w:t>
      </w:r>
      <w:r w:rsidR="006338EC" w:rsidRPr="009A2E44">
        <w:rPr>
          <w:rFonts w:ascii="Garamond" w:hAnsi="Garamond"/>
        </w:rPr>
        <w:t>and</w:t>
      </w:r>
      <w:r w:rsidRPr="009A2E44">
        <w:rPr>
          <w:rFonts w:ascii="Garamond" w:hAnsi="Garamond"/>
        </w:rPr>
        <w:t xml:space="preserve"> </w:t>
      </w:r>
      <w:r w:rsidR="006338EC" w:rsidRPr="009A2E44">
        <w:rPr>
          <w:rFonts w:ascii="Garamond" w:hAnsi="Garamond"/>
        </w:rPr>
        <w:t>t</w:t>
      </w:r>
      <w:r w:rsidRPr="009A2E44">
        <w:rPr>
          <w:rFonts w:ascii="Garamond" w:hAnsi="Garamond"/>
        </w:rPr>
        <w:t>he IPO index is from</w:t>
      </w:r>
      <w:r w:rsidR="002863CB" w:rsidRPr="009A2E44">
        <w:rPr>
          <w:rFonts w:ascii="Garamond" w:hAnsi="Garamond"/>
        </w:rPr>
        <w:t xml:space="preserve"> </w:t>
      </w:r>
      <w:r w:rsidR="002863CB" w:rsidRPr="009A2E44">
        <w:rPr>
          <w:rFonts w:ascii="Garamond" w:hAnsi="Garamond"/>
        </w:rPr>
        <w:fldChar w:fldCharType="begin" w:fldLock="1"/>
      </w:r>
      <w:r w:rsidR="002863CB" w:rsidRPr="009A2E44">
        <w:rPr>
          <w:rFonts w:ascii="Garamond" w:hAnsi="Garamond"/>
        </w:rPr>
        <w:instrText>ADDIN CSL_CITATION {"citationItems":[{"id":"ITEM-1","itemData":{"author":[{"dropping-particle":"","family":"Folland","given":"C K","non-dropping-particle":"","parse-names":false,"suffix":""},{"dropping-particle":"","family":"Renwick","given":"J A","non-dropping-particle":"","parse-names":false,"suffix":""},{"dropping-particle":"","family":"Salinger","given":"M J","non-dropping-particle":"","parse-names":false,"suffix":""},{"dropping-particle":"","family":"Mullan","given":"A B","non-dropping-particle":"","parse-names":false,"suffix":""},{"dropping-particle":"","family":"Nin","given":"El","non-dropping-particle":"","parse-names":false,"suffix":""}],"id":"ITEM-1","issue":"13","issued":{"date-parts":[["2002"]]},"page":"2-5","title":"Relative influences of the Interdecadal Pacific Oscillation and ENSO on the South Pacific Convergence Zone","type":"article-journal","volume":"29"},"uris":["http://www.mendeley.com/documents/?uuid=43aaba76-fbbd-47da-8998-117845aaed72"]}],"mendeley":{"formattedCitation":"(Folland et al., 2002)","manualFormatting":"(Folland et al., 2002)","plainTextFormattedCitation":"(Folland et al., 2002)","previouslyFormattedCitation":"(Folland et al., 2002)"},"properties":{"noteIndex":0},"schema":"https://github.com/citation-style-language/schema/raw/master/csl-citation.json"}</w:instrText>
      </w:r>
      <w:r w:rsidR="002863CB" w:rsidRPr="009A2E44">
        <w:rPr>
          <w:rFonts w:ascii="Garamond" w:hAnsi="Garamond"/>
        </w:rPr>
        <w:fldChar w:fldCharType="separate"/>
      </w:r>
      <w:r w:rsidR="002863CB" w:rsidRPr="009A2E44">
        <w:rPr>
          <w:rFonts w:ascii="Garamond" w:hAnsi="Garamond"/>
          <w:noProof/>
        </w:rPr>
        <w:t>(Folland et al., 2002)</w:t>
      </w:r>
      <w:r w:rsidR="002863CB" w:rsidRPr="009A2E44">
        <w:rPr>
          <w:rFonts w:ascii="Garamond" w:hAnsi="Garamond"/>
        </w:rPr>
        <w:fldChar w:fldCharType="end"/>
      </w:r>
      <w:r w:rsidR="006338EC" w:rsidRPr="009A2E44">
        <w:rPr>
          <w:rFonts w:ascii="Garamond" w:hAnsi="Garamond"/>
        </w:rPr>
        <w:t xml:space="preserve">, with the updated version available at </w:t>
      </w:r>
      <w:hyperlink r:id="rId13" w:history="1">
        <w:r w:rsidR="006338EC" w:rsidRPr="009A2E44">
          <w:rPr>
            <w:rStyle w:val="Hyperlink"/>
            <w:rFonts w:ascii="Garamond" w:hAnsi="Garamond"/>
            <w:noProof/>
          </w:rPr>
          <w:t>http://cola.gmu.edu/c20c/IPO_Aug2017_NZ_UPDATED_FOR_C20C+.pdf</w:t>
        </w:r>
      </w:hyperlink>
      <w:r w:rsidR="006338EC" w:rsidRPr="009A2E44">
        <w:rPr>
          <w:rFonts w:ascii="Garamond" w:hAnsi="Garamond"/>
          <w:noProof/>
        </w:rPr>
        <w:t>.</w:t>
      </w:r>
    </w:p>
    <w:p w14:paraId="0958E388" w14:textId="77777777" w:rsidR="00C136A6" w:rsidRPr="009A2E44" w:rsidRDefault="00C136A6" w:rsidP="001C47D3">
      <w:pPr>
        <w:spacing w:line="480" w:lineRule="auto"/>
        <w:rPr>
          <w:rFonts w:ascii="Garamond" w:hAnsi="Garamond"/>
          <w:i/>
          <w:color w:val="000000" w:themeColor="text1"/>
        </w:rPr>
      </w:pPr>
    </w:p>
    <w:p w14:paraId="7CC4178A" w14:textId="0C75F2C0" w:rsidR="00BB7553" w:rsidRPr="009A2E44" w:rsidRDefault="00BB7553" w:rsidP="001C47D3">
      <w:pPr>
        <w:spacing w:line="480" w:lineRule="auto"/>
        <w:outlineLvl w:val="0"/>
        <w:rPr>
          <w:rFonts w:ascii="Garamond" w:hAnsi="Garamond"/>
          <w:i/>
        </w:rPr>
      </w:pPr>
      <w:r w:rsidRPr="009A2E44">
        <w:rPr>
          <w:rFonts w:ascii="Garamond" w:hAnsi="Garamond"/>
          <w:i/>
        </w:rPr>
        <w:t>3.</w:t>
      </w:r>
      <w:r w:rsidR="00DE6956" w:rsidRPr="009A2E44">
        <w:rPr>
          <w:rFonts w:ascii="Garamond" w:hAnsi="Garamond"/>
          <w:i/>
        </w:rPr>
        <w:t>5</w:t>
      </w:r>
      <w:r w:rsidR="00CA250B" w:rsidRPr="009A2E44">
        <w:rPr>
          <w:rFonts w:ascii="Garamond" w:hAnsi="Garamond"/>
          <w:i/>
        </w:rPr>
        <w:t>.</w:t>
      </w:r>
      <w:r w:rsidRPr="009A2E44">
        <w:rPr>
          <w:rFonts w:ascii="Garamond" w:hAnsi="Garamond"/>
          <w:i/>
        </w:rPr>
        <w:t xml:space="preserve"> </w:t>
      </w:r>
      <w:r w:rsidR="00C36264" w:rsidRPr="009A2E44">
        <w:rPr>
          <w:rFonts w:ascii="Garamond" w:hAnsi="Garamond"/>
          <w:i/>
        </w:rPr>
        <w:t>Water chemistry</w:t>
      </w:r>
    </w:p>
    <w:p w14:paraId="311437D7" w14:textId="4671CDB0" w:rsidR="00DE6956" w:rsidRPr="009A2E44" w:rsidRDefault="002C1BDA" w:rsidP="001C47D3">
      <w:pPr>
        <w:spacing w:line="480" w:lineRule="auto"/>
        <w:ind w:firstLine="720"/>
        <w:outlineLvl w:val="0"/>
        <w:rPr>
          <w:rFonts w:ascii="Garamond" w:hAnsi="Garamond"/>
          <w:iCs/>
        </w:rPr>
      </w:pPr>
      <w:r w:rsidRPr="009A2E44">
        <w:rPr>
          <w:rFonts w:ascii="Garamond" w:hAnsi="Garamond"/>
        </w:rPr>
        <w:t>Sub</w:t>
      </w:r>
      <w:r w:rsidR="00DE6956" w:rsidRPr="009A2E44">
        <w:rPr>
          <w:rFonts w:ascii="Garamond" w:hAnsi="Garamond"/>
        </w:rPr>
        <w:t xml:space="preserve">surface waters were collected from Lac Lalolalo, Lac </w:t>
      </w:r>
      <w:proofErr w:type="spellStart"/>
      <w:r w:rsidR="00DE6956" w:rsidRPr="009A2E44">
        <w:rPr>
          <w:rFonts w:ascii="Garamond" w:hAnsi="Garamond"/>
        </w:rPr>
        <w:t>Lanutavake</w:t>
      </w:r>
      <w:proofErr w:type="spellEnd"/>
      <w:r w:rsidR="00DE6956" w:rsidRPr="009A2E44">
        <w:rPr>
          <w:rFonts w:ascii="Garamond" w:hAnsi="Garamond"/>
        </w:rPr>
        <w:t xml:space="preserve">, and Lac </w:t>
      </w:r>
      <w:proofErr w:type="spellStart"/>
      <w:r w:rsidR="00DE6956" w:rsidRPr="009A2E44">
        <w:rPr>
          <w:rFonts w:ascii="Garamond" w:hAnsi="Garamond"/>
        </w:rPr>
        <w:t>Lano</w:t>
      </w:r>
      <w:proofErr w:type="spellEnd"/>
      <w:r w:rsidR="00DE6956" w:rsidRPr="009A2E44">
        <w:rPr>
          <w:rFonts w:ascii="Garamond" w:hAnsi="Garamond"/>
        </w:rPr>
        <w:t xml:space="preserve"> with a hand-held </w:t>
      </w:r>
      <w:proofErr w:type="spellStart"/>
      <w:r w:rsidR="00DE6956" w:rsidRPr="009A2E44">
        <w:rPr>
          <w:rFonts w:ascii="Garamond" w:hAnsi="Garamond"/>
        </w:rPr>
        <w:t>Nisken</w:t>
      </w:r>
      <w:proofErr w:type="spellEnd"/>
      <w:r w:rsidR="00DE6956" w:rsidRPr="009A2E44">
        <w:rPr>
          <w:rFonts w:ascii="Garamond" w:hAnsi="Garamond"/>
        </w:rPr>
        <w:t xml:space="preserve"> bottle or hand-pump fastened to a weighted tube and filter</w:t>
      </w:r>
      <w:r w:rsidR="0048234A" w:rsidRPr="009A2E44">
        <w:rPr>
          <w:rFonts w:ascii="Garamond" w:hAnsi="Garamond"/>
        </w:rPr>
        <w:t xml:space="preserve"> holder</w:t>
      </w:r>
      <w:r w:rsidR="00E80299" w:rsidRPr="009A2E44">
        <w:rPr>
          <w:rFonts w:ascii="Garamond" w:hAnsi="Garamond"/>
        </w:rPr>
        <w:t xml:space="preserve">. Samples for </w:t>
      </w:r>
      <w:r w:rsidR="00EC15CE">
        <w:rPr>
          <w:rFonts w:ascii="Garamond" w:hAnsi="Garamond"/>
        </w:rPr>
        <w:t xml:space="preserve">water </w:t>
      </w:r>
      <w:r w:rsidR="00E80299" w:rsidRPr="009A2E44">
        <w:rPr>
          <w:rFonts w:ascii="Garamond" w:hAnsi="Garamond"/>
        </w:rPr>
        <w:t>isotope analysis were</w:t>
      </w:r>
      <w:r w:rsidR="00DE6956" w:rsidRPr="009A2E44">
        <w:rPr>
          <w:rFonts w:ascii="Garamond" w:hAnsi="Garamond"/>
        </w:rPr>
        <w:t xml:space="preserve"> stored in glass vials sealed to avoid evaporation. </w:t>
      </w:r>
      <w:r w:rsidR="00E80299" w:rsidRPr="009A2E44">
        <w:rPr>
          <w:rFonts w:ascii="Garamond" w:hAnsi="Garamond"/>
        </w:rPr>
        <w:t>Samples</w:t>
      </w:r>
      <w:r w:rsidR="00DE6956" w:rsidRPr="009A2E44">
        <w:rPr>
          <w:rFonts w:ascii="Garamond" w:hAnsi="Garamond"/>
        </w:rPr>
        <w:t xml:space="preserve"> for ion and metal analysis were stored in 125 ml HDPE Nalgene bottles</w:t>
      </w:r>
      <w:r w:rsidR="00E80299" w:rsidRPr="009A2E44">
        <w:rPr>
          <w:rFonts w:ascii="Garamond" w:hAnsi="Garamond"/>
        </w:rPr>
        <w:t xml:space="preserve">, </w:t>
      </w:r>
      <w:r w:rsidR="00EF6727" w:rsidRPr="009A2E44">
        <w:rPr>
          <w:rFonts w:ascii="Garamond" w:hAnsi="Garamond"/>
        </w:rPr>
        <w:t>kept</w:t>
      </w:r>
      <w:r w:rsidR="00E80299" w:rsidRPr="009A2E44">
        <w:rPr>
          <w:rFonts w:ascii="Garamond" w:hAnsi="Garamond"/>
        </w:rPr>
        <w:t xml:space="preserve"> in a cooler with an ice pack,</w:t>
      </w:r>
      <w:r w:rsidR="00DE6956" w:rsidRPr="009A2E44">
        <w:rPr>
          <w:rFonts w:ascii="Garamond" w:hAnsi="Garamond"/>
        </w:rPr>
        <w:t xml:space="preserve"> and frozen </w:t>
      </w:r>
      <w:r w:rsidR="00E80299" w:rsidRPr="009A2E44">
        <w:rPr>
          <w:rFonts w:ascii="Garamond" w:hAnsi="Garamond"/>
        </w:rPr>
        <w:t xml:space="preserve">at the end of the </w:t>
      </w:r>
      <w:r w:rsidR="00060BA3">
        <w:rPr>
          <w:rFonts w:ascii="Garamond" w:hAnsi="Garamond"/>
        </w:rPr>
        <w:t xml:space="preserve">collection </w:t>
      </w:r>
      <w:r w:rsidR="00E80299" w:rsidRPr="009A2E44">
        <w:rPr>
          <w:rFonts w:ascii="Garamond" w:hAnsi="Garamond"/>
        </w:rPr>
        <w:t>day</w:t>
      </w:r>
      <w:r w:rsidR="00DE6956" w:rsidRPr="009A2E44">
        <w:rPr>
          <w:rFonts w:ascii="Garamond" w:hAnsi="Garamond"/>
        </w:rPr>
        <w:t>.</w:t>
      </w:r>
      <w:r w:rsidR="00CB5E30" w:rsidRPr="009A2E44">
        <w:rPr>
          <w:rFonts w:ascii="Garamond" w:hAnsi="Garamond"/>
        </w:rPr>
        <w:t xml:space="preserve"> Previously published </w:t>
      </w:r>
      <w:r w:rsidR="00CB5E30" w:rsidRPr="009A2E44">
        <w:rPr>
          <w:rFonts w:ascii="Garamond" w:hAnsi="Garamond"/>
        </w:rPr>
        <w:fldChar w:fldCharType="begin" w:fldLock="1"/>
      </w:r>
      <w:r w:rsidR="00B02200" w:rsidRPr="009A2E44">
        <w:rPr>
          <w:rFonts w:ascii="Garamond" w:hAnsi="Garamond"/>
        </w:rPr>
        <w:instrText>ADDIN CSL_CITATION {"citationItems":[{"id":"ITEM-1","itemData":{"DOI":"10.2984/68.3.3","ISSN":"15346188","abstract":"Species composition and vertical distribution of planktonic organisms in Lakes Lalolalo, Lanutavake, and Lano on the Pacific island of Uvea were investigated in relation to physicochemical water column profiles of temperature, conductivity, dissolved oxygen, and pH. The meromictic lakes Lalolalo (maximum depth 88.5 m) and Lanutavake (23.6 m) exhibited a strong chemocline with anoxic conditions below 10 m depth. Mixis was inhibited by sheltered topography, thermal stratification, and in Lalolalo a strong halocline. Crustaceans and rotifers were limited to the oxygenated epilimnion, but diversity and density of ciliates were highest within and below the chemocline. In Lalolalo, euryhaline rotifers dominated the community, reflecting the brackish condition of the lake. Species richness and densities were highest within the shallow lake Lano (3.5 m). On a calm day, hypoxic conditions occurred near the sediment-water interface, but higher oxygen concentrations were observed after heavy winds, indicating occasional mixis. In total, 32 phytoplankton species, 23 ciliate taxa, 18 rotiferan, 1 cladoceran, 1 copepod, and 1 gastrotrich species were identified in the pelagic zones of all three lakes. © 2014 by University of Hawai'i Press All rights reserved.","author":[{"dropping-particle":"","family":"Sichrowsky","given":"Ursula","non-dropping-particle":"","parse-names":false,"suffix":""},{"dropping-particle":"","family":"Schabetsberger","given":"Robert","non-dropping-particle":"","parse-names":false,"suffix":""},{"dropping-particle":"","family":"Sonntag","given":"Bettina","non-dropping-particle":"","parse-names":false,"suffix":""},{"dropping-particle":"","family":"Stoyneva","given":"Maya","non-dropping-particle":"","parse-names":false,"suffix":""},{"dropping-particle":"","family":"Maloney","given":"Ashley E","non-dropping-particle":"","parse-names":false,"suffix":""},{"dropping-particle":"","family":"Nelson","given":"Daniel B","non-dropping-particle":"","parse-names":false,"suffix":""},{"dropping-particle":"","family":"Richey","given":"Julie N","non-dropping-particle":"","parse-names":false,"suffix":""},{"dropping-particle":"","family":"Sachs","given":"Julian P","non-dropping-particle":"","parse-names":false,"suffix":""}],"container-title":"Pacific Science","id":"ITEM-1","issue":"3","issued":{"date-parts":[["2014","7"]]},"page":"333-343","title":"Limnological characterization of volcanic crater lakes on Uvea Island (Wallis and Futuna, South Pacific)","type":"article-journal","volume":"68"},"uris":["http://www.mendeley.com/documents/?uuid=923ca64f-f41e-45b0-a85c-cd355925b74b"]},{"id":"ITEM-2","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Acta","id":"ITEM-2","issued":{"date-parts":[["2019"]]},"page":"190-206","publisher":"Elsevier Ltd","title":"Reconstructing precipitation in the tropical South Pacific from dinosterol 2H/1H ratios in lake sediment","type":"article-journal","volume":"245"},"uris":["http://www.mendeley.com/documents/?uuid=c7ab851f-4ac6-4a60-a0db-daaa3baed28f"]}],"mendeley":{"formattedCitation":"(Maloney et al., 2019; Sichrowsky et al., 2014)","plainTextFormattedCitation":"(Maloney et al., 2019; Sichrowsky et al., 2014)","previouslyFormattedCitation":"(Maloney et al., 2019; Sichrowsky et al., 2014)"},"properties":{"noteIndex":0},"schema":"https://github.com/citation-style-language/schema/raw/master/csl-citation.json"}</w:instrText>
      </w:r>
      <w:r w:rsidR="00CB5E30" w:rsidRPr="009A2E44">
        <w:rPr>
          <w:rFonts w:ascii="Garamond" w:hAnsi="Garamond"/>
        </w:rPr>
        <w:fldChar w:fldCharType="separate"/>
      </w:r>
      <w:r w:rsidR="00CB5E30" w:rsidRPr="009A2E44">
        <w:rPr>
          <w:rFonts w:ascii="Garamond" w:hAnsi="Garamond"/>
          <w:noProof/>
        </w:rPr>
        <w:t>(Maloney et al., 2019; Sichrowsky et al., 2014)</w:t>
      </w:r>
      <w:r w:rsidR="00CB5E30" w:rsidRPr="009A2E44">
        <w:rPr>
          <w:rFonts w:ascii="Garamond" w:hAnsi="Garamond"/>
        </w:rPr>
        <w:fldChar w:fldCharType="end"/>
      </w:r>
      <w:r w:rsidR="00CB5E30" w:rsidRPr="009A2E44">
        <w:rPr>
          <w:rFonts w:ascii="Garamond" w:hAnsi="Garamond"/>
        </w:rPr>
        <w:t xml:space="preserve"> temperature, salinity, and </w:t>
      </w:r>
      <w:r w:rsidR="00D0595F" w:rsidRPr="009A2E44">
        <w:rPr>
          <w:rFonts w:ascii="Garamond" w:hAnsi="Garamond"/>
        </w:rPr>
        <w:t xml:space="preserve">dissolved </w:t>
      </w:r>
      <w:r w:rsidR="00CB5E30" w:rsidRPr="009A2E44">
        <w:rPr>
          <w:rFonts w:ascii="Garamond" w:hAnsi="Garamond"/>
        </w:rPr>
        <w:t xml:space="preserve">oxygen measurements are included for comparison and were made </w:t>
      </w:r>
      <w:r w:rsidR="00CB5E30" w:rsidRPr="009A2E44">
        <w:rPr>
          <w:rFonts w:ascii="Garamond" w:hAnsi="Garamond"/>
          <w:i/>
          <w:iCs/>
        </w:rPr>
        <w:t>in situ</w:t>
      </w:r>
      <w:r w:rsidR="00CB5E30" w:rsidRPr="009A2E44">
        <w:rPr>
          <w:rFonts w:ascii="Garamond" w:hAnsi="Garamond"/>
        </w:rPr>
        <w:t xml:space="preserve"> with a </w:t>
      </w:r>
      <w:proofErr w:type="spellStart"/>
      <w:r w:rsidR="00CB5E30" w:rsidRPr="009A2E44">
        <w:rPr>
          <w:rFonts w:ascii="Garamond" w:hAnsi="Garamond"/>
          <w:iCs/>
        </w:rPr>
        <w:t>Hydrolab</w:t>
      </w:r>
      <w:proofErr w:type="spellEnd"/>
      <w:r w:rsidR="00CB5E30" w:rsidRPr="009A2E44">
        <w:rPr>
          <w:rFonts w:ascii="Garamond" w:hAnsi="Garamond"/>
          <w:iCs/>
        </w:rPr>
        <w:t xml:space="preserve"> Quanta Water Quality Monitoring System (OTT </w:t>
      </w:r>
      <w:proofErr w:type="spellStart"/>
      <w:r w:rsidR="00CB5E30" w:rsidRPr="009A2E44">
        <w:rPr>
          <w:rFonts w:ascii="Garamond" w:hAnsi="Garamond"/>
          <w:iCs/>
        </w:rPr>
        <w:t>HydroMet</w:t>
      </w:r>
      <w:proofErr w:type="spellEnd"/>
      <w:r w:rsidR="00CB5E30" w:rsidRPr="009A2E44">
        <w:rPr>
          <w:rFonts w:ascii="Garamond" w:hAnsi="Garamond"/>
          <w:iCs/>
        </w:rPr>
        <w:t>) down to 25</w:t>
      </w:r>
      <w:r w:rsidR="008E1D5F" w:rsidRPr="009A2E44">
        <w:rPr>
          <w:rFonts w:ascii="Garamond" w:hAnsi="Garamond"/>
          <w:iCs/>
        </w:rPr>
        <w:t xml:space="preserve"> </w:t>
      </w:r>
      <w:r w:rsidR="00CB5E30" w:rsidRPr="009A2E44">
        <w:rPr>
          <w:rFonts w:ascii="Garamond" w:hAnsi="Garamond"/>
          <w:iCs/>
        </w:rPr>
        <w:t xml:space="preserve">m (the length of the sonde cable) or by submerging the probe into the </w:t>
      </w:r>
      <w:proofErr w:type="spellStart"/>
      <w:r w:rsidR="00CB5E30" w:rsidRPr="009A2E44">
        <w:rPr>
          <w:rFonts w:ascii="Garamond" w:hAnsi="Garamond"/>
          <w:iCs/>
        </w:rPr>
        <w:t>Nisken</w:t>
      </w:r>
      <w:proofErr w:type="spellEnd"/>
      <w:r w:rsidR="00CB5E30" w:rsidRPr="009A2E44">
        <w:rPr>
          <w:rFonts w:ascii="Garamond" w:hAnsi="Garamond"/>
          <w:iCs/>
        </w:rPr>
        <w:t xml:space="preserve"> bottle upon its return to the surface</w:t>
      </w:r>
      <w:r w:rsidR="008E1D5F" w:rsidRPr="009A2E44">
        <w:rPr>
          <w:rFonts w:ascii="Garamond" w:hAnsi="Garamond"/>
          <w:iCs/>
        </w:rPr>
        <w:t xml:space="preserve"> from depths &gt;25 m</w:t>
      </w:r>
      <w:r w:rsidR="00CB5E30" w:rsidRPr="009A2E44">
        <w:rPr>
          <w:rFonts w:ascii="Garamond" w:hAnsi="Garamond"/>
          <w:iCs/>
        </w:rPr>
        <w:t>.</w:t>
      </w:r>
    </w:p>
    <w:p w14:paraId="6CB15FCE" w14:textId="53CF18EB" w:rsidR="00BB7553" w:rsidRPr="009A2E44" w:rsidRDefault="00C36264" w:rsidP="001C47D3">
      <w:pPr>
        <w:spacing w:line="480" w:lineRule="auto"/>
        <w:ind w:firstLine="720"/>
        <w:rPr>
          <w:rFonts w:ascii="Garamond" w:hAnsi="Garamond"/>
        </w:rPr>
      </w:pPr>
      <w:r w:rsidRPr="009A2E44">
        <w:rPr>
          <w:rFonts w:ascii="Garamond" w:hAnsi="Garamond"/>
          <w:iCs/>
        </w:rPr>
        <w:t>Lake water isotope</w:t>
      </w:r>
      <w:r w:rsidR="002C1BDA" w:rsidRPr="009A2E44">
        <w:rPr>
          <w:rFonts w:ascii="Garamond" w:hAnsi="Garamond"/>
          <w:iCs/>
        </w:rPr>
        <w:t xml:space="preserve">s </w:t>
      </w:r>
      <w:r w:rsidR="00C2593F" w:rsidRPr="009A2E44">
        <w:rPr>
          <w:rFonts w:ascii="Garamond" w:hAnsi="Garamond"/>
        </w:rPr>
        <w:t xml:space="preserve">were measured at University of Hawaii on a </w:t>
      </w:r>
      <w:proofErr w:type="spellStart"/>
      <w:r w:rsidR="00C2593F" w:rsidRPr="009A2E44">
        <w:rPr>
          <w:rFonts w:ascii="Garamond" w:hAnsi="Garamond"/>
        </w:rPr>
        <w:t>Picarro</w:t>
      </w:r>
      <w:proofErr w:type="spellEnd"/>
      <w:r w:rsidR="00C2593F" w:rsidRPr="009A2E44">
        <w:rPr>
          <w:rFonts w:ascii="Garamond" w:hAnsi="Garamond"/>
        </w:rPr>
        <w:t xml:space="preserve"> L1102-</w:t>
      </w:r>
      <w:r w:rsidR="00C2593F" w:rsidRPr="009A2E44">
        <w:rPr>
          <w:rFonts w:ascii="Garamond" w:hAnsi="Garamond"/>
          <w:i/>
        </w:rPr>
        <w:t>i</w:t>
      </w:r>
      <w:r w:rsidR="00C2593F" w:rsidRPr="009A2E44">
        <w:rPr>
          <w:rFonts w:ascii="Garamond" w:hAnsi="Garamond"/>
        </w:rPr>
        <w:t xml:space="preserve"> WS-CRDS with analytical precision of 0.5</w:t>
      </w:r>
      <w:r w:rsidR="007275E6" w:rsidRPr="009A2E44">
        <w:rPr>
          <w:rFonts w:ascii="Garamond" w:hAnsi="Garamond"/>
        </w:rPr>
        <w:t xml:space="preserve"> </w:t>
      </w:r>
      <w:r w:rsidR="00C2593F" w:rsidRPr="009A2E44">
        <w:rPr>
          <w:rFonts w:ascii="Garamond" w:hAnsi="Garamond"/>
        </w:rPr>
        <w:t>‰ for δ</w:t>
      </w:r>
      <w:r w:rsidR="00C2593F" w:rsidRPr="009A2E44">
        <w:rPr>
          <w:rFonts w:ascii="Garamond" w:hAnsi="Garamond"/>
          <w:vertAlign w:val="superscript"/>
        </w:rPr>
        <w:t>2</w:t>
      </w:r>
      <w:r w:rsidR="00C2593F" w:rsidRPr="009A2E44">
        <w:rPr>
          <w:rFonts w:ascii="Garamond" w:hAnsi="Garamond"/>
        </w:rPr>
        <w:t>H and 0.04</w:t>
      </w:r>
      <w:r w:rsidR="007275E6" w:rsidRPr="009A2E44">
        <w:rPr>
          <w:rFonts w:ascii="Garamond" w:hAnsi="Garamond"/>
        </w:rPr>
        <w:t xml:space="preserve"> </w:t>
      </w:r>
      <w:r w:rsidR="00C2593F" w:rsidRPr="009A2E44">
        <w:rPr>
          <w:rFonts w:ascii="Garamond" w:hAnsi="Garamond"/>
        </w:rPr>
        <w:t>‰ for δ</w:t>
      </w:r>
      <w:r w:rsidR="00C2593F" w:rsidRPr="009A2E44">
        <w:rPr>
          <w:rFonts w:ascii="Garamond" w:hAnsi="Garamond"/>
          <w:vertAlign w:val="superscript"/>
        </w:rPr>
        <w:t>18</w:t>
      </w:r>
      <w:r w:rsidR="00C2593F" w:rsidRPr="009A2E44">
        <w:rPr>
          <w:rFonts w:ascii="Garamond" w:hAnsi="Garamond"/>
        </w:rPr>
        <w:t>O determined using an in-house standard run after every 10</w:t>
      </w:r>
      <w:r w:rsidR="00C2593F" w:rsidRPr="009A2E44">
        <w:rPr>
          <w:rFonts w:ascii="Garamond" w:hAnsi="Garamond"/>
          <w:vertAlign w:val="superscript"/>
        </w:rPr>
        <w:t>th</w:t>
      </w:r>
      <w:r w:rsidR="00C2593F" w:rsidRPr="009A2E44">
        <w:rPr>
          <w:rFonts w:ascii="Garamond" w:hAnsi="Garamond"/>
        </w:rPr>
        <w:t xml:space="preserve"> sample.</w:t>
      </w:r>
      <w:r w:rsidR="007D70C1" w:rsidRPr="009A2E44">
        <w:rPr>
          <w:rFonts w:ascii="Garamond" w:hAnsi="Garamond"/>
        </w:rPr>
        <w:t xml:space="preserve"> Previously published </w:t>
      </w:r>
      <w:r w:rsidR="00E611AE" w:rsidRPr="009A2E44">
        <w:rPr>
          <w:rFonts w:ascii="Garamond" w:hAnsi="Garamond"/>
        </w:rPr>
        <w:t>tap water</w:t>
      </w:r>
      <w:r w:rsidR="002C1BDA" w:rsidRPr="009A2E44">
        <w:rPr>
          <w:rFonts w:ascii="Garamond" w:hAnsi="Garamond"/>
        </w:rPr>
        <w:t xml:space="preserve">, </w:t>
      </w:r>
      <w:r w:rsidR="007D70C1" w:rsidRPr="009A2E44">
        <w:rPr>
          <w:rFonts w:ascii="Garamond" w:hAnsi="Garamond"/>
        </w:rPr>
        <w:t>rai</w:t>
      </w:r>
      <w:r w:rsidR="002C1BDA" w:rsidRPr="009A2E44">
        <w:rPr>
          <w:rFonts w:ascii="Garamond" w:hAnsi="Garamond"/>
        </w:rPr>
        <w:t xml:space="preserve">n events, </w:t>
      </w:r>
      <w:r w:rsidR="007D70C1" w:rsidRPr="009A2E44">
        <w:rPr>
          <w:rFonts w:ascii="Garamond" w:hAnsi="Garamond"/>
        </w:rPr>
        <w:t>seawater</w:t>
      </w:r>
      <w:r w:rsidR="002C1BDA" w:rsidRPr="009A2E44">
        <w:rPr>
          <w:rFonts w:ascii="Garamond" w:hAnsi="Garamond"/>
        </w:rPr>
        <w:t>, and lake</w:t>
      </w:r>
      <w:r w:rsidR="00560131" w:rsidRPr="009A2E44">
        <w:rPr>
          <w:rFonts w:ascii="Garamond" w:hAnsi="Garamond"/>
        </w:rPr>
        <w:t xml:space="preserve"> water</w:t>
      </w:r>
      <w:r w:rsidR="007D70C1" w:rsidRPr="009A2E44">
        <w:rPr>
          <w:rFonts w:ascii="Garamond" w:hAnsi="Garamond"/>
        </w:rPr>
        <w:t xml:space="preserve"> isotope data from </w:t>
      </w:r>
      <w:r w:rsidR="002C1BDA" w:rsidRPr="009A2E44">
        <w:rPr>
          <w:rFonts w:ascii="Garamond" w:hAnsi="Garamond"/>
        </w:rPr>
        <w:t>‘Uvea, Lake Lanoto’o (‘Upolu, Samoa), and Lake Emaotul (Efate, Vanuatu)</w:t>
      </w:r>
      <w:r w:rsidR="007D70C1" w:rsidRPr="009A2E44">
        <w:rPr>
          <w:rFonts w:ascii="Garamond" w:hAnsi="Garamond"/>
        </w:rPr>
        <w:t xml:space="preserve"> (Maloney et al. 2019) are </w:t>
      </w:r>
      <w:r w:rsidR="007D70C1" w:rsidRPr="009A2E44">
        <w:rPr>
          <w:rFonts w:ascii="Garamond" w:hAnsi="Garamond"/>
        </w:rPr>
        <w:lastRenderedPageBreak/>
        <w:t>included for comparison.</w:t>
      </w:r>
      <w:r w:rsidR="00926C54" w:rsidRPr="009A2E44">
        <w:rPr>
          <w:rFonts w:ascii="Garamond" w:hAnsi="Garamond"/>
        </w:rPr>
        <w:t xml:space="preserve"> The </w:t>
      </w:r>
      <w:r w:rsidR="00FA5BB3" w:rsidRPr="009A2E44">
        <w:rPr>
          <w:rFonts w:ascii="Garamond" w:hAnsi="Garamond"/>
        </w:rPr>
        <w:t xml:space="preserve">mean precipitation isotope climatology at ‘Uvea </w:t>
      </w:r>
      <w:r w:rsidR="00FA5BB3">
        <w:rPr>
          <w:rFonts w:ascii="Garamond" w:hAnsi="Garamond"/>
        </w:rPr>
        <w:t xml:space="preserve">was calculated with the </w:t>
      </w:r>
      <w:r w:rsidR="00926C54" w:rsidRPr="009A2E44">
        <w:rPr>
          <w:rFonts w:ascii="Garamond" w:hAnsi="Garamond"/>
        </w:rPr>
        <w:t>Online Isotopes in Precipitation Calculator</w:t>
      </w:r>
      <w:r w:rsidR="00EC15CE">
        <w:rPr>
          <w:rFonts w:ascii="Garamond" w:hAnsi="Garamond"/>
        </w:rPr>
        <w:t xml:space="preserve"> version 3.1</w:t>
      </w:r>
      <w:r w:rsidR="00926C54" w:rsidRPr="009A2E44">
        <w:rPr>
          <w:rFonts w:ascii="Garamond" w:hAnsi="Garamond"/>
        </w:rPr>
        <w:t xml:space="preserve"> </w:t>
      </w:r>
      <w:r w:rsidR="00926C54" w:rsidRPr="009A2E44">
        <w:rPr>
          <w:rFonts w:ascii="Garamond" w:hAnsi="Garamond"/>
        </w:rPr>
        <w:fldChar w:fldCharType="begin" w:fldLock="1"/>
      </w:r>
      <w:r w:rsidR="00720DEF" w:rsidRPr="009A2E44">
        <w:rPr>
          <w:rFonts w:ascii="Garamond" w:hAnsi="Garamond"/>
        </w:rPr>
        <w:instrText>ADDIN CSL_CITATION {"citationItems":[{"id":"ITEM-1","itemData":{"DOI":"10.1029/2003WR002086","ISBN":"0043-1397","ISSN":"0043-1397","abstract":"An accurate representation of the spatial distribution of stable hydrogen and oxygen isotopes in modern precipitation is required for many hydrological, paleoclimate, and ecological applications. No standardized method for achieving such a representation exists, and potential errors associated with previously employed methods are not understood. Using resampling, we test the accuracy of interpolated dD and d18O estimates made using four methods. Prediction error for all methods is strongly related to number of data and will likely decline with the addition of new data. The best method lowers estimation error by 10–15% relative to others tested and gives an average error, using all available data, ?2.5% of the global range.We present and interpret global maps of interpolated dD, d18O, and deuterium excess in precipitation and the 95% confidence intervals for these values created using the optimal method. These depict global and regional patterns, make evident the robustness of interpolated isotopic patterns, and highlight target areas for future precipitation sampling.","author":[{"dropping-particle":"","family":"Bowen","given":"Gabriel J","non-dropping-particle":"","parse-names":false,"suffix":""},{"dropping-particle":"","family":"Revenaugh","given":"Justin","non-dropping-particle":"","parse-names":false,"suffix":""}],"container-title":"Water Resources Research","id":"ITEM-1","issue":"10","issued":{"date-parts":[["2003"]]},"page":"1-13","title":"Interpolating the isotopic composition of modern meteoric precipitation","type":"article-journal","volume":"39"},"uris":["http://www.mendeley.com/documents/?uuid=e201485d-24b2-44ab-b513-ddf2a0735fa3"]}],"mendeley":{"formattedCitation":"(Bowen and Revenaugh, 2003)","plainTextFormattedCitation":"(Bowen and Revenaugh, 2003)","previouslyFormattedCitation":"(Bowen and Revenaugh, 2003)"},"properties":{"noteIndex":0},"schema":"https://github.com/citation-style-language/schema/raw/master/csl-citation.json"}</w:instrText>
      </w:r>
      <w:r w:rsidR="00926C54" w:rsidRPr="009A2E44">
        <w:rPr>
          <w:rFonts w:ascii="Garamond" w:hAnsi="Garamond"/>
        </w:rPr>
        <w:fldChar w:fldCharType="separate"/>
      </w:r>
      <w:r w:rsidR="00926C54" w:rsidRPr="009A2E44">
        <w:rPr>
          <w:rFonts w:ascii="Garamond" w:hAnsi="Garamond"/>
          <w:noProof/>
        </w:rPr>
        <w:t>(Bowen and Revenaugh, 2003)</w:t>
      </w:r>
      <w:r w:rsidR="00926C54" w:rsidRPr="009A2E44">
        <w:rPr>
          <w:rFonts w:ascii="Garamond" w:hAnsi="Garamond"/>
        </w:rPr>
        <w:fldChar w:fldCharType="end"/>
      </w:r>
      <w:r w:rsidR="00926C54" w:rsidRPr="009A2E44">
        <w:rPr>
          <w:rFonts w:ascii="Garamond" w:hAnsi="Garamond"/>
        </w:rPr>
        <w:t xml:space="preserve">, available at </w:t>
      </w:r>
      <w:hyperlink r:id="rId14" w:history="1">
        <w:r w:rsidR="00926C54" w:rsidRPr="009A2E44">
          <w:rPr>
            <w:rStyle w:val="Hyperlink"/>
            <w:rFonts w:ascii="Garamond" w:hAnsi="Garamond"/>
          </w:rPr>
          <w:t>https://wateriso.utah.edu/waterisotopes/pages/data_access/oipc.html</w:t>
        </w:r>
      </w:hyperlink>
      <w:r w:rsidR="00926C54" w:rsidRPr="009A2E44">
        <w:rPr>
          <w:rFonts w:ascii="Garamond" w:hAnsi="Garamond"/>
        </w:rPr>
        <w:t xml:space="preserve">, </w:t>
      </w:r>
      <w:r w:rsidR="00CB1675">
        <w:rPr>
          <w:rFonts w:ascii="Garamond" w:hAnsi="Garamond"/>
        </w:rPr>
        <w:t xml:space="preserve">using data from the Global Network of Isotopes in Precipitation </w:t>
      </w:r>
      <w:r w:rsidR="00B513AA">
        <w:rPr>
          <w:rFonts w:ascii="Garamond" w:hAnsi="Garamond"/>
        </w:rPr>
        <w:fldChar w:fldCharType="begin" w:fldLock="1"/>
      </w:r>
      <w:r w:rsidR="0050050B">
        <w:rPr>
          <w:rFonts w:ascii="Garamond" w:hAnsi="Garamond"/>
        </w:rPr>
        <w:instrText>ADDIN CSL_CITATION {"citationItems":[{"id":"ITEM-1","itemData":{"author":[{"dropping-particle":"","family":"IAEA/WMO","given":"","non-dropping-particle":"","parse-names":false,"suffix":""}],"id":"ITEM-1","issued":{"date-parts":[["2021"]]},"title":"International Atomic Energy Agency/World Meteorological Organization. Global Network for Isotopes in Precipitation, The GNIP Database. Accessible at: http://www.iaea.org/wiser.","type":"article"},"uris":["http://www.mendeley.com/documents/?uuid=d05c494a-7c2b-48ab-b189-2a112ec74291"]}],"mendeley":{"formattedCitation":"(IAEA/WMO, 2021)","plainTextFormattedCitation":"(IAEA/WMO, 2021)","previouslyFormattedCitation":"(IAEA/WMO, 2021)"},"properties":{"noteIndex":0},"schema":"https://github.com/citation-style-language/schema/raw/master/csl-citation.json"}</w:instrText>
      </w:r>
      <w:r w:rsidR="00B513AA">
        <w:rPr>
          <w:rFonts w:ascii="Garamond" w:hAnsi="Garamond"/>
        </w:rPr>
        <w:fldChar w:fldCharType="separate"/>
      </w:r>
      <w:r w:rsidR="00B513AA" w:rsidRPr="00B513AA">
        <w:rPr>
          <w:rFonts w:ascii="Garamond" w:hAnsi="Garamond"/>
          <w:noProof/>
        </w:rPr>
        <w:t>(IAEA/WMO, 2021)</w:t>
      </w:r>
      <w:r w:rsidR="00B513AA">
        <w:rPr>
          <w:rFonts w:ascii="Garamond" w:hAnsi="Garamond"/>
        </w:rPr>
        <w:fldChar w:fldCharType="end"/>
      </w:r>
      <w:r w:rsidR="00CB1675">
        <w:rPr>
          <w:rFonts w:ascii="Garamond" w:hAnsi="Garamond"/>
        </w:rPr>
        <w:t xml:space="preserve">, available at </w:t>
      </w:r>
      <w:r w:rsidR="00CB1675" w:rsidRPr="00CB1675">
        <w:rPr>
          <w:rFonts w:ascii="Garamond" w:hAnsi="Garamond"/>
        </w:rPr>
        <w:t>https://nucleus.iaea.org/wiser</w:t>
      </w:r>
      <w:r w:rsidR="00926C54" w:rsidRPr="009A2E44">
        <w:rPr>
          <w:rFonts w:ascii="Garamond" w:hAnsi="Garamond"/>
        </w:rPr>
        <w:t xml:space="preserve">. </w:t>
      </w:r>
    </w:p>
    <w:p w14:paraId="4CBB1AE7" w14:textId="0F0F0C78" w:rsidR="00936A85" w:rsidRPr="009A2E44" w:rsidRDefault="00F6458D" w:rsidP="001C47D3">
      <w:pPr>
        <w:spacing w:line="480" w:lineRule="auto"/>
        <w:ind w:firstLine="720"/>
        <w:rPr>
          <w:rFonts w:ascii="Garamond" w:hAnsi="Garamond"/>
          <w:iCs/>
          <w:color w:val="000000" w:themeColor="text1"/>
        </w:rPr>
      </w:pPr>
      <w:r w:rsidRPr="009A2E44">
        <w:rPr>
          <w:rFonts w:ascii="Garamond" w:hAnsi="Garamond"/>
        </w:rPr>
        <w:t xml:space="preserve">Water samples from </w:t>
      </w:r>
      <w:r w:rsidR="00100AC9" w:rsidRPr="009A2E44">
        <w:rPr>
          <w:rFonts w:ascii="Garamond" w:hAnsi="Garamond"/>
        </w:rPr>
        <w:t xml:space="preserve">6 depths in Lac Lalolalo were </w:t>
      </w:r>
      <w:r w:rsidR="00E80299" w:rsidRPr="009A2E44">
        <w:rPr>
          <w:rFonts w:ascii="Garamond" w:hAnsi="Garamond"/>
        </w:rPr>
        <w:t xml:space="preserve">thawed, filtered to remove precipitates, and </w:t>
      </w:r>
      <w:r w:rsidR="00100AC9" w:rsidRPr="009A2E44">
        <w:rPr>
          <w:rFonts w:ascii="Garamond" w:hAnsi="Garamond"/>
        </w:rPr>
        <w:t>analyzed for dissolved inorganic nutrients, fluorine, and chlorine using ion chromatography (</w:t>
      </w:r>
      <w:proofErr w:type="spellStart"/>
      <w:r w:rsidR="00100AC9" w:rsidRPr="009A2E44">
        <w:rPr>
          <w:rFonts w:ascii="Garamond" w:hAnsi="Garamond"/>
        </w:rPr>
        <w:t>Dionex</w:t>
      </w:r>
      <w:proofErr w:type="spellEnd"/>
      <w:r w:rsidR="00100AC9" w:rsidRPr="009A2E44">
        <w:rPr>
          <w:rFonts w:ascii="Garamond" w:hAnsi="Garamond"/>
        </w:rPr>
        <w:t xml:space="preserve"> DX120)</w:t>
      </w:r>
      <w:r w:rsidR="00BF1C62" w:rsidRPr="009A2E44">
        <w:rPr>
          <w:rFonts w:ascii="Garamond" w:hAnsi="Garamond"/>
        </w:rPr>
        <w:t xml:space="preserve">; </w:t>
      </w:r>
      <w:r w:rsidR="00100AC9" w:rsidRPr="009A2E44">
        <w:rPr>
          <w:rFonts w:ascii="Garamond" w:hAnsi="Garamond"/>
        </w:rPr>
        <w:t>for trace metals using Inductively Coupled Argon Plasma Mass Spectrometry (Thermo Scientific 61E ICP-MS)</w:t>
      </w:r>
      <w:r w:rsidR="00BF1C62" w:rsidRPr="009A2E44">
        <w:rPr>
          <w:rFonts w:ascii="Garamond" w:hAnsi="Garamond"/>
        </w:rPr>
        <w:t xml:space="preserve">, and carbonate chemistry with a Radiometer Copenhagen PHM85 Precision pH meter equipped with a ABU80 </w:t>
      </w:r>
      <w:proofErr w:type="spellStart"/>
      <w:r w:rsidR="00BF1C62" w:rsidRPr="009A2E44">
        <w:rPr>
          <w:rFonts w:ascii="Garamond" w:hAnsi="Garamond"/>
        </w:rPr>
        <w:t>AutoBurette</w:t>
      </w:r>
      <w:proofErr w:type="spellEnd"/>
      <w:r w:rsidR="00BF1C62" w:rsidRPr="009A2E44">
        <w:rPr>
          <w:rFonts w:ascii="Garamond" w:hAnsi="Garamond"/>
        </w:rPr>
        <w:t xml:space="preserve"> for titration by 0.02</w:t>
      </w:r>
      <w:r w:rsidR="009B1CD2" w:rsidRPr="009A2E44">
        <w:rPr>
          <w:rFonts w:ascii="Garamond" w:hAnsi="Garamond"/>
        </w:rPr>
        <w:t xml:space="preserve"> </w:t>
      </w:r>
      <w:r w:rsidR="00BF1C62" w:rsidRPr="009A2E44">
        <w:rPr>
          <w:rFonts w:ascii="Garamond" w:hAnsi="Garamond"/>
        </w:rPr>
        <w:t>M H</w:t>
      </w:r>
      <w:r w:rsidR="00BF1C62" w:rsidRPr="009A2E44">
        <w:rPr>
          <w:rFonts w:ascii="Garamond" w:hAnsi="Garamond"/>
          <w:vertAlign w:val="subscript"/>
        </w:rPr>
        <w:t>2</w:t>
      </w:r>
      <w:r w:rsidR="00BF1C62" w:rsidRPr="009A2E44">
        <w:rPr>
          <w:rFonts w:ascii="Garamond" w:hAnsi="Garamond"/>
        </w:rPr>
        <w:t>SO</w:t>
      </w:r>
      <w:r w:rsidR="00BF1C62" w:rsidRPr="009A2E44">
        <w:rPr>
          <w:rFonts w:ascii="Garamond" w:hAnsi="Garamond"/>
          <w:vertAlign w:val="subscript"/>
        </w:rPr>
        <w:t>4</w:t>
      </w:r>
      <w:r w:rsidR="00BF1C62" w:rsidRPr="009A2E44">
        <w:rPr>
          <w:rFonts w:ascii="Garamond" w:hAnsi="Garamond"/>
        </w:rPr>
        <w:t xml:space="preserve"> </w:t>
      </w:r>
      <w:r w:rsidR="00100AC9" w:rsidRPr="009A2E44">
        <w:rPr>
          <w:rFonts w:ascii="Garamond" w:hAnsi="Garamond"/>
        </w:rPr>
        <w:t xml:space="preserve">at the University of Washington School of Forestry Analytical Services Center. </w:t>
      </w:r>
    </w:p>
    <w:p w14:paraId="38E657B7" w14:textId="0E9CB001" w:rsidR="00F94A6C" w:rsidRPr="009A2E44" w:rsidRDefault="00F94A6C" w:rsidP="001C47D3">
      <w:pPr>
        <w:tabs>
          <w:tab w:val="left" w:pos="1315"/>
        </w:tabs>
        <w:spacing w:line="480" w:lineRule="auto"/>
        <w:rPr>
          <w:rFonts w:ascii="Garamond" w:hAnsi="Garamond"/>
          <w:b/>
        </w:rPr>
      </w:pPr>
    </w:p>
    <w:p w14:paraId="19620C15" w14:textId="1B7C6D98" w:rsidR="006219EE" w:rsidRPr="009A2E44" w:rsidRDefault="00CF5E94" w:rsidP="001C47D3">
      <w:pPr>
        <w:spacing w:line="480" w:lineRule="auto"/>
        <w:rPr>
          <w:rFonts w:ascii="Garamond" w:hAnsi="Garamond"/>
          <w:noProof/>
        </w:rPr>
      </w:pPr>
      <w:r w:rsidRPr="009A2E44">
        <w:rPr>
          <w:rFonts w:ascii="Garamond" w:hAnsi="Garamond"/>
          <w:b/>
        </w:rPr>
        <w:t xml:space="preserve">4. </w:t>
      </w:r>
      <w:r w:rsidR="00127179" w:rsidRPr="009A2E44">
        <w:rPr>
          <w:rFonts w:ascii="Garamond" w:hAnsi="Garamond"/>
          <w:b/>
        </w:rPr>
        <w:t>R</w:t>
      </w:r>
      <w:r w:rsidR="000A14B6" w:rsidRPr="009A2E44">
        <w:rPr>
          <w:rFonts w:ascii="Garamond" w:hAnsi="Garamond"/>
          <w:b/>
        </w:rPr>
        <w:t>esults</w:t>
      </w:r>
      <w:r w:rsidR="002A7603" w:rsidRPr="009A2E44">
        <w:rPr>
          <w:rFonts w:ascii="Garamond" w:hAnsi="Garamond"/>
          <w:noProof/>
        </w:rPr>
        <w:t xml:space="preserve"> </w:t>
      </w:r>
    </w:p>
    <w:p w14:paraId="4255F25B" w14:textId="07A196E9" w:rsidR="00795207" w:rsidRPr="009A2E44" w:rsidRDefault="00795207" w:rsidP="001C47D3">
      <w:pPr>
        <w:spacing w:line="480" w:lineRule="auto"/>
        <w:rPr>
          <w:rFonts w:ascii="Garamond" w:hAnsi="Garamond"/>
          <w:i/>
        </w:rPr>
      </w:pPr>
      <w:r w:rsidRPr="009A2E44">
        <w:rPr>
          <w:rFonts w:ascii="Garamond" w:hAnsi="Garamond"/>
          <w:i/>
        </w:rPr>
        <w:t>4.</w:t>
      </w:r>
      <w:r w:rsidR="003E0061" w:rsidRPr="009A2E44">
        <w:rPr>
          <w:rFonts w:ascii="Garamond" w:hAnsi="Garamond"/>
          <w:i/>
        </w:rPr>
        <w:t>1</w:t>
      </w:r>
      <w:r w:rsidR="00CA250B" w:rsidRPr="009A2E44">
        <w:rPr>
          <w:rFonts w:ascii="Garamond" w:hAnsi="Garamond"/>
          <w:i/>
        </w:rPr>
        <w:t>.</w:t>
      </w:r>
      <w:r w:rsidRPr="009A2E44">
        <w:rPr>
          <w:rFonts w:ascii="Garamond" w:hAnsi="Garamond"/>
          <w:i/>
        </w:rPr>
        <w:t xml:space="preserve"> Sediment age </w:t>
      </w:r>
    </w:p>
    <w:p w14:paraId="2B2B6B10" w14:textId="7B4B30A9" w:rsidR="00F40680" w:rsidRPr="009A2E44" w:rsidRDefault="00795207" w:rsidP="001C47D3">
      <w:pPr>
        <w:spacing w:line="480" w:lineRule="auto"/>
        <w:ind w:firstLine="720"/>
        <w:rPr>
          <w:rFonts w:ascii="Garamond" w:hAnsi="Garamond"/>
        </w:rPr>
      </w:pPr>
      <w:r w:rsidRPr="009A2E44">
        <w:rPr>
          <w:rFonts w:ascii="Garamond" w:hAnsi="Garamond"/>
        </w:rPr>
        <w:t>Age models (</w:t>
      </w:r>
      <w:r w:rsidR="00F015A5" w:rsidRPr="009A2E44">
        <w:rPr>
          <w:rFonts w:ascii="Garamond" w:hAnsi="Garamond"/>
          <w:b/>
        </w:rPr>
        <w:t xml:space="preserve">Table </w:t>
      </w:r>
      <w:r w:rsidR="008E1D5F" w:rsidRPr="009A2E44">
        <w:rPr>
          <w:rFonts w:ascii="Garamond" w:hAnsi="Garamond"/>
          <w:b/>
        </w:rPr>
        <w:t>B.</w:t>
      </w:r>
      <w:r w:rsidR="00D8744D" w:rsidRPr="009A2E44">
        <w:rPr>
          <w:rFonts w:ascii="Garamond" w:hAnsi="Garamond"/>
          <w:b/>
        </w:rPr>
        <w:t>1</w:t>
      </w:r>
      <w:r w:rsidRPr="009A2E44">
        <w:rPr>
          <w:rFonts w:ascii="Garamond" w:hAnsi="Garamond"/>
        </w:rPr>
        <w:t xml:space="preserve">) reveal </w:t>
      </w:r>
      <w:r w:rsidR="00C3561D" w:rsidRPr="009A2E44">
        <w:rPr>
          <w:rFonts w:ascii="Garamond" w:hAnsi="Garamond"/>
        </w:rPr>
        <w:t xml:space="preserve">that </w:t>
      </w:r>
      <w:r w:rsidRPr="009A2E44">
        <w:rPr>
          <w:rFonts w:ascii="Garamond" w:hAnsi="Garamond"/>
        </w:rPr>
        <w:t>sediment</w:t>
      </w:r>
      <w:r w:rsidR="00F015A5" w:rsidRPr="009A2E44">
        <w:rPr>
          <w:rFonts w:ascii="Garamond" w:hAnsi="Garamond"/>
        </w:rPr>
        <w:t xml:space="preserve"> from </w:t>
      </w:r>
      <w:r w:rsidR="00E42D96" w:rsidRPr="009A2E44">
        <w:rPr>
          <w:rFonts w:ascii="Garamond" w:hAnsi="Garamond"/>
        </w:rPr>
        <w:t xml:space="preserve">Lac Lalolalo </w:t>
      </w:r>
      <w:r w:rsidRPr="009A2E44">
        <w:rPr>
          <w:rFonts w:ascii="Garamond" w:hAnsi="Garamond"/>
        </w:rPr>
        <w:t xml:space="preserve">core LALOUC14 extends back to ~166 </w:t>
      </w:r>
      <w:r w:rsidR="001C520B" w:rsidRPr="009A2E44">
        <w:rPr>
          <w:rFonts w:ascii="Garamond" w:hAnsi="Garamond"/>
        </w:rPr>
        <w:t>B</w:t>
      </w:r>
      <w:r w:rsidRPr="009A2E44">
        <w:rPr>
          <w:rFonts w:ascii="Garamond" w:hAnsi="Garamond"/>
        </w:rPr>
        <w:t>CE</w:t>
      </w:r>
      <w:r w:rsidR="00826234" w:rsidRPr="009A2E44">
        <w:rPr>
          <w:rFonts w:ascii="Garamond" w:hAnsi="Garamond"/>
        </w:rPr>
        <w:t>,</w:t>
      </w:r>
      <w:r w:rsidR="00C3561D" w:rsidRPr="009A2E44">
        <w:rPr>
          <w:rFonts w:ascii="Garamond" w:hAnsi="Garamond"/>
        </w:rPr>
        <w:t xml:space="preserve"> with</w:t>
      </w:r>
      <w:r w:rsidR="00826234" w:rsidRPr="009A2E44">
        <w:rPr>
          <w:rFonts w:ascii="Garamond" w:hAnsi="Garamond"/>
        </w:rPr>
        <w:t xml:space="preserve"> t</w:t>
      </w:r>
      <w:r w:rsidR="00D95571" w:rsidRPr="009A2E44">
        <w:rPr>
          <w:rFonts w:ascii="Garamond" w:hAnsi="Garamond"/>
        </w:rPr>
        <w:t xml:space="preserve">hree of nine </w:t>
      </w:r>
      <w:r w:rsidR="00D95571" w:rsidRPr="009A2E44">
        <w:rPr>
          <w:rFonts w:ascii="Garamond" w:hAnsi="Garamond"/>
          <w:vertAlign w:val="superscript"/>
        </w:rPr>
        <w:t>14</w:t>
      </w:r>
      <w:r w:rsidR="00D95571" w:rsidRPr="009A2E44">
        <w:rPr>
          <w:rFonts w:ascii="Garamond" w:hAnsi="Garamond"/>
        </w:rPr>
        <w:t xml:space="preserve">C dates in core LALOUC14 </w:t>
      </w:r>
      <w:r w:rsidR="00264D65" w:rsidRPr="009A2E44">
        <w:rPr>
          <w:rFonts w:ascii="Garamond" w:hAnsi="Garamond"/>
        </w:rPr>
        <w:t xml:space="preserve">determined to be </w:t>
      </w:r>
      <w:r w:rsidR="00D95571" w:rsidRPr="009A2E44">
        <w:rPr>
          <w:rFonts w:ascii="Garamond" w:hAnsi="Garamond"/>
        </w:rPr>
        <w:t>outliers</w:t>
      </w:r>
      <w:r w:rsidR="00C3561D" w:rsidRPr="009A2E44">
        <w:rPr>
          <w:rFonts w:ascii="Garamond" w:hAnsi="Garamond"/>
        </w:rPr>
        <w:t xml:space="preserve">, likely due to </w:t>
      </w:r>
      <w:r w:rsidR="004336B4" w:rsidRPr="009A2E44">
        <w:rPr>
          <w:rFonts w:ascii="Garamond" w:hAnsi="Garamond"/>
        </w:rPr>
        <w:t>contributions of pre-aged terrestrial material</w:t>
      </w:r>
      <w:r w:rsidR="00D95571" w:rsidRPr="009A2E44">
        <w:rPr>
          <w:rFonts w:ascii="Garamond" w:hAnsi="Garamond"/>
        </w:rPr>
        <w:t xml:space="preserve">. </w:t>
      </w:r>
      <w:r w:rsidR="00034A1E" w:rsidRPr="009A2E44">
        <w:rPr>
          <w:rFonts w:ascii="Garamond" w:hAnsi="Garamond"/>
        </w:rPr>
        <w:t xml:space="preserve">Core LALOUC13 had a chronologically harmonious age model with eight </w:t>
      </w:r>
      <w:r w:rsidR="00034A1E" w:rsidRPr="009A2E44">
        <w:rPr>
          <w:rFonts w:ascii="Garamond" w:hAnsi="Garamond"/>
          <w:vertAlign w:val="superscript"/>
        </w:rPr>
        <w:t>14</w:t>
      </w:r>
      <w:r w:rsidR="00034A1E" w:rsidRPr="009A2E44">
        <w:rPr>
          <w:rFonts w:ascii="Garamond" w:hAnsi="Garamond"/>
        </w:rPr>
        <w:t xml:space="preserve">C dates. </w:t>
      </w:r>
      <w:r w:rsidR="00826234" w:rsidRPr="009A2E44">
        <w:rPr>
          <w:rFonts w:ascii="Garamond" w:hAnsi="Garamond"/>
        </w:rPr>
        <w:t xml:space="preserve">The Lac Lalolalo shallow water cores had </w:t>
      </w:r>
      <w:r w:rsidR="008E1D5F" w:rsidRPr="009A2E44">
        <w:rPr>
          <w:rFonts w:ascii="Garamond" w:hAnsi="Garamond"/>
        </w:rPr>
        <w:t>four</w:t>
      </w:r>
      <w:r w:rsidR="00826234" w:rsidRPr="009A2E44">
        <w:rPr>
          <w:rFonts w:ascii="Garamond" w:hAnsi="Garamond"/>
        </w:rPr>
        <w:t xml:space="preserve"> to </w:t>
      </w:r>
      <w:r w:rsidR="008E1D5F" w:rsidRPr="009A2E44">
        <w:rPr>
          <w:rFonts w:ascii="Garamond" w:hAnsi="Garamond"/>
        </w:rPr>
        <w:t>seven</w:t>
      </w:r>
      <w:r w:rsidR="00826234" w:rsidRPr="009A2E44">
        <w:rPr>
          <w:rFonts w:ascii="Garamond" w:hAnsi="Garamond"/>
        </w:rPr>
        <w:t xml:space="preserve"> </w:t>
      </w:r>
      <w:r w:rsidR="00826234" w:rsidRPr="009A2E44">
        <w:rPr>
          <w:rFonts w:ascii="Garamond" w:hAnsi="Garamond"/>
          <w:vertAlign w:val="superscript"/>
        </w:rPr>
        <w:t>210</w:t>
      </w:r>
      <w:r w:rsidR="00826234" w:rsidRPr="009A2E44">
        <w:rPr>
          <w:rFonts w:ascii="Garamond" w:hAnsi="Garamond"/>
        </w:rPr>
        <w:t xml:space="preserve">Pb samples and </w:t>
      </w:r>
      <w:r w:rsidR="008E1D5F" w:rsidRPr="009A2E44">
        <w:rPr>
          <w:rFonts w:ascii="Garamond" w:hAnsi="Garamond"/>
        </w:rPr>
        <w:t>one</w:t>
      </w:r>
      <w:r w:rsidR="00826234" w:rsidRPr="009A2E44">
        <w:rPr>
          <w:rFonts w:ascii="Garamond" w:hAnsi="Garamond"/>
        </w:rPr>
        <w:t xml:space="preserve"> to </w:t>
      </w:r>
      <w:r w:rsidR="008E1D5F" w:rsidRPr="009A2E44">
        <w:rPr>
          <w:rFonts w:ascii="Garamond" w:hAnsi="Garamond"/>
        </w:rPr>
        <w:t>two</w:t>
      </w:r>
      <w:r w:rsidR="00826234" w:rsidRPr="009A2E44">
        <w:rPr>
          <w:rFonts w:ascii="Garamond" w:hAnsi="Garamond"/>
        </w:rPr>
        <w:t xml:space="preserve"> modern </w:t>
      </w:r>
      <w:r w:rsidR="00826234" w:rsidRPr="009A2E44">
        <w:rPr>
          <w:rFonts w:ascii="Garamond" w:hAnsi="Garamond"/>
          <w:vertAlign w:val="superscript"/>
        </w:rPr>
        <w:t>14</w:t>
      </w:r>
      <w:r w:rsidR="00826234" w:rsidRPr="009A2E44">
        <w:rPr>
          <w:rFonts w:ascii="Garamond" w:hAnsi="Garamond"/>
        </w:rPr>
        <w:t xml:space="preserve">C dates. </w:t>
      </w:r>
      <w:r w:rsidR="0066741A">
        <w:rPr>
          <w:rFonts w:ascii="Garamond" w:hAnsi="Garamond"/>
        </w:rPr>
        <w:t>Co</w:t>
      </w:r>
      <w:r w:rsidR="00AE173C" w:rsidRPr="009A2E44">
        <w:rPr>
          <w:rFonts w:ascii="Garamond" w:hAnsi="Garamond"/>
        </w:rPr>
        <w:t>re top</w:t>
      </w:r>
      <w:r w:rsidR="00C3561D" w:rsidRPr="009A2E44">
        <w:rPr>
          <w:rFonts w:ascii="Garamond" w:hAnsi="Garamond"/>
        </w:rPr>
        <w:t xml:space="preserve"> mixing </w:t>
      </w:r>
      <w:r w:rsidR="00805861" w:rsidRPr="009A2E44">
        <w:rPr>
          <w:rFonts w:ascii="Garamond" w:hAnsi="Garamond"/>
        </w:rPr>
        <w:t>observed</w:t>
      </w:r>
      <w:r w:rsidR="00C3561D" w:rsidRPr="009A2E44">
        <w:rPr>
          <w:rFonts w:ascii="Garamond" w:hAnsi="Garamond"/>
        </w:rPr>
        <w:t xml:space="preserve"> </w:t>
      </w:r>
      <w:r w:rsidR="00805861" w:rsidRPr="009A2E44">
        <w:rPr>
          <w:rFonts w:ascii="Garamond" w:hAnsi="Garamond"/>
        </w:rPr>
        <w:t xml:space="preserve">in </w:t>
      </w:r>
      <w:r w:rsidR="0066741A">
        <w:rPr>
          <w:rFonts w:ascii="Garamond" w:hAnsi="Garamond"/>
        </w:rPr>
        <w:t xml:space="preserve">the </w:t>
      </w:r>
      <w:r w:rsidR="0099656F" w:rsidRPr="009A2E44">
        <w:rPr>
          <w:rFonts w:ascii="Garamond" w:hAnsi="Garamond"/>
        </w:rPr>
        <w:t xml:space="preserve">LALOUC13 </w:t>
      </w:r>
      <w:r w:rsidR="00805861" w:rsidRPr="009A2E44">
        <w:rPr>
          <w:rFonts w:ascii="Garamond" w:hAnsi="Garamond"/>
        </w:rPr>
        <w:t>0</w:t>
      </w:r>
      <w:r w:rsidR="0099656F" w:rsidRPr="009A2E44">
        <w:rPr>
          <w:rFonts w:ascii="Garamond" w:hAnsi="Garamond"/>
        </w:rPr>
        <w:t xml:space="preserve"> </w:t>
      </w:r>
      <w:r w:rsidR="0099656F" w:rsidRPr="009A2E44">
        <w:rPr>
          <w:rFonts w:ascii="Garamond" w:hAnsi="Garamond"/>
          <w:color w:val="202020"/>
          <w:shd w:val="clear" w:color="auto" w:fill="FFFFFF"/>
        </w:rPr>
        <w:t xml:space="preserve">− </w:t>
      </w:r>
      <w:r w:rsidR="00805861" w:rsidRPr="009A2E44">
        <w:rPr>
          <w:rFonts w:ascii="Garamond" w:hAnsi="Garamond"/>
        </w:rPr>
        <w:t xml:space="preserve">20 cm </w:t>
      </w:r>
      <w:r w:rsidR="0099656F">
        <w:rPr>
          <w:rFonts w:ascii="Garamond" w:hAnsi="Garamond"/>
        </w:rPr>
        <w:t>sample</w:t>
      </w:r>
      <w:r w:rsidR="00805861" w:rsidRPr="009A2E44">
        <w:rPr>
          <w:rFonts w:ascii="Garamond" w:hAnsi="Garamond"/>
        </w:rPr>
        <w:t xml:space="preserve"> (approximately 1828 to 2011 CE) and </w:t>
      </w:r>
      <w:r w:rsidR="0099656F" w:rsidRPr="009A2E44">
        <w:rPr>
          <w:rFonts w:ascii="Garamond" w:hAnsi="Garamond"/>
        </w:rPr>
        <w:t>LALOUC14</w:t>
      </w:r>
      <w:r w:rsidR="0099656F">
        <w:rPr>
          <w:rFonts w:ascii="Garamond" w:hAnsi="Garamond"/>
        </w:rPr>
        <w:t xml:space="preserve"> </w:t>
      </w:r>
      <w:r w:rsidR="00805861" w:rsidRPr="009A2E44">
        <w:rPr>
          <w:rFonts w:ascii="Garamond" w:hAnsi="Garamond"/>
        </w:rPr>
        <w:t>0</w:t>
      </w:r>
      <w:r w:rsidR="0099656F" w:rsidRPr="009A2E44">
        <w:rPr>
          <w:rFonts w:ascii="Garamond" w:hAnsi="Garamond"/>
        </w:rPr>
        <w:t xml:space="preserve"> </w:t>
      </w:r>
      <w:r w:rsidR="0099656F" w:rsidRPr="009A2E44">
        <w:rPr>
          <w:rFonts w:ascii="Garamond" w:hAnsi="Garamond"/>
          <w:color w:val="202020"/>
          <w:shd w:val="clear" w:color="auto" w:fill="FFFFFF"/>
        </w:rPr>
        <w:t xml:space="preserve">− </w:t>
      </w:r>
      <w:r w:rsidR="00805861" w:rsidRPr="009A2E44">
        <w:rPr>
          <w:rFonts w:ascii="Garamond" w:hAnsi="Garamond"/>
        </w:rPr>
        <w:t xml:space="preserve">15 cm </w:t>
      </w:r>
      <w:r w:rsidR="0099656F">
        <w:rPr>
          <w:rFonts w:ascii="Garamond" w:hAnsi="Garamond"/>
        </w:rPr>
        <w:t>sample</w:t>
      </w:r>
      <w:r w:rsidR="00805861" w:rsidRPr="009A2E44">
        <w:rPr>
          <w:rFonts w:ascii="Garamond" w:hAnsi="Garamond"/>
        </w:rPr>
        <w:t xml:space="preserve"> (approximately 1565 to 2011 CE) </w:t>
      </w:r>
      <w:r w:rsidR="0099656F">
        <w:rPr>
          <w:rFonts w:ascii="Garamond" w:hAnsi="Garamond"/>
        </w:rPr>
        <w:t xml:space="preserve">precluded meaningful </w:t>
      </w:r>
      <w:r w:rsidR="0099656F" w:rsidRPr="009A2E44">
        <w:rPr>
          <w:rFonts w:ascii="Garamond" w:hAnsi="Garamond"/>
          <w:vertAlign w:val="superscript"/>
        </w:rPr>
        <w:t>210</w:t>
      </w:r>
      <w:r w:rsidR="0099656F" w:rsidRPr="009A2E44">
        <w:rPr>
          <w:rFonts w:ascii="Garamond" w:hAnsi="Garamond"/>
        </w:rPr>
        <w:t>Pb analysis</w:t>
      </w:r>
      <w:r w:rsidR="0099656F">
        <w:rPr>
          <w:rFonts w:ascii="Garamond" w:hAnsi="Garamond"/>
        </w:rPr>
        <w:t xml:space="preserve"> in these cores</w:t>
      </w:r>
      <w:r w:rsidR="00AE173C" w:rsidRPr="009A2E44">
        <w:rPr>
          <w:rFonts w:ascii="Garamond" w:hAnsi="Garamond"/>
        </w:rPr>
        <w:t xml:space="preserve">. </w:t>
      </w:r>
      <w:r w:rsidR="00D86144" w:rsidRPr="009A2E44">
        <w:rPr>
          <w:rFonts w:ascii="Garamond" w:hAnsi="Garamond"/>
        </w:rPr>
        <w:t xml:space="preserve">Lac Lanutavake cores (LATVKUC1, LATVKUC4) did not have enough material for </w:t>
      </w:r>
      <w:r w:rsidR="00D86144" w:rsidRPr="009A2E44">
        <w:rPr>
          <w:rFonts w:ascii="Garamond" w:hAnsi="Garamond"/>
          <w:vertAlign w:val="superscript"/>
        </w:rPr>
        <w:t>210</w:t>
      </w:r>
      <w:r w:rsidR="00D86144" w:rsidRPr="009A2E44">
        <w:rPr>
          <w:rFonts w:ascii="Garamond" w:hAnsi="Garamond"/>
        </w:rPr>
        <w:t>Pb analysis</w:t>
      </w:r>
      <w:r w:rsidR="00D86144">
        <w:rPr>
          <w:rFonts w:ascii="Garamond" w:hAnsi="Garamond"/>
        </w:rPr>
        <w:t xml:space="preserve">. </w:t>
      </w:r>
      <w:r w:rsidR="00826234" w:rsidRPr="009A2E44">
        <w:rPr>
          <w:rFonts w:ascii="Garamond" w:hAnsi="Garamond"/>
        </w:rPr>
        <w:t>S</w:t>
      </w:r>
      <w:r w:rsidRPr="009A2E44">
        <w:rPr>
          <w:rFonts w:ascii="Garamond" w:hAnsi="Garamond"/>
        </w:rPr>
        <w:t xml:space="preserve">ediment cores collected from Lac </w:t>
      </w:r>
      <w:r w:rsidR="00E611AE" w:rsidRPr="009A2E44">
        <w:rPr>
          <w:rFonts w:ascii="Garamond" w:hAnsi="Garamond"/>
        </w:rPr>
        <w:t>Lanutavake</w:t>
      </w:r>
      <w:r w:rsidRPr="009A2E44">
        <w:rPr>
          <w:rFonts w:ascii="Garamond" w:hAnsi="Garamond"/>
        </w:rPr>
        <w:t xml:space="preserve"> had laminations of tan and brown sediment interspersed with thick layers of dark algal gytt</w:t>
      </w:r>
      <w:r w:rsidR="00E611AE" w:rsidRPr="009A2E44">
        <w:rPr>
          <w:rFonts w:ascii="Garamond" w:hAnsi="Garamond"/>
        </w:rPr>
        <w:t>j</w:t>
      </w:r>
      <w:r w:rsidRPr="009A2E44">
        <w:rPr>
          <w:rFonts w:ascii="Garamond" w:hAnsi="Garamond"/>
        </w:rPr>
        <w:t xml:space="preserve">a; similarities in color </w:t>
      </w:r>
      <w:r w:rsidR="00DB3F08" w:rsidRPr="009A2E44">
        <w:rPr>
          <w:rFonts w:ascii="Garamond" w:hAnsi="Garamond"/>
        </w:rPr>
        <w:t xml:space="preserve">and excellent similarity between the </w:t>
      </w:r>
      <w:r w:rsidR="00F076AC" w:rsidRPr="009A2E44">
        <w:rPr>
          <w:rFonts w:ascii="Garamond" w:hAnsi="Garamond"/>
        </w:rPr>
        <w:t>magnetic susceptibility</w:t>
      </w:r>
      <w:r w:rsidR="00DB3F08" w:rsidRPr="009A2E44">
        <w:rPr>
          <w:rFonts w:ascii="Garamond" w:hAnsi="Garamond"/>
        </w:rPr>
        <w:t xml:space="preserve"> records in Lac Lanutavake cores allowed them to be visually aligned so that </w:t>
      </w:r>
      <w:r w:rsidR="00DB3F08" w:rsidRPr="009A2E44">
        <w:rPr>
          <w:rFonts w:ascii="Garamond" w:hAnsi="Garamond"/>
          <w:vertAlign w:val="superscript"/>
        </w:rPr>
        <w:t>14</w:t>
      </w:r>
      <w:r w:rsidR="00DB3F08" w:rsidRPr="009A2E44">
        <w:rPr>
          <w:rFonts w:ascii="Garamond" w:hAnsi="Garamond"/>
        </w:rPr>
        <w:t>C dates could be used from both cores to create a single composite age model (</w:t>
      </w:r>
      <w:r w:rsidR="008E1D5F" w:rsidRPr="009A2E44">
        <w:rPr>
          <w:rFonts w:ascii="Garamond" w:hAnsi="Garamond"/>
          <w:b/>
        </w:rPr>
        <w:t>Fig</w:t>
      </w:r>
      <w:r w:rsidR="001A04DF" w:rsidRPr="009A2E44">
        <w:rPr>
          <w:rFonts w:ascii="Garamond" w:hAnsi="Garamond"/>
          <w:b/>
        </w:rPr>
        <w:t>.</w:t>
      </w:r>
      <w:r w:rsidR="008E1D5F" w:rsidRPr="009A2E44">
        <w:rPr>
          <w:rFonts w:ascii="Garamond" w:hAnsi="Garamond"/>
          <w:b/>
        </w:rPr>
        <w:t xml:space="preserve"> A.5</w:t>
      </w:r>
      <w:r w:rsidR="00DB3F08" w:rsidRPr="009A2E44">
        <w:rPr>
          <w:rFonts w:ascii="Garamond" w:hAnsi="Garamond"/>
        </w:rPr>
        <w:t>)</w:t>
      </w:r>
      <w:r w:rsidRPr="009A2E44">
        <w:rPr>
          <w:rFonts w:ascii="Garamond" w:hAnsi="Garamond"/>
        </w:rPr>
        <w:t xml:space="preserve">. Using </w:t>
      </w:r>
      <w:r w:rsidR="00D0290B">
        <w:rPr>
          <w:rFonts w:ascii="Garamond" w:hAnsi="Garamond"/>
        </w:rPr>
        <w:t>a</w:t>
      </w:r>
      <w:r w:rsidR="00D0290B" w:rsidRPr="009A2E44">
        <w:rPr>
          <w:rFonts w:ascii="Garamond" w:hAnsi="Garamond"/>
        </w:rPr>
        <w:t xml:space="preserve"> </w:t>
      </w:r>
      <w:r w:rsidRPr="009A2E44">
        <w:rPr>
          <w:rFonts w:ascii="Garamond" w:hAnsi="Garamond"/>
        </w:rPr>
        <w:lastRenderedPageBreak/>
        <w:t xml:space="preserve">modified depth scale of LATCKUC1, a total of </w:t>
      </w:r>
      <w:r w:rsidR="008E1D5F" w:rsidRPr="009A2E44">
        <w:rPr>
          <w:rFonts w:ascii="Garamond" w:hAnsi="Garamond"/>
        </w:rPr>
        <w:t>ten</w:t>
      </w:r>
      <w:r w:rsidRPr="009A2E44">
        <w:rPr>
          <w:rFonts w:ascii="Garamond" w:hAnsi="Garamond"/>
        </w:rPr>
        <w:t xml:space="preserve"> </w:t>
      </w:r>
      <w:r w:rsidRPr="009A2E44">
        <w:rPr>
          <w:rFonts w:ascii="Garamond" w:hAnsi="Garamond"/>
          <w:vertAlign w:val="superscript"/>
        </w:rPr>
        <w:t>14</w:t>
      </w:r>
      <w:r w:rsidRPr="009A2E44">
        <w:rPr>
          <w:rFonts w:ascii="Garamond" w:hAnsi="Garamond"/>
        </w:rPr>
        <w:t xml:space="preserve">C dates were used to create a single BACON age model </w:t>
      </w:r>
      <w:r w:rsidR="006E514B">
        <w:rPr>
          <w:rFonts w:ascii="Garamond" w:hAnsi="Garamond"/>
        </w:rPr>
        <w:t>applied to</w:t>
      </w:r>
      <w:r w:rsidR="006E514B" w:rsidRPr="009A2E44">
        <w:rPr>
          <w:rFonts w:ascii="Garamond" w:hAnsi="Garamond"/>
        </w:rPr>
        <w:t xml:space="preserve"> </w:t>
      </w:r>
      <w:r w:rsidRPr="009A2E44">
        <w:rPr>
          <w:rFonts w:ascii="Garamond" w:hAnsi="Garamond"/>
        </w:rPr>
        <w:t>both cores.</w:t>
      </w:r>
      <w:r w:rsidR="009B1CD2" w:rsidRPr="009A2E44">
        <w:rPr>
          <w:rFonts w:ascii="Garamond" w:hAnsi="Garamond"/>
        </w:rPr>
        <w:t xml:space="preserve"> The mean age uncertainty for all </w:t>
      </w:r>
      <w:r w:rsidR="009B1CD2" w:rsidRPr="009A2E44">
        <w:rPr>
          <w:rFonts w:ascii="Garamond" w:hAnsi="Garamond"/>
        </w:rPr>
        <w:sym w:font="Symbol" w:char="F064"/>
      </w:r>
      <w:r w:rsidR="009B1CD2" w:rsidRPr="009A2E44">
        <w:rPr>
          <w:rFonts w:ascii="Garamond" w:hAnsi="Garamond"/>
          <w:vertAlign w:val="superscript"/>
        </w:rPr>
        <w:t>2</w:t>
      </w:r>
      <w:r w:rsidR="009B1CD2" w:rsidRPr="009A2E44">
        <w:rPr>
          <w:rFonts w:ascii="Garamond" w:hAnsi="Garamond"/>
        </w:rPr>
        <w:t>H</w:t>
      </w:r>
      <w:r w:rsidR="009B1CD2" w:rsidRPr="009A2E44">
        <w:rPr>
          <w:rFonts w:ascii="Garamond" w:hAnsi="Garamond"/>
          <w:vertAlign w:val="subscript"/>
        </w:rPr>
        <w:t>dinosterol</w:t>
      </w:r>
      <w:r w:rsidR="009B1CD2" w:rsidRPr="009A2E44">
        <w:rPr>
          <w:rFonts w:ascii="Garamond" w:hAnsi="Garamond"/>
        </w:rPr>
        <w:t xml:space="preserve"> samples from Lac Lalolalo was </w:t>
      </w:r>
      <w:r w:rsidR="009B1CD2" w:rsidRPr="009A2E44">
        <w:rPr>
          <w:rFonts w:ascii="Garamond" w:hAnsi="Garamond"/>
        </w:rPr>
        <w:sym w:font="Symbol" w:char="F0B1"/>
      </w:r>
      <w:r w:rsidR="009B1CD2" w:rsidRPr="009A2E44">
        <w:rPr>
          <w:rFonts w:ascii="Garamond" w:hAnsi="Garamond"/>
        </w:rPr>
        <w:t xml:space="preserve"> 102 y</w:t>
      </w:r>
      <w:r w:rsidR="003E1AEA" w:rsidRPr="009A2E44">
        <w:rPr>
          <w:rFonts w:ascii="Garamond" w:hAnsi="Garamond"/>
        </w:rPr>
        <w:t>ea</w:t>
      </w:r>
      <w:r w:rsidR="009B1CD2" w:rsidRPr="009A2E44">
        <w:rPr>
          <w:rFonts w:ascii="Garamond" w:hAnsi="Garamond"/>
        </w:rPr>
        <w:t xml:space="preserve">rs and from Lac Lanutavake was </w:t>
      </w:r>
      <w:r w:rsidR="009B1CD2" w:rsidRPr="009A2E44">
        <w:rPr>
          <w:rFonts w:ascii="Garamond" w:hAnsi="Garamond"/>
        </w:rPr>
        <w:sym w:font="Symbol" w:char="F0B1"/>
      </w:r>
      <w:r w:rsidR="009B1CD2" w:rsidRPr="009A2E44">
        <w:rPr>
          <w:rFonts w:ascii="Garamond" w:hAnsi="Garamond"/>
        </w:rPr>
        <w:t xml:space="preserve"> 94 y</w:t>
      </w:r>
      <w:r w:rsidR="003E1AEA" w:rsidRPr="009A2E44">
        <w:rPr>
          <w:rFonts w:ascii="Garamond" w:hAnsi="Garamond"/>
        </w:rPr>
        <w:t>ea</w:t>
      </w:r>
      <w:r w:rsidR="009B1CD2" w:rsidRPr="009A2E44">
        <w:rPr>
          <w:rFonts w:ascii="Garamond" w:hAnsi="Garamond"/>
        </w:rPr>
        <w:t>rs.</w:t>
      </w:r>
    </w:p>
    <w:p w14:paraId="614B7D68" w14:textId="77777777" w:rsidR="009403A9" w:rsidRPr="009A2E44" w:rsidRDefault="009403A9" w:rsidP="001C47D3">
      <w:pPr>
        <w:spacing w:line="480" w:lineRule="auto"/>
        <w:rPr>
          <w:rFonts w:ascii="Garamond" w:hAnsi="Garamond"/>
          <w:i/>
        </w:rPr>
      </w:pPr>
    </w:p>
    <w:p w14:paraId="5BCA6958" w14:textId="75326DD6" w:rsidR="002A7603" w:rsidRPr="009A2E44" w:rsidRDefault="002A7603" w:rsidP="001C47D3">
      <w:pPr>
        <w:spacing w:line="480" w:lineRule="auto"/>
        <w:rPr>
          <w:rFonts w:ascii="Garamond" w:hAnsi="Garamond"/>
          <w:i/>
          <w:vertAlign w:val="subscript"/>
        </w:rPr>
      </w:pPr>
      <w:r w:rsidRPr="009A2E44">
        <w:rPr>
          <w:rFonts w:ascii="Garamond" w:hAnsi="Garamond"/>
          <w:i/>
        </w:rPr>
        <w:t>4</w:t>
      </w:r>
      <w:r w:rsidR="00C54613" w:rsidRPr="009A2E44">
        <w:rPr>
          <w:rFonts w:ascii="Garamond" w:hAnsi="Garamond"/>
          <w:i/>
        </w:rPr>
        <w:t>.</w:t>
      </w:r>
      <w:r w:rsidR="003E0061" w:rsidRPr="009A2E44">
        <w:rPr>
          <w:rFonts w:ascii="Garamond" w:hAnsi="Garamond"/>
          <w:i/>
        </w:rPr>
        <w:t>2</w:t>
      </w:r>
      <w:r w:rsidR="00CA250B" w:rsidRPr="009A2E44">
        <w:rPr>
          <w:rFonts w:ascii="Garamond" w:hAnsi="Garamond"/>
          <w:i/>
        </w:rPr>
        <w:t>.</w:t>
      </w:r>
      <w:r w:rsidRPr="009A2E44">
        <w:rPr>
          <w:rFonts w:ascii="Garamond" w:hAnsi="Garamond"/>
          <w:i/>
        </w:rPr>
        <w:t xml:space="preserve"> </w:t>
      </w:r>
      <w:r w:rsidR="0066314A" w:rsidRPr="009A2E44">
        <w:rPr>
          <w:rFonts w:ascii="Garamond" w:hAnsi="Garamond"/>
          <w:i/>
        </w:rPr>
        <w:t xml:space="preserve">Sedimentary </w:t>
      </w:r>
      <w:r w:rsidR="00AA2A73" w:rsidRPr="009A2E44">
        <w:rPr>
          <w:rFonts w:ascii="Garamond" w:hAnsi="Garamond"/>
          <w:i/>
        </w:rPr>
        <w:sym w:font="Symbol" w:char="F064"/>
      </w:r>
      <w:r w:rsidR="00AA2A73" w:rsidRPr="009A2E44">
        <w:rPr>
          <w:rFonts w:ascii="Garamond" w:hAnsi="Garamond"/>
          <w:i/>
          <w:vertAlign w:val="superscript"/>
        </w:rPr>
        <w:t>2</w:t>
      </w:r>
      <w:r w:rsidR="00AA2A73" w:rsidRPr="009A2E44">
        <w:rPr>
          <w:rFonts w:ascii="Garamond" w:hAnsi="Garamond"/>
          <w:i/>
        </w:rPr>
        <w:t>H</w:t>
      </w:r>
      <w:r w:rsidR="00AA2A73" w:rsidRPr="009A2E44">
        <w:rPr>
          <w:rFonts w:ascii="Garamond" w:hAnsi="Garamond"/>
          <w:i/>
          <w:vertAlign w:val="subscript"/>
        </w:rPr>
        <w:t>dinosterol</w:t>
      </w:r>
    </w:p>
    <w:p w14:paraId="69F6A751" w14:textId="22DBD29F" w:rsidR="00920171" w:rsidRPr="009A2E44" w:rsidRDefault="001A04DF" w:rsidP="001C47D3">
      <w:pPr>
        <w:pStyle w:val="CommentText"/>
        <w:spacing w:line="480" w:lineRule="auto"/>
        <w:ind w:firstLine="720"/>
        <w:rPr>
          <w:rFonts w:ascii="Garamond" w:hAnsi="Garamond"/>
        </w:rPr>
      </w:pPr>
      <w:r w:rsidRPr="009A2E44">
        <w:rPr>
          <w:rFonts w:ascii="Garamond" w:hAnsi="Garamond"/>
        </w:rPr>
        <w:t xml:space="preserve">All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data can be found in </w:t>
      </w:r>
      <w:r w:rsidRPr="009A2E44">
        <w:rPr>
          <w:rFonts w:ascii="Garamond" w:hAnsi="Garamond"/>
          <w:b/>
          <w:bCs/>
        </w:rPr>
        <w:t>Appendix B Tables B.3</w:t>
      </w:r>
      <w:r w:rsidR="00C90D9E" w:rsidRPr="009A2E44">
        <w:rPr>
          <w:rFonts w:ascii="Garamond" w:hAnsi="Garamond"/>
          <w:b/>
          <w:bCs/>
        </w:rPr>
        <w:t xml:space="preserve"> </w:t>
      </w:r>
      <w:r w:rsidR="00C90D9E" w:rsidRPr="009A2E44">
        <w:rPr>
          <w:rFonts w:ascii="Garamond" w:hAnsi="Garamond"/>
          <w:color w:val="202020"/>
          <w:shd w:val="clear" w:color="auto" w:fill="FFFFFF"/>
        </w:rPr>
        <w:t xml:space="preserve">– </w:t>
      </w:r>
      <w:r w:rsidRPr="009A2E44">
        <w:rPr>
          <w:rFonts w:ascii="Garamond" w:hAnsi="Garamond"/>
          <w:b/>
          <w:bCs/>
        </w:rPr>
        <w:t>B.10</w:t>
      </w:r>
      <w:r w:rsidRPr="009A2E44">
        <w:rPr>
          <w:rFonts w:ascii="Garamond" w:hAnsi="Garamond"/>
        </w:rPr>
        <w:t xml:space="preserve">, ranges are summarized in </w:t>
      </w:r>
      <w:r w:rsidRPr="009A2E44">
        <w:rPr>
          <w:rFonts w:ascii="Garamond" w:hAnsi="Garamond"/>
          <w:b/>
          <w:bCs/>
        </w:rPr>
        <w:t>Table 1</w:t>
      </w:r>
      <w:r w:rsidRPr="009A2E44">
        <w:rPr>
          <w:rFonts w:ascii="Garamond" w:hAnsi="Garamond"/>
        </w:rPr>
        <w:t xml:space="preserve">, and mean values for the </w:t>
      </w:r>
      <w:r w:rsidR="00125EDD">
        <w:rPr>
          <w:rFonts w:ascii="Garamond" w:hAnsi="Garamond"/>
        </w:rPr>
        <w:t>m</w:t>
      </w:r>
      <w:r w:rsidR="00125EDD" w:rsidRPr="009A2E44">
        <w:rPr>
          <w:rFonts w:ascii="Garamond" w:hAnsi="Garamond"/>
        </w:rPr>
        <w:t>odern</w:t>
      </w:r>
      <w:r w:rsidRPr="009A2E44">
        <w:rPr>
          <w:rFonts w:ascii="Garamond" w:hAnsi="Garamond"/>
        </w:rPr>
        <w:t xml:space="preserve">, LIA, and MCA, and total core mean are summarized in </w:t>
      </w:r>
      <w:r w:rsidRPr="009A2E44">
        <w:rPr>
          <w:rFonts w:ascii="Garamond" w:hAnsi="Garamond"/>
          <w:b/>
          <w:bCs/>
        </w:rPr>
        <w:t>Table A.5</w:t>
      </w:r>
      <w:r w:rsidRPr="009A2E44">
        <w:rPr>
          <w:rFonts w:ascii="Garamond" w:hAnsi="Garamond"/>
        </w:rPr>
        <w:t xml:space="preserve">. </w:t>
      </w:r>
      <w:r w:rsidR="00406E95" w:rsidRPr="009A2E44">
        <w:rPr>
          <w:rFonts w:ascii="Garamond" w:hAnsi="Garamond"/>
        </w:rPr>
        <w:t>Replicate</w:t>
      </w:r>
      <w:r w:rsidR="001C13DE" w:rsidRPr="009A2E44">
        <w:rPr>
          <w:rFonts w:ascii="Garamond" w:hAnsi="Garamond"/>
        </w:rPr>
        <w:t xml:space="preserve"> </w:t>
      </w:r>
      <w:r w:rsidR="00A20498" w:rsidRPr="009A2E44">
        <w:rPr>
          <w:rFonts w:ascii="Garamond" w:hAnsi="Garamond"/>
        </w:rPr>
        <w:sym w:font="Symbol" w:char="F064"/>
      </w:r>
      <w:r w:rsidR="00A20498" w:rsidRPr="009A2E44">
        <w:rPr>
          <w:rFonts w:ascii="Garamond" w:hAnsi="Garamond"/>
          <w:vertAlign w:val="superscript"/>
        </w:rPr>
        <w:t>2</w:t>
      </w:r>
      <w:r w:rsidR="00A20498" w:rsidRPr="009A2E44">
        <w:rPr>
          <w:rFonts w:ascii="Garamond" w:hAnsi="Garamond"/>
        </w:rPr>
        <w:t>H</w:t>
      </w:r>
      <w:r w:rsidR="00A20498" w:rsidRPr="009A2E44">
        <w:rPr>
          <w:rFonts w:ascii="Garamond" w:hAnsi="Garamond"/>
          <w:vertAlign w:val="subscript"/>
        </w:rPr>
        <w:t>dinosterol</w:t>
      </w:r>
      <w:r w:rsidR="00A20498" w:rsidRPr="009A2E44">
        <w:rPr>
          <w:rFonts w:ascii="Garamond" w:hAnsi="Garamond"/>
        </w:rPr>
        <w:t xml:space="preserve"> records </w:t>
      </w:r>
      <w:r w:rsidR="006A1686" w:rsidRPr="009A2E44">
        <w:rPr>
          <w:rFonts w:ascii="Garamond" w:hAnsi="Garamond"/>
        </w:rPr>
        <w:t xml:space="preserve">from both lakes on ‘Uvea had </w:t>
      </w:r>
      <w:r w:rsidR="00A20498" w:rsidRPr="009A2E44">
        <w:rPr>
          <w:rFonts w:ascii="Garamond" w:hAnsi="Garamond"/>
        </w:rPr>
        <w:t>good intra-lake agreement, but very different inter-lake results (</w:t>
      </w:r>
      <w:r w:rsidR="00A20498" w:rsidRPr="009A2E44">
        <w:rPr>
          <w:rFonts w:ascii="Garamond" w:hAnsi="Garamond"/>
          <w:b/>
        </w:rPr>
        <w:t xml:space="preserve">Fig. </w:t>
      </w:r>
      <w:r w:rsidR="00AB1C40" w:rsidRPr="009A2E44">
        <w:rPr>
          <w:rFonts w:ascii="Garamond" w:hAnsi="Garamond"/>
          <w:b/>
        </w:rPr>
        <w:t>2</w:t>
      </w:r>
      <w:r w:rsidR="00A20498" w:rsidRPr="009A2E44">
        <w:rPr>
          <w:rFonts w:ascii="Garamond" w:hAnsi="Garamond"/>
        </w:rPr>
        <w:t xml:space="preserve">). From Lac Lanutavake, </w:t>
      </w:r>
      <w:r w:rsidR="00FF7899" w:rsidRPr="009A2E44">
        <w:rPr>
          <w:rFonts w:ascii="Garamond" w:hAnsi="Garamond"/>
        </w:rPr>
        <w:t xml:space="preserve">LATVKUC1 </w:t>
      </w:r>
      <w:r w:rsidR="00A20498" w:rsidRPr="009A2E44">
        <w:rPr>
          <w:rFonts w:ascii="Garamond" w:hAnsi="Garamond"/>
        </w:rPr>
        <w:sym w:font="Symbol" w:char="F064"/>
      </w:r>
      <w:r w:rsidR="00A20498" w:rsidRPr="009A2E44">
        <w:rPr>
          <w:rFonts w:ascii="Garamond" w:hAnsi="Garamond"/>
          <w:vertAlign w:val="superscript"/>
        </w:rPr>
        <w:t>2</w:t>
      </w:r>
      <w:r w:rsidR="00A20498" w:rsidRPr="009A2E44">
        <w:rPr>
          <w:rFonts w:ascii="Garamond" w:hAnsi="Garamond"/>
        </w:rPr>
        <w:t>H</w:t>
      </w:r>
      <w:r w:rsidR="00A20498" w:rsidRPr="009A2E44">
        <w:rPr>
          <w:rFonts w:ascii="Garamond" w:hAnsi="Garamond"/>
          <w:vertAlign w:val="subscript"/>
        </w:rPr>
        <w:t>dinosterol</w:t>
      </w:r>
      <w:r w:rsidR="00A20498" w:rsidRPr="009A2E44">
        <w:rPr>
          <w:rFonts w:ascii="Garamond" w:hAnsi="Garamond"/>
        </w:rPr>
        <w:t xml:space="preserve"> values had a 1</w:t>
      </w:r>
      <w:r w:rsidR="00404255" w:rsidRPr="009A2E44">
        <w:rPr>
          <w:rFonts w:ascii="Garamond" w:hAnsi="Garamond"/>
        </w:rPr>
        <w:t>5</w:t>
      </w:r>
      <w:r w:rsidR="009E2872" w:rsidRPr="009A2E44">
        <w:rPr>
          <w:rFonts w:ascii="Garamond" w:hAnsi="Garamond"/>
        </w:rPr>
        <w:t xml:space="preserve"> </w:t>
      </w:r>
      <w:r w:rsidR="00A20498" w:rsidRPr="009A2E44">
        <w:rPr>
          <w:rFonts w:ascii="Garamond" w:hAnsi="Garamond"/>
        </w:rPr>
        <w:t xml:space="preserve">‰ range from </w:t>
      </w:r>
      <w:r w:rsidR="00FF7899" w:rsidRPr="009A2E44">
        <w:rPr>
          <w:rFonts w:ascii="Garamond" w:hAnsi="Garamond"/>
          <w:color w:val="202020"/>
          <w:shd w:val="clear" w:color="auto" w:fill="FFFFFF"/>
        </w:rPr>
        <w:t>−</w:t>
      </w:r>
      <w:r w:rsidR="00A20498" w:rsidRPr="009A2E44">
        <w:rPr>
          <w:rFonts w:ascii="Garamond" w:hAnsi="Garamond"/>
        </w:rPr>
        <w:t>29</w:t>
      </w:r>
      <w:r w:rsidR="00404255" w:rsidRPr="009A2E44">
        <w:rPr>
          <w:rFonts w:ascii="Garamond" w:hAnsi="Garamond"/>
        </w:rPr>
        <w:t>4</w:t>
      </w:r>
      <w:r w:rsidR="00A20498" w:rsidRPr="009A2E44">
        <w:rPr>
          <w:rFonts w:ascii="Garamond" w:hAnsi="Garamond"/>
        </w:rPr>
        <w:t xml:space="preserve"> to </w:t>
      </w:r>
      <w:r w:rsidR="00FF7899" w:rsidRPr="009A2E44">
        <w:rPr>
          <w:rFonts w:ascii="Garamond" w:hAnsi="Garamond"/>
          <w:color w:val="202020"/>
          <w:shd w:val="clear" w:color="auto" w:fill="FFFFFF"/>
        </w:rPr>
        <w:t>−</w:t>
      </w:r>
      <w:r w:rsidR="00A20498" w:rsidRPr="009A2E44">
        <w:rPr>
          <w:rFonts w:ascii="Garamond" w:hAnsi="Garamond"/>
        </w:rPr>
        <w:t>279</w:t>
      </w:r>
      <w:r w:rsidR="009E2872" w:rsidRPr="009A2E44">
        <w:rPr>
          <w:rFonts w:ascii="Garamond" w:hAnsi="Garamond"/>
        </w:rPr>
        <w:t xml:space="preserve"> </w:t>
      </w:r>
      <w:r w:rsidR="00A20498" w:rsidRPr="009A2E44">
        <w:rPr>
          <w:rFonts w:ascii="Garamond" w:hAnsi="Garamond"/>
        </w:rPr>
        <w:t>‰</w:t>
      </w:r>
      <w:r w:rsidR="003B3897" w:rsidRPr="009A2E44">
        <w:rPr>
          <w:rFonts w:ascii="Garamond" w:hAnsi="Garamond"/>
        </w:rPr>
        <w:t xml:space="preserve"> (n=</w:t>
      </w:r>
      <w:r w:rsidR="00A20498" w:rsidRPr="009A2E44">
        <w:rPr>
          <w:rFonts w:ascii="Garamond" w:hAnsi="Garamond"/>
        </w:rPr>
        <w:t>24</w:t>
      </w:r>
      <w:r w:rsidR="003B3897" w:rsidRPr="009A2E44">
        <w:rPr>
          <w:rFonts w:ascii="Garamond" w:hAnsi="Garamond"/>
        </w:rPr>
        <w:t xml:space="preserve">) and </w:t>
      </w:r>
      <w:r w:rsidR="00A20498" w:rsidRPr="009A2E44">
        <w:rPr>
          <w:rFonts w:ascii="Garamond" w:hAnsi="Garamond"/>
        </w:rPr>
        <w:t xml:space="preserve">LATVKUC4 had a </w:t>
      </w:r>
      <w:r w:rsidR="003B3897" w:rsidRPr="009A2E44">
        <w:rPr>
          <w:rFonts w:ascii="Garamond" w:hAnsi="Garamond"/>
        </w:rPr>
        <w:t xml:space="preserve">similar </w:t>
      </w:r>
      <w:r w:rsidR="00A20498" w:rsidRPr="009A2E44">
        <w:rPr>
          <w:rFonts w:ascii="Garamond" w:hAnsi="Garamond"/>
        </w:rPr>
        <w:t>20</w:t>
      </w:r>
      <w:r w:rsidR="009E2872" w:rsidRPr="009A2E44">
        <w:rPr>
          <w:rFonts w:ascii="Garamond" w:hAnsi="Garamond"/>
        </w:rPr>
        <w:t xml:space="preserve"> </w:t>
      </w:r>
      <w:r w:rsidR="00A20498" w:rsidRPr="009A2E44">
        <w:rPr>
          <w:rFonts w:ascii="Garamond" w:hAnsi="Garamond"/>
        </w:rPr>
        <w:t xml:space="preserve">‰ range from </w:t>
      </w:r>
      <w:r w:rsidR="00FF7899" w:rsidRPr="009A2E44">
        <w:rPr>
          <w:rFonts w:ascii="Garamond" w:hAnsi="Garamond"/>
          <w:color w:val="202020"/>
          <w:shd w:val="clear" w:color="auto" w:fill="FFFFFF"/>
        </w:rPr>
        <w:t>−</w:t>
      </w:r>
      <w:r w:rsidR="00A20498" w:rsidRPr="009A2E44">
        <w:rPr>
          <w:rFonts w:ascii="Garamond" w:hAnsi="Garamond"/>
        </w:rPr>
        <w:t xml:space="preserve">297 to </w:t>
      </w:r>
      <w:r w:rsidR="00FF7899" w:rsidRPr="009A2E44">
        <w:rPr>
          <w:rFonts w:ascii="Garamond" w:hAnsi="Garamond"/>
          <w:color w:val="202020"/>
          <w:shd w:val="clear" w:color="auto" w:fill="FFFFFF"/>
        </w:rPr>
        <w:t>−</w:t>
      </w:r>
      <w:r w:rsidR="00A20498" w:rsidRPr="009A2E44">
        <w:rPr>
          <w:rFonts w:ascii="Garamond" w:hAnsi="Garamond"/>
        </w:rPr>
        <w:t>277</w:t>
      </w:r>
      <w:r w:rsidR="009E2872" w:rsidRPr="009A2E44">
        <w:rPr>
          <w:rFonts w:ascii="Garamond" w:hAnsi="Garamond"/>
        </w:rPr>
        <w:t xml:space="preserve"> </w:t>
      </w:r>
      <w:r w:rsidR="00A20498" w:rsidRPr="009A2E44">
        <w:rPr>
          <w:rFonts w:ascii="Garamond" w:hAnsi="Garamond"/>
        </w:rPr>
        <w:t>‰</w:t>
      </w:r>
      <w:r w:rsidR="003B3897" w:rsidRPr="009A2E44">
        <w:rPr>
          <w:rFonts w:ascii="Garamond" w:hAnsi="Garamond"/>
        </w:rPr>
        <w:t xml:space="preserve"> (n=</w:t>
      </w:r>
      <w:r w:rsidR="00A20498" w:rsidRPr="009A2E44">
        <w:rPr>
          <w:rFonts w:ascii="Garamond" w:hAnsi="Garamond"/>
        </w:rPr>
        <w:t>29</w:t>
      </w:r>
      <w:r w:rsidR="003B3897" w:rsidRPr="009A2E44">
        <w:rPr>
          <w:rFonts w:ascii="Garamond" w:hAnsi="Garamond"/>
        </w:rPr>
        <w:t xml:space="preserve">). </w:t>
      </w:r>
      <w:r w:rsidR="00F1258D" w:rsidRPr="009A2E44">
        <w:rPr>
          <w:rFonts w:ascii="Garamond" w:hAnsi="Garamond"/>
        </w:rPr>
        <w:sym w:font="Symbol" w:char="F064"/>
      </w:r>
      <w:r w:rsidR="00F1258D" w:rsidRPr="009A2E44">
        <w:rPr>
          <w:rFonts w:ascii="Garamond" w:hAnsi="Garamond"/>
          <w:vertAlign w:val="superscript"/>
        </w:rPr>
        <w:t>2</w:t>
      </w:r>
      <w:r w:rsidR="00F1258D" w:rsidRPr="009A2E44">
        <w:rPr>
          <w:rFonts w:ascii="Garamond" w:hAnsi="Garamond"/>
        </w:rPr>
        <w:t>H</w:t>
      </w:r>
      <w:r w:rsidR="00F1258D" w:rsidRPr="009A2E44">
        <w:rPr>
          <w:rFonts w:ascii="Garamond" w:hAnsi="Garamond"/>
          <w:vertAlign w:val="subscript"/>
        </w:rPr>
        <w:t>dinosterol</w:t>
      </w:r>
      <w:r w:rsidR="00F1258D" w:rsidRPr="009A2E44">
        <w:rPr>
          <w:rFonts w:ascii="Garamond" w:hAnsi="Garamond"/>
        </w:rPr>
        <w:t xml:space="preserve"> </w:t>
      </w:r>
      <w:r w:rsidR="00B02200" w:rsidRPr="009A2E44">
        <w:rPr>
          <w:rFonts w:ascii="Garamond" w:hAnsi="Garamond"/>
        </w:rPr>
        <w:t xml:space="preserve">values </w:t>
      </w:r>
      <w:r w:rsidR="00F1258D" w:rsidRPr="009A2E44">
        <w:rPr>
          <w:rFonts w:ascii="Garamond" w:hAnsi="Garamond"/>
        </w:rPr>
        <w:t xml:space="preserve">in LATVKUC1 </w:t>
      </w:r>
      <w:r w:rsidR="007535A9" w:rsidRPr="009A2E44">
        <w:rPr>
          <w:rFonts w:ascii="Garamond" w:hAnsi="Garamond"/>
        </w:rPr>
        <w:t xml:space="preserve">increased by </w:t>
      </w:r>
      <w:r w:rsidR="00F1258D" w:rsidRPr="009A2E44">
        <w:rPr>
          <w:rFonts w:ascii="Garamond" w:hAnsi="Garamond"/>
        </w:rPr>
        <w:t>15</w:t>
      </w:r>
      <w:r w:rsidR="009E2872" w:rsidRPr="009A2E44">
        <w:rPr>
          <w:rFonts w:ascii="Garamond" w:hAnsi="Garamond"/>
        </w:rPr>
        <w:t xml:space="preserve"> </w:t>
      </w:r>
      <w:r w:rsidR="00F1258D" w:rsidRPr="009A2E44">
        <w:rPr>
          <w:rFonts w:ascii="Garamond" w:hAnsi="Garamond"/>
        </w:rPr>
        <w:t xml:space="preserve">‰ from </w:t>
      </w:r>
      <w:r w:rsidR="000E0667" w:rsidRPr="009A2E44">
        <w:rPr>
          <w:rFonts w:ascii="Garamond" w:hAnsi="Garamond"/>
          <w:color w:val="202020"/>
          <w:shd w:val="clear" w:color="auto" w:fill="FFFFFF"/>
        </w:rPr>
        <w:t>−</w:t>
      </w:r>
      <w:r w:rsidR="00F1258D" w:rsidRPr="009A2E44">
        <w:rPr>
          <w:rFonts w:ascii="Garamond" w:hAnsi="Garamond"/>
        </w:rPr>
        <w:t>294</w:t>
      </w:r>
      <w:r w:rsidR="009E2872" w:rsidRPr="009A2E44">
        <w:rPr>
          <w:rFonts w:ascii="Garamond" w:hAnsi="Garamond"/>
        </w:rPr>
        <w:t xml:space="preserve"> </w:t>
      </w:r>
      <w:r w:rsidR="00F1258D" w:rsidRPr="009A2E44">
        <w:rPr>
          <w:rFonts w:ascii="Garamond" w:hAnsi="Garamond"/>
        </w:rPr>
        <w:t xml:space="preserve">‰ in </w:t>
      </w:r>
      <w:proofErr w:type="gramStart"/>
      <w:r w:rsidR="00F1258D" w:rsidRPr="009A2E44">
        <w:rPr>
          <w:rFonts w:ascii="Garamond" w:hAnsi="Garamond"/>
        </w:rPr>
        <w:t>7</w:t>
      </w:r>
      <w:r w:rsidR="005F0452" w:rsidRPr="009A2E44">
        <w:rPr>
          <w:rFonts w:ascii="Garamond" w:hAnsi="Garamond"/>
        </w:rPr>
        <w:t>90</w:t>
      </w:r>
      <w:r w:rsidR="00F1258D" w:rsidRPr="009A2E44">
        <w:rPr>
          <w:rFonts w:ascii="Garamond" w:hAnsi="Garamond"/>
        </w:rPr>
        <w:t xml:space="preserve"> </w:t>
      </w:r>
      <w:r w:rsidR="00427FF0">
        <w:rPr>
          <w:rFonts w:ascii="Garamond" w:hAnsi="Garamond"/>
        </w:rPr>
        <w:t>year</w:t>
      </w:r>
      <w:proofErr w:type="gramEnd"/>
      <w:r w:rsidR="00427FF0">
        <w:rPr>
          <w:rFonts w:ascii="Garamond" w:hAnsi="Garamond"/>
        </w:rPr>
        <w:t xml:space="preserve"> CE </w:t>
      </w:r>
      <w:r w:rsidR="00F1258D" w:rsidRPr="009A2E44">
        <w:rPr>
          <w:rFonts w:ascii="Garamond" w:hAnsi="Garamond"/>
        </w:rPr>
        <w:t>(+</w:t>
      </w:r>
      <w:r w:rsidR="005F0452" w:rsidRPr="009A2E44">
        <w:rPr>
          <w:rFonts w:ascii="Garamond" w:hAnsi="Garamond"/>
        </w:rPr>
        <w:t>114</w:t>
      </w:r>
      <w:r w:rsidR="00F1258D" w:rsidRPr="009A2E44">
        <w:rPr>
          <w:rFonts w:ascii="Garamond" w:hAnsi="Garamond"/>
        </w:rPr>
        <w:t>/</w:t>
      </w:r>
      <w:r w:rsidR="000E0667" w:rsidRPr="009A2E44">
        <w:rPr>
          <w:rFonts w:ascii="Garamond" w:hAnsi="Garamond"/>
          <w:color w:val="202020"/>
          <w:shd w:val="clear" w:color="auto" w:fill="FFFFFF"/>
        </w:rPr>
        <w:t>−</w:t>
      </w:r>
      <w:r w:rsidR="005F0452" w:rsidRPr="009A2E44">
        <w:rPr>
          <w:rFonts w:ascii="Garamond" w:hAnsi="Garamond"/>
        </w:rPr>
        <w:t>74</w:t>
      </w:r>
      <w:r w:rsidR="00F1258D" w:rsidRPr="009A2E44">
        <w:rPr>
          <w:rFonts w:ascii="Garamond" w:hAnsi="Garamond"/>
        </w:rPr>
        <w:t xml:space="preserve">) to its </w:t>
      </w:r>
      <w:r w:rsidR="007535A9" w:rsidRPr="009A2E44">
        <w:rPr>
          <w:rFonts w:ascii="Garamond" w:hAnsi="Garamond"/>
        </w:rPr>
        <w:t xml:space="preserve">highest </w:t>
      </w:r>
      <w:r w:rsidR="00964BC1" w:rsidRPr="009A2E44">
        <w:rPr>
          <w:rFonts w:ascii="Garamond" w:hAnsi="Garamond"/>
        </w:rPr>
        <w:sym w:font="Symbol" w:char="F064"/>
      </w:r>
      <w:r w:rsidR="00964BC1" w:rsidRPr="009A2E44">
        <w:rPr>
          <w:rFonts w:ascii="Garamond" w:hAnsi="Garamond"/>
          <w:vertAlign w:val="superscript"/>
        </w:rPr>
        <w:t>2</w:t>
      </w:r>
      <w:r w:rsidR="00964BC1" w:rsidRPr="009A2E44">
        <w:rPr>
          <w:rFonts w:ascii="Garamond" w:hAnsi="Garamond"/>
        </w:rPr>
        <w:t>H</w:t>
      </w:r>
      <w:r w:rsidR="00964BC1" w:rsidRPr="009A2E44">
        <w:rPr>
          <w:rFonts w:ascii="Garamond" w:hAnsi="Garamond"/>
          <w:vertAlign w:val="subscript"/>
        </w:rPr>
        <w:t>dinosterol</w:t>
      </w:r>
      <w:r w:rsidR="00F1258D" w:rsidRPr="009A2E44">
        <w:rPr>
          <w:rFonts w:ascii="Garamond" w:hAnsi="Garamond"/>
        </w:rPr>
        <w:t xml:space="preserve"> value </w:t>
      </w:r>
      <w:r w:rsidR="007535A9" w:rsidRPr="009A2E44">
        <w:rPr>
          <w:rFonts w:ascii="Garamond" w:hAnsi="Garamond"/>
        </w:rPr>
        <w:t xml:space="preserve">of </w:t>
      </w:r>
      <w:r w:rsidR="000E0667" w:rsidRPr="009A2E44">
        <w:rPr>
          <w:rFonts w:ascii="Garamond" w:hAnsi="Garamond"/>
          <w:color w:val="202020"/>
          <w:shd w:val="clear" w:color="auto" w:fill="FFFFFF"/>
        </w:rPr>
        <w:t>−</w:t>
      </w:r>
      <w:r w:rsidR="00F1258D" w:rsidRPr="009A2E44">
        <w:rPr>
          <w:rFonts w:ascii="Garamond" w:hAnsi="Garamond"/>
        </w:rPr>
        <w:t>279</w:t>
      </w:r>
      <w:r w:rsidR="009E2872" w:rsidRPr="009A2E44">
        <w:rPr>
          <w:rFonts w:ascii="Garamond" w:hAnsi="Garamond"/>
        </w:rPr>
        <w:t xml:space="preserve"> </w:t>
      </w:r>
      <w:r w:rsidR="00F1258D" w:rsidRPr="009A2E44">
        <w:rPr>
          <w:rFonts w:ascii="Garamond" w:hAnsi="Garamond"/>
        </w:rPr>
        <w:t>‰ in 11</w:t>
      </w:r>
      <w:r w:rsidR="005F0452" w:rsidRPr="009A2E44">
        <w:rPr>
          <w:rFonts w:ascii="Garamond" w:hAnsi="Garamond"/>
        </w:rPr>
        <w:t>9</w:t>
      </w:r>
      <w:r w:rsidR="00F1258D" w:rsidRPr="009A2E44">
        <w:rPr>
          <w:rFonts w:ascii="Garamond" w:hAnsi="Garamond"/>
        </w:rPr>
        <w:t xml:space="preserve">9 </w:t>
      </w:r>
      <w:r w:rsidR="00427FF0">
        <w:rPr>
          <w:rFonts w:ascii="Garamond" w:hAnsi="Garamond"/>
        </w:rPr>
        <w:t xml:space="preserve">year CE </w:t>
      </w:r>
      <w:r w:rsidR="00F1258D" w:rsidRPr="009A2E44">
        <w:rPr>
          <w:rFonts w:ascii="Garamond" w:hAnsi="Garamond"/>
        </w:rPr>
        <w:t>(+1</w:t>
      </w:r>
      <w:r w:rsidR="005F0452" w:rsidRPr="009A2E44">
        <w:rPr>
          <w:rFonts w:ascii="Garamond" w:hAnsi="Garamond"/>
        </w:rPr>
        <w:t>14</w:t>
      </w:r>
      <w:r w:rsidR="00F1258D" w:rsidRPr="009A2E44">
        <w:rPr>
          <w:rFonts w:ascii="Garamond" w:hAnsi="Garamond"/>
        </w:rPr>
        <w:t>/</w:t>
      </w:r>
      <w:r w:rsidR="000E0667" w:rsidRPr="009A2E44">
        <w:rPr>
          <w:rFonts w:ascii="Garamond" w:hAnsi="Garamond"/>
          <w:color w:val="202020"/>
          <w:shd w:val="clear" w:color="auto" w:fill="FFFFFF"/>
        </w:rPr>
        <w:t>−</w:t>
      </w:r>
      <w:r w:rsidR="00F1258D" w:rsidRPr="009A2E44">
        <w:rPr>
          <w:rFonts w:ascii="Garamond" w:hAnsi="Garamond"/>
        </w:rPr>
        <w:t>1</w:t>
      </w:r>
      <w:r w:rsidR="005F0452" w:rsidRPr="009A2E44">
        <w:rPr>
          <w:rFonts w:ascii="Garamond" w:hAnsi="Garamond"/>
        </w:rPr>
        <w:t>22</w:t>
      </w:r>
      <w:r w:rsidR="00F1258D" w:rsidRPr="009A2E44">
        <w:rPr>
          <w:rFonts w:ascii="Garamond" w:hAnsi="Garamond"/>
        </w:rPr>
        <w:t>), returning to relatively</w:t>
      </w:r>
      <w:r w:rsidR="007535A9" w:rsidRPr="009A2E44">
        <w:rPr>
          <w:rFonts w:ascii="Garamond" w:hAnsi="Garamond"/>
        </w:rPr>
        <w:t xml:space="preserve"> lower </w:t>
      </w:r>
      <w:r w:rsidR="00964BC1" w:rsidRPr="009A2E44">
        <w:rPr>
          <w:rFonts w:ascii="Garamond" w:hAnsi="Garamond"/>
        </w:rPr>
        <w:sym w:font="Symbol" w:char="F064"/>
      </w:r>
      <w:r w:rsidR="00964BC1" w:rsidRPr="009A2E44">
        <w:rPr>
          <w:rFonts w:ascii="Garamond" w:hAnsi="Garamond"/>
          <w:vertAlign w:val="superscript"/>
        </w:rPr>
        <w:t>2</w:t>
      </w:r>
      <w:r w:rsidR="00964BC1" w:rsidRPr="009A2E44">
        <w:rPr>
          <w:rFonts w:ascii="Garamond" w:hAnsi="Garamond"/>
        </w:rPr>
        <w:t>H</w:t>
      </w:r>
      <w:r w:rsidR="00964BC1" w:rsidRPr="009A2E44">
        <w:rPr>
          <w:rFonts w:ascii="Garamond" w:hAnsi="Garamond"/>
          <w:vertAlign w:val="subscript"/>
        </w:rPr>
        <w:t>dinosterol</w:t>
      </w:r>
      <w:r w:rsidR="007535A9" w:rsidRPr="009A2E44">
        <w:rPr>
          <w:rFonts w:ascii="Garamond" w:hAnsi="Garamond"/>
        </w:rPr>
        <w:t xml:space="preserve"> </w:t>
      </w:r>
      <w:r w:rsidR="00F1258D" w:rsidRPr="009A2E44">
        <w:rPr>
          <w:rFonts w:ascii="Garamond" w:hAnsi="Garamond"/>
        </w:rPr>
        <w:t>values after 135</w:t>
      </w:r>
      <w:r w:rsidR="005F0452" w:rsidRPr="009A2E44">
        <w:rPr>
          <w:rFonts w:ascii="Garamond" w:hAnsi="Garamond"/>
        </w:rPr>
        <w:t>2</w:t>
      </w:r>
      <w:r w:rsidR="00F1258D" w:rsidRPr="009A2E44">
        <w:rPr>
          <w:rFonts w:ascii="Garamond" w:hAnsi="Garamond"/>
        </w:rPr>
        <w:t xml:space="preserve"> </w:t>
      </w:r>
      <w:r w:rsidR="00427FF0">
        <w:rPr>
          <w:rFonts w:ascii="Garamond" w:hAnsi="Garamond"/>
        </w:rPr>
        <w:t xml:space="preserve">year CE </w:t>
      </w:r>
      <w:r w:rsidR="00F1258D" w:rsidRPr="009A2E44">
        <w:rPr>
          <w:rFonts w:ascii="Garamond" w:hAnsi="Garamond"/>
        </w:rPr>
        <w:t>(+4</w:t>
      </w:r>
      <w:r w:rsidR="005F0452" w:rsidRPr="009A2E44">
        <w:rPr>
          <w:rFonts w:ascii="Garamond" w:hAnsi="Garamond"/>
        </w:rPr>
        <w:t>9</w:t>
      </w:r>
      <w:r w:rsidR="00F1258D" w:rsidRPr="009A2E44">
        <w:rPr>
          <w:rFonts w:ascii="Garamond" w:hAnsi="Garamond"/>
        </w:rPr>
        <w:t>/</w:t>
      </w:r>
      <w:r w:rsidR="000E0667" w:rsidRPr="009A2E44">
        <w:rPr>
          <w:rFonts w:ascii="Garamond" w:hAnsi="Garamond"/>
          <w:color w:val="202020"/>
          <w:shd w:val="clear" w:color="auto" w:fill="FFFFFF"/>
        </w:rPr>
        <w:t>−</w:t>
      </w:r>
      <w:r w:rsidR="00F1258D" w:rsidRPr="009A2E44">
        <w:rPr>
          <w:rFonts w:ascii="Garamond" w:hAnsi="Garamond"/>
        </w:rPr>
        <w:t>5</w:t>
      </w:r>
      <w:r w:rsidR="005F0452" w:rsidRPr="009A2E44">
        <w:rPr>
          <w:rFonts w:ascii="Garamond" w:hAnsi="Garamond"/>
        </w:rPr>
        <w:t>4</w:t>
      </w:r>
      <w:r w:rsidR="00F1258D" w:rsidRPr="009A2E44">
        <w:rPr>
          <w:rFonts w:ascii="Garamond" w:hAnsi="Garamond"/>
        </w:rPr>
        <w:t xml:space="preserve">) implying a dry period during the MCA. </w:t>
      </w:r>
      <w:r w:rsidR="00F1258D" w:rsidRPr="009A2E44">
        <w:rPr>
          <w:rFonts w:ascii="Garamond" w:hAnsi="Garamond"/>
        </w:rPr>
        <w:sym w:font="Symbol" w:char="F064"/>
      </w:r>
      <w:r w:rsidR="00F1258D" w:rsidRPr="009A2E44">
        <w:rPr>
          <w:rFonts w:ascii="Garamond" w:hAnsi="Garamond"/>
          <w:vertAlign w:val="superscript"/>
        </w:rPr>
        <w:t>2</w:t>
      </w:r>
      <w:r w:rsidR="00F1258D" w:rsidRPr="009A2E44">
        <w:rPr>
          <w:rFonts w:ascii="Garamond" w:hAnsi="Garamond"/>
        </w:rPr>
        <w:t>H</w:t>
      </w:r>
      <w:r w:rsidR="00F1258D" w:rsidRPr="009A2E44">
        <w:rPr>
          <w:rFonts w:ascii="Garamond" w:hAnsi="Garamond"/>
          <w:vertAlign w:val="subscript"/>
        </w:rPr>
        <w:t>dinosterol</w:t>
      </w:r>
      <w:r w:rsidR="00F1258D" w:rsidRPr="009A2E44">
        <w:rPr>
          <w:rFonts w:ascii="Garamond" w:hAnsi="Garamond"/>
        </w:rPr>
        <w:t xml:space="preserve"> </w:t>
      </w:r>
      <w:r w:rsidR="009334F3">
        <w:rPr>
          <w:rFonts w:ascii="Garamond" w:hAnsi="Garamond"/>
        </w:rPr>
        <w:t xml:space="preserve">values </w:t>
      </w:r>
      <w:r w:rsidR="00F1258D" w:rsidRPr="009A2E44">
        <w:rPr>
          <w:rFonts w:ascii="Garamond" w:hAnsi="Garamond"/>
        </w:rPr>
        <w:t xml:space="preserve">in LATVKUC4 also follow a similar MCA pattern but </w:t>
      </w:r>
      <w:r w:rsidR="009403A9" w:rsidRPr="009A2E44">
        <w:rPr>
          <w:rFonts w:ascii="Garamond" w:hAnsi="Garamond"/>
        </w:rPr>
        <w:t xml:space="preserve">with </w:t>
      </w:r>
      <w:r w:rsidR="002D38E4" w:rsidRPr="009A2E44">
        <w:rPr>
          <w:rFonts w:ascii="Garamond" w:hAnsi="Garamond"/>
        </w:rPr>
        <w:t xml:space="preserve">fewer </w:t>
      </w:r>
      <w:r w:rsidR="009403A9" w:rsidRPr="009A2E44">
        <w:rPr>
          <w:rFonts w:ascii="Garamond" w:hAnsi="Garamond"/>
        </w:rPr>
        <w:t>samples</w:t>
      </w:r>
      <w:r w:rsidR="008D7D32" w:rsidRPr="009A2E44">
        <w:rPr>
          <w:rFonts w:ascii="Garamond" w:hAnsi="Garamond"/>
        </w:rPr>
        <w:t xml:space="preserve"> prior to and during the MCA, and a</w:t>
      </w:r>
      <w:r w:rsidR="00F1258D" w:rsidRPr="009A2E44">
        <w:rPr>
          <w:rFonts w:ascii="Garamond" w:hAnsi="Garamond"/>
        </w:rPr>
        <w:t xml:space="preserve"> less pronounced change out of the MCA into the LIA</w:t>
      </w:r>
      <w:r w:rsidR="00365834" w:rsidRPr="009A2E44">
        <w:rPr>
          <w:rFonts w:ascii="Garamond" w:hAnsi="Garamond"/>
        </w:rPr>
        <w:t xml:space="preserve">. </w:t>
      </w:r>
      <w:r w:rsidR="00963A24" w:rsidRPr="009A2E44">
        <w:rPr>
          <w:rFonts w:ascii="Garamond" w:hAnsi="Garamond"/>
        </w:rPr>
        <w:t xml:space="preserve">Aside from the </w:t>
      </w:r>
      <w:r w:rsidR="002E7AD6" w:rsidRPr="009A2E44">
        <w:rPr>
          <w:rFonts w:ascii="Garamond" w:hAnsi="Garamond"/>
        </w:rPr>
        <w:t xml:space="preserve">oldest </w:t>
      </w:r>
      <w:r w:rsidR="009334F3">
        <w:rPr>
          <w:rFonts w:ascii="Garamond" w:hAnsi="Garamond"/>
        </w:rPr>
        <w:t>two</w:t>
      </w:r>
      <w:r w:rsidR="00365834" w:rsidRPr="009A2E44">
        <w:rPr>
          <w:rFonts w:ascii="Garamond" w:hAnsi="Garamond"/>
        </w:rPr>
        <w:t xml:space="preserve"> samples</w:t>
      </w:r>
      <w:r w:rsidR="00963A24" w:rsidRPr="009A2E44">
        <w:rPr>
          <w:rFonts w:ascii="Garamond" w:hAnsi="Garamond"/>
        </w:rPr>
        <w:t xml:space="preserve"> </w:t>
      </w:r>
      <w:r w:rsidR="009334F3">
        <w:rPr>
          <w:rFonts w:ascii="Garamond" w:hAnsi="Garamond"/>
        </w:rPr>
        <w:t>in</w:t>
      </w:r>
      <w:r w:rsidR="009334F3" w:rsidRPr="009A2E44">
        <w:rPr>
          <w:rFonts w:ascii="Garamond" w:hAnsi="Garamond"/>
        </w:rPr>
        <w:t xml:space="preserve"> </w:t>
      </w:r>
      <w:r w:rsidR="00963A24" w:rsidRPr="009A2E44">
        <w:rPr>
          <w:rFonts w:ascii="Garamond" w:hAnsi="Garamond"/>
        </w:rPr>
        <w:t xml:space="preserve">LATVKUC4, </w:t>
      </w:r>
      <w:r w:rsidR="00963A24" w:rsidRPr="009A2E44">
        <w:rPr>
          <w:rFonts w:ascii="Garamond" w:hAnsi="Garamond"/>
        </w:rPr>
        <w:sym w:font="Symbol" w:char="F064"/>
      </w:r>
      <w:r w:rsidR="00963A24" w:rsidRPr="009A2E44">
        <w:rPr>
          <w:rFonts w:ascii="Garamond" w:hAnsi="Garamond"/>
          <w:vertAlign w:val="superscript"/>
        </w:rPr>
        <w:t>2</w:t>
      </w:r>
      <w:r w:rsidR="00963A24" w:rsidRPr="009A2E44">
        <w:rPr>
          <w:rFonts w:ascii="Garamond" w:hAnsi="Garamond"/>
        </w:rPr>
        <w:t>H</w:t>
      </w:r>
      <w:r w:rsidR="00963A24" w:rsidRPr="009A2E44">
        <w:rPr>
          <w:rFonts w:ascii="Garamond" w:hAnsi="Garamond"/>
          <w:vertAlign w:val="subscript"/>
        </w:rPr>
        <w:t>dinosterol</w:t>
      </w:r>
      <w:r w:rsidR="00963A24" w:rsidRPr="009A2E44">
        <w:rPr>
          <w:rFonts w:ascii="Garamond" w:hAnsi="Garamond"/>
        </w:rPr>
        <w:t xml:space="preserve"> records</w:t>
      </w:r>
      <w:r w:rsidR="001C520B" w:rsidRPr="009A2E44">
        <w:rPr>
          <w:rFonts w:ascii="Garamond" w:hAnsi="Garamond"/>
        </w:rPr>
        <w:t xml:space="preserve"> appear to</w:t>
      </w:r>
      <w:r w:rsidR="00963A24" w:rsidRPr="009A2E44">
        <w:rPr>
          <w:rFonts w:ascii="Garamond" w:hAnsi="Garamond"/>
        </w:rPr>
        <w:t xml:space="preserve"> </w:t>
      </w:r>
      <w:r w:rsidR="001C520B" w:rsidRPr="009A2E44">
        <w:rPr>
          <w:rFonts w:ascii="Garamond" w:hAnsi="Garamond"/>
        </w:rPr>
        <w:t>echo</w:t>
      </w:r>
      <w:r w:rsidR="00963A24" w:rsidRPr="009A2E44">
        <w:rPr>
          <w:rFonts w:ascii="Garamond" w:hAnsi="Garamond"/>
        </w:rPr>
        <w:t xml:space="preserve"> the </w:t>
      </w:r>
      <w:r w:rsidR="00F076AC" w:rsidRPr="009A2E44">
        <w:rPr>
          <w:rFonts w:ascii="Garamond" w:hAnsi="Garamond"/>
        </w:rPr>
        <w:t>magnetic susceptibility</w:t>
      </w:r>
      <w:r w:rsidR="00963A24" w:rsidRPr="009A2E44">
        <w:rPr>
          <w:rFonts w:ascii="Garamond" w:hAnsi="Garamond"/>
        </w:rPr>
        <w:t xml:space="preserve"> records </w:t>
      </w:r>
      <w:r w:rsidR="00365834" w:rsidRPr="009A2E44">
        <w:rPr>
          <w:rFonts w:ascii="Garamond" w:hAnsi="Garamond"/>
        </w:rPr>
        <w:t>where overlap occurs:</w:t>
      </w:r>
      <w:r w:rsidR="00AA3A47" w:rsidRPr="009A2E44">
        <w:rPr>
          <w:rFonts w:ascii="Garamond" w:hAnsi="Garamond"/>
        </w:rPr>
        <w:t xml:space="preserve"> dinosterol with relatively higher </w:t>
      </w:r>
      <w:r w:rsidR="008E0DD1" w:rsidRPr="009A2E44">
        <w:rPr>
          <w:rFonts w:ascii="Garamond" w:hAnsi="Garamond"/>
        </w:rPr>
        <w:sym w:font="Symbol" w:char="F064"/>
      </w:r>
      <w:r w:rsidR="008E0DD1" w:rsidRPr="009A2E44">
        <w:rPr>
          <w:rFonts w:ascii="Garamond" w:hAnsi="Garamond"/>
          <w:vertAlign w:val="superscript"/>
        </w:rPr>
        <w:t>2</w:t>
      </w:r>
      <w:r w:rsidR="008E0DD1" w:rsidRPr="009A2E44">
        <w:rPr>
          <w:rFonts w:ascii="Garamond" w:hAnsi="Garamond"/>
        </w:rPr>
        <w:t>H</w:t>
      </w:r>
      <w:r w:rsidR="008E0DD1" w:rsidRPr="009A2E44">
        <w:rPr>
          <w:rFonts w:ascii="Garamond" w:hAnsi="Garamond"/>
          <w:vertAlign w:val="subscript"/>
        </w:rPr>
        <w:t>dinosterol</w:t>
      </w:r>
      <w:r w:rsidR="00AA3A47" w:rsidRPr="009A2E44">
        <w:rPr>
          <w:rFonts w:ascii="Garamond" w:hAnsi="Garamond"/>
        </w:rPr>
        <w:t xml:space="preserve"> values was deposited </w:t>
      </w:r>
      <w:r w:rsidR="00963A24" w:rsidRPr="009A2E44">
        <w:rPr>
          <w:rFonts w:ascii="Garamond" w:hAnsi="Garamond"/>
        </w:rPr>
        <w:t xml:space="preserve">during </w:t>
      </w:r>
      <w:r w:rsidR="00AA3A47" w:rsidRPr="009A2E44">
        <w:rPr>
          <w:rFonts w:ascii="Garamond" w:hAnsi="Garamond"/>
        </w:rPr>
        <w:t xml:space="preserve">intervals when sedimentary </w:t>
      </w:r>
      <w:r w:rsidR="00F076AC" w:rsidRPr="009A2E44">
        <w:rPr>
          <w:rFonts w:ascii="Garamond" w:hAnsi="Garamond"/>
        </w:rPr>
        <w:t>magnetic susceptibility</w:t>
      </w:r>
      <w:r w:rsidR="00AA3A47" w:rsidRPr="009A2E44">
        <w:rPr>
          <w:rFonts w:ascii="Garamond" w:hAnsi="Garamond"/>
        </w:rPr>
        <w:t xml:space="preserve"> was low </w:t>
      </w:r>
      <w:r w:rsidR="0017376F" w:rsidRPr="009A2E44">
        <w:rPr>
          <w:rFonts w:ascii="Garamond" w:hAnsi="Garamond"/>
        </w:rPr>
        <w:t>(</w:t>
      </w:r>
      <w:r w:rsidR="0017376F" w:rsidRPr="009A2E44">
        <w:rPr>
          <w:rFonts w:ascii="Garamond" w:hAnsi="Garamond"/>
          <w:b/>
          <w:bCs/>
        </w:rPr>
        <w:t xml:space="preserve">Fig. </w:t>
      </w:r>
      <w:r w:rsidR="00062366" w:rsidRPr="009A2E44">
        <w:rPr>
          <w:rFonts w:ascii="Garamond" w:hAnsi="Garamond"/>
          <w:b/>
          <w:bCs/>
        </w:rPr>
        <w:t>A.</w:t>
      </w:r>
      <w:r w:rsidR="00202DCC" w:rsidRPr="009A2E44">
        <w:rPr>
          <w:rFonts w:ascii="Garamond" w:hAnsi="Garamond"/>
          <w:b/>
          <w:bCs/>
        </w:rPr>
        <w:t>6</w:t>
      </w:r>
      <w:r w:rsidR="0017376F" w:rsidRPr="009A2E44">
        <w:rPr>
          <w:rFonts w:ascii="Garamond" w:hAnsi="Garamond"/>
        </w:rPr>
        <w:t>)</w:t>
      </w:r>
      <w:r w:rsidR="00963A24" w:rsidRPr="009A2E44">
        <w:rPr>
          <w:rFonts w:ascii="Garamond" w:hAnsi="Garamond"/>
        </w:rPr>
        <w:t>.</w:t>
      </w:r>
      <w:r w:rsidR="008D7D32" w:rsidRPr="009A2E44">
        <w:rPr>
          <w:rFonts w:ascii="Garamond" w:hAnsi="Garamond"/>
        </w:rPr>
        <w:t xml:space="preserve"> </w:t>
      </w:r>
      <w:r w:rsidR="002134D0" w:rsidRPr="009A2E44">
        <w:rPr>
          <w:rFonts w:ascii="Garamond" w:hAnsi="Garamond"/>
        </w:rPr>
        <w:t>However</w:t>
      </w:r>
      <w:r w:rsidR="008E0DD1" w:rsidRPr="009A2E44">
        <w:rPr>
          <w:rFonts w:ascii="Garamond" w:hAnsi="Garamond"/>
        </w:rPr>
        <w:t xml:space="preserve">, </w:t>
      </w:r>
      <w:r w:rsidR="00221032">
        <w:rPr>
          <w:rFonts w:ascii="Garamond" w:hAnsi="Garamond"/>
        </w:rPr>
        <w:t xml:space="preserve">within a single core, </w:t>
      </w:r>
      <w:r w:rsidR="002134D0" w:rsidRPr="009A2E44">
        <w:rPr>
          <w:rFonts w:ascii="Garamond" w:hAnsi="Garamond"/>
        </w:rPr>
        <w:t xml:space="preserve">Lac Lanutavake </w:t>
      </w:r>
      <w:r w:rsidR="002134D0" w:rsidRPr="009A2E44">
        <w:rPr>
          <w:rFonts w:ascii="Garamond" w:hAnsi="Garamond"/>
        </w:rPr>
        <w:sym w:font="Symbol" w:char="F064"/>
      </w:r>
      <w:r w:rsidR="002134D0" w:rsidRPr="009A2E44">
        <w:rPr>
          <w:rFonts w:ascii="Garamond" w:hAnsi="Garamond"/>
          <w:vertAlign w:val="superscript"/>
        </w:rPr>
        <w:t>2</w:t>
      </w:r>
      <w:r w:rsidR="002134D0" w:rsidRPr="009A2E44">
        <w:rPr>
          <w:rFonts w:ascii="Garamond" w:hAnsi="Garamond"/>
        </w:rPr>
        <w:t>H</w:t>
      </w:r>
      <w:r w:rsidR="002134D0" w:rsidRPr="009A2E44">
        <w:rPr>
          <w:rFonts w:ascii="Garamond" w:hAnsi="Garamond"/>
          <w:vertAlign w:val="subscript"/>
        </w:rPr>
        <w:t>dinosterol</w:t>
      </w:r>
      <w:r w:rsidR="002134D0" w:rsidRPr="009A2E44">
        <w:rPr>
          <w:rFonts w:ascii="Garamond" w:hAnsi="Garamond"/>
        </w:rPr>
        <w:t xml:space="preserve"> measurements </w:t>
      </w:r>
      <w:r w:rsidR="00221032">
        <w:rPr>
          <w:rFonts w:ascii="Garamond" w:hAnsi="Garamond"/>
        </w:rPr>
        <w:t>were not correlated with</w:t>
      </w:r>
      <w:r w:rsidR="00221032" w:rsidRPr="009A2E44">
        <w:rPr>
          <w:rFonts w:ascii="Garamond" w:hAnsi="Garamond"/>
        </w:rPr>
        <w:t xml:space="preserve"> </w:t>
      </w:r>
      <w:r w:rsidR="008E0DD1" w:rsidRPr="009A2E44">
        <w:rPr>
          <w:rFonts w:ascii="Garamond" w:hAnsi="Garamond"/>
        </w:rPr>
        <w:t>magnetic susceptibility</w:t>
      </w:r>
      <w:r w:rsidR="002134D0" w:rsidRPr="009A2E44">
        <w:rPr>
          <w:rFonts w:ascii="Garamond" w:hAnsi="Garamond"/>
        </w:rPr>
        <w:t xml:space="preserve"> values from the </w:t>
      </w:r>
      <w:r w:rsidR="00221032">
        <w:rPr>
          <w:rFonts w:ascii="Garamond" w:hAnsi="Garamond"/>
        </w:rPr>
        <w:t>corresponding sample</w:t>
      </w:r>
      <w:r w:rsidR="00221032" w:rsidRPr="009A2E44">
        <w:rPr>
          <w:rFonts w:ascii="Garamond" w:hAnsi="Garamond"/>
        </w:rPr>
        <w:t xml:space="preserve"> </w:t>
      </w:r>
      <w:r w:rsidR="002134D0" w:rsidRPr="009A2E44">
        <w:rPr>
          <w:rFonts w:ascii="Garamond" w:hAnsi="Garamond"/>
        </w:rPr>
        <w:t>depths (</w:t>
      </w:r>
      <w:r w:rsidR="002134D0" w:rsidRPr="009A2E44">
        <w:rPr>
          <w:rFonts w:ascii="Garamond" w:hAnsi="Garamond"/>
          <w:b/>
          <w:bCs/>
        </w:rPr>
        <w:t xml:space="preserve">Fig. </w:t>
      </w:r>
      <w:r w:rsidR="00062366" w:rsidRPr="009A2E44">
        <w:rPr>
          <w:rFonts w:ascii="Garamond" w:hAnsi="Garamond"/>
          <w:b/>
          <w:bCs/>
        </w:rPr>
        <w:t>A.</w:t>
      </w:r>
      <w:r w:rsidR="00202DCC" w:rsidRPr="009A2E44">
        <w:rPr>
          <w:rFonts w:ascii="Garamond" w:hAnsi="Garamond"/>
          <w:b/>
          <w:bCs/>
        </w:rPr>
        <w:t>7</w:t>
      </w:r>
      <w:r w:rsidR="002134D0" w:rsidRPr="009A2E44">
        <w:rPr>
          <w:rFonts w:ascii="Garamond" w:hAnsi="Garamond"/>
        </w:rPr>
        <w:t>).</w:t>
      </w:r>
      <w:r w:rsidR="000961E9" w:rsidRPr="009A2E44">
        <w:rPr>
          <w:rFonts w:ascii="Garamond" w:hAnsi="Garamond"/>
        </w:rPr>
        <w:t xml:space="preserve"> </w:t>
      </w:r>
    </w:p>
    <w:p w14:paraId="5AB3455C" w14:textId="662BF1FB" w:rsidR="003B3897" w:rsidRPr="009A2E44" w:rsidRDefault="002E7AD6" w:rsidP="001C47D3">
      <w:pPr>
        <w:spacing w:line="480" w:lineRule="auto"/>
        <w:ind w:firstLine="720"/>
        <w:rPr>
          <w:rFonts w:ascii="Garamond" w:hAnsi="Garamond"/>
        </w:rPr>
      </w:pPr>
      <w:r w:rsidRPr="009A2E44">
        <w:rPr>
          <w:rFonts w:ascii="Garamond" w:hAnsi="Garamond"/>
        </w:rPr>
        <w:t>Compare</w:t>
      </w:r>
      <w:r w:rsidR="00C447AF" w:rsidRPr="009A2E44">
        <w:rPr>
          <w:rFonts w:ascii="Garamond" w:hAnsi="Garamond"/>
        </w:rPr>
        <w:t>d</w:t>
      </w:r>
      <w:r w:rsidRPr="009A2E44">
        <w:rPr>
          <w:rFonts w:ascii="Garamond" w:hAnsi="Garamond"/>
        </w:rPr>
        <w:t xml:space="preserve"> to Lac Lanutavake, </w:t>
      </w:r>
      <w:r w:rsidR="00A20498" w:rsidRPr="009A2E44">
        <w:rPr>
          <w:rFonts w:ascii="Garamond" w:hAnsi="Garamond"/>
        </w:rPr>
        <w:t>Lac Lalolalo</w:t>
      </w:r>
      <w:r w:rsidR="001C13DE" w:rsidRPr="009A2E44">
        <w:rPr>
          <w:rFonts w:ascii="Garamond" w:hAnsi="Garamond"/>
        </w:rPr>
        <w:t xml:space="preserve"> had much </w:t>
      </w:r>
      <w:r w:rsidR="001F754D" w:rsidRPr="009A2E44">
        <w:rPr>
          <w:rFonts w:ascii="Garamond" w:hAnsi="Garamond"/>
        </w:rPr>
        <w:t>higher</w:t>
      </w:r>
      <w:r w:rsidR="001C13DE" w:rsidRPr="009A2E44">
        <w:rPr>
          <w:rFonts w:ascii="Garamond" w:hAnsi="Garamond"/>
        </w:rPr>
        <w:t xml:space="preserve"> </w:t>
      </w:r>
      <w:r w:rsidR="001C13DE" w:rsidRPr="009A2E44">
        <w:rPr>
          <w:rFonts w:ascii="Garamond" w:hAnsi="Garamond"/>
        </w:rPr>
        <w:sym w:font="Symbol" w:char="F064"/>
      </w:r>
      <w:r w:rsidR="001C13DE" w:rsidRPr="009A2E44">
        <w:rPr>
          <w:rFonts w:ascii="Garamond" w:hAnsi="Garamond"/>
          <w:vertAlign w:val="superscript"/>
        </w:rPr>
        <w:t>2</w:t>
      </w:r>
      <w:r w:rsidR="001C13DE" w:rsidRPr="009A2E44">
        <w:rPr>
          <w:rFonts w:ascii="Garamond" w:hAnsi="Garamond"/>
        </w:rPr>
        <w:t>H</w:t>
      </w:r>
      <w:r w:rsidR="001C13DE" w:rsidRPr="009A2E44">
        <w:rPr>
          <w:rFonts w:ascii="Garamond" w:hAnsi="Garamond"/>
          <w:vertAlign w:val="subscript"/>
        </w:rPr>
        <w:t>dinosterol</w:t>
      </w:r>
      <w:r w:rsidR="001C13DE" w:rsidRPr="009A2E44">
        <w:rPr>
          <w:rFonts w:ascii="Garamond" w:hAnsi="Garamond"/>
        </w:rPr>
        <w:t xml:space="preserve"> values </w:t>
      </w:r>
      <w:r w:rsidR="00C447AF" w:rsidRPr="009A2E44">
        <w:rPr>
          <w:rFonts w:ascii="Garamond" w:hAnsi="Garamond"/>
        </w:rPr>
        <w:t>prior to the 20</w:t>
      </w:r>
      <w:r w:rsidR="00C447AF" w:rsidRPr="009A2E44">
        <w:rPr>
          <w:rFonts w:ascii="Garamond" w:hAnsi="Garamond"/>
          <w:vertAlign w:val="superscript"/>
        </w:rPr>
        <w:t>th</w:t>
      </w:r>
      <w:r w:rsidR="00C447AF" w:rsidRPr="009A2E44">
        <w:rPr>
          <w:rFonts w:ascii="Garamond" w:hAnsi="Garamond"/>
        </w:rPr>
        <w:t xml:space="preserve"> century</w:t>
      </w:r>
      <w:r w:rsidR="001C13DE" w:rsidRPr="009A2E44">
        <w:rPr>
          <w:rFonts w:ascii="Garamond" w:hAnsi="Garamond"/>
        </w:rPr>
        <w:t>,</w:t>
      </w:r>
      <w:r w:rsidR="00A20498" w:rsidRPr="009A2E44">
        <w:rPr>
          <w:rFonts w:ascii="Garamond" w:hAnsi="Garamond"/>
        </w:rPr>
        <w:t xml:space="preserve"> </w:t>
      </w:r>
      <w:r w:rsidR="001C13DE" w:rsidRPr="009A2E44">
        <w:rPr>
          <w:rFonts w:ascii="Garamond" w:hAnsi="Garamond"/>
        </w:rPr>
        <w:t xml:space="preserve">LALOUC13 </w:t>
      </w:r>
      <w:r w:rsidR="00A20498" w:rsidRPr="009A2E44">
        <w:rPr>
          <w:rFonts w:ascii="Garamond" w:hAnsi="Garamond"/>
        </w:rPr>
        <w:t>had a 56</w:t>
      </w:r>
      <w:r w:rsidR="009E2872" w:rsidRPr="009A2E44">
        <w:rPr>
          <w:rFonts w:ascii="Garamond" w:hAnsi="Garamond"/>
        </w:rPr>
        <w:t xml:space="preserve"> </w:t>
      </w:r>
      <w:r w:rsidR="00A20498" w:rsidRPr="009A2E44">
        <w:rPr>
          <w:rFonts w:ascii="Garamond" w:hAnsi="Garamond"/>
        </w:rPr>
        <w:t xml:space="preserve">‰ range from </w:t>
      </w:r>
      <w:r w:rsidR="00FF7899" w:rsidRPr="009A2E44">
        <w:rPr>
          <w:rFonts w:ascii="Garamond" w:hAnsi="Garamond"/>
          <w:color w:val="202020"/>
          <w:shd w:val="clear" w:color="auto" w:fill="FFFFFF"/>
        </w:rPr>
        <w:t>−</w:t>
      </w:r>
      <w:r w:rsidR="00A20498" w:rsidRPr="009A2E44">
        <w:rPr>
          <w:rFonts w:ascii="Garamond" w:hAnsi="Garamond"/>
        </w:rPr>
        <w:t xml:space="preserve">283 to </w:t>
      </w:r>
      <w:r w:rsidR="00FF7899" w:rsidRPr="009A2E44">
        <w:rPr>
          <w:rFonts w:ascii="Garamond" w:hAnsi="Garamond"/>
          <w:color w:val="202020"/>
          <w:shd w:val="clear" w:color="auto" w:fill="FFFFFF"/>
        </w:rPr>
        <w:t>−</w:t>
      </w:r>
      <w:r w:rsidR="00A20498" w:rsidRPr="009A2E44">
        <w:rPr>
          <w:rFonts w:ascii="Garamond" w:hAnsi="Garamond"/>
        </w:rPr>
        <w:t>227</w:t>
      </w:r>
      <w:r w:rsidR="009E2872" w:rsidRPr="009A2E44">
        <w:rPr>
          <w:rFonts w:ascii="Garamond" w:hAnsi="Garamond"/>
        </w:rPr>
        <w:t xml:space="preserve"> </w:t>
      </w:r>
      <w:r w:rsidR="00A20498" w:rsidRPr="009A2E44">
        <w:rPr>
          <w:rFonts w:ascii="Garamond" w:hAnsi="Garamond"/>
        </w:rPr>
        <w:t>‰</w:t>
      </w:r>
      <w:r w:rsidR="003B3897" w:rsidRPr="009A2E44">
        <w:rPr>
          <w:rFonts w:ascii="Garamond" w:hAnsi="Garamond"/>
        </w:rPr>
        <w:t xml:space="preserve"> (n=</w:t>
      </w:r>
      <w:r w:rsidR="00A20498" w:rsidRPr="009A2E44">
        <w:rPr>
          <w:rFonts w:ascii="Garamond" w:hAnsi="Garamond"/>
        </w:rPr>
        <w:t>36</w:t>
      </w:r>
      <w:r w:rsidR="003B3897" w:rsidRPr="009A2E44">
        <w:rPr>
          <w:rFonts w:ascii="Garamond" w:hAnsi="Garamond"/>
        </w:rPr>
        <w:t>)</w:t>
      </w:r>
      <w:r w:rsidR="00FF7899" w:rsidRPr="009A2E44">
        <w:rPr>
          <w:rFonts w:ascii="Garamond" w:hAnsi="Garamond"/>
        </w:rPr>
        <w:t xml:space="preserve"> and </w:t>
      </w:r>
      <w:r w:rsidR="00A20498" w:rsidRPr="009A2E44">
        <w:rPr>
          <w:rFonts w:ascii="Garamond" w:hAnsi="Garamond"/>
        </w:rPr>
        <w:t>LALOUC14 had a 42</w:t>
      </w:r>
      <w:r w:rsidR="009E2872" w:rsidRPr="009A2E44">
        <w:rPr>
          <w:rFonts w:ascii="Garamond" w:hAnsi="Garamond"/>
        </w:rPr>
        <w:t xml:space="preserve"> </w:t>
      </w:r>
      <w:r w:rsidR="00A20498" w:rsidRPr="009A2E44">
        <w:rPr>
          <w:rFonts w:ascii="Garamond" w:hAnsi="Garamond"/>
        </w:rPr>
        <w:t xml:space="preserve">‰ range from </w:t>
      </w:r>
      <w:r w:rsidR="00FF7899" w:rsidRPr="009A2E44">
        <w:rPr>
          <w:rFonts w:ascii="Garamond" w:hAnsi="Garamond"/>
          <w:color w:val="202020"/>
          <w:shd w:val="clear" w:color="auto" w:fill="FFFFFF"/>
        </w:rPr>
        <w:t>−</w:t>
      </w:r>
      <w:r w:rsidR="00A20498" w:rsidRPr="009A2E44">
        <w:rPr>
          <w:rFonts w:ascii="Garamond" w:hAnsi="Garamond"/>
        </w:rPr>
        <w:t xml:space="preserve">270 to </w:t>
      </w:r>
      <w:r w:rsidR="00FF7899" w:rsidRPr="009A2E44">
        <w:rPr>
          <w:rFonts w:ascii="Garamond" w:hAnsi="Garamond"/>
          <w:color w:val="202020"/>
          <w:shd w:val="clear" w:color="auto" w:fill="FFFFFF"/>
        </w:rPr>
        <w:t>−</w:t>
      </w:r>
      <w:r w:rsidR="00A20498" w:rsidRPr="009A2E44">
        <w:rPr>
          <w:rFonts w:ascii="Garamond" w:hAnsi="Garamond"/>
        </w:rPr>
        <w:t>227</w:t>
      </w:r>
      <w:r w:rsidR="009E2872" w:rsidRPr="009A2E44">
        <w:rPr>
          <w:rFonts w:ascii="Garamond" w:hAnsi="Garamond"/>
        </w:rPr>
        <w:t xml:space="preserve"> </w:t>
      </w:r>
      <w:r w:rsidR="00A20498" w:rsidRPr="009A2E44">
        <w:rPr>
          <w:rFonts w:ascii="Garamond" w:hAnsi="Garamond"/>
        </w:rPr>
        <w:t>‰</w:t>
      </w:r>
      <w:r w:rsidR="003B3897" w:rsidRPr="009A2E44">
        <w:rPr>
          <w:rFonts w:ascii="Garamond" w:hAnsi="Garamond"/>
        </w:rPr>
        <w:t xml:space="preserve"> (n=</w:t>
      </w:r>
      <w:r w:rsidR="00A20498" w:rsidRPr="009A2E44">
        <w:rPr>
          <w:rFonts w:ascii="Garamond" w:hAnsi="Garamond"/>
        </w:rPr>
        <w:t>30</w:t>
      </w:r>
      <w:r w:rsidR="003B3897" w:rsidRPr="009A2E44">
        <w:rPr>
          <w:rFonts w:ascii="Garamond" w:hAnsi="Garamond"/>
        </w:rPr>
        <w:t>)</w:t>
      </w:r>
      <w:r w:rsidR="00A20498" w:rsidRPr="009A2E44">
        <w:rPr>
          <w:rFonts w:ascii="Garamond" w:hAnsi="Garamond"/>
        </w:rPr>
        <w:t xml:space="preserve">. </w:t>
      </w:r>
      <w:r w:rsidR="006A1686" w:rsidRPr="009A2E44">
        <w:rPr>
          <w:rFonts w:ascii="Garamond" w:hAnsi="Garamond"/>
        </w:rPr>
        <w:t>The</w:t>
      </w:r>
      <w:r w:rsidR="00462D77" w:rsidRPr="009A2E44">
        <w:rPr>
          <w:rFonts w:ascii="Garamond" w:hAnsi="Garamond"/>
        </w:rPr>
        <w:t xml:space="preserve"> </w:t>
      </w:r>
      <w:r w:rsidR="00E80299" w:rsidRPr="009A2E44">
        <w:rPr>
          <w:rFonts w:ascii="Garamond" w:hAnsi="Garamond"/>
        </w:rPr>
        <w:t>uppermost</w:t>
      </w:r>
      <w:r w:rsidR="006A1686" w:rsidRPr="009A2E44">
        <w:rPr>
          <w:rFonts w:ascii="Garamond" w:hAnsi="Garamond"/>
        </w:rPr>
        <w:t xml:space="preserve"> sample</w:t>
      </w:r>
      <w:r w:rsidR="00462D77" w:rsidRPr="009A2E44">
        <w:rPr>
          <w:rFonts w:ascii="Garamond" w:hAnsi="Garamond"/>
        </w:rPr>
        <w:t xml:space="preserve">s from </w:t>
      </w:r>
      <w:r w:rsidR="006A1686" w:rsidRPr="009A2E44">
        <w:rPr>
          <w:rFonts w:ascii="Garamond" w:hAnsi="Garamond"/>
        </w:rPr>
        <w:t>these</w:t>
      </w:r>
      <w:r w:rsidR="00462D77" w:rsidRPr="009A2E44">
        <w:rPr>
          <w:rFonts w:ascii="Garamond" w:hAnsi="Garamond"/>
        </w:rPr>
        <w:t xml:space="preserve"> </w:t>
      </w:r>
      <w:r w:rsidR="008F5696" w:rsidRPr="009A2E44">
        <w:rPr>
          <w:rFonts w:ascii="Garamond" w:hAnsi="Garamond"/>
        </w:rPr>
        <w:t>deep-water</w:t>
      </w:r>
      <w:r w:rsidR="00462D77" w:rsidRPr="009A2E44">
        <w:rPr>
          <w:rFonts w:ascii="Garamond" w:hAnsi="Garamond"/>
        </w:rPr>
        <w:t xml:space="preserve"> cores</w:t>
      </w:r>
      <w:r w:rsidR="00E80299" w:rsidRPr="009A2E44">
        <w:rPr>
          <w:rFonts w:ascii="Garamond" w:hAnsi="Garamond"/>
        </w:rPr>
        <w:t xml:space="preserve"> </w:t>
      </w:r>
      <w:r w:rsidR="00406E95" w:rsidRPr="009A2E44">
        <w:rPr>
          <w:rFonts w:ascii="Garamond" w:hAnsi="Garamond"/>
        </w:rPr>
        <w:t>consist</w:t>
      </w:r>
      <w:r w:rsidR="00C447AF" w:rsidRPr="009A2E44">
        <w:rPr>
          <w:rFonts w:ascii="Garamond" w:hAnsi="Garamond"/>
        </w:rPr>
        <w:t>ed</w:t>
      </w:r>
      <w:r w:rsidR="00406E95" w:rsidRPr="009A2E44">
        <w:rPr>
          <w:rFonts w:ascii="Garamond" w:hAnsi="Garamond"/>
        </w:rPr>
        <w:t xml:space="preserve"> of</w:t>
      </w:r>
      <w:r w:rsidR="000E1739" w:rsidRPr="009A2E44">
        <w:rPr>
          <w:rFonts w:ascii="Garamond" w:hAnsi="Garamond"/>
        </w:rPr>
        <w:t xml:space="preserve"> </w:t>
      </w:r>
      <w:r w:rsidR="00805861" w:rsidRPr="009A2E44">
        <w:rPr>
          <w:rFonts w:ascii="Garamond" w:hAnsi="Garamond"/>
        </w:rPr>
        <w:t xml:space="preserve">the top </w:t>
      </w:r>
      <w:r w:rsidR="001C13DE" w:rsidRPr="009A2E44">
        <w:rPr>
          <w:rFonts w:ascii="Garamond" w:hAnsi="Garamond"/>
        </w:rPr>
        <w:t>2</w:t>
      </w:r>
      <w:r w:rsidR="00462D77" w:rsidRPr="009A2E44">
        <w:rPr>
          <w:rFonts w:ascii="Garamond" w:hAnsi="Garamond"/>
        </w:rPr>
        <w:t>0</w:t>
      </w:r>
      <w:r w:rsidR="000E1739" w:rsidRPr="009A2E44">
        <w:rPr>
          <w:rFonts w:ascii="Garamond" w:hAnsi="Garamond"/>
        </w:rPr>
        <w:t xml:space="preserve"> </w:t>
      </w:r>
      <w:r w:rsidR="00462D77" w:rsidRPr="009A2E44">
        <w:rPr>
          <w:rFonts w:ascii="Garamond" w:hAnsi="Garamond"/>
        </w:rPr>
        <w:t>cm</w:t>
      </w:r>
      <w:r w:rsidR="00C447AF" w:rsidRPr="009A2E44">
        <w:rPr>
          <w:rFonts w:ascii="Garamond" w:hAnsi="Garamond"/>
        </w:rPr>
        <w:t xml:space="preserve"> of sediment</w:t>
      </w:r>
      <w:r w:rsidR="001C13DE" w:rsidRPr="009A2E44">
        <w:rPr>
          <w:rFonts w:ascii="Garamond" w:hAnsi="Garamond"/>
        </w:rPr>
        <w:t xml:space="preserve"> </w:t>
      </w:r>
      <w:r w:rsidR="00406E95" w:rsidRPr="009A2E44">
        <w:rPr>
          <w:rFonts w:ascii="Garamond" w:hAnsi="Garamond"/>
        </w:rPr>
        <w:t>in</w:t>
      </w:r>
      <w:r w:rsidR="000E1739" w:rsidRPr="009A2E44">
        <w:rPr>
          <w:rFonts w:ascii="Garamond" w:hAnsi="Garamond"/>
        </w:rPr>
        <w:t xml:space="preserve"> </w:t>
      </w:r>
      <w:r w:rsidR="00C447AF" w:rsidRPr="009A2E44">
        <w:rPr>
          <w:rFonts w:ascii="Garamond" w:hAnsi="Garamond"/>
        </w:rPr>
        <w:t xml:space="preserve">core </w:t>
      </w:r>
      <w:r w:rsidRPr="009A2E44">
        <w:rPr>
          <w:rFonts w:ascii="Garamond" w:hAnsi="Garamond"/>
        </w:rPr>
        <w:t xml:space="preserve">LALOUC13 </w:t>
      </w:r>
      <w:r w:rsidR="001C13DE" w:rsidRPr="009A2E44">
        <w:rPr>
          <w:rFonts w:ascii="Garamond" w:hAnsi="Garamond"/>
        </w:rPr>
        <w:t>and</w:t>
      </w:r>
      <w:r w:rsidR="00462D77" w:rsidRPr="009A2E44">
        <w:rPr>
          <w:rFonts w:ascii="Garamond" w:hAnsi="Garamond"/>
        </w:rPr>
        <w:t xml:space="preserve"> </w:t>
      </w:r>
      <w:r w:rsidR="00805861" w:rsidRPr="009A2E44">
        <w:rPr>
          <w:rFonts w:ascii="Garamond" w:hAnsi="Garamond"/>
        </w:rPr>
        <w:t xml:space="preserve">top </w:t>
      </w:r>
      <w:r w:rsidR="00462D77" w:rsidRPr="009A2E44">
        <w:rPr>
          <w:rFonts w:ascii="Garamond" w:hAnsi="Garamond"/>
        </w:rPr>
        <w:t>15</w:t>
      </w:r>
      <w:r w:rsidR="000E1739" w:rsidRPr="009A2E44">
        <w:rPr>
          <w:rFonts w:ascii="Garamond" w:hAnsi="Garamond"/>
        </w:rPr>
        <w:t xml:space="preserve"> </w:t>
      </w:r>
      <w:r w:rsidR="00462D77" w:rsidRPr="009A2E44">
        <w:rPr>
          <w:rFonts w:ascii="Garamond" w:hAnsi="Garamond"/>
        </w:rPr>
        <w:t>cm</w:t>
      </w:r>
      <w:r w:rsidR="00C447AF" w:rsidRPr="009A2E44">
        <w:rPr>
          <w:rFonts w:ascii="Garamond" w:hAnsi="Garamond"/>
        </w:rPr>
        <w:t xml:space="preserve"> of sediment</w:t>
      </w:r>
      <w:r w:rsidR="001C13DE" w:rsidRPr="009A2E44">
        <w:rPr>
          <w:rFonts w:ascii="Garamond" w:hAnsi="Garamond"/>
        </w:rPr>
        <w:t xml:space="preserve"> </w:t>
      </w:r>
      <w:r w:rsidR="00C447AF" w:rsidRPr="009A2E44">
        <w:rPr>
          <w:rFonts w:ascii="Garamond" w:hAnsi="Garamond"/>
        </w:rPr>
        <w:t>in core</w:t>
      </w:r>
      <w:r w:rsidR="000E1739" w:rsidRPr="009A2E44">
        <w:rPr>
          <w:rFonts w:ascii="Garamond" w:hAnsi="Garamond"/>
        </w:rPr>
        <w:t xml:space="preserve"> </w:t>
      </w:r>
      <w:r w:rsidRPr="009A2E44">
        <w:rPr>
          <w:rFonts w:ascii="Garamond" w:hAnsi="Garamond"/>
        </w:rPr>
        <w:t>LALOUC14</w:t>
      </w:r>
      <w:r w:rsidR="00462D77" w:rsidRPr="009A2E44">
        <w:rPr>
          <w:rFonts w:ascii="Garamond" w:hAnsi="Garamond"/>
        </w:rPr>
        <w:t xml:space="preserve">. The </w:t>
      </w:r>
      <w:r w:rsidR="008F5696" w:rsidRPr="009A2E44">
        <w:rPr>
          <w:rFonts w:ascii="Garamond" w:hAnsi="Garamond"/>
        </w:rPr>
        <w:sym w:font="Symbol" w:char="F064"/>
      </w:r>
      <w:r w:rsidR="008F5696" w:rsidRPr="009A2E44">
        <w:rPr>
          <w:rFonts w:ascii="Garamond" w:hAnsi="Garamond"/>
          <w:vertAlign w:val="superscript"/>
        </w:rPr>
        <w:t>2</w:t>
      </w:r>
      <w:r w:rsidR="008F5696" w:rsidRPr="009A2E44">
        <w:rPr>
          <w:rFonts w:ascii="Garamond" w:hAnsi="Garamond"/>
        </w:rPr>
        <w:t>H</w:t>
      </w:r>
      <w:r w:rsidR="008F5696" w:rsidRPr="009A2E44">
        <w:rPr>
          <w:rFonts w:ascii="Garamond" w:hAnsi="Garamond"/>
          <w:vertAlign w:val="subscript"/>
        </w:rPr>
        <w:t>dinosterol</w:t>
      </w:r>
      <w:r w:rsidR="008F5696" w:rsidRPr="009A2E44">
        <w:rPr>
          <w:rFonts w:ascii="Garamond" w:hAnsi="Garamond"/>
        </w:rPr>
        <w:t xml:space="preserve"> </w:t>
      </w:r>
      <w:r w:rsidR="00462D77" w:rsidRPr="009A2E44">
        <w:rPr>
          <w:rFonts w:ascii="Garamond" w:hAnsi="Garamond"/>
        </w:rPr>
        <w:lastRenderedPageBreak/>
        <w:t>values from the</w:t>
      </w:r>
      <w:r w:rsidRPr="009A2E44">
        <w:rPr>
          <w:rFonts w:ascii="Garamond" w:hAnsi="Garamond"/>
        </w:rPr>
        <w:t>se</w:t>
      </w:r>
      <w:r w:rsidR="00462D77" w:rsidRPr="009A2E44">
        <w:rPr>
          <w:rFonts w:ascii="Garamond" w:hAnsi="Garamond"/>
        </w:rPr>
        <w:t xml:space="preserve"> homogenized </w:t>
      </w:r>
      <w:r w:rsidR="008F5696" w:rsidRPr="009A2E44">
        <w:rPr>
          <w:rFonts w:ascii="Garamond" w:hAnsi="Garamond"/>
        </w:rPr>
        <w:t xml:space="preserve">core top </w:t>
      </w:r>
      <w:r w:rsidR="00462D77" w:rsidRPr="009A2E44">
        <w:rPr>
          <w:rFonts w:ascii="Garamond" w:hAnsi="Garamond"/>
        </w:rPr>
        <w:t xml:space="preserve">samples </w:t>
      </w:r>
      <w:r w:rsidR="001C13DE" w:rsidRPr="009A2E44">
        <w:rPr>
          <w:rFonts w:ascii="Garamond" w:hAnsi="Garamond"/>
        </w:rPr>
        <w:t>(</w:t>
      </w:r>
      <w:r w:rsidR="000E0667" w:rsidRPr="009A2E44">
        <w:rPr>
          <w:rFonts w:ascii="Garamond" w:hAnsi="Garamond"/>
          <w:color w:val="202020"/>
          <w:shd w:val="clear" w:color="auto" w:fill="FFFFFF"/>
        </w:rPr>
        <w:t>−</w:t>
      </w:r>
      <w:r w:rsidR="001C13DE" w:rsidRPr="009A2E44">
        <w:rPr>
          <w:rFonts w:ascii="Garamond" w:hAnsi="Garamond"/>
        </w:rPr>
        <w:t>28</w:t>
      </w:r>
      <w:r w:rsidR="006A1686" w:rsidRPr="009A2E44">
        <w:rPr>
          <w:rFonts w:ascii="Garamond" w:hAnsi="Garamond"/>
        </w:rPr>
        <w:t>3</w:t>
      </w:r>
      <w:r w:rsidR="009E2872" w:rsidRPr="009A2E44">
        <w:rPr>
          <w:rFonts w:ascii="Garamond" w:hAnsi="Garamond"/>
        </w:rPr>
        <w:t xml:space="preserve"> </w:t>
      </w:r>
      <w:r w:rsidR="00427FF0" w:rsidRPr="009A2E44">
        <w:rPr>
          <w:rFonts w:ascii="Garamond" w:hAnsi="Garamond"/>
        </w:rPr>
        <w:t>‰</w:t>
      </w:r>
      <w:r w:rsidR="00427FF0">
        <w:rPr>
          <w:rFonts w:ascii="Garamond" w:hAnsi="Garamond"/>
        </w:rPr>
        <w:t xml:space="preserve"> and</w:t>
      </w:r>
      <w:r w:rsidR="00427FF0" w:rsidRPr="009A2E44">
        <w:rPr>
          <w:rFonts w:ascii="Garamond" w:hAnsi="Garamond"/>
        </w:rPr>
        <w:t xml:space="preserve"> </w:t>
      </w:r>
      <w:r w:rsidR="000E0667" w:rsidRPr="009A2E44">
        <w:rPr>
          <w:rFonts w:ascii="Garamond" w:hAnsi="Garamond"/>
          <w:color w:val="202020"/>
          <w:shd w:val="clear" w:color="auto" w:fill="FFFFFF"/>
        </w:rPr>
        <w:t>−</w:t>
      </w:r>
      <w:r w:rsidR="001C13DE" w:rsidRPr="009A2E44">
        <w:rPr>
          <w:rFonts w:ascii="Garamond" w:hAnsi="Garamond"/>
        </w:rPr>
        <w:t>2</w:t>
      </w:r>
      <w:r w:rsidR="006A1686" w:rsidRPr="009A2E44">
        <w:rPr>
          <w:rFonts w:ascii="Garamond" w:hAnsi="Garamond"/>
        </w:rPr>
        <w:t>70</w:t>
      </w:r>
      <w:r w:rsidR="009E2872" w:rsidRPr="009A2E44">
        <w:rPr>
          <w:rFonts w:ascii="Garamond" w:hAnsi="Garamond"/>
        </w:rPr>
        <w:t xml:space="preserve"> </w:t>
      </w:r>
      <w:r w:rsidR="001C13DE" w:rsidRPr="009A2E44">
        <w:rPr>
          <w:rFonts w:ascii="Garamond" w:hAnsi="Garamond"/>
        </w:rPr>
        <w:t xml:space="preserve">‰) </w:t>
      </w:r>
      <w:r w:rsidR="006A1686" w:rsidRPr="009A2E44">
        <w:rPr>
          <w:rFonts w:ascii="Garamond" w:hAnsi="Garamond"/>
        </w:rPr>
        <w:t>overlap</w:t>
      </w:r>
      <w:r w:rsidR="00462D77" w:rsidRPr="009A2E44">
        <w:rPr>
          <w:rFonts w:ascii="Garamond" w:hAnsi="Garamond"/>
        </w:rPr>
        <w:t xml:space="preserve"> </w:t>
      </w:r>
      <w:r w:rsidR="000E1739" w:rsidRPr="009A2E44">
        <w:rPr>
          <w:rFonts w:ascii="Garamond" w:hAnsi="Garamond"/>
        </w:rPr>
        <w:t>with</w:t>
      </w:r>
      <w:r w:rsidR="006A1686" w:rsidRPr="009A2E44">
        <w:rPr>
          <w:rFonts w:ascii="Garamond" w:hAnsi="Garamond"/>
        </w:rPr>
        <w:t xml:space="preserve"> </w:t>
      </w:r>
      <w:r w:rsidR="009F1940" w:rsidRPr="009A2E44">
        <w:rPr>
          <w:rFonts w:ascii="Garamond" w:hAnsi="Garamond"/>
        </w:rPr>
        <w:t xml:space="preserve">mean </w:t>
      </w:r>
      <w:r w:rsidR="00462D77" w:rsidRPr="009A2E44">
        <w:rPr>
          <w:rFonts w:ascii="Garamond" w:hAnsi="Garamond"/>
        </w:rPr>
        <w:t xml:space="preserve">values </w:t>
      </w:r>
      <w:r w:rsidR="008F5696" w:rsidRPr="009A2E44">
        <w:rPr>
          <w:rFonts w:ascii="Garamond" w:hAnsi="Garamond"/>
        </w:rPr>
        <w:t>of the</w:t>
      </w:r>
      <w:r w:rsidR="00A20498" w:rsidRPr="009A2E44">
        <w:rPr>
          <w:rFonts w:ascii="Garamond" w:hAnsi="Garamond"/>
        </w:rPr>
        <w:t xml:space="preserve"> </w:t>
      </w:r>
      <w:r w:rsidR="00E80299" w:rsidRPr="009A2E44">
        <w:rPr>
          <w:rFonts w:ascii="Garamond" w:hAnsi="Garamond"/>
        </w:rPr>
        <w:t xml:space="preserve">intact </w:t>
      </w:r>
      <w:r w:rsidR="00A20498" w:rsidRPr="009A2E44">
        <w:rPr>
          <w:rFonts w:ascii="Garamond" w:hAnsi="Garamond"/>
        </w:rPr>
        <w:t xml:space="preserve">shallow water </w:t>
      </w:r>
      <w:r w:rsidR="008F5696" w:rsidRPr="009A2E44">
        <w:rPr>
          <w:rFonts w:ascii="Garamond" w:hAnsi="Garamond"/>
        </w:rPr>
        <w:t xml:space="preserve">short cores </w:t>
      </w:r>
      <w:r w:rsidR="009F1940" w:rsidRPr="009A2E44">
        <w:rPr>
          <w:rFonts w:ascii="Garamond" w:hAnsi="Garamond"/>
        </w:rPr>
        <w:t>that cover the same approximate time period</w:t>
      </w:r>
      <w:r w:rsidR="00C447AF" w:rsidRPr="009A2E44">
        <w:rPr>
          <w:rFonts w:ascii="Garamond" w:hAnsi="Garamond"/>
        </w:rPr>
        <w:t>s</w:t>
      </w:r>
      <w:r w:rsidR="000E1739" w:rsidRPr="009A2E44">
        <w:rPr>
          <w:rFonts w:ascii="Garamond" w:hAnsi="Garamond"/>
        </w:rPr>
        <w:t>.</w:t>
      </w:r>
      <w:r w:rsidR="00A20498" w:rsidRPr="009A2E44">
        <w:rPr>
          <w:rFonts w:ascii="Garamond" w:hAnsi="Garamond"/>
        </w:rPr>
        <w:t xml:space="preserve"> </w:t>
      </w:r>
      <w:r w:rsidR="00FF7899" w:rsidRPr="009A2E44">
        <w:rPr>
          <w:rFonts w:ascii="Garamond" w:hAnsi="Garamond"/>
        </w:rPr>
        <w:t xml:space="preserve">LALOUC22 </w:t>
      </w:r>
      <w:r w:rsidR="00C447AF" w:rsidRPr="009A2E44">
        <w:rPr>
          <w:rFonts w:ascii="Garamond" w:hAnsi="Garamond"/>
        </w:rPr>
        <w:sym w:font="Symbol" w:char="F064"/>
      </w:r>
      <w:r w:rsidR="00C447AF" w:rsidRPr="009A2E44">
        <w:rPr>
          <w:rFonts w:ascii="Garamond" w:hAnsi="Garamond"/>
          <w:vertAlign w:val="superscript"/>
        </w:rPr>
        <w:t>2</w:t>
      </w:r>
      <w:r w:rsidR="00C447AF" w:rsidRPr="009A2E44">
        <w:rPr>
          <w:rFonts w:ascii="Garamond" w:hAnsi="Garamond"/>
        </w:rPr>
        <w:t>H</w:t>
      </w:r>
      <w:r w:rsidR="00C447AF" w:rsidRPr="009A2E44">
        <w:rPr>
          <w:rFonts w:ascii="Garamond" w:hAnsi="Garamond"/>
          <w:vertAlign w:val="subscript"/>
        </w:rPr>
        <w:t>dinosterol</w:t>
      </w:r>
      <w:r w:rsidR="00C447AF" w:rsidRPr="009A2E44">
        <w:rPr>
          <w:rFonts w:ascii="Garamond" w:hAnsi="Garamond"/>
        </w:rPr>
        <w:t xml:space="preserve"> values </w:t>
      </w:r>
      <w:r w:rsidR="00A20498" w:rsidRPr="009A2E44">
        <w:rPr>
          <w:rFonts w:ascii="Garamond" w:hAnsi="Garamond"/>
        </w:rPr>
        <w:t>had a 42</w:t>
      </w:r>
      <w:r w:rsidR="009E2872" w:rsidRPr="009A2E44">
        <w:rPr>
          <w:rFonts w:ascii="Garamond" w:hAnsi="Garamond"/>
        </w:rPr>
        <w:t xml:space="preserve"> </w:t>
      </w:r>
      <w:r w:rsidR="00A20498" w:rsidRPr="009A2E44">
        <w:rPr>
          <w:rFonts w:ascii="Garamond" w:hAnsi="Garamond"/>
        </w:rPr>
        <w:t xml:space="preserve">‰ range from </w:t>
      </w:r>
      <w:r w:rsidR="00FF7899" w:rsidRPr="009A2E44">
        <w:rPr>
          <w:rFonts w:ascii="Garamond" w:hAnsi="Garamond"/>
          <w:color w:val="202020"/>
          <w:shd w:val="clear" w:color="auto" w:fill="FFFFFF"/>
        </w:rPr>
        <w:t>−</w:t>
      </w:r>
      <w:r w:rsidR="00A20498" w:rsidRPr="009A2E44">
        <w:rPr>
          <w:rFonts w:ascii="Garamond" w:hAnsi="Garamond"/>
        </w:rPr>
        <w:t xml:space="preserve">303 to </w:t>
      </w:r>
      <w:r w:rsidR="00FF7899" w:rsidRPr="009A2E44">
        <w:rPr>
          <w:rFonts w:ascii="Garamond" w:hAnsi="Garamond"/>
          <w:color w:val="202020"/>
          <w:shd w:val="clear" w:color="auto" w:fill="FFFFFF"/>
        </w:rPr>
        <w:t>−</w:t>
      </w:r>
      <w:r w:rsidR="00A20498" w:rsidRPr="009A2E44">
        <w:rPr>
          <w:rFonts w:ascii="Garamond" w:hAnsi="Garamond"/>
        </w:rPr>
        <w:t>261</w:t>
      </w:r>
      <w:r w:rsidR="009E2872" w:rsidRPr="009A2E44">
        <w:rPr>
          <w:rFonts w:ascii="Garamond" w:hAnsi="Garamond"/>
        </w:rPr>
        <w:t xml:space="preserve"> </w:t>
      </w:r>
      <w:r w:rsidR="00A20498" w:rsidRPr="009A2E44">
        <w:rPr>
          <w:rFonts w:ascii="Garamond" w:hAnsi="Garamond"/>
        </w:rPr>
        <w:t xml:space="preserve">‰ </w:t>
      </w:r>
      <w:r w:rsidR="003B3897" w:rsidRPr="009A2E44">
        <w:rPr>
          <w:rFonts w:ascii="Garamond" w:hAnsi="Garamond"/>
        </w:rPr>
        <w:t>(n=</w:t>
      </w:r>
      <w:r w:rsidR="00A20498" w:rsidRPr="009A2E44">
        <w:rPr>
          <w:rFonts w:ascii="Garamond" w:hAnsi="Garamond"/>
        </w:rPr>
        <w:t>7</w:t>
      </w:r>
      <w:r w:rsidR="003B3897" w:rsidRPr="009A2E44">
        <w:rPr>
          <w:rFonts w:ascii="Garamond" w:hAnsi="Garamond"/>
        </w:rPr>
        <w:t>)</w:t>
      </w:r>
      <w:r w:rsidR="00FF7899" w:rsidRPr="009A2E44">
        <w:rPr>
          <w:rFonts w:ascii="Garamond" w:hAnsi="Garamond"/>
        </w:rPr>
        <w:t xml:space="preserve"> and </w:t>
      </w:r>
      <w:r w:rsidR="00A20498" w:rsidRPr="009A2E44">
        <w:rPr>
          <w:rFonts w:ascii="Garamond" w:hAnsi="Garamond"/>
        </w:rPr>
        <w:t>LALOUC24 had a 45</w:t>
      </w:r>
      <w:r w:rsidR="009E2872" w:rsidRPr="009A2E44">
        <w:rPr>
          <w:rFonts w:ascii="Garamond" w:hAnsi="Garamond"/>
        </w:rPr>
        <w:t xml:space="preserve"> </w:t>
      </w:r>
      <w:r w:rsidR="00A20498" w:rsidRPr="009A2E44">
        <w:rPr>
          <w:rFonts w:ascii="Garamond" w:hAnsi="Garamond"/>
        </w:rPr>
        <w:t xml:space="preserve">‰ range from </w:t>
      </w:r>
      <w:r w:rsidR="00FF7899" w:rsidRPr="009A2E44">
        <w:rPr>
          <w:rFonts w:ascii="Garamond" w:hAnsi="Garamond"/>
          <w:color w:val="202020"/>
          <w:shd w:val="clear" w:color="auto" w:fill="FFFFFF"/>
        </w:rPr>
        <w:t>−</w:t>
      </w:r>
      <w:r w:rsidR="00A20498" w:rsidRPr="009A2E44">
        <w:rPr>
          <w:rFonts w:ascii="Garamond" w:hAnsi="Garamond"/>
        </w:rPr>
        <w:t xml:space="preserve">288 to </w:t>
      </w:r>
      <w:r w:rsidR="00FF7899" w:rsidRPr="009A2E44">
        <w:rPr>
          <w:rFonts w:ascii="Garamond" w:hAnsi="Garamond"/>
          <w:color w:val="202020"/>
          <w:shd w:val="clear" w:color="auto" w:fill="FFFFFF"/>
        </w:rPr>
        <w:t>−</w:t>
      </w:r>
      <w:r w:rsidR="00A20498" w:rsidRPr="009A2E44">
        <w:rPr>
          <w:rFonts w:ascii="Garamond" w:hAnsi="Garamond"/>
        </w:rPr>
        <w:t>242</w:t>
      </w:r>
      <w:r w:rsidR="009E2872" w:rsidRPr="009A2E44">
        <w:rPr>
          <w:rFonts w:ascii="Garamond" w:hAnsi="Garamond"/>
        </w:rPr>
        <w:t xml:space="preserve"> </w:t>
      </w:r>
      <w:r w:rsidR="00A20498" w:rsidRPr="009A2E44">
        <w:rPr>
          <w:rFonts w:ascii="Garamond" w:hAnsi="Garamond"/>
        </w:rPr>
        <w:t>‰</w:t>
      </w:r>
      <w:r w:rsidR="003B3897" w:rsidRPr="009A2E44">
        <w:rPr>
          <w:rFonts w:ascii="Garamond" w:hAnsi="Garamond"/>
        </w:rPr>
        <w:t xml:space="preserve"> (n=</w:t>
      </w:r>
      <w:r w:rsidR="00A20498" w:rsidRPr="009A2E44">
        <w:rPr>
          <w:rFonts w:ascii="Garamond" w:hAnsi="Garamond"/>
        </w:rPr>
        <w:t>6</w:t>
      </w:r>
      <w:r w:rsidR="003B3897" w:rsidRPr="009A2E44">
        <w:rPr>
          <w:rFonts w:ascii="Garamond" w:hAnsi="Garamond"/>
        </w:rPr>
        <w:t>)</w:t>
      </w:r>
      <w:r w:rsidR="00A20498" w:rsidRPr="009A2E44">
        <w:rPr>
          <w:rFonts w:ascii="Garamond" w:hAnsi="Garamond"/>
        </w:rPr>
        <w:t>. Taken together, range</w:t>
      </w:r>
      <w:r w:rsidR="001C13DE" w:rsidRPr="009A2E44">
        <w:rPr>
          <w:rFonts w:ascii="Garamond" w:hAnsi="Garamond"/>
        </w:rPr>
        <w:t>s</w:t>
      </w:r>
      <w:r w:rsidR="00A20498" w:rsidRPr="009A2E44">
        <w:rPr>
          <w:rFonts w:ascii="Garamond" w:hAnsi="Garamond"/>
        </w:rPr>
        <w:t xml:space="preserve"> </w:t>
      </w:r>
      <w:r w:rsidR="00E80299" w:rsidRPr="009A2E44">
        <w:rPr>
          <w:rFonts w:ascii="Garamond" w:hAnsi="Garamond"/>
        </w:rPr>
        <w:t xml:space="preserve">of </w:t>
      </w:r>
      <w:r w:rsidR="00E80299" w:rsidRPr="009A2E44">
        <w:rPr>
          <w:rFonts w:ascii="Garamond" w:hAnsi="Garamond"/>
        </w:rPr>
        <w:sym w:font="Symbol" w:char="F064"/>
      </w:r>
      <w:r w:rsidR="00E80299" w:rsidRPr="009A2E44">
        <w:rPr>
          <w:rFonts w:ascii="Garamond" w:hAnsi="Garamond"/>
          <w:vertAlign w:val="superscript"/>
        </w:rPr>
        <w:t>2</w:t>
      </w:r>
      <w:r w:rsidR="00E80299" w:rsidRPr="009A2E44">
        <w:rPr>
          <w:rFonts w:ascii="Garamond" w:hAnsi="Garamond"/>
        </w:rPr>
        <w:t>H</w:t>
      </w:r>
      <w:r w:rsidR="00E80299" w:rsidRPr="009A2E44">
        <w:rPr>
          <w:rFonts w:ascii="Garamond" w:hAnsi="Garamond"/>
          <w:vertAlign w:val="subscript"/>
        </w:rPr>
        <w:t>dinosterol</w:t>
      </w:r>
      <w:r w:rsidR="00E80299" w:rsidRPr="009A2E44">
        <w:rPr>
          <w:rFonts w:ascii="Garamond" w:hAnsi="Garamond"/>
        </w:rPr>
        <w:t xml:space="preserve"> values </w:t>
      </w:r>
      <w:r w:rsidR="00A20498" w:rsidRPr="009A2E44">
        <w:rPr>
          <w:rFonts w:ascii="Garamond" w:hAnsi="Garamond"/>
        </w:rPr>
        <w:t>in LALOUC13</w:t>
      </w:r>
      <w:r w:rsidR="005F0452" w:rsidRPr="009A2E44">
        <w:rPr>
          <w:rFonts w:ascii="Garamond" w:hAnsi="Garamond"/>
        </w:rPr>
        <w:t xml:space="preserve"> </w:t>
      </w:r>
      <w:r w:rsidR="00A20498" w:rsidRPr="009A2E44">
        <w:rPr>
          <w:rFonts w:ascii="Garamond" w:hAnsi="Garamond"/>
        </w:rPr>
        <w:t>+</w:t>
      </w:r>
      <w:r w:rsidR="005F0452" w:rsidRPr="009A2E44">
        <w:rPr>
          <w:rFonts w:ascii="Garamond" w:hAnsi="Garamond"/>
        </w:rPr>
        <w:t xml:space="preserve"> </w:t>
      </w:r>
      <w:r w:rsidR="00A20498" w:rsidRPr="009A2E44">
        <w:rPr>
          <w:rFonts w:ascii="Garamond" w:hAnsi="Garamond"/>
        </w:rPr>
        <w:t>LALOUC22 (76</w:t>
      </w:r>
      <w:r w:rsidR="009E2872" w:rsidRPr="009A2E44">
        <w:rPr>
          <w:rFonts w:ascii="Garamond" w:hAnsi="Garamond"/>
        </w:rPr>
        <w:t xml:space="preserve"> </w:t>
      </w:r>
      <w:r w:rsidR="00A20498" w:rsidRPr="009A2E44">
        <w:rPr>
          <w:rFonts w:ascii="Garamond" w:hAnsi="Garamond"/>
        </w:rPr>
        <w:t>‰) or LALOUC14</w:t>
      </w:r>
      <w:r w:rsidR="005F0452" w:rsidRPr="009A2E44">
        <w:rPr>
          <w:rFonts w:ascii="Garamond" w:hAnsi="Garamond"/>
        </w:rPr>
        <w:t xml:space="preserve"> </w:t>
      </w:r>
      <w:r w:rsidR="00A20498" w:rsidRPr="009A2E44">
        <w:rPr>
          <w:rFonts w:ascii="Garamond" w:hAnsi="Garamond"/>
        </w:rPr>
        <w:t>+</w:t>
      </w:r>
      <w:r w:rsidR="005F0452" w:rsidRPr="009A2E44">
        <w:rPr>
          <w:rFonts w:ascii="Garamond" w:hAnsi="Garamond"/>
        </w:rPr>
        <w:t xml:space="preserve"> </w:t>
      </w:r>
      <w:r w:rsidR="00A20498" w:rsidRPr="009A2E44">
        <w:rPr>
          <w:rFonts w:ascii="Garamond" w:hAnsi="Garamond"/>
        </w:rPr>
        <w:t>LALOUC24 (60</w:t>
      </w:r>
      <w:r w:rsidR="009E2872" w:rsidRPr="009A2E44">
        <w:rPr>
          <w:rFonts w:ascii="Garamond" w:hAnsi="Garamond"/>
        </w:rPr>
        <w:t xml:space="preserve"> </w:t>
      </w:r>
      <w:r w:rsidR="00A20498" w:rsidRPr="009A2E44">
        <w:rPr>
          <w:rFonts w:ascii="Garamond" w:hAnsi="Garamond"/>
        </w:rPr>
        <w:t xml:space="preserve">‰) </w:t>
      </w:r>
      <w:r w:rsidR="001C13DE" w:rsidRPr="009A2E44">
        <w:rPr>
          <w:rFonts w:ascii="Garamond" w:hAnsi="Garamond"/>
        </w:rPr>
        <w:t>were</w:t>
      </w:r>
      <w:r w:rsidR="00A20498" w:rsidRPr="009A2E44">
        <w:rPr>
          <w:rFonts w:ascii="Garamond" w:hAnsi="Garamond"/>
        </w:rPr>
        <w:t xml:space="preserve"> ~four times larger than </w:t>
      </w:r>
      <w:r w:rsidR="009334F3">
        <w:rPr>
          <w:rFonts w:ascii="Garamond" w:hAnsi="Garamond"/>
        </w:rPr>
        <w:t xml:space="preserve">in </w:t>
      </w:r>
      <w:r w:rsidR="00A20498" w:rsidRPr="009A2E44">
        <w:rPr>
          <w:rFonts w:ascii="Garamond" w:hAnsi="Garamond"/>
        </w:rPr>
        <w:t xml:space="preserve">neighboring Lac Lanutavake. </w:t>
      </w:r>
      <w:r w:rsidR="00C54613" w:rsidRPr="009A2E44">
        <w:rPr>
          <w:rFonts w:ascii="Garamond" w:hAnsi="Garamond"/>
        </w:rPr>
        <w:t>While duplicate cores from the same lake agree well, t</w:t>
      </w:r>
      <w:r w:rsidR="003D45A0" w:rsidRPr="009A2E44">
        <w:rPr>
          <w:rFonts w:ascii="Garamond" w:hAnsi="Garamond"/>
        </w:rPr>
        <w:t xml:space="preserve">he very </w:t>
      </w:r>
      <w:r w:rsidR="00C54613" w:rsidRPr="009A2E44">
        <w:rPr>
          <w:rFonts w:ascii="Garamond" w:hAnsi="Garamond"/>
        </w:rPr>
        <w:t xml:space="preserve">different </w:t>
      </w:r>
      <w:r w:rsidR="00C54613" w:rsidRPr="009A2E44">
        <w:rPr>
          <w:rFonts w:ascii="Garamond" w:hAnsi="Garamond"/>
        </w:rPr>
        <w:sym w:font="Symbol" w:char="F064"/>
      </w:r>
      <w:r w:rsidR="00C54613" w:rsidRPr="009A2E44">
        <w:rPr>
          <w:rFonts w:ascii="Garamond" w:hAnsi="Garamond"/>
          <w:vertAlign w:val="superscript"/>
        </w:rPr>
        <w:t>2</w:t>
      </w:r>
      <w:r w:rsidR="00C54613" w:rsidRPr="009A2E44">
        <w:rPr>
          <w:rFonts w:ascii="Garamond" w:hAnsi="Garamond"/>
        </w:rPr>
        <w:t>H</w:t>
      </w:r>
      <w:r w:rsidR="00C54613" w:rsidRPr="009A2E44">
        <w:rPr>
          <w:rFonts w:ascii="Garamond" w:hAnsi="Garamond"/>
          <w:vertAlign w:val="subscript"/>
        </w:rPr>
        <w:t>dinosterol</w:t>
      </w:r>
      <w:r w:rsidR="00C54613" w:rsidRPr="009A2E44">
        <w:rPr>
          <w:rFonts w:ascii="Garamond" w:hAnsi="Garamond"/>
        </w:rPr>
        <w:t xml:space="preserve"> records in Lac Lanutavake </w:t>
      </w:r>
      <w:r w:rsidR="00164602" w:rsidRPr="009A2E44">
        <w:rPr>
          <w:rFonts w:ascii="Garamond" w:hAnsi="Garamond"/>
        </w:rPr>
        <w:t>compared</w:t>
      </w:r>
      <w:r w:rsidR="00C54613" w:rsidRPr="009A2E44">
        <w:rPr>
          <w:rFonts w:ascii="Garamond" w:hAnsi="Garamond"/>
        </w:rPr>
        <w:t xml:space="preserve"> to Lac Lalolalo clearly indicate that one or both lakes </w:t>
      </w:r>
      <w:r w:rsidR="00964BC1" w:rsidRPr="009A2E44">
        <w:rPr>
          <w:rFonts w:ascii="Garamond" w:hAnsi="Garamond"/>
        </w:rPr>
        <w:t xml:space="preserve">was </w:t>
      </w:r>
      <w:r w:rsidR="00C54613" w:rsidRPr="009A2E44">
        <w:rPr>
          <w:rFonts w:ascii="Garamond" w:hAnsi="Garamond"/>
        </w:rPr>
        <w:t xml:space="preserve">not principally controlled by </w:t>
      </w:r>
      <w:r w:rsidR="009334F3">
        <w:rPr>
          <w:rFonts w:ascii="Garamond" w:hAnsi="Garamond"/>
        </w:rPr>
        <w:t>hydroclimate</w:t>
      </w:r>
      <w:r w:rsidR="00C54613" w:rsidRPr="009A2E44">
        <w:rPr>
          <w:rFonts w:ascii="Garamond" w:hAnsi="Garamond"/>
        </w:rPr>
        <w:t>.</w:t>
      </w:r>
    </w:p>
    <w:p w14:paraId="1CD34029" w14:textId="77777777" w:rsidR="003E0061" w:rsidRPr="009A2E44" w:rsidRDefault="003E0061" w:rsidP="001C47D3">
      <w:pPr>
        <w:spacing w:line="480" w:lineRule="auto"/>
        <w:rPr>
          <w:rFonts w:ascii="Garamond" w:hAnsi="Garamond"/>
          <w:i/>
        </w:rPr>
      </w:pPr>
    </w:p>
    <w:p w14:paraId="3F02B33F" w14:textId="22483F91" w:rsidR="003E0061" w:rsidRPr="009A2E44" w:rsidRDefault="003E0061" w:rsidP="001C47D3">
      <w:pPr>
        <w:spacing w:line="480" w:lineRule="auto"/>
        <w:rPr>
          <w:rFonts w:ascii="Garamond" w:hAnsi="Garamond"/>
          <w:i/>
        </w:rPr>
      </w:pPr>
      <w:r w:rsidRPr="009A2E44">
        <w:rPr>
          <w:rFonts w:ascii="Garamond" w:hAnsi="Garamond"/>
          <w:i/>
        </w:rPr>
        <w:t xml:space="preserve">4.3. </w:t>
      </w:r>
      <w:r w:rsidR="00F4422A" w:rsidRPr="009A2E44">
        <w:rPr>
          <w:rFonts w:ascii="Garamond" w:hAnsi="Garamond"/>
          <w:i/>
        </w:rPr>
        <w:t>Runoff proxies</w:t>
      </w:r>
    </w:p>
    <w:p w14:paraId="65A353F9" w14:textId="186AFB79" w:rsidR="003E0061" w:rsidRPr="009A2E44" w:rsidRDefault="0011518D" w:rsidP="001C47D3">
      <w:pPr>
        <w:spacing w:line="480" w:lineRule="auto"/>
        <w:ind w:firstLine="720"/>
        <w:rPr>
          <w:rFonts w:ascii="Garamond" w:hAnsi="Garamond"/>
        </w:rPr>
      </w:pPr>
      <w:r w:rsidRPr="009A2E44">
        <w:rPr>
          <w:rFonts w:ascii="Garamond" w:hAnsi="Garamond"/>
        </w:rPr>
        <w:t xml:space="preserve">Magnetic susceptibility and </w:t>
      </w:r>
      <w:r w:rsidR="00964BC1" w:rsidRPr="009A2E44">
        <w:rPr>
          <w:rFonts w:ascii="Garamond" w:hAnsi="Garamond"/>
        </w:rPr>
        <w:t>titanium runoff</w:t>
      </w:r>
      <w:r w:rsidRPr="009A2E44">
        <w:rPr>
          <w:rFonts w:ascii="Garamond" w:hAnsi="Garamond"/>
        </w:rPr>
        <w:t xml:space="preserve"> signals often reflect in</w:t>
      </w:r>
      <w:r w:rsidR="00A52E2A" w:rsidRPr="009A2E44">
        <w:rPr>
          <w:rFonts w:ascii="Garamond" w:hAnsi="Garamond"/>
        </w:rPr>
        <w:t>-</w:t>
      </w:r>
      <w:r w:rsidRPr="009A2E44">
        <w:rPr>
          <w:rFonts w:ascii="Garamond" w:hAnsi="Garamond"/>
        </w:rPr>
        <w:t xml:space="preserve">wash of terrigenous materials from the surrounding watershed when precipitation is heavy or frequent enough to suspend and carry fine particles from the </w:t>
      </w:r>
      <w:r w:rsidR="009334F3" w:rsidRPr="009A2E44">
        <w:rPr>
          <w:rFonts w:ascii="Garamond" w:hAnsi="Garamond"/>
        </w:rPr>
        <w:t>proxima</w:t>
      </w:r>
      <w:r w:rsidR="009334F3">
        <w:rPr>
          <w:rFonts w:ascii="Garamond" w:hAnsi="Garamond"/>
        </w:rPr>
        <w:t>l</w:t>
      </w:r>
      <w:r w:rsidR="009334F3" w:rsidRPr="009A2E44">
        <w:rPr>
          <w:rFonts w:ascii="Garamond" w:hAnsi="Garamond"/>
        </w:rPr>
        <w:t xml:space="preserve"> </w:t>
      </w:r>
      <w:r w:rsidRPr="009A2E44">
        <w:rPr>
          <w:rFonts w:ascii="Garamond" w:hAnsi="Garamond"/>
        </w:rPr>
        <w:t xml:space="preserve">environment </w:t>
      </w:r>
      <w:r w:rsidRPr="009A2E44">
        <w:rPr>
          <w:rFonts w:ascii="Garamond" w:hAnsi="Garamond"/>
        </w:rPr>
        <w:fldChar w:fldCharType="begin" w:fldLock="1"/>
      </w:r>
      <w:r w:rsidR="007E5301">
        <w:rPr>
          <w:rFonts w:ascii="Garamond" w:hAnsi="Garamond"/>
        </w:rPr>
        <w:instrText xml:space="preserve">ADDIN CSL_CITATION {"citationItems":[{"id":"ITEM-1","itemData":{"DOI":"10.1016/j.quascirev.2008.02.008","ISBN":"0277-3791","ISSN":"02773791","PMID":"3225","abstract":"Drill cores obtained from Lake Petén Itzá, Petén, Guatemala, contain a </w:instrText>
      </w:r>
      <w:r w:rsidR="007E5301">
        <w:rPr>
          <w:rFonts w:ascii="Cambria Math" w:hAnsi="Cambria Math" w:cs="Cambria Math"/>
        </w:rPr>
        <w:instrText>∼</w:instrText>
      </w:r>
      <w:r w:rsidR="007E5301">
        <w:rPr>
          <w:rFonts w:ascii="Garamond" w:hAnsi="Garamond"/>
        </w:rPr>
        <w:instrText xml:space="preserve">85-kyr record of terrestrial climate from lowland Central America that was used to reconstruct hydrologic changes in the northern Neotropics during the last glaciation. Sediments are composed of alternating clay and gypsum reflecting relatively wet and dry climate conditions, respectively. From </w:instrText>
      </w:r>
      <w:r w:rsidR="007E5301">
        <w:rPr>
          <w:rFonts w:ascii="Cambria Math" w:hAnsi="Cambria Math" w:cs="Cambria Math"/>
        </w:rPr>
        <w:instrText>∼</w:instrText>
      </w:r>
      <w:r w:rsidR="007E5301">
        <w:rPr>
          <w:rFonts w:ascii="Garamond" w:hAnsi="Garamond"/>
        </w:rPr>
        <w:instrText xml:space="preserve">85 to 48 ka, sediments were dominated by carbonate clay indicating moist conditions during Marine Isotope Stages (MIS) 5a, 4, and early 3. The first gypsum layer was deposited at </w:instrText>
      </w:r>
      <w:r w:rsidR="007E5301">
        <w:rPr>
          <w:rFonts w:ascii="Cambria Math" w:hAnsi="Cambria Math" w:cs="Cambria Math"/>
        </w:rPr>
        <w:instrText>∼</w:instrText>
      </w:r>
      <w:r w:rsidR="007E5301">
        <w:rPr>
          <w:rFonts w:ascii="Garamond" w:hAnsi="Garamond"/>
        </w:rPr>
        <w:instrText>48 ka, signifying a shift toward drier hydrologic conditions and the onset of wet-dry oscillations. During the latter part of MIS 3, Petén climate varied between wetter conditions during interstadials and drier states during stadials. The pattern of clay-gypsum (wet-dry) oscillations during the latter part of MIS 3 (</w:instrText>
      </w:r>
      <w:r w:rsidR="007E5301">
        <w:rPr>
          <w:rFonts w:ascii="Cambria Math" w:hAnsi="Cambria Math" w:cs="Cambria Math"/>
        </w:rPr>
        <w:instrText>∼</w:instrText>
      </w:r>
      <w:r w:rsidR="007E5301">
        <w:rPr>
          <w:rFonts w:ascii="Garamond" w:hAnsi="Garamond"/>
        </w:rPr>
        <w:instrText xml:space="preserve">48-23 ka) closely resembles the temperature records from Greenland ice cores and North Atlantic marine sediment cores and precipitation proxies from the Cariaco Basin. The most arid periods coincided with Heinrich Events when cold sea surface temperatures prevailed in the North Atlantic, meridional overturning circulation was reduced, and the Intertropical Convergence Zone (ITCZ) was displaced southward. A thick clay unit was deposited from 23 to 18 ka suggesting deposition in a deep lake, and pollen accumulated during the same period indicates vegetation consisted of a temperate pine-oak forest. This finding contradicts previous inferences that climate was arid during the Last Glacial Maximum (LGM) chronozone (21±2 ka). At </w:instrText>
      </w:r>
      <w:r w:rsidR="007E5301">
        <w:rPr>
          <w:rFonts w:ascii="Cambria Math" w:hAnsi="Cambria Math" w:cs="Cambria Math"/>
        </w:rPr>
        <w:instrText>∼</w:instrText>
      </w:r>
      <w:r w:rsidR="007E5301">
        <w:rPr>
          <w:rFonts w:ascii="Garamond" w:hAnsi="Garamond"/>
        </w:rPr>
        <w:instrText xml:space="preserve">18 ka, Petén climate switched from moist to arid conditions and remained dry from 18 to 14.7 ka during the early deglaciation. Moister conditions prevailed during the warmer Bolling-Allerod (14.7-12.8 ka) with the exception of a brief return to dry conditions at </w:instrText>
      </w:r>
      <w:r w:rsidR="007E5301">
        <w:rPr>
          <w:rFonts w:ascii="Cambria Math" w:hAnsi="Cambria Math" w:cs="Cambria Math"/>
        </w:rPr>
        <w:instrText>∼</w:instrText>
      </w:r>
      <w:r w:rsidR="007E5301">
        <w:rPr>
          <w:rFonts w:ascii="Garamond" w:hAnsi="Garamond"/>
        </w:rPr>
        <w:instrText xml:space="preserve">13.8 ka that coincides with the Older Dryas and meltwater pulse 1A. The onset of the Younger Dryas at 12.8 ka marked the return of gypsum and hence dry conditions. The lake continued to precipitate gypsum until </w:instrText>
      </w:r>
      <w:r w:rsidR="007E5301">
        <w:rPr>
          <w:rFonts w:ascii="Cambria Math" w:hAnsi="Cambria Math" w:cs="Cambria Math"/>
        </w:rPr>
        <w:instrText>∼</w:instrText>
      </w:r>
      <w:r w:rsidR="007E5301">
        <w:rPr>
          <w:rFonts w:ascii="Garamond" w:hAnsi="Garamond"/>
        </w:rPr>
        <w:instrText>10.3 ka when rainfall increased markedly in the early Holocene. © 2008 Elsevier Ltd. All rights reserved.","author":[{"dropping-particle":"","family":"Hodell","given":"David A.","non-dropping-particle":"","parse-names":false,"suffix":""},{"dropping-particle":"","family":"Anselmetti","given":"Flavio S.","non-dropping-particle":"","parse-names":false,"suffix":""},{"dropping-particle":"","family":"Ariztegui","given":"Daniel","non-dropping-particle":"","parse-names":false,"suffix":""},{"dropping-particle":"","family":"Brenner","given":"Mark","non-dropping-particle":"","parse-names":false,"suffix":""},{"dropping-particle":"","family":"Curtis","given":"Jason H.","non-dropping-particle":"","parse-names":false,"suffix":""},{"dropping-particle":"","family":"Gilli","given":"Adrian","non-dropping-particle":"","parse-names":false,"suffix":""},{"dropping-particle":"","family":"Grzesik","given":"Dustin A.","non-dropping-particle":"","parse-names":false,"suffix":""},{"dropping-particle":"","family":"Guilderson","given":"Thomas J.","non-dropping-particle":"","parse-names":false,"suffix":""},{"dropping-particle":"","family":"Müller","given":"Andreas D.","non-dropping-particle":"","parse-names":false,"suffix":""},{"dropping-particle":"","family":"Bush","given":"Mark B.","non-dropping-particle":"","parse-names":false,"suffix":""},{"dropping-particle":"","family":"Correa-Metrio","given":"Alexander","non-dropping-particle":"","parse-names":false,"suffix":""},{"dropping-particle":"","family":"Escobar","given":"Jaime","non-dropping-particle":"","parse-names":false,"suffix":""},{"dropping-particle":"","family":"Kutterolf","given":"Steffen","non-dropping-particle":"","parse-names":false,"suffix":""}],"container-title":"Quaternary Science Reviews","id":"ITEM-1","issue":"11-12","issued":{"date-parts":[["2008"]]},"page":"1152-1165","title":"An 85-ka record of climate change in lowland Central America","type":"article-journal","volume":"27"},"uris":["http://www.mendeley.com/documents/?uuid=c872c4a0-8508-4909-a42d-bb5aed86632f"]},{"id":"ITEM-2","itemData":{"DOI":"10.1007/s10933-011-9564-3","ISBN":"0921-2728","ISSN":"09212728","abstract":"Variations in the location and strength of convection in the Western Pacific Warm Pool (WPWP) have a profound impact on the distribution and amount of global rainfall. Much of the variability in WPWP convection is attributed to variations in the El Nio-Southern Oscillation, for which the long-term trends and forcing mechanisms remain poorly understood. Despite the importance of WPWP convection to global climate change, we have very few paleohydrological reconstructions from the region. Here we present a new paleolimnologic and paleohydrologic record spanning the past 1,400 years using a multi-proxy dataset from Lake Logung, located in East Java, Indonesia that provides insights into centennial-scale trends in warm pool hydrology. Organic matter delta(13)C data indicate that East Java became wetter over the last millennium until ca. 1800 Common Era (CE), consistent with evidence for the southward migration of the Intertropical Convergence Zone (ITCZ) during this time. Superimposed on this long-term trend are four decade- to century-scale droughts, inferred from organic matter delta(13)C and calcite abundance data. They are centered at 1030, 1550, 1830, and 1996 CE. The three more recent droughts correlate with hydrologic anomalies documented in other proxy records from the WPWP region on both sides of the equator, and the two most recent droughts correlate in time with historically documented periods of multiple, intense El Nio events. Thus, our record provides strong evidence that century-scale hydrologic variability in this region relates to changes in the Walker Circulation. Human activity within the lake catchment is apparent since 1860 CE.","author":[{"dropping-particle":"","family":"Rodysill","given":"Jessica R.","non-dropping-particle":"","parse-names":false,"suffix":""},{"dropping-particle":"","family":"Russell","given":"James M.","non-dropping-particle":"","parse-names":false,"suffix":""},{"dropping-particle":"","family":"Bijaksana","given":"Satria","non-dropping-particle":"","parse-names":false,"suffix":""},{"dropping-particle":"","family":"Brown","given":"Erik T.","non-dropping-particle":"","parse-names":false,"suffix":""},{"dropping-particle":"","family":"Safiuddin","given":"La Ode","non-dropping-particle":"","parse-names":false,"suffix":""},{"dropping-particle":"","family":"Eggermont","given":"Hilde","non-dropping-particle":"","parse-names":false,"suffix":""}],"container-title":"Journal of Paleolimnology","id":"ITEM-2","issue":"1","issued":{"date-parts":[["2012"]]},"page":"125-139","title":"A paleolimnological record of rainfall and drought from East Java, Indonesia during the last 1,400 years","type":"article-journal","volume":"47"},"uris":["http://www.mendeley.com/documents/?uuid=b47132a0-8ba6-45d6-afee-bf3c500e93ca"]},{"id":"ITEM-3","itemData":{"DOI":"10.1007/s11434-011-4592-y","ISBN":"1001-6538\\r1861-9541","ISSN":"10016538","abstract":"Variations in monsoon strength, moisture or precipitation in eastern China during the MWP reflected by different climatic records have shown apparent discrepancies. Here, detailed environmental magnetic investigations and mineralogical analyses were conducted on lacustrine sediments of Core GH09B1 (2.8 m long) from Gonghai Lake, Shanxi, North China, concerning the monsoon history during the MWP. The results demonstrate that the main magnetic mineral is magnetite. The sediments with relatively high magnetic mineral concentrations were characterized by relatively fine magnetic grain sizes, which were formed in a period of relatively strong pedogenesis and high precipitation. In contrast, the sediments with low magnetic mineral concentrations reflected an opposite process. The variations of magnetic parameters in Gonghai Lake sediments were mainly controlled by the degree of pedogenesis in the lake drainage basin, which further indicated the strength of the Asian summer monsoon. The variations in the χ and S -300 parameters of the core clearly reveal the Asian summer monsoon history over the last 1200 years in the study area, suggesting generally abundant precipitation and a strong summer monsoon during the Medieval Warm Period (MWP, AD 910-1220), which is supported by pollen evidence. Furthermore, this 3-6-year resolution environmental magnetic record indicates a dry event around AD 980-1050, interrupting the generally humid MWP. The summer monsoon evolution over the last millennium recorded by magnetic parameters in sediments from Gonghai Lake correlates well with historical documentation (North China) and speleothem oxygen isotopes (Wanxiang Cave), as well as precipitation modeling results (extratropical East Asia), which all indicate a generally humid MWP within which centennial-scale moisture variability existed. It is thus demonstrated that environmental magnetic parameters could be used as an effective proxy for monsoon climate variations in high-resolution lacustrine sediments. © 2011 Science China Press and Springer-Verlag Berlin Heidelberg.","author":[{"dropping-particle":"","family":"Liu","given":"Jian Bao","non-dropping-particle":"","parse-names":false,"suffix":""},{"dropping-particle":"","family":"Chen","given":"Fa Hu","non-dropping-particle":"","parse-names":false,"suffix":""},{"dropping-particle":"","family":"Chen","given":"Jian Hui","non-dropping-particle":"","parse-names":false,"suffix":""},{"dropping-particle":"","family":"Xia","given":"Dun Sheng","non-dropping-particle":"","parse-names":false,"suffix":""},{"dropping-particle":"","family":"Xu","given":"Qing Hai","non-dropping-particle":"","parse-names":false,"suffix":""},{"dropping-particle":"","family":"Wang","given":"Zong Li","non-dropping-particle":"","parse-names":false,"suffix":""},{"dropping-particle":"","family":"Li","given":"Yue Cong","non-dropping-particle":"","parse-names":false,"suffix":""}],"container-title":"Chinese Science Bulletin","id":"ITEM-3","issue":"23","issued":{"date-parts":[["2011"]]},"page":"2464-2474","title":"Humid medieval warm period recorded by magnetic characteristics of sediments from Gonghai Lake, Shanxi, North China","type":"article-journal","volume":"56"},"uris":["http://www.mendeley.com/documents/?uuid=8c3a6593-e3d1-40ac-acba-deb652c2d070"]},{"id":"ITEM-4","itemData":{"DOI":"10.1016/j.quaint.2019.04.002","ISSN":"10406182","abstract":"The introduction and application of high resolution XRF core scanners has made an enormous contribution to palaeoclimate science over the last two decades. These core scanners have become essential analytical tools for the investigation of sedimentary and other natural cumulative records of environmental change. Their widespread adoption by the environmental and geoscience communities has had a significant impact on the ability to systematically record high resolution chemical profiles in marine and lake sediments and soils. The range of applications has broadened beyond sedimentology and palaeoclimatology and now extends into scanning samples of speleothems, corals, mumiyo mounds, rocks, sedimentary nodules, archaeological artefacts, tree sections and melt segregations. Other areas exploiting the capability of XRF core scanners are mineral exploration, geotechnical characterisation, soil remediation studies and carbon capture and storage research. As a consequence of their ability to efficiently determine detailed, non-destructive elemental records in sediments and soils, scientific papers published since the year 2000 now number more than 1000.","author":[{"dropping-particle":"","family":"Croudace","given":"Ian W.","non-dropping-particle":"","parse-names":false,"suffix":""},{"dropping-particle":"","family":"Löwemark","given":"Ludvig","non-dropping-particle":"","parse-names":false,"suffix":""},{"dropping-particle":"","family":"Tjallingii","given":"Rik","non-dropping-particle":"","parse-names":false,"suffix":""},{"dropping-particle":"","family":"Zolitschka","given":"Bernd","non-dropping-particle":"","parse-names":false,"suffix":""}],"container-title":"Quaternary International","id":"ITEM-4","issue":"April","issued":{"date-parts":[["2019"]]},"publisher":"Elsevier","title":"Current perspectives on the capabilities of high resolution XRF core scanners","type":"article-journal"},"uris":["http://www.mendeley.com/documents/?uuid=2f1c7d0a-3d25-40a8-9a21-70b5ccbecaca"]},{"id":"ITEM-5","itemData":{"DOI":"10.1073/pnas.1920975117","ISSN":"10916490","PMID":"32253300","abstract":"The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America","id":"ITEM-5","issue":"16","issued":{"date-parts":[["2020"]]},"page":"8813-8819","title":"Human settlement of East Polynesia earlier, incremental, and coincident with prolonged South Pacific drought","type":"article-journal","volume":"117"},"uris":["http://www.mendeley.com/documents/?uuid=5e4a7b40-a602-4fa6-8dd7-b9d6ae8d7f06"]}],"mendeley":{"formattedCitation":"(Croudace et al., 2019; Hodell et al., 2008; Liu et al., 2011; Rodysill et al., 2012; Sear et al., 2020)","plainTextFormattedCitation":"(Croudace et al., 2019; Hodell et al., 2008; Liu et al., 2011; Rodysill et al., 2012; Sear et al., 2020)","previouslyFormattedCitation":"(Croudace et al., 2019; Hodell et al., 2008; Liu et al., 2011; Rodysill et al., 2012; Sear et al., 2020)"},"properties":{"noteIndex":0},"schema":"https://github.com/citation-style-language/schema/raw/master/csl-citation.json"}</w:instrText>
      </w:r>
      <w:r w:rsidRPr="009A2E44">
        <w:rPr>
          <w:rFonts w:ascii="Garamond" w:hAnsi="Garamond"/>
        </w:rPr>
        <w:fldChar w:fldCharType="separate"/>
      </w:r>
      <w:r w:rsidR="00FA5BB3" w:rsidRPr="00FA5BB3">
        <w:rPr>
          <w:rFonts w:ascii="Garamond" w:hAnsi="Garamond"/>
          <w:noProof/>
        </w:rPr>
        <w:t>(Croudace et al., 2019; Hodell et al., 2008; Liu et al., 2011; Rodysill et al., 2012; Sear et al., 2020)</w:t>
      </w:r>
      <w:r w:rsidRPr="009A2E44">
        <w:rPr>
          <w:rFonts w:ascii="Garamond" w:hAnsi="Garamond"/>
        </w:rPr>
        <w:fldChar w:fldCharType="end"/>
      </w:r>
      <w:r w:rsidRPr="009A2E44">
        <w:rPr>
          <w:rFonts w:ascii="Garamond" w:hAnsi="Garamond"/>
        </w:rPr>
        <w:t xml:space="preserve">. The </w:t>
      </w:r>
      <w:r w:rsidR="003E0061" w:rsidRPr="009A2E44">
        <w:rPr>
          <w:rFonts w:ascii="Garamond" w:hAnsi="Garamond"/>
        </w:rPr>
        <w:t xml:space="preserve">vertical cliffs surrounding Lac Lalolalo </w:t>
      </w:r>
      <w:r w:rsidR="006E514B">
        <w:rPr>
          <w:rFonts w:ascii="Garamond" w:hAnsi="Garamond"/>
        </w:rPr>
        <w:t xml:space="preserve">result in a </w:t>
      </w:r>
      <w:r w:rsidR="006E514B" w:rsidRPr="009A2E44">
        <w:rPr>
          <w:rFonts w:ascii="Garamond" w:hAnsi="Garamond"/>
        </w:rPr>
        <w:t>small catchment (restricted almost entirely to the lake surface)</w:t>
      </w:r>
      <w:r w:rsidR="006E514B">
        <w:rPr>
          <w:rFonts w:ascii="Garamond" w:hAnsi="Garamond"/>
        </w:rPr>
        <w:t xml:space="preserve"> and </w:t>
      </w:r>
      <w:r w:rsidR="003E0061" w:rsidRPr="009A2E44">
        <w:rPr>
          <w:rFonts w:ascii="Garamond" w:hAnsi="Garamond"/>
        </w:rPr>
        <w:t xml:space="preserve">limit the supply </w:t>
      </w:r>
      <w:r w:rsidR="004E680A">
        <w:rPr>
          <w:rFonts w:ascii="Garamond" w:hAnsi="Garamond"/>
        </w:rPr>
        <w:t xml:space="preserve">of </w:t>
      </w:r>
      <w:r w:rsidR="003E0061" w:rsidRPr="009A2E44">
        <w:rPr>
          <w:rFonts w:ascii="Garamond" w:hAnsi="Garamond"/>
        </w:rPr>
        <w:t xml:space="preserve">terrigenous runoff, resulting in primarily organic sediments, often containing terrestrial plant debris, and a low and noisy </w:t>
      </w:r>
      <w:r w:rsidR="00F076AC" w:rsidRPr="009A2E44">
        <w:rPr>
          <w:rFonts w:ascii="Garamond" w:hAnsi="Garamond"/>
        </w:rPr>
        <w:t>magnetic susceptibility</w:t>
      </w:r>
      <w:r w:rsidR="003E0061" w:rsidRPr="009A2E44">
        <w:rPr>
          <w:rFonts w:ascii="Garamond" w:hAnsi="Garamond"/>
        </w:rPr>
        <w:t xml:space="preserve"> signal (maximum </w:t>
      </w:r>
      <w:r w:rsidR="00F076AC" w:rsidRPr="009A2E44">
        <w:rPr>
          <w:rFonts w:ascii="Garamond" w:hAnsi="Garamond"/>
        </w:rPr>
        <w:t>magnetic susceptibility</w:t>
      </w:r>
      <w:r w:rsidR="003E0061" w:rsidRPr="009A2E44">
        <w:rPr>
          <w:rFonts w:ascii="Garamond" w:hAnsi="Garamond"/>
        </w:rPr>
        <w:t xml:space="preserve"> value 26 SI*10</w:t>
      </w:r>
      <w:r w:rsidR="003E0061" w:rsidRPr="009A2E44">
        <w:rPr>
          <w:rFonts w:ascii="Garamond" w:hAnsi="Garamond"/>
          <w:color w:val="202020"/>
          <w:shd w:val="clear" w:color="auto" w:fill="FFFFFF"/>
          <w:vertAlign w:val="superscript"/>
        </w:rPr>
        <w:t>−</w:t>
      </w:r>
      <w:r w:rsidR="003E0061" w:rsidRPr="009A2E44">
        <w:rPr>
          <w:rFonts w:ascii="Garamond" w:hAnsi="Garamond"/>
          <w:vertAlign w:val="superscript"/>
        </w:rPr>
        <w:t>5</w:t>
      </w:r>
      <w:r w:rsidR="003E0061" w:rsidRPr="009A2E44">
        <w:rPr>
          <w:rFonts w:ascii="Garamond" w:hAnsi="Garamond"/>
        </w:rPr>
        <w:t>). Lac Lanutavake is also surrounded by steep walls, but lower and more gradually sloping than Lac Lalolalo (</w:t>
      </w:r>
      <w:r w:rsidR="003E0061" w:rsidRPr="009A2E44">
        <w:rPr>
          <w:rFonts w:ascii="Garamond" w:hAnsi="Garamond"/>
          <w:b/>
          <w:bCs/>
        </w:rPr>
        <w:t>Fig.</w:t>
      </w:r>
      <w:r w:rsidR="001A2B7B" w:rsidRPr="009A2E44">
        <w:rPr>
          <w:rFonts w:ascii="Garamond" w:hAnsi="Garamond"/>
          <w:b/>
          <w:bCs/>
        </w:rPr>
        <w:t xml:space="preserve"> A.2, A.</w:t>
      </w:r>
      <w:r w:rsidR="001A04DF" w:rsidRPr="009A2E44">
        <w:rPr>
          <w:rFonts w:ascii="Garamond" w:hAnsi="Garamond"/>
          <w:b/>
          <w:bCs/>
        </w:rPr>
        <w:t>4</w:t>
      </w:r>
      <w:r w:rsidR="003E0061" w:rsidRPr="009A2E44">
        <w:rPr>
          <w:rFonts w:ascii="Garamond" w:hAnsi="Garamond"/>
        </w:rPr>
        <w:t>), creating a relatively more expansive watershed</w:t>
      </w:r>
      <w:r w:rsidR="004E680A">
        <w:rPr>
          <w:rFonts w:ascii="Garamond" w:hAnsi="Garamond"/>
        </w:rPr>
        <w:t xml:space="preserve"> relative to lake diameter</w:t>
      </w:r>
      <w:r w:rsidR="003E0061" w:rsidRPr="009A2E44">
        <w:rPr>
          <w:rFonts w:ascii="Garamond" w:hAnsi="Garamond"/>
        </w:rPr>
        <w:t xml:space="preserve">. Lac Lanutavake had organic-rich algal gyttja, less plant debris, and yielded large and detailed </w:t>
      </w:r>
      <w:r w:rsidR="00F076AC" w:rsidRPr="009A2E44">
        <w:rPr>
          <w:rFonts w:ascii="Garamond" w:hAnsi="Garamond"/>
        </w:rPr>
        <w:t>magnetic susceptibility</w:t>
      </w:r>
      <w:r w:rsidR="003E0061" w:rsidRPr="009A2E44">
        <w:rPr>
          <w:rFonts w:ascii="Garamond" w:hAnsi="Garamond"/>
        </w:rPr>
        <w:t xml:space="preserve"> signals. LATVKUC1 (</w:t>
      </w:r>
      <w:r w:rsidR="00F076AC" w:rsidRPr="009A2E44">
        <w:rPr>
          <w:rFonts w:ascii="Garamond" w:hAnsi="Garamond"/>
        </w:rPr>
        <w:t>magnetic susceptibility</w:t>
      </w:r>
      <w:r w:rsidR="003E0061" w:rsidRPr="009A2E44">
        <w:rPr>
          <w:rFonts w:ascii="Garamond" w:hAnsi="Garamond"/>
        </w:rPr>
        <w:t xml:space="preserve"> values up to 226 SI*10</w:t>
      </w:r>
      <w:r w:rsidR="003E0061" w:rsidRPr="009A2E44">
        <w:rPr>
          <w:rFonts w:ascii="Garamond" w:hAnsi="Garamond"/>
          <w:color w:val="202020"/>
          <w:shd w:val="clear" w:color="auto" w:fill="FFFFFF"/>
          <w:vertAlign w:val="superscript"/>
        </w:rPr>
        <w:t>−</w:t>
      </w:r>
      <w:r w:rsidR="003E0061" w:rsidRPr="009A2E44">
        <w:rPr>
          <w:rFonts w:ascii="Garamond" w:hAnsi="Garamond"/>
          <w:vertAlign w:val="superscript"/>
        </w:rPr>
        <w:t>5</w:t>
      </w:r>
      <w:r w:rsidR="003E0061" w:rsidRPr="009A2E44">
        <w:rPr>
          <w:rFonts w:ascii="Garamond" w:hAnsi="Garamond"/>
        </w:rPr>
        <w:t>) and LATVKUC4 (</w:t>
      </w:r>
      <w:r w:rsidR="00F076AC" w:rsidRPr="009A2E44">
        <w:rPr>
          <w:rFonts w:ascii="Garamond" w:hAnsi="Garamond"/>
        </w:rPr>
        <w:t>magnetic susceptibility</w:t>
      </w:r>
      <w:r w:rsidR="003E0061" w:rsidRPr="009A2E44">
        <w:rPr>
          <w:rFonts w:ascii="Garamond" w:hAnsi="Garamond"/>
        </w:rPr>
        <w:t xml:space="preserve"> values up to 316 SI*10</w:t>
      </w:r>
      <w:r w:rsidR="003E0061" w:rsidRPr="009A2E44">
        <w:rPr>
          <w:rFonts w:ascii="Garamond" w:hAnsi="Garamond"/>
          <w:color w:val="202020"/>
          <w:shd w:val="clear" w:color="auto" w:fill="FFFFFF"/>
          <w:vertAlign w:val="superscript"/>
        </w:rPr>
        <w:t>−</w:t>
      </w:r>
      <w:r w:rsidR="003E0061" w:rsidRPr="009A2E44">
        <w:rPr>
          <w:rFonts w:ascii="Garamond" w:hAnsi="Garamond"/>
          <w:vertAlign w:val="superscript"/>
        </w:rPr>
        <w:t>5</w:t>
      </w:r>
      <w:r w:rsidR="003E0061" w:rsidRPr="009A2E44">
        <w:rPr>
          <w:rFonts w:ascii="Garamond" w:hAnsi="Garamond"/>
        </w:rPr>
        <w:t xml:space="preserve">) had very similar </w:t>
      </w:r>
      <w:r w:rsidR="00F076AC" w:rsidRPr="009A2E44">
        <w:rPr>
          <w:rFonts w:ascii="Garamond" w:hAnsi="Garamond"/>
        </w:rPr>
        <w:t>magnetic susceptibility</w:t>
      </w:r>
      <w:r w:rsidR="003E0061" w:rsidRPr="009A2E44">
        <w:rPr>
          <w:rFonts w:ascii="Garamond" w:hAnsi="Garamond"/>
        </w:rPr>
        <w:t xml:space="preserve"> patterns (</w:t>
      </w:r>
      <w:r w:rsidR="003E0061" w:rsidRPr="009A2E44">
        <w:rPr>
          <w:rFonts w:ascii="Garamond" w:hAnsi="Garamond"/>
          <w:b/>
          <w:bCs/>
        </w:rPr>
        <w:t xml:space="preserve">Fig. </w:t>
      </w:r>
      <w:r w:rsidR="001A04DF" w:rsidRPr="009A2E44">
        <w:rPr>
          <w:rFonts w:ascii="Garamond" w:hAnsi="Garamond"/>
          <w:b/>
          <w:bCs/>
        </w:rPr>
        <w:t>2</w:t>
      </w:r>
      <w:r w:rsidR="003E0061" w:rsidRPr="009A2E44">
        <w:rPr>
          <w:rFonts w:ascii="Garamond" w:hAnsi="Garamond"/>
        </w:rPr>
        <w:t xml:space="preserve">). In addition to these </w:t>
      </w:r>
      <w:r w:rsidR="002B2D1E">
        <w:rPr>
          <w:rFonts w:ascii="Garamond" w:hAnsi="Garamond"/>
        </w:rPr>
        <w:t xml:space="preserve">two </w:t>
      </w:r>
      <w:r w:rsidR="003E0061" w:rsidRPr="009A2E44">
        <w:rPr>
          <w:rFonts w:ascii="Garamond" w:hAnsi="Garamond"/>
        </w:rPr>
        <w:t>cores selected for further analysis, two nearby cores from Lac Lanutavake (</w:t>
      </w:r>
      <w:r w:rsidR="001A2B7B" w:rsidRPr="009A2E44">
        <w:rPr>
          <w:rFonts w:ascii="Garamond" w:hAnsi="Garamond"/>
          <w:b/>
          <w:bCs/>
        </w:rPr>
        <w:t>Fig. A.</w:t>
      </w:r>
      <w:r w:rsidR="001A04DF" w:rsidRPr="009A2E44">
        <w:rPr>
          <w:rFonts w:ascii="Garamond" w:hAnsi="Garamond"/>
          <w:b/>
          <w:bCs/>
        </w:rPr>
        <w:t>4</w:t>
      </w:r>
      <w:r w:rsidR="003E0061" w:rsidRPr="009A2E44">
        <w:rPr>
          <w:rFonts w:ascii="Garamond" w:hAnsi="Garamond"/>
        </w:rPr>
        <w:t xml:space="preserve">) were analyzed for </w:t>
      </w:r>
      <w:r w:rsidR="00F076AC" w:rsidRPr="009A2E44">
        <w:rPr>
          <w:rFonts w:ascii="Garamond" w:hAnsi="Garamond"/>
        </w:rPr>
        <w:t>magnetic susceptibility</w:t>
      </w:r>
      <w:r w:rsidR="003E0061" w:rsidRPr="009A2E44">
        <w:rPr>
          <w:rFonts w:ascii="Garamond" w:hAnsi="Garamond"/>
        </w:rPr>
        <w:t xml:space="preserve"> only: LATVKUC3 (with very similar patterns to LAVTKUC4) and </w:t>
      </w:r>
      <w:r w:rsidR="004E680A">
        <w:rPr>
          <w:rFonts w:ascii="Garamond" w:hAnsi="Garamond"/>
        </w:rPr>
        <w:t xml:space="preserve">closest to the lake edge, </w:t>
      </w:r>
      <w:r w:rsidR="003E0061" w:rsidRPr="009A2E44">
        <w:rPr>
          <w:rFonts w:ascii="Garamond" w:hAnsi="Garamond"/>
        </w:rPr>
        <w:t xml:space="preserve">LATVKUC6 which </w:t>
      </w:r>
      <w:r w:rsidR="003E0061" w:rsidRPr="009A2E44">
        <w:rPr>
          <w:rFonts w:ascii="Garamond" w:hAnsi="Garamond"/>
        </w:rPr>
        <w:lastRenderedPageBreak/>
        <w:t>had a distinct feature (</w:t>
      </w:r>
      <w:r w:rsidR="00F076AC" w:rsidRPr="009A2E44">
        <w:rPr>
          <w:rFonts w:ascii="Garamond" w:hAnsi="Garamond"/>
        </w:rPr>
        <w:t>magnetic susceptibility</w:t>
      </w:r>
      <w:r w:rsidR="003E0061" w:rsidRPr="009A2E44">
        <w:rPr>
          <w:rFonts w:ascii="Garamond" w:hAnsi="Garamond"/>
        </w:rPr>
        <w:t xml:space="preserve"> values up to 800 SI*10</w:t>
      </w:r>
      <w:r w:rsidR="003E0061" w:rsidRPr="009A2E44">
        <w:rPr>
          <w:rFonts w:ascii="Garamond" w:hAnsi="Garamond"/>
          <w:color w:val="202020"/>
          <w:shd w:val="clear" w:color="auto" w:fill="FFFFFF"/>
          <w:vertAlign w:val="superscript"/>
        </w:rPr>
        <w:t>−</w:t>
      </w:r>
      <w:r w:rsidR="003E0061" w:rsidRPr="009A2E44">
        <w:rPr>
          <w:rFonts w:ascii="Garamond" w:hAnsi="Garamond"/>
          <w:vertAlign w:val="superscript"/>
        </w:rPr>
        <w:t>5</w:t>
      </w:r>
      <w:r w:rsidR="003E0061" w:rsidRPr="009A2E44">
        <w:rPr>
          <w:rFonts w:ascii="Garamond" w:hAnsi="Garamond"/>
        </w:rPr>
        <w:t>) not replicated in the other three cores (</w:t>
      </w:r>
      <w:r w:rsidR="003E0061" w:rsidRPr="009A2E44">
        <w:rPr>
          <w:rFonts w:ascii="Garamond" w:hAnsi="Garamond"/>
          <w:b/>
          <w:bCs/>
        </w:rPr>
        <w:t xml:space="preserve">Fig. </w:t>
      </w:r>
      <w:r w:rsidR="001A2B7B" w:rsidRPr="009A2E44">
        <w:rPr>
          <w:rFonts w:ascii="Garamond" w:hAnsi="Garamond"/>
          <w:b/>
          <w:bCs/>
        </w:rPr>
        <w:t>A.</w:t>
      </w:r>
      <w:r w:rsidR="001A04DF" w:rsidRPr="009A2E44">
        <w:rPr>
          <w:rFonts w:ascii="Garamond" w:hAnsi="Garamond"/>
          <w:b/>
          <w:bCs/>
        </w:rPr>
        <w:t>8</w:t>
      </w:r>
      <w:r w:rsidR="003E0061" w:rsidRPr="009A2E44">
        <w:rPr>
          <w:rFonts w:ascii="Garamond" w:hAnsi="Garamond"/>
        </w:rPr>
        <w:t>).</w:t>
      </w:r>
    </w:p>
    <w:p w14:paraId="45D95A5D" w14:textId="6C9E8C76" w:rsidR="003E0061" w:rsidRPr="009A2E44" w:rsidRDefault="003E0061" w:rsidP="001C47D3">
      <w:pPr>
        <w:spacing w:line="480" w:lineRule="auto"/>
        <w:ind w:firstLine="720"/>
        <w:rPr>
          <w:rFonts w:ascii="Garamond" w:hAnsi="Garamond"/>
        </w:rPr>
      </w:pPr>
      <w:r w:rsidRPr="009A2E44">
        <w:rPr>
          <w:rFonts w:ascii="Garamond" w:hAnsi="Garamond"/>
        </w:rPr>
        <w:t xml:space="preserve">Runoff proxies from Lake Lanoto’o (‘Upolu, Samoa) have been previously reported </w:t>
      </w:r>
      <w:r w:rsidRPr="009A2E44">
        <w:rPr>
          <w:rFonts w:ascii="Garamond" w:hAnsi="Garamond"/>
        </w:rPr>
        <w:fldChar w:fldCharType="begin" w:fldLock="1"/>
      </w:r>
      <w:r w:rsidR="00552157" w:rsidRPr="009A2E44">
        <w:rPr>
          <w:rFonts w:ascii="Garamond" w:hAnsi="Garamond"/>
        </w:rPr>
        <w:instrText>ADDIN CSL_CITATION {"citationItems":[{"id":"ITEM-1","itemData":{"DOI":"10.1111/jbi.13783","ISSN":"13652699","abstract":"Aim: To track the peopling of the South Pacific and assess their impact on terrestrial and aquatic ecosystems. Location: Upolu, Samoa. Taxon: Terrestrial and aquatic plants. Methods: A sedimentary record covering the last c. 10,500 years was recovered from the volcanic crater that contains Lake Lanoto'o near the centre of Upolu Island. Information on past ecological change was obtained from microscopic and macroscopic remains extracted from the sediments: charcoal (fire history), pollen/spores and plant remains (vegetation history), and lake status (algae/cyanobacteria). Information on the depositional environment and climate was obtained from geochemical and sedimentary analysis: loss-on-ignition (sediment composition), cryptotephras (volcanic eruptions) and precipitation regime (Ti/inc). The environmental history developed was compared with the archaeological record from the region. Results: Charcoal material was found in the Lake Lanoto'o sediments at higher abundances and more frequently in samples from the period after the first archaeological evidence of people on Upolu (c. 2900–2700 years ago). No abrupt shift is recognized in the vegetation or aquatic ecosystem assemblages coincident with the arrival of people on the island. Main conclusions: Macrocharcoal is demonstrated to be an effective proxy for detecting human occupation of Upolu around 2,800 years ago. The immediate impact of these settlers on the vegetation seems to have been minimal; however, a subsequent opening up of the landscape is suggested through the gradual increase in ferns. The absence of any significant change in the aquatic community associated with, or after, the arrival of people on the islands suggests that humans rarely visited the lake. We suggest that on Upolu a simple model of decreasing human impact away from coastal areas is applicable.","author":[{"dropping-particle":"","family":"Gosling","given":"William D","non-dropping-particle":"","parse-names":false,"suffix":""},{"dropping-particle":"","family":"Sear","given":"David A","non-dropping-particle":"","parse-names":false,"suffix":""},{"dropping-particle":"","family":"Hassall","given":"Jonathan D","non-dropping-particle":"","parse-names":false,"suffix":""},{"dropping-particle":"","family":"Langdon","given":"Pete G","non-dropping-particle":"","parse-names":false,"suffix":""},{"dropping-particle":"","family":"Bönnen","given":"Mick N T","non-dropping-particle":"","parse-names":false,"suffix":""},{"dropping-particle":"","family":"Driessen","given":"Tessa D","non-dropping-particle":"","parse-names":false,"suffix":""},{"dropping-particle":"","family":"Kemenade","given":"Zoë R","non-dropping-particle":"van","parse-names":false,"suffix":""},{"dropping-particle":"","family":"Noort","given":"Kevin","non-dropping-particle":"","parse-names":false,"suffix":""},{"dropping-particle":"","family":"Leng","given":"Melanie J","non-dropping-particle":"","parse-names":false,"suffix":""},{"dropping-particle":"","family":"Croudace","given":"Ian W","non-dropping-particle":"","parse-names":false,"suffix":""},{"dropping-particle":"","family":"Bourne","given":"Anna J","non-dropping-particle":"","parse-names":false,"suffix":""},{"dropping-particle":"Van","family":"Kemenade","given":"Zoë R","non-dropping-particle":"","parse-names":false,"suffix":""},{"dropping-particle":"","family":"McMichael","given":"Crystal N H","non-dropping-particle":"","parse-names":false,"suffix":""}],"container-title":"Journal of Biogeography","id":"ITEM-1","issued":{"date-parts":[["2020"]]},"page":"600-614","title":"Human occupation and ecosystem change on Upolu (Samoa) during the Holocene","type":"article-journal","volume":"47"},"uris":["http://www.mendeley.com/documents/?uuid=895f1559-fc09-4400-9937-b186d0b60b34"]}],"mendeley":{"formattedCitation":"(Gosling et al., 2020)","plainTextFormattedCitation":"(Gosling et al., 2020)","previouslyFormattedCitation":"(Gosling et al., 2020)"},"properties":{"noteIndex":0},"schema":"https://github.com/citation-style-language/schema/raw/master/csl-citation.json"}</w:instrText>
      </w:r>
      <w:r w:rsidRPr="009A2E44">
        <w:rPr>
          <w:rFonts w:ascii="Garamond" w:hAnsi="Garamond"/>
        </w:rPr>
        <w:fldChar w:fldCharType="separate"/>
      </w:r>
      <w:r w:rsidRPr="009A2E44">
        <w:rPr>
          <w:rFonts w:ascii="Garamond" w:hAnsi="Garamond"/>
          <w:noProof/>
        </w:rPr>
        <w:t>(Gosling et al., 2020)</w:t>
      </w:r>
      <w:r w:rsidRPr="009A2E44">
        <w:rPr>
          <w:rFonts w:ascii="Garamond" w:hAnsi="Garamond"/>
        </w:rPr>
        <w:fldChar w:fldCharType="end"/>
      </w:r>
      <w:r w:rsidRPr="009A2E44">
        <w:rPr>
          <w:rFonts w:ascii="Garamond" w:hAnsi="Garamond"/>
        </w:rPr>
        <w:t xml:space="preserve">, but only at low resolution for </w:t>
      </w:r>
      <w:proofErr w:type="spellStart"/>
      <w:r w:rsidRPr="009A2E44">
        <w:rPr>
          <w:rFonts w:ascii="Garamond" w:hAnsi="Garamond"/>
        </w:rPr>
        <w:t>Ti</w:t>
      </w:r>
      <w:proofErr w:type="spellEnd"/>
      <w:r w:rsidRPr="009A2E44">
        <w:rPr>
          <w:rFonts w:ascii="Garamond" w:hAnsi="Garamond"/>
        </w:rPr>
        <w:t>/Inc</w:t>
      </w:r>
      <w:r w:rsidR="005911FD">
        <w:rPr>
          <w:rFonts w:ascii="Garamond" w:hAnsi="Garamond"/>
        </w:rPr>
        <w:t>, now corrected</w:t>
      </w:r>
      <w:r w:rsidR="00964BC1" w:rsidRPr="009A2E44">
        <w:rPr>
          <w:rFonts w:ascii="Garamond" w:hAnsi="Garamond"/>
        </w:rPr>
        <w:t xml:space="preserve"> for water cont</w:t>
      </w:r>
      <w:r w:rsidR="004F51AE">
        <w:rPr>
          <w:rFonts w:ascii="Garamond" w:hAnsi="Garamond"/>
        </w:rPr>
        <w:t>ent</w:t>
      </w:r>
      <w:r w:rsidR="00964BC1" w:rsidRPr="009A2E44">
        <w:rPr>
          <w:rFonts w:ascii="Garamond" w:hAnsi="Garamond"/>
        </w:rPr>
        <w:t xml:space="preserve"> as </w:t>
      </w:r>
      <w:proofErr w:type="spellStart"/>
      <w:r w:rsidR="00964BC1" w:rsidRPr="009A2E44">
        <w:rPr>
          <w:rFonts w:ascii="Garamond" w:hAnsi="Garamond"/>
        </w:rPr>
        <w:t>Ti</w:t>
      </w:r>
      <w:proofErr w:type="spellEnd"/>
      <w:r w:rsidR="00964BC1" w:rsidRPr="009A2E44">
        <w:rPr>
          <w:rFonts w:ascii="Garamond" w:hAnsi="Garamond"/>
        </w:rPr>
        <w:t>*</w:t>
      </w:r>
      <w:r w:rsidR="004F51AE">
        <w:rPr>
          <w:rFonts w:ascii="Garamond" w:hAnsi="Garamond"/>
        </w:rPr>
        <w:t xml:space="preserve"> after Boyle et al (2015)</w:t>
      </w:r>
      <w:r w:rsidRPr="009A2E44">
        <w:rPr>
          <w:rFonts w:ascii="Garamond" w:hAnsi="Garamond"/>
        </w:rPr>
        <w:t xml:space="preserve">. </w:t>
      </w:r>
      <w:r w:rsidR="00BC3F2F">
        <w:rPr>
          <w:rFonts w:ascii="Garamond" w:hAnsi="Garamond"/>
        </w:rPr>
        <w:t xml:space="preserve">This work </w:t>
      </w:r>
      <w:r w:rsidRPr="009A2E44">
        <w:rPr>
          <w:rFonts w:ascii="Garamond" w:hAnsi="Garamond"/>
        </w:rPr>
        <w:t>present</w:t>
      </w:r>
      <w:r w:rsidR="00BC3F2F">
        <w:rPr>
          <w:rFonts w:ascii="Garamond" w:hAnsi="Garamond"/>
        </w:rPr>
        <w:t>s</w:t>
      </w:r>
      <w:r w:rsidRPr="009A2E44">
        <w:rPr>
          <w:rFonts w:ascii="Garamond" w:hAnsi="Garamond"/>
        </w:rPr>
        <w:t xml:space="preserve"> the high-resolution</w:t>
      </w:r>
      <w:r w:rsidR="00B318D5" w:rsidRPr="009A2E44">
        <w:rPr>
          <w:rFonts w:ascii="Garamond" w:hAnsi="Garamond"/>
        </w:rPr>
        <w:t xml:space="preserve"> </w:t>
      </w:r>
      <w:proofErr w:type="spellStart"/>
      <w:r w:rsidR="00B318D5" w:rsidRPr="009A2E44">
        <w:rPr>
          <w:rFonts w:ascii="Garamond" w:hAnsi="Garamond"/>
        </w:rPr>
        <w:t>Ti</w:t>
      </w:r>
      <w:proofErr w:type="spellEnd"/>
      <w:r w:rsidR="00964BC1" w:rsidRPr="009A2E44">
        <w:rPr>
          <w:rFonts w:ascii="Garamond" w:hAnsi="Garamond"/>
        </w:rPr>
        <w:t>*</w:t>
      </w:r>
      <w:r w:rsidR="00B318D5" w:rsidRPr="009A2E44">
        <w:rPr>
          <w:rFonts w:ascii="Garamond" w:hAnsi="Garamond"/>
        </w:rPr>
        <w:t xml:space="preserve"> </w:t>
      </w:r>
      <w:r w:rsidRPr="009A2E44">
        <w:rPr>
          <w:rFonts w:ascii="Garamond" w:hAnsi="Garamond"/>
        </w:rPr>
        <w:t>records from the Late Holocene sections (LAN</w:t>
      </w:r>
      <w:r w:rsidR="00964BC1" w:rsidRPr="009A2E44">
        <w:rPr>
          <w:rFonts w:ascii="Garamond" w:hAnsi="Garamond"/>
        </w:rPr>
        <w:t>14-</w:t>
      </w:r>
      <w:r w:rsidRPr="009A2E44">
        <w:rPr>
          <w:rFonts w:ascii="Garamond" w:hAnsi="Garamond"/>
        </w:rPr>
        <w:t>U2 and LAN</w:t>
      </w:r>
      <w:r w:rsidR="00964BC1" w:rsidRPr="009A2E44">
        <w:rPr>
          <w:rFonts w:ascii="Garamond" w:hAnsi="Garamond"/>
        </w:rPr>
        <w:t>14-L</w:t>
      </w:r>
      <w:r w:rsidRPr="009A2E44">
        <w:rPr>
          <w:rFonts w:ascii="Garamond" w:hAnsi="Garamond"/>
        </w:rPr>
        <w:t xml:space="preserve">1-1) to compare to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records </w:t>
      </w:r>
      <w:r w:rsidRPr="009A2E44">
        <w:rPr>
          <w:rFonts w:ascii="Garamond" w:hAnsi="Garamond"/>
        </w:rPr>
        <w:fldChar w:fldCharType="begin" w:fldLock="1"/>
      </w:r>
      <w:r w:rsidR="00E757E6">
        <w:rPr>
          <w:rFonts w:ascii="Garamond" w:hAnsi="Garamond"/>
        </w:rPr>
        <w:instrText>ADDIN CSL_CITATION {"citationItems":[{"id":"ITEM-1","itemData":{"DOI":"10.1073/pnas.1920975117","ISSN":"10916490","PMID":"32253300","abstract":"The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America","id":"ITEM-1","issue":"16","issued":{"date-parts":[["2020"]]},"page":"8813-8819","title":"Human settlement of East Polynesia earlier, incremental, and coincident with prolonged South Pacific drought","type":"article-journal","volume":"117"},"uris":["http://www.mendeley.com/documents/?uuid=5e4a7b40-a602-4fa6-8dd7-b9d6ae8d7f06"]}],"mendeley":{"formattedCitation":"(Sear et al., 2020)","plainTextFormattedCitation":"(Sear et al., 2020)","previouslyFormattedCitation":"(Sear et al., 2020)"},"properties":{"noteIndex":0},"schema":"https://github.com/citation-style-language/schema/raw/master/csl-citation.json"}</w:instrText>
      </w:r>
      <w:r w:rsidRPr="009A2E44">
        <w:rPr>
          <w:rFonts w:ascii="Garamond" w:hAnsi="Garamond"/>
        </w:rPr>
        <w:fldChar w:fldCharType="separate"/>
      </w:r>
      <w:r w:rsidRPr="009A2E44">
        <w:rPr>
          <w:rFonts w:ascii="Garamond" w:hAnsi="Garamond"/>
          <w:noProof/>
        </w:rPr>
        <w:t>(Sear et al., 2020)</w:t>
      </w:r>
      <w:r w:rsidRPr="009A2E44">
        <w:rPr>
          <w:rFonts w:ascii="Garamond" w:hAnsi="Garamond"/>
        </w:rPr>
        <w:fldChar w:fldCharType="end"/>
      </w:r>
      <w:r w:rsidRPr="009A2E44">
        <w:rPr>
          <w:rFonts w:ascii="Garamond" w:hAnsi="Garamond"/>
        </w:rPr>
        <w:t xml:space="preserve">. </w:t>
      </w:r>
      <w:proofErr w:type="spellStart"/>
      <w:r w:rsidRPr="009A2E44">
        <w:rPr>
          <w:rFonts w:ascii="Garamond" w:hAnsi="Garamond"/>
        </w:rPr>
        <w:t>Ti</w:t>
      </w:r>
      <w:proofErr w:type="spellEnd"/>
      <w:r w:rsidR="00964BC1" w:rsidRPr="009A2E44">
        <w:rPr>
          <w:rFonts w:ascii="Garamond" w:hAnsi="Garamond"/>
        </w:rPr>
        <w:t xml:space="preserve">* </w:t>
      </w:r>
      <w:r w:rsidRPr="009A2E44">
        <w:rPr>
          <w:rFonts w:ascii="Garamond" w:hAnsi="Garamond"/>
        </w:rPr>
        <w:t xml:space="preserve">values were highest (~2.5) around the MCA, dropping to very low levels (below 0.5) during the LIA, then climbing to 1.0 </w:t>
      </w:r>
      <w:r w:rsidR="005911FD">
        <w:rPr>
          <w:rFonts w:ascii="Garamond" w:hAnsi="Garamond"/>
          <w:color w:val="202020"/>
          <w:shd w:val="clear" w:color="auto" w:fill="FFFFFF"/>
        </w:rPr>
        <w:t>to</w:t>
      </w:r>
      <w:r w:rsidR="005911FD" w:rsidRPr="009A2E44">
        <w:rPr>
          <w:rFonts w:ascii="Garamond" w:hAnsi="Garamond"/>
          <w:color w:val="202020"/>
          <w:shd w:val="clear" w:color="auto" w:fill="FFFFFF"/>
        </w:rPr>
        <w:t xml:space="preserve"> </w:t>
      </w:r>
      <w:r w:rsidRPr="009A2E44">
        <w:rPr>
          <w:rFonts w:ascii="Garamond" w:hAnsi="Garamond"/>
        </w:rPr>
        <w:t xml:space="preserve">1.5 near the core top. The </w:t>
      </w:r>
      <w:r w:rsidR="00F076AC" w:rsidRPr="009A2E44">
        <w:rPr>
          <w:rFonts w:ascii="Garamond" w:hAnsi="Garamond"/>
        </w:rPr>
        <w:t>magnetic susceptibility</w:t>
      </w:r>
      <w:r w:rsidRPr="009A2E44">
        <w:rPr>
          <w:rFonts w:ascii="Garamond" w:hAnsi="Garamond"/>
        </w:rPr>
        <w:t xml:space="preserve"> signal closely </w:t>
      </w:r>
      <w:r w:rsidR="009334F3">
        <w:rPr>
          <w:rFonts w:ascii="Garamond" w:hAnsi="Garamond"/>
        </w:rPr>
        <w:t>tracked</w:t>
      </w:r>
      <w:r w:rsidR="009334F3" w:rsidRPr="009A2E44">
        <w:rPr>
          <w:rFonts w:ascii="Garamond" w:hAnsi="Garamond"/>
        </w:rPr>
        <w:t xml:space="preserve"> </w:t>
      </w:r>
      <w:r w:rsidRPr="009A2E44">
        <w:rPr>
          <w:rFonts w:ascii="Garamond" w:hAnsi="Garamond"/>
        </w:rPr>
        <w:t xml:space="preserve">the </w:t>
      </w:r>
      <w:proofErr w:type="spellStart"/>
      <w:r w:rsidRPr="009A2E44">
        <w:rPr>
          <w:rFonts w:ascii="Garamond" w:hAnsi="Garamond"/>
        </w:rPr>
        <w:t>Ti</w:t>
      </w:r>
      <w:proofErr w:type="spellEnd"/>
      <w:r w:rsidR="00964BC1" w:rsidRPr="009A2E44">
        <w:rPr>
          <w:rFonts w:ascii="Garamond" w:hAnsi="Garamond"/>
        </w:rPr>
        <w:t xml:space="preserve">* </w:t>
      </w:r>
      <w:r w:rsidRPr="009A2E44">
        <w:rPr>
          <w:rFonts w:ascii="Garamond" w:hAnsi="Garamond"/>
        </w:rPr>
        <w:t>pattern with values up to 9 SI*10</w:t>
      </w:r>
      <w:r w:rsidRPr="009A2E44">
        <w:rPr>
          <w:rFonts w:ascii="Garamond" w:hAnsi="Garamond"/>
          <w:color w:val="202020"/>
          <w:shd w:val="clear" w:color="auto" w:fill="FFFFFF"/>
          <w:vertAlign w:val="superscript"/>
        </w:rPr>
        <w:t>−</w:t>
      </w:r>
      <w:r w:rsidR="006E514B">
        <w:rPr>
          <w:rFonts w:ascii="Garamond" w:hAnsi="Garamond"/>
          <w:vertAlign w:val="superscript"/>
        </w:rPr>
        <w:t>6</w:t>
      </w:r>
      <w:r w:rsidRPr="009A2E44">
        <w:rPr>
          <w:rFonts w:ascii="Garamond" w:hAnsi="Garamond"/>
        </w:rPr>
        <w:t xml:space="preserve">. Both the </w:t>
      </w:r>
      <w:r w:rsidR="00F076AC" w:rsidRPr="009A2E44">
        <w:rPr>
          <w:rFonts w:ascii="Garamond" w:hAnsi="Garamond"/>
        </w:rPr>
        <w:t>magnetic susceptibility</w:t>
      </w:r>
      <w:r w:rsidRPr="009A2E44">
        <w:rPr>
          <w:rFonts w:ascii="Garamond" w:hAnsi="Garamond"/>
        </w:rPr>
        <w:t xml:space="preserve"> and </w:t>
      </w:r>
      <w:proofErr w:type="spellStart"/>
      <w:r w:rsidRPr="009A2E44">
        <w:rPr>
          <w:rFonts w:ascii="Garamond" w:hAnsi="Garamond"/>
        </w:rPr>
        <w:t>Ti</w:t>
      </w:r>
      <w:proofErr w:type="spellEnd"/>
      <w:r w:rsidR="00964BC1" w:rsidRPr="009A2E44">
        <w:rPr>
          <w:rFonts w:ascii="Garamond" w:hAnsi="Garamond"/>
        </w:rPr>
        <w:t xml:space="preserve">* </w:t>
      </w:r>
      <w:r w:rsidRPr="009A2E44">
        <w:rPr>
          <w:rFonts w:ascii="Garamond" w:hAnsi="Garamond"/>
        </w:rPr>
        <w:t xml:space="preserve">records were well-aligned with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records </w:t>
      </w:r>
      <w:r w:rsidR="00B318D5" w:rsidRPr="009A2E44">
        <w:rPr>
          <w:rFonts w:ascii="Garamond" w:hAnsi="Garamond"/>
        </w:rPr>
        <w:t>except during the</w:t>
      </w:r>
      <w:r w:rsidRPr="009A2E44">
        <w:rPr>
          <w:rFonts w:ascii="Garamond" w:hAnsi="Garamond"/>
        </w:rPr>
        <w:t xml:space="preserve"> MCA (</w:t>
      </w:r>
      <w:r w:rsidRPr="009A2E44">
        <w:rPr>
          <w:rFonts w:ascii="Garamond" w:hAnsi="Garamond"/>
          <w:b/>
          <w:bCs/>
        </w:rPr>
        <w:t xml:space="preserve">Fig. </w:t>
      </w:r>
      <w:r w:rsidR="00DA69D3" w:rsidRPr="009A2E44">
        <w:rPr>
          <w:rFonts w:ascii="Garamond" w:hAnsi="Garamond"/>
          <w:b/>
          <w:bCs/>
        </w:rPr>
        <w:t>2</w:t>
      </w:r>
      <w:r w:rsidRPr="009A2E44">
        <w:rPr>
          <w:rFonts w:ascii="Garamond" w:hAnsi="Garamond"/>
        </w:rPr>
        <w:t>) when lake levels dropped</w:t>
      </w:r>
      <w:r w:rsidR="00215596">
        <w:rPr>
          <w:rFonts w:ascii="Garamond" w:hAnsi="Garamond"/>
        </w:rPr>
        <w:t>,</w:t>
      </w:r>
      <w:r w:rsidRPr="009A2E44">
        <w:rPr>
          <w:rFonts w:ascii="Garamond" w:hAnsi="Garamond"/>
        </w:rPr>
        <w:t xml:space="preserve"> changing the physical lake basin. Prior to </w:t>
      </w:r>
      <w:r w:rsidR="009C122A">
        <w:rPr>
          <w:rFonts w:ascii="Garamond" w:hAnsi="Garamond"/>
        </w:rPr>
        <w:t xml:space="preserve">and after </w:t>
      </w:r>
      <w:r w:rsidRPr="009A2E44">
        <w:rPr>
          <w:rFonts w:ascii="Garamond" w:hAnsi="Garamond"/>
        </w:rPr>
        <w:t xml:space="preserve">this divergence, </w:t>
      </w:r>
      <w:r w:rsidR="00F076AC" w:rsidRPr="009A2E44">
        <w:rPr>
          <w:rFonts w:ascii="Garamond" w:hAnsi="Garamond"/>
        </w:rPr>
        <w:t xml:space="preserve">magnetic </w:t>
      </w:r>
      <w:proofErr w:type="gramStart"/>
      <w:r w:rsidR="00F076AC" w:rsidRPr="009A2E44">
        <w:rPr>
          <w:rFonts w:ascii="Garamond" w:hAnsi="Garamond"/>
        </w:rPr>
        <w:t>susceptibility</w:t>
      </w:r>
      <w:proofErr w:type="gramEnd"/>
      <w:r w:rsidRPr="009A2E44">
        <w:rPr>
          <w:rFonts w:ascii="Garamond" w:hAnsi="Garamond"/>
        </w:rPr>
        <w:t xml:space="preserve"> and </w:t>
      </w:r>
      <w:proofErr w:type="spellStart"/>
      <w:r w:rsidRPr="009A2E44">
        <w:rPr>
          <w:rFonts w:ascii="Garamond" w:hAnsi="Garamond"/>
        </w:rPr>
        <w:t>Ti</w:t>
      </w:r>
      <w:proofErr w:type="spellEnd"/>
      <w:r w:rsidR="00964BC1" w:rsidRPr="009A2E44">
        <w:rPr>
          <w:rFonts w:ascii="Garamond" w:hAnsi="Garamond"/>
        </w:rPr>
        <w:t xml:space="preserve">* </w:t>
      </w:r>
      <w:r w:rsidRPr="009A2E44">
        <w:rPr>
          <w:rFonts w:ascii="Garamond" w:hAnsi="Garamond"/>
        </w:rPr>
        <w:t xml:space="preserve">values </w:t>
      </w:r>
      <w:r w:rsidR="007C6373">
        <w:rPr>
          <w:rFonts w:ascii="Garamond" w:hAnsi="Garamond"/>
        </w:rPr>
        <w:t>we</w:t>
      </w:r>
      <w:r w:rsidR="007C6373" w:rsidRPr="009A2E44">
        <w:rPr>
          <w:rFonts w:ascii="Garamond" w:hAnsi="Garamond"/>
        </w:rPr>
        <w:t xml:space="preserve">re </w:t>
      </w:r>
      <w:r w:rsidRPr="009A2E44">
        <w:rPr>
          <w:rFonts w:ascii="Garamond" w:hAnsi="Garamond"/>
        </w:rPr>
        <w:t xml:space="preserve">well correlated </w:t>
      </w:r>
      <w:r w:rsidR="009C122A">
        <w:rPr>
          <w:rFonts w:ascii="Garamond" w:hAnsi="Garamond"/>
        </w:rPr>
        <w:t>(R</w:t>
      </w:r>
      <w:r w:rsidR="009C122A" w:rsidRPr="009C122A">
        <w:rPr>
          <w:rFonts w:ascii="Garamond" w:hAnsi="Garamond"/>
          <w:vertAlign w:val="superscript"/>
        </w:rPr>
        <w:t>2</w:t>
      </w:r>
      <w:r w:rsidR="009C122A">
        <w:rPr>
          <w:rFonts w:ascii="Garamond" w:hAnsi="Garamond"/>
        </w:rPr>
        <w:t xml:space="preserve"> = 0.4</w:t>
      </w:r>
      <w:r w:rsidR="00482DE6">
        <w:rPr>
          <w:rFonts w:ascii="Garamond" w:hAnsi="Garamond"/>
        </w:rPr>
        <w:t>1</w:t>
      </w:r>
      <w:r w:rsidR="009C122A">
        <w:rPr>
          <w:rFonts w:ascii="Garamond" w:hAnsi="Garamond"/>
        </w:rPr>
        <w:t xml:space="preserve"> </w:t>
      </w:r>
      <w:r w:rsidR="00482DE6">
        <w:rPr>
          <w:rFonts w:ascii="Garamond" w:hAnsi="Garamond"/>
        </w:rPr>
        <w:t>and</w:t>
      </w:r>
      <w:r w:rsidR="009C122A">
        <w:rPr>
          <w:rFonts w:ascii="Garamond" w:hAnsi="Garamond"/>
        </w:rPr>
        <w:t xml:space="preserve"> 0.4</w:t>
      </w:r>
      <w:r w:rsidR="00482DE6">
        <w:rPr>
          <w:rFonts w:ascii="Garamond" w:hAnsi="Garamond"/>
        </w:rPr>
        <w:t>5</w:t>
      </w:r>
      <w:r w:rsidR="009C122A">
        <w:rPr>
          <w:rFonts w:ascii="Garamond" w:hAnsi="Garamond"/>
        </w:rPr>
        <w:t>, p</w:t>
      </w:r>
      <w:r w:rsidR="00482DE6">
        <w:rPr>
          <w:rFonts w:ascii="Garamond" w:hAnsi="Garamond"/>
        </w:rPr>
        <w:t>=</w:t>
      </w:r>
      <w:r w:rsidR="009C122A">
        <w:rPr>
          <w:rFonts w:ascii="Garamond" w:hAnsi="Garamond"/>
        </w:rPr>
        <w:t>0.00</w:t>
      </w:r>
      <w:r w:rsidR="00482DE6">
        <w:rPr>
          <w:rFonts w:ascii="Garamond" w:hAnsi="Garamond"/>
        </w:rPr>
        <w:t>4 and 0.003</w:t>
      </w:r>
      <w:r w:rsidR="009C122A">
        <w:rPr>
          <w:rFonts w:ascii="Garamond" w:hAnsi="Garamond"/>
        </w:rPr>
        <w:t xml:space="preserve">) </w:t>
      </w:r>
      <w:r w:rsidRPr="009A2E44">
        <w:rPr>
          <w:rFonts w:ascii="Garamond" w:hAnsi="Garamond"/>
        </w:rPr>
        <w:t xml:space="preserve">with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values from same depths (</w:t>
      </w:r>
      <w:r w:rsidRPr="009A2E44">
        <w:rPr>
          <w:rFonts w:ascii="Garamond" w:hAnsi="Garamond"/>
          <w:b/>
          <w:bCs/>
        </w:rPr>
        <w:t xml:space="preserve">Fig. </w:t>
      </w:r>
      <w:r w:rsidR="00DA69D3" w:rsidRPr="009A2E44">
        <w:rPr>
          <w:rFonts w:ascii="Garamond" w:hAnsi="Garamond"/>
          <w:b/>
          <w:bCs/>
        </w:rPr>
        <w:t>A.</w:t>
      </w:r>
      <w:r w:rsidR="00964BC1" w:rsidRPr="009A2E44">
        <w:rPr>
          <w:rFonts w:ascii="Garamond" w:hAnsi="Garamond"/>
          <w:b/>
          <w:bCs/>
        </w:rPr>
        <w:t>7</w:t>
      </w:r>
      <w:r w:rsidR="004F51AE">
        <w:rPr>
          <w:rFonts w:ascii="Garamond" w:hAnsi="Garamond"/>
          <w:b/>
          <w:bCs/>
        </w:rPr>
        <w:t>; Section 5.2.1 below</w:t>
      </w:r>
      <w:r w:rsidRPr="009A2E44">
        <w:rPr>
          <w:rFonts w:ascii="Garamond" w:hAnsi="Garamond"/>
        </w:rPr>
        <w:t>)</w:t>
      </w:r>
      <w:r w:rsidR="00964BC1" w:rsidRPr="009A2E44">
        <w:rPr>
          <w:rFonts w:ascii="Garamond" w:hAnsi="Garamond"/>
        </w:rPr>
        <w:t>.</w:t>
      </w:r>
    </w:p>
    <w:p w14:paraId="3E6C72A2" w14:textId="197F8BAC" w:rsidR="003E0061" w:rsidRPr="009A2E44" w:rsidRDefault="003E0061" w:rsidP="001C47D3">
      <w:pPr>
        <w:spacing w:line="480" w:lineRule="auto"/>
        <w:ind w:firstLine="720"/>
        <w:rPr>
          <w:rFonts w:ascii="Garamond" w:hAnsi="Garamond"/>
        </w:rPr>
      </w:pPr>
      <w:r w:rsidRPr="009A2E44">
        <w:rPr>
          <w:rFonts w:ascii="Garamond" w:hAnsi="Garamond"/>
        </w:rPr>
        <w:t xml:space="preserve">Lake Emaotul runoff records </w:t>
      </w:r>
      <w:r w:rsidR="001A2B7B" w:rsidRPr="009A2E44">
        <w:rPr>
          <w:rFonts w:ascii="Garamond" w:hAnsi="Garamond"/>
        </w:rPr>
        <w:t>had</w:t>
      </w:r>
      <w:r w:rsidRPr="009A2E44">
        <w:rPr>
          <w:rFonts w:ascii="Garamond" w:hAnsi="Garamond"/>
        </w:rPr>
        <w:t xml:space="preserve"> </w:t>
      </w:r>
      <w:proofErr w:type="spellStart"/>
      <w:r w:rsidRPr="009A2E44">
        <w:rPr>
          <w:rFonts w:ascii="Garamond" w:hAnsi="Garamond"/>
        </w:rPr>
        <w:t>Ti</w:t>
      </w:r>
      <w:proofErr w:type="spellEnd"/>
      <w:r w:rsidRPr="009A2E44">
        <w:rPr>
          <w:rFonts w:ascii="Garamond" w:hAnsi="Garamond"/>
        </w:rPr>
        <w:t xml:space="preserve">/Inc levels </w:t>
      </w:r>
      <w:r w:rsidR="001A2B7B" w:rsidRPr="009A2E44">
        <w:rPr>
          <w:rFonts w:ascii="Garamond" w:hAnsi="Garamond"/>
        </w:rPr>
        <w:t xml:space="preserve">that </w:t>
      </w:r>
      <w:r w:rsidRPr="009A2E44">
        <w:rPr>
          <w:rFonts w:ascii="Garamond" w:hAnsi="Garamond"/>
        </w:rPr>
        <w:t xml:space="preserve">were </w:t>
      </w:r>
      <w:r w:rsidR="00C666F0">
        <w:rPr>
          <w:rFonts w:ascii="Garamond" w:hAnsi="Garamond"/>
        </w:rPr>
        <w:t xml:space="preserve">variable and </w:t>
      </w:r>
      <w:r w:rsidRPr="009A2E44">
        <w:rPr>
          <w:rFonts w:ascii="Garamond" w:hAnsi="Garamond"/>
        </w:rPr>
        <w:t xml:space="preserve">high (&gt;1.5) in the oldest part of the record, falling to ~0.5 during the MCA, climbing slightly to ~1.0 </w:t>
      </w:r>
      <w:r w:rsidR="00C666F0">
        <w:rPr>
          <w:rFonts w:ascii="Garamond" w:hAnsi="Garamond"/>
        </w:rPr>
        <w:t>prior to the</w:t>
      </w:r>
      <w:r w:rsidRPr="009A2E44">
        <w:rPr>
          <w:rFonts w:ascii="Garamond" w:hAnsi="Garamond"/>
        </w:rPr>
        <w:t xml:space="preserve"> LIA, then relatively low and stable </w:t>
      </w:r>
      <w:r w:rsidR="00C666F0">
        <w:rPr>
          <w:rFonts w:ascii="Garamond" w:hAnsi="Garamond"/>
        </w:rPr>
        <w:t xml:space="preserve">from the LIA </w:t>
      </w:r>
      <w:r w:rsidRPr="009A2E44">
        <w:rPr>
          <w:rFonts w:ascii="Garamond" w:hAnsi="Garamond"/>
        </w:rPr>
        <w:t xml:space="preserve">to the core top (between 0.5 and 0). The </w:t>
      </w:r>
      <w:r w:rsidR="00F076AC" w:rsidRPr="009A2E44">
        <w:rPr>
          <w:rFonts w:ascii="Garamond" w:hAnsi="Garamond"/>
        </w:rPr>
        <w:t>magnetic susceptibility</w:t>
      </w:r>
      <w:r w:rsidRPr="009A2E44">
        <w:rPr>
          <w:rFonts w:ascii="Garamond" w:hAnsi="Garamond"/>
        </w:rPr>
        <w:t xml:space="preserve"> signal in this core was typically small but </w:t>
      </w:r>
      <w:r w:rsidR="00164602">
        <w:rPr>
          <w:rFonts w:ascii="Garamond" w:hAnsi="Garamond"/>
        </w:rPr>
        <w:t>the largest peak</w:t>
      </w:r>
      <w:r w:rsidRPr="009A2E44">
        <w:rPr>
          <w:rFonts w:ascii="Garamond" w:hAnsi="Garamond"/>
        </w:rPr>
        <w:t xml:space="preserve"> around </w:t>
      </w:r>
      <w:r w:rsidR="00550965" w:rsidRPr="009A2E44">
        <w:rPr>
          <w:rFonts w:ascii="Garamond" w:hAnsi="Garamond"/>
        </w:rPr>
        <w:t>1</w:t>
      </w:r>
      <w:r w:rsidR="00164602">
        <w:rPr>
          <w:rFonts w:ascii="Garamond" w:hAnsi="Garamond"/>
        </w:rPr>
        <w:t>440</w:t>
      </w:r>
      <w:r w:rsidR="00550965" w:rsidRPr="009A2E44">
        <w:rPr>
          <w:rFonts w:ascii="Garamond" w:hAnsi="Garamond"/>
        </w:rPr>
        <w:t xml:space="preserve"> </w:t>
      </w:r>
      <w:r w:rsidR="006441BC">
        <w:rPr>
          <w:rFonts w:ascii="Garamond" w:hAnsi="Garamond"/>
          <w:color w:val="202020"/>
          <w:shd w:val="clear" w:color="auto" w:fill="FFFFFF"/>
        </w:rPr>
        <w:t>to</w:t>
      </w:r>
      <w:r w:rsidR="006441BC" w:rsidRPr="009A2E44">
        <w:rPr>
          <w:rFonts w:ascii="Garamond" w:hAnsi="Garamond"/>
          <w:color w:val="202020"/>
          <w:shd w:val="clear" w:color="auto" w:fill="FFFFFF"/>
        </w:rPr>
        <w:t xml:space="preserve"> </w:t>
      </w:r>
      <w:r w:rsidR="00550965" w:rsidRPr="009A2E44">
        <w:rPr>
          <w:rFonts w:ascii="Garamond" w:hAnsi="Garamond"/>
        </w:rPr>
        <w:t>14</w:t>
      </w:r>
      <w:r w:rsidR="00164602">
        <w:rPr>
          <w:rFonts w:ascii="Garamond" w:hAnsi="Garamond"/>
        </w:rPr>
        <w:t>65</w:t>
      </w:r>
      <w:r w:rsidR="00550965" w:rsidRPr="009A2E44">
        <w:rPr>
          <w:rFonts w:ascii="Garamond" w:hAnsi="Garamond"/>
        </w:rPr>
        <w:t xml:space="preserve"> </w:t>
      </w:r>
      <w:r w:rsidRPr="009A2E44">
        <w:rPr>
          <w:rFonts w:ascii="Garamond" w:hAnsi="Garamond"/>
        </w:rPr>
        <w:t xml:space="preserve">CE </w:t>
      </w:r>
      <w:r w:rsidR="00164602">
        <w:rPr>
          <w:rFonts w:ascii="Garamond" w:hAnsi="Garamond"/>
        </w:rPr>
        <w:t>had</w:t>
      </w:r>
      <w:r w:rsidRPr="009A2E44">
        <w:rPr>
          <w:rFonts w:ascii="Garamond" w:hAnsi="Garamond"/>
        </w:rPr>
        <w:t xml:space="preserve"> tephra shards geochemically fingerprinted to the </w:t>
      </w:r>
      <w:r w:rsidR="00A31C6A" w:rsidRPr="009A2E44">
        <w:rPr>
          <w:rFonts w:ascii="Garamond" w:hAnsi="Garamond"/>
        </w:rPr>
        <w:t xml:space="preserve">Kuwae eruption 105 km north of Lake </w:t>
      </w:r>
      <w:r w:rsidR="009E637B" w:rsidRPr="009A2E44">
        <w:rPr>
          <w:rFonts w:ascii="Garamond" w:hAnsi="Garamond"/>
        </w:rPr>
        <w:t>Emaotul</w:t>
      </w:r>
      <w:r w:rsidR="00A31C6A" w:rsidRPr="009A2E44">
        <w:rPr>
          <w:rFonts w:ascii="Garamond" w:hAnsi="Garamond"/>
        </w:rPr>
        <w:t xml:space="preserve"> </w:t>
      </w:r>
      <w:r w:rsidR="00A31C6A" w:rsidRPr="009A2E44">
        <w:rPr>
          <w:rFonts w:ascii="Garamond" w:hAnsi="Garamond"/>
        </w:rPr>
        <w:fldChar w:fldCharType="begin" w:fldLock="1"/>
      </w:r>
      <w:r w:rsidR="00A31C6A">
        <w:rPr>
          <w:rFonts w:ascii="Garamond" w:hAnsi="Garamond"/>
        </w:rPr>
        <w:instrText>ADDIN CSL_CITATION {"citationItems":[{"id":"ITEM-1","itemData":{"DOI":"10.1073/pnas.1920975117","ISSN":"10916490","PMID":"32253300","abstract":"The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America","id":"ITEM-1","issue":"16","issued":{"date-parts":[["2020"]]},"page":"8813-8819","title":"Human settlement of East Polynesia earlier, incremental, and coincident with prolonged South Pacific drought","type":"article-journal","volume":"117"},"uris":["http://www.mendeley.com/documents/?uuid=5e4a7b40-a602-4fa6-8dd7-b9d6ae8d7f06"]}],"mendeley":{"formattedCitation":"(Sear et al., 2020)","plainTextFormattedCitation":"(Sear et al., 2020)","previouslyFormattedCitation":"(Sear et al., 2020)"},"properties":{"noteIndex":0},"schema":"https://github.com/citation-style-language/schema/raw/master/csl-citation.json"}</w:instrText>
      </w:r>
      <w:r w:rsidR="00A31C6A" w:rsidRPr="009A2E44">
        <w:rPr>
          <w:rFonts w:ascii="Garamond" w:hAnsi="Garamond"/>
        </w:rPr>
        <w:fldChar w:fldCharType="separate"/>
      </w:r>
      <w:r w:rsidR="00A31C6A" w:rsidRPr="009A2E44">
        <w:rPr>
          <w:rFonts w:ascii="Garamond" w:hAnsi="Garamond"/>
          <w:noProof/>
        </w:rPr>
        <w:t>(Sear et al., 2020)</w:t>
      </w:r>
      <w:r w:rsidR="00A31C6A" w:rsidRPr="009A2E44">
        <w:rPr>
          <w:rFonts w:ascii="Garamond" w:hAnsi="Garamond"/>
        </w:rPr>
        <w:fldChar w:fldCharType="end"/>
      </w:r>
      <w:r w:rsidR="00A31C6A">
        <w:rPr>
          <w:rFonts w:ascii="Garamond" w:hAnsi="Garamond"/>
        </w:rPr>
        <w:t xml:space="preserve"> that occurred </w:t>
      </w:r>
      <w:r w:rsidR="002B2D1E">
        <w:rPr>
          <w:rFonts w:ascii="Garamond" w:hAnsi="Garamond"/>
        </w:rPr>
        <w:t>~</w:t>
      </w:r>
      <w:r w:rsidRPr="009A2E44">
        <w:rPr>
          <w:rFonts w:ascii="Garamond" w:hAnsi="Garamond"/>
        </w:rPr>
        <w:t xml:space="preserve">1452 </w:t>
      </w:r>
      <w:r w:rsidRPr="009A2E44">
        <w:rPr>
          <w:rFonts w:ascii="Garamond" w:hAnsi="Garamond"/>
          <w:color w:val="202020"/>
          <w:shd w:val="clear" w:color="auto" w:fill="FFFFFF"/>
        </w:rPr>
        <w:t xml:space="preserve">− </w:t>
      </w:r>
      <w:r w:rsidRPr="009A2E44">
        <w:rPr>
          <w:rFonts w:ascii="Garamond" w:hAnsi="Garamond"/>
        </w:rPr>
        <w:t xml:space="preserve">53 CE </w:t>
      </w:r>
      <w:r w:rsidR="00164602">
        <w:rPr>
          <w:rFonts w:ascii="Garamond" w:hAnsi="Garamond"/>
        </w:rPr>
        <w:t xml:space="preserve">or </w:t>
      </w:r>
      <w:r w:rsidR="00A31C6A">
        <w:rPr>
          <w:rFonts w:ascii="Garamond" w:hAnsi="Garamond"/>
        </w:rPr>
        <w:t>potentially</w:t>
      </w:r>
      <w:r w:rsidR="00164602">
        <w:rPr>
          <w:rFonts w:ascii="Garamond" w:hAnsi="Garamond"/>
        </w:rPr>
        <w:t xml:space="preserve"> </w:t>
      </w:r>
      <w:r w:rsidR="00164602" w:rsidRPr="009A2E44">
        <w:rPr>
          <w:rFonts w:ascii="Garamond" w:hAnsi="Garamond"/>
        </w:rPr>
        <w:t>145</w:t>
      </w:r>
      <w:r w:rsidR="00164602">
        <w:rPr>
          <w:rFonts w:ascii="Garamond" w:hAnsi="Garamond"/>
        </w:rPr>
        <w:t>8</w:t>
      </w:r>
      <w:r w:rsidR="00164602" w:rsidRPr="009A2E44">
        <w:rPr>
          <w:rFonts w:ascii="Garamond" w:hAnsi="Garamond"/>
        </w:rPr>
        <w:t xml:space="preserve"> CE</w:t>
      </w:r>
      <w:r w:rsidR="00164602">
        <w:rPr>
          <w:rFonts w:ascii="Garamond" w:hAnsi="Garamond"/>
        </w:rPr>
        <w:t xml:space="preserve"> </w:t>
      </w:r>
      <w:r w:rsidR="00164602">
        <w:rPr>
          <w:rFonts w:ascii="Garamond" w:hAnsi="Garamond"/>
        </w:rPr>
        <w:fldChar w:fldCharType="begin" w:fldLock="1"/>
      </w:r>
      <w:r w:rsidR="00D04FB8">
        <w:rPr>
          <w:rFonts w:ascii="Garamond" w:hAnsi="Garamond"/>
        </w:rPr>
        <w:instrText>ADDIN CSL_CITATION {"citationItems":[{"id":"ITEM-1","itemData":{"DOI":"10.5194/cp-8-1929-2012","author":[{"dropping-particle":"","family":"Plummer","given":"C T","non-dropping-particle":"","parse-names":false,"suffix":""},{"dropping-particle":"","family":"Curran","given":"M A J","non-dropping-particle":"","parse-names":false,"suffix":""},{"dropping-particle":"Van","family":"Ommen","given":"T D","non-dropping-particle":"","parse-names":false,"suffix":""},{"dropping-particle":"","family":"Rasmussen","given":"S O","non-dropping-particle":"","parse-names":false,"suffix":""},{"dropping-particle":"","family":"Moy","given":"A D","non-dropping-particle":"","parse-names":false,"suffix":""},{"dropping-particle":"","family":"Vance","given":"T R","non-dropping-particle":"","parse-names":false,"suffix":""},{"dropping-particle":"","family":"Clausen","given":"H B","non-dropping-particle":"","parse-names":false,"suffix":""},{"dropping-particle":"","family":"Vinther","given":"B M","non-dropping-particle":"","parse-names":false,"suffix":""},{"dropping-particle":"","family":"Mayewski","given":"P A","non-dropping-particle":"","parse-names":false,"suffix":""}],"container-title":"Climate of the Past","id":"ITEM-1","issued":{"date-parts":[["2012"]]},"page":"1929-1940","title":"An independently dated 2000-yr volcanic record from Law Dome, East Antarctica, including a new perspective on the dating of the 1450s CE eruption of Kuwae, Vanuatu","type":"article-journal","volume":"8"},"uris":["http://www.mendeley.com/documents/?uuid=d8c8eb8f-855b-450a-9402-94604ae757fd"]},{"id":"ITEM-2","itemData":{"DOI":"10.1038/s41586-020-2084-4","ISBN":"4158602020844","ISSN":"14764687","PMID":"32188937","abstract":"The Indian Ocean Dipole (IOD) affects climate and rainfall across the world, and most severely in nations surrounding the Indian Ocean1–4. The frequency and intensity of positive IOD events increased during the twentieth century5 and may continue to intensify in a warming world6. However, confidence in predictions of future IOD change is limited by known biases in IOD models7 and the lack of information on natural IOD variability before anthropogenic climate change. Here we use precisely dated and highly resolved coral records from the eastern equatorial Indian Ocean, where the signature of IOD variability is strong and unambiguous, to produce a semi-continuous reconstruction of IOD variability that covers five centuries of the last millennium. Our reconstruction demonstrates that extreme positive IOD events were rare before 1960. However, the most extreme event on record (1997) is not unprecedented, because at least one event that was approximately 27 to 42 per cent larger occurred naturally during the seventeenth century. We further show that a persistent, tight coupling existed between the variability of the IOD and the El Niño/Southern Oscillation during the last millennium. Indo-Pacific coupling was characterized by weak interannual variability before approximately 1590, which probably altered teleconnection patterns, and by anomalously strong variability during the seventeenth century, which was associated with societal upheaval in tropical Asia. A tendency towards clustering of positive IOD events is evident in our reconstruction, which—together with the identification of extreme IOD variability and persistent tropical Indo-Pacific climate coupling—may have implications for improving seasonal and decadal predictions and managing the climate risks of future IOD variability.","author":[{"dropping-particle":"","family":"Abram","given":"Nerilie J.","non-dropping-particle":"","parse-names":false,"suffix":""},{"dropping-particle":"","family":"Wright","given":"Nicky M.","non-dropping-particle":"","parse-names":false,"suffix":""},{"dropping-particle":"","family":"Ellis","given":"Bethany","non-dropping-particle":"","parse-names":false,"suffix":""},{"dropping-particle":"","family":"Dixon","given":"Bronwyn C.","non-dropping-particle":"","parse-names":false,"suffix":""},{"dropping-particle":"","family":"Wurtzel","given":"Jennifer B.","non-dropping-particle":"","parse-names":false,"suffix":""},{"dropping-particle":"","family":"England","given":"Matthew H.","non-dropping-particle":"","parse-names":false,"suffix":""},{"dropping-particle":"","family":"Ummenhofer","given":"Caroline C.","non-dropping-particle":"","parse-names":false,"suffix":""},{"dropping-particle":"","family":"Philibosian","given":"Belle","non-dropping-particle":"","parse-names":false,"suffix":""},{"dropping-particle":"","family":"Cahyarini","given":"Sri Yudawati","non-dropping-particle":"","parse-names":false,"suffix":""},{"dropping-particle":"","family":"Yu","given":"Tsai Luen","non-dropping-particle":"","parse-names":false,"suffix":""},{"dropping-particle":"","family":"Shen","given":"Chuan Chou","non-dropping-particle":"","parse-names":false,"suffix":""},{"dropping-particle":"","family":"Cheng","given":"Hai","non-dropping-particle":"","parse-names":false,"suffix":""},{"dropping-particle":"","family":"Edwards","given":"R. Lawrence","non-dropping-particle":"","parse-names":false,"suffix":""},{"dropping-particle":"","family":"Heslop","given":"David","non-dropping-particle":"","parse-names":false,"suffix":""}],"container-title":"Nature","id":"ITEM-2","issue":"7799","issued":{"date-parts":[["2020"]]},"page":"385-392","publisher":"Springer US","title":"Coupling of Indo-Pacific climate variability over the last millennium","type":"article-journal","volume":"579"},"uris":["http://www.mendeley.com/documents/?uuid=12b83737-0572-4037-b505-c0941727bcfd"]}],"mendeley":{"formattedCitation":"(Abram et al., 2020; Plummer et al., 2012)","plainTextFormattedCitation":"(Abram et al., 2020; Plummer et al., 2012)","previouslyFormattedCitation":"(Abram et al., 2020; Plummer et al., 2012)"},"properties":{"noteIndex":0},"schema":"https://github.com/citation-style-language/schema/raw/master/csl-citation.json"}</w:instrText>
      </w:r>
      <w:r w:rsidR="00164602">
        <w:rPr>
          <w:rFonts w:ascii="Garamond" w:hAnsi="Garamond"/>
        </w:rPr>
        <w:fldChar w:fldCharType="separate"/>
      </w:r>
      <w:r w:rsidR="00164602" w:rsidRPr="00164602">
        <w:rPr>
          <w:rFonts w:ascii="Garamond" w:hAnsi="Garamond"/>
          <w:noProof/>
        </w:rPr>
        <w:t>(Abram et al., 2020; Plummer et al., 2012)</w:t>
      </w:r>
      <w:r w:rsidR="00164602">
        <w:rPr>
          <w:rFonts w:ascii="Garamond" w:hAnsi="Garamond"/>
        </w:rPr>
        <w:fldChar w:fldCharType="end"/>
      </w:r>
      <w:r w:rsidR="00164602">
        <w:rPr>
          <w:rFonts w:ascii="Garamond" w:hAnsi="Garamond"/>
        </w:rPr>
        <w:t xml:space="preserve"> </w:t>
      </w:r>
      <w:r w:rsidRPr="009A2E44">
        <w:rPr>
          <w:rFonts w:ascii="Garamond" w:hAnsi="Garamond"/>
        </w:rPr>
        <w:t>(</w:t>
      </w:r>
      <w:r w:rsidRPr="009A2E44">
        <w:rPr>
          <w:rFonts w:ascii="Garamond" w:hAnsi="Garamond"/>
          <w:b/>
          <w:bCs/>
        </w:rPr>
        <w:t xml:space="preserve">Fig. </w:t>
      </w:r>
      <w:r w:rsidR="00202DCC" w:rsidRPr="009A2E44">
        <w:rPr>
          <w:rFonts w:ascii="Garamond" w:hAnsi="Garamond"/>
          <w:b/>
          <w:bCs/>
        </w:rPr>
        <w:t>2</w:t>
      </w:r>
      <w:r w:rsidRPr="009A2E44">
        <w:rPr>
          <w:rFonts w:ascii="Garamond" w:hAnsi="Garamond"/>
        </w:rPr>
        <w:t xml:space="preserve">). </w:t>
      </w:r>
    </w:p>
    <w:p w14:paraId="4ED0D56C" w14:textId="3B58872B" w:rsidR="009D0E40" w:rsidRPr="009A2E44" w:rsidRDefault="009D0E40" w:rsidP="001C47D3">
      <w:pPr>
        <w:spacing w:line="480" w:lineRule="auto"/>
        <w:rPr>
          <w:rFonts w:ascii="Garamond" w:hAnsi="Garamond"/>
          <w:b/>
        </w:rPr>
      </w:pPr>
    </w:p>
    <w:p w14:paraId="33682307" w14:textId="2133021E" w:rsidR="00C54613" w:rsidRPr="009A2E44" w:rsidRDefault="00C54613" w:rsidP="001C47D3">
      <w:pPr>
        <w:spacing w:line="480" w:lineRule="auto"/>
        <w:rPr>
          <w:rFonts w:ascii="Garamond" w:hAnsi="Garamond"/>
        </w:rPr>
      </w:pPr>
      <w:r w:rsidRPr="009A2E44">
        <w:rPr>
          <w:rFonts w:ascii="Garamond" w:hAnsi="Garamond"/>
          <w:i/>
        </w:rPr>
        <w:t xml:space="preserve">4.4. </w:t>
      </w:r>
      <w:r w:rsidR="00D14C01">
        <w:rPr>
          <w:rFonts w:ascii="Garamond" w:hAnsi="Garamond"/>
          <w:i/>
        </w:rPr>
        <w:t xml:space="preserve">‘Uvea </w:t>
      </w:r>
      <w:r w:rsidR="0036514C" w:rsidRPr="009A2E44">
        <w:rPr>
          <w:rFonts w:ascii="Garamond" w:hAnsi="Garamond"/>
          <w:i/>
        </w:rPr>
        <w:t xml:space="preserve">Lake </w:t>
      </w:r>
      <w:r w:rsidRPr="009A2E44">
        <w:rPr>
          <w:rFonts w:ascii="Garamond" w:hAnsi="Garamond"/>
          <w:i/>
        </w:rPr>
        <w:t>Water Chemistry</w:t>
      </w:r>
    </w:p>
    <w:p w14:paraId="65410697" w14:textId="29D1460D" w:rsidR="00636646" w:rsidRPr="009A2E44" w:rsidRDefault="00C54613" w:rsidP="006932A0">
      <w:pPr>
        <w:spacing w:line="480" w:lineRule="auto"/>
        <w:ind w:firstLine="720"/>
        <w:rPr>
          <w:rFonts w:ascii="Garamond" w:hAnsi="Garamond"/>
          <w:iCs/>
          <w:color w:val="000000" w:themeColor="text1"/>
        </w:rPr>
      </w:pPr>
      <w:r w:rsidRPr="009A2E44">
        <w:rPr>
          <w:rFonts w:ascii="Garamond" w:hAnsi="Garamond"/>
          <w:iCs/>
          <w:color w:val="000000" w:themeColor="text1"/>
        </w:rPr>
        <w:t>The hydrogen isotopic composition of lake water (</w:t>
      </w:r>
      <w:r w:rsidRPr="009A2E44">
        <w:rPr>
          <w:rFonts w:ascii="Garamond" w:hAnsi="Garamond"/>
          <w:b/>
          <w:bCs/>
          <w:iCs/>
          <w:color w:val="000000" w:themeColor="text1"/>
        </w:rPr>
        <w:t xml:space="preserve">Fig. </w:t>
      </w:r>
      <w:r w:rsidR="00DA69D3" w:rsidRPr="009A2E44">
        <w:rPr>
          <w:rFonts w:ascii="Garamond" w:hAnsi="Garamond"/>
          <w:b/>
          <w:bCs/>
          <w:iCs/>
          <w:color w:val="000000" w:themeColor="text1"/>
        </w:rPr>
        <w:t>3</w:t>
      </w:r>
      <w:r w:rsidRPr="009A2E44">
        <w:rPr>
          <w:rFonts w:ascii="Garamond" w:hAnsi="Garamond"/>
          <w:b/>
          <w:bCs/>
          <w:iCs/>
          <w:color w:val="000000" w:themeColor="text1"/>
        </w:rPr>
        <w:t xml:space="preserve">; Table </w:t>
      </w:r>
      <w:r w:rsidR="005D6D43" w:rsidRPr="009A2E44">
        <w:rPr>
          <w:rFonts w:ascii="Garamond" w:hAnsi="Garamond"/>
          <w:b/>
          <w:bCs/>
          <w:iCs/>
          <w:color w:val="000000" w:themeColor="text1"/>
        </w:rPr>
        <w:t>B.</w:t>
      </w:r>
      <w:r w:rsidR="004336B4" w:rsidRPr="009A2E44">
        <w:rPr>
          <w:rFonts w:ascii="Garamond" w:hAnsi="Garamond"/>
          <w:b/>
          <w:bCs/>
          <w:iCs/>
          <w:color w:val="000000" w:themeColor="text1"/>
        </w:rPr>
        <w:t>2</w:t>
      </w:r>
      <w:r w:rsidRPr="009A2E44">
        <w:rPr>
          <w:rFonts w:ascii="Garamond" w:hAnsi="Garamond"/>
          <w:iCs/>
          <w:color w:val="000000" w:themeColor="text1"/>
        </w:rPr>
        <w:t xml:space="preserve">) ranged from </w:t>
      </w:r>
      <w:r w:rsidRPr="009A2E44">
        <w:rPr>
          <w:rFonts w:ascii="Garamond" w:hAnsi="Garamond"/>
          <w:color w:val="202020"/>
          <w:shd w:val="clear" w:color="auto" w:fill="FFFFFF"/>
        </w:rPr>
        <w:t>−</w:t>
      </w:r>
      <w:r w:rsidRPr="009A2E44">
        <w:rPr>
          <w:rFonts w:ascii="Garamond" w:hAnsi="Garamond"/>
          <w:iCs/>
          <w:color w:val="000000" w:themeColor="text1"/>
        </w:rPr>
        <w:t>5</w:t>
      </w:r>
      <w:r w:rsidR="009E2872" w:rsidRPr="009A2E44">
        <w:rPr>
          <w:rFonts w:ascii="Garamond" w:hAnsi="Garamond"/>
          <w:iCs/>
          <w:color w:val="000000" w:themeColor="text1"/>
        </w:rPr>
        <w:t xml:space="preserve"> </w:t>
      </w:r>
      <w:r w:rsidRPr="009A2E44">
        <w:rPr>
          <w:rFonts w:ascii="Garamond" w:hAnsi="Garamond"/>
          <w:iCs/>
          <w:color w:val="000000" w:themeColor="text1"/>
        </w:rPr>
        <w:t xml:space="preserve">‰ to </w:t>
      </w:r>
      <w:r w:rsidRPr="009A2E44">
        <w:rPr>
          <w:rFonts w:ascii="Garamond" w:hAnsi="Garamond"/>
          <w:color w:val="202020"/>
          <w:shd w:val="clear" w:color="auto" w:fill="FFFFFF"/>
        </w:rPr>
        <w:t>−</w:t>
      </w:r>
      <w:r w:rsidRPr="009A2E44">
        <w:rPr>
          <w:rFonts w:ascii="Garamond" w:hAnsi="Garamond"/>
          <w:iCs/>
          <w:color w:val="000000" w:themeColor="text1"/>
        </w:rPr>
        <w:t>10.5</w:t>
      </w:r>
      <w:r w:rsidR="009E2872" w:rsidRPr="009A2E44">
        <w:rPr>
          <w:rFonts w:ascii="Garamond" w:hAnsi="Garamond"/>
          <w:iCs/>
          <w:color w:val="000000" w:themeColor="text1"/>
        </w:rPr>
        <w:t xml:space="preserve"> </w:t>
      </w:r>
      <w:r w:rsidRPr="009A2E44">
        <w:rPr>
          <w:rFonts w:ascii="Garamond" w:hAnsi="Garamond"/>
          <w:iCs/>
          <w:color w:val="000000" w:themeColor="text1"/>
        </w:rPr>
        <w:t xml:space="preserve">‰ in Lac Lanutavake and </w:t>
      </w:r>
      <w:r w:rsidRPr="009A2E44">
        <w:rPr>
          <w:rFonts w:ascii="Garamond" w:hAnsi="Garamond"/>
          <w:color w:val="202020"/>
          <w:shd w:val="clear" w:color="auto" w:fill="FFFFFF"/>
        </w:rPr>
        <w:t>−</w:t>
      </w:r>
      <w:r w:rsidRPr="009A2E44">
        <w:rPr>
          <w:rFonts w:ascii="Garamond" w:hAnsi="Garamond"/>
          <w:iCs/>
          <w:color w:val="000000" w:themeColor="text1"/>
        </w:rPr>
        <w:t>2</w:t>
      </w:r>
      <w:r w:rsidR="009E2872" w:rsidRPr="009A2E44">
        <w:rPr>
          <w:rFonts w:ascii="Garamond" w:hAnsi="Garamond"/>
          <w:iCs/>
          <w:color w:val="000000" w:themeColor="text1"/>
        </w:rPr>
        <w:t xml:space="preserve"> </w:t>
      </w:r>
      <w:r w:rsidRPr="009A2E44">
        <w:rPr>
          <w:rFonts w:ascii="Garamond" w:hAnsi="Garamond"/>
          <w:iCs/>
          <w:color w:val="000000" w:themeColor="text1"/>
        </w:rPr>
        <w:t xml:space="preserve">‰ to </w:t>
      </w:r>
      <w:r w:rsidRPr="009A2E44">
        <w:rPr>
          <w:rFonts w:ascii="Garamond" w:hAnsi="Garamond"/>
          <w:color w:val="202020"/>
          <w:shd w:val="clear" w:color="auto" w:fill="FFFFFF"/>
        </w:rPr>
        <w:t>−</w:t>
      </w:r>
      <w:r w:rsidRPr="009A2E44">
        <w:rPr>
          <w:rFonts w:ascii="Garamond" w:hAnsi="Garamond"/>
          <w:iCs/>
          <w:color w:val="000000" w:themeColor="text1"/>
        </w:rPr>
        <w:t>27</w:t>
      </w:r>
      <w:r w:rsidR="009E2872" w:rsidRPr="009A2E44">
        <w:rPr>
          <w:rFonts w:ascii="Garamond" w:hAnsi="Garamond"/>
          <w:iCs/>
          <w:color w:val="000000" w:themeColor="text1"/>
        </w:rPr>
        <w:t xml:space="preserve"> </w:t>
      </w:r>
      <w:r w:rsidRPr="009A2E44">
        <w:rPr>
          <w:rFonts w:ascii="Garamond" w:hAnsi="Garamond"/>
          <w:iCs/>
          <w:color w:val="000000" w:themeColor="text1"/>
        </w:rPr>
        <w:t xml:space="preserve">‰ in Lac Lalolalo, values bracketed by </w:t>
      </w:r>
      <w:r w:rsidR="004E680A">
        <w:rPr>
          <w:rFonts w:ascii="Garamond" w:hAnsi="Garamond"/>
          <w:iCs/>
          <w:color w:val="000000" w:themeColor="text1"/>
        </w:rPr>
        <w:t xml:space="preserve">a </w:t>
      </w:r>
      <w:r w:rsidRPr="009A2E44">
        <w:rPr>
          <w:rFonts w:ascii="Garamond" w:hAnsi="Garamond"/>
          <w:iCs/>
          <w:color w:val="000000" w:themeColor="text1"/>
        </w:rPr>
        <w:t>surface seawater</w:t>
      </w:r>
      <w:r w:rsidR="00BC3F2F">
        <w:rPr>
          <w:rFonts w:ascii="Garamond" w:hAnsi="Garamond"/>
          <w:iCs/>
          <w:color w:val="000000" w:themeColor="text1"/>
        </w:rPr>
        <w:t xml:space="preserve"> sample</w:t>
      </w:r>
      <w:r w:rsidRPr="009A2E44">
        <w:rPr>
          <w:rFonts w:ascii="Garamond" w:hAnsi="Garamond"/>
          <w:iCs/>
          <w:color w:val="000000" w:themeColor="text1"/>
        </w:rPr>
        <w:t xml:space="preserve"> </w:t>
      </w:r>
      <w:r w:rsidR="004E680A">
        <w:rPr>
          <w:rFonts w:ascii="Garamond" w:hAnsi="Garamond"/>
          <w:iCs/>
          <w:color w:val="000000" w:themeColor="text1"/>
        </w:rPr>
        <w:t xml:space="preserve">collected </w:t>
      </w:r>
      <w:r w:rsidRPr="009A2E44">
        <w:rPr>
          <w:rFonts w:ascii="Garamond" w:hAnsi="Garamond"/>
          <w:iCs/>
          <w:color w:val="000000" w:themeColor="text1"/>
        </w:rPr>
        <w:t xml:space="preserve">from the </w:t>
      </w:r>
      <w:r w:rsidR="009A7B4F" w:rsidRPr="009A2E44">
        <w:rPr>
          <w:rFonts w:ascii="Garamond" w:hAnsi="Garamond"/>
          <w:iCs/>
          <w:color w:val="000000" w:themeColor="text1"/>
        </w:rPr>
        <w:t>l</w:t>
      </w:r>
      <w:r w:rsidRPr="009A2E44">
        <w:rPr>
          <w:rFonts w:ascii="Garamond" w:hAnsi="Garamond"/>
          <w:iCs/>
          <w:color w:val="000000" w:themeColor="text1"/>
        </w:rPr>
        <w:t>agoon (2</w:t>
      </w:r>
      <w:r w:rsidR="009E2872" w:rsidRPr="009A2E44">
        <w:rPr>
          <w:rFonts w:ascii="Garamond" w:hAnsi="Garamond"/>
          <w:iCs/>
          <w:color w:val="000000" w:themeColor="text1"/>
        </w:rPr>
        <w:t xml:space="preserve"> </w:t>
      </w:r>
      <w:r w:rsidRPr="009A2E44">
        <w:rPr>
          <w:rFonts w:ascii="Garamond" w:hAnsi="Garamond"/>
          <w:iCs/>
          <w:color w:val="000000" w:themeColor="text1"/>
        </w:rPr>
        <w:t>‰) and tap water (</w:t>
      </w:r>
      <w:r w:rsidR="006E514B">
        <w:rPr>
          <w:rFonts w:ascii="Garamond" w:hAnsi="Garamond"/>
          <w:iCs/>
          <w:color w:val="000000" w:themeColor="text1"/>
        </w:rPr>
        <w:t xml:space="preserve">sourced </w:t>
      </w:r>
      <w:r w:rsidRPr="009A2E44">
        <w:rPr>
          <w:rFonts w:ascii="Garamond" w:hAnsi="Garamond"/>
          <w:iCs/>
          <w:color w:val="000000" w:themeColor="text1"/>
        </w:rPr>
        <w:t>from the island’s aquifer) (</w:t>
      </w:r>
      <w:r w:rsidRPr="009A2E44">
        <w:rPr>
          <w:rFonts w:ascii="Garamond" w:hAnsi="Garamond"/>
          <w:color w:val="202020"/>
          <w:shd w:val="clear" w:color="auto" w:fill="FFFFFF"/>
        </w:rPr>
        <w:t>−</w:t>
      </w:r>
      <w:r w:rsidRPr="009A2E44">
        <w:rPr>
          <w:rFonts w:ascii="Garamond" w:hAnsi="Garamond"/>
          <w:iCs/>
          <w:color w:val="000000" w:themeColor="text1"/>
        </w:rPr>
        <w:t>28</w:t>
      </w:r>
      <w:r w:rsidR="009E2872" w:rsidRPr="009A2E44">
        <w:rPr>
          <w:rFonts w:ascii="Garamond" w:hAnsi="Garamond"/>
          <w:iCs/>
          <w:color w:val="000000" w:themeColor="text1"/>
        </w:rPr>
        <w:t xml:space="preserve"> </w:t>
      </w:r>
      <w:r w:rsidRPr="009A2E44">
        <w:rPr>
          <w:rFonts w:ascii="Garamond" w:hAnsi="Garamond"/>
          <w:iCs/>
          <w:color w:val="000000" w:themeColor="text1"/>
        </w:rPr>
        <w:t xml:space="preserve">‰) endmembers. The deepest samples in Lac Lalolalo were isotopically </w:t>
      </w:r>
      <w:proofErr w:type="gramStart"/>
      <w:r w:rsidRPr="009A2E44">
        <w:rPr>
          <w:rFonts w:ascii="Garamond" w:hAnsi="Garamond"/>
          <w:iCs/>
          <w:color w:val="000000" w:themeColor="text1"/>
        </w:rPr>
        <w:t>similar to</w:t>
      </w:r>
      <w:proofErr w:type="gramEnd"/>
      <w:r w:rsidRPr="009A2E44">
        <w:rPr>
          <w:rFonts w:ascii="Garamond" w:hAnsi="Garamond"/>
          <w:iCs/>
          <w:color w:val="000000" w:themeColor="text1"/>
        </w:rPr>
        <w:t xml:space="preserve"> the seawater sample, while mid-depths were </w:t>
      </w:r>
      <w:r w:rsidRPr="009A2E44">
        <w:rPr>
          <w:rFonts w:ascii="Garamond" w:hAnsi="Garamond"/>
          <w:iCs/>
          <w:color w:val="000000" w:themeColor="text1"/>
        </w:rPr>
        <w:lastRenderedPageBreak/>
        <w:t xml:space="preserve">very similar to tap water, and surface waters were </w:t>
      </w:r>
      <w:r w:rsidR="001F754D" w:rsidRPr="009A2E44">
        <w:rPr>
          <w:rFonts w:ascii="Garamond" w:hAnsi="Garamond"/>
          <w:iCs/>
          <w:color w:val="000000" w:themeColor="text1"/>
        </w:rPr>
        <w:t xml:space="preserve">influenced by </w:t>
      </w:r>
      <w:r w:rsidRPr="009A2E44">
        <w:rPr>
          <w:rFonts w:ascii="Garamond" w:hAnsi="Garamond"/>
          <w:iCs/>
          <w:color w:val="000000" w:themeColor="text1"/>
        </w:rPr>
        <w:t>evaporati</w:t>
      </w:r>
      <w:r w:rsidR="001F754D" w:rsidRPr="009A2E44">
        <w:rPr>
          <w:rFonts w:ascii="Garamond" w:hAnsi="Garamond"/>
          <w:iCs/>
          <w:color w:val="000000" w:themeColor="text1"/>
        </w:rPr>
        <w:t xml:space="preserve">on </w:t>
      </w:r>
      <w:r w:rsidRPr="009A2E44">
        <w:rPr>
          <w:rFonts w:ascii="Garamond" w:hAnsi="Garamond"/>
          <w:iCs/>
          <w:color w:val="000000" w:themeColor="text1"/>
        </w:rPr>
        <w:t>as indicated by their evolution away from the global meteoric water line (</w:t>
      </w:r>
      <w:r w:rsidRPr="009A2E44">
        <w:rPr>
          <w:rFonts w:ascii="Garamond" w:hAnsi="Garamond"/>
          <w:b/>
          <w:iCs/>
          <w:color w:val="000000" w:themeColor="text1"/>
        </w:rPr>
        <w:t xml:space="preserve">Fig. </w:t>
      </w:r>
      <w:r w:rsidR="00DA69D3" w:rsidRPr="009A2E44">
        <w:rPr>
          <w:rFonts w:ascii="Garamond" w:hAnsi="Garamond"/>
          <w:b/>
          <w:iCs/>
          <w:color w:val="000000" w:themeColor="text1"/>
        </w:rPr>
        <w:t>3</w:t>
      </w:r>
      <w:r w:rsidRPr="009A2E44">
        <w:rPr>
          <w:rFonts w:ascii="Garamond" w:hAnsi="Garamond"/>
          <w:b/>
          <w:iCs/>
          <w:color w:val="000000" w:themeColor="text1"/>
        </w:rPr>
        <w:t>C</w:t>
      </w:r>
      <w:r w:rsidRPr="009A2E44">
        <w:rPr>
          <w:rFonts w:ascii="Garamond" w:hAnsi="Garamond"/>
          <w:iCs/>
          <w:color w:val="000000" w:themeColor="text1"/>
        </w:rPr>
        <w:t>).</w:t>
      </w:r>
    </w:p>
    <w:p w14:paraId="59935988" w14:textId="43A8AD8A" w:rsidR="00C54613" w:rsidRPr="009A2E44" w:rsidRDefault="00C54613" w:rsidP="001C47D3">
      <w:pPr>
        <w:spacing w:line="480" w:lineRule="auto"/>
        <w:ind w:firstLine="720"/>
        <w:rPr>
          <w:rFonts w:ascii="Garamond" w:hAnsi="Garamond"/>
          <w:iCs/>
          <w:color w:val="000000" w:themeColor="text1"/>
        </w:rPr>
      </w:pPr>
      <w:r w:rsidRPr="009A2E44">
        <w:rPr>
          <w:rFonts w:ascii="Garamond" w:hAnsi="Garamond"/>
          <w:iCs/>
          <w:color w:val="000000" w:themeColor="text1"/>
        </w:rPr>
        <w:t xml:space="preserve">In Lac Lalolalo </w:t>
      </w:r>
      <w:r w:rsidR="00F4422A" w:rsidRPr="009A2E44">
        <w:rPr>
          <w:rFonts w:ascii="Garamond" w:hAnsi="Garamond"/>
          <w:iCs/>
          <w:color w:val="000000" w:themeColor="text1"/>
        </w:rPr>
        <w:t>p</w:t>
      </w:r>
      <w:r w:rsidRPr="009A2E44">
        <w:rPr>
          <w:rFonts w:ascii="Garamond" w:hAnsi="Garamond"/>
          <w:iCs/>
          <w:color w:val="000000" w:themeColor="text1"/>
        </w:rPr>
        <w:t xml:space="preserve">otassium, sodium, magnesium, and calcium profiles </w:t>
      </w:r>
      <w:r w:rsidR="00C523DB" w:rsidRPr="009A2E44">
        <w:rPr>
          <w:rFonts w:ascii="Garamond" w:hAnsi="Garamond"/>
          <w:iCs/>
          <w:color w:val="000000" w:themeColor="text1"/>
        </w:rPr>
        <w:t>increase</w:t>
      </w:r>
      <w:r w:rsidR="000C5BF3">
        <w:rPr>
          <w:rFonts w:ascii="Garamond" w:hAnsi="Garamond"/>
          <w:iCs/>
          <w:color w:val="000000" w:themeColor="text1"/>
        </w:rPr>
        <w:t>d</w:t>
      </w:r>
      <w:r w:rsidR="00C523DB" w:rsidRPr="009A2E44">
        <w:rPr>
          <w:rFonts w:ascii="Garamond" w:hAnsi="Garamond"/>
          <w:iCs/>
          <w:color w:val="000000" w:themeColor="text1"/>
        </w:rPr>
        <w:t xml:space="preserve"> with </w:t>
      </w:r>
      <w:r w:rsidRPr="009A2E44">
        <w:rPr>
          <w:rFonts w:ascii="Garamond" w:hAnsi="Garamond"/>
          <w:iCs/>
          <w:color w:val="000000" w:themeColor="text1"/>
        </w:rPr>
        <w:t xml:space="preserve">salinity, </w:t>
      </w:r>
      <w:r w:rsidR="00C523DB" w:rsidRPr="009A2E44">
        <w:rPr>
          <w:rFonts w:ascii="Garamond" w:hAnsi="Garamond"/>
          <w:iCs/>
          <w:color w:val="000000" w:themeColor="text1"/>
        </w:rPr>
        <w:t xml:space="preserve">implying </w:t>
      </w:r>
      <w:r w:rsidRPr="009A2E44">
        <w:rPr>
          <w:rFonts w:ascii="Garamond" w:hAnsi="Garamond"/>
          <w:iCs/>
          <w:color w:val="000000" w:themeColor="text1"/>
        </w:rPr>
        <w:t>a contribution of seawater at the deepest depths. However, at 80 m chloride became 1.5 times more concentrated than seawater (</w:t>
      </w:r>
      <w:r w:rsidRPr="009A2E44">
        <w:rPr>
          <w:rFonts w:ascii="Garamond" w:hAnsi="Garamond"/>
          <w:b/>
          <w:bCs/>
          <w:iCs/>
          <w:color w:val="000000" w:themeColor="text1"/>
        </w:rPr>
        <w:t xml:space="preserve">Fig. </w:t>
      </w:r>
      <w:r w:rsidR="00DA69D3" w:rsidRPr="009A2E44">
        <w:rPr>
          <w:rFonts w:ascii="Garamond" w:hAnsi="Garamond"/>
          <w:b/>
          <w:bCs/>
          <w:iCs/>
          <w:color w:val="000000" w:themeColor="text1"/>
        </w:rPr>
        <w:t>3</w:t>
      </w:r>
      <w:r w:rsidR="00F4422A" w:rsidRPr="009A2E44">
        <w:rPr>
          <w:rFonts w:ascii="Garamond" w:hAnsi="Garamond"/>
          <w:b/>
          <w:bCs/>
          <w:iCs/>
          <w:color w:val="000000" w:themeColor="text1"/>
        </w:rPr>
        <w:t>E</w:t>
      </w:r>
      <w:r w:rsidRPr="009A2E44">
        <w:rPr>
          <w:rFonts w:ascii="Garamond" w:hAnsi="Garamond"/>
          <w:iCs/>
          <w:color w:val="000000" w:themeColor="text1"/>
        </w:rPr>
        <w:t>) and silicon, nitrate, phosphate, and fluoride became 4 (Si) to 95 (PO</w:t>
      </w:r>
      <w:r w:rsidRPr="009A2E44">
        <w:rPr>
          <w:rFonts w:ascii="Garamond" w:hAnsi="Garamond"/>
          <w:iCs/>
          <w:color w:val="000000" w:themeColor="text1"/>
          <w:vertAlign w:val="subscript"/>
        </w:rPr>
        <w:t>4</w:t>
      </w:r>
      <w:r w:rsidRPr="009A2E44">
        <w:rPr>
          <w:rFonts w:ascii="Garamond" w:hAnsi="Garamond"/>
          <w:iCs/>
          <w:color w:val="000000" w:themeColor="text1"/>
          <w:vertAlign w:val="superscript"/>
        </w:rPr>
        <w:t>3-</w:t>
      </w:r>
      <w:r w:rsidRPr="009A2E44">
        <w:rPr>
          <w:rFonts w:ascii="Garamond" w:hAnsi="Garamond"/>
          <w:iCs/>
          <w:color w:val="000000" w:themeColor="text1"/>
        </w:rPr>
        <w:t>) times more concentrated relative to seawater</w:t>
      </w:r>
      <w:r w:rsidR="00F42C49" w:rsidRPr="009A2E44">
        <w:rPr>
          <w:rFonts w:ascii="Garamond" w:hAnsi="Garamond"/>
          <w:iCs/>
          <w:color w:val="000000" w:themeColor="text1"/>
        </w:rPr>
        <w:t xml:space="preserve"> </w:t>
      </w:r>
      <w:r w:rsidRPr="009A2E44">
        <w:rPr>
          <w:rFonts w:ascii="Garamond" w:hAnsi="Garamond"/>
          <w:iCs/>
          <w:color w:val="000000" w:themeColor="text1"/>
        </w:rPr>
        <w:t>(</w:t>
      </w:r>
      <w:r w:rsidRPr="009A2E44">
        <w:rPr>
          <w:rFonts w:ascii="Garamond" w:hAnsi="Garamond"/>
          <w:b/>
          <w:bCs/>
          <w:iCs/>
          <w:color w:val="000000" w:themeColor="text1"/>
        </w:rPr>
        <w:t xml:space="preserve">Fig. </w:t>
      </w:r>
      <w:r w:rsidR="00DA69D3" w:rsidRPr="009A2E44">
        <w:rPr>
          <w:rFonts w:ascii="Garamond" w:hAnsi="Garamond"/>
          <w:b/>
          <w:bCs/>
          <w:iCs/>
          <w:color w:val="000000" w:themeColor="text1"/>
        </w:rPr>
        <w:t>3</w:t>
      </w:r>
      <w:r w:rsidR="00F4422A" w:rsidRPr="009A2E44">
        <w:rPr>
          <w:rFonts w:ascii="Garamond" w:hAnsi="Garamond"/>
          <w:b/>
          <w:bCs/>
          <w:iCs/>
          <w:color w:val="000000" w:themeColor="text1"/>
        </w:rPr>
        <w:t>D</w:t>
      </w:r>
      <w:r w:rsidRPr="009A2E44">
        <w:rPr>
          <w:rFonts w:ascii="Garamond" w:hAnsi="Garamond"/>
          <w:iCs/>
          <w:color w:val="000000" w:themeColor="text1"/>
        </w:rPr>
        <w:t xml:space="preserve">). Sulfate was always much less concentrated than seawater. When water from the deepest depths was retrieved by </w:t>
      </w:r>
      <w:proofErr w:type="spellStart"/>
      <w:r w:rsidRPr="009A2E44">
        <w:rPr>
          <w:rFonts w:ascii="Garamond" w:hAnsi="Garamond"/>
          <w:iCs/>
          <w:color w:val="000000" w:themeColor="text1"/>
        </w:rPr>
        <w:t>Niskin</w:t>
      </w:r>
      <w:proofErr w:type="spellEnd"/>
      <w:r w:rsidRPr="009A2E44">
        <w:rPr>
          <w:rFonts w:ascii="Garamond" w:hAnsi="Garamond"/>
          <w:iCs/>
          <w:color w:val="000000" w:themeColor="text1"/>
        </w:rPr>
        <w:t xml:space="preserve"> bottle, it “boiled” upon exposure to atmospheric pressure; hydrogen sulfide was not quantitatively measured but easily detected by </w:t>
      </w:r>
      <w:r w:rsidR="0024603B">
        <w:rPr>
          <w:rFonts w:ascii="Garamond" w:hAnsi="Garamond"/>
          <w:iCs/>
          <w:color w:val="000000" w:themeColor="text1"/>
        </w:rPr>
        <w:t>odor</w:t>
      </w:r>
      <w:r w:rsidR="0024603B" w:rsidRPr="009A2E44">
        <w:rPr>
          <w:rFonts w:ascii="Garamond" w:hAnsi="Garamond"/>
          <w:iCs/>
          <w:color w:val="000000" w:themeColor="text1"/>
        </w:rPr>
        <w:t xml:space="preserve"> </w:t>
      </w:r>
      <w:r w:rsidRPr="009A2E44">
        <w:rPr>
          <w:rFonts w:ascii="Garamond" w:hAnsi="Garamond"/>
          <w:iCs/>
          <w:color w:val="000000" w:themeColor="text1"/>
        </w:rPr>
        <w:t xml:space="preserve">at depths below </w:t>
      </w:r>
      <w:r w:rsidR="0063328D" w:rsidRPr="009A2E44">
        <w:rPr>
          <w:rFonts w:ascii="Garamond" w:hAnsi="Garamond"/>
          <w:iCs/>
          <w:color w:val="000000" w:themeColor="text1"/>
        </w:rPr>
        <w:t>(</w:t>
      </w:r>
      <w:r w:rsidRPr="009A2E44">
        <w:rPr>
          <w:rFonts w:ascii="Garamond" w:hAnsi="Garamond"/>
          <w:iCs/>
          <w:color w:val="000000" w:themeColor="text1"/>
        </w:rPr>
        <w:t>and including</w:t>
      </w:r>
      <w:r w:rsidR="0063328D" w:rsidRPr="009A2E44">
        <w:rPr>
          <w:rFonts w:ascii="Garamond" w:hAnsi="Garamond"/>
          <w:iCs/>
          <w:color w:val="000000" w:themeColor="text1"/>
        </w:rPr>
        <w:t>)</w:t>
      </w:r>
      <w:r w:rsidRPr="009A2E44">
        <w:rPr>
          <w:rFonts w:ascii="Garamond" w:hAnsi="Garamond"/>
          <w:iCs/>
          <w:color w:val="000000" w:themeColor="text1"/>
        </w:rPr>
        <w:t xml:space="preserve"> 12 m. </w:t>
      </w:r>
      <w:r w:rsidR="00F42C49" w:rsidRPr="009A2E44">
        <w:rPr>
          <w:rFonts w:ascii="Garamond" w:hAnsi="Garamond"/>
          <w:iCs/>
          <w:color w:val="000000" w:themeColor="text1"/>
        </w:rPr>
        <w:t>Surface n</w:t>
      </w:r>
      <w:r w:rsidR="00F4422A" w:rsidRPr="009A2E44">
        <w:rPr>
          <w:rFonts w:ascii="Garamond" w:hAnsi="Garamond"/>
          <w:iCs/>
          <w:color w:val="000000" w:themeColor="text1"/>
        </w:rPr>
        <w:t xml:space="preserve">itrate was low, increasing to very high concentrations at depth, while </w:t>
      </w:r>
      <w:r w:rsidR="00F42C49" w:rsidRPr="009A2E44">
        <w:rPr>
          <w:rFonts w:ascii="Garamond" w:hAnsi="Garamond"/>
          <w:iCs/>
          <w:color w:val="000000" w:themeColor="text1"/>
        </w:rPr>
        <w:t>p</w:t>
      </w:r>
      <w:r w:rsidR="00F4422A" w:rsidRPr="009A2E44">
        <w:rPr>
          <w:rFonts w:ascii="Garamond" w:hAnsi="Garamond"/>
          <w:iCs/>
          <w:color w:val="000000" w:themeColor="text1"/>
        </w:rPr>
        <w:t>hosphate was extremely high at all depths (indicating eutrophic to hypereutrophic water)</w:t>
      </w:r>
      <w:r w:rsidR="001A04DF" w:rsidRPr="009A2E44">
        <w:rPr>
          <w:rFonts w:ascii="Garamond" w:hAnsi="Garamond"/>
          <w:iCs/>
          <w:color w:val="000000" w:themeColor="text1"/>
        </w:rPr>
        <w:t xml:space="preserve"> (</w:t>
      </w:r>
      <w:r w:rsidR="001A04DF" w:rsidRPr="009A2E44">
        <w:rPr>
          <w:rFonts w:ascii="Garamond" w:hAnsi="Garamond"/>
          <w:b/>
          <w:bCs/>
          <w:iCs/>
          <w:color w:val="000000" w:themeColor="text1"/>
        </w:rPr>
        <w:t>Table A.</w:t>
      </w:r>
      <w:r w:rsidR="007C1B94" w:rsidRPr="009A2E44">
        <w:rPr>
          <w:rFonts w:ascii="Garamond" w:hAnsi="Garamond"/>
          <w:b/>
          <w:bCs/>
          <w:iCs/>
          <w:color w:val="000000" w:themeColor="text1"/>
        </w:rPr>
        <w:t>6</w:t>
      </w:r>
      <w:r w:rsidR="001A04DF" w:rsidRPr="009A2E44">
        <w:rPr>
          <w:rFonts w:ascii="Garamond" w:hAnsi="Garamond"/>
          <w:iCs/>
          <w:color w:val="000000" w:themeColor="text1"/>
        </w:rPr>
        <w:t>)</w:t>
      </w:r>
      <w:r w:rsidR="00F4422A" w:rsidRPr="009A2E44">
        <w:rPr>
          <w:rFonts w:ascii="Garamond" w:hAnsi="Garamond"/>
          <w:iCs/>
          <w:color w:val="000000" w:themeColor="text1"/>
        </w:rPr>
        <w:t xml:space="preserve">. </w:t>
      </w:r>
      <w:r w:rsidRPr="009A2E44">
        <w:rPr>
          <w:rFonts w:ascii="Garamond" w:hAnsi="Garamond"/>
          <w:iCs/>
          <w:color w:val="000000" w:themeColor="text1"/>
        </w:rPr>
        <w:t xml:space="preserve">Carbonate and bicarbonate data indicate high levels of alkalinity in Lac </w:t>
      </w:r>
      <w:proofErr w:type="gramStart"/>
      <w:r w:rsidRPr="009A2E44">
        <w:rPr>
          <w:rFonts w:ascii="Garamond" w:hAnsi="Garamond"/>
          <w:iCs/>
          <w:color w:val="000000" w:themeColor="text1"/>
        </w:rPr>
        <w:t>Lalolalo</w:t>
      </w:r>
      <w:proofErr w:type="gramEnd"/>
      <w:r w:rsidRPr="009A2E44">
        <w:rPr>
          <w:rFonts w:ascii="Garamond" w:hAnsi="Garamond"/>
          <w:iCs/>
          <w:color w:val="000000" w:themeColor="text1"/>
        </w:rPr>
        <w:t xml:space="preserve"> but titrations were complicated by changes in pH that occurred between collection in Nalgene HDPE bottles, freezing, transport, filtering, and measurement, as well as high organic content and high concentrations of additional ions and should be interpreted as estimates only (</w:t>
      </w:r>
      <w:r w:rsidRPr="009A2E44">
        <w:rPr>
          <w:rFonts w:ascii="Garamond" w:hAnsi="Garamond"/>
          <w:b/>
          <w:bCs/>
          <w:iCs/>
          <w:color w:val="000000" w:themeColor="text1"/>
        </w:rPr>
        <w:t xml:space="preserve">Table </w:t>
      </w:r>
      <w:r w:rsidR="007241CB" w:rsidRPr="009A2E44">
        <w:rPr>
          <w:rFonts w:ascii="Garamond" w:hAnsi="Garamond"/>
          <w:b/>
          <w:bCs/>
          <w:iCs/>
          <w:color w:val="000000" w:themeColor="text1"/>
        </w:rPr>
        <w:t>A.</w:t>
      </w:r>
      <w:r w:rsidR="007C1B94" w:rsidRPr="009A2E44">
        <w:rPr>
          <w:rFonts w:ascii="Garamond" w:hAnsi="Garamond"/>
          <w:b/>
          <w:bCs/>
          <w:iCs/>
          <w:color w:val="000000" w:themeColor="text1"/>
        </w:rPr>
        <w:t>6</w:t>
      </w:r>
      <w:r w:rsidRPr="009A2E44">
        <w:rPr>
          <w:rFonts w:ascii="Garamond" w:hAnsi="Garamond"/>
          <w:iCs/>
          <w:color w:val="000000" w:themeColor="text1"/>
        </w:rPr>
        <w:t>).</w:t>
      </w:r>
    </w:p>
    <w:p w14:paraId="4E4644B4" w14:textId="77777777" w:rsidR="00C54613" w:rsidRPr="009A2E44" w:rsidRDefault="00C54613" w:rsidP="001C47D3">
      <w:pPr>
        <w:spacing w:line="480" w:lineRule="auto"/>
        <w:rPr>
          <w:rFonts w:ascii="Garamond" w:hAnsi="Garamond"/>
          <w:b/>
        </w:rPr>
      </w:pPr>
    </w:p>
    <w:p w14:paraId="5C51447A" w14:textId="6FD172C9" w:rsidR="00E17119" w:rsidRPr="009A2E44" w:rsidRDefault="005D39F4" w:rsidP="001C47D3">
      <w:pPr>
        <w:spacing w:line="480" w:lineRule="auto"/>
        <w:rPr>
          <w:rFonts w:ascii="Garamond" w:hAnsi="Garamond"/>
          <w:b/>
        </w:rPr>
      </w:pPr>
      <w:r w:rsidRPr="009A2E44">
        <w:rPr>
          <w:rFonts w:ascii="Garamond" w:hAnsi="Garamond"/>
          <w:b/>
        </w:rPr>
        <w:t xml:space="preserve">5. </w:t>
      </w:r>
      <w:r w:rsidR="00F66BC7" w:rsidRPr="009A2E44">
        <w:rPr>
          <w:rFonts w:ascii="Garamond" w:hAnsi="Garamond"/>
          <w:b/>
        </w:rPr>
        <w:t>Discussion</w:t>
      </w:r>
    </w:p>
    <w:p w14:paraId="6179B81D" w14:textId="122AA9A9" w:rsidR="005171A4" w:rsidRPr="009A2E44" w:rsidRDefault="008624BA" w:rsidP="001C47D3">
      <w:pPr>
        <w:spacing w:line="480" w:lineRule="auto"/>
        <w:ind w:firstLine="720"/>
        <w:rPr>
          <w:rFonts w:ascii="Garamond" w:hAnsi="Garamond"/>
        </w:rPr>
      </w:pPr>
      <w:r w:rsidRPr="009A2E44">
        <w:rPr>
          <w:rFonts w:ascii="Garamond" w:hAnsi="Garamond"/>
        </w:rPr>
        <w:t xml:space="preserve">The large range and very high </w:t>
      </w:r>
      <w:r w:rsidR="00874AAD" w:rsidRPr="009A2E44">
        <w:rPr>
          <w:rFonts w:ascii="Garamond" w:hAnsi="Garamond"/>
        </w:rPr>
        <w:sym w:font="Symbol" w:char="F064"/>
      </w:r>
      <w:r w:rsidR="00874AAD" w:rsidRPr="009A2E44">
        <w:rPr>
          <w:rFonts w:ascii="Garamond" w:hAnsi="Garamond"/>
          <w:vertAlign w:val="superscript"/>
        </w:rPr>
        <w:t>2</w:t>
      </w:r>
      <w:r w:rsidR="00874AAD" w:rsidRPr="009A2E44">
        <w:rPr>
          <w:rFonts w:ascii="Garamond" w:hAnsi="Garamond"/>
        </w:rPr>
        <w:t>H</w:t>
      </w:r>
      <w:r w:rsidR="00874AAD" w:rsidRPr="009A2E44">
        <w:rPr>
          <w:rFonts w:ascii="Garamond" w:hAnsi="Garamond"/>
          <w:vertAlign w:val="subscript"/>
        </w:rPr>
        <w:t>dinosterol</w:t>
      </w:r>
      <w:r w:rsidRPr="009A2E44">
        <w:rPr>
          <w:rFonts w:ascii="Garamond" w:hAnsi="Garamond"/>
          <w:color w:val="000000"/>
          <w:shd w:val="clear" w:color="auto" w:fill="FFFFFF"/>
        </w:rPr>
        <w:t xml:space="preserve"> </w:t>
      </w:r>
      <w:r w:rsidR="006E2DC7" w:rsidRPr="009A2E44">
        <w:rPr>
          <w:rFonts w:ascii="Garamond" w:hAnsi="Garamond"/>
        </w:rPr>
        <w:t>values</w:t>
      </w:r>
      <w:r w:rsidR="006E2DC7" w:rsidRPr="009A2E44">
        <w:rPr>
          <w:rFonts w:ascii="Garamond" w:hAnsi="Garamond"/>
          <w:color w:val="000000"/>
          <w:shd w:val="clear" w:color="auto" w:fill="FFFFFF"/>
        </w:rPr>
        <w:t xml:space="preserve"> </w:t>
      </w:r>
      <w:r w:rsidRPr="009A2E44">
        <w:rPr>
          <w:rFonts w:ascii="Garamond" w:hAnsi="Garamond"/>
          <w:color w:val="000000"/>
          <w:shd w:val="clear" w:color="auto" w:fill="FFFFFF"/>
        </w:rPr>
        <w:t>in</w:t>
      </w:r>
      <w:r w:rsidR="00FD43F8" w:rsidRPr="009A2E44">
        <w:rPr>
          <w:rFonts w:ascii="Garamond" w:hAnsi="Garamond"/>
          <w:color w:val="000000"/>
          <w:shd w:val="clear" w:color="auto" w:fill="FFFFFF"/>
        </w:rPr>
        <w:t xml:space="preserve"> </w:t>
      </w:r>
      <w:r w:rsidR="00A61B1F" w:rsidRPr="009A2E44">
        <w:rPr>
          <w:rFonts w:ascii="Garamond" w:hAnsi="Garamond"/>
          <w:color w:val="000000"/>
          <w:shd w:val="clear" w:color="auto" w:fill="FFFFFF"/>
        </w:rPr>
        <w:t>Lac Lalolalo</w:t>
      </w:r>
      <w:r w:rsidRPr="009A2E44">
        <w:rPr>
          <w:rFonts w:ascii="Garamond" w:hAnsi="Garamond"/>
          <w:color w:val="000000"/>
          <w:shd w:val="clear" w:color="auto" w:fill="FFFFFF"/>
        </w:rPr>
        <w:t xml:space="preserve"> </w:t>
      </w:r>
      <w:r w:rsidRPr="009A2E44">
        <w:rPr>
          <w:rFonts w:ascii="Garamond" w:hAnsi="Garamond"/>
        </w:rPr>
        <w:t>compare</w:t>
      </w:r>
      <w:r w:rsidR="00874AAD" w:rsidRPr="009A2E44">
        <w:rPr>
          <w:rFonts w:ascii="Garamond" w:hAnsi="Garamond"/>
        </w:rPr>
        <w:t>d</w:t>
      </w:r>
      <w:r w:rsidRPr="009A2E44">
        <w:rPr>
          <w:rFonts w:ascii="Garamond" w:hAnsi="Garamond"/>
        </w:rPr>
        <w:t xml:space="preserve"> to </w:t>
      </w:r>
      <w:r w:rsidRPr="009A2E44">
        <w:rPr>
          <w:rFonts w:ascii="Garamond" w:hAnsi="Garamond"/>
          <w:color w:val="000000"/>
          <w:shd w:val="clear" w:color="auto" w:fill="FFFFFF"/>
        </w:rPr>
        <w:t>Lac Lanutavake</w:t>
      </w:r>
      <w:r w:rsidR="004F38E7" w:rsidRPr="009A2E44">
        <w:rPr>
          <w:rFonts w:ascii="Garamond" w:hAnsi="Garamond"/>
          <w:color w:val="000000"/>
          <w:shd w:val="clear" w:color="auto" w:fill="FFFFFF"/>
        </w:rPr>
        <w:t xml:space="preserve"> (</w:t>
      </w:r>
      <w:r w:rsidR="004F38E7" w:rsidRPr="009A2E44">
        <w:rPr>
          <w:rFonts w:ascii="Garamond" w:hAnsi="Garamond"/>
          <w:b/>
          <w:bCs/>
          <w:color w:val="000000"/>
          <w:shd w:val="clear" w:color="auto" w:fill="FFFFFF"/>
        </w:rPr>
        <w:t>Fig. 4</w:t>
      </w:r>
      <w:r w:rsidR="004F38E7" w:rsidRPr="009A2E44">
        <w:rPr>
          <w:rFonts w:ascii="Garamond" w:hAnsi="Garamond"/>
          <w:color w:val="000000"/>
          <w:shd w:val="clear" w:color="auto" w:fill="FFFFFF"/>
        </w:rPr>
        <w:t>)</w:t>
      </w:r>
      <w:r w:rsidR="006E2DC7" w:rsidRPr="009A2E44">
        <w:rPr>
          <w:rFonts w:ascii="Garamond" w:hAnsi="Garamond"/>
          <w:color w:val="000000"/>
          <w:shd w:val="clear" w:color="auto" w:fill="FFFFFF"/>
        </w:rPr>
        <w:t>, combined with the unique geologic setting of Lac Lalolalo</w:t>
      </w:r>
      <w:r w:rsidR="00A61B1F" w:rsidRPr="009A2E44">
        <w:rPr>
          <w:rFonts w:ascii="Garamond" w:hAnsi="Garamond"/>
          <w:color w:val="000000"/>
          <w:shd w:val="clear" w:color="auto" w:fill="FFFFFF"/>
        </w:rPr>
        <w:t xml:space="preserve"> </w:t>
      </w:r>
      <w:r w:rsidRPr="009A2E44">
        <w:rPr>
          <w:rFonts w:ascii="Garamond" w:hAnsi="Garamond"/>
          <w:color w:val="000000"/>
          <w:shd w:val="clear" w:color="auto" w:fill="FFFFFF"/>
        </w:rPr>
        <w:t xml:space="preserve">indicate that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records from </w:t>
      </w:r>
      <w:r w:rsidR="006E514B">
        <w:rPr>
          <w:rFonts w:ascii="Garamond" w:hAnsi="Garamond"/>
        </w:rPr>
        <w:t>Lac Lalolalo</w:t>
      </w:r>
      <w:r w:rsidR="00430661" w:rsidRPr="009A2E44">
        <w:rPr>
          <w:rFonts w:ascii="Garamond" w:hAnsi="Garamond"/>
          <w:color w:val="000000"/>
          <w:shd w:val="clear" w:color="auto" w:fill="FFFFFF"/>
        </w:rPr>
        <w:t xml:space="preserve"> are unlikely to reflect hydroclimate</w:t>
      </w:r>
      <w:r w:rsidR="00B54F3D" w:rsidRPr="009A2E44">
        <w:rPr>
          <w:rFonts w:ascii="Garamond" w:hAnsi="Garamond"/>
          <w:color w:val="000000"/>
          <w:shd w:val="clear" w:color="auto" w:fill="FFFFFF"/>
        </w:rPr>
        <w:t xml:space="preserve">. </w:t>
      </w:r>
      <w:r w:rsidR="00C368B3">
        <w:rPr>
          <w:rFonts w:ascii="Garamond" w:hAnsi="Garamond"/>
          <w:color w:val="000000"/>
          <w:shd w:val="clear" w:color="auto" w:fill="FFFFFF"/>
        </w:rPr>
        <w:t>P</w:t>
      </w:r>
      <w:r w:rsidR="000719DE">
        <w:rPr>
          <w:rFonts w:ascii="Garamond" w:hAnsi="Garamond"/>
          <w:color w:val="000000"/>
          <w:shd w:val="clear" w:color="auto" w:fill="FFFFFF"/>
        </w:rPr>
        <w:t xml:space="preserve">re-modern </w:t>
      </w:r>
      <w:r w:rsidR="000719DE" w:rsidRPr="009A2E44">
        <w:rPr>
          <w:rFonts w:ascii="Garamond" w:hAnsi="Garamond"/>
        </w:rPr>
        <w:sym w:font="Symbol" w:char="F064"/>
      </w:r>
      <w:r w:rsidR="000719DE" w:rsidRPr="009A2E44">
        <w:rPr>
          <w:rFonts w:ascii="Garamond" w:hAnsi="Garamond"/>
          <w:vertAlign w:val="superscript"/>
        </w:rPr>
        <w:t>2</w:t>
      </w:r>
      <w:r w:rsidR="000719DE" w:rsidRPr="009A2E44">
        <w:rPr>
          <w:rFonts w:ascii="Garamond" w:hAnsi="Garamond"/>
        </w:rPr>
        <w:t>H</w:t>
      </w:r>
      <w:r w:rsidR="000719DE" w:rsidRPr="009A2E44">
        <w:rPr>
          <w:rFonts w:ascii="Garamond" w:hAnsi="Garamond"/>
          <w:vertAlign w:val="subscript"/>
        </w:rPr>
        <w:t>dinosterol</w:t>
      </w:r>
      <w:r w:rsidR="000719DE" w:rsidRPr="009A2E44">
        <w:rPr>
          <w:rFonts w:ascii="Garamond" w:hAnsi="Garamond"/>
        </w:rPr>
        <w:t xml:space="preserve"> </w:t>
      </w:r>
      <w:r w:rsidR="000719DE">
        <w:rPr>
          <w:rFonts w:ascii="Garamond" w:hAnsi="Garamond"/>
          <w:color w:val="000000"/>
          <w:shd w:val="clear" w:color="auto" w:fill="FFFFFF"/>
        </w:rPr>
        <w:t xml:space="preserve">values from Lac Lalolalo </w:t>
      </w:r>
      <w:r w:rsidR="00C368B3">
        <w:rPr>
          <w:rFonts w:ascii="Garamond" w:hAnsi="Garamond"/>
          <w:color w:val="000000"/>
          <w:shd w:val="clear" w:color="auto" w:fill="FFFFFF"/>
        </w:rPr>
        <w:t xml:space="preserve">would </w:t>
      </w:r>
      <w:r w:rsidR="000719DE">
        <w:rPr>
          <w:rFonts w:ascii="Garamond" w:hAnsi="Garamond"/>
          <w:color w:val="000000"/>
          <w:shd w:val="clear" w:color="auto" w:fill="FFFFFF"/>
        </w:rPr>
        <w:t xml:space="preserve">result in precipitation rates as low as 1.3 </w:t>
      </w:r>
      <w:r w:rsidR="000719DE" w:rsidRPr="009A2E44">
        <w:rPr>
          <w:rFonts w:ascii="Garamond" w:hAnsi="Garamond"/>
        </w:rPr>
        <w:t>mm d</w:t>
      </w:r>
      <w:r w:rsidR="000719DE" w:rsidRPr="009A2E44">
        <w:rPr>
          <w:rFonts w:ascii="Garamond" w:hAnsi="Garamond"/>
          <w:color w:val="202020"/>
          <w:shd w:val="clear" w:color="auto" w:fill="FFFFFF"/>
          <w:vertAlign w:val="superscript"/>
        </w:rPr>
        <w:t>−</w:t>
      </w:r>
      <w:r w:rsidR="000719DE" w:rsidRPr="009A2E44">
        <w:rPr>
          <w:rFonts w:ascii="Garamond" w:hAnsi="Garamond"/>
          <w:vertAlign w:val="superscript"/>
        </w:rPr>
        <w:t>1</w:t>
      </w:r>
      <w:r w:rsidR="00C368B3">
        <w:rPr>
          <w:rFonts w:ascii="Garamond" w:hAnsi="Garamond"/>
          <w:color w:val="000000"/>
          <w:shd w:val="clear" w:color="auto" w:fill="FFFFFF"/>
        </w:rPr>
        <w:t>,</w:t>
      </w:r>
      <w:r w:rsidR="000719DE">
        <w:rPr>
          <w:rFonts w:ascii="Garamond" w:hAnsi="Garamond"/>
          <w:color w:val="000000"/>
          <w:shd w:val="clear" w:color="auto" w:fill="FFFFFF"/>
        </w:rPr>
        <w:t xml:space="preserve"> in stark contrast to records from Samoa, Vanuatu</w:t>
      </w:r>
      <w:r w:rsidR="00C368B3">
        <w:rPr>
          <w:rFonts w:ascii="Garamond" w:hAnsi="Garamond"/>
          <w:color w:val="000000"/>
          <w:shd w:val="clear" w:color="auto" w:fill="FFFFFF"/>
        </w:rPr>
        <w:t xml:space="preserve">, Lac Lanutavake, and </w:t>
      </w:r>
      <w:r w:rsidR="009F2A1B">
        <w:rPr>
          <w:rFonts w:ascii="Garamond" w:hAnsi="Garamond"/>
          <w:color w:val="000000"/>
          <w:shd w:val="clear" w:color="auto" w:fill="FFFFFF"/>
        </w:rPr>
        <w:t>modern</w:t>
      </w:r>
      <w:r w:rsidR="00C368B3">
        <w:rPr>
          <w:rFonts w:ascii="Garamond" w:hAnsi="Garamond"/>
          <w:color w:val="000000"/>
          <w:shd w:val="clear" w:color="auto" w:fill="FFFFFF"/>
        </w:rPr>
        <w:t xml:space="preserve"> values from Lac Lalolalo</w:t>
      </w:r>
      <w:r w:rsidR="000719DE">
        <w:rPr>
          <w:rFonts w:ascii="Garamond" w:hAnsi="Garamond"/>
          <w:color w:val="000000"/>
          <w:shd w:val="clear" w:color="auto" w:fill="FFFFFF"/>
        </w:rPr>
        <w:t xml:space="preserve"> (3.7 to </w:t>
      </w:r>
      <w:r w:rsidR="00C368B3">
        <w:rPr>
          <w:rFonts w:ascii="Garamond" w:hAnsi="Garamond"/>
          <w:color w:val="000000"/>
          <w:shd w:val="clear" w:color="auto" w:fill="FFFFFF"/>
        </w:rPr>
        <w:t>7.6</w:t>
      </w:r>
      <w:r w:rsidR="000719DE" w:rsidRPr="000719DE">
        <w:rPr>
          <w:rFonts w:ascii="Garamond" w:hAnsi="Garamond"/>
        </w:rPr>
        <w:t xml:space="preserve"> </w:t>
      </w:r>
      <w:r w:rsidR="000719DE" w:rsidRPr="009A2E44">
        <w:rPr>
          <w:rFonts w:ascii="Garamond" w:hAnsi="Garamond"/>
        </w:rPr>
        <w:t>mm d</w:t>
      </w:r>
      <w:r w:rsidR="000719DE" w:rsidRPr="009A2E44">
        <w:rPr>
          <w:rFonts w:ascii="Garamond" w:hAnsi="Garamond"/>
          <w:color w:val="202020"/>
          <w:shd w:val="clear" w:color="auto" w:fill="FFFFFF"/>
          <w:vertAlign w:val="superscript"/>
        </w:rPr>
        <w:t>−</w:t>
      </w:r>
      <w:r w:rsidR="000719DE" w:rsidRPr="009A2E44">
        <w:rPr>
          <w:rFonts w:ascii="Garamond" w:hAnsi="Garamond"/>
          <w:vertAlign w:val="superscript"/>
        </w:rPr>
        <w:t>1</w:t>
      </w:r>
      <w:r w:rsidR="000719DE">
        <w:rPr>
          <w:rFonts w:ascii="Garamond" w:hAnsi="Garamond"/>
          <w:color w:val="000000"/>
          <w:shd w:val="clear" w:color="auto" w:fill="FFFFFF"/>
        </w:rPr>
        <w:t>)</w:t>
      </w:r>
      <w:r w:rsidR="00C368B3">
        <w:rPr>
          <w:rFonts w:ascii="Garamond" w:hAnsi="Garamond"/>
          <w:color w:val="000000"/>
          <w:shd w:val="clear" w:color="auto" w:fill="FFFFFF"/>
        </w:rPr>
        <w:t xml:space="preserve"> and </w:t>
      </w:r>
      <w:r w:rsidR="009F2A1B">
        <w:rPr>
          <w:rFonts w:ascii="Garamond" w:hAnsi="Garamond"/>
          <w:color w:val="000000"/>
          <w:shd w:val="clear" w:color="auto" w:fill="FFFFFF"/>
        </w:rPr>
        <w:t xml:space="preserve">up to 20 ‰ more </w:t>
      </w:r>
      <w:r w:rsidR="009F2A1B" w:rsidRPr="009F2A1B">
        <w:rPr>
          <w:rFonts w:ascii="Garamond" w:hAnsi="Garamond"/>
          <w:color w:val="000000"/>
          <w:shd w:val="clear" w:color="auto" w:fill="FFFFFF"/>
          <w:vertAlign w:val="superscript"/>
        </w:rPr>
        <w:t>2</w:t>
      </w:r>
      <w:r w:rsidR="009F2A1B">
        <w:rPr>
          <w:rFonts w:ascii="Garamond" w:hAnsi="Garamond"/>
          <w:color w:val="000000"/>
          <w:shd w:val="clear" w:color="auto" w:fill="FFFFFF"/>
        </w:rPr>
        <w:t xml:space="preserve">H-enriched (as high as </w:t>
      </w:r>
      <w:r w:rsidR="009F2A1B" w:rsidRPr="009F2A1B">
        <w:rPr>
          <w:rFonts w:ascii="Garamond" w:hAnsi="Garamond"/>
          <w:color w:val="202020"/>
          <w:shd w:val="clear" w:color="auto" w:fill="FFFFFF"/>
        </w:rPr>
        <w:t>−</w:t>
      </w:r>
      <w:r w:rsidR="009F2A1B">
        <w:rPr>
          <w:rFonts w:ascii="Garamond" w:hAnsi="Garamond"/>
          <w:color w:val="000000"/>
          <w:shd w:val="clear" w:color="auto" w:fill="FFFFFF"/>
        </w:rPr>
        <w:t>227 ‰) compared to the driest</w:t>
      </w:r>
      <w:r w:rsidR="00C368B3">
        <w:rPr>
          <w:rFonts w:ascii="Garamond" w:hAnsi="Garamond"/>
          <w:color w:val="000000"/>
          <w:shd w:val="clear" w:color="auto" w:fill="FFFFFF"/>
        </w:rPr>
        <w:t xml:space="preserve"> value</w:t>
      </w:r>
      <w:r w:rsidR="009F2A1B">
        <w:rPr>
          <w:rFonts w:ascii="Garamond" w:hAnsi="Garamond"/>
          <w:color w:val="000000"/>
          <w:shd w:val="clear" w:color="auto" w:fill="FFFFFF"/>
        </w:rPr>
        <w:t xml:space="preserve"> (</w:t>
      </w:r>
      <w:r w:rsidR="009F2A1B" w:rsidRPr="009F2A1B">
        <w:rPr>
          <w:rFonts w:ascii="Garamond" w:hAnsi="Garamond"/>
          <w:color w:val="202020"/>
          <w:shd w:val="clear" w:color="auto" w:fill="FFFFFF"/>
        </w:rPr>
        <w:t>−</w:t>
      </w:r>
      <w:r w:rsidR="009F2A1B">
        <w:rPr>
          <w:rFonts w:ascii="Garamond" w:hAnsi="Garamond"/>
          <w:color w:val="000000"/>
          <w:shd w:val="clear" w:color="auto" w:fill="FFFFFF"/>
        </w:rPr>
        <w:t xml:space="preserve">247 ‰) </w:t>
      </w:r>
      <w:r w:rsidR="00C368B3">
        <w:rPr>
          <w:rFonts w:ascii="Garamond" w:hAnsi="Garamond"/>
          <w:color w:val="000000"/>
          <w:shd w:val="clear" w:color="auto" w:fill="FFFFFF"/>
        </w:rPr>
        <w:t>used to create the core top calibration</w:t>
      </w:r>
      <w:r w:rsidR="009F2A1B">
        <w:rPr>
          <w:rFonts w:ascii="Garamond" w:hAnsi="Garamond"/>
          <w:color w:val="000000"/>
          <w:shd w:val="clear" w:color="auto" w:fill="FFFFFF"/>
        </w:rPr>
        <w:t xml:space="preserve"> </w:t>
      </w:r>
      <w:r w:rsidR="009F2A1B" w:rsidRPr="009A2E44">
        <w:rPr>
          <w:rFonts w:ascii="Garamond" w:hAnsi="Garamond"/>
        </w:rPr>
        <w:fldChar w:fldCharType="begin" w:fldLock="1"/>
      </w:r>
      <w:r w:rsidR="009F2A1B" w:rsidRPr="009A2E44">
        <w:rPr>
          <w:rFonts w:ascii="Garamond" w:hAnsi="Garamond"/>
        </w:rPr>
        <w:instrText>ADDIN CSL_CITATION {"citationItems":[{"id":"ITEM-1","itemData":{"DOI":"10.1016/j.gca.2018.10.028","ISSN":"0016-7037","author":[{"dropping-particle":"","family":"Maloney","given":"Ashley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Acta","id":"ITEM-1","issued":{"date-parts":[["2019"]]},"page":"190-206","publisher":"Elsevier Ltd","title":"Reconstructing precipitation in the tropical South Pacific from dinosterol 2H/1H ratios in lake sediment","type":"article-journal","volume":"245"},"uris":["http://www.mendeley.com/documents/?uuid=c7ab851f-4ac6-4a60-a0db-daaa3baed28f"]}],"mendeley":{"formattedCitation":"(Maloney et al., 2019)","plainTextFormattedCitation":"(Maloney et al., 2019)","previouslyFormattedCitation":"(Maloney et al., 2019)"},"properties":{"noteIndex":0},"schema":"https://github.com/citation-style-language/schema/raw/master/csl-citation.json"}</w:instrText>
      </w:r>
      <w:r w:rsidR="009F2A1B" w:rsidRPr="009A2E44">
        <w:rPr>
          <w:rFonts w:ascii="Garamond" w:hAnsi="Garamond"/>
        </w:rPr>
        <w:fldChar w:fldCharType="separate"/>
      </w:r>
      <w:r w:rsidR="009F2A1B" w:rsidRPr="009A2E44">
        <w:rPr>
          <w:rFonts w:ascii="Garamond" w:hAnsi="Garamond"/>
          <w:noProof/>
        </w:rPr>
        <w:t>(Maloney et al., 2019)</w:t>
      </w:r>
      <w:r w:rsidR="009F2A1B" w:rsidRPr="009A2E44">
        <w:rPr>
          <w:rFonts w:ascii="Garamond" w:hAnsi="Garamond"/>
        </w:rPr>
        <w:fldChar w:fldCharType="end"/>
      </w:r>
      <w:r w:rsidR="000719DE">
        <w:rPr>
          <w:rFonts w:ascii="Garamond" w:hAnsi="Garamond"/>
          <w:color w:val="000000"/>
          <w:shd w:val="clear" w:color="auto" w:fill="FFFFFF"/>
        </w:rPr>
        <w:t xml:space="preserve">. </w:t>
      </w:r>
      <w:r w:rsidR="00B54F3D" w:rsidRPr="009A2E44">
        <w:rPr>
          <w:rFonts w:ascii="Garamond" w:hAnsi="Garamond"/>
          <w:color w:val="000000"/>
          <w:shd w:val="clear" w:color="auto" w:fill="FFFFFF"/>
        </w:rPr>
        <w:t>Below w</w:t>
      </w:r>
      <w:r w:rsidR="005B073A" w:rsidRPr="009A2E44">
        <w:rPr>
          <w:rFonts w:ascii="Garamond" w:hAnsi="Garamond"/>
          <w:color w:val="000000"/>
          <w:shd w:val="clear" w:color="auto" w:fill="FFFFFF"/>
        </w:rPr>
        <w:t xml:space="preserve">e </w:t>
      </w:r>
      <w:r w:rsidR="00874AAD" w:rsidRPr="009A2E44">
        <w:rPr>
          <w:rFonts w:ascii="Garamond" w:hAnsi="Garamond"/>
          <w:color w:val="000000"/>
          <w:shd w:val="clear" w:color="auto" w:fill="FFFFFF"/>
        </w:rPr>
        <w:t xml:space="preserve">propose </w:t>
      </w:r>
      <w:r w:rsidR="00B54F3D" w:rsidRPr="009A2E44">
        <w:rPr>
          <w:rFonts w:ascii="Garamond" w:hAnsi="Garamond"/>
          <w:color w:val="000000"/>
          <w:shd w:val="clear" w:color="auto" w:fill="FFFFFF"/>
        </w:rPr>
        <w:t xml:space="preserve">possible </w:t>
      </w:r>
      <w:r w:rsidR="00707BDB" w:rsidRPr="009A2E44">
        <w:rPr>
          <w:rFonts w:ascii="Garamond" w:hAnsi="Garamond"/>
          <w:color w:val="000000"/>
          <w:shd w:val="clear" w:color="auto" w:fill="FFFFFF"/>
        </w:rPr>
        <w:t xml:space="preserve">alternative influences </w:t>
      </w:r>
      <w:r w:rsidR="00B54F3D" w:rsidRPr="009A2E44">
        <w:rPr>
          <w:rFonts w:ascii="Garamond" w:hAnsi="Garamond"/>
          <w:color w:val="000000"/>
          <w:shd w:val="clear" w:color="auto" w:fill="FFFFFF"/>
        </w:rPr>
        <w:t>on</w:t>
      </w:r>
      <w:r w:rsidR="00707BDB" w:rsidRPr="009A2E44">
        <w:rPr>
          <w:rFonts w:ascii="Garamond" w:hAnsi="Garamond"/>
          <w:color w:val="000000"/>
          <w:shd w:val="clear" w:color="auto" w:fill="FFFFFF"/>
        </w:rPr>
        <w:t xml:space="preserve"> </w:t>
      </w:r>
      <w:r w:rsidR="00B54F3D" w:rsidRPr="009A2E44">
        <w:rPr>
          <w:rFonts w:ascii="Garamond" w:hAnsi="Garamond"/>
          <w:color w:val="000000"/>
          <w:shd w:val="clear" w:color="auto" w:fill="FFFFFF"/>
        </w:rPr>
        <w:t xml:space="preserve">Lac Lalolalo’s </w:t>
      </w:r>
      <w:r w:rsidR="00B54F3D" w:rsidRPr="009A2E44">
        <w:rPr>
          <w:rFonts w:ascii="Garamond" w:hAnsi="Garamond"/>
        </w:rPr>
        <w:sym w:font="Symbol" w:char="F064"/>
      </w:r>
      <w:r w:rsidR="00B54F3D" w:rsidRPr="009A2E44">
        <w:rPr>
          <w:rFonts w:ascii="Garamond" w:hAnsi="Garamond"/>
          <w:vertAlign w:val="superscript"/>
        </w:rPr>
        <w:t>2</w:t>
      </w:r>
      <w:r w:rsidR="00B54F3D" w:rsidRPr="009A2E44">
        <w:rPr>
          <w:rFonts w:ascii="Garamond" w:hAnsi="Garamond"/>
        </w:rPr>
        <w:t>H</w:t>
      </w:r>
      <w:r w:rsidR="00B54F3D" w:rsidRPr="009A2E44">
        <w:rPr>
          <w:rFonts w:ascii="Garamond" w:hAnsi="Garamond"/>
          <w:vertAlign w:val="subscript"/>
        </w:rPr>
        <w:t>dinosterol</w:t>
      </w:r>
      <w:r w:rsidR="00B54F3D" w:rsidRPr="009A2E44">
        <w:rPr>
          <w:rFonts w:ascii="Garamond" w:hAnsi="Garamond"/>
        </w:rPr>
        <w:t xml:space="preserve"> </w:t>
      </w:r>
      <w:r w:rsidR="00874AAD" w:rsidRPr="009A2E44">
        <w:rPr>
          <w:rFonts w:ascii="Garamond" w:hAnsi="Garamond"/>
        </w:rPr>
        <w:t>values</w:t>
      </w:r>
      <w:r w:rsidR="00874AAD" w:rsidRPr="009A2E44">
        <w:rPr>
          <w:rFonts w:ascii="Garamond" w:hAnsi="Garamond"/>
          <w:color w:val="000000"/>
          <w:shd w:val="clear" w:color="auto" w:fill="FFFFFF"/>
        </w:rPr>
        <w:t xml:space="preserve"> </w:t>
      </w:r>
      <w:r w:rsidR="00B54F3D" w:rsidRPr="009A2E44">
        <w:rPr>
          <w:rFonts w:ascii="Garamond" w:hAnsi="Garamond"/>
          <w:color w:val="000000"/>
          <w:shd w:val="clear" w:color="auto" w:fill="FFFFFF"/>
        </w:rPr>
        <w:t xml:space="preserve">and emphasize the need for redundancy and </w:t>
      </w:r>
      <w:r w:rsidR="00F71787" w:rsidRPr="009A2E44">
        <w:rPr>
          <w:rFonts w:ascii="Garamond" w:hAnsi="Garamond"/>
          <w:color w:val="000000"/>
          <w:shd w:val="clear" w:color="auto" w:fill="FFFFFF"/>
        </w:rPr>
        <w:t xml:space="preserve">replication </w:t>
      </w:r>
      <w:r w:rsidR="00B54F3D" w:rsidRPr="009A2E44">
        <w:rPr>
          <w:rFonts w:ascii="Garamond" w:hAnsi="Garamond"/>
          <w:color w:val="000000"/>
          <w:shd w:val="clear" w:color="auto" w:fill="FFFFFF"/>
        </w:rPr>
        <w:t>when interpreting paleoprecipitation archives</w:t>
      </w:r>
      <w:r w:rsidR="00A61B1F" w:rsidRPr="009A2E44">
        <w:rPr>
          <w:rFonts w:ascii="Garamond" w:hAnsi="Garamond"/>
          <w:color w:val="000000"/>
          <w:shd w:val="clear" w:color="auto" w:fill="FFFFFF"/>
        </w:rPr>
        <w:t xml:space="preserve">. </w:t>
      </w:r>
      <w:r w:rsidR="00B54F3D" w:rsidRPr="009A2E44">
        <w:rPr>
          <w:rFonts w:ascii="Garamond" w:hAnsi="Garamond"/>
          <w:color w:val="000000"/>
          <w:shd w:val="clear" w:color="auto" w:fill="FFFFFF"/>
        </w:rPr>
        <w:t>Meanwhile, L</w:t>
      </w:r>
      <w:r w:rsidR="00707BDB" w:rsidRPr="009A2E44">
        <w:rPr>
          <w:rFonts w:ascii="Garamond" w:hAnsi="Garamond"/>
          <w:color w:val="000000"/>
          <w:shd w:val="clear" w:color="auto" w:fill="FFFFFF"/>
        </w:rPr>
        <w:t xml:space="preserve">ac </w:t>
      </w:r>
      <w:r w:rsidR="00707BDB" w:rsidRPr="009A2E44">
        <w:rPr>
          <w:rFonts w:ascii="Garamond" w:hAnsi="Garamond"/>
          <w:color w:val="000000"/>
          <w:shd w:val="clear" w:color="auto" w:fill="FFFFFF"/>
        </w:rPr>
        <w:lastRenderedPageBreak/>
        <w:t xml:space="preserve">Lanutavake’s </w:t>
      </w:r>
      <w:r w:rsidR="005171A4" w:rsidRPr="009A2E44">
        <w:rPr>
          <w:rFonts w:ascii="Garamond" w:hAnsi="Garamond"/>
        </w:rPr>
        <w:sym w:font="Symbol" w:char="F064"/>
      </w:r>
      <w:r w:rsidR="005171A4" w:rsidRPr="009A2E44">
        <w:rPr>
          <w:rFonts w:ascii="Garamond" w:hAnsi="Garamond"/>
          <w:vertAlign w:val="superscript"/>
        </w:rPr>
        <w:t>2</w:t>
      </w:r>
      <w:r w:rsidR="005171A4" w:rsidRPr="009A2E44">
        <w:rPr>
          <w:rFonts w:ascii="Garamond" w:hAnsi="Garamond"/>
        </w:rPr>
        <w:t>H</w:t>
      </w:r>
      <w:r w:rsidR="005171A4" w:rsidRPr="009A2E44">
        <w:rPr>
          <w:rFonts w:ascii="Garamond" w:hAnsi="Garamond"/>
          <w:vertAlign w:val="subscript"/>
        </w:rPr>
        <w:t>dinosterol</w:t>
      </w:r>
      <w:r w:rsidR="005171A4" w:rsidRPr="009A2E44">
        <w:rPr>
          <w:rFonts w:ascii="Garamond" w:hAnsi="Garamond"/>
        </w:rPr>
        <w:t xml:space="preserve"> values </w:t>
      </w:r>
      <w:r w:rsidR="00707BDB" w:rsidRPr="009A2E44">
        <w:rPr>
          <w:rFonts w:ascii="Garamond" w:hAnsi="Garamond"/>
          <w:color w:val="000000"/>
          <w:shd w:val="clear" w:color="auto" w:fill="FFFFFF"/>
        </w:rPr>
        <w:t>appear to record</w:t>
      </w:r>
      <w:r w:rsidR="005171A4" w:rsidRPr="009A2E44">
        <w:rPr>
          <w:rFonts w:ascii="Garamond" w:hAnsi="Garamond"/>
        </w:rPr>
        <w:t xml:space="preserve"> SPCZ hydroclimate</w:t>
      </w:r>
      <w:r w:rsidR="00DE14A8">
        <w:rPr>
          <w:rFonts w:ascii="Garamond" w:hAnsi="Garamond"/>
        </w:rPr>
        <w:t xml:space="preserve"> and are</w:t>
      </w:r>
      <w:r w:rsidR="004F38E7" w:rsidRPr="009A2E44">
        <w:rPr>
          <w:rFonts w:ascii="Garamond" w:hAnsi="Garamond"/>
        </w:rPr>
        <w:t xml:space="preserve"> </w:t>
      </w:r>
      <w:r w:rsidR="00DE14A8">
        <w:rPr>
          <w:rFonts w:ascii="Garamond" w:hAnsi="Garamond"/>
        </w:rPr>
        <w:t>compared</w:t>
      </w:r>
      <w:r w:rsidR="00C666F0">
        <w:rPr>
          <w:rFonts w:ascii="Garamond" w:hAnsi="Garamond"/>
        </w:rPr>
        <w:t xml:space="preserve"> to</w:t>
      </w:r>
      <w:r w:rsidR="00910A63" w:rsidRPr="009A2E44">
        <w:rPr>
          <w:rFonts w:ascii="Garamond" w:hAnsi="Garamond"/>
        </w:rPr>
        <w:t xml:space="preserve"> </w:t>
      </w:r>
      <w:r w:rsidR="00B54F3D" w:rsidRPr="009A2E44">
        <w:rPr>
          <w:rFonts w:ascii="Garamond" w:hAnsi="Garamond"/>
        </w:rPr>
        <w:t xml:space="preserve">instrumental, </w:t>
      </w:r>
      <w:r w:rsidR="005B073A" w:rsidRPr="009A2E44">
        <w:rPr>
          <w:rFonts w:ascii="Garamond" w:hAnsi="Garamond"/>
        </w:rPr>
        <w:t>runoff</w:t>
      </w:r>
      <w:r w:rsidR="00B54F3D" w:rsidRPr="009A2E44">
        <w:rPr>
          <w:rFonts w:ascii="Garamond" w:hAnsi="Garamond"/>
        </w:rPr>
        <w:t>,</w:t>
      </w:r>
      <w:r w:rsidR="005B073A" w:rsidRPr="009A2E44">
        <w:rPr>
          <w:rFonts w:ascii="Garamond" w:hAnsi="Garamond"/>
        </w:rPr>
        <w:t xml:space="preserve"> and </w:t>
      </w:r>
      <w:r w:rsidR="005B073A" w:rsidRPr="009A2E44">
        <w:rPr>
          <w:rFonts w:ascii="Garamond" w:hAnsi="Garamond"/>
        </w:rPr>
        <w:sym w:font="Symbol" w:char="F064"/>
      </w:r>
      <w:r w:rsidR="005B073A" w:rsidRPr="009A2E44">
        <w:rPr>
          <w:rFonts w:ascii="Garamond" w:hAnsi="Garamond"/>
          <w:vertAlign w:val="superscript"/>
        </w:rPr>
        <w:t>2</w:t>
      </w:r>
      <w:r w:rsidR="005B073A" w:rsidRPr="009A2E44">
        <w:rPr>
          <w:rFonts w:ascii="Garamond" w:hAnsi="Garamond"/>
        </w:rPr>
        <w:t>H</w:t>
      </w:r>
      <w:r w:rsidR="005B073A" w:rsidRPr="009A2E44">
        <w:rPr>
          <w:rFonts w:ascii="Garamond" w:hAnsi="Garamond"/>
          <w:vertAlign w:val="subscript"/>
        </w:rPr>
        <w:t>dinosterol</w:t>
      </w:r>
      <w:r w:rsidR="005B073A" w:rsidRPr="009A2E44">
        <w:rPr>
          <w:rFonts w:ascii="Garamond" w:hAnsi="Garamond"/>
        </w:rPr>
        <w:t xml:space="preserve"> records </w:t>
      </w:r>
      <w:r w:rsidR="00B54F3D" w:rsidRPr="009A2E44">
        <w:rPr>
          <w:rFonts w:ascii="Garamond" w:hAnsi="Garamond"/>
        </w:rPr>
        <w:t>from Lake Lanoto’o</w:t>
      </w:r>
      <w:r w:rsidR="005B073A" w:rsidRPr="009A2E44">
        <w:rPr>
          <w:rFonts w:ascii="Garamond" w:hAnsi="Garamond"/>
        </w:rPr>
        <w:t xml:space="preserve"> </w:t>
      </w:r>
      <w:r w:rsidR="00B54F3D" w:rsidRPr="009A2E44">
        <w:rPr>
          <w:rFonts w:ascii="Garamond" w:hAnsi="Garamond"/>
        </w:rPr>
        <w:t>(</w:t>
      </w:r>
      <w:r w:rsidR="00871BD1" w:rsidRPr="009A2E44">
        <w:rPr>
          <w:rFonts w:ascii="Garamond" w:hAnsi="Garamond"/>
        </w:rPr>
        <w:t xml:space="preserve">‘Upolu, </w:t>
      </w:r>
      <w:r w:rsidR="005171A4" w:rsidRPr="009A2E44">
        <w:rPr>
          <w:rFonts w:ascii="Garamond" w:hAnsi="Garamond"/>
        </w:rPr>
        <w:t>Samoa</w:t>
      </w:r>
      <w:r w:rsidR="00B54F3D" w:rsidRPr="009A2E44">
        <w:rPr>
          <w:rFonts w:ascii="Garamond" w:hAnsi="Garamond"/>
        </w:rPr>
        <w:t>)</w:t>
      </w:r>
      <w:r w:rsidR="00563A9D" w:rsidRPr="009A2E44">
        <w:rPr>
          <w:rFonts w:ascii="Garamond" w:hAnsi="Garamond"/>
        </w:rPr>
        <w:t>,</w:t>
      </w:r>
      <w:r w:rsidR="005171A4" w:rsidRPr="009A2E44">
        <w:rPr>
          <w:rFonts w:ascii="Garamond" w:hAnsi="Garamond"/>
        </w:rPr>
        <w:t xml:space="preserve"> and </w:t>
      </w:r>
      <w:r w:rsidR="00B54F3D" w:rsidRPr="009A2E44">
        <w:rPr>
          <w:rFonts w:ascii="Garamond" w:hAnsi="Garamond"/>
        </w:rPr>
        <w:t>Lake Emaotul (</w:t>
      </w:r>
      <w:r w:rsidR="00871BD1" w:rsidRPr="009A2E44">
        <w:rPr>
          <w:rFonts w:ascii="Garamond" w:hAnsi="Garamond"/>
        </w:rPr>
        <w:t xml:space="preserve">Efate, </w:t>
      </w:r>
      <w:r w:rsidR="005171A4" w:rsidRPr="009A2E44">
        <w:rPr>
          <w:rFonts w:ascii="Garamond" w:hAnsi="Garamond"/>
        </w:rPr>
        <w:t>Vanuatu</w:t>
      </w:r>
      <w:r w:rsidR="00B54F3D" w:rsidRPr="009A2E44">
        <w:rPr>
          <w:rFonts w:ascii="Garamond" w:hAnsi="Garamond"/>
        </w:rPr>
        <w:t>)</w:t>
      </w:r>
      <w:r w:rsidR="00563A9D" w:rsidRPr="009A2E44">
        <w:rPr>
          <w:rFonts w:ascii="Garamond" w:hAnsi="Garamond"/>
        </w:rPr>
        <w:t xml:space="preserve"> </w:t>
      </w:r>
      <w:r w:rsidR="00C666F0">
        <w:rPr>
          <w:rFonts w:ascii="Garamond" w:hAnsi="Garamond"/>
        </w:rPr>
        <w:t xml:space="preserve">to </w:t>
      </w:r>
      <w:r w:rsidR="00563A9D" w:rsidRPr="009A2E44">
        <w:rPr>
          <w:rFonts w:ascii="Garamond" w:hAnsi="Garamond"/>
        </w:rPr>
        <w:t>support this interpretation</w:t>
      </w:r>
      <w:r w:rsidR="005B073A" w:rsidRPr="009A2E44">
        <w:rPr>
          <w:rFonts w:ascii="Garamond" w:hAnsi="Garamond"/>
        </w:rPr>
        <w:t xml:space="preserve">. </w:t>
      </w:r>
    </w:p>
    <w:p w14:paraId="7DE433A5" w14:textId="77777777" w:rsidR="00B2026A" w:rsidRPr="009A2E44" w:rsidRDefault="00B2026A" w:rsidP="001C47D3">
      <w:pPr>
        <w:spacing w:line="480" w:lineRule="auto"/>
        <w:rPr>
          <w:rFonts w:ascii="Garamond" w:hAnsi="Garamond"/>
          <w:i/>
          <w:iCs/>
        </w:rPr>
      </w:pPr>
    </w:p>
    <w:p w14:paraId="54E83108" w14:textId="2FB9970A" w:rsidR="005171A4" w:rsidRPr="009A2E44" w:rsidRDefault="005171A4" w:rsidP="001C47D3">
      <w:pPr>
        <w:spacing w:line="480" w:lineRule="auto"/>
        <w:rPr>
          <w:rFonts w:ascii="Garamond" w:hAnsi="Garamond"/>
          <w:i/>
          <w:noProof/>
        </w:rPr>
      </w:pPr>
      <w:r w:rsidRPr="009A2E44">
        <w:rPr>
          <w:rFonts w:ascii="Garamond" w:hAnsi="Garamond"/>
          <w:i/>
          <w:iCs/>
        </w:rPr>
        <w:t xml:space="preserve">5.1. High </w:t>
      </w:r>
      <w:r w:rsidRPr="009A2E44">
        <w:rPr>
          <w:rFonts w:ascii="Garamond" w:hAnsi="Garamond"/>
          <w:i/>
          <w:iCs/>
        </w:rPr>
        <w:sym w:font="Symbol" w:char="F064"/>
      </w:r>
      <w:r w:rsidRPr="009A2E44">
        <w:rPr>
          <w:rFonts w:ascii="Garamond" w:hAnsi="Garamond"/>
          <w:i/>
          <w:iCs/>
          <w:vertAlign w:val="superscript"/>
        </w:rPr>
        <w:t>2</w:t>
      </w:r>
      <w:r w:rsidRPr="009A2E44">
        <w:rPr>
          <w:rFonts w:ascii="Garamond" w:hAnsi="Garamond"/>
          <w:i/>
          <w:iCs/>
        </w:rPr>
        <w:t>H</w:t>
      </w:r>
      <w:r w:rsidRPr="009A2E44">
        <w:rPr>
          <w:rFonts w:ascii="Garamond" w:hAnsi="Garamond"/>
          <w:i/>
          <w:iCs/>
          <w:vertAlign w:val="subscript"/>
        </w:rPr>
        <w:t>dinosterol</w:t>
      </w:r>
      <w:r w:rsidRPr="009A2E44">
        <w:rPr>
          <w:rFonts w:ascii="Garamond" w:hAnsi="Garamond"/>
          <w:i/>
          <w:iCs/>
        </w:rPr>
        <w:t xml:space="preserve"> values in Lac Lalolalo sediments</w:t>
      </w:r>
      <w:r w:rsidRPr="009A2E44">
        <w:rPr>
          <w:rFonts w:ascii="Garamond" w:hAnsi="Garamond"/>
          <w:i/>
          <w:noProof/>
        </w:rPr>
        <w:t xml:space="preserve"> </w:t>
      </w:r>
    </w:p>
    <w:p w14:paraId="6AADDCBD" w14:textId="7FF7F176" w:rsidR="005171A4" w:rsidRPr="009A2E44" w:rsidRDefault="005171A4" w:rsidP="001C47D3">
      <w:pPr>
        <w:spacing w:line="480" w:lineRule="auto"/>
        <w:rPr>
          <w:rFonts w:ascii="Garamond" w:hAnsi="Garamond"/>
        </w:rPr>
      </w:pPr>
      <w:r w:rsidRPr="009A2E44">
        <w:rPr>
          <w:rFonts w:ascii="Garamond" w:hAnsi="Garamond"/>
        </w:rPr>
        <w:tab/>
      </w:r>
      <w:r w:rsidR="00F846D7">
        <w:rPr>
          <w:rFonts w:ascii="Garamond" w:hAnsi="Garamond"/>
        </w:rPr>
        <w:t>O</w:t>
      </w:r>
      <w:r w:rsidR="00F846D7" w:rsidRPr="009A2E44">
        <w:rPr>
          <w:rFonts w:ascii="Garamond" w:hAnsi="Garamond"/>
        </w:rPr>
        <w:t>nly 2.75 km apart on an island with little topography</w:t>
      </w:r>
      <w:r w:rsidR="00F846D7">
        <w:rPr>
          <w:rFonts w:ascii="Garamond" w:hAnsi="Garamond"/>
        </w:rPr>
        <w:t>,</w:t>
      </w:r>
      <w:r w:rsidR="00F846D7" w:rsidRPr="009A2E44">
        <w:rPr>
          <w:rFonts w:ascii="Garamond" w:hAnsi="Garamond"/>
        </w:rPr>
        <w:t xml:space="preserve"> </w:t>
      </w:r>
      <w:r w:rsidRPr="009A2E44">
        <w:rPr>
          <w:rFonts w:ascii="Garamond" w:hAnsi="Garamond"/>
        </w:rPr>
        <w:t xml:space="preserve">Lac Lalolalo and Lac Lanutavake </w:t>
      </w:r>
      <w:r w:rsidR="00315EB2" w:rsidRPr="009A2E44">
        <w:rPr>
          <w:rFonts w:ascii="Garamond" w:hAnsi="Garamond"/>
        </w:rPr>
        <w:t>experience identical climate conditions</w:t>
      </w:r>
      <w:r w:rsidRPr="009A2E44">
        <w:rPr>
          <w:rFonts w:ascii="Garamond" w:hAnsi="Garamond"/>
        </w:rPr>
        <w:t xml:space="preserve">. Modern average core top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values in </w:t>
      </w:r>
      <w:r w:rsidR="002B0C44">
        <w:rPr>
          <w:rFonts w:ascii="Garamond" w:hAnsi="Garamond"/>
        </w:rPr>
        <w:t>both lakes</w:t>
      </w:r>
      <w:r w:rsidRPr="009A2E44">
        <w:rPr>
          <w:rFonts w:ascii="Garamond" w:hAnsi="Garamond"/>
        </w:rPr>
        <w:t xml:space="preserve"> are similar, a small ~5</w:t>
      </w:r>
      <w:r w:rsidR="009E2872" w:rsidRPr="009A2E44">
        <w:rPr>
          <w:rFonts w:ascii="Garamond" w:hAnsi="Garamond"/>
        </w:rPr>
        <w:t xml:space="preserve"> </w:t>
      </w:r>
      <w:r w:rsidRPr="009A2E44">
        <w:rPr>
          <w:rFonts w:ascii="Garamond" w:hAnsi="Garamond"/>
        </w:rPr>
        <w:t xml:space="preserve">‰ difference easily explained by </w:t>
      </w:r>
      <w:r w:rsidR="002B0C44">
        <w:rPr>
          <w:rFonts w:ascii="Garamond" w:hAnsi="Garamond"/>
        </w:rPr>
        <w:t xml:space="preserve">a </w:t>
      </w:r>
      <w:r w:rsidR="002B0C44" w:rsidRPr="009A2E44">
        <w:rPr>
          <w:rFonts w:ascii="Garamond" w:hAnsi="Garamond"/>
        </w:rPr>
        <w:t xml:space="preserve">~5 ‰ </w:t>
      </w:r>
      <w:r w:rsidRPr="009A2E44">
        <w:rPr>
          <w:rFonts w:ascii="Garamond" w:hAnsi="Garamond"/>
        </w:rPr>
        <w:t xml:space="preserve">difference in surface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lakewater</w:t>
      </w:r>
      <w:r w:rsidRPr="009A2E44">
        <w:rPr>
          <w:rFonts w:ascii="Garamond" w:hAnsi="Garamond"/>
        </w:rPr>
        <w:t xml:space="preserve"> values </w:t>
      </w:r>
      <w:r w:rsidRPr="009A2E44">
        <w:rPr>
          <w:rFonts w:ascii="Garamond" w:hAnsi="Garamond"/>
        </w:rPr>
        <w:fldChar w:fldCharType="begin" w:fldLock="1"/>
      </w:r>
      <w:r w:rsidRPr="009A2E44">
        <w:rPr>
          <w:rFonts w:ascii="Garamond" w:hAnsi="Garamond"/>
        </w:rPr>
        <w:instrText>ADDIN CSL_CITATION {"citationItems":[{"id":"ITEM-1","itemData":{"DOI":"10.1016/j.gca.2018.10.028","ISSN":"0016-7037","author":[{"dropping-particle":"","family":"Maloney","given":"Ashley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Acta","id":"ITEM-1","issued":{"date-parts":[["2019"]]},"page":"190-206","publisher":"Elsevier Ltd","title":"Reconstructing precipitation in the tropical South Pacific from dinosterol 2H/1H ratios in lake sediment","type":"article-journal","volume":"245"},"uris":["http://www.mendeley.com/documents/?uuid=c7ab851f-4ac6-4a60-a0db-daaa3baed28f"]}],"mendeley":{"formattedCitation":"(Maloney et al., 2019)","plainTextFormattedCitation":"(Maloney et al., 2019)","previouslyFormattedCitation":"(Maloney et al., 2019)"},"properties":{"noteIndex":0},"schema":"https://github.com/citation-style-language/schema/raw/master/csl-citation.json"}</w:instrText>
      </w:r>
      <w:r w:rsidRPr="009A2E44">
        <w:rPr>
          <w:rFonts w:ascii="Garamond" w:hAnsi="Garamond"/>
        </w:rPr>
        <w:fldChar w:fldCharType="separate"/>
      </w:r>
      <w:r w:rsidRPr="009A2E44">
        <w:rPr>
          <w:rFonts w:ascii="Garamond" w:hAnsi="Garamond"/>
          <w:noProof/>
        </w:rPr>
        <w:t>(Maloney et al., 2019)</w:t>
      </w:r>
      <w:r w:rsidRPr="009A2E44">
        <w:rPr>
          <w:rFonts w:ascii="Garamond" w:hAnsi="Garamond"/>
        </w:rPr>
        <w:fldChar w:fldCharType="end"/>
      </w:r>
      <w:r w:rsidRPr="009A2E44">
        <w:rPr>
          <w:rFonts w:ascii="Garamond" w:hAnsi="Garamond"/>
        </w:rPr>
        <w:t xml:space="preserve">. However, Lac Lalolalo has pre-modern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values up to </w:t>
      </w:r>
      <w:r w:rsidRPr="009A2E44">
        <w:rPr>
          <w:rFonts w:ascii="Garamond" w:hAnsi="Garamond"/>
          <w:color w:val="202020"/>
          <w:shd w:val="clear" w:color="auto" w:fill="FFFFFF"/>
        </w:rPr>
        <w:t>50</w:t>
      </w:r>
      <w:r w:rsidR="009E2872" w:rsidRPr="009A2E44">
        <w:rPr>
          <w:rFonts w:ascii="Garamond" w:hAnsi="Garamond"/>
          <w:color w:val="202020"/>
          <w:shd w:val="clear" w:color="auto" w:fill="FFFFFF"/>
        </w:rPr>
        <w:t xml:space="preserve"> </w:t>
      </w:r>
      <w:r w:rsidRPr="009A2E44">
        <w:rPr>
          <w:rFonts w:ascii="Garamond" w:hAnsi="Garamond"/>
        </w:rPr>
        <w:t xml:space="preserve">‰ </w:t>
      </w:r>
      <w:r w:rsidR="009E4FA5" w:rsidRPr="009A2E44">
        <w:rPr>
          <w:rFonts w:ascii="Garamond" w:hAnsi="Garamond"/>
        </w:rPr>
        <w:t>higher than</w:t>
      </w:r>
      <w:r w:rsidRPr="009A2E44">
        <w:rPr>
          <w:rFonts w:ascii="Garamond" w:hAnsi="Garamond"/>
        </w:rPr>
        <w:t xml:space="preserve"> Lac Lanutavake’s </w:t>
      </w:r>
      <w:r w:rsidR="009E4FA5" w:rsidRPr="009A2E44">
        <w:rPr>
          <w:rFonts w:ascii="Garamond" w:hAnsi="Garamond"/>
        </w:rPr>
        <w:t xml:space="preserve">highest </w:t>
      </w:r>
      <w:r w:rsidR="00871BD1" w:rsidRPr="009A2E44">
        <w:rPr>
          <w:rFonts w:ascii="Garamond" w:hAnsi="Garamond"/>
        </w:rPr>
        <w:sym w:font="Symbol" w:char="F064"/>
      </w:r>
      <w:r w:rsidR="00871BD1" w:rsidRPr="009A2E44">
        <w:rPr>
          <w:rFonts w:ascii="Garamond" w:hAnsi="Garamond"/>
          <w:vertAlign w:val="superscript"/>
        </w:rPr>
        <w:t>2</w:t>
      </w:r>
      <w:r w:rsidR="00871BD1" w:rsidRPr="009A2E44">
        <w:rPr>
          <w:rFonts w:ascii="Garamond" w:hAnsi="Garamond"/>
        </w:rPr>
        <w:t>H</w:t>
      </w:r>
      <w:r w:rsidR="00871BD1" w:rsidRPr="009A2E44">
        <w:rPr>
          <w:rFonts w:ascii="Garamond" w:hAnsi="Garamond"/>
          <w:vertAlign w:val="subscript"/>
        </w:rPr>
        <w:t>dinosterol</w:t>
      </w:r>
      <w:r w:rsidR="009E4FA5" w:rsidRPr="009A2E44">
        <w:rPr>
          <w:rFonts w:ascii="Garamond" w:hAnsi="Garamond"/>
        </w:rPr>
        <w:t xml:space="preserve"> </w:t>
      </w:r>
      <w:r w:rsidRPr="009A2E44">
        <w:rPr>
          <w:rFonts w:ascii="Garamond" w:hAnsi="Garamond"/>
        </w:rPr>
        <w:t>value (</w:t>
      </w:r>
      <w:r w:rsidRPr="009A2E44">
        <w:rPr>
          <w:rFonts w:ascii="Garamond" w:hAnsi="Garamond"/>
          <w:b/>
          <w:bCs/>
        </w:rPr>
        <w:t xml:space="preserve">Fig. </w:t>
      </w:r>
      <w:r w:rsidR="00F64053" w:rsidRPr="009A2E44">
        <w:rPr>
          <w:rFonts w:ascii="Garamond" w:hAnsi="Garamond"/>
          <w:b/>
          <w:bCs/>
        </w:rPr>
        <w:t>2</w:t>
      </w:r>
      <w:r w:rsidRPr="009A2E44">
        <w:rPr>
          <w:rFonts w:ascii="Garamond" w:hAnsi="Garamond"/>
        </w:rPr>
        <w:t xml:space="preserve">). </w:t>
      </w:r>
      <w:r w:rsidR="0048345E">
        <w:rPr>
          <w:rFonts w:ascii="Garamond" w:hAnsi="Garamond"/>
        </w:rPr>
        <w:t>M</w:t>
      </w:r>
      <w:r w:rsidRPr="009A2E44">
        <w:rPr>
          <w:rFonts w:ascii="Garamond" w:hAnsi="Garamond"/>
        </w:rPr>
        <w:t>ajor physical</w:t>
      </w:r>
      <w:r w:rsidR="00CA4C2B" w:rsidRPr="009A2E44">
        <w:rPr>
          <w:rFonts w:ascii="Garamond" w:hAnsi="Garamond"/>
        </w:rPr>
        <w:t xml:space="preserve">, </w:t>
      </w:r>
      <w:r w:rsidRPr="009A2E44">
        <w:rPr>
          <w:rFonts w:ascii="Garamond" w:hAnsi="Garamond"/>
        </w:rPr>
        <w:t>chemical</w:t>
      </w:r>
      <w:r w:rsidR="00CA4C2B" w:rsidRPr="009A2E44">
        <w:rPr>
          <w:rFonts w:ascii="Garamond" w:hAnsi="Garamond"/>
        </w:rPr>
        <w:t xml:space="preserve">, </w:t>
      </w:r>
      <w:r w:rsidR="00F846D7">
        <w:rPr>
          <w:rFonts w:ascii="Garamond" w:hAnsi="Garamond"/>
        </w:rPr>
        <w:t>and/</w:t>
      </w:r>
      <w:r w:rsidR="00CA4C2B" w:rsidRPr="009A2E44">
        <w:rPr>
          <w:rFonts w:ascii="Garamond" w:hAnsi="Garamond"/>
        </w:rPr>
        <w:t>or biological</w:t>
      </w:r>
      <w:r w:rsidRPr="009A2E44">
        <w:rPr>
          <w:rFonts w:ascii="Garamond" w:hAnsi="Garamond"/>
        </w:rPr>
        <w:t xml:space="preserve"> changes must have occurred in Lac Lalolalo to </w:t>
      </w:r>
      <w:r w:rsidR="00874AAD" w:rsidRPr="009A2E44">
        <w:rPr>
          <w:rFonts w:ascii="Garamond" w:hAnsi="Garamond"/>
        </w:rPr>
        <w:t xml:space="preserve">cause </w:t>
      </w:r>
      <w:r w:rsidRPr="009A2E44">
        <w:rPr>
          <w:rFonts w:ascii="Garamond" w:hAnsi="Garamond"/>
        </w:rPr>
        <w:t xml:space="preserve">such </w:t>
      </w:r>
      <w:r w:rsidR="00807F11" w:rsidRPr="009A2E44">
        <w:rPr>
          <w:rFonts w:ascii="Garamond" w:hAnsi="Garamond"/>
        </w:rPr>
        <w:t xml:space="preserve">contrary </w:t>
      </w:r>
      <w:r w:rsidRPr="009A2E44">
        <w:rPr>
          <w:rFonts w:ascii="Garamond" w:hAnsi="Garamond"/>
        </w:rPr>
        <w:t xml:space="preserve">past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values</w:t>
      </w:r>
      <w:r w:rsidR="00055F2B">
        <w:rPr>
          <w:rFonts w:ascii="Garamond" w:hAnsi="Garamond"/>
        </w:rPr>
        <w:t xml:space="preserve"> including </w:t>
      </w:r>
      <w:r w:rsidRPr="009A2E44">
        <w:rPr>
          <w:rFonts w:ascii="Garamond" w:hAnsi="Garamond"/>
        </w:rPr>
        <w:t xml:space="preserve">1) changes in salinity </w:t>
      </w:r>
      <w:r w:rsidR="00AA3A07" w:rsidRPr="009A2E44">
        <w:rPr>
          <w:rFonts w:ascii="Garamond" w:hAnsi="Garamond"/>
        </w:rPr>
        <w:t>and/</w:t>
      </w:r>
      <w:r w:rsidRPr="009A2E44">
        <w:rPr>
          <w:rFonts w:ascii="Garamond" w:hAnsi="Garamond"/>
        </w:rPr>
        <w:t xml:space="preserve">or past lake water isotope composition, 2) shifts in dinoflagellate ecology or metabolism, or 3) post depositional alterations to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values.</w:t>
      </w:r>
    </w:p>
    <w:p w14:paraId="5030C962" w14:textId="1A2F0680" w:rsidR="00653DEC" w:rsidRDefault="00500930" w:rsidP="001C47D3">
      <w:pPr>
        <w:spacing w:line="480" w:lineRule="auto"/>
        <w:ind w:firstLine="720"/>
        <w:rPr>
          <w:rFonts w:ascii="Garamond" w:hAnsi="Garamond"/>
        </w:rPr>
      </w:pPr>
      <w:r w:rsidRPr="009A2E44">
        <w:rPr>
          <w:rFonts w:ascii="Garamond" w:hAnsi="Garamond"/>
        </w:rPr>
        <w:t xml:space="preserve">Lac Lalolalo’s </w:t>
      </w:r>
      <w:r w:rsidR="003320AE">
        <w:rPr>
          <w:rFonts w:ascii="Garamond" w:hAnsi="Garamond"/>
        </w:rPr>
        <w:t xml:space="preserve">deep </w:t>
      </w:r>
      <w:r>
        <w:rPr>
          <w:rFonts w:ascii="Garamond" w:hAnsi="Garamond"/>
        </w:rPr>
        <w:t>m</w:t>
      </w:r>
      <w:r w:rsidRPr="009A2E44">
        <w:rPr>
          <w:rFonts w:ascii="Garamond" w:hAnsi="Garamond"/>
        </w:rPr>
        <w:t xml:space="preserve">odern </w:t>
      </w:r>
      <w:r w:rsidR="007875E5" w:rsidRPr="009A2E44">
        <w:rPr>
          <w:rFonts w:ascii="Garamond" w:hAnsi="Garamond"/>
        </w:rPr>
        <w:sym w:font="Symbol" w:char="F064"/>
      </w:r>
      <w:r w:rsidR="007875E5" w:rsidRPr="009A2E44">
        <w:rPr>
          <w:rFonts w:ascii="Garamond" w:hAnsi="Garamond"/>
          <w:vertAlign w:val="superscript"/>
        </w:rPr>
        <w:t>2</w:t>
      </w:r>
      <w:r w:rsidR="007875E5" w:rsidRPr="009A2E44">
        <w:rPr>
          <w:rFonts w:ascii="Garamond" w:hAnsi="Garamond"/>
        </w:rPr>
        <w:t>H</w:t>
      </w:r>
      <w:r w:rsidR="007875E5" w:rsidRPr="009A2E44">
        <w:rPr>
          <w:rFonts w:ascii="Garamond" w:hAnsi="Garamond"/>
          <w:vertAlign w:val="subscript"/>
        </w:rPr>
        <w:t>lakewater</w:t>
      </w:r>
      <w:r w:rsidR="007875E5" w:rsidRPr="009A2E44">
        <w:rPr>
          <w:rFonts w:ascii="Garamond" w:hAnsi="Garamond"/>
        </w:rPr>
        <w:t xml:space="preserve"> values</w:t>
      </w:r>
      <w:r w:rsidR="005171A4" w:rsidRPr="009A2E44">
        <w:rPr>
          <w:rFonts w:ascii="Garamond" w:hAnsi="Garamond"/>
        </w:rPr>
        <w:t>, salinity, and several major ion</w:t>
      </w:r>
      <w:r w:rsidR="003320AE">
        <w:rPr>
          <w:rFonts w:ascii="Garamond" w:hAnsi="Garamond"/>
        </w:rPr>
        <w:t xml:space="preserve"> </w:t>
      </w:r>
      <w:r w:rsidR="003320AE" w:rsidRPr="009A2E44">
        <w:rPr>
          <w:rFonts w:ascii="Garamond" w:hAnsi="Garamond"/>
        </w:rPr>
        <w:t xml:space="preserve">concentrations </w:t>
      </w:r>
      <w:r w:rsidR="005171A4" w:rsidRPr="009A2E44">
        <w:rPr>
          <w:rFonts w:ascii="Garamond" w:hAnsi="Garamond"/>
        </w:rPr>
        <w:t>(</w:t>
      </w:r>
      <w:r w:rsidR="005171A4" w:rsidRPr="009A2E44">
        <w:rPr>
          <w:rFonts w:ascii="Garamond" w:hAnsi="Garamond"/>
          <w:iCs/>
          <w:color w:val="000000" w:themeColor="text1"/>
        </w:rPr>
        <w:t>K, Na, Mg, and Ca)</w:t>
      </w:r>
      <w:r w:rsidR="005171A4" w:rsidRPr="009A2E44">
        <w:rPr>
          <w:rFonts w:ascii="Garamond" w:hAnsi="Garamond"/>
        </w:rPr>
        <w:t xml:space="preserve"> approach </w:t>
      </w:r>
      <w:r w:rsidR="00807F11" w:rsidRPr="009A2E44">
        <w:rPr>
          <w:rFonts w:ascii="Garamond" w:hAnsi="Garamond"/>
        </w:rPr>
        <w:t xml:space="preserve">mean </w:t>
      </w:r>
      <w:r w:rsidR="005171A4" w:rsidRPr="009A2E44">
        <w:rPr>
          <w:rFonts w:ascii="Garamond" w:hAnsi="Garamond"/>
        </w:rPr>
        <w:t xml:space="preserve">seawater </w:t>
      </w:r>
      <w:r w:rsidR="003320AE">
        <w:rPr>
          <w:rFonts w:ascii="Garamond" w:hAnsi="Garamond"/>
        </w:rPr>
        <w:t xml:space="preserve">values </w:t>
      </w:r>
      <w:r w:rsidR="005171A4" w:rsidRPr="009A2E44">
        <w:rPr>
          <w:rFonts w:ascii="Garamond" w:hAnsi="Garamond"/>
        </w:rPr>
        <w:t>(</w:t>
      </w:r>
      <w:r w:rsidR="005171A4" w:rsidRPr="009A2E44">
        <w:rPr>
          <w:rFonts w:ascii="Garamond" w:hAnsi="Garamond"/>
          <w:b/>
        </w:rPr>
        <w:t xml:space="preserve">Fig. </w:t>
      </w:r>
      <w:r w:rsidR="00F64053" w:rsidRPr="009A2E44">
        <w:rPr>
          <w:rFonts w:ascii="Garamond" w:hAnsi="Garamond"/>
          <w:b/>
        </w:rPr>
        <w:t>3</w:t>
      </w:r>
      <w:r w:rsidR="005171A4" w:rsidRPr="009A2E44">
        <w:rPr>
          <w:rFonts w:ascii="Garamond" w:hAnsi="Garamond"/>
        </w:rPr>
        <w:t xml:space="preserve">). </w:t>
      </w:r>
      <w:r w:rsidR="00D14C01">
        <w:rPr>
          <w:rFonts w:ascii="Garamond" w:hAnsi="Garamond"/>
        </w:rPr>
        <w:t>However,</w:t>
      </w:r>
      <w:r>
        <w:rPr>
          <w:rFonts w:ascii="Garamond" w:hAnsi="Garamond"/>
        </w:rPr>
        <w:t xml:space="preserve"> the 80 m sample</w:t>
      </w:r>
      <w:r w:rsidR="005171A4" w:rsidRPr="009A2E44">
        <w:rPr>
          <w:rFonts w:ascii="Garamond" w:hAnsi="Garamond"/>
        </w:rPr>
        <w:t xml:space="preserve"> also contain</w:t>
      </w:r>
      <w:r>
        <w:rPr>
          <w:rFonts w:ascii="Garamond" w:hAnsi="Garamond"/>
        </w:rPr>
        <w:t>s</w:t>
      </w:r>
      <w:r w:rsidR="005171A4" w:rsidRPr="009A2E44">
        <w:rPr>
          <w:rFonts w:ascii="Garamond" w:hAnsi="Garamond"/>
        </w:rPr>
        <w:t xml:space="preserve"> ions and elements that far exceed values found in mean Pacific seawater (</w:t>
      </w:r>
      <w:r w:rsidR="005171A4" w:rsidRPr="009A2E44">
        <w:rPr>
          <w:rFonts w:ascii="Garamond" w:hAnsi="Garamond"/>
          <w:b/>
          <w:bCs/>
        </w:rPr>
        <w:t xml:space="preserve">Fig. </w:t>
      </w:r>
      <w:r w:rsidR="00F64053" w:rsidRPr="009A2E44">
        <w:rPr>
          <w:rFonts w:ascii="Garamond" w:hAnsi="Garamond"/>
          <w:b/>
        </w:rPr>
        <w:t>3</w:t>
      </w:r>
      <w:r w:rsidR="005171A4" w:rsidRPr="009A2E44">
        <w:rPr>
          <w:rFonts w:ascii="Garamond" w:hAnsi="Garamond"/>
        </w:rPr>
        <w:t>). High levels of fluoride and chloride indicat</w:t>
      </w:r>
      <w:r w:rsidR="00CF189C">
        <w:rPr>
          <w:rFonts w:ascii="Garamond" w:hAnsi="Garamond"/>
        </w:rPr>
        <w:t>e</w:t>
      </w:r>
      <w:r w:rsidR="005171A4" w:rsidRPr="009A2E44">
        <w:rPr>
          <w:rFonts w:ascii="Garamond" w:hAnsi="Garamond"/>
        </w:rPr>
        <w:t xml:space="preserve"> volcanic inputs of HCl and HF, and our preliminary assessment of high alkalinity could result from </w:t>
      </w:r>
      <w:r w:rsidR="006932A0">
        <w:rPr>
          <w:rFonts w:ascii="Garamond" w:hAnsi="Garamond"/>
        </w:rPr>
        <w:t xml:space="preserve">volcanic </w:t>
      </w:r>
      <w:r w:rsidR="005171A4" w:rsidRPr="009A2E44">
        <w:rPr>
          <w:rFonts w:ascii="Garamond" w:hAnsi="Garamond"/>
        </w:rPr>
        <w:t xml:space="preserve">inputs of </w:t>
      </w:r>
      <w:r w:rsidR="00270CD6">
        <w:rPr>
          <w:rFonts w:ascii="Garamond" w:hAnsi="Garamond"/>
        </w:rPr>
        <w:t>dissolved inorganic carbon</w:t>
      </w:r>
      <w:r w:rsidR="00270CD6" w:rsidRPr="009A2E44">
        <w:rPr>
          <w:rFonts w:ascii="Garamond" w:hAnsi="Garamond"/>
        </w:rPr>
        <w:t xml:space="preserve"> </w:t>
      </w:r>
      <w:r w:rsidR="005171A4" w:rsidRPr="009A2E44">
        <w:rPr>
          <w:rFonts w:ascii="Garamond" w:hAnsi="Garamond"/>
        </w:rPr>
        <w:t xml:space="preserve">or hydrolysis of Lac Lalolalo’s fresh olivine volcanic rocks </w:t>
      </w:r>
      <w:r w:rsidR="005171A4" w:rsidRPr="009A2E44">
        <w:rPr>
          <w:rFonts w:ascii="Garamond" w:hAnsi="Garamond"/>
        </w:rPr>
        <w:fldChar w:fldCharType="begin" w:fldLock="1"/>
      </w:r>
      <w:r w:rsidR="005171A4" w:rsidRPr="009A2E44">
        <w:rPr>
          <w:rFonts w:ascii="Garamond" w:hAnsi="Garamond"/>
        </w:rPr>
        <w:instrText>ADDIN CSL_CITATION {"citationItems":[{"id":"ITEM-1","itemData":{"DOI":"10.1007/978-3-642-36833-2_1","ISBN":"9783642368332","ISSN":"23643285","abstract":"Volcanic lakes are amongst the most spectacular natural features on the planet. These intersections of magmatic-hydrothermal systems and the Earth’s surface are, poetically speaking, “blue windows” into the depth of a volcano (Fig. 1). The changing water compositions and colors of these lakes over time provide insights into the volcanic, hydrothermal and degassing processes of the underlying volcano.","author":[{"dropping-particle":"","family":"Rouwet","given":"Dmitri","non-dropping-particle":"","parse-names":false,"suffix":""},{"dropping-particle":"","family":"Christenson","given":"Bruce","non-dropping-particle":"","parse-names":false,"suffix":""},{"dropping-particle":"","family":"Tassi","given":"Franco","non-dropping-particle":"","parse-names":false,"suffix":""},{"dropping-particle":"","family":"Vandemeulebrouck","given":"Jean","non-dropping-particle":"","parse-names":false,"suffix":""}],"container-title":"Advances in Volcanology","id":"ITEM-1","issued":{"date-parts":[["2015"]]},"number-of-pages":"533","publisher":"Springer-Verlag","publisher-place":"Berlin Heidelberg","title":"Volcanic Lakes, Advances in Volcanology","type":"book"},"uris":["http://www.mendeley.com/documents/?uuid=c0f02da6-c050-401d-ab3f-aa9a17fcf949"]}],"mendeley":{"formattedCitation":"(Rouwet et al., 2015)","plainTextFormattedCitation":"(Rouwet et al., 2015)","previouslyFormattedCitation":"(Rouwet et al., 2015)"},"properties":{"noteIndex":0},"schema":"https://github.com/citation-style-language/schema/raw/master/csl-citation.json"}</w:instrText>
      </w:r>
      <w:r w:rsidR="005171A4" w:rsidRPr="009A2E44">
        <w:rPr>
          <w:rFonts w:ascii="Garamond" w:hAnsi="Garamond"/>
        </w:rPr>
        <w:fldChar w:fldCharType="separate"/>
      </w:r>
      <w:r w:rsidR="005171A4" w:rsidRPr="009A2E44">
        <w:rPr>
          <w:rFonts w:ascii="Garamond" w:hAnsi="Garamond"/>
          <w:noProof/>
        </w:rPr>
        <w:t>(Rouwet et al., 2015)</w:t>
      </w:r>
      <w:r w:rsidR="005171A4" w:rsidRPr="009A2E44">
        <w:rPr>
          <w:rFonts w:ascii="Garamond" w:hAnsi="Garamond"/>
        </w:rPr>
        <w:fldChar w:fldCharType="end"/>
      </w:r>
      <w:r w:rsidR="005171A4" w:rsidRPr="009A2E44">
        <w:rPr>
          <w:rFonts w:ascii="Garamond" w:hAnsi="Garamond"/>
        </w:rPr>
        <w:t>. High levels of phosphates and nitrates could</w:t>
      </w:r>
      <w:r w:rsidR="006932A0">
        <w:rPr>
          <w:rFonts w:ascii="Garamond" w:hAnsi="Garamond"/>
        </w:rPr>
        <w:t xml:space="preserve"> also result from</w:t>
      </w:r>
      <w:r w:rsidR="005171A4" w:rsidRPr="009A2E44">
        <w:rPr>
          <w:rFonts w:ascii="Garamond" w:hAnsi="Garamond"/>
        </w:rPr>
        <w:t xml:space="preserve"> </w:t>
      </w:r>
      <w:r w:rsidR="006932A0" w:rsidRPr="009A2E44">
        <w:rPr>
          <w:rFonts w:ascii="Garamond" w:hAnsi="Garamond"/>
        </w:rPr>
        <w:t xml:space="preserve">accumulation of volcanic inputs </w:t>
      </w:r>
      <w:r w:rsidR="006932A0" w:rsidRPr="009A2E44">
        <w:rPr>
          <w:rFonts w:ascii="Garamond" w:hAnsi="Garamond"/>
        </w:rPr>
        <w:fldChar w:fldCharType="begin" w:fldLock="1"/>
      </w:r>
      <w:r w:rsidR="006932A0" w:rsidRPr="009A2E44">
        <w:rPr>
          <w:rFonts w:ascii="Garamond" w:hAnsi="Garamond"/>
        </w:rPr>
        <w:instrText>ADDIN CSL_CITATION {"citationItems":[{"id":"ITEM-1","itemData":{"DOI":"10.3389/fmars.2019.00829","ISSN":"22967745","abstract":"Tagoro, the shallow submarine volcano that erupted south of El Hierro (Canary Islands, Spain) in October 2011, has been intensely monitored for over 7 years, from the early eruptive stage to the current degassing stage characterized by moderate hydrothermal activity. Here, we present a detailed study of the emissions of inorganic macronutrients (NO2– + NO3–, PO4, and Si(OH)4) comprising a dataset of over 3300 samples collected through three different sampling methodologies. Our results show a significant nutrient enrichment throughout the whole studied period, up to 8.8-fold (nitrate), 4.0-fold (phosphate), and 16.3-fold (silicate) in the water column, and larger enrichments of phosphate (10.5-fold) and silicate (325.4-fold), but not of nitrate, in the samples collected directly from the vents. We also provide some preliminary results showing ammonium (NH4+) concentrations up to 1.97 μM in the vent fluids as compared to 0.02 μM in the surrounding waters. Nutrient fluxes from the volcano during the degassing stage were estimated as 3.19 ± 1.17 mol m–2 year–1 (NO2– + NO3–), 0.02 ± 0.01 mol m–2 year–1 (PO4), and 0.60 ± 1.35 mol m–2 year–1 (Si(OH)4), comparable to other important nutrient sources in the region such as fluxes from the NW-African upwelling. Nutrient ratios were affected, with a minimum (NO3– + NO2–):PO4 ratio of 2.36:1; moreover, a linear correlation between silicate and temperature enabled the use of this nutrient as a mixing tracer. This study sheds light on how shallow hydrothermal systems impact the nutrient-poor upper waters of the ocean.","author":[{"dropping-particle":"","family":"González-Vega","given":"Alba","non-dropping-particle":"","parse-names":false,"suffix":""},{"dropping-particle":"","family":"Fraile-Nuez","given":"Eugenio","non-dropping-particle":"","parse-names":false,"suffix":""},{"dropping-particle":"","family":"Santana-Casiano","given":"J. Magdalena","non-dropping-particle":"","parse-names":false,"suffix":""},{"dropping-particle":"","family":"González-Dávila","given":"Melchor","non-dropping-particle":"","parse-names":false,"suffix":""},{"dropping-particle":"","family":"Escánez-Pérez","given":"José","non-dropping-particle":"","parse-names":false,"suffix":""},{"dropping-particle":"","family":"Gómez-Ballesteros","given":"María","non-dropping-particle":"","parse-names":false,"suffix":""},{"dropping-particle":"","family":"Tello","given":"Olvido","non-dropping-particle":"","parse-names":false,"suffix":""},{"dropping-particle":"","family":"Arrieta","given":"Jesús M","non-dropping-particle":"","parse-names":false,"suffix":""}],"container-title":"Frontiers in Marine Science","id":"ITEM-1","issue":"829","issued":{"date-parts":[["2020"]]},"page":"1-15","title":"Significant release of dissolved inorganic nutrients from the shallow submarine volcano Tagoro (Canary Islands) based on seven-year monitoring","type":"article-journal","volume":"6"},"uris":["http://www.mendeley.com/documents/?uuid=809959a6-9a42-4aa6-b2e6-cad711545387"]},{"id":"ITEM-2","itemData":{"DOI":"10.1038/335532a0","ISSN":"00280836","abstract":"The initial discovery of deep-sea hydrothermal vents at the Galapagos Rift1,2 has resulted in a decade of exploration and experimentation. Subsequent discoveries in the Pacific3-8 and Atlantic9 ocean basins have established the importance of these features as sources of mantle-derived gases and solutes10-12, and as loci for heat dissipation13-14, polymetallic sulphide mineral deposition and geochemical exchange17-19. The presence of dense communities of bacteria and specialized macrofauna20-22 has called into question the absolute role of sunlight as the principal energy source for marine organisms. Until recently, these deep-sea vents were known only at, or near, plate boundaries, but recent dredging23-24, near-bottom-water sampling25-27 and sea-floor camera survey28 programmes have indicated that hydrothermal vents are present at the summit of Loihi Seamount, a mid-plate, hotspot submarine volcano at the southern end of the Hawaiian island chain29. Here we report results obtained from sampling two active vent fields. The fluid chemistry (especially high CO2 and Fe), presence of alkalic lavas and iron-depositing bacteria, and absence of macrofauna suggest that mid-plate vents may differ from the hydrothermal vents found at mid-ocean ridges. © 1988 Nature Publishing Group.","author":[{"dropping-particle":"","family":"Karl","given":"D. M.","non-dropping-particle":"","parse-names":false,"suffix":""},{"dropping-particle":"","family":"McMurtry","given":"G. M.","non-dropping-particle":"","parse-names":false,"suffix":""},{"dropping-particle":"","family":"Malahoff","given":"A.","non-dropping-particle":"","parse-names":false,"suffix":""},{"dropping-particle":"","family":"Garcia","given":"M. O.","non-dropping-particle":"","parse-names":false,"suffix":""}],"container-title":"Nature","id":"ITEM-2","issue":"6190","issued":{"date-parts":[["1988"]]},"page":"532-535","title":"Loihi Seamount, Hawaii: A mid-plate volcano with a distinctive hydrothermal system","type":"article-journal","volume":"335"},"uris":["http://www.mendeley.com/documents/?uuid=a332b032-f55e-4ef0-b3fa-6e70f434e612"]}],"mendeley":{"formattedCitation":"(González-Vega et al., 2020; Karl et al., 1988)","plainTextFormattedCitation":"(González-Vega et al., 2020; Karl et al., 1988)","previouslyFormattedCitation":"(González-Vega et al., 2020; Karl et al., 1988)"},"properties":{"noteIndex":0},"schema":"https://github.com/citation-style-language/schema/raw/master/csl-citation.json"}</w:instrText>
      </w:r>
      <w:r w:rsidR="006932A0" w:rsidRPr="009A2E44">
        <w:rPr>
          <w:rFonts w:ascii="Garamond" w:hAnsi="Garamond"/>
        </w:rPr>
        <w:fldChar w:fldCharType="separate"/>
      </w:r>
      <w:r w:rsidR="006932A0" w:rsidRPr="009A2E44">
        <w:rPr>
          <w:rFonts w:ascii="Garamond" w:hAnsi="Garamond"/>
          <w:noProof/>
        </w:rPr>
        <w:t>(González-Vega et al., 2020; Karl et al., 1988)</w:t>
      </w:r>
      <w:r w:rsidR="006932A0" w:rsidRPr="009A2E44">
        <w:rPr>
          <w:rFonts w:ascii="Garamond" w:hAnsi="Garamond"/>
        </w:rPr>
        <w:fldChar w:fldCharType="end"/>
      </w:r>
      <w:r w:rsidR="007875E5">
        <w:rPr>
          <w:rFonts w:ascii="Garamond" w:hAnsi="Garamond"/>
        </w:rPr>
        <w:t>,</w:t>
      </w:r>
      <w:r w:rsidR="006932A0">
        <w:rPr>
          <w:rFonts w:ascii="Garamond" w:hAnsi="Garamond"/>
        </w:rPr>
        <w:t xml:space="preserve"> and the potentially </w:t>
      </w:r>
      <w:r w:rsidR="005171A4" w:rsidRPr="009A2E44">
        <w:rPr>
          <w:rFonts w:ascii="Garamond" w:hAnsi="Garamond"/>
        </w:rPr>
        <w:t xml:space="preserve">high levels of bicarbonate likely enable phosphate accumulation without precipitation </w:t>
      </w:r>
      <w:r w:rsidR="005171A4" w:rsidRPr="009A2E44">
        <w:rPr>
          <w:rFonts w:ascii="Garamond" w:hAnsi="Garamond"/>
        </w:rPr>
        <w:fldChar w:fldCharType="begin" w:fldLock="1"/>
      </w:r>
      <w:r w:rsidR="00D04FB8">
        <w:rPr>
          <w:rFonts w:ascii="Garamond" w:hAnsi="Garamond"/>
        </w:rPr>
        <w:instrText xml:space="preserve">ADDIN CSL_CITATION {"citationItems":[{"id":"ITEM-1","itemData":{"DOI":"10.1073/pnas.1916109117","ISSN":"10916490","PMID":"31888981","abstract":"Phosphate is central to the origin of life because it is a key component of nucleotides in genetic molecules, phospholipid cell membranes, and energy transfer molecules such as adenosine triphosphate. To incorporate phosphate into biomolecules, prebiotic experiments commonly use molar phosphate concentrations to overcome phosphate’s poor reactivity with organics in water. However, phosphate is generally limited to micromolar levels in the environment because it precipitates with calcium as low-solubility apatite minerals. This disparity between laboratory conditions and environmental constraints is an enigma known as “the phosphate problem.” Here we show that carbonate-rich lakes are a marked exception to phosphate-poor natural waters. In principle, modern carbonate-rich lakes could accumulate up to </w:instrText>
      </w:r>
      <w:r w:rsidR="00D04FB8">
        <w:rPr>
          <w:rFonts w:ascii="Cambria Math" w:hAnsi="Cambria Math" w:cs="Cambria Math"/>
        </w:rPr>
        <w:instrText>∼</w:instrText>
      </w:r>
      <w:r w:rsidR="00D04FB8">
        <w:rPr>
          <w:rFonts w:ascii="Garamond" w:hAnsi="Garamond"/>
        </w:rPr>
        <w:instrText>0.1 molal phosphate under steady-state conditions of evaporation and stream inflow because calcium is sequestered into carbonate minerals. This prevents the loss of dissolved phosphate to apatite precipitation. Even higher phosphate concentrations (&gt;1 molal) can form during evaporation in the absence of inflows. On the prebiotic Earth, carbonate-rich lakes were likely abundant and phosphate-rich relative to the present day because of the lack of microbial phosphate sinks and enhanced chemical weathering of phosphate minerals under relatively CO2-rich atmospheres. Furthermore, the prevailing CO2 conditions would have buffered phosphate-rich brines to moderate pH (pH 6.5 to 9). The accumulation of phosphate and other prebiotic reagents at concentration and pH levels relevant to experimental prebiotic syntheses of key biomolecules is a compelling reason to consider carbonate-rich lakes as plausible settings for the origin of life.","author":[{"dropping-particle":"","family":"Toner","given":"Jonathan D.","non-dropping-particle":"","parse-names":false,"suffix":""},{"dropping-particle":"","family":"Catling","given":"David C.","non-dropping-particle":"","parse-names":false,"suffix":""}],"container-title":"Proceedings of the National Academy of Sciences","id":"ITEM-1","issue":"2","issued":{"date-parts":[["2020"]]},"page":"883-888","title":"A carbonate-rich lake solution to the phosphate problem of the origin of life","type":"article-journal","volume":"117"},"uris":["http://www.mendeley.com/documents/?uuid=64c1c3c9-debb-4ce6-acfb-672f6dd1753c"]}],"mendeley":{"formattedCitation":"(Toner and Catling, 2020)","plainTextFormattedCitation":"(Toner and Catling, 2020)","previouslyFormattedCitation":"(Toner and Catling, 2020)"},"properties":{"noteIndex":0},"schema":"https://github.com/citation-style-language/schema/raw/master/csl-citation.json"}</w:instrText>
      </w:r>
      <w:r w:rsidR="005171A4" w:rsidRPr="009A2E44">
        <w:rPr>
          <w:rFonts w:ascii="Garamond" w:hAnsi="Garamond"/>
        </w:rPr>
        <w:fldChar w:fldCharType="separate"/>
      </w:r>
      <w:r w:rsidR="005171A4" w:rsidRPr="009A2E44">
        <w:rPr>
          <w:rFonts w:ascii="Garamond" w:hAnsi="Garamond"/>
          <w:noProof/>
        </w:rPr>
        <w:t>(Toner and Catling, 2020)</w:t>
      </w:r>
      <w:r w:rsidR="005171A4" w:rsidRPr="009A2E44">
        <w:rPr>
          <w:rFonts w:ascii="Garamond" w:hAnsi="Garamond"/>
        </w:rPr>
        <w:fldChar w:fldCharType="end"/>
      </w:r>
      <w:r w:rsidR="005171A4" w:rsidRPr="009A2E44">
        <w:rPr>
          <w:rFonts w:ascii="Garamond" w:hAnsi="Garamond"/>
        </w:rPr>
        <w:t xml:space="preserve">. Sulfate levels are </w:t>
      </w:r>
      <w:r w:rsidR="00CA4C2B" w:rsidRPr="009A2E44">
        <w:rPr>
          <w:rFonts w:ascii="Garamond" w:hAnsi="Garamond"/>
        </w:rPr>
        <w:t xml:space="preserve">very </w:t>
      </w:r>
      <w:r w:rsidR="005171A4" w:rsidRPr="009A2E44">
        <w:rPr>
          <w:rFonts w:ascii="Garamond" w:hAnsi="Garamond"/>
        </w:rPr>
        <w:t xml:space="preserve">low </w:t>
      </w:r>
      <w:r w:rsidR="00CA4C2B" w:rsidRPr="009A2E44">
        <w:rPr>
          <w:rFonts w:ascii="Garamond" w:hAnsi="Garamond"/>
        </w:rPr>
        <w:t>compare</w:t>
      </w:r>
      <w:r w:rsidR="00874AAD" w:rsidRPr="009A2E44">
        <w:rPr>
          <w:rFonts w:ascii="Garamond" w:hAnsi="Garamond"/>
        </w:rPr>
        <w:t>d</w:t>
      </w:r>
      <w:r w:rsidR="00CA4C2B" w:rsidRPr="009A2E44">
        <w:rPr>
          <w:rFonts w:ascii="Garamond" w:hAnsi="Garamond"/>
        </w:rPr>
        <w:t xml:space="preserve"> to seawater</w:t>
      </w:r>
      <w:r w:rsidR="00CF189C">
        <w:rPr>
          <w:rFonts w:ascii="Garamond" w:hAnsi="Garamond"/>
        </w:rPr>
        <w:t xml:space="preserve">, likely </w:t>
      </w:r>
      <w:r w:rsidR="006F2D70">
        <w:rPr>
          <w:rFonts w:ascii="Garamond" w:hAnsi="Garamond"/>
        </w:rPr>
        <w:t>from</w:t>
      </w:r>
      <w:r w:rsidR="005171A4" w:rsidRPr="009A2E44">
        <w:rPr>
          <w:rFonts w:ascii="Garamond" w:hAnsi="Garamond"/>
        </w:rPr>
        <w:t xml:space="preserve"> bacteria</w:t>
      </w:r>
      <w:r w:rsidR="005B5805">
        <w:rPr>
          <w:rFonts w:ascii="Garamond" w:hAnsi="Garamond"/>
        </w:rPr>
        <w:t>l sulfate reduction</w:t>
      </w:r>
      <w:r w:rsidR="005171A4" w:rsidRPr="009A2E44">
        <w:rPr>
          <w:rFonts w:ascii="Garamond" w:hAnsi="Garamond"/>
        </w:rPr>
        <w:t xml:space="preserve"> </w:t>
      </w:r>
      <w:r w:rsidR="006F2D70">
        <w:rPr>
          <w:rFonts w:ascii="Garamond" w:hAnsi="Garamond"/>
        </w:rPr>
        <w:t>(</w:t>
      </w:r>
      <w:r w:rsidR="005171A4" w:rsidRPr="009A2E44">
        <w:rPr>
          <w:rFonts w:ascii="Garamond" w:hAnsi="Garamond"/>
        </w:rPr>
        <w:t>form</w:t>
      </w:r>
      <w:r w:rsidR="006F2D70">
        <w:rPr>
          <w:rFonts w:ascii="Garamond" w:hAnsi="Garamond"/>
        </w:rPr>
        <w:t>ing</w:t>
      </w:r>
      <w:r w:rsidR="005171A4" w:rsidRPr="009A2E44">
        <w:rPr>
          <w:rFonts w:ascii="Garamond" w:hAnsi="Garamond"/>
        </w:rPr>
        <w:t xml:space="preserve"> the hydrogen sulfide </w:t>
      </w:r>
      <w:r w:rsidR="0004371C">
        <w:rPr>
          <w:rFonts w:ascii="Garamond" w:hAnsi="Garamond"/>
        </w:rPr>
        <w:t>smelled</w:t>
      </w:r>
      <w:r w:rsidR="0004371C" w:rsidRPr="009A2E44">
        <w:rPr>
          <w:rFonts w:ascii="Garamond" w:hAnsi="Garamond"/>
        </w:rPr>
        <w:t xml:space="preserve"> </w:t>
      </w:r>
      <w:r w:rsidR="005171A4" w:rsidRPr="009A2E44">
        <w:rPr>
          <w:rFonts w:ascii="Garamond" w:hAnsi="Garamond"/>
        </w:rPr>
        <w:t xml:space="preserve">below </w:t>
      </w:r>
      <w:r w:rsidR="005171A4" w:rsidRPr="009A2E44">
        <w:rPr>
          <w:rFonts w:ascii="Garamond" w:hAnsi="Garamond"/>
        </w:rPr>
        <w:lastRenderedPageBreak/>
        <w:t>12 m</w:t>
      </w:r>
      <w:r w:rsidR="006F2D70">
        <w:rPr>
          <w:rFonts w:ascii="Garamond" w:hAnsi="Garamond"/>
        </w:rPr>
        <w:t>)</w:t>
      </w:r>
      <w:r w:rsidR="00CF189C">
        <w:rPr>
          <w:rFonts w:ascii="Garamond" w:hAnsi="Garamond"/>
        </w:rPr>
        <w:t>; h</w:t>
      </w:r>
      <w:r w:rsidR="006F2D70" w:rsidRPr="009A2E44">
        <w:rPr>
          <w:rFonts w:ascii="Garamond" w:hAnsi="Garamond"/>
        </w:rPr>
        <w:t xml:space="preserve">igh levels of hydrogen sulfide </w:t>
      </w:r>
      <w:r w:rsidR="006F2D70">
        <w:rPr>
          <w:rFonts w:ascii="Garamond" w:hAnsi="Garamond"/>
        </w:rPr>
        <w:t>might also come from</w:t>
      </w:r>
      <w:r w:rsidR="00874AAD" w:rsidRPr="009A2E44">
        <w:rPr>
          <w:rFonts w:ascii="Garamond" w:hAnsi="Garamond"/>
        </w:rPr>
        <w:t xml:space="preserve"> seawater</w:t>
      </w:r>
      <w:r w:rsidR="00807F11" w:rsidRPr="009A2E44">
        <w:rPr>
          <w:rFonts w:ascii="Garamond" w:hAnsi="Garamond"/>
        </w:rPr>
        <w:t>-rock reactions</w:t>
      </w:r>
      <w:r w:rsidR="00874AAD" w:rsidRPr="009A2E44">
        <w:rPr>
          <w:rFonts w:ascii="Garamond" w:hAnsi="Garamond"/>
        </w:rPr>
        <w:t xml:space="preserve"> </w:t>
      </w:r>
      <w:r w:rsidR="00807F11" w:rsidRPr="009A2E44">
        <w:rPr>
          <w:rFonts w:ascii="Garamond" w:hAnsi="Garamond"/>
        </w:rPr>
        <w:t>or magmatic gas input</w:t>
      </w:r>
      <w:r w:rsidR="00131B37" w:rsidRPr="009A2E44">
        <w:rPr>
          <w:rFonts w:ascii="Garamond" w:hAnsi="Garamond"/>
        </w:rPr>
        <w:t>s</w:t>
      </w:r>
      <w:r w:rsidR="00807F11" w:rsidRPr="009A2E44">
        <w:rPr>
          <w:rFonts w:ascii="Garamond" w:hAnsi="Garamond"/>
        </w:rPr>
        <w:t xml:space="preserve"> during lake formation </w:t>
      </w:r>
      <w:r w:rsidR="00807F11" w:rsidRPr="009A2E44">
        <w:rPr>
          <w:rFonts w:ascii="Garamond" w:hAnsi="Garamond"/>
        </w:rPr>
        <w:fldChar w:fldCharType="begin" w:fldLock="1"/>
      </w:r>
      <w:r w:rsidR="00F42C49" w:rsidRPr="009A2E44">
        <w:rPr>
          <w:rFonts w:ascii="Garamond" w:hAnsi="Garamond"/>
        </w:rPr>
        <w:instrText>ADDIN CSL_CITATION {"citationItems":[{"id":"ITEM-1","itemData":{"DOI":"10.1029/144GM17","ISBN":"9781118666135","ISSN":"23288779","abstract":"To begin to understand the relationship between microbial communities and the geochemical environment, we have conducted systematic sampling and in situ analysis of a range of seafloor vents on or near the January 1998 lava flow at the summit of Axial Volcano on the Juan de Fuca ridge. The systematics of the chemical composition indicate that low-temperature diffuse fluids (3°C-78°C) at Axial Volcano have a high-temperature (&gt;350°C) reaction-zone component overprinted by lower-temperature reactions. The low-temperature reactions include production of methane, ammonia and particulate elemental sulfur, oxidation of hydrogen sulfide, nitrate reduction, stripping of metals from seawater, and reactions that dissolve iron and produce alkalinity. High concentrations of C02 from magmatic degassing maintain acidic pH conditions and may be important in promoting low-temperature hydrolysis reactions. H2S oxidation is the dominant chemical energy source for microbial metabolism at Axial Volcano, and the energy available from either methanogenesis or iron oxidation is-100 times less. Chemical evidence, genetic signatures of thermophilic, non-seawater organisms, presence of cultur-able thermophiles, and cell counts elevated above backgound seawater in low-temperature fluids indicate microbial activity below the seafloor. Metabolic activity of organisms identified in venting fluids matches the chemical processes occurring in low-temperature sub-seafloor reservoirs.","author":[{"dropping-particle":"","family":"Butterfield","given":"David A.","non-dropping-particle":"","parse-names":false,"suffix":""},{"dropping-particle":"","family":"Roe","given":"Kevin K.","non-dropping-particle":"","parse-names":false,"suffix":""},{"dropping-particle":"","family":"Lilley","given":"Marvin D.","non-dropping-particle":"","parse-names":false,"suffix":""},{"dropping-particle":"","family":"Huber","given":"Julie A.","non-dropping-particle":"","parse-names":false,"suffix":""},{"dropping-particle":"","family":"Baross","given":"John A.","non-dropping-particle":"","parse-names":false,"suffix":""},{"dropping-particle":"","family":"Embley","given":"Robert W.","non-dropping-particle":"","parse-names":false,"suffix":""},{"dropping-particle":"","family":"Massoth","given":"Gary J.","non-dropping-particle":"","parse-names":false,"suffix":""}],"container-title":"Geophysical Monograph Series","id":"ITEM-1","issued":{"date-parts":[["2004"]]},"page":"269-289","title":"Mixing, reaction and microbial activity in the sub-seafloor revealed by temporal and spatial variation in diffuse flow vents at axial volcano","type":"article-journal","volume":"144"},"uris":["http://www.mendeley.com/documents/?uuid=10bb31e9-18f2-4eaf-a848-299646416374"]}],"mendeley":{"formattedCitation":"(Butterfield et al., 2004)","manualFormatting":"(Butterfield et al., 2004 and references therein)","plainTextFormattedCitation":"(Butterfield et al., 2004)","previouslyFormattedCitation":"(Butterfield et al., 2004)"},"properties":{"noteIndex":0},"schema":"https://github.com/citation-style-language/schema/raw/master/csl-citation.json"}</w:instrText>
      </w:r>
      <w:r w:rsidR="00807F11" w:rsidRPr="009A2E44">
        <w:rPr>
          <w:rFonts w:ascii="Garamond" w:hAnsi="Garamond"/>
        </w:rPr>
        <w:fldChar w:fldCharType="separate"/>
      </w:r>
      <w:r w:rsidR="00807F11" w:rsidRPr="009A2E44">
        <w:rPr>
          <w:rFonts w:ascii="Garamond" w:hAnsi="Garamond"/>
          <w:noProof/>
        </w:rPr>
        <w:t>(Butterfield et al., 2004 and references therein)</w:t>
      </w:r>
      <w:r w:rsidR="00807F11" w:rsidRPr="009A2E44">
        <w:rPr>
          <w:rFonts w:ascii="Garamond" w:hAnsi="Garamond"/>
        </w:rPr>
        <w:fldChar w:fldCharType="end"/>
      </w:r>
      <w:r w:rsidR="005171A4" w:rsidRPr="009A2E44">
        <w:rPr>
          <w:rFonts w:ascii="Garamond" w:hAnsi="Garamond"/>
        </w:rPr>
        <w:t xml:space="preserve">. </w:t>
      </w:r>
    </w:p>
    <w:p w14:paraId="4A186A22" w14:textId="59B3B409" w:rsidR="0003484E" w:rsidRPr="009A2E44" w:rsidRDefault="00653DEC" w:rsidP="001C47D3">
      <w:pPr>
        <w:spacing w:line="480" w:lineRule="auto"/>
        <w:ind w:firstLine="720"/>
        <w:rPr>
          <w:rFonts w:ascii="Garamond" w:hAnsi="Garamond"/>
        </w:rPr>
      </w:pPr>
      <w:r w:rsidRPr="009A2E44">
        <w:rPr>
          <w:rFonts w:ascii="Garamond" w:hAnsi="Garamond"/>
        </w:rPr>
        <w:t>Lac Lalolalo’s</w:t>
      </w:r>
      <w:r w:rsidRPr="009A2E44">
        <w:rPr>
          <w:rFonts w:ascii="Garamond" w:hAnsi="Garamond"/>
          <w:color w:val="000000"/>
          <w:shd w:val="clear" w:color="auto" w:fill="FFFFFF"/>
        </w:rPr>
        <w:t xml:space="preserve"> fresh and oxygenated photic zone is the only probable</w:t>
      </w:r>
      <w:r w:rsidRPr="009A2E44">
        <w:rPr>
          <w:rFonts w:ascii="Garamond" w:hAnsi="Garamond"/>
        </w:rPr>
        <w:t xml:space="preserve"> dinosterol-producing region given the strong oxycline at 10 m</w:t>
      </w:r>
      <w:r>
        <w:rPr>
          <w:rFonts w:ascii="Garamond" w:hAnsi="Garamond"/>
        </w:rPr>
        <w:t xml:space="preserve"> and the fact that dinosterol-producing dinoflagellates are obligate aerobes</w:t>
      </w:r>
      <w:r w:rsidRPr="009A2E44">
        <w:rPr>
          <w:rFonts w:ascii="Garamond" w:hAnsi="Garamond"/>
        </w:rPr>
        <w:t xml:space="preserve">. However, it is conceivable that this lake was not always meromictic </w:t>
      </w:r>
      <w:r>
        <w:rPr>
          <w:rFonts w:ascii="Garamond" w:hAnsi="Garamond"/>
        </w:rPr>
        <w:t>and/</w:t>
      </w:r>
      <w:r w:rsidRPr="009A2E44">
        <w:rPr>
          <w:rFonts w:ascii="Garamond" w:hAnsi="Garamond"/>
        </w:rPr>
        <w:t xml:space="preserve">or </w:t>
      </w:r>
      <w:r w:rsidR="00204F70">
        <w:rPr>
          <w:rFonts w:ascii="Garamond" w:hAnsi="Garamond"/>
        </w:rPr>
        <w:t xml:space="preserve">that </w:t>
      </w:r>
      <w:r w:rsidRPr="009A2E44">
        <w:rPr>
          <w:rFonts w:ascii="Garamond" w:hAnsi="Garamond"/>
        </w:rPr>
        <w:t xml:space="preserve">surface waters </w:t>
      </w:r>
      <w:r w:rsidR="00204F70">
        <w:rPr>
          <w:rFonts w:ascii="Garamond" w:hAnsi="Garamond"/>
        </w:rPr>
        <w:t>were previously</w:t>
      </w:r>
      <w:r w:rsidRPr="009A2E44">
        <w:rPr>
          <w:rFonts w:ascii="Garamond" w:hAnsi="Garamond"/>
        </w:rPr>
        <w:t xml:space="preserve"> exposed to seawater. </w:t>
      </w:r>
      <w:r w:rsidR="005171A4" w:rsidRPr="009A2E44">
        <w:rPr>
          <w:rFonts w:ascii="Garamond" w:hAnsi="Garamond"/>
        </w:rPr>
        <w:t>Th</w:t>
      </w:r>
      <w:r w:rsidR="00E8704B" w:rsidRPr="009A2E44">
        <w:rPr>
          <w:rFonts w:ascii="Garamond" w:hAnsi="Garamond"/>
        </w:rPr>
        <w:t>e</w:t>
      </w:r>
      <w:r w:rsidR="005171A4" w:rsidRPr="009A2E44">
        <w:rPr>
          <w:rFonts w:ascii="Garamond" w:hAnsi="Garamond"/>
        </w:rPr>
        <w:t xml:space="preserve"> </w:t>
      </w:r>
      <w:r w:rsidR="006932A0" w:rsidRPr="009A2E44">
        <w:rPr>
          <w:rFonts w:ascii="Garamond" w:hAnsi="Garamond"/>
        </w:rPr>
        <w:t xml:space="preserve">major ion composition of deep lake water </w:t>
      </w:r>
      <w:r w:rsidR="005171A4" w:rsidRPr="009A2E44">
        <w:rPr>
          <w:rFonts w:ascii="Garamond" w:hAnsi="Garamond"/>
        </w:rPr>
        <w:t xml:space="preserve">provides evidence </w:t>
      </w:r>
      <w:r w:rsidR="00AA3A07" w:rsidRPr="009A2E44">
        <w:rPr>
          <w:rFonts w:ascii="Garamond" w:hAnsi="Garamond"/>
        </w:rPr>
        <w:t>of</w:t>
      </w:r>
      <w:r w:rsidR="005171A4" w:rsidRPr="009A2E44">
        <w:rPr>
          <w:rFonts w:ascii="Garamond" w:hAnsi="Garamond"/>
        </w:rPr>
        <w:t xml:space="preserve"> </w:t>
      </w:r>
      <w:r w:rsidR="006932A0">
        <w:rPr>
          <w:rFonts w:ascii="Garamond" w:hAnsi="Garamond"/>
        </w:rPr>
        <w:t>past</w:t>
      </w:r>
      <w:r w:rsidR="006932A0" w:rsidRPr="009A2E44">
        <w:rPr>
          <w:rFonts w:ascii="Garamond" w:hAnsi="Garamond"/>
        </w:rPr>
        <w:t xml:space="preserve"> </w:t>
      </w:r>
      <w:r w:rsidR="005171A4" w:rsidRPr="009A2E44">
        <w:rPr>
          <w:rFonts w:ascii="Garamond" w:hAnsi="Garamond"/>
        </w:rPr>
        <w:t xml:space="preserve">strong volcanic activity which could have impacted water </w:t>
      </w:r>
      <w:r w:rsidR="005171A4" w:rsidRPr="009A2E44">
        <w:rPr>
          <w:rFonts w:ascii="Garamond" w:hAnsi="Garamond"/>
          <w:vertAlign w:val="superscript"/>
        </w:rPr>
        <w:t>2</w:t>
      </w:r>
      <w:r w:rsidR="005171A4" w:rsidRPr="009A2E44">
        <w:rPr>
          <w:rFonts w:ascii="Garamond" w:hAnsi="Garamond"/>
        </w:rPr>
        <w:t>H/</w:t>
      </w:r>
      <w:r w:rsidR="005171A4" w:rsidRPr="009A2E44">
        <w:rPr>
          <w:rFonts w:ascii="Garamond" w:hAnsi="Garamond"/>
          <w:vertAlign w:val="superscript"/>
        </w:rPr>
        <w:t>1</w:t>
      </w:r>
      <w:r w:rsidR="005171A4" w:rsidRPr="009A2E44">
        <w:rPr>
          <w:rFonts w:ascii="Garamond" w:hAnsi="Garamond"/>
        </w:rPr>
        <w:t xml:space="preserve">H ratios </w:t>
      </w:r>
      <w:r w:rsidR="0016091F">
        <w:rPr>
          <w:rFonts w:ascii="Garamond" w:hAnsi="Garamond"/>
        </w:rPr>
        <w:t>if</w:t>
      </w:r>
      <w:r w:rsidR="005171A4" w:rsidRPr="009A2E44">
        <w:rPr>
          <w:rFonts w:ascii="Garamond" w:hAnsi="Garamond"/>
        </w:rPr>
        <w:t xml:space="preserve"> volcanic inputs</w:t>
      </w:r>
      <w:r w:rsidR="006932A0">
        <w:rPr>
          <w:rFonts w:ascii="Garamond" w:hAnsi="Garamond"/>
        </w:rPr>
        <w:t xml:space="preserve"> </w:t>
      </w:r>
      <w:r w:rsidR="0016091F">
        <w:rPr>
          <w:rFonts w:ascii="Garamond" w:hAnsi="Garamond"/>
        </w:rPr>
        <w:t>were</w:t>
      </w:r>
      <w:r w:rsidR="005171A4" w:rsidRPr="009A2E44">
        <w:rPr>
          <w:rFonts w:ascii="Garamond" w:hAnsi="Garamond"/>
        </w:rPr>
        <w:t xml:space="preserve"> large enough </w:t>
      </w:r>
      <w:r w:rsidR="0016091F">
        <w:rPr>
          <w:rFonts w:ascii="Garamond" w:hAnsi="Garamond"/>
        </w:rPr>
        <w:t>to mix deep</w:t>
      </w:r>
      <w:r w:rsidR="00AA3A07" w:rsidRPr="009A2E44">
        <w:rPr>
          <w:rFonts w:ascii="Garamond" w:hAnsi="Garamond"/>
        </w:rPr>
        <w:t xml:space="preserve"> salty</w:t>
      </w:r>
      <w:r w:rsidR="00CF189C">
        <w:rPr>
          <w:rFonts w:ascii="Garamond" w:hAnsi="Garamond"/>
        </w:rPr>
        <w:t xml:space="preserve"> and relatively </w:t>
      </w:r>
      <w:r w:rsidR="00CF189C" w:rsidRPr="009A2E44">
        <w:rPr>
          <w:rFonts w:ascii="Garamond" w:hAnsi="Garamond"/>
          <w:vertAlign w:val="superscript"/>
        </w:rPr>
        <w:t>2</w:t>
      </w:r>
      <w:r w:rsidR="00CF189C" w:rsidRPr="009A2E44">
        <w:rPr>
          <w:rFonts w:ascii="Garamond" w:hAnsi="Garamond"/>
        </w:rPr>
        <w:t>H</w:t>
      </w:r>
      <w:r w:rsidR="00CF189C">
        <w:rPr>
          <w:rFonts w:ascii="Garamond" w:hAnsi="Garamond"/>
        </w:rPr>
        <w:t>-enriched</w:t>
      </w:r>
      <w:r w:rsidR="00AA3A07" w:rsidRPr="009A2E44">
        <w:rPr>
          <w:rFonts w:ascii="Garamond" w:hAnsi="Garamond"/>
        </w:rPr>
        <w:t xml:space="preserve"> water </w:t>
      </w:r>
      <w:r w:rsidR="0016091F">
        <w:rPr>
          <w:rFonts w:ascii="Garamond" w:hAnsi="Garamond"/>
        </w:rPr>
        <w:t xml:space="preserve">to the surface </w:t>
      </w:r>
      <w:r w:rsidR="005171A4" w:rsidRPr="009A2E44">
        <w:rPr>
          <w:rFonts w:ascii="Garamond" w:hAnsi="Garamond"/>
        </w:rPr>
        <w:t xml:space="preserve">through vigorous release of gas and hydrothermal water. </w:t>
      </w:r>
      <w:r w:rsidR="0016091F">
        <w:rPr>
          <w:rFonts w:ascii="Garamond" w:hAnsi="Garamond"/>
        </w:rPr>
        <w:t>Additionally</w:t>
      </w:r>
      <w:r w:rsidR="005171A4" w:rsidRPr="009A2E44">
        <w:rPr>
          <w:rFonts w:ascii="Garamond" w:hAnsi="Garamond"/>
        </w:rPr>
        <w:t xml:space="preserve">, high temperature reactions between some rocks and water can cause </w:t>
      </w:r>
      <w:r w:rsidR="005171A4" w:rsidRPr="009A2E44">
        <w:rPr>
          <w:rFonts w:ascii="Garamond" w:hAnsi="Garamond"/>
          <w:vertAlign w:val="superscript"/>
        </w:rPr>
        <w:t>1</w:t>
      </w:r>
      <w:r w:rsidR="005171A4" w:rsidRPr="009A2E44">
        <w:rPr>
          <w:rFonts w:ascii="Garamond" w:hAnsi="Garamond"/>
        </w:rPr>
        <w:t xml:space="preserve">H to </w:t>
      </w:r>
      <w:r w:rsidR="00204F70">
        <w:rPr>
          <w:rFonts w:ascii="Garamond" w:hAnsi="Garamond"/>
        </w:rPr>
        <w:t xml:space="preserve">preferentially </w:t>
      </w:r>
      <w:r w:rsidR="005171A4" w:rsidRPr="009A2E44">
        <w:rPr>
          <w:rFonts w:ascii="Garamond" w:hAnsi="Garamond"/>
        </w:rPr>
        <w:t xml:space="preserve">partition into the mineral phase </w:t>
      </w:r>
      <w:r w:rsidR="005171A4" w:rsidRPr="009A2E44">
        <w:rPr>
          <w:rFonts w:ascii="Garamond" w:hAnsi="Garamond"/>
        </w:rPr>
        <w:fldChar w:fldCharType="begin" w:fldLock="1"/>
      </w:r>
      <w:r w:rsidR="005171A4" w:rsidRPr="009A2E44">
        <w:rPr>
          <w:rFonts w:ascii="Garamond" w:hAnsi="Garamond"/>
        </w:rPr>
        <w:instrText>ADDIN CSL_CITATION {"citationItems":[{"id":"ITEM-1","itemData":{"DOI":"10.1016/S0016-7037(97)00346-3","ISSN":"00167037","abstract":"Hydrogen and oxygen isotope fractionation factors between brucite and aqueous NaCl solutions (10001nαbr-sw) have been calibrated by experiment from 250 to 450°C at 0.5 Kb. For D/H fractionation, 10001nα br-sw values are as follows: -32 ± 6‰ (250°C, 3.2 wt% NaCl), -21 ± 2‰ (350°C, 10.0 wt% NaCl), and -22 ± 2‰ (450°C, 3.2 wt% NaCl), indicating that brucite is depleted in D relative to coexisting aqueous NaCl solutions. These results are in good agreement with previous D/H fractionation factors determined in the brucite-water system, indicating that any effects of dissolved salt on D/H fractionation are relatively small, particularly in solutions with near seawater salinity. The maximum salt effect (+4‰) was observed in 10.0 wt% NaCl solutions at 350°C, suggesting that the addition of dissolved NaCl increases the amount of deuterium fractionated into mineral structures. For 18O/16O fractionation, 10001nαbr-sw values in 3.0 wt% NaCl solutions are -6.0 ± 1.3‰, -5.6 ± 0.7‰ and -4.1 ± 0.2‰, at 250, 350, and 450°C, respectively, and -5.8 ± 0.6‰ in 10.0 wt% NaCl at 350°C. These data indicate that brucite is depleted in 18O relative to coexisting aqueous NaCl solutions and that the degree of depletion decreases slightly with increasing temperature and is not strongly dependent on salinity. We calculated 18O/16O brucite-water fractionation factors from available calibrations of the salt-effect on 18O/16O fractionation between coexisting phases. The resulting values were fit to the following equation that is valid from 250 to 450°C 10001n αbr-w = 9.54 × 106T-2 - 3.53 × 104T-1 + 26.58 where T is temperature in Kelvins. These new data have been used to improve the prediction of 18O/16O fractionation factors in the talc-water and serpentine-water systems by modifying existing empirical bond-water models. The results of this analysis indicate that the δ18O composition of talc-brucite and serpentinebrucite pairs could be used as a geothermometer and that these coexisting phases should display the following order of 18O enrichment: talc &gt; serpentine &gt; brucite. Copyright © 1998 Elsevier Science Ltd.","author":[{"dropping-particle":"","family":"Saccocia","given":"Peter J.","non-dropping-particle":"","parse-names":false,"suffix":""},{"dropping-particle":"","family":"Seewald","given":"Jeffrey S.","non-dropping-particle":"","parse-names":false,"suffix":""},{"dropping-particle":"","family":"Shanks","given":"Wayne C.","non-dropping-particle":"","parse-names":false,"suffix":""}],"container-title":"Geochimica et Cosmochimica Acta","id":"ITEM-1","issue":"3","issued":{"date-parts":[["1998"]]},"page":"485-492","title":"Hydrogen and oxygen isotope fractionation between brucite and aqueous NaCl solutions from 250 to 450°C","type":"article-journal","volume":"62"},"uris":["http://www.mendeley.com/documents/?uuid=39abf9bf-b0cd-415c-960d-61e4c3d2da0f"]}],"mendeley":{"formattedCitation":"(Saccocia et al., 1998)","plainTextFormattedCitation":"(Saccocia et al., 1998)","previouslyFormattedCitation":"(Saccocia et al., 1998)"},"properties":{"noteIndex":0},"schema":"https://github.com/citation-style-language/schema/raw/master/csl-citation.json"}</w:instrText>
      </w:r>
      <w:r w:rsidR="005171A4" w:rsidRPr="009A2E44">
        <w:rPr>
          <w:rFonts w:ascii="Garamond" w:hAnsi="Garamond"/>
        </w:rPr>
        <w:fldChar w:fldCharType="separate"/>
      </w:r>
      <w:r w:rsidR="005171A4" w:rsidRPr="009A2E44">
        <w:rPr>
          <w:rFonts w:ascii="Garamond" w:hAnsi="Garamond"/>
          <w:noProof/>
        </w:rPr>
        <w:t>(Saccocia et al., 1998)</w:t>
      </w:r>
      <w:r w:rsidR="005171A4" w:rsidRPr="009A2E44">
        <w:rPr>
          <w:rFonts w:ascii="Garamond" w:hAnsi="Garamond"/>
        </w:rPr>
        <w:fldChar w:fldCharType="end"/>
      </w:r>
      <w:r w:rsidR="000B6949">
        <w:rPr>
          <w:rFonts w:ascii="Garamond" w:hAnsi="Garamond"/>
        </w:rPr>
        <w:t xml:space="preserve">. </w:t>
      </w:r>
      <w:r w:rsidR="0003484E">
        <w:rPr>
          <w:rFonts w:ascii="Garamond" w:hAnsi="Garamond"/>
        </w:rPr>
        <w:t xml:space="preserve">Furthermore, in contrast to the assumption that ‘Uvea craters were enlarged by explosions caused by ground water </w:t>
      </w:r>
      <w:r w:rsidR="0003484E">
        <w:rPr>
          <w:rFonts w:ascii="Garamond" w:hAnsi="Garamond"/>
        </w:rPr>
        <w:fldChar w:fldCharType="begin" w:fldLock="1"/>
      </w:r>
      <w:r w:rsidR="0034089C">
        <w:rPr>
          <w:rFonts w:ascii="Garamond" w:hAnsi="Garamond"/>
        </w:rPr>
        <w:instrText>ADDIN CSL_CITATION {"citationItems":[{"id":"ITEM-1","itemData":{"DOI":"10.1130/0016-7606(1945)56[849:GOTWI]2.0.CO;2","ISSN":"00167606","abstract":"The Wallis Islands comprise Uvea, the main island, and 22 islets enclosed by or lying upon a nearly circular barrier reef about 200 miles west of the Samoan group in the Southern Pacific Ocean. The highest point in the group, about 470 feet above sea level, and several crater lakes exist on Uvea Island.The high islands are composed of olivine basaltic lavas and pyroclastics, except for one cinder cone and its associated flows of oligoclase andesite on Uvea Island. The low islands either are composed of calcareous sand or are erosional remnants of tuff cones and lava domes.Uvea Island was built by the coalescence of lava flows from 19 volcanic vents. The vents comprise 15 flat shield-shaped lava cones, 3 consolidated ash cones, and 1 cinder cone. Except for two Recent lava cones barely covered with soil, the bulk of the island is composed of deeply weathered middle Pleistocene(?) volcanics. Lavas of intermediate age do not exist. Limestone ejecta in the tuff cones indicate that the whole group is built on a submerged reef, probably about 180 feet below sea level. This reef presumably rests on a Tertiary basaltic volcano. Definite evidence of emerged shore lines at 25 and 5 feet above mean sea level exists, as well as evidence suggestive of higher stands.","author":[{"dropping-particle":"","family":"Stearns","given":"Harold T.","non-dropping-particle":"","parse-names":false,"suffix":""}],"container-title":"Bulletin of the Geological Society of America","id":"ITEM-1","issued":{"date-parts":[["1945"]]},"page":"849-860","title":"Geology of the Wallis Islands","type":"article-journal","volume":"56"},"uris":["http://www.mendeley.com/documents/?uuid=615d5f3e-cde6-4849-b800-8092f007f344"]}],"mendeley":{"formattedCitation":"(Stearns, 1945)","plainTextFormattedCitation":"(Stearns, 1945)","previouslyFormattedCitation":"(Stearns, 1945)"},"properties":{"noteIndex":0},"schema":"https://github.com/citation-style-language/schema/raw/master/csl-citation.json"}</w:instrText>
      </w:r>
      <w:r w:rsidR="0003484E">
        <w:rPr>
          <w:rFonts w:ascii="Garamond" w:hAnsi="Garamond"/>
        </w:rPr>
        <w:fldChar w:fldCharType="separate"/>
      </w:r>
      <w:r w:rsidR="0003484E" w:rsidRPr="0050050B">
        <w:rPr>
          <w:rFonts w:ascii="Garamond" w:hAnsi="Garamond"/>
          <w:noProof/>
        </w:rPr>
        <w:t>(Stearns, 1945)</w:t>
      </w:r>
      <w:r w:rsidR="0003484E">
        <w:rPr>
          <w:rFonts w:ascii="Garamond" w:hAnsi="Garamond"/>
        </w:rPr>
        <w:fldChar w:fldCharType="end"/>
      </w:r>
      <w:r w:rsidR="0003484E">
        <w:rPr>
          <w:rFonts w:ascii="Garamond" w:hAnsi="Garamond"/>
        </w:rPr>
        <w:t>, i</w:t>
      </w:r>
      <w:r w:rsidR="0003484E" w:rsidRPr="009A2E44">
        <w:rPr>
          <w:rFonts w:ascii="Garamond" w:hAnsi="Garamond"/>
        </w:rPr>
        <w:t>t is more likely that Lac Lalolalo was “born” salty since a phreatic explosion violent enough to create a lake of this size was almost certainly influenced by seawater. If Lac Lalolalo’s modern photic zone was seawater</w:t>
      </w:r>
      <w:r w:rsidR="0003484E">
        <w:rPr>
          <w:rFonts w:ascii="Garamond" w:hAnsi="Garamond"/>
        </w:rPr>
        <w:t xml:space="preserve"> </w:t>
      </w:r>
      <w:r w:rsidR="0003484E" w:rsidRPr="009A2E44">
        <w:rPr>
          <w:rFonts w:ascii="Garamond" w:hAnsi="Garamond"/>
        </w:rPr>
        <w:t xml:space="preserve">in the past, surface water would be </w:t>
      </w:r>
      <w:r w:rsidR="0003484E">
        <w:rPr>
          <w:rFonts w:ascii="Garamond" w:hAnsi="Garamond"/>
        </w:rPr>
        <w:t>~</w:t>
      </w:r>
      <w:r w:rsidR="0003484E" w:rsidRPr="009A2E44">
        <w:rPr>
          <w:rFonts w:ascii="Garamond" w:hAnsi="Garamond"/>
        </w:rPr>
        <w:t xml:space="preserve">12 ‰ higher compared to our 2011 visit. A salinity change from 0 to 30 </w:t>
      </w:r>
      <w:r w:rsidR="0003484E" w:rsidRPr="009A2E44">
        <w:rPr>
          <w:rFonts w:ascii="Garamond" w:hAnsi="Garamond"/>
          <w:color w:val="000000"/>
          <w:shd w:val="clear" w:color="auto" w:fill="FFFFFF"/>
        </w:rPr>
        <w:t>would have</w:t>
      </w:r>
      <w:r w:rsidR="0003484E" w:rsidRPr="009A2E44">
        <w:rPr>
          <w:rFonts w:ascii="Garamond" w:hAnsi="Garamond"/>
        </w:rPr>
        <w:t xml:space="preserve"> a concomitant dinosterol </w:t>
      </w:r>
      <w:r w:rsidR="0003484E" w:rsidRPr="009A2E44">
        <w:rPr>
          <w:rFonts w:ascii="Garamond" w:hAnsi="Garamond"/>
          <w:vertAlign w:val="superscript"/>
        </w:rPr>
        <w:t>2</w:t>
      </w:r>
      <w:r w:rsidR="0003484E" w:rsidRPr="009A2E44">
        <w:rPr>
          <w:rFonts w:ascii="Garamond" w:hAnsi="Garamond"/>
        </w:rPr>
        <w:t xml:space="preserve">H-enrichment of 30 ‰ </w:t>
      </w:r>
      <w:r w:rsidR="0003484E" w:rsidRPr="009A2E44">
        <w:rPr>
          <w:rFonts w:ascii="Garamond" w:hAnsi="Garamond"/>
        </w:rPr>
        <w:fldChar w:fldCharType="begin" w:fldLock="1"/>
      </w:r>
      <w:r w:rsidR="0003484E" w:rsidRPr="009A2E44">
        <w:rPr>
          <w:rFonts w:ascii="Garamond" w:hAnsi="Garamond"/>
        </w:rPr>
        <w:instrText>ADDIN CSL_CITATION {"citationItems":[{"id":"ITEM-1","itemData":{"DOI":"10.1016/j.gca.2014.03.007","ISBN":"0146-6380","ISSN":"00167037","abstract":"Salinity, growth rate, growth stage, nutrient limitation and temperature have all been shown to influence the magnitude of D/H fractionation in algal lipids through laboratory and field studies. Of these factors, salinity has been studied most extensively in the field, but to date all such investigations have focused on transect studies within specific and isolated environments. Here we test the relationship between salinity and the magnitude of D/H fractionation in algal lipids through paired analyses of sedimentary and particulate lipid and water hydrogen isotope values at a wide range of continental and coastal lake sites spanning salinities from 0 to 117. ppt. Our results demonstrate broad consistency between D/H fractionations in dinosterol and brassicasterol with those obtained from previous work, with salinity changes of 1. ppt resulting in lipid ??D changes of 0.7-1???. Although our results also show variability in D/H fractionation between sites that is not related to salinity, the fact that any relationship emerges above the influences of other factors suggests that the salinity effect is dominant for some lipids in the majority of saline to hypersaline environments. This improved understanding of D/H fractionation in dinosterol and brassicasterol synthesis supports the use of these compounds as paleohydrologic indicators. When combined with D/H measurements from a second lipid or oxygen isotope measurements from carbonate, quantitative reconstructions of salinity and lake water isotope changes are possible. Extending the number of algal lipids within which a consistent relationship between D/H fractionation and salinity has been identified also supports the notion that the relationship is widespread among unicellular photoautotrophs. ?? 2014 Elsevier Ltd.","author":[{"dropping-particle":"","family":"Nelson","given":"Daniel B","non-dropping-particle":"","parse-names":false,"suffix":""},{"dropping-particle":"","family":"Sachs","given":"Julian P","non-dropping-particle":"","parse-names":false,"suffix":""}],"container-title":"Geochimica et Cosmochimica Acta","id":"ITEM-1","issued":{"date-parts":[["2014"]]},"page":"325-339","publisher":"Elsevier Ltd","title":"The influence of salinity on D/H fractionation in dinosterol and brassicasterol from globally distributed saline and hypersaline lakes","type":"article-journal","volume":"133"},"uris":["http://www.mendeley.com/documents/?uuid=bb5e4eea-be1b-42cd-97d3-e6fd8b51a7be"]},{"id":"ITEM-2","itemData":{"DOI":"10.1016/j.gca.2010.10.013","ISSN":"00167037","abstract":"The hydrogen isotope ratio of the dinoflagellate sterol dinosterol (4α,23,24-trimethyl-5α-cholest-22E-en-3β-ol) was measured in suspended particles and surface sediments from the Chesapeake Bay estuary in order to evaluate the influence of salinity on hydrogen isotope fractionation. D/. H fractionation was found to decrease by 0.99 ± 0.23‰ per unit increase in salinity over the salinity range 10-29. PSU, a similar decrease to that observed in a variety of lipids from hypersaline ponds on Christmas Island (Kiribati). We hypothesize that the hydrogen isotopic response to salinity may result from diminished exchange of water between algal cells and their environment, lower growth rates and/or increased production of osmolytes at high salinities. Regardless of the mechanism, the consistent sign and magnitude of dinosterol δD response to changing salinity should permit qualitative to semi-quantitative reconstructions of past salinities from sedimentary dinosterol δD values. © 2010 Elsevier Ltd.","author":[{"dropping-particle":"","family":"Sachs","given":"Julian P","non-dropping-particle":"","parse-names":false,"suffix":""},{"dropping-particle":"","family":"Schwab","given":"Valérie F","non-dropping-particle":"","parse-names":false,"suffix":""}],"container-title":"Geochimica et Cosmochimica Acta","id":"ITEM-2","issue":"2","issued":{"date-parts":[["2011"]]},"page":"444-459","title":"Hydrogen isotopes in dinosterol from the Chesapeake Bay estuary","type":"article-journal","volume":"75"},"uris":["http://www.mendeley.com/documents/?uuid=1477d879-78a8-4ea2-bf32-f63887978e5e"]}],"mendeley":{"formattedCitation":"(Nelson and Sachs, 2014; Sachs and Schwab, 2011)","plainTextFormattedCitation":"(Nelson and Sachs, 2014; Sachs and Schwab, 2011)","previouslyFormattedCitation":"(Nelson and Sachs, 2014; Sachs and Schwab, 2011)"},"properties":{"noteIndex":0},"schema":"https://github.com/citation-style-language/schema/raw/master/csl-citation.json"}</w:instrText>
      </w:r>
      <w:r w:rsidR="0003484E" w:rsidRPr="009A2E44">
        <w:rPr>
          <w:rFonts w:ascii="Garamond" w:hAnsi="Garamond"/>
        </w:rPr>
        <w:fldChar w:fldCharType="separate"/>
      </w:r>
      <w:r w:rsidR="0003484E" w:rsidRPr="009A2E44">
        <w:rPr>
          <w:rFonts w:ascii="Garamond" w:hAnsi="Garamond"/>
          <w:noProof/>
        </w:rPr>
        <w:t>(Nelson and Sachs, 2014; Sachs and Schwab, 2011)</w:t>
      </w:r>
      <w:r w:rsidR="0003484E" w:rsidRPr="009A2E44">
        <w:rPr>
          <w:rFonts w:ascii="Garamond" w:hAnsi="Garamond"/>
        </w:rPr>
        <w:fldChar w:fldCharType="end"/>
      </w:r>
      <w:r w:rsidR="0003484E" w:rsidRPr="009A2E44">
        <w:rPr>
          <w:rFonts w:ascii="Garamond" w:hAnsi="Garamond"/>
        </w:rPr>
        <w:t xml:space="preserve">. At this hypothetical “seawater extreme” condition, higher </w:t>
      </w:r>
      <w:r w:rsidR="0003484E" w:rsidRPr="009A2E44">
        <w:rPr>
          <w:rFonts w:ascii="Garamond" w:hAnsi="Garamond"/>
        </w:rPr>
        <w:sym w:font="Symbol" w:char="F064"/>
      </w:r>
      <w:r w:rsidR="0003484E" w:rsidRPr="009A2E44">
        <w:rPr>
          <w:rFonts w:ascii="Garamond" w:hAnsi="Garamond"/>
          <w:vertAlign w:val="superscript"/>
        </w:rPr>
        <w:t>2</w:t>
      </w:r>
      <w:r w:rsidR="0003484E" w:rsidRPr="009A2E44">
        <w:rPr>
          <w:rFonts w:ascii="Garamond" w:hAnsi="Garamond"/>
        </w:rPr>
        <w:t>H</w:t>
      </w:r>
      <w:r w:rsidR="0003484E" w:rsidRPr="009A2E44">
        <w:rPr>
          <w:rFonts w:ascii="Garamond" w:hAnsi="Garamond"/>
          <w:vertAlign w:val="subscript"/>
        </w:rPr>
        <w:t>lakewater</w:t>
      </w:r>
      <w:r w:rsidR="0003484E" w:rsidRPr="009A2E44">
        <w:rPr>
          <w:rFonts w:ascii="Garamond" w:hAnsi="Garamond"/>
        </w:rPr>
        <w:t xml:space="preserve"> values plus increased salinity could contribute a 42 ‰ increase in </w:t>
      </w:r>
      <w:r w:rsidR="0003484E" w:rsidRPr="009A2E44">
        <w:rPr>
          <w:rFonts w:ascii="Garamond" w:hAnsi="Garamond"/>
        </w:rPr>
        <w:sym w:font="Symbol" w:char="F064"/>
      </w:r>
      <w:r w:rsidR="0003484E" w:rsidRPr="009A2E44">
        <w:rPr>
          <w:rFonts w:ascii="Garamond" w:hAnsi="Garamond"/>
          <w:vertAlign w:val="superscript"/>
        </w:rPr>
        <w:t>2</w:t>
      </w:r>
      <w:r w:rsidR="0003484E" w:rsidRPr="009A2E44">
        <w:rPr>
          <w:rFonts w:ascii="Garamond" w:hAnsi="Garamond"/>
        </w:rPr>
        <w:t>H</w:t>
      </w:r>
      <w:r w:rsidR="0003484E" w:rsidRPr="009A2E44">
        <w:rPr>
          <w:rFonts w:ascii="Garamond" w:hAnsi="Garamond"/>
          <w:vertAlign w:val="subscript"/>
        </w:rPr>
        <w:t>dinosterol</w:t>
      </w:r>
      <w:r w:rsidR="0003484E" w:rsidRPr="009A2E44">
        <w:rPr>
          <w:rFonts w:ascii="Garamond" w:hAnsi="Garamond"/>
        </w:rPr>
        <w:t xml:space="preserve"> values, which would account for the </w:t>
      </w:r>
      <w:r w:rsidR="0003484E" w:rsidRPr="009A2E44">
        <w:rPr>
          <w:rFonts w:ascii="Garamond" w:hAnsi="Garamond"/>
          <w:color w:val="202020"/>
          <w:shd w:val="clear" w:color="auto" w:fill="FFFFFF"/>
        </w:rPr>
        <w:t>bulk of the</w:t>
      </w:r>
      <w:r w:rsidR="0003484E" w:rsidRPr="009A2E44">
        <w:rPr>
          <w:rFonts w:ascii="Garamond" w:hAnsi="Garamond"/>
        </w:rPr>
        <w:t xml:space="preserve"> anomalously high </w:t>
      </w:r>
      <w:r w:rsidR="0003484E" w:rsidRPr="009A2E44">
        <w:rPr>
          <w:rFonts w:ascii="Garamond" w:hAnsi="Garamond"/>
        </w:rPr>
        <w:sym w:font="Symbol" w:char="F064"/>
      </w:r>
      <w:r w:rsidR="0003484E" w:rsidRPr="009A2E44">
        <w:rPr>
          <w:rFonts w:ascii="Garamond" w:hAnsi="Garamond"/>
          <w:vertAlign w:val="superscript"/>
        </w:rPr>
        <w:t>2</w:t>
      </w:r>
      <w:r w:rsidR="0003484E" w:rsidRPr="009A2E44">
        <w:rPr>
          <w:rFonts w:ascii="Garamond" w:hAnsi="Garamond"/>
        </w:rPr>
        <w:t>H</w:t>
      </w:r>
      <w:r w:rsidR="0003484E" w:rsidRPr="009A2E44">
        <w:rPr>
          <w:rFonts w:ascii="Garamond" w:hAnsi="Garamond"/>
          <w:vertAlign w:val="subscript"/>
        </w:rPr>
        <w:t>dinosterol</w:t>
      </w:r>
      <w:r w:rsidR="0003484E" w:rsidRPr="009A2E44">
        <w:rPr>
          <w:rFonts w:ascii="Garamond" w:hAnsi="Garamond"/>
        </w:rPr>
        <w:t xml:space="preserve"> values in Lac Lalolalo’s pre-modern samples.</w:t>
      </w:r>
    </w:p>
    <w:p w14:paraId="5D981277" w14:textId="19191440" w:rsidR="005171A4" w:rsidRPr="009A2E44" w:rsidRDefault="005171A4" w:rsidP="00653DEC">
      <w:pPr>
        <w:spacing w:line="480" w:lineRule="auto"/>
        <w:ind w:firstLine="720"/>
        <w:rPr>
          <w:rFonts w:ascii="Garamond" w:hAnsi="Garamond"/>
        </w:rPr>
      </w:pPr>
      <w:r w:rsidRPr="009A2E44">
        <w:rPr>
          <w:rFonts w:ascii="Garamond" w:hAnsi="Garamond"/>
        </w:rPr>
        <w:t>It is unlikely that tsunami</w:t>
      </w:r>
      <w:r w:rsidR="00653DEC">
        <w:rPr>
          <w:rFonts w:ascii="Garamond" w:hAnsi="Garamond"/>
        </w:rPr>
        <w:t>s</w:t>
      </w:r>
      <w:r w:rsidRPr="009A2E44">
        <w:rPr>
          <w:rFonts w:ascii="Garamond" w:hAnsi="Garamond"/>
        </w:rPr>
        <w:t xml:space="preserve"> or storm surge </w:t>
      </w:r>
      <w:r w:rsidR="00653DEC">
        <w:rPr>
          <w:rFonts w:ascii="Garamond" w:hAnsi="Garamond"/>
        </w:rPr>
        <w:t xml:space="preserve">contributed to </w:t>
      </w:r>
      <w:r w:rsidR="008A3B97">
        <w:rPr>
          <w:rFonts w:ascii="Garamond" w:hAnsi="Garamond"/>
        </w:rPr>
        <w:t xml:space="preserve">past </w:t>
      </w:r>
      <w:r w:rsidR="00653DEC">
        <w:rPr>
          <w:rFonts w:ascii="Garamond" w:hAnsi="Garamond"/>
        </w:rPr>
        <w:t xml:space="preserve">surface salinity </w:t>
      </w:r>
      <w:r w:rsidRPr="009A2E44">
        <w:rPr>
          <w:rFonts w:ascii="Garamond" w:hAnsi="Garamond"/>
        </w:rPr>
        <w:t xml:space="preserve">given </w:t>
      </w:r>
      <w:r w:rsidR="00CB290C">
        <w:rPr>
          <w:rFonts w:ascii="Garamond" w:hAnsi="Garamond"/>
        </w:rPr>
        <w:t xml:space="preserve">Lac Lalolalo’s elevation and </w:t>
      </w:r>
      <w:r w:rsidRPr="009A2E44">
        <w:rPr>
          <w:rFonts w:ascii="Garamond" w:hAnsi="Garamond"/>
        </w:rPr>
        <w:t>distance from shore</w:t>
      </w:r>
      <w:r w:rsidR="000D3DAA">
        <w:rPr>
          <w:rFonts w:ascii="Garamond" w:hAnsi="Garamond"/>
        </w:rPr>
        <w:t>,</w:t>
      </w:r>
      <w:r w:rsidR="0003484E">
        <w:rPr>
          <w:rFonts w:ascii="Garamond" w:hAnsi="Garamond"/>
        </w:rPr>
        <w:t xml:space="preserve"> and t</w:t>
      </w:r>
      <w:r w:rsidRPr="009A2E44">
        <w:rPr>
          <w:rFonts w:ascii="Garamond" w:hAnsi="Garamond"/>
        </w:rPr>
        <w:t>here are no large below-surface connections between the lake and the ocean</w:t>
      </w:r>
      <w:r w:rsidR="00874AAD" w:rsidRPr="009A2E44">
        <w:rPr>
          <w:rFonts w:ascii="Garamond" w:hAnsi="Garamond"/>
        </w:rPr>
        <w:t xml:space="preserve">, </w:t>
      </w:r>
      <w:r w:rsidRPr="009A2E44">
        <w:rPr>
          <w:rFonts w:ascii="Garamond" w:hAnsi="Garamond"/>
        </w:rPr>
        <w:t xml:space="preserve">as </w:t>
      </w:r>
      <w:r w:rsidR="0003484E">
        <w:rPr>
          <w:rFonts w:ascii="Garamond" w:hAnsi="Garamond"/>
        </w:rPr>
        <w:t>evidenced</w:t>
      </w:r>
      <w:r w:rsidR="0003484E" w:rsidRPr="009A2E44">
        <w:rPr>
          <w:rFonts w:ascii="Garamond" w:hAnsi="Garamond"/>
        </w:rPr>
        <w:t xml:space="preserve"> </w:t>
      </w:r>
      <w:r w:rsidRPr="009A2E44">
        <w:rPr>
          <w:rFonts w:ascii="Garamond" w:hAnsi="Garamond"/>
        </w:rPr>
        <w:t>by the lack of tid</w:t>
      </w:r>
      <w:r w:rsidR="00AA3A07" w:rsidRPr="009A2E44">
        <w:rPr>
          <w:rFonts w:ascii="Garamond" w:hAnsi="Garamond"/>
        </w:rPr>
        <w:t xml:space="preserve">al influence </w:t>
      </w:r>
      <w:r w:rsidRPr="009A2E44">
        <w:rPr>
          <w:rFonts w:ascii="Garamond" w:hAnsi="Garamond"/>
        </w:rPr>
        <w:t>(</w:t>
      </w:r>
      <w:r w:rsidRPr="009A2E44">
        <w:rPr>
          <w:rFonts w:ascii="Garamond" w:hAnsi="Garamond"/>
          <w:b/>
          <w:bCs/>
        </w:rPr>
        <w:t xml:space="preserve">Fig. </w:t>
      </w:r>
      <w:r w:rsidR="00F64053" w:rsidRPr="009A2E44">
        <w:rPr>
          <w:rFonts w:ascii="Garamond" w:hAnsi="Garamond"/>
          <w:b/>
          <w:bCs/>
        </w:rPr>
        <w:t>A.</w:t>
      </w:r>
      <w:r w:rsidR="007C1B94" w:rsidRPr="009A2E44">
        <w:rPr>
          <w:rFonts w:ascii="Garamond" w:hAnsi="Garamond"/>
          <w:b/>
          <w:bCs/>
        </w:rPr>
        <w:t>3</w:t>
      </w:r>
      <w:r w:rsidRPr="009A2E44">
        <w:rPr>
          <w:rFonts w:ascii="Garamond" w:hAnsi="Garamond"/>
        </w:rPr>
        <w:t>)</w:t>
      </w:r>
      <w:r w:rsidR="00CF189C">
        <w:rPr>
          <w:rFonts w:ascii="Garamond" w:hAnsi="Garamond"/>
        </w:rPr>
        <w:t>.</w:t>
      </w:r>
      <w:r w:rsidRPr="009A2E44">
        <w:rPr>
          <w:rFonts w:ascii="Garamond" w:hAnsi="Garamond"/>
        </w:rPr>
        <w:t xml:space="preserve"> </w:t>
      </w:r>
      <w:r w:rsidR="0003484E">
        <w:rPr>
          <w:rFonts w:ascii="Garamond" w:hAnsi="Garamond"/>
        </w:rPr>
        <w:t>However, t</w:t>
      </w:r>
      <w:r w:rsidRPr="009A2E44">
        <w:rPr>
          <w:rFonts w:ascii="Garamond" w:hAnsi="Garamond"/>
        </w:rPr>
        <w:t>he presence of eels in the lake</w:t>
      </w:r>
      <w:r w:rsidR="00F42C49" w:rsidRPr="009A2E44">
        <w:rPr>
          <w:rFonts w:ascii="Garamond" w:hAnsi="Garamond"/>
        </w:rPr>
        <w:t xml:space="preserve"> whose otoliths have geochemical fingerprints of ocean water </w:t>
      </w:r>
      <w:r w:rsidR="00F42C49" w:rsidRPr="009A2E44">
        <w:rPr>
          <w:rFonts w:ascii="Garamond" w:hAnsi="Garamond"/>
        </w:rPr>
        <w:fldChar w:fldCharType="begin" w:fldLock="1"/>
      </w:r>
      <w:r w:rsidR="00E757E6">
        <w:rPr>
          <w:rFonts w:ascii="Garamond" w:hAnsi="Garamond"/>
        </w:rPr>
        <w:instrText>ADDIN CSL_CITATION {"citationItems":[{"id":"ITEM-1","itemData":{"ISSN":"02408759","author":[{"dropping-particle":"","family":"Bareille","given":"G.","non-dropping-particle":"","parse-names":false,"suffix":""},{"dropping-particle":"","family":"Sasal","given":"P.","non-dropping-particle":"","parse-names":false,"suffix":""},{"dropping-particle":"","family":"Mary","given":"Nathalie","non-dropping-particle":"","parse-names":false,"suffix":""},{"dropping-particle":"","family":"Meunier","given":"F. J.","non-dropping-particle":"","parse-names":false,"suffix":""},{"dropping-particle":"","family":"Deschamps","given":"M. H.","non-dropping-particle":"","parse-names":false,"suffix":""},{"dropping-particle":"","family":"Berail","given":"S.","non-dropping-particle":"","parse-names":false,"suffix":""},{"dropping-particle":"","family":"Pecheyran","given":"C.","non-dropping-particle":"","parse-names":false,"suffix":""},{"dropping-particle":"","family":"Lecomte-Finiger","given":"R.","non-dropping-particle":"","parse-names":false,"suffix":""}],"container-title":"Vie et Milieu","id":"ITEM-1","issue":"1","issued":{"date-parts":[["2015"]]},"page":"29-39","title":"Are elemental and strontium isotopic microchemistry of otolith and histomorphometrical characteristics of vertebral bone useful to resolve the eel &lt;i&gt;Anguilla obscura&lt;/i&gt; status in Lalolalo lake in Wallis Island?","type":"article-journal","volume":"65"},"uris":["http://www.mendeley.com/documents/?uuid=e869fa41-e9dc-41e5-b320-5ac327a92cd1"]}],"mendeley":{"formattedCitation":"(Bareille et al., 2015)","plainTextFormattedCitation":"(Bareille et al., 2015)","previouslyFormattedCitation":"(Bareille et al., 2015)"},"properties":{"noteIndex":0},"schema":"https://github.com/citation-style-language/schema/raw/master/csl-citation.json"}</w:instrText>
      </w:r>
      <w:r w:rsidR="00F42C49" w:rsidRPr="009A2E44">
        <w:rPr>
          <w:rFonts w:ascii="Garamond" w:hAnsi="Garamond"/>
        </w:rPr>
        <w:fldChar w:fldCharType="separate"/>
      </w:r>
      <w:r w:rsidR="00F42C49" w:rsidRPr="009A2E44">
        <w:rPr>
          <w:rFonts w:ascii="Garamond" w:hAnsi="Garamond"/>
          <w:noProof/>
        </w:rPr>
        <w:t>(Bareille et al., 2015)</w:t>
      </w:r>
      <w:r w:rsidR="00F42C49" w:rsidRPr="009A2E44">
        <w:rPr>
          <w:rFonts w:ascii="Garamond" w:hAnsi="Garamond"/>
        </w:rPr>
        <w:fldChar w:fldCharType="end"/>
      </w:r>
      <w:r w:rsidRPr="009A2E44">
        <w:rPr>
          <w:rFonts w:ascii="Garamond" w:hAnsi="Garamond"/>
        </w:rPr>
        <w:t xml:space="preserve">, </w:t>
      </w:r>
      <w:r w:rsidR="00CF189C">
        <w:rPr>
          <w:rFonts w:ascii="Garamond" w:hAnsi="Garamond"/>
        </w:rPr>
        <w:t xml:space="preserve">imply </w:t>
      </w:r>
      <w:r w:rsidRPr="009A2E44">
        <w:rPr>
          <w:rFonts w:ascii="Garamond" w:hAnsi="Garamond"/>
        </w:rPr>
        <w:t xml:space="preserve">passages large enough for elvers </w:t>
      </w:r>
      <w:r w:rsidR="00653DEC">
        <w:rPr>
          <w:rFonts w:ascii="Garamond" w:hAnsi="Garamond"/>
        </w:rPr>
        <w:t xml:space="preserve">(young eels) </w:t>
      </w:r>
      <w:r w:rsidRPr="009A2E44">
        <w:rPr>
          <w:rFonts w:ascii="Garamond" w:hAnsi="Garamond"/>
        </w:rPr>
        <w:t xml:space="preserve">to transit from the ocean to the lake. </w:t>
      </w:r>
      <w:r w:rsidR="0003484E">
        <w:rPr>
          <w:rFonts w:ascii="Garamond" w:hAnsi="Garamond"/>
        </w:rPr>
        <w:t>Small o</w:t>
      </w:r>
      <w:r w:rsidRPr="009A2E44">
        <w:rPr>
          <w:rFonts w:ascii="Garamond" w:hAnsi="Garamond"/>
        </w:rPr>
        <w:t>pen passageways between the lake and ocean (</w:t>
      </w:r>
      <w:r w:rsidR="000D3DAA">
        <w:rPr>
          <w:rFonts w:ascii="Garamond" w:hAnsi="Garamond"/>
        </w:rPr>
        <w:t>likely</w:t>
      </w:r>
      <w:r w:rsidRPr="009A2E44">
        <w:rPr>
          <w:rFonts w:ascii="Garamond" w:hAnsi="Garamond"/>
        </w:rPr>
        <w:t xml:space="preserve"> indirectly </w:t>
      </w:r>
      <w:r w:rsidR="00AA3A07" w:rsidRPr="009A2E44">
        <w:rPr>
          <w:rFonts w:ascii="Garamond" w:hAnsi="Garamond"/>
        </w:rPr>
        <w:t>via t</w:t>
      </w:r>
      <w:r w:rsidRPr="009A2E44">
        <w:rPr>
          <w:rFonts w:ascii="Garamond" w:hAnsi="Garamond"/>
        </w:rPr>
        <w:t xml:space="preserve">he water table), </w:t>
      </w:r>
      <w:r w:rsidR="0003484E">
        <w:rPr>
          <w:rFonts w:ascii="Garamond" w:hAnsi="Garamond"/>
        </w:rPr>
        <w:t>offer another</w:t>
      </w:r>
      <w:r w:rsidRPr="009A2E44">
        <w:rPr>
          <w:rFonts w:ascii="Garamond" w:hAnsi="Garamond"/>
        </w:rPr>
        <w:t xml:space="preserve"> possible </w:t>
      </w:r>
      <w:r w:rsidR="0003484E">
        <w:rPr>
          <w:rFonts w:ascii="Garamond" w:hAnsi="Garamond"/>
        </w:rPr>
        <w:t xml:space="preserve">mechanism to introduce seawater </w:t>
      </w:r>
      <w:r w:rsidR="0003484E">
        <w:rPr>
          <w:rFonts w:ascii="Garamond" w:hAnsi="Garamond"/>
        </w:rPr>
        <w:lastRenderedPageBreak/>
        <w:t xml:space="preserve">to </w:t>
      </w:r>
      <w:r w:rsidRPr="009A2E44">
        <w:rPr>
          <w:rFonts w:ascii="Garamond" w:hAnsi="Garamond"/>
        </w:rPr>
        <w:t>Lac Lalolalo’s surface</w:t>
      </w:r>
      <w:r w:rsidR="0003484E">
        <w:rPr>
          <w:rFonts w:ascii="Garamond" w:hAnsi="Garamond"/>
        </w:rPr>
        <w:t xml:space="preserve">, especially </w:t>
      </w:r>
      <w:r w:rsidRPr="009A2E44">
        <w:rPr>
          <w:rFonts w:ascii="Garamond" w:hAnsi="Garamond"/>
        </w:rPr>
        <w:t xml:space="preserve">if the island’s fresh groundwater diminishes sufficiently during a prolonged drought to allow saltwater intrusion. </w:t>
      </w:r>
      <w:r w:rsidR="00CB290C">
        <w:rPr>
          <w:rFonts w:ascii="Garamond" w:hAnsi="Garamond"/>
        </w:rPr>
        <w:t>D</w:t>
      </w:r>
      <w:r w:rsidRPr="009A2E44">
        <w:rPr>
          <w:rFonts w:ascii="Garamond" w:hAnsi="Garamond"/>
        </w:rPr>
        <w:t xml:space="preserve">uring the </w:t>
      </w:r>
      <w:r w:rsidR="00683591" w:rsidRPr="009A2E44">
        <w:rPr>
          <w:rFonts w:ascii="Garamond" w:hAnsi="Garamond"/>
        </w:rPr>
        <w:t>last</w:t>
      </w:r>
      <w:r w:rsidRPr="009A2E44">
        <w:rPr>
          <w:rFonts w:ascii="Garamond" w:hAnsi="Garamond"/>
        </w:rPr>
        <w:t xml:space="preserve"> few thousand years as minerals precipitated</w:t>
      </w:r>
      <w:r w:rsidR="0058122C" w:rsidRPr="009A2E44">
        <w:rPr>
          <w:rFonts w:ascii="Garamond" w:hAnsi="Garamond"/>
        </w:rPr>
        <w:t xml:space="preserve"> and likely constricted</w:t>
      </w:r>
      <w:r w:rsidR="00DD74DD">
        <w:rPr>
          <w:rFonts w:ascii="Garamond" w:hAnsi="Garamond"/>
        </w:rPr>
        <w:t xml:space="preserve">, </w:t>
      </w:r>
      <w:r w:rsidR="0058122C" w:rsidRPr="009A2E44">
        <w:rPr>
          <w:rFonts w:ascii="Garamond" w:hAnsi="Garamond"/>
        </w:rPr>
        <w:t>closed</w:t>
      </w:r>
      <w:r w:rsidR="00DD74DD">
        <w:rPr>
          <w:rFonts w:ascii="Garamond" w:hAnsi="Garamond"/>
        </w:rPr>
        <w:t>, and sealed</w:t>
      </w:r>
      <w:r w:rsidR="000D3DAA" w:rsidRPr="000D3DAA">
        <w:rPr>
          <w:rFonts w:ascii="Garamond" w:hAnsi="Garamond"/>
        </w:rPr>
        <w:t xml:space="preserve"> </w:t>
      </w:r>
      <w:r w:rsidR="000D3DAA" w:rsidRPr="009A2E44">
        <w:rPr>
          <w:rFonts w:ascii="Garamond" w:hAnsi="Garamond"/>
        </w:rPr>
        <w:t>subsurface seawater connections</w:t>
      </w:r>
      <w:r w:rsidRPr="009A2E44">
        <w:rPr>
          <w:rFonts w:ascii="Garamond" w:hAnsi="Garamond"/>
        </w:rPr>
        <w:t xml:space="preserve">, Lac Lalolalo </w:t>
      </w:r>
      <w:r w:rsidR="00500930">
        <w:rPr>
          <w:rFonts w:ascii="Garamond" w:hAnsi="Garamond"/>
        </w:rPr>
        <w:t xml:space="preserve">basin morphology </w:t>
      </w:r>
      <w:r w:rsidR="00683591" w:rsidRPr="009A2E44">
        <w:rPr>
          <w:rFonts w:ascii="Garamond" w:hAnsi="Garamond"/>
        </w:rPr>
        <w:t>likely</w:t>
      </w:r>
      <w:r w:rsidRPr="009A2E44">
        <w:rPr>
          <w:rFonts w:ascii="Garamond" w:hAnsi="Garamond"/>
        </w:rPr>
        <w:t xml:space="preserve"> bec</w:t>
      </w:r>
      <w:r w:rsidR="00683591" w:rsidRPr="009A2E44">
        <w:rPr>
          <w:rFonts w:ascii="Garamond" w:hAnsi="Garamond"/>
        </w:rPr>
        <w:t>a</w:t>
      </w:r>
      <w:r w:rsidRPr="009A2E44">
        <w:rPr>
          <w:rFonts w:ascii="Garamond" w:hAnsi="Garamond"/>
        </w:rPr>
        <w:t>me less permeable to groundwater, seawater</w:t>
      </w:r>
      <w:r w:rsidR="00DD74DD">
        <w:rPr>
          <w:rFonts w:ascii="Garamond" w:hAnsi="Garamond"/>
        </w:rPr>
        <w:t xml:space="preserve"> from below the </w:t>
      </w:r>
      <w:proofErr w:type="spellStart"/>
      <w:r w:rsidR="00DD74DD">
        <w:rPr>
          <w:rFonts w:ascii="Garamond" w:hAnsi="Garamond"/>
        </w:rPr>
        <w:t>Ghyben</w:t>
      </w:r>
      <w:proofErr w:type="spellEnd"/>
      <w:r w:rsidR="00DD74DD">
        <w:rPr>
          <w:rFonts w:ascii="Garamond" w:hAnsi="Garamond"/>
        </w:rPr>
        <w:t>-Herzberg lens</w:t>
      </w:r>
      <w:r w:rsidRPr="009A2E44">
        <w:rPr>
          <w:rFonts w:ascii="Garamond" w:hAnsi="Garamond"/>
        </w:rPr>
        <w:t xml:space="preserve">, volcanic degassing, and hydrothermal waters resulting in the </w:t>
      </w:r>
      <w:r w:rsidR="00874AAD" w:rsidRPr="009A2E44">
        <w:rPr>
          <w:rFonts w:ascii="Garamond" w:hAnsi="Garamond"/>
        </w:rPr>
        <w:t xml:space="preserve">hydrological </w:t>
      </w:r>
      <w:r w:rsidRPr="009A2E44">
        <w:rPr>
          <w:rFonts w:ascii="Garamond" w:hAnsi="Garamond"/>
        </w:rPr>
        <w:t xml:space="preserve">conditions </w:t>
      </w:r>
      <w:r w:rsidR="00874AAD" w:rsidRPr="009A2E44">
        <w:rPr>
          <w:rFonts w:ascii="Garamond" w:hAnsi="Garamond"/>
        </w:rPr>
        <w:t xml:space="preserve">observed </w:t>
      </w:r>
      <w:r w:rsidRPr="009A2E44">
        <w:rPr>
          <w:rFonts w:ascii="Garamond" w:hAnsi="Garamond"/>
        </w:rPr>
        <w:t>today.</w:t>
      </w:r>
    </w:p>
    <w:p w14:paraId="2E093C71" w14:textId="66813DEE" w:rsidR="005171A4" w:rsidRPr="009A2E44" w:rsidRDefault="005171A4" w:rsidP="001C47D3">
      <w:pPr>
        <w:spacing w:line="480" w:lineRule="auto"/>
        <w:ind w:firstLine="720"/>
        <w:rPr>
          <w:rFonts w:ascii="Garamond" w:hAnsi="Garamond"/>
        </w:rPr>
      </w:pPr>
      <w:r w:rsidRPr="009A2E44">
        <w:rPr>
          <w:rFonts w:ascii="Garamond" w:hAnsi="Garamond"/>
        </w:rPr>
        <w:t xml:space="preserve">Shifts in species composition </w:t>
      </w:r>
      <w:r w:rsidRPr="009A2E44">
        <w:rPr>
          <w:rFonts w:ascii="Garamond" w:hAnsi="Garamond"/>
        </w:rPr>
        <w:fldChar w:fldCharType="begin" w:fldLock="1"/>
      </w:r>
      <w:r w:rsidR="00E757E6">
        <w:rPr>
          <w:rFonts w:ascii="Garamond" w:hAnsi="Garamond"/>
        </w:rPr>
        <w:instrText>ADDIN CSL_CITATION {"citationItems":[{"id":"ITEM-1","itemData":{"DOI":"10.1016/S0146-6380(99)00094-7","ISSN":"01466380","author":[{"dropping-particle":"","family":"Sessions","given":"Alex L","non-dropping-particle":"","parse-names":false,"suffix":""},{"dropping-particle":"","family":"Burgoyne","given":"Thomas W","non-dropping-particle":"","parse-names":false,"suffix":""},{"dropping-particle":"","family":"Schimmelmann","given":"Arndt","non-dropping-particle":"","parse-names":false,"suffix":""},{"dropping-particle":"","family":"Hayes","given":"John M","non-dropping-particle":"","parse-names":false,"suffix":""}],"container-title":"Organic Geochemistry","id":"ITEM-1","issued":{"date-parts":[["1999","9"]]},"page":"1193-1200","title":"Fractionation of hydrogen isotopes in lipid biosynthesis","type":"article-journal","volume":"30"},"uris":["http://www.mendeley.com/documents/?uuid=1d6488d8-5548-4a89-b9c3-52a24809db4a"]},{"id":"ITEM-2","itemData":{"DOI":"10.1016/j.orggeochem.2006.12.004","ISSN":"01466380","author":[{"dropping-particle":"","family":"Zhang","given":"Zhaohui","non-dropping-particle":"","parse-names":false,"suffix":""},{"dropping-particle":"","family":"Sachs","given":"Julian P","non-dropping-particle":"","parse-names":false,"suffix":""}],"container-title":"Organic Geochemistry","id":"ITEM-2","issued":{"date-parts":[["2007","4"]]},"page":"582-608","title":"Hydrogen isotope fractionation in freshwater algae: I. Variations among lipids and species","type":"article-journal","volume":"38"},"uris":["http://www.mendeley.com/documents/?uuid=13d8bf09-17bc-4b0f-95e1-f4ec89a6fa59"]}],"mendeley":{"formattedCitation":"(Sessions et al., 1999; Zhang and Sachs, 2007)","manualFormatting":"(e.g., Sessions et al., 1999; Zhang and Sachs, 2007)","plainTextFormattedCitation":"(Sessions et al., 1999; Zhang and Sachs, 2007)","previouslyFormattedCitation":"(Sessions et al., 1999; Zhang and Sachs, 2007)"},"properties":{"noteIndex":0},"schema":"https://github.com/citation-style-language/schema/raw/master/csl-citation.json"}</w:instrText>
      </w:r>
      <w:r w:rsidRPr="009A2E44">
        <w:rPr>
          <w:rFonts w:ascii="Garamond" w:hAnsi="Garamond"/>
        </w:rPr>
        <w:fldChar w:fldCharType="separate"/>
      </w:r>
      <w:r w:rsidRPr="009A2E44">
        <w:rPr>
          <w:rFonts w:ascii="Garamond" w:hAnsi="Garamond"/>
          <w:noProof/>
        </w:rPr>
        <w:t>(</w:t>
      </w:r>
      <w:r w:rsidR="00CA4C2B" w:rsidRPr="009A2E44">
        <w:rPr>
          <w:rFonts w:ascii="Garamond" w:hAnsi="Garamond"/>
          <w:noProof/>
        </w:rPr>
        <w:t>e</w:t>
      </w:r>
      <w:r w:rsidRPr="009A2E44">
        <w:rPr>
          <w:rFonts w:ascii="Garamond" w:hAnsi="Garamond"/>
          <w:noProof/>
        </w:rPr>
        <w:t>.</w:t>
      </w:r>
      <w:r w:rsidR="00CA4C2B" w:rsidRPr="009A2E44">
        <w:rPr>
          <w:rFonts w:ascii="Garamond" w:hAnsi="Garamond"/>
          <w:noProof/>
        </w:rPr>
        <w:t>g</w:t>
      </w:r>
      <w:r w:rsidRPr="009A2E44">
        <w:rPr>
          <w:rFonts w:ascii="Garamond" w:hAnsi="Garamond"/>
          <w:noProof/>
        </w:rPr>
        <w:t>.</w:t>
      </w:r>
      <w:r w:rsidR="00D1680B">
        <w:rPr>
          <w:rFonts w:ascii="Garamond" w:hAnsi="Garamond"/>
          <w:noProof/>
        </w:rPr>
        <w:t>,</w:t>
      </w:r>
      <w:r w:rsidRPr="009A2E44">
        <w:rPr>
          <w:rFonts w:ascii="Garamond" w:hAnsi="Garamond"/>
          <w:noProof/>
        </w:rPr>
        <w:t xml:space="preserve"> Sessions et al., 1999; Zhang and Sachs, 2007)</w:t>
      </w:r>
      <w:r w:rsidRPr="009A2E44">
        <w:rPr>
          <w:rFonts w:ascii="Garamond" w:hAnsi="Garamond"/>
        </w:rPr>
        <w:fldChar w:fldCharType="end"/>
      </w:r>
      <w:r w:rsidRPr="009A2E44">
        <w:rPr>
          <w:rFonts w:ascii="Garamond" w:hAnsi="Garamond"/>
        </w:rPr>
        <w:t xml:space="preserve"> </w:t>
      </w:r>
      <w:r w:rsidR="008E1578">
        <w:rPr>
          <w:rFonts w:ascii="Garamond" w:hAnsi="Garamond"/>
        </w:rPr>
        <w:t>may also</w:t>
      </w:r>
      <w:r w:rsidRPr="009A2E44">
        <w:rPr>
          <w:rFonts w:ascii="Garamond" w:hAnsi="Garamond"/>
        </w:rPr>
        <w:t xml:space="preserve"> alter the isotopic composition of dinosterol through time. This </w:t>
      </w:r>
      <w:r w:rsidR="008E1578">
        <w:rPr>
          <w:rFonts w:ascii="Garamond" w:hAnsi="Garamond"/>
        </w:rPr>
        <w:t xml:space="preserve">could occur in unison with </w:t>
      </w:r>
      <w:r w:rsidRPr="009A2E44">
        <w:rPr>
          <w:rFonts w:ascii="Garamond" w:hAnsi="Garamond"/>
        </w:rPr>
        <w:t>changes in salinity if dinoflagellate</w:t>
      </w:r>
      <w:r w:rsidR="00831C13" w:rsidRPr="009A2E44">
        <w:rPr>
          <w:rFonts w:ascii="Garamond" w:hAnsi="Garamond"/>
        </w:rPr>
        <w:t xml:space="preserve">s </w:t>
      </w:r>
      <w:r w:rsidRPr="009A2E44">
        <w:rPr>
          <w:rFonts w:ascii="Garamond" w:hAnsi="Garamond"/>
        </w:rPr>
        <w:t xml:space="preserve">shifted </w:t>
      </w:r>
      <w:r w:rsidR="001D7CDC">
        <w:rPr>
          <w:rFonts w:ascii="Garamond" w:hAnsi="Garamond"/>
        </w:rPr>
        <w:t xml:space="preserve">from a marine </w:t>
      </w:r>
      <w:r w:rsidRPr="009A2E44">
        <w:rPr>
          <w:rFonts w:ascii="Garamond" w:hAnsi="Garamond"/>
        </w:rPr>
        <w:t xml:space="preserve">to the freshwater </w:t>
      </w:r>
      <w:r w:rsidR="001D7CDC">
        <w:rPr>
          <w:rFonts w:ascii="Garamond" w:hAnsi="Garamond"/>
        </w:rPr>
        <w:t>community</w:t>
      </w:r>
      <w:r w:rsidR="001D7CDC" w:rsidRPr="009A2E44">
        <w:rPr>
          <w:rFonts w:ascii="Garamond" w:hAnsi="Garamond"/>
        </w:rPr>
        <w:t xml:space="preserve"> </w:t>
      </w:r>
      <w:r w:rsidRPr="009A2E44">
        <w:rPr>
          <w:rFonts w:ascii="Garamond" w:hAnsi="Garamond"/>
        </w:rPr>
        <w:t xml:space="preserve">found today. Additionally, </w:t>
      </w:r>
      <w:r w:rsidR="001D7CDC">
        <w:rPr>
          <w:rFonts w:ascii="Garamond" w:hAnsi="Garamond"/>
        </w:rPr>
        <w:t>environmental shifts may alter the</w:t>
      </w:r>
      <w:r w:rsidR="001D7CDC" w:rsidRPr="009A2E44">
        <w:rPr>
          <w:rFonts w:ascii="Garamond" w:hAnsi="Garamond"/>
        </w:rPr>
        <w:t xml:space="preserve"> preferred metabolism</w:t>
      </w:r>
      <w:r w:rsidR="001D7CDC" w:rsidRPr="001D7CDC">
        <w:rPr>
          <w:rFonts w:ascii="Garamond" w:hAnsi="Garamond"/>
        </w:rPr>
        <w:t xml:space="preserve"> </w:t>
      </w:r>
      <w:r w:rsidR="001D7CDC">
        <w:rPr>
          <w:rFonts w:ascii="Garamond" w:hAnsi="Garamond"/>
        </w:rPr>
        <w:t>of</w:t>
      </w:r>
      <w:r w:rsidRPr="009A2E44">
        <w:rPr>
          <w:rFonts w:ascii="Garamond" w:hAnsi="Garamond"/>
        </w:rPr>
        <w:t xml:space="preserve"> metabolically flexible </w:t>
      </w:r>
      <w:r w:rsidR="00831C13" w:rsidRPr="009A2E44">
        <w:rPr>
          <w:rFonts w:ascii="Garamond" w:hAnsi="Garamond"/>
        </w:rPr>
        <w:t xml:space="preserve">dinosterol-producing </w:t>
      </w:r>
      <w:r w:rsidRPr="009A2E44">
        <w:rPr>
          <w:rFonts w:ascii="Garamond" w:hAnsi="Garamond"/>
        </w:rPr>
        <w:t xml:space="preserve">dinoflagellates, </w:t>
      </w:r>
      <w:r w:rsidR="001D7CDC">
        <w:rPr>
          <w:rFonts w:ascii="Garamond" w:hAnsi="Garamond"/>
        </w:rPr>
        <w:t xml:space="preserve">and </w:t>
      </w:r>
      <w:r w:rsidR="003502EF">
        <w:rPr>
          <w:rFonts w:ascii="Garamond" w:hAnsi="Garamond"/>
        </w:rPr>
        <w:t xml:space="preserve">a shift from </w:t>
      </w:r>
      <w:r w:rsidR="001D7CDC" w:rsidRPr="009A2E44">
        <w:rPr>
          <w:rFonts w:ascii="Garamond" w:hAnsi="Garamond"/>
        </w:rPr>
        <w:t xml:space="preserve">photoautotrophy </w:t>
      </w:r>
      <w:r w:rsidR="003502EF">
        <w:rPr>
          <w:rFonts w:ascii="Garamond" w:hAnsi="Garamond"/>
        </w:rPr>
        <w:t>to</w:t>
      </w:r>
      <w:r w:rsidR="001D7CDC" w:rsidRPr="009A2E44">
        <w:rPr>
          <w:rFonts w:ascii="Garamond" w:hAnsi="Garamond"/>
        </w:rPr>
        <w:t xml:space="preserve"> heterotrophy </w:t>
      </w:r>
      <w:r w:rsidR="001D7CDC">
        <w:rPr>
          <w:rFonts w:ascii="Garamond" w:hAnsi="Garamond"/>
        </w:rPr>
        <w:t>can</w:t>
      </w:r>
      <w:r w:rsidR="001D7CDC" w:rsidRPr="009A2E44">
        <w:rPr>
          <w:rFonts w:ascii="Garamond" w:hAnsi="Garamond"/>
        </w:rPr>
        <w:t xml:space="preserve"> result in large </w:t>
      </w:r>
      <w:r w:rsidR="001D7CDC" w:rsidRPr="009A2E44">
        <w:rPr>
          <w:rFonts w:ascii="Garamond" w:hAnsi="Garamond"/>
          <w:vertAlign w:val="superscript"/>
        </w:rPr>
        <w:t>2</w:t>
      </w:r>
      <w:r w:rsidR="001D7CDC" w:rsidRPr="009A2E44">
        <w:rPr>
          <w:rFonts w:ascii="Garamond" w:hAnsi="Garamond"/>
        </w:rPr>
        <w:t>H-enrichements up to 165 ‰ in green algae</w:t>
      </w:r>
      <w:r w:rsidR="001D7CDC" w:rsidRPr="009A2E44">
        <w:rPr>
          <w:rFonts w:ascii="Garamond" w:hAnsi="Garamond"/>
          <w:i/>
          <w:iCs/>
        </w:rPr>
        <w:t xml:space="preserve"> </w:t>
      </w:r>
      <w:r w:rsidR="001D7CDC" w:rsidRPr="009A2E44">
        <w:rPr>
          <w:rFonts w:ascii="Garamond" w:hAnsi="Garamond"/>
          <w:i/>
          <w:iCs/>
        </w:rPr>
        <w:fldChar w:fldCharType="begin" w:fldLock="1"/>
      </w:r>
      <w:r w:rsidR="00D04FB8">
        <w:rPr>
          <w:rFonts w:ascii="Garamond" w:hAnsi="Garamond"/>
          <w:i/>
          <w:iCs/>
        </w:rPr>
        <w:instrText>ADDIN CSL_CITATION {"citationItems":[{"id":"ITEM-1","itemData":{"DOI":"10.1104/pp.67.3.474","ISSN":"0032-0889","author":[{"dropping-particle":"","family":"Estep","given":"Marilyn F","non-dropping-particle":"","parse-names":false,"suffix":""},{"dropping-particle":"","family":"Hoering","given":"T. C.","non-dropping-particle":"","parse-names":false,"suffix":""}],"container-title":"Plant Physiology","id":"ITEM-1","issue":"3","issued":{"date-parts":[["1981","3","1"]]},"page":"474-477","title":"Stable hydrogen isotope fractionations during autotrophic and mixotrophic growth of microalgae","type":"article-journal","volume":"67"},"uris":["http://www.mendeley.com/documents/?uuid=434fdff1-0f55-4be5-ab78-7972f04b7ee6"]}],"mendeley":{"formattedCitation":"(Estep and Hoering, 1981)","plainTextFormattedCitation":"(Estep and Hoering, 1981)","previouslyFormattedCitation":"(Estep and Hoering, 1981)"},"properties":{"noteIndex":0},"schema":"https://github.com/citation-style-language/schema/raw/master/csl-citation.json"}</w:instrText>
      </w:r>
      <w:r w:rsidR="001D7CDC" w:rsidRPr="009A2E44">
        <w:rPr>
          <w:rFonts w:ascii="Garamond" w:hAnsi="Garamond"/>
          <w:i/>
          <w:iCs/>
        </w:rPr>
        <w:fldChar w:fldCharType="separate"/>
      </w:r>
      <w:r w:rsidR="001D7CDC" w:rsidRPr="009A2E44">
        <w:rPr>
          <w:rFonts w:ascii="Garamond" w:hAnsi="Garamond"/>
          <w:iCs/>
          <w:noProof/>
        </w:rPr>
        <w:t>(Estep and Hoering, 1981)</w:t>
      </w:r>
      <w:r w:rsidR="001D7CDC" w:rsidRPr="009A2E44">
        <w:rPr>
          <w:rFonts w:ascii="Garamond" w:hAnsi="Garamond"/>
          <w:i/>
          <w:iCs/>
        </w:rPr>
        <w:fldChar w:fldCharType="end"/>
      </w:r>
      <w:r w:rsidR="001D7CDC" w:rsidRPr="009A2E44">
        <w:rPr>
          <w:rFonts w:ascii="Garamond" w:hAnsi="Garamond"/>
          <w:i/>
          <w:iCs/>
        </w:rPr>
        <w:t xml:space="preserve"> </w:t>
      </w:r>
      <w:r w:rsidR="001D7CDC" w:rsidRPr="009A2E44">
        <w:rPr>
          <w:rFonts w:ascii="Garamond" w:hAnsi="Garamond"/>
        </w:rPr>
        <w:t xml:space="preserve">and 140 ‰ in bacteria lipids </w:t>
      </w:r>
      <w:r w:rsidR="001D7CDC" w:rsidRPr="009A2E44">
        <w:rPr>
          <w:rFonts w:ascii="Garamond" w:hAnsi="Garamond"/>
        </w:rPr>
        <w:fldChar w:fldCharType="begin" w:fldLock="1"/>
      </w:r>
      <w:r w:rsidR="001D7CDC" w:rsidRPr="009A2E44">
        <w:rPr>
          <w:rFonts w:ascii="Garamond" w:hAnsi="Garamond"/>
        </w:rPr>
        <w:instrText>ADDIN CSL_CITATION {"citationItems":[{"id":"ITEM-1","itemData":{"DOI":"10.1073/pnas.0903030106","ISSN":"1091-6490","PMID":"19617564","abstract":"Large hydrogen-isotopic (D/H) fractionations between lipids and growth water have been observed in most organisms studied to date. These fractionations are generally attributed to isotope effects in the biosynthesis of lipids, and are frequently assumed to be approximately constant for the purpose of reconstructing climatic variables. Here, we report D/H fractionations between lipids and water in 4 cultured members of the phylum Proteobacteria, and show that they can vary by up to 500 per thousand in a single organism. The variation cannot be attributed to lipid biosynthesis as there is no significant change in these pathways between cultures, nor can it be attributed to changing substrate D/H ratios. More importantly, lipid/water D/H fractionations vary systematically with metabolism: chemoautotrophic growth (approximately -200 to -400 per thousand), photoautotrophic growth (-150 to -250 per thousand), heterotrophic growth on sugars (0 to -150 per thousand), and heterotrophic growth on TCA-cycle precursors and intermediates (-50 to +200 per thousand) all yield different fractionations. We hypothesize that the D/H ratios of lipids are controlled largely by those of NADPH used for biosynthesis, rather than by isotope effects within the lipid biosynthetic pathway itself. Our results suggest that different central metabolic pathways yield NADPH--and indirectly lipids--with characteristic isotopic compositions. If so, lipid deltaD values could become an important biogeochemical tool for linking lipids to energy metabolism, and would yield information that is highly complementary to that provided by (13)C about pathways of carbon fixation.","author":[{"dropping-particle":"","family":"Zhang","given":"Xinning","non-dropping-particle":"","parse-names":false,"suffix":""},{"dropping-particle":"","family":"Gillespie","given":"Aimee L","non-dropping-particle":"","parse-names":false,"suffix":""},{"dropping-particle":"","family":"Sessions","given":"Alex L","non-dropping-particle":"","parse-names":false,"suffix":""}],"container-title":"Proceedings of the National Academy of Sciences of the United States of America","id":"ITEM-1","issue":"31","issued":{"date-parts":[["2009","8","4"]]},"page":"12580-6","title":"Large D/H variations in bacterial lipids reflect central metabolic pathways","type":"article-journal","volume":"106"},"uris":["http://www.mendeley.com/documents/?uuid=f7e26f59-bd2f-42a7-af2f-6b4c8f68c963"]}],"mendeley":{"formattedCitation":"(X. Zhang et al., 2009)","plainTextFormattedCitation":"(X. Zhang et al., 2009)","previouslyFormattedCitation":"(X. Zhang et al., 2009)"},"properties":{"noteIndex":0},"schema":"https://github.com/citation-style-language/schema/raw/master/csl-citation.json"}</w:instrText>
      </w:r>
      <w:r w:rsidR="001D7CDC" w:rsidRPr="009A2E44">
        <w:rPr>
          <w:rFonts w:ascii="Garamond" w:hAnsi="Garamond"/>
        </w:rPr>
        <w:fldChar w:fldCharType="separate"/>
      </w:r>
      <w:r w:rsidR="001D7CDC" w:rsidRPr="009A2E44">
        <w:rPr>
          <w:rFonts w:ascii="Garamond" w:hAnsi="Garamond"/>
          <w:noProof/>
        </w:rPr>
        <w:t>(X. Zhang et al., 2009)</w:t>
      </w:r>
      <w:r w:rsidR="001D7CDC" w:rsidRPr="009A2E44">
        <w:rPr>
          <w:rFonts w:ascii="Garamond" w:hAnsi="Garamond"/>
        </w:rPr>
        <w:fldChar w:fldCharType="end"/>
      </w:r>
      <w:r w:rsidRPr="009A2E44">
        <w:rPr>
          <w:rFonts w:ascii="Garamond" w:hAnsi="Garamond"/>
        </w:rPr>
        <w:t xml:space="preserve">. Other factors </w:t>
      </w:r>
      <w:r w:rsidR="00874AAD" w:rsidRPr="009A2E44">
        <w:rPr>
          <w:rFonts w:ascii="Garamond" w:hAnsi="Garamond"/>
        </w:rPr>
        <w:t xml:space="preserve">that could </w:t>
      </w:r>
      <w:r w:rsidRPr="009A2E44">
        <w:rPr>
          <w:rFonts w:ascii="Garamond" w:hAnsi="Garamond"/>
        </w:rPr>
        <w:t>cause</w:t>
      </w:r>
      <w:r w:rsidR="00500930">
        <w:rPr>
          <w:rFonts w:ascii="Garamond" w:hAnsi="Garamond"/>
        </w:rPr>
        <w:t xml:space="preserve"> relative</w:t>
      </w:r>
      <w:r w:rsidRPr="009A2E44">
        <w:rPr>
          <w:rFonts w:ascii="Garamond" w:hAnsi="Garamond"/>
        </w:rPr>
        <w:t xml:space="preserve"> </w:t>
      </w:r>
      <w:r w:rsidRPr="009A2E44">
        <w:rPr>
          <w:rFonts w:ascii="Garamond" w:hAnsi="Garamond"/>
          <w:vertAlign w:val="superscript"/>
        </w:rPr>
        <w:t>2</w:t>
      </w:r>
      <w:r w:rsidRPr="009A2E44">
        <w:rPr>
          <w:rFonts w:ascii="Garamond" w:hAnsi="Garamond"/>
        </w:rPr>
        <w:t xml:space="preserve">H-enrichement </w:t>
      </w:r>
      <w:r w:rsidR="00874AAD" w:rsidRPr="009A2E44">
        <w:rPr>
          <w:rFonts w:ascii="Garamond" w:hAnsi="Garamond"/>
        </w:rPr>
        <w:t xml:space="preserve">of dinosterol </w:t>
      </w:r>
      <w:r w:rsidR="001D7CDC">
        <w:rPr>
          <w:rFonts w:ascii="Garamond" w:hAnsi="Garamond"/>
        </w:rPr>
        <w:t xml:space="preserve">in this tropical location </w:t>
      </w:r>
      <w:r w:rsidRPr="009A2E44">
        <w:rPr>
          <w:rFonts w:ascii="Garamond" w:hAnsi="Garamond"/>
        </w:rPr>
        <w:t xml:space="preserve">include low light </w:t>
      </w:r>
      <w:r w:rsidR="00F26885" w:rsidRPr="009A2E44">
        <w:rPr>
          <w:rFonts w:ascii="Garamond" w:hAnsi="Garamond"/>
        </w:rPr>
        <w:fldChar w:fldCharType="begin" w:fldLock="1"/>
      </w:r>
      <w:r w:rsidR="00F26885" w:rsidRPr="009A2E44">
        <w:rPr>
          <w:rFonts w:ascii="Garamond" w:hAnsi="Garamond"/>
        </w:rPr>
        <w:instrText>ADDIN CSL_CITATION {"citationItems":[{"id":"ITEM-1","itemData":{"DOI":"10.1016/j.gca.2017.04.008","ISSN":"00167037","abstract":"Continuous cultures of the marine diatom Thalassiosira pseudonana were grown at irradiances between 6 and 47 µmol m−2 s−1 in order to evaluate the effect of light on hydrogen isotope fractionation in lipids. δ2H values increased with irradiance in phytol by 1.1‰ (µmol m−2 s−1)−1 and by 0.3‰ (µmol m−2 s−1)−1 in the C14:0 fatty acid, but decreased by 0.8‰ (µmol m−2 s−1)−1 in the sterol 24-methyl-cholesta-5,24(28)-dien-3β-ol (C28Δ5,24(28)). The anticorrelation between δ2H values in C28Δ5,24(28) and irradiance is attributed to enhanced sterol precursor synthesis via the plastidic methylerythritol phosphate (MEP) pathway at high irradiance, relative to the cytosolic mevalonic acid (MVA) pathway, and the supposition that MEP precursors are 2H-depleted compared to MVA precursors because they incorporate a greater proportion of hydrogen from photosynthetically produced NADPH. Increasing δ2H values of phytol and C14:0 with irradiance is attributed to a greater proportion of pyruvate, the last common precursor to both lipids, being sourced from glycolysis in the mitochondria and cytosol, where enhanced incorporation of metabolic NADPH and further hydrogen exchange with cell water can enrich pyruvate with 2H relative to pyruvate from the chloroplast. Irrespective of the biosynthetic mechanisms responsible for the 2H/1H fractionation response to light, the high sensitivity of lipid δ2H values in T. pseudonana continuous cultures would result in −30‰ to +40‰ variations in δ2H over a 40 µmol m−2 s−1 range in sub-saturating irradiance if expressed in the environment, depending on the lipid.","author":[{"dropping-particle":"","family":"Sachs","given":"Julian P","non-dropping-particle":"","parse-names":false,"suffix":""},{"dropping-particle":"","family":"Maloney","given":"Ashley E","non-dropping-particle":"","parse-names":false,"suffix":""},{"dropping-particle":"","family":"Gregersen","given":"Joshua","non-dropping-particle":"","parse-names":false,"suffix":""}],"container-title":"Geochimica et Cosmochimica Acta","id":"ITEM-1","issued":{"date-parts":[["2017"]]},"page":"204-215","publisher":"Elsevier Ltd","title":"Effect of light on 2H/1H fractionation in lipids from continuous cultures of the diatom &lt;i&gt;Thalassiosira pseudonana&lt;/i&gt;","type":"article-journal","volume":"209"},"uris":["http://www.mendeley.com/documents/?uuid=6cfc07b4-6869-4eb4-9e48-f9ba0e26f66f"]}],"mendeley":{"formattedCitation":"(Sachs et al., 2017)","plainTextFormattedCitation":"(Sachs et al., 2017)","previouslyFormattedCitation":"(Sachs et al., 2017)"},"properties":{"noteIndex":0},"schema":"https://github.com/citation-style-language/schema/raw/master/csl-citation.json"}</w:instrText>
      </w:r>
      <w:r w:rsidR="00F26885" w:rsidRPr="009A2E44">
        <w:rPr>
          <w:rFonts w:ascii="Garamond" w:hAnsi="Garamond"/>
        </w:rPr>
        <w:fldChar w:fldCharType="separate"/>
      </w:r>
      <w:r w:rsidR="00F26885" w:rsidRPr="009A2E44">
        <w:rPr>
          <w:rFonts w:ascii="Garamond" w:hAnsi="Garamond"/>
          <w:noProof/>
        </w:rPr>
        <w:t>(Sachs et al., 2017)</w:t>
      </w:r>
      <w:r w:rsidR="00F26885" w:rsidRPr="009A2E44">
        <w:rPr>
          <w:rFonts w:ascii="Garamond" w:hAnsi="Garamond"/>
        </w:rPr>
        <w:fldChar w:fldCharType="end"/>
      </w:r>
      <w:r w:rsidR="00F26885">
        <w:rPr>
          <w:rFonts w:ascii="Garamond" w:hAnsi="Garamond"/>
        </w:rPr>
        <w:t xml:space="preserve"> </w:t>
      </w:r>
      <w:r w:rsidR="001D7CDC" w:rsidRPr="009A2E44">
        <w:rPr>
          <w:rFonts w:ascii="Garamond" w:hAnsi="Garamond"/>
        </w:rPr>
        <w:t>if turbidity was higher</w:t>
      </w:r>
      <w:r w:rsidRPr="009A2E44">
        <w:rPr>
          <w:rFonts w:ascii="Garamond" w:hAnsi="Garamond"/>
        </w:rPr>
        <w:t xml:space="preserve">, </w:t>
      </w:r>
      <w:r w:rsidR="001D7CDC">
        <w:rPr>
          <w:rFonts w:ascii="Garamond" w:hAnsi="Garamond"/>
        </w:rPr>
        <w:t xml:space="preserve">or </w:t>
      </w:r>
      <w:r w:rsidRPr="009A2E44">
        <w:rPr>
          <w:rFonts w:ascii="Garamond" w:hAnsi="Garamond"/>
        </w:rPr>
        <w:t xml:space="preserve">low growth rates </w:t>
      </w:r>
      <w:r w:rsidRPr="009A2E44">
        <w:rPr>
          <w:rFonts w:ascii="Garamond" w:hAnsi="Garamond"/>
        </w:rPr>
        <w:fldChar w:fldCharType="begin" w:fldLock="1"/>
      </w:r>
      <w:r w:rsidR="006F4AA3" w:rsidRPr="009A2E44">
        <w:rPr>
          <w:rFonts w:ascii="Garamond" w:hAnsi="Garamond"/>
        </w:rPr>
        <w:instrText xml:space="preserve">ADDIN CSL_CITATION {"citationItems":[{"id":"ITEM-1","itemData":{"DOI":"10.1371/journal.pone.0141643","ISSN":"1932-6203","PMID":"26576007","abstract":"The hydrogen isotope (2H/1H) ratio of lipids from phytoplankton is a powerful new tool for reconstructing hydroclimate variations in the geologic past from marine and lacustrine sediments. Water 2H/1H changes are reflected in lipid 2H/1H changes with R2 &gt; 0.99, and salinity variations have been shown to cause about a 1‰change in lipid δ2H values per unit (ppt) change in salinity. Less understood are the effects of growth rate, nutrient limitation and light on 2H/1H fractionation in phytoplankton. Here we present the first published study of growth rate effects on 2H/1H fractionation in the lipids of coccolithophorids grown in continuous cultures. Emiliania huxleyi was cultivated in steady state at four growth rates and the δ2H value of individual alkenones (C37:2, C37:3, C38:2, C38:3), fatty acids (C14:0, C16:0, C18:0), and 24-methyl cholest-5,22-dien-3β-ol (brassicasterol) were measured. 2H/1H fractionation increased in all lipids as growth rate increased by 24‰to 79‰(div d-1)1.We attribute this response to a proportional increase in the fraction of NADPH from Photosystem I (PS1) of photosynthesis relative to NADPH from the cytosolic oxidative pentose phosphate (OPP) pathway in the synthesis of lipids as growth rate increases. A 3-endmember model is presented in which lipid hydrogen comes from NADPH produced in PS1, NADPH produced by OPP, and intracellular water. With published values or best estimates of the fractionation factors for these sources (αPS1 = 0.4, αOPP = 0.75, and αH2O = 0) and half of the hydrogen in a lipid derived from water the model indicates αlipid = 0.79. This value is within the range measured for alkenones (αalkenone = 0.77 to 0.81) and fatty acids (αFA = 0.75 to 0.82) in the chemostat cultures, but is greater than the range for brassicasterol (αbrassicasterol = 0.68 to 0.72). The latter is attributed to a greater proportion of hydrogen from NADPH relative to water in isoprenoid lipids. The model successfully explains the increase in 2H/1H fractionation in the sterol 24-methyl-cholesta-5,24(28)-dien-3β-ol from marine centric diatom T. pseudonana chemostat cultures as growth rate increases. Insensitivity of αFA in those same cultures may be attributable to a larger fraction of hydrogen in fatty acids sourced from intracellular water at the expense of NADPH as growth rate increases. The high sensitivity of α to growth rate in E. huxleyi lipids and a T. pseudonana sterol implies that any change in growth rate larger than </w:instrText>
      </w:r>
      <w:r w:rsidR="006F4AA3" w:rsidRPr="009A2E44">
        <w:rPr>
          <w:rFonts w:ascii="Cambria Math" w:hAnsi="Cambria Math" w:cs="Cambria Math"/>
        </w:rPr>
        <w:instrText>∼</w:instrText>
      </w:r>
      <w:r w:rsidR="006F4AA3" w:rsidRPr="009A2E44">
        <w:rPr>
          <w:rFonts w:ascii="Garamond" w:hAnsi="Garamond"/>
        </w:rPr>
        <w:instrText>0.15 div d…","author":[{"dropping-particle":"","family":"Sachs","given":"Julian P","non-dropping-particle":"","parse-names":false,"suffix":""},{"dropping-particle":"","family":"Kawka","given":"Orest E","non-dropping-particle":"","parse-names":false,"suffix":""}],"container-title":"PLoS ONE","id":"ITEM-1","issue":"11","issued":{"date-parts":[["2015"]]},"page":"e0141643","title":"The influence of growth rate on 2H/1H fractionation in continuous cultures of the coccolithophorid &lt;i&gt;Emiliania huxleyi&lt;/i&gt; and the diatom &lt;i&gt;Thalassiosira pseudonana&lt;/i&gt;","type":"article-journal","volume":"10"},"uris":["http://www.mendeley.com/documents/?uuid=a1a78ce4-e952-4b24-bae8-c034f3253969"]},{"id":"ITEM-2","itemData":{"DOI":"10.1016/j.orggeochem.2008.11.002","ISSN":"01466380","author":[{"dropping-particle":"","family":"Zhang","given":"Zhaohui","non-dropping-particle":"","parse-names":false,"suffix":""},{"dropping-particle":"","family":"Sachs","given":"Julian P","non-dropping-particle":"","parse-names":false,"suffix":""},{"dropping-particle":"","family":"Marchetti","given":"Adrian","non-dropping-particle":"","parse-names":false,"suffix":""}],"container-title":"Organic Geochemistry","id":"ITEM-2","issued":{"date-parts":[["2009","3"]]},"page":"428-439","title":"Hydrogen isotope fractionation in freshwater and marine algae: II. Temperature and nitrogen limited growth rate effects","type":"article-journal","volume":"40"},"uris":["http://www.mendeley.com/documents/?uuid=344a1213-2092-4b83-9b6e-2e907a90fdde"]}],"mendeley":{"formattedCitation":"(Sachs and Kawka, 2015; Z. Zhang et al., 2009)","plainTextFormattedCitation":"(Sachs and Kawka, 2015; Z. Zhang et al., 2009)","previouslyFormattedCitation":"(Sachs and Kawka, 2015; Z. Zhang et al., 2009)"},"properties":{"noteIndex":0},"schema":"https://github.com/citation-style-language/schema/raw/master/csl-citation.json"}</w:instrText>
      </w:r>
      <w:r w:rsidRPr="009A2E44">
        <w:rPr>
          <w:rFonts w:ascii="Garamond" w:hAnsi="Garamond"/>
        </w:rPr>
        <w:fldChar w:fldCharType="separate"/>
      </w:r>
      <w:r w:rsidRPr="009A2E44">
        <w:rPr>
          <w:rFonts w:ascii="Garamond" w:hAnsi="Garamond"/>
          <w:noProof/>
        </w:rPr>
        <w:t>(Sachs and Kawka, 2015; Z. Zhang et al., 2009)</w:t>
      </w:r>
      <w:r w:rsidRPr="009A2E44">
        <w:rPr>
          <w:rFonts w:ascii="Garamond" w:hAnsi="Garamond"/>
        </w:rPr>
        <w:fldChar w:fldCharType="end"/>
      </w:r>
      <w:r w:rsidR="001D7CDC">
        <w:rPr>
          <w:rFonts w:ascii="Garamond" w:hAnsi="Garamond"/>
        </w:rPr>
        <w:t xml:space="preserve"> i</w:t>
      </w:r>
      <w:r w:rsidR="003502EF">
        <w:rPr>
          <w:rFonts w:ascii="Garamond" w:hAnsi="Garamond"/>
        </w:rPr>
        <w:t>f</w:t>
      </w:r>
      <w:r w:rsidR="001D7CDC">
        <w:rPr>
          <w:rFonts w:ascii="Garamond" w:hAnsi="Garamond"/>
        </w:rPr>
        <w:t xml:space="preserve"> </w:t>
      </w:r>
      <w:r w:rsidR="001D7CDC" w:rsidRPr="009A2E44">
        <w:rPr>
          <w:rFonts w:ascii="Garamond" w:hAnsi="Garamond"/>
        </w:rPr>
        <w:t>nutrient concentrations</w:t>
      </w:r>
      <w:r w:rsidR="001D7CDC">
        <w:rPr>
          <w:rFonts w:ascii="Garamond" w:hAnsi="Garamond"/>
        </w:rPr>
        <w:t xml:space="preserve"> were lower</w:t>
      </w:r>
      <w:r w:rsidR="00874AAD" w:rsidRPr="009A2E44">
        <w:rPr>
          <w:rFonts w:ascii="Garamond" w:hAnsi="Garamond"/>
        </w:rPr>
        <w:t>. B</w:t>
      </w:r>
      <w:r w:rsidR="00E8704B" w:rsidRPr="009A2E44">
        <w:rPr>
          <w:rFonts w:ascii="Garamond" w:hAnsi="Garamond"/>
        </w:rPr>
        <w:t>oth</w:t>
      </w:r>
      <w:r w:rsidR="006822FB" w:rsidRPr="009A2E44">
        <w:rPr>
          <w:rFonts w:ascii="Garamond" w:hAnsi="Garamond"/>
        </w:rPr>
        <w:t xml:space="preserve"> remain additional possible influences on </w:t>
      </w:r>
      <w:r w:rsidR="001F754D" w:rsidRPr="009A2E44">
        <w:rPr>
          <w:rFonts w:ascii="Garamond" w:hAnsi="Garamond"/>
        </w:rPr>
        <w:t>past higher</w:t>
      </w:r>
      <w:r w:rsidR="006822FB" w:rsidRPr="009A2E44">
        <w:rPr>
          <w:rFonts w:ascii="Garamond" w:hAnsi="Garamond"/>
        </w:rPr>
        <w:t xml:space="preserve"> </w:t>
      </w:r>
      <w:r w:rsidR="006822FB" w:rsidRPr="009A2E44">
        <w:rPr>
          <w:rFonts w:ascii="Garamond" w:hAnsi="Garamond"/>
        </w:rPr>
        <w:sym w:font="Symbol" w:char="F064"/>
      </w:r>
      <w:r w:rsidR="006822FB" w:rsidRPr="009A2E44">
        <w:rPr>
          <w:rFonts w:ascii="Garamond" w:hAnsi="Garamond"/>
          <w:vertAlign w:val="superscript"/>
        </w:rPr>
        <w:t>2</w:t>
      </w:r>
      <w:r w:rsidR="006822FB" w:rsidRPr="009A2E44">
        <w:rPr>
          <w:rFonts w:ascii="Garamond" w:hAnsi="Garamond"/>
        </w:rPr>
        <w:t>H</w:t>
      </w:r>
      <w:r w:rsidR="006822FB" w:rsidRPr="009A2E44">
        <w:rPr>
          <w:rFonts w:ascii="Garamond" w:hAnsi="Garamond"/>
          <w:vertAlign w:val="subscript"/>
        </w:rPr>
        <w:t>dinosterol</w:t>
      </w:r>
      <w:r w:rsidR="006822FB" w:rsidRPr="009A2E44">
        <w:rPr>
          <w:rFonts w:ascii="Garamond" w:hAnsi="Garamond"/>
        </w:rPr>
        <w:t xml:space="preserve"> values</w:t>
      </w:r>
      <w:r w:rsidR="00C8533F">
        <w:rPr>
          <w:rFonts w:ascii="Garamond" w:hAnsi="Garamond"/>
        </w:rPr>
        <w:t xml:space="preserve"> in </w:t>
      </w:r>
      <w:r w:rsidR="00C8533F" w:rsidRPr="009A2E44">
        <w:rPr>
          <w:rFonts w:ascii="Garamond" w:hAnsi="Garamond"/>
        </w:rPr>
        <w:t>Lac Lalolalo</w:t>
      </w:r>
      <w:r w:rsidR="006822FB" w:rsidRPr="009A2E44">
        <w:rPr>
          <w:rFonts w:ascii="Garamond" w:hAnsi="Garamond"/>
        </w:rPr>
        <w:t>.</w:t>
      </w:r>
    </w:p>
    <w:p w14:paraId="33609364" w14:textId="5E744D76" w:rsidR="005171A4" w:rsidRPr="009A2E44" w:rsidRDefault="005171A4" w:rsidP="001C47D3">
      <w:pPr>
        <w:spacing w:line="480" w:lineRule="auto"/>
        <w:ind w:firstLine="720"/>
        <w:rPr>
          <w:rFonts w:ascii="Garamond" w:hAnsi="Garamond"/>
          <w:i/>
          <w:iCs/>
        </w:rPr>
      </w:pPr>
      <w:r w:rsidRPr="009A2E44">
        <w:rPr>
          <w:rFonts w:ascii="Garamond" w:hAnsi="Garamond"/>
        </w:rPr>
        <w:t xml:space="preserve">A </w:t>
      </w:r>
      <w:r w:rsidR="003502EF">
        <w:rPr>
          <w:rFonts w:ascii="Garamond" w:hAnsi="Garamond"/>
        </w:rPr>
        <w:t>final</w:t>
      </w:r>
      <w:r w:rsidR="003502EF" w:rsidRPr="009A2E44">
        <w:rPr>
          <w:rFonts w:ascii="Garamond" w:hAnsi="Garamond"/>
        </w:rPr>
        <w:t xml:space="preserve"> </w:t>
      </w:r>
      <w:r w:rsidRPr="009A2E44">
        <w:rPr>
          <w:rFonts w:ascii="Garamond" w:hAnsi="Garamond"/>
        </w:rPr>
        <w:t>possible explanation for very</w:t>
      </w:r>
      <w:r w:rsidR="001F754D" w:rsidRPr="009A2E44">
        <w:rPr>
          <w:rFonts w:ascii="Garamond" w:hAnsi="Garamond"/>
        </w:rPr>
        <w:t xml:space="preserve"> high</w:t>
      </w:r>
      <w:r w:rsidRPr="009A2E44">
        <w:rPr>
          <w:rFonts w:ascii="Garamond" w:hAnsi="Garamond"/>
        </w:rPr>
        <w:t xml:space="preserve"> </w:t>
      </w:r>
      <w:r w:rsidR="001F754D" w:rsidRPr="009A2E44">
        <w:rPr>
          <w:rFonts w:ascii="Garamond" w:hAnsi="Garamond"/>
        </w:rPr>
        <w:sym w:font="Symbol" w:char="F064"/>
      </w:r>
      <w:r w:rsidR="001F754D" w:rsidRPr="009A2E44">
        <w:rPr>
          <w:rFonts w:ascii="Garamond" w:hAnsi="Garamond"/>
          <w:vertAlign w:val="superscript"/>
        </w:rPr>
        <w:t>2</w:t>
      </w:r>
      <w:r w:rsidR="001F754D" w:rsidRPr="009A2E44">
        <w:rPr>
          <w:rFonts w:ascii="Garamond" w:hAnsi="Garamond"/>
        </w:rPr>
        <w:t>H</w:t>
      </w:r>
      <w:r w:rsidR="001F754D" w:rsidRPr="009A2E44">
        <w:rPr>
          <w:rFonts w:ascii="Garamond" w:hAnsi="Garamond"/>
          <w:vertAlign w:val="subscript"/>
        </w:rPr>
        <w:t>dinosterol</w:t>
      </w:r>
      <w:r w:rsidR="00131B37" w:rsidRPr="009A2E44">
        <w:rPr>
          <w:rFonts w:ascii="Garamond" w:hAnsi="Garamond"/>
        </w:rPr>
        <w:t xml:space="preserve"> </w:t>
      </w:r>
      <w:r w:rsidRPr="009A2E44">
        <w:rPr>
          <w:rFonts w:ascii="Garamond" w:hAnsi="Garamond"/>
        </w:rPr>
        <w:t>values in Lac Lalolalo compare</w:t>
      </w:r>
      <w:r w:rsidR="00874AAD" w:rsidRPr="009A2E44">
        <w:rPr>
          <w:rFonts w:ascii="Garamond" w:hAnsi="Garamond"/>
        </w:rPr>
        <w:t>d</w:t>
      </w:r>
      <w:r w:rsidRPr="009A2E44">
        <w:rPr>
          <w:rFonts w:ascii="Garamond" w:hAnsi="Garamond"/>
        </w:rPr>
        <w:t xml:space="preserve"> to Lac Lanutavake is post depositional alterations </w:t>
      </w:r>
      <w:r w:rsidR="00874AAD" w:rsidRPr="009A2E44">
        <w:rPr>
          <w:rFonts w:ascii="Garamond" w:hAnsi="Garamond"/>
        </w:rPr>
        <w:t xml:space="preserve">of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00131B37" w:rsidRPr="009A2E44">
        <w:rPr>
          <w:rFonts w:ascii="Garamond" w:hAnsi="Garamond"/>
        </w:rPr>
        <w:t xml:space="preserve"> </w:t>
      </w:r>
      <w:r w:rsidR="00874AAD" w:rsidRPr="009A2E44">
        <w:rPr>
          <w:rFonts w:ascii="Garamond" w:hAnsi="Garamond"/>
        </w:rPr>
        <w:t>values</w:t>
      </w:r>
      <w:r w:rsidRPr="009A2E44">
        <w:rPr>
          <w:rFonts w:ascii="Garamond" w:hAnsi="Garamond"/>
        </w:rPr>
        <w:t xml:space="preserve">. </w:t>
      </w:r>
      <w:r w:rsidRPr="009A2E44">
        <w:rPr>
          <w:rFonts w:ascii="Garamond" w:hAnsi="Garamond"/>
        </w:rPr>
        <w:fldChar w:fldCharType="begin" w:fldLock="1"/>
      </w:r>
      <w:r w:rsidRPr="009A2E44">
        <w:rPr>
          <w:rFonts w:ascii="Garamond" w:hAnsi="Garamond"/>
        </w:rPr>
        <w:instrText>ADDIN CSL_CITATION {"citationItems":[{"id":"ITEM-1","itemData":{"DOI":"10.1016/j.orggeochem.2015.08.003","ISBN":"01466380","ISSN":"01466380","abstract":"In freshwater settings, dinosterol (4??,23,24-trimethyl-5??-cholest-22E-en-3??-ol) is produced primarily by dinoflagellates, which encompass various species including autotrophs, mixotrophs and heterotrophs. Due to its source specificity and occurrence in lake and marine sediments, its presence and hydrogen isotopic composition (??D) should be valuable proxies for paleohydrological reconstruction. However, because the purity required for hydrogen isotope measurements is difficult to achieve using standard wet chemical purification methods, their potential as a paleohydrological proxy is rarely exploited. In this study, we tested ??D values of dinosterol in both particulate organic matter (POM) and sediments of stratified tropical freshwater lakes (from Cameroon) as a paleohydrological proxy, the lakes being characterized by variable degrees of eutrophication. In POM and sediment samples, the ??D values of dinosterol correlated with lake water ??D values, confirming a first order influence of source water ??D values. However, we observed that sedimentary dinosterol was D enriched from ca. 19 to 54??? compared with POM dinosterol. The enrichment correlated with lake water column conditions, mainly the redox potential at the oxic-anoxic interface (Eh OAI). The observations suggest that paleohydrologic reconstruction from ??D values of dinosterol in the sediments of stratified tropical lakes ought to be sensitive to the depositional environment, in addition to lake water ??D values, with more positive dinosterol ??D values potentially reflecting increasing lake eutrophication. Furthermore, in lake sediments, the concentration of partially reduced vs. non-reduced C34 botryococcenes, stanols vs. stenols, and bacterial (diploptene, diplopterol and ????-bishomohopanol) vs. planktonic/terrestrial lipids (cholesterol, campesterol and dinosterol) correlated with Eh OAI. We suggest using such molecular proxies for lake redox conditions in combination with dinosterol ??D values to evaluate the effect of lake trophic status on sedimentary dinosterol ??D values, as a basis for accurately reconstructing tropical lake water ??D values.","author":[{"dropping-particle":"","family":"Schwab","given":"Valérie F","non-dropping-particle":"","parse-names":false,"suffix":""},{"dropping-particle":"","family":"Garcin","given":"Yannick","non-dropping-particle":"","parse-names":false,"suffix":""},{"dropping-particle":"","family":"Sachse","given":"Dirk","non-dropping-particle":"","parse-names":false,"suffix":""},{"dropping-particle":"","family":"Todou","given":"Gilbert","non-dropping-particle":"","parse-names":false,"suffix":""},{"dropping-particle":"","family":"Séné","given":"Olivier","non-dropping-particle":"","parse-names":false,"suffix":""},{"dropping-particle":"","family":"Onana","given":"Jean Michel","non-dropping-particle":"","parse-names":false,"suffix":""},{"dropping-particle":"","family":"Achoundong","given":"Gaston","non-dropping-particle":"","parse-names":false,"suffix":""},{"dropping-particle":"","family":"Gleixner","given":"Gerd","non-dropping-particle":"","parse-names":false,"suffix":""}],"container-title":"Organic Geochemistry","id":"ITEM-1","issued":{"date-parts":[["2015"]]},"page":"35-49","title":"Dinosterol δD values in stratified tropical lakes (Cameroon) are affected by eutrophication","type":"article-journal","volume":"88"},"uris":["http://www.mendeley.com/documents/?uuid=7c34fcb5-f6a6-4963-9c9c-d37219c67bec"]}],"mendeley":{"formattedCitation":"(Schwab et al., 2015)","manualFormatting":"Schwab et al. (2015)","plainTextFormattedCitation":"(Schwab et al., 2015)","previouslyFormattedCitation":"(Schwab et al., 2015)"},"properties":{"noteIndex":0},"schema":"https://github.com/citation-style-language/schema/raw/master/csl-citation.json"}</w:instrText>
      </w:r>
      <w:r w:rsidRPr="009A2E44">
        <w:rPr>
          <w:rFonts w:ascii="Garamond" w:hAnsi="Garamond"/>
        </w:rPr>
        <w:fldChar w:fldCharType="separate"/>
      </w:r>
      <w:r w:rsidRPr="009A2E44">
        <w:rPr>
          <w:rFonts w:ascii="Garamond" w:hAnsi="Garamond"/>
          <w:noProof/>
        </w:rPr>
        <w:t>Schwab et al. (2015)</w:t>
      </w:r>
      <w:r w:rsidRPr="009A2E44">
        <w:rPr>
          <w:rFonts w:ascii="Garamond" w:hAnsi="Garamond"/>
        </w:rPr>
        <w:fldChar w:fldCharType="end"/>
      </w:r>
      <w:r w:rsidRPr="009A2E44">
        <w:rPr>
          <w:rFonts w:ascii="Garamond" w:hAnsi="Garamond"/>
        </w:rPr>
        <w:t xml:space="preserve"> found </w:t>
      </w:r>
      <w:r w:rsidRPr="009A2E44">
        <w:rPr>
          <w:rFonts w:ascii="Garamond" w:hAnsi="Garamond"/>
          <w:vertAlign w:val="superscript"/>
        </w:rPr>
        <w:t>2</w:t>
      </w:r>
      <w:r w:rsidRPr="009A2E44">
        <w:rPr>
          <w:rFonts w:ascii="Garamond" w:hAnsi="Garamond"/>
        </w:rPr>
        <w:t xml:space="preserve">H-enrichement in sedimentary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values was correlated with higher eutrophication. Lac Lalolalo is phosphate-rich, nitrate-rich (except for the surface), and has a shallow Secchi depth – all indicating eutrophic or hypereutrophic conditions, so it is conceivable that post-depositional degradation alter</w:t>
      </w:r>
      <w:r w:rsidR="00874AAD" w:rsidRPr="009A2E44">
        <w:rPr>
          <w:rFonts w:ascii="Garamond" w:hAnsi="Garamond"/>
        </w:rPr>
        <w:t>ed</w:t>
      </w:r>
      <w:r w:rsidRPr="009A2E44">
        <w:rPr>
          <w:rFonts w:ascii="Garamond" w:hAnsi="Garamond"/>
        </w:rPr>
        <w:t xml:space="preserve">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values</w:t>
      </w:r>
      <w:r w:rsidR="00ED4450" w:rsidRPr="009A2E44">
        <w:rPr>
          <w:rFonts w:ascii="Garamond" w:hAnsi="Garamond"/>
        </w:rPr>
        <w:t xml:space="preserve"> in </w:t>
      </w:r>
      <w:r w:rsidRPr="009A2E44">
        <w:rPr>
          <w:rFonts w:ascii="Garamond" w:hAnsi="Garamond"/>
        </w:rPr>
        <w:t xml:space="preserve">these sediments. Since more recent sediments are in line with expected modern values, this process would only </w:t>
      </w:r>
      <w:r w:rsidR="00500930">
        <w:rPr>
          <w:rFonts w:ascii="Garamond" w:hAnsi="Garamond"/>
        </w:rPr>
        <w:t xml:space="preserve">be </w:t>
      </w:r>
      <w:r w:rsidRPr="009A2E44">
        <w:rPr>
          <w:rFonts w:ascii="Garamond" w:hAnsi="Garamond"/>
        </w:rPr>
        <w:t>applicable to the pre-modern sediments. Regardless of the mechanism(s) for</w:t>
      </w:r>
      <w:r w:rsidR="00871BD1" w:rsidRPr="009A2E44">
        <w:rPr>
          <w:rFonts w:ascii="Garamond" w:hAnsi="Garamond"/>
        </w:rPr>
        <w:t xml:space="preserve"> past</w:t>
      </w:r>
      <w:r w:rsidRPr="009A2E44">
        <w:rPr>
          <w:rFonts w:ascii="Garamond" w:hAnsi="Garamond"/>
        </w:rPr>
        <w:t xml:space="preserve"> </w:t>
      </w:r>
      <w:r w:rsidR="00500930">
        <w:rPr>
          <w:rFonts w:ascii="Garamond" w:hAnsi="Garamond"/>
        </w:rPr>
        <w:t xml:space="preserve">high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values</w:t>
      </w:r>
      <w:r w:rsidR="00500930" w:rsidRPr="00500930">
        <w:rPr>
          <w:rFonts w:ascii="Garamond" w:hAnsi="Garamond"/>
        </w:rPr>
        <w:t xml:space="preserve"> </w:t>
      </w:r>
      <w:r w:rsidR="00500930" w:rsidRPr="009A2E44">
        <w:rPr>
          <w:rFonts w:ascii="Garamond" w:hAnsi="Garamond"/>
        </w:rPr>
        <w:t>in Lac Lalolalo</w:t>
      </w:r>
      <w:r w:rsidRPr="009A2E44">
        <w:rPr>
          <w:rFonts w:ascii="Garamond" w:hAnsi="Garamond"/>
        </w:rPr>
        <w:t>, the clear differences between Lac Lalolalo and Lac Lanutavake</w:t>
      </w:r>
      <w:r w:rsidR="00ED4450" w:rsidRPr="009A2E44">
        <w:rPr>
          <w:rFonts w:ascii="Garamond" w:hAnsi="Garamond"/>
        </w:rPr>
        <w:t xml:space="preserve"> </w:t>
      </w:r>
      <w:r w:rsidR="00F2694D">
        <w:rPr>
          <w:rFonts w:ascii="Garamond" w:hAnsi="Garamond"/>
        </w:rPr>
        <w:t xml:space="preserve">imply that one (or </w:t>
      </w:r>
      <w:r w:rsidR="00F2694D">
        <w:rPr>
          <w:rFonts w:ascii="Garamond" w:hAnsi="Garamond"/>
        </w:rPr>
        <w:lastRenderedPageBreak/>
        <w:t xml:space="preserve">both) of the records cannot be used to make interpretations about past precipitation </w:t>
      </w:r>
      <w:proofErr w:type="gramStart"/>
      <w:r w:rsidR="00F2694D">
        <w:rPr>
          <w:rFonts w:ascii="Garamond" w:hAnsi="Garamond"/>
        </w:rPr>
        <w:t xml:space="preserve">variability, </w:t>
      </w:r>
      <w:r w:rsidR="00ED4450" w:rsidRPr="009A2E44">
        <w:rPr>
          <w:rFonts w:ascii="Garamond" w:hAnsi="Garamond"/>
        </w:rPr>
        <w:t>and</w:t>
      </w:r>
      <w:proofErr w:type="gramEnd"/>
      <w:r w:rsidR="00ED4450" w:rsidRPr="009A2E44">
        <w:rPr>
          <w:rFonts w:ascii="Garamond" w:hAnsi="Garamond"/>
        </w:rPr>
        <w:t xml:space="preserve"> </w:t>
      </w:r>
      <w:r w:rsidR="00FE74D5" w:rsidRPr="009A2E44">
        <w:rPr>
          <w:rFonts w:ascii="Garamond" w:hAnsi="Garamond"/>
        </w:rPr>
        <w:t>highlight the importance of targeting</w:t>
      </w:r>
      <w:r w:rsidR="00ED4450" w:rsidRPr="009A2E44">
        <w:rPr>
          <w:rFonts w:ascii="Garamond" w:hAnsi="Garamond"/>
        </w:rPr>
        <w:t xml:space="preserve"> replicate sites to ensure proper interpretation of </w:t>
      </w:r>
      <w:proofErr w:type="spellStart"/>
      <w:r w:rsidR="00ED4450" w:rsidRPr="009A2E44">
        <w:rPr>
          <w:rFonts w:ascii="Garamond" w:hAnsi="Garamond"/>
        </w:rPr>
        <w:t>pale</w:t>
      </w:r>
      <w:r w:rsidR="00874AAD" w:rsidRPr="009A2E44">
        <w:rPr>
          <w:rFonts w:ascii="Garamond" w:hAnsi="Garamond"/>
        </w:rPr>
        <w:t>ohydro</w:t>
      </w:r>
      <w:r w:rsidR="006655BE">
        <w:rPr>
          <w:rFonts w:ascii="Garamond" w:hAnsi="Garamond"/>
        </w:rPr>
        <w:t>c</w:t>
      </w:r>
      <w:r w:rsidR="00874AAD" w:rsidRPr="009A2E44">
        <w:rPr>
          <w:rFonts w:ascii="Garamond" w:hAnsi="Garamond"/>
        </w:rPr>
        <w:t>limate</w:t>
      </w:r>
      <w:proofErr w:type="spellEnd"/>
      <w:r w:rsidR="00ED4450" w:rsidRPr="009A2E44">
        <w:rPr>
          <w:rFonts w:ascii="Garamond" w:hAnsi="Garamond"/>
        </w:rPr>
        <w:t xml:space="preserve">. </w:t>
      </w:r>
      <w:proofErr w:type="gramStart"/>
      <w:r w:rsidR="00240F40">
        <w:rPr>
          <w:rFonts w:ascii="Garamond" w:hAnsi="Garamond"/>
        </w:rPr>
        <w:t>Therefore</w:t>
      </w:r>
      <w:proofErr w:type="gramEnd"/>
      <w:r w:rsidR="00240F40">
        <w:rPr>
          <w:rFonts w:ascii="Garamond" w:hAnsi="Garamond"/>
        </w:rPr>
        <w:t xml:space="preserve"> precipitation rates calculated from Lac </w:t>
      </w:r>
      <w:proofErr w:type="spellStart"/>
      <w:r w:rsidR="00240F40">
        <w:rPr>
          <w:rFonts w:ascii="Garamond" w:hAnsi="Garamond"/>
        </w:rPr>
        <w:t>Lalolalo</w:t>
      </w:r>
      <w:proofErr w:type="spellEnd"/>
      <w:r w:rsidR="00240F40">
        <w:rPr>
          <w:rFonts w:ascii="Garamond" w:hAnsi="Garamond"/>
        </w:rPr>
        <w:t xml:space="preserve"> </w:t>
      </w:r>
      <w:r w:rsidR="00240F40" w:rsidRPr="009A2E44">
        <w:rPr>
          <w:rFonts w:ascii="Garamond" w:hAnsi="Garamond"/>
        </w:rPr>
        <w:sym w:font="Symbol" w:char="F064"/>
      </w:r>
      <w:r w:rsidR="00240F40" w:rsidRPr="009A2E44">
        <w:rPr>
          <w:rFonts w:ascii="Garamond" w:hAnsi="Garamond"/>
          <w:vertAlign w:val="superscript"/>
        </w:rPr>
        <w:t>2</w:t>
      </w:r>
      <w:r w:rsidR="00240F40" w:rsidRPr="009A2E44">
        <w:rPr>
          <w:rFonts w:ascii="Garamond" w:hAnsi="Garamond"/>
        </w:rPr>
        <w:t>H</w:t>
      </w:r>
      <w:r w:rsidR="00240F40" w:rsidRPr="009A2E44">
        <w:rPr>
          <w:rFonts w:ascii="Garamond" w:hAnsi="Garamond"/>
          <w:vertAlign w:val="subscript"/>
        </w:rPr>
        <w:t>dinosterol</w:t>
      </w:r>
      <w:r w:rsidR="00240F40" w:rsidRPr="009A2E44">
        <w:rPr>
          <w:rFonts w:ascii="Garamond" w:hAnsi="Garamond"/>
        </w:rPr>
        <w:t xml:space="preserve"> values </w:t>
      </w:r>
      <w:r w:rsidR="00240F40">
        <w:rPr>
          <w:rFonts w:ascii="Garamond" w:hAnsi="Garamond"/>
        </w:rPr>
        <w:t>prior to ~1950 are not reported (</w:t>
      </w:r>
      <w:r w:rsidR="00240F40" w:rsidRPr="00240F40">
        <w:rPr>
          <w:rFonts w:ascii="Garamond" w:hAnsi="Garamond"/>
          <w:b/>
          <w:bCs/>
        </w:rPr>
        <w:t>Tables B.5 to B.8</w:t>
      </w:r>
      <w:r w:rsidR="00240F40">
        <w:rPr>
          <w:rFonts w:ascii="Garamond" w:hAnsi="Garamond"/>
        </w:rPr>
        <w:t>).</w:t>
      </w:r>
    </w:p>
    <w:p w14:paraId="37FF655D" w14:textId="77777777" w:rsidR="006F5FA3" w:rsidRPr="009A2E44" w:rsidRDefault="006F5FA3" w:rsidP="001C47D3">
      <w:pPr>
        <w:spacing w:line="480" w:lineRule="auto"/>
        <w:rPr>
          <w:rFonts w:ascii="Garamond" w:hAnsi="Garamond"/>
          <w:i/>
        </w:rPr>
      </w:pPr>
    </w:p>
    <w:p w14:paraId="7228E8DA" w14:textId="3EF36EF3" w:rsidR="005171A4" w:rsidRPr="009A2E44" w:rsidRDefault="006F5FA3" w:rsidP="001C47D3">
      <w:pPr>
        <w:spacing w:line="480" w:lineRule="auto"/>
        <w:rPr>
          <w:rFonts w:ascii="Garamond" w:hAnsi="Garamond"/>
        </w:rPr>
      </w:pPr>
      <w:r w:rsidRPr="009A2E44">
        <w:rPr>
          <w:rFonts w:ascii="Garamond" w:hAnsi="Garamond"/>
          <w:i/>
        </w:rPr>
        <w:t xml:space="preserve">5.2. </w:t>
      </w:r>
      <w:r w:rsidR="006E514B">
        <w:rPr>
          <w:rFonts w:ascii="Garamond" w:hAnsi="Garamond"/>
          <w:i/>
        </w:rPr>
        <w:t>Hydroclimate from</w:t>
      </w:r>
      <w:r w:rsidRPr="009A2E44">
        <w:rPr>
          <w:rFonts w:ascii="Garamond" w:hAnsi="Garamond"/>
          <w:i/>
        </w:rPr>
        <w:t xml:space="preserve"> </w:t>
      </w:r>
      <w:r w:rsidRPr="009A2E44">
        <w:rPr>
          <w:rFonts w:ascii="Garamond" w:hAnsi="Garamond"/>
          <w:i/>
          <w:iCs/>
          <w:color w:val="000000"/>
          <w:shd w:val="clear" w:color="auto" w:fill="FFFFFF"/>
        </w:rPr>
        <w:t>Lac Lanutavake</w:t>
      </w:r>
      <w:r w:rsidR="006E514B">
        <w:rPr>
          <w:rFonts w:ascii="Garamond" w:hAnsi="Garamond"/>
          <w:i/>
          <w:iCs/>
          <w:color w:val="000000"/>
          <w:shd w:val="clear" w:color="auto" w:fill="FFFFFF"/>
        </w:rPr>
        <w:t xml:space="preserve"> (‘Uvea, Wallis), Lake Lanoto’o (‘Upolu, Samoa), and Lake Emaotul (Efate, Vanuatu)</w:t>
      </w:r>
    </w:p>
    <w:p w14:paraId="470E0C4C" w14:textId="7BE0FFA2" w:rsidR="006F5FA3" w:rsidRPr="009A2E44" w:rsidRDefault="00FD7FD6" w:rsidP="001C47D3">
      <w:pPr>
        <w:spacing w:line="480" w:lineRule="auto"/>
        <w:ind w:firstLine="720"/>
        <w:rPr>
          <w:rFonts w:ascii="Garamond" w:hAnsi="Garamond"/>
          <w:color w:val="000000"/>
          <w:shd w:val="clear" w:color="auto" w:fill="FFFFFF"/>
        </w:rPr>
      </w:pPr>
      <w:r>
        <w:rPr>
          <w:rFonts w:ascii="Garamond" w:hAnsi="Garamond"/>
          <w:color w:val="000000"/>
          <w:shd w:val="clear" w:color="auto" w:fill="FFFFFF"/>
        </w:rPr>
        <w:t xml:space="preserve">Given the large differences between neighboring lakes on ‘Uvea, and the conclusion that Lac Lalolalo is not reliably recording past precipitation rates, this section </w:t>
      </w:r>
      <w:r w:rsidR="00F27DC2">
        <w:rPr>
          <w:rFonts w:ascii="Garamond" w:hAnsi="Garamond"/>
          <w:color w:val="000000"/>
          <w:shd w:val="clear" w:color="auto" w:fill="FFFFFF"/>
        </w:rPr>
        <w:t>considers additional proxies and overlapping instrumental data to establish if Lac Lanutavake</w:t>
      </w:r>
      <w:r w:rsidR="00FD6679">
        <w:rPr>
          <w:rFonts w:ascii="Garamond" w:hAnsi="Garamond"/>
          <w:color w:val="000000"/>
          <w:shd w:val="clear" w:color="auto" w:fill="FFFFFF"/>
        </w:rPr>
        <w:t>’s sediment records</w:t>
      </w:r>
      <w:r w:rsidR="00F27DC2">
        <w:rPr>
          <w:rFonts w:ascii="Garamond" w:hAnsi="Garamond"/>
          <w:color w:val="000000"/>
          <w:shd w:val="clear" w:color="auto" w:fill="FFFFFF"/>
        </w:rPr>
        <w:t xml:space="preserve"> can be considered a robust recorder of precipitation. </w:t>
      </w:r>
      <w:r w:rsidR="009E6815" w:rsidRPr="009A2E44">
        <w:rPr>
          <w:rFonts w:ascii="Garamond" w:hAnsi="Garamond"/>
          <w:color w:val="000000"/>
          <w:shd w:val="clear" w:color="auto" w:fill="FFFFFF"/>
        </w:rPr>
        <w:t xml:space="preserve">Lac Lanutavake </w:t>
      </w:r>
      <w:r w:rsidR="006F5FA3" w:rsidRPr="009A2E44">
        <w:rPr>
          <w:rFonts w:ascii="Garamond" w:hAnsi="Garamond"/>
        </w:rPr>
        <w:sym w:font="Symbol" w:char="F064"/>
      </w:r>
      <w:r w:rsidR="006F5FA3" w:rsidRPr="009A2E44">
        <w:rPr>
          <w:rFonts w:ascii="Garamond" w:hAnsi="Garamond"/>
          <w:vertAlign w:val="superscript"/>
        </w:rPr>
        <w:t>2</w:t>
      </w:r>
      <w:r w:rsidR="006F5FA3" w:rsidRPr="009A2E44">
        <w:rPr>
          <w:rFonts w:ascii="Garamond" w:hAnsi="Garamond"/>
        </w:rPr>
        <w:t>H</w:t>
      </w:r>
      <w:r w:rsidR="006F5FA3" w:rsidRPr="009A2E44">
        <w:rPr>
          <w:rFonts w:ascii="Garamond" w:hAnsi="Garamond"/>
          <w:vertAlign w:val="subscript"/>
        </w:rPr>
        <w:t>dinosterol</w:t>
      </w:r>
      <w:r w:rsidR="006F5FA3" w:rsidRPr="009A2E44">
        <w:rPr>
          <w:rFonts w:ascii="Garamond" w:hAnsi="Garamond"/>
        </w:rPr>
        <w:t xml:space="preserve"> </w:t>
      </w:r>
      <w:r w:rsidR="00874AAD" w:rsidRPr="009A2E44">
        <w:rPr>
          <w:rFonts w:ascii="Garamond" w:hAnsi="Garamond"/>
          <w:color w:val="000000"/>
          <w:shd w:val="clear" w:color="auto" w:fill="FFFFFF"/>
        </w:rPr>
        <w:t>and</w:t>
      </w:r>
      <w:r w:rsidR="00874AAD" w:rsidRPr="009A2E44">
        <w:rPr>
          <w:rFonts w:ascii="Garamond" w:hAnsi="Garamond"/>
        </w:rPr>
        <w:t xml:space="preserve"> </w:t>
      </w:r>
      <w:r w:rsidR="00F076AC" w:rsidRPr="009A2E44">
        <w:rPr>
          <w:rFonts w:ascii="Garamond" w:hAnsi="Garamond"/>
        </w:rPr>
        <w:t>magnetic susceptibility</w:t>
      </w:r>
      <w:r w:rsidR="006F5FA3" w:rsidRPr="009A2E44">
        <w:rPr>
          <w:rFonts w:ascii="Garamond" w:hAnsi="Garamond"/>
        </w:rPr>
        <w:t xml:space="preserve"> records </w:t>
      </w:r>
      <w:r w:rsidR="006E514B">
        <w:rPr>
          <w:rFonts w:ascii="Garamond" w:hAnsi="Garamond"/>
        </w:rPr>
        <w:t>together with</w:t>
      </w:r>
      <w:r w:rsidR="003A537A" w:rsidRPr="009A2E44">
        <w:rPr>
          <w:rFonts w:ascii="Garamond" w:hAnsi="Garamond"/>
        </w:rPr>
        <w:t xml:space="preserve"> </w:t>
      </w:r>
      <w:r w:rsidR="006F5FA3" w:rsidRPr="009A2E44">
        <w:rPr>
          <w:rFonts w:ascii="Garamond" w:hAnsi="Garamond"/>
        </w:rPr>
        <w:sym w:font="Symbol" w:char="F064"/>
      </w:r>
      <w:r w:rsidR="006F5FA3" w:rsidRPr="009A2E44">
        <w:rPr>
          <w:rFonts w:ascii="Garamond" w:hAnsi="Garamond"/>
          <w:vertAlign w:val="superscript"/>
        </w:rPr>
        <w:t>2</w:t>
      </w:r>
      <w:r w:rsidR="006F5FA3" w:rsidRPr="009A2E44">
        <w:rPr>
          <w:rFonts w:ascii="Garamond" w:hAnsi="Garamond"/>
        </w:rPr>
        <w:t>H</w:t>
      </w:r>
      <w:r w:rsidR="006F5FA3" w:rsidRPr="009A2E44">
        <w:rPr>
          <w:rFonts w:ascii="Garamond" w:hAnsi="Garamond"/>
          <w:vertAlign w:val="subscript"/>
        </w:rPr>
        <w:t>dinosterol</w:t>
      </w:r>
      <w:r w:rsidR="006F5FA3" w:rsidRPr="009A2E44">
        <w:rPr>
          <w:rFonts w:ascii="Garamond" w:hAnsi="Garamond"/>
        </w:rPr>
        <w:t xml:space="preserve"> and </w:t>
      </w:r>
      <w:r w:rsidR="00781148" w:rsidRPr="009A2E44">
        <w:rPr>
          <w:rFonts w:ascii="Garamond" w:hAnsi="Garamond"/>
        </w:rPr>
        <w:t>runoff</w:t>
      </w:r>
      <w:r w:rsidR="006F5FA3" w:rsidRPr="009A2E44">
        <w:rPr>
          <w:rFonts w:ascii="Garamond" w:hAnsi="Garamond"/>
        </w:rPr>
        <w:t xml:space="preserve"> records from Lake Lanoto’o (Samoa) and Lake Emaotul (Vanuatu)</w:t>
      </w:r>
      <w:r w:rsidR="00DF6360" w:rsidRPr="009A2E44">
        <w:rPr>
          <w:rFonts w:ascii="Garamond" w:hAnsi="Garamond"/>
        </w:rPr>
        <w:t xml:space="preserve"> </w:t>
      </w:r>
      <w:r w:rsidR="00C666F0">
        <w:rPr>
          <w:rFonts w:ascii="Garamond" w:hAnsi="Garamond"/>
        </w:rPr>
        <w:t xml:space="preserve">provide </w:t>
      </w:r>
      <w:r w:rsidR="003A537A">
        <w:rPr>
          <w:rFonts w:ascii="Garamond" w:hAnsi="Garamond"/>
        </w:rPr>
        <w:t>support</w:t>
      </w:r>
      <w:r w:rsidR="00871BD1" w:rsidRPr="009A2E44">
        <w:rPr>
          <w:rFonts w:ascii="Garamond" w:hAnsi="Garamond"/>
        </w:rPr>
        <w:t xml:space="preserve"> </w:t>
      </w:r>
      <w:r w:rsidR="00C666F0">
        <w:rPr>
          <w:rFonts w:ascii="Garamond" w:hAnsi="Garamond"/>
        </w:rPr>
        <w:t xml:space="preserve">for </w:t>
      </w:r>
      <w:r w:rsidR="00871BD1" w:rsidRPr="009A2E44">
        <w:rPr>
          <w:rFonts w:ascii="Garamond" w:hAnsi="Garamond"/>
        </w:rPr>
        <w:t xml:space="preserve">the construction of </w:t>
      </w:r>
      <w:r w:rsidR="00DF6360" w:rsidRPr="009A2E44">
        <w:rPr>
          <w:rFonts w:ascii="Garamond" w:hAnsi="Garamond"/>
        </w:rPr>
        <w:t>regional precipitation histories for the SPCZ</w:t>
      </w:r>
      <w:r w:rsidR="009E6815" w:rsidRPr="009A2E44">
        <w:rPr>
          <w:rFonts w:ascii="Garamond" w:hAnsi="Garamond"/>
        </w:rPr>
        <w:t>. We</w:t>
      </w:r>
      <w:r w:rsidR="00494660" w:rsidRPr="009A2E44">
        <w:rPr>
          <w:rFonts w:ascii="Garamond" w:hAnsi="Garamond"/>
        </w:rPr>
        <w:t xml:space="preserve"> </w:t>
      </w:r>
      <w:r w:rsidR="006E514B">
        <w:rPr>
          <w:rFonts w:ascii="Garamond" w:hAnsi="Garamond"/>
          <w:color w:val="000000"/>
          <w:shd w:val="clear" w:color="auto" w:fill="FFFFFF"/>
        </w:rPr>
        <w:t>propose</w:t>
      </w:r>
      <w:r w:rsidR="006E514B" w:rsidRPr="009A2E44">
        <w:rPr>
          <w:rFonts w:ascii="Garamond" w:hAnsi="Garamond"/>
          <w:color w:val="000000"/>
          <w:shd w:val="clear" w:color="auto" w:fill="FFFFFF"/>
        </w:rPr>
        <w:t xml:space="preserve"> </w:t>
      </w:r>
      <w:r w:rsidR="00560182" w:rsidRPr="009A2E44">
        <w:rPr>
          <w:rFonts w:ascii="Garamond" w:hAnsi="Garamond"/>
          <w:color w:val="000000"/>
          <w:shd w:val="clear" w:color="auto" w:fill="FFFFFF"/>
        </w:rPr>
        <w:t>that</w:t>
      </w:r>
      <w:r w:rsidR="00494660" w:rsidRPr="009A2E44">
        <w:rPr>
          <w:rFonts w:ascii="Garamond" w:hAnsi="Garamond"/>
          <w:color w:val="000000"/>
          <w:shd w:val="clear" w:color="auto" w:fill="FFFFFF"/>
        </w:rPr>
        <w:t xml:space="preserve"> </w:t>
      </w:r>
      <w:r w:rsidR="006544D6" w:rsidRPr="009A2E44">
        <w:rPr>
          <w:rFonts w:ascii="Garamond" w:hAnsi="Garamond"/>
        </w:rPr>
        <w:sym w:font="Symbol" w:char="F064"/>
      </w:r>
      <w:r w:rsidR="006544D6" w:rsidRPr="009A2E44">
        <w:rPr>
          <w:rFonts w:ascii="Garamond" w:hAnsi="Garamond"/>
          <w:vertAlign w:val="superscript"/>
        </w:rPr>
        <w:t>2</w:t>
      </w:r>
      <w:r w:rsidR="006544D6" w:rsidRPr="009A2E44">
        <w:rPr>
          <w:rFonts w:ascii="Garamond" w:hAnsi="Garamond"/>
        </w:rPr>
        <w:t>H</w:t>
      </w:r>
      <w:r w:rsidR="006544D6" w:rsidRPr="009A2E44">
        <w:rPr>
          <w:rFonts w:ascii="Garamond" w:hAnsi="Garamond"/>
          <w:vertAlign w:val="subscript"/>
        </w:rPr>
        <w:t>dinosterol</w:t>
      </w:r>
      <w:r w:rsidR="006544D6" w:rsidRPr="009A2E44">
        <w:rPr>
          <w:rFonts w:ascii="Garamond" w:hAnsi="Garamond"/>
        </w:rPr>
        <w:t xml:space="preserve"> </w:t>
      </w:r>
      <w:r w:rsidR="00480C81" w:rsidRPr="009A2E44">
        <w:rPr>
          <w:rFonts w:ascii="Garamond" w:hAnsi="Garamond"/>
        </w:rPr>
        <w:t>values</w:t>
      </w:r>
      <w:r w:rsidR="006544D6" w:rsidRPr="009A2E44">
        <w:rPr>
          <w:rFonts w:ascii="Garamond" w:hAnsi="Garamond"/>
        </w:rPr>
        <w:t xml:space="preserve"> </w:t>
      </w:r>
      <w:r w:rsidR="009E6815" w:rsidRPr="009A2E44">
        <w:rPr>
          <w:rFonts w:ascii="Garamond" w:hAnsi="Garamond"/>
        </w:rPr>
        <w:t xml:space="preserve">at all three sites </w:t>
      </w:r>
      <w:r w:rsidR="00480C81" w:rsidRPr="009A2E44">
        <w:rPr>
          <w:rFonts w:ascii="Garamond" w:hAnsi="Garamond"/>
        </w:rPr>
        <w:t xml:space="preserve">track </w:t>
      </w:r>
      <w:r w:rsidR="00480C81" w:rsidRPr="009A2E44">
        <w:rPr>
          <w:rFonts w:ascii="Garamond" w:hAnsi="Garamond"/>
        </w:rPr>
        <w:sym w:font="Symbol" w:char="F064"/>
      </w:r>
      <w:r w:rsidR="00480C81" w:rsidRPr="009A2E44">
        <w:rPr>
          <w:rFonts w:ascii="Garamond" w:hAnsi="Garamond"/>
          <w:vertAlign w:val="superscript"/>
        </w:rPr>
        <w:t>2</w:t>
      </w:r>
      <w:r w:rsidR="00480C81" w:rsidRPr="009A2E44">
        <w:rPr>
          <w:rFonts w:ascii="Garamond" w:hAnsi="Garamond"/>
        </w:rPr>
        <w:t>H</w:t>
      </w:r>
      <w:r w:rsidR="00480C81" w:rsidRPr="009A2E44">
        <w:rPr>
          <w:rFonts w:ascii="Garamond" w:hAnsi="Garamond"/>
          <w:vertAlign w:val="subscript"/>
        </w:rPr>
        <w:t>lakewater</w:t>
      </w:r>
      <w:r w:rsidR="00480C81" w:rsidRPr="009A2E44">
        <w:rPr>
          <w:rFonts w:ascii="Garamond" w:hAnsi="Garamond"/>
        </w:rPr>
        <w:t xml:space="preserve"> values </w:t>
      </w:r>
      <w:r w:rsidR="00EC59A8" w:rsidRPr="009A2E44">
        <w:rPr>
          <w:rFonts w:ascii="Garamond" w:hAnsi="Garamond"/>
        </w:rPr>
        <w:t xml:space="preserve">controlled by </w:t>
      </w:r>
      <w:r w:rsidR="00910A63" w:rsidRPr="009A2E44">
        <w:rPr>
          <w:rFonts w:ascii="Garamond" w:hAnsi="Garamond"/>
        </w:rPr>
        <w:t xml:space="preserve">hydroclimate </w:t>
      </w:r>
      <w:r w:rsidR="007A1BCD">
        <w:rPr>
          <w:rFonts w:ascii="Garamond" w:hAnsi="Garamond"/>
        </w:rPr>
        <w:t>and</w:t>
      </w:r>
      <w:r w:rsidR="00EC59A8" w:rsidRPr="009A2E44">
        <w:rPr>
          <w:rFonts w:ascii="Garamond" w:hAnsi="Garamond"/>
        </w:rPr>
        <w:t xml:space="preserve"> </w:t>
      </w:r>
      <w:r w:rsidR="003A537A" w:rsidRPr="009A2E44">
        <w:rPr>
          <w:rFonts w:ascii="Garamond" w:hAnsi="Garamond"/>
        </w:rPr>
        <w:sym w:font="Symbol" w:char="F064"/>
      </w:r>
      <w:r w:rsidR="003A537A" w:rsidRPr="009A2E44">
        <w:rPr>
          <w:rFonts w:ascii="Garamond" w:hAnsi="Garamond"/>
          <w:vertAlign w:val="superscript"/>
        </w:rPr>
        <w:t>2</w:t>
      </w:r>
      <w:r w:rsidR="003A537A" w:rsidRPr="009A2E44">
        <w:rPr>
          <w:rFonts w:ascii="Garamond" w:hAnsi="Garamond"/>
        </w:rPr>
        <w:t>H</w:t>
      </w:r>
      <w:r w:rsidR="003A537A" w:rsidRPr="009A2E44">
        <w:rPr>
          <w:rFonts w:ascii="Garamond" w:hAnsi="Garamond"/>
          <w:vertAlign w:val="subscript"/>
        </w:rPr>
        <w:t>dinosterol</w:t>
      </w:r>
      <w:r w:rsidR="003A537A" w:rsidRPr="009A2E44">
        <w:rPr>
          <w:rFonts w:ascii="Garamond" w:hAnsi="Garamond"/>
        </w:rPr>
        <w:t xml:space="preserve"> values </w:t>
      </w:r>
      <w:r w:rsidR="00480C81" w:rsidRPr="009A2E44">
        <w:rPr>
          <w:rFonts w:ascii="Garamond" w:hAnsi="Garamond"/>
        </w:rPr>
        <w:t>provide estimates of</w:t>
      </w:r>
      <w:r w:rsidR="006544D6" w:rsidRPr="009A2E44">
        <w:rPr>
          <w:rFonts w:ascii="Garamond" w:hAnsi="Garamond"/>
        </w:rPr>
        <w:t xml:space="preserve"> </w:t>
      </w:r>
      <w:r w:rsidR="00480C81" w:rsidRPr="009A2E44">
        <w:rPr>
          <w:rFonts w:ascii="Garamond" w:hAnsi="Garamond"/>
        </w:rPr>
        <w:t xml:space="preserve">GPCP-like </w:t>
      </w:r>
      <w:r w:rsidR="00494660" w:rsidRPr="009A2E44">
        <w:rPr>
          <w:rFonts w:ascii="Garamond" w:hAnsi="Garamond"/>
          <w:color w:val="000000"/>
          <w:shd w:val="clear" w:color="auto" w:fill="FFFFFF"/>
        </w:rPr>
        <w:t>precipitation rate</w:t>
      </w:r>
      <w:r w:rsidR="00560182" w:rsidRPr="009A2E44">
        <w:rPr>
          <w:rFonts w:ascii="Garamond" w:hAnsi="Garamond"/>
          <w:color w:val="000000"/>
          <w:shd w:val="clear" w:color="auto" w:fill="FFFFFF"/>
        </w:rPr>
        <w:t>s</w:t>
      </w:r>
      <w:r w:rsidR="00494660" w:rsidRPr="009A2E44">
        <w:rPr>
          <w:rFonts w:ascii="Garamond" w:hAnsi="Garamond"/>
          <w:color w:val="000000"/>
          <w:shd w:val="clear" w:color="auto" w:fill="FFFFFF"/>
        </w:rPr>
        <w:t xml:space="preserve"> </w:t>
      </w:r>
      <w:r w:rsidR="003A537A">
        <w:rPr>
          <w:rFonts w:ascii="Garamond" w:hAnsi="Garamond"/>
          <w:color w:val="000000"/>
          <w:shd w:val="clear" w:color="auto" w:fill="FFFFFF"/>
        </w:rPr>
        <w:t>through the application of</w:t>
      </w:r>
      <w:r w:rsidR="00910A63" w:rsidRPr="009A2E44">
        <w:rPr>
          <w:rFonts w:ascii="Garamond" w:hAnsi="Garamond"/>
          <w:color w:val="000000"/>
          <w:shd w:val="clear" w:color="auto" w:fill="FFFFFF"/>
        </w:rPr>
        <w:t xml:space="preserve"> </w:t>
      </w:r>
      <w:r w:rsidR="00480C81" w:rsidRPr="009A2E44">
        <w:rPr>
          <w:rFonts w:ascii="Garamond" w:hAnsi="Garamond"/>
          <w:color w:val="000000"/>
          <w:shd w:val="clear" w:color="auto" w:fill="FFFFFF"/>
        </w:rPr>
        <w:t xml:space="preserve">a </w:t>
      </w:r>
      <w:r w:rsidR="00910A63" w:rsidRPr="009A2E44">
        <w:rPr>
          <w:rFonts w:ascii="Garamond" w:hAnsi="Garamond"/>
          <w:color w:val="000000"/>
          <w:shd w:val="clear" w:color="auto" w:fill="FFFFFF"/>
        </w:rPr>
        <w:t xml:space="preserve">regional </w:t>
      </w:r>
      <w:r w:rsidR="00480C81" w:rsidRPr="009A2E44">
        <w:rPr>
          <w:rFonts w:ascii="Garamond" w:hAnsi="Garamond"/>
          <w:color w:val="000000"/>
          <w:shd w:val="clear" w:color="auto" w:fill="FFFFFF"/>
        </w:rPr>
        <w:t>core</w:t>
      </w:r>
      <w:r w:rsidR="004F38E7" w:rsidRPr="009A2E44">
        <w:rPr>
          <w:rFonts w:ascii="Garamond" w:hAnsi="Garamond"/>
          <w:color w:val="000000"/>
          <w:shd w:val="clear" w:color="auto" w:fill="FFFFFF"/>
        </w:rPr>
        <w:t xml:space="preserve"> </w:t>
      </w:r>
      <w:r w:rsidR="00480C81" w:rsidRPr="009A2E44">
        <w:rPr>
          <w:rFonts w:ascii="Garamond" w:hAnsi="Garamond"/>
          <w:color w:val="000000"/>
          <w:shd w:val="clear" w:color="auto" w:fill="FFFFFF"/>
        </w:rPr>
        <w:t xml:space="preserve">top calibration </w:t>
      </w:r>
      <w:r w:rsidR="00480C81" w:rsidRPr="009A2E44">
        <w:rPr>
          <w:rFonts w:ascii="Garamond" w:hAnsi="Garamond"/>
          <w:color w:val="000000"/>
          <w:shd w:val="clear" w:color="auto" w:fill="FFFFFF"/>
        </w:rPr>
        <w:fldChar w:fldCharType="begin" w:fldLock="1"/>
      </w:r>
      <w:r w:rsidR="00385307" w:rsidRPr="009A2E44">
        <w:rPr>
          <w:rFonts w:ascii="Garamond" w:hAnsi="Garamond"/>
          <w:color w:val="000000"/>
          <w:shd w:val="clear" w:color="auto" w:fill="FFFFFF"/>
        </w:rPr>
        <w:instrText>ADDIN CSL_CITATION {"citationItems":[{"id":"ITEM-1","itemData":{"DOI":"10.1016/j.gca.2018.10.028","ISSN":"0016-7037","author":[{"dropping-particle":"","family":"Maloney","given":"Ashley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Acta","id":"ITEM-1","issued":{"date-parts":[["2019"]]},"page":"190-206","publisher":"Elsevier Ltd","title":"Reconstructing precipitation in the tropical South Pacific from dinosterol 2H/1H ratios in lake sediment","type":"article-journal","volume":"245"},"uris":["http://www.mendeley.com/documents/?uuid=c7ab851f-4ac6-4a60-a0db-daaa3baed28f"]}],"mendeley":{"formattedCitation":"(Maloney et al., 2019)","plainTextFormattedCitation":"(Maloney et al., 2019)","previouslyFormattedCitation":"(Maloney et al., 2019)"},"properties":{"noteIndex":0},"schema":"https://github.com/citation-style-language/schema/raw/master/csl-citation.json"}</w:instrText>
      </w:r>
      <w:r w:rsidR="00480C81" w:rsidRPr="009A2E44">
        <w:rPr>
          <w:rFonts w:ascii="Garamond" w:hAnsi="Garamond"/>
          <w:color w:val="000000"/>
          <w:shd w:val="clear" w:color="auto" w:fill="FFFFFF"/>
        </w:rPr>
        <w:fldChar w:fldCharType="separate"/>
      </w:r>
      <w:r w:rsidR="00480C81" w:rsidRPr="009A2E44">
        <w:rPr>
          <w:rFonts w:ascii="Garamond" w:hAnsi="Garamond"/>
          <w:noProof/>
          <w:color w:val="000000"/>
          <w:shd w:val="clear" w:color="auto" w:fill="FFFFFF"/>
        </w:rPr>
        <w:t>(Maloney et al., 2019)</w:t>
      </w:r>
      <w:r w:rsidR="00480C81" w:rsidRPr="009A2E44">
        <w:rPr>
          <w:rFonts w:ascii="Garamond" w:hAnsi="Garamond"/>
          <w:color w:val="000000"/>
          <w:shd w:val="clear" w:color="auto" w:fill="FFFFFF"/>
        </w:rPr>
        <w:fldChar w:fldCharType="end"/>
      </w:r>
      <w:r w:rsidR="00480C81" w:rsidRPr="009A2E44">
        <w:rPr>
          <w:rFonts w:ascii="Garamond" w:hAnsi="Garamond"/>
          <w:color w:val="000000"/>
          <w:shd w:val="clear" w:color="auto" w:fill="FFFFFF"/>
        </w:rPr>
        <w:t>.</w:t>
      </w:r>
      <w:r w:rsidR="00EC59A8" w:rsidRPr="009A2E44">
        <w:rPr>
          <w:rFonts w:ascii="Garamond" w:hAnsi="Garamond"/>
          <w:color w:val="000000"/>
          <w:shd w:val="clear" w:color="auto" w:fill="FFFFFF"/>
        </w:rPr>
        <w:t xml:space="preserve"> </w:t>
      </w:r>
      <w:r w:rsidR="00910A63" w:rsidRPr="009A2E44">
        <w:rPr>
          <w:rFonts w:ascii="Garamond" w:hAnsi="Garamond"/>
          <w:color w:val="000000"/>
          <w:shd w:val="clear" w:color="auto" w:fill="FFFFFF"/>
        </w:rPr>
        <w:t>T</w:t>
      </w:r>
      <w:r w:rsidR="006F5FA3" w:rsidRPr="009A2E44">
        <w:rPr>
          <w:rFonts w:ascii="Garamond" w:hAnsi="Garamond"/>
        </w:rPr>
        <w:t xml:space="preserve">he </w:t>
      </w:r>
      <w:r w:rsidR="00560182" w:rsidRPr="009A2E44">
        <w:rPr>
          <w:rFonts w:ascii="Garamond" w:hAnsi="Garamond"/>
        </w:rPr>
        <w:sym w:font="Symbol" w:char="F064"/>
      </w:r>
      <w:r w:rsidR="00560182" w:rsidRPr="009A2E44">
        <w:rPr>
          <w:rFonts w:ascii="Garamond" w:hAnsi="Garamond"/>
          <w:vertAlign w:val="superscript"/>
        </w:rPr>
        <w:t>2</w:t>
      </w:r>
      <w:r w:rsidR="00560182" w:rsidRPr="009A2E44">
        <w:rPr>
          <w:rFonts w:ascii="Garamond" w:hAnsi="Garamond"/>
        </w:rPr>
        <w:t>H</w:t>
      </w:r>
      <w:r w:rsidR="00560182" w:rsidRPr="009A2E44">
        <w:rPr>
          <w:rFonts w:ascii="Garamond" w:hAnsi="Garamond"/>
          <w:vertAlign w:val="subscript"/>
        </w:rPr>
        <w:t>dinosterol</w:t>
      </w:r>
      <w:r w:rsidR="00560182" w:rsidRPr="009A2E44">
        <w:rPr>
          <w:rFonts w:ascii="Garamond" w:hAnsi="Garamond"/>
        </w:rPr>
        <w:t xml:space="preserve"> </w:t>
      </w:r>
      <w:r w:rsidR="00910A63" w:rsidRPr="009A2E44">
        <w:rPr>
          <w:rFonts w:ascii="Garamond" w:hAnsi="Garamond"/>
        </w:rPr>
        <w:t xml:space="preserve">records </w:t>
      </w:r>
      <w:r w:rsidR="00560182" w:rsidRPr="009A2E44">
        <w:rPr>
          <w:rFonts w:ascii="Garamond" w:hAnsi="Garamond"/>
        </w:rPr>
        <w:t>and runoff proxies</w:t>
      </w:r>
      <w:r w:rsidR="006F5FA3" w:rsidRPr="009A2E44">
        <w:rPr>
          <w:rFonts w:ascii="Garamond" w:hAnsi="Garamond"/>
        </w:rPr>
        <w:t xml:space="preserve"> at </w:t>
      </w:r>
      <w:r w:rsidR="00560182" w:rsidRPr="009A2E44">
        <w:rPr>
          <w:rFonts w:ascii="Garamond" w:hAnsi="Garamond"/>
        </w:rPr>
        <w:t xml:space="preserve">all three </w:t>
      </w:r>
      <w:r w:rsidR="006F5FA3" w:rsidRPr="009A2E44">
        <w:rPr>
          <w:rFonts w:ascii="Garamond" w:hAnsi="Garamond"/>
        </w:rPr>
        <w:t>sites indicate a dr</w:t>
      </w:r>
      <w:r w:rsidR="00781148" w:rsidRPr="009A2E44">
        <w:rPr>
          <w:rFonts w:ascii="Garamond" w:hAnsi="Garamond"/>
        </w:rPr>
        <w:t xml:space="preserve">ier </w:t>
      </w:r>
      <w:r w:rsidR="006F5FA3" w:rsidRPr="009A2E44">
        <w:rPr>
          <w:rFonts w:ascii="Garamond" w:hAnsi="Garamond"/>
        </w:rPr>
        <w:t>MCA</w:t>
      </w:r>
      <w:r w:rsidR="00C666F0">
        <w:rPr>
          <w:rFonts w:ascii="Garamond" w:hAnsi="Garamond"/>
        </w:rPr>
        <w:t xml:space="preserve"> relative to the mean background conditions</w:t>
      </w:r>
      <w:r w:rsidR="004F51AE">
        <w:rPr>
          <w:rFonts w:ascii="Garamond" w:hAnsi="Garamond"/>
        </w:rPr>
        <w:t xml:space="preserve"> (</w:t>
      </w:r>
      <w:r w:rsidR="00270CD6" w:rsidRPr="00270CD6">
        <w:rPr>
          <w:rFonts w:ascii="Garamond" w:hAnsi="Garamond"/>
          <w:b/>
          <w:bCs/>
        </w:rPr>
        <w:t>Fig. 2</w:t>
      </w:r>
      <w:r w:rsidR="00270CD6">
        <w:rPr>
          <w:rFonts w:ascii="Garamond" w:hAnsi="Garamond"/>
          <w:b/>
          <w:bCs/>
        </w:rPr>
        <w:t xml:space="preserve">, </w:t>
      </w:r>
      <w:r w:rsidR="0059783F" w:rsidRPr="00270CD6">
        <w:rPr>
          <w:rFonts w:ascii="Garamond" w:hAnsi="Garamond"/>
          <w:b/>
          <w:bCs/>
        </w:rPr>
        <w:t xml:space="preserve">Fig. </w:t>
      </w:r>
      <w:r w:rsidR="0059783F">
        <w:rPr>
          <w:rFonts w:ascii="Garamond" w:hAnsi="Garamond"/>
          <w:b/>
          <w:bCs/>
        </w:rPr>
        <w:t xml:space="preserve">4A, </w:t>
      </w:r>
      <w:r w:rsidR="0059783F" w:rsidRPr="00270CD6">
        <w:rPr>
          <w:rFonts w:ascii="Garamond" w:hAnsi="Garamond"/>
          <w:b/>
          <w:bCs/>
        </w:rPr>
        <w:t xml:space="preserve">Fig. </w:t>
      </w:r>
      <w:r w:rsidR="0059783F">
        <w:rPr>
          <w:rFonts w:ascii="Garamond" w:hAnsi="Garamond"/>
          <w:b/>
          <w:bCs/>
        </w:rPr>
        <w:t xml:space="preserve">5, </w:t>
      </w:r>
      <w:r w:rsidR="00270CD6" w:rsidRPr="00270CD6">
        <w:rPr>
          <w:rFonts w:ascii="Garamond" w:hAnsi="Garamond"/>
          <w:b/>
          <w:bCs/>
        </w:rPr>
        <w:t xml:space="preserve">Fig. </w:t>
      </w:r>
      <w:r w:rsidR="0059783F">
        <w:rPr>
          <w:rFonts w:ascii="Garamond" w:hAnsi="Garamond"/>
          <w:b/>
          <w:bCs/>
        </w:rPr>
        <w:t>6</w:t>
      </w:r>
      <w:r w:rsidR="00270CD6">
        <w:rPr>
          <w:rFonts w:ascii="Garamond" w:hAnsi="Garamond"/>
          <w:b/>
          <w:bCs/>
        </w:rPr>
        <w:t xml:space="preserve">, </w:t>
      </w:r>
      <w:r w:rsidR="00270CD6" w:rsidRPr="00270CD6">
        <w:rPr>
          <w:rFonts w:ascii="Garamond" w:hAnsi="Garamond"/>
          <w:b/>
          <w:bCs/>
        </w:rPr>
        <w:t xml:space="preserve">Fig. </w:t>
      </w:r>
      <w:r w:rsidR="00270CD6">
        <w:rPr>
          <w:rFonts w:ascii="Garamond" w:hAnsi="Garamond"/>
          <w:b/>
          <w:bCs/>
        </w:rPr>
        <w:t>A.6</w:t>
      </w:r>
      <w:r w:rsidR="004F51AE">
        <w:rPr>
          <w:rFonts w:ascii="Garamond" w:hAnsi="Garamond"/>
        </w:rPr>
        <w:t>)</w:t>
      </w:r>
      <w:r w:rsidR="004F51AE" w:rsidRPr="009A2E44">
        <w:rPr>
          <w:rFonts w:ascii="Garamond" w:hAnsi="Garamond"/>
        </w:rPr>
        <w:t xml:space="preserve">.  </w:t>
      </w:r>
    </w:p>
    <w:p w14:paraId="6708FB52" w14:textId="77777777" w:rsidR="00542F7D" w:rsidRPr="009A2E44" w:rsidRDefault="00542F7D" w:rsidP="001C47D3">
      <w:pPr>
        <w:spacing w:line="480" w:lineRule="auto"/>
        <w:rPr>
          <w:rFonts w:ascii="Garamond" w:hAnsi="Garamond"/>
        </w:rPr>
      </w:pPr>
    </w:p>
    <w:p w14:paraId="7925C6A6" w14:textId="3FBE53C0" w:rsidR="008624BA" w:rsidRPr="009A2E44" w:rsidRDefault="00D5205C" w:rsidP="001C47D3">
      <w:pPr>
        <w:spacing w:line="480" w:lineRule="auto"/>
        <w:rPr>
          <w:rFonts w:ascii="Garamond" w:hAnsi="Garamond"/>
        </w:rPr>
      </w:pPr>
      <w:r w:rsidRPr="009A2E44">
        <w:rPr>
          <w:rFonts w:ascii="Garamond" w:hAnsi="Garamond"/>
          <w:i/>
        </w:rPr>
        <w:t>5.2.1. Runoff records support hydrological interpretation</w:t>
      </w:r>
      <w:r w:rsidR="003A537A">
        <w:rPr>
          <w:rFonts w:ascii="Garamond" w:hAnsi="Garamond"/>
          <w:i/>
        </w:rPr>
        <w:t>s</w:t>
      </w:r>
      <w:r w:rsidRPr="009A2E44">
        <w:rPr>
          <w:rFonts w:ascii="Garamond" w:hAnsi="Garamond"/>
          <w:i/>
        </w:rPr>
        <w:t xml:space="preserve"> of </w:t>
      </w:r>
      <w:r w:rsidRPr="009A2E44">
        <w:rPr>
          <w:rFonts w:ascii="Garamond" w:hAnsi="Garamond"/>
          <w:i/>
        </w:rPr>
        <w:sym w:font="Symbol" w:char="F064"/>
      </w:r>
      <w:r w:rsidRPr="009A2E44">
        <w:rPr>
          <w:rFonts w:ascii="Garamond" w:hAnsi="Garamond"/>
          <w:i/>
          <w:vertAlign w:val="superscript"/>
        </w:rPr>
        <w:t>2</w:t>
      </w:r>
      <w:r w:rsidRPr="009A2E44">
        <w:rPr>
          <w:rFonts w:ascii="Garamond" w:hAnsi="Garamond"/>
          <w:i/>
        </w:rPr>
        <w:t>H</w:t>
      </w:r>
      <w:r w:rsidRPr="009A2E44">
        <w:rPr>
          <w:rFonts w:ascii="Garamond" w:hAnsi="Garamond"/>
          <w:i/>
          <w:vertAlign w:val="subscript"/>
        </w:rPr>
        <w:t>dinosterol</w:t>
      </w:r>
      <w:r w:rsidRPr="009A2E44">
        <w:rPr>
          <w:rFonts w:ascii="Garamond" w:hAnsi="Garamond"/>
          <w:i/>
        </w:rPr>
        <w:t xml:space="preserve"> values</w:t>
      </w:r>
    </w:p>
    <w:p w14:paraId="3307A5C8" w14:textId="304A767B" w:rsidR="007B09DB" w:rsidRPr="009A2E44" w:rsidRDefault="00D5205C" w:rsidP="001C47D3">
      <w:pPr>
        <w:spacing w:line="480" w:lineRule="auto"/>
        <w:ind w:firstLine="720"/>
        <w:rPr>
          <w:rFonts w:ascii="Garamond" w:hAnsi="Garamond"/>
          <w:b/>
          <w:bCs/>
        </w:rPr>
      </w:pPr>
      <w:r w:rsidRPr="009A2E44">
        <w:rPr>
          <w:rFonts w:ascii="Garamond" w:hAnsi="Garamond"/>
        </w:rPr>
        <w:t xml:space="preserve">Runoff </w:t>
      </w:r>
      <w:r w:rsidR="000D4E44" w:rsidRPr="009A2E44">
        <w:rPr>
          <w:rFonts w:ascii="Garamond" w:hAnsi="Garamond"/>
        </w:rPr>
        <w:t>proxies</w:t>
      </w:r>
      <w:r w:rsidRPr="009A2E44">
        <w:rPr>
          <w:rFonts w:ascii="Garamond" w:hAnsi="Garamond"/>
        </w:rPr>
        <w:t xml:space="preserve"> </w:t>
      </w:r>
      <w:r w:rsidR="00C324E5" w:rsidRPr="009A2E44">
        <w:rPr>
          <w:rFonts w:ascii="Garamond" w:hAnsi="Garamond"/>
        </w:rPr>
        <w:t xml:space="preserve">are independently sensitive to precipitation and support </w:t>
      </w:r>
      <w:r w:rsidRPr="009A2E44">
        <w:rPr>
          <w:rFonts w:ascii="Garamond" w:hAnsi="Garamond"/>
        </w:rPr>
        <w:t xml:space="preserve">interpretations of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records. </w:t>
      </w:r>
      <w:r w:rsidR="007B09DB" w:rsidRPr="009A2E44">
        <w:rPr>
          <w:rFonts w:ascii="Garamond" w:hAnsi="Garamond"/>
        </w:rPr>
        <w:t xml:space="preserve">Lac Lanutavake is surrounded by more gradual sloping lake walls </w:t>
      </w:r>
      <w:r w:rsidR="006E514B">
        <w:rPr>
          <w:rFonts w:ascii="Garamond" w:hAnsi="Garamond"/>
        </w:rPr>
        <w:t xml:space="preserve">than Lac Lalolalo </w:t>
      </w:r>
      <w:r w:rsidR="000E30FF">
        <w:rPr>
          <w:rFonts w:ascii="Garamond" w:hAnsi="Garamond"/>
        </w:rPr>
        <w:t>with</w:t>
      </w:r>
      <w:r w:rsidR="000E30FF" w:rsidRPr="009A2E44">
        <w:rPr>
          <w:rFonts w:ascii="Garamond" w:hAnsi="Garamond"/>
        </w:rPr>
        <w:t xml:space="preserve"> </w:t>
      </w:r>
      <w:r w:rsidR="007B09DB" w:rsidRPr="009A2E44">
        <w:rPr>
          <w:rFonts w:ascii="Garamond" w:hAnsi="Garamond"/>
        </w:rPr>
        <w:t xml:space="preserve">more readily </w:t>
      </w:r>
      <w:r w:rsidR="006E6CB8" w:rsidRPr="009A2E44">
        <w:rPr>
          <w:rFonts w:ascii="Garamond" w:hAnsi="Garamond"/>
        </w:rPr>
        <w:t>deliver</w:t>
      </w:r>
      <w:r w:rsidR="000E30FF">
        <w:rPr>
          <w:rFonts w:ascii="Garamond" w:hAnsi="Garamond"/>
        </w:rPr>
        <w:t>ed</w:t>
      </w:r>
      <w:r w:rsidR="00DF6360" w:rsidRPr="009A2E44">
        <w:rPr>
          <w:rFonts w:ascii="Garamond" w:hAnsi="Garamond"/>
        </w:rPr>
        <w:t xml:space="preserve"> </w:t>
      </w:r>
      <w:r w:rsidR="007B09DB" w:rsidRPr="009A2E44">
        <w:rPr>
          <w:rFonts w:ascii="Garamond" w:hAnsi="Garamond"/>
        </w:rPr>
        <w:t>terrigenous material to the lakebed, but likely only during heavy precipitation (</w:t>
      </w:r>
      <w:r w:rsidR="007241CB" w:rsidRPr="009A2E44">
        <w:rPr>
          <w:rFonts w:ascii="Garamond" w:hAnsi="Garamond"/>
          <w:b/>
          <w:bCs/>
        </w:rPr>
        <w:t>Fig. A.3</w:t>
      </w:r>
      <w:r w:rsidR="00444FDF" w:rsidRPr="009A2E44">
        <w:rPr>
          <w:rFonts w:ascii="Garamond" w:hAnsi="Garamond"/>
          <w:b/>
          <w:bCs/>
        </w:rPr>
        <w:t>,</w:t>
      </w:r>
      <w:r w:rsidR="007241CB" w:rsidRPr="009A2E44">
        <w:rPr>
          <w:rFonts w:ascii="Garamond" w:hAnsi="Garamond"/>
          <w:b/>
          <w:bCs/>
        </w:rPr>
        <w:t xml:space="preserve"> A.</w:t>
      </w:r>
      <w:r w:rsidR="007C1B94" w:rsidRPr="009A2E44">
        <w:rPr>
          <w:rFonts w:ascii="Garamond" w:hAnsi="Garamond"/>
          <w:b/>
          <w:bCs/>
        </w:rPr>
        <w:t>8</w:t>
      </w:r>
      <w:r w:rsidR="007B09DB" w:rsidRPr="009A2E44">
        <w:rPr>
          <w:rFonts w:ascii="Garamond" w:hAnsi="Garamond"/>
        </w:rPr>
        <w:t xml:space="preserve">). </w:t>
      </w:r>
      <w:r w:rsidR="000D4E44" w:rsidRPr="009A2E44">
        <w:rPr>
          <w:rFonts w:ascii="Garamond" w:hAnsi="Garamond"/>
        </w:rPr>
        <w:t xml:space="preserve">In Lac Lanutavake, </w:t>
      </w:r>
      <w:r w:rsidR="00F076AC" w:rsidRPr="009A2E44">
        <w:rPr>
          <w:rFonts w:ascii="Garamond" w:hAnsi="Garamond"/>
        </w:rPr>
        <w:t>magnetic susceptibility</w:t>
      </w:r>
      <w:r w:rsidR="007B09DB" w:rsidRPr="009A2E44">
        <w:rPr>
          <w:rFonts w:ascii="Garamond" w:hAnsi="Garamond"/>
        </w:rPr>
        <w:t xml:space="preserve"> and </w:t>
      </w:r>
      <w:r w:rsidR="007B09DB" w:rsidRPr="009A2E44">
        <w:rPr>
          <w:rFonts w:ascii="Garamond" w:hAnsi="Garamond"/>
        </w:rPr>
        <w:sym w:font="Symbol" w:char="F064"/>
      </w:r>
      <w:r w:rsidR="007B09DB" w:rsidRPr="009A2E44">
        <w:rPr>
          <w:rFonts w:ascii="Garamond" w:hAnsi="Garamond"/>
          <w:vertAlign w:val="superscript"/>
        </w:rPr>
        <w:t>2</w:t>
      </w:r>
      <w:r w:rsidR="007B09DB" w:rsidRPr="009A2E44">
        <w:rPr>
          <w:rFonts w:ascii="Garamond" w:hAnsi="Garamond"/>
        </w:rPr>
        <w:t>H</w:t>
      </w:r>
      <w:r w:rsidR="007B09DB" w:rsidRPr="009A2E44">
        <w:rPr>
          <w:rFonts w:ascii="Garamond" w:hAnsi="Garamond"/>
          <w:vertAlign w:val="subscript"/>
        </w:rPr>
        <w:t>dinosterol</w:t>
      </w:r>
      <w:r w:rsidR="007B09DB" w:rsidRPr="009A2E44">
        <w:rPr>
          <w:rFonts w:ascii="Garamond" w:hAnsi="Garamond"/>
        </w:rPr>
        <w:t xml:space="preserve"> records </w:t>
      </w:r>
      <w:r w:rsidR="006E6CB8" w:rsidRPr="009A2E44">
        <w:rPr>
          <w:rFonts w:ascii="Garamond" w:hAnsi="Garamond"/>
        </w:rPr>
        <w:t xml:space="preserve">from </w:t>
      </w:r>
      <w:r w:rsidR="00C324E5" w:rsidRPr="009A2E44">
        <w:rPr>
          <w:rFonts w:ascii="Garamond" w:hAnsi="Garamond"/>
        </w:rPr>
        <w:t>duplicate</w:t>
      </w:r>
      <w:r w:rsidR="006E6CB8" w:rsidRPr="009A2E44">
        <w:rPr>
          <w:rFonts w:ascii="Garamond" w:hAnsi="Garamond"/>
        </w:rPr>
        <w:t xml:space="preserve"> sediment cores </w:t>
      </w:r>
      <w:r w:rsidR="007B09DB" w:rsidRPr="009A2E44">
        <w:rPr>
          <w:rFonts w:ascii="Garamond" w:hAnsi="Garamond"/>
        </w:rPr>
        <w:lastRenderedPageBreak/>
        <w:t xml:space="preserve">display similar patterns throughout most of their </w:t>
      </w:r>
      <w:r w:rsidR="006E6CB8" w:rsidRPr="009A2E44">
        <w:rPr>
          <w:rFonts w:ascii="Garamond" w:hAnsi="Garamond"/>
        </w:rPr>
        <w:t xml:space="preserve">temporal </w:t>
      </w:r>
      <w:r w:rsidR="007B09DB" w:rsidRPr="009A2E44">
        <w:rPr>
          <w:rFonts w:ascii="Garamond" w:hAnsi="Garamond"/>
        </w:rPr>
        <w:t>overlap (</w:t>
      </w:r>
      <w:r w:rsidR="00E362C8" w:rsidRPr="009A2E44">
        <w:rPr>
          <w:rFonts w:ascii="Garamond" w:hAnsi="Garamond"/>
        </w:rPr>
        <w:t>apart from</w:t>
      </w:r>
      <w:r w:rsidR="007B09DB" w:rsidRPr="009A2E44">
        <w:rPr>
          <w:rFonts w:ascii="Garamond" w:hAnsi="Garamond"/>
        </w:rPr>
        <w:t xml:space="preserve"> the oldest two </w:t>
      </w:r>
      <w:r w:rsidR="007B09DB" w:rsidRPr="009A2E44">
        <w:rPr>
          <w:rFonts w:ascii="Garamond" w:hAnsi="Garamond"/>
        </w:rPr>
        <w:sym w:font="Symbol" w:char="F064"/>
      </w:r>
      <w:r w:rsidR="007B09DB" w:rsidRPr="009A2E44">
        <w:rPr>
          <w:rFonts w:ascii="Garamond" w:hAnsi="Garamond"/>
          <w:vertAlign w:val="superscript"/>
        </w:rPr>
        <w:t>2</w:t>
      </w:r>
      <w:r w:rsidR="007B09DB" w:rsidRPr="009A2E44">
        <w:rPr>
          <w:rFonts w:ascii="Garamond" w:hAnsi="Garamond"/>
        </w:rPr>
        <w:t>H</w:t>
      </w:r>
      <w:r w:rsidR="007B09DB" w:rsidRPr="009A2E44">
        <w:rPr>
          <w:rFonts w:ascii="Garamond" w:hAnsi="Garamond"/>
          <w:vertAlign w:val="subscript"/>
        </w:rPr>
        <w:t>dinosterol</w:t>
      </w:r>
      <w:r w:rsidR="007B09DB" w:rsidRPr="009A2E44">
        <w:rPr>
          <w:rFonts w:ascii="Garamond" w:hAnsi="Garamond"/>
        </w:rPr>
        <w:t xml:space="preserve"> values from UC4), where high </w:t>
      </w:r>
      <w:r w:rsidR="00F076AC" w:rsidRPr="009A2E44">
        <w:rPr>
          <w:rFonts w:ascii="Garamond" w:hAnsi="Garamond"/>
        </w:rPr>
        <w:t>magnetic susceptibility</w:t>
      </w:r>
      <w:r w:rsidR="007B09DB" w:rsidRPr="009A2E44">
        <w:rPr>
          <w:rFonts w:ascii="Garamond" w:hAnsi="Garamond"/>
        </w:rPr>
        <w:t xml:space="preserve"> signals are coincident with </w:t>
      </w:r>
      <w:r w:rsidR="007B09DB" w:rsidRPr="009A2E44">
        <w:rPr>
          <w:rFonts w:ascii="Garamond" w:hAnsi="Garamond"/>
          <w:vertAlign w:val="superscript"/>
        </w:rPr>
        <w:t>2</w:t>
      </w:r>
      <w:r w:rsidR="007B09DB" w:rsidRPr="009A2E44">
        <w:rPr>
          <w:rFonts w:ascii="Garamond" w:hAnsi="Garamond"/>
        </w:rPr>
        <w:t>H-depleted values, providing support that both are responding to hydroclimate in this lake (</w:t>
      </w:r>
      <w:r w:rsidR="007B09DB" w:rsidRPr="009A2E44">
        <w:rPr>
          <w:rFonts w:ascii="Garamond" w:hAnsi="Garamond"/>
          <w:b/>
        </w:rPr>
        <w:t xml:space="preserve">Fig. </w:t>
      </w:r>
      <w:r w:rsidR="00F64053" w:rsidRPr="009A2E44">
        <w:rPr>
          <w:rFonts w:ascii="Garamond" w:hAnsi="Garamond"/>
          <w:b/>
        </w:rPr>
        <w:t>A.</w:t>
      </w:r>
      <w:r w:rsidR="007C1B94" w:rsidRPr="009A2E44">
        <w:rPr>
          <w:rFonts w:ascii="Garamond" w:hAnsi="Garamond"/>
          <w:b/>
        </w:rPr>
        <w:t>6</w:t>
      </w:r>
      <w:r w:rsidR="007B09DB" w:rsidRPr="009A2E44">
        <w:rPr>
          <w:rFonts w:ascii="Garamond" w:hAnsi="Garamond"/>
          <w:bCs/>
        </w:rPr>
        <w:t>)</w:t>
      </w:r>
      <w:r w:rsidR="007B09DB" w:rsidRPr="009A2E44">
        <w:rPr>
          <w:rFonts w:ascii="Garamond" w:hAnsi="Garamond"/>
        </w:rPr>
        <w:t xml:space="preserve">. In particular, the very low </w:t>
      </w:r>
      <w:r w:rsidR="00F076AC" w:rsidRPr="009A2E44">
        <w:rPr>
          <w:rFonts w:ascii="Garamond" w:hAnsi="Garamond"/>
        </w:rPr>
        <w:t xml:space="preserve">magnetic susceptibility </w:t>
      </w:r>
      <w:r w:rsidR="007B09DB" w:rsidRPr="009A2E44">
        <w:rPr>
          <w:rFonts w:ascii="Garamond" w:hAnsi="Garamond"/>
        </w:rPr>
        <w:t xml:space="preserve">response during the MCA when </w:t>
      </w:r>
      <w:r w:rsidR="007B09DB" w:rsidRPr="009A2E44">
        <w:rPr>
          <w:rFonts w:ascii="Garamond" w:hAnsi="Garamond"/>
        </w:rPr>
        <w:sym w:font="Symbol" w:char="F064"/>
      </w:r>
      <w:r w:rsidR="007B09DB" w:rsidRPr="009A2E44">
        <w:rPr>
          <w:rFonts w:ascii="Garamond" w:hAnsi="Garamond"/>
          <w:vertAlign w:val="superscript"/>
        </w:rPr>
        <w:t>2</w:t>
      </w:r>
      <w:r w:rsidR="007B09DB" w:rsidRPr="009A2E44">
        <w:rPr>
          <w:rFonts w:ascii="Garamond" w:hAnsi="Garamond"/>
        </w:rPr>
        <w:t>H</w:t>
      </w:r>
      <w:r w:rsidR="007B09DB" w:rsidRPr="009A2E44">
        <w:rPr>
          <w:rFonts w:ascii="Garamond" w:hAnsi="Garamond"/>
          <w:vertAlign w:val="subscript"/>
        </w:rPr>
        <w:t>dinosterol</w:t>
      </w:r>
      <w:r w:rsidR="007B09DB" w:rsidRPr="009A2E44">
        <w:rPr>
          <w:rFonts w:ascii="Garamond" w:hAnsi="Garamond"/>
        </w:rPr>
        <w:t xml:space="preserve"> </w:t>
      </w:r>
      <w:r w:rsidR="00774A60" w:rsidRPr="009A2E44">
        <w:rPr>
          <w:rFonts w:ascii="Garamond" w:hAnsi="Garamond"/>
        </w:rPr>
        <w:t xml:space="preserve">values were relatively higher </w:t>
      </w:r>
      <w:r w:rsidR="007B09DB" w:rsidRPr="009A2E44">
        <w:rPr>
          <w:rFonts w:ascii="Garamond" w:hAnsi="Garamond"/>
        </w:rPr>
        <w:t>indica</w:t>
      </w:r>
      <w:r w:rsidR="0065090D" w:rsidRPr="009A2E44">
        <w:rPr>
          <w:rFonts w:ascii="Garamond" w:hAnsi="Garamond"/>
        </w:rPr>
        <w:t>tes</w:t>
      </w:r>
      <w:r w:rsidR="007B09DB" w:rsidRPr="009A2E44">
        <w:rPr>
          <w:rFonts w:ascii="Garamond" w:hAnsi="Garamond"/>
        </w:rPr>
        <w:t xml:space="preserve"> a period of </w:t>
      </w:r>
      <w:r w:rsidR="0065090D" w:rsidRPr="009A2E44">
        <w:rPr>
          <w:rFonts w:ascii="Garamond" w:hAnsi="Garamond"/>
        </w:rPr>
        <w:t>reduced</w:t>
      </w:r>
      <w:r w:rsidR="007B09DB" w:rsidRPr="009A2E44">
        <w:rPr>
          <w:rFonts w:ascii="Garamond" w:hAnsi="Garamond"/>
        </w:rPr>
        <w:t xml:space="preserve"> precipitation.</w:t>
      </w:r>
    </w:p>
    <w:p w14:paraId="3747ABE3" w14:textId="59FD14EB" w:rsidR="00D5205C" w:rsidRPr="009A2E44" w:rsidRDefault="00D5205C" w:rsidP="001C47D3">
      <w:pPr>
        <w:spacing w:line="480" w:lineRule="auto"/>
        <w:ind w:firstLine="720"/>
        <w:rPr>
          <w:rFonts w:ascii="Garamond" w:hAnsi="Garamond"/>
          <w:iCs/>
        </w:rPr>
      </w:pPr>
      <w:r w:rsidRPr="009A2E44">
        <w:rPr>
          <w:rFonts w:ascii="Garamond" w:hAnsi="Garamond"/>
        </w:rPr>
        <w:t xml:space="preserve">In Lake Emaotul (Efate, Vanuatu) the </w:t>
      </w:r>
      <w:proofErr w:type="spellStart"/>
      <w:r w:rsidRPr="009A2E44">
        <w:rPr>
          <w:rFonts w:ascii="Garamond" w:hAnsi="Garamond"/>
        </w:rPr>
        <w:t>Ti</w:t>
      </w:r>
      <w:proofErr w:type="spellEnd"/>
      <w:r w:rsidRPr="009A2E44">
        <w:rPr>
          <w:rFonts w:ascii="Garamond" w:hAnsi="Garamond"/>
        </w:rPr>
        <w:t xml:space="preserve">/Inc and </w:t>
      </w:r>
      <w:r w:rsidR="00F076AC" w:rsidRPr="009A2E44">
        <w:rPr>
          <w:rFonts w:ascii="Garamond" w:hAnsi="Garamond"/>
        </w:rPr>
        <w:t>magnetic susceptibility</w:t>
      </w:r>
      <w:r w:rsidRPr="009A2E44">
        <w:rPr>
          <w:rFonts w:ascii="Garamond" w:hAnsi="Garamond"/>
        </w:rPr>
        <w:t xml:space="preserve"> </w:t>
      </w:r>
      <w:r w:rsidR="000D4E44" w:rsidRPr="009A2E44">
        <w:rPr>
          <w:rFonts w:ascii="Garamond" w:hAnsi="Garamond"/>
        </w:rPr>
        <w:t xml:space="preserve">records </w:t>
      </w:r>
      <w:r w:rsidRPr="009A2E44">
        <w:rPr>
          <w:rFonts w:ascii="Garamond" w:hAnsi="Garamond"/>
        </w:rPr>
        <w:t>(</w:t>
      </w:r>
      <w:proofErr w:type="gramStart"/>
      <w:r w:rsidRPr="009A2E44">
        <w:rPr>
          <w:rFonts w:ascii="Garamond" w:hAnsi="Garamond"/>
        </w:rPr>
        <w:t>with the exception of</w:t>
      </w:r>
      <w:proofErr w:type="gramEnd"/>
      <w:r w:rsidRPr="009A2E44">
        <w:rPr>
          <w:rFonts w:ascii="Garamond" w:hAnsi="Garamond"/>
        </w:rPr>
        <w:t xml:space="preserve"> the Kuwae ash </w:t>
      </w:r>
      <w:r w:rsidR="00F076AC" w:rsidRPr="009A2E44">
        <w:rPr>
          <w:rFonts w:ascii="Garamond" w:hAnsi="Garamond"/>
        </w:rPr>
        <w:t>magnetic susceptibility</w:t>
      </w:r>
      <w:r w:rsidRPr="009A2E44">
        <w:rPr>
          <w:rFonts w:ascii="Garamond" w:hAnsi="Garamond"/>
        </w:rPr>
        <w:t xml:space="preserve"> response</w:t>
      </w:r>
      <w:r w:rsidR="000D4E44" w:rsidRPr="009A2E44">
        <w:rPr>
          <w:rFonts w:ascii="Garamond" w:hAnsi="Garamond"/>
        </w:rPr>
        <w:t xml:space="preserve"> </w:t>
      </w:r>
      <w:r w:rsidR="000D4E44" w:rsidRPr="009A2E44">
        <w:rPr>
          <w:rFonts w:ascii="Garamond" w:hAnsi="Garamond"/>
          <w:b/>
          <w:bCs/>
        </w:rPr>
        <w:t xml:space="preserve">Fig. </w:t>
      </w:r>
      <w:r w:rsidR="007C1B94" w:rsidRPr="009A2E44">
        <w:rPr>
          <w:rFonts w:ascii="Garamond" w:hAnsi="Garamond"/>
          <w:b/>
          <w:bCs/>
        </w:rPr>
        <w:t>2</w:t>
      </w:r>
      <w:r w:rsidRPr="009A2E44">
        <w:rPr>
          <w:rFonts w:ascii="Garamond" w:hAnsi="Garamond"/>
        </w:rPr>
        <w:t xml:space="preserve">) very closely tracked variability in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values (</w:t>
      </w:r>
      <w:r w:rsidRPr="009A2E44">
        <w:rPr>
          <w:rFonts w:ascii="Garamond" w:hAnsi="Garamond"/>
          <w:b/>
          <w:bCs/>
        </w:rPr>
        <w:t xml:space="preserve">Fig. </w:t>
      </w:r>
      <w:r w:rsidR="00F64053" w:rsidRPr="009A2E44">
        <w:rPr>
          <w:rFonts w:ascii="Garamond" w:hAnsi="Garamond"/>
          <w:b/>
          <w:bCs/>
        </w:rPr>
        <w:t>2</w:t>
      </w:r>
      <w:r w:rsidR="00444FDF" w:rsidRPr="009A2E44">
        <w:rPr>
          <w:rFonts w:ascii="Garamond" w:hAnsi="Garamond"/>
          <w:b/>
          <w:bCs/>
        </w:rPr>
        <w:t>, Fig.</w:t>
      </w:r>
      <w:r w:rsidR="007C1B94" w:rsidRPr="009A2E44">
        <w:rPr>
          <w:rFonts w:ascii="Garamond" w:hAnsi="Garamond"/>
          <w:b/>
          <w:bCs/>
        </w:rPr>
        <w:t xml:space="preserve"> </w:t>
      </w:r>
      <w:r w:rsidR="00F64053" w:rsidRPr="009A2E44">
        <w:rPr>
          <w:rFonts w:ascii="Garamond" w:hAnsi="Garamond"/>
          <w:b/>
          <w:bCs/>
        </w:rPr>
        <w:t>A.</w:t>
      </w:r>
      <w:r w:rsidR="007C1B94" w:rsidRPr="009A2E44">
        <w:rPr>
          <w:rFonts w:ascii="Garamond" w:hAnsi="Garamond"/>
          <w:b/>
          <w:bCs/>
        </w:rPr>
        <w:t>7</w:t>
      </w:r>
      <w:r w:rsidRPr="009A2E44">
        <w:rPr>
          <w:rFonts w:ascii="Garamond" w:hAnsi="Garamond"/>
        </w:rPr>
        <w:t xml:space="preserve">), providing additional support for hydrological controls on all </w:t>
      </w:r>
      <w:r w:rsidR="00C324E5" w:rsidRPr="009A2E44">
        <w:rPr>
          <w:rFonts w:ascii="Garamond" w:hAnsi="Garamond"/>
        </w:rPr>
        <w:t xml:space="preserve">three </w:t>
      </w:r>
      <w:r w:rsidRPr="009A2E44">
        <w:rPr>
          <w:rFonts w:ascii="Garamond" w:hAnsi="Garamond"/>
        </w:rPr>
        <w:t>proxies</w:t>
      </w:r>
      <w:r w:rsidR="00E667E3" w:rsidRPr="009A2E44">
        <w:rPr>
          <w:rFonts w:ascii="Garamond" w:hAnsi="Garamond"/>
        </w:rPr>
        <w:t xml:space="preserve"> at this site</w:t>
      </w:r>
      <w:r w:rsidRPr="009A2E44">
        <w:rPr>
          <w:rFonts w:ascii="Garamond" w:hAnsi="Garamond"/>
        </w:rPr>
        <w:t xml:space="preserve">. Lake Lanoto’o (‘Upolu, Samoa) is situated atop a volcanic peak </w:t>
      </w:r>
      <w:r w:rsidR="00F40171">
        <w:rPr>
          <w:rFonts w:ascii="Garamond" w:hAnsi="Garamond"/>
        </w:rPr>
        <w:t xml:space="preserve">(760 </w:t>
      </w:r>
      <w:proofErr w:type="spellStart"/>
      <w:r w:rsidR="00ED5776">
        <w:rPr>
          <w:rFonts w:ascii="Garamond" w:hAnsi="Garamond"/>
        </w:rPr>
        <w:t>m.a.s.l</w:t>
      </w:r>
      <w:proofErr w:type="spellEnd"/>
      <w:r w:rsidR="00ED5776">
        <w:rPr>
          <w:rFonts w:ascii="Garamond" w:hAnsi="Garamond"/>
        </w:rPr>
        <w:t>.</w:t>
      </w:r>
      <w:r w:rsidR="00F40171">
        <w:rPr>
          <w:rFonts w:ascii="Garamond" w:hAnsi="Garamond"/>
        </w:rPr>
        <w:t xml:space="preserve">) </w:t>
      </w:r>
      <w:r w:rsidRPr="009A2E44">
        <w:rPr>
          <w:rFonts w:ascii="Garamond" w:hAnsi="Garamond"/>
        </w:rPr>
        <w:t>with a limited catchment (0.23 km</w:t>
      </w:r>
      <w:r w:rsidRPr="009A2E44">
        <w:rPr>
          <w:rFonts w:ascii="Garamond" w:hAnsi="Garamond"/>
          <w:vertAlign w:val="superscript"/>
        </w:rPr>
        <w:t>2</w:t>
      </w:r>
      <w:r w:rsidRPr="009A2E44">
        <w:rPr>
          <w:rFonts w:ascii="Garamond" w:hAnsi="Garamond"/>
        </w:rPr>
        <w:t xml:space="preserve">), a setting important to consider when interpreting the runoff proxies from this lake. In Lake Lanoto’o the </w:t>
      </w:r>
      <w:r w:rsidR="00F076AC" w:rsidRPr="009A2E44">
        <w:rPr>
          <w:rFonts w:ascii="Garamond" w:hAnsi="Garamond"/>
        </w:rPr>
        <w:t>magnetic susceptibility</w:t>
      </w:r>
      <w:r w:rsidRPr="009A2E44">
        <w:rPr>
          <w:rFonts w:ascii="Garamond" w:hAnsi="Garamond"/>
        </w:rPr>
        <w:t xml:space="preserve"> and </w:t>
      </w:r>
      <w:proofErr w:type="spellStart"/>
      <w:r w:rsidRPr="009A2E44">
        <w:rPr>
          <w:rFonts w:ascii="Garamond" w:hAnsi="Garamond"/>
        </w:rPr>
        <w:t>T</w:t>
      </w:r>
      <w:r w:rsidR="00C324E5" w:rsidRPr="009A2E44">
        <w:rPr>
          <w:rFonts w:ascii="Garamond" w:hAnsi="Garamond"/>
        </w:rPr>
        <w:t>i</w:t>
      </w:r>
      <w:proofErr w:type="spellEnd"/>
      <w:r w:rsidR="00C324E5" w:rsidRPr="009A2E44">
        <w:rPr>
          <w:rFonts w:ascii="Garamond" w:hAnsi="Garamond"/>
        </w:rPr>
        <w:t xml:space="preserve">* </w:t>
      </w:r>
      <w:r w:rsidRPr="009A2E44">
        <w:rPr>
          <w:rFonts w:ascii="Garamond" w:hAnsi="Garamond"/>
        </w:rPr>
        <w:t xml:space="preserve">signals closely track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values in the youngest sediment then diverge from the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record during the MCA. During </w:t>
      </w:r>
      <w:r w:rsidR="000D4E44" w:rsidRPr="009A2E44">
        <w:rPr>
          <w:rFonts w:ascii="Garamond" w:hAnsi="Garamond"/>
        </w:rPr>
        <w:t xml:space="preserve">the MCA </w:t>
      </w:r>
      <w:r w:rsidRPr="009A2E44">
        <w:rPr>
          <w:rFonts w:ascii="Garamond" w:hAnsi="Garamond"/>
        </w:rPr>
        <w:t xml:space="preserve">the </w:t>
      </w:r>
      <w:r w:rsidR="001F754D" w:rsidRPr="009A2E44">
        <w:rPr>
          <w:rFonts w:ascii="Garamond" w:hAnsi="Garamond"/>
        </w:rPr>
        <w:t>highest</w:t>
      </w:r>
      <w:r w:rsidRPr="009A2E44">
        <w:rPr>
          <w:rFonts w:ascii="Garamond" w:hAnsi="Garamond"/>
        </w:rPr>
        <w:t xml:space="preserve">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values </w:t>
      </w:r>
      <w:r w:rsidR="000D4E44" w:rsidRPr="009A2E44">
        <w:rPr>
          <w:rFonts w:ascii="Garamond" w:hAnsi="Garamond"/>
        </w:rPr>
        <w:t xml:space="preserve">imply </w:t>
      </w:r>
      <w:r w:rsidRPr="009A2E44">
        <w:rPr>
          <w:rFonts w:ascii="Garamond" w:hAnsi="Garamond"/>
        </w:rPr>
        <w:t>low precipitation rates</w:t>
      </w:r>
      <w:r w:rsidR="000D4E44" w:rsidRPr="009A2E44">
        <w:rPr>
          <w:rFonts w:ascii="Garamond" w:hAnsi="Garamond"/>
        </w:rPr>
        <w:t xml:space="preserve"> while </w:t>
      </w:r>
      <w:r w:rsidRPr="009A2E44">
        <w:rPr>
          <w:rFonts w:ascii="Garamond" w:hAnsi="Garamond"/>
        </w:rPr>
        <w:t xml:space="preserve">high </w:t>
      </w:r>
      <w:r w:rsidR="00F076AC" w:rsidRPr="009A2E44">
        <w:rPr>
          <w:rFonts w:ascii="Garamond" w:hAnsi="Garamond"/>
        </w:rPr>
        <w:t>magnetic susceptibility</w:t>
      </w:r>
      <w:r w:rsidRPr="009A2E44">
        <w:rPr>
          <w:rFonts w:ascii="Garamond" w:hAnsi="Garamond"/>
        </w:rPr>
        <w:t xml:space="preserve"> and </w:t>
      </w:r>
      <w:proofErr w:type="spellStart"/>
      <w:r w:rsidRPr="009A2E44">
        <w:rPr>
          <w:rFonts w:ascii="Garamond" w:hAnsi="Garamond"/>
        </w:rPr>
        <w:t>Ti</w:t>
      </w:r>
      <w:proofErr w:type="spellEnd"/>
      <w:r w:rsidR="00E667E3" w:rsidRPr="009A2E44">
        <w:rPr>
          <w:rFonts w:ascii="Garamond" w:hAnsi="Garamond"/>
        </w:rPr>
        <w:t xml:space="preserve">* </w:t>
      </w:r>
      <w:r w:rsidRPr="009A2E44">
        <w:rPr>
          <w:rFonts w:ascii="Garamond" w:hAnsi="Garamond"/>
        </w:rPr>
        <w:t xml:space="preserve">signals conversely </w:t>
      </w:r>
      <w:r w:rsidR="00C324E5" w:rsidRPr="009A2E44">
        <w:rPr>
          <w:rFonts w:ascii="Garamond" w:hAnsi="Garamond"/>
        </w:rPr>
        <w:t xml:space="preserve">suggest </w:t>
      </w:r>
      <w:r w:rsidRPr="009A2E44">
        <w:rPr>
          <w:rFonts w:ascii="Garamond" w:hAnsi="Garamond"/>
        </w:rPr>
        <w:t>high terrigenous inputs</w:t>
      </w:r>
      <w:r w:rsidR="000D4E44" w:rsidRPr="009A2E44">
        <w:rPr>
          <w:rFonts w:ascii="Garamond" w:hAnsi="Garamond"/>
        </w:rPr>
        <w:t>. A</w:t>
      </w:r>
      <w:r w:rsidRPr="009A2E44">
        <w:rPr>
          <w:rFonts w:ascii="Garamond" w:hAnsi="Garamond"/>
        </w:rPr>
        <w:t xml:space="preserve"> submerged terrace extending ~10 m out from the current lake shoreline at ~1 m depth offers a nuanced explanation</w:t>
      </w:r>
      <w:r w:rsidR="000D4E44" w:rsidRPr="009A2E44">
        <w:rPr>
          <w:rFonts w:ascii="Garamond" w:hAnsi="Garamond"/>
        </w:rPr>
        <w:t xml:space="preserve"> for this disagreement</w:t>
      </w:r>
      <w:r w:rsidRPr="009A2E44">
        <w:rPr>
          <w:rFonts w:ascii="Garamond" w:hAnsi="Garamond"/>
        </w:rPr>
        <w:t xml:space="preserve">. </w:t>
      </w:r>
      <w:r w:rsidR="000D4E44" w:rsidRPr="009A2E44">
        <w:rPr>
          <w:rFonts w:ascii="Garamond" w:hAnsi="Garamond"/>
        </w:rPr>
        <w:t>A drier climate during the</w:t>
      </w:r>
      <w:r w:rsidRPr="009A2E44">
        <w:rPr>
          <w:rFonts w:ascii="Garamond" w:hAnsi="Garamond"/>
        </w:rPr>
        <w:t xml:space="preserve"> MCA </w:t>
      </w:r>
      <w:r w:rsidR="000D4E44" w:rsidRPr="009A2E44">
        <w:rPr>
          <w:rFonts w:ascii="Garamond" w:hAnsi="Garamond"/>
        </w:rPr>
        <w:t xml:space="preserve">likely caused </w:t>
      </w:r>
      <w:r w:rsidRPr="009A2E44">
        <w:rPr>
          <w:rFonts w:ascii="Garamond" w:hAnsi="Garamond"/>
        </w:rPr>
        <w:t xml:space="preserve">lake level </w:t>
      </w:r>
      <w:r w:rsidR="000D4E44" w:rsidRPr="009A2E44">
        <w:rPr>
          <w:rFonts w:ascii="Garamond" w:hAnsi="Garamond"/>
        </w:rPr>
        <w:t>to drop</w:t>
      </w:r>
      <w:r w:rsidRPr="009A2E44">
        <w:rPr>
          <w:rFonts w:ascii="Garamond" w:hAnsi="Garamond"/>
        </w:rPr>
        <w:t>, exposing the lower terrace and effectively increasing the surface area of the lake’s watershed (~5% increase in area for a 1 m water drop)</w:t>
      </w:r>
      <w:r w:rsidR="0059783F">
        <w:rPr>
          <w:rFonts w:ascii="Garamond" w:hAnsi="Garamond"/>
        </w:rPr>
        <w:t>. A lower lake and larger watershed would</w:t>
      </w:r>
      <w:r w:rsidR="00E54A1B">
        <w:rPr>
          <w:rFonts w:ascii="Garamond" w:hAnsi="Garamond"/>
        </w:rPr>
        <w:t xml:space="preserve"> </w:t>
      </w:r>
      <w:r w:rsidR="0059783F">
        <w:rPr>
          <w:rFonts w:ascii="Garamond" w:hAnsi="Garamond"/>
        </w:rPr>
        <w:t xml:space="preserve">decrease </w:t>
      </w:r>
      <w:r w:rsidR="00E54A1B">
        <w:rPr>
          <w:rFonts w:ascii="Garamond" w:hAnsi="Garamond"/>
        </w:rPr>
        <w:t>the transport distance from shoreline to depocenter</w:t>
      </w:r>
      <w:r w:rsidRPr="009A2E44">
        <w:rPr>
          <w:rFonts w:ascii="Garamond" w:hAnsi="Garamond"/>
        </w:rPr>
        <w:t xml:space="preserve"> so that any precipitation, even less frequent or less intense, would contribute a stronger signal in </w:t>
      </w:r>
      <w:proofErr w:type="spellStart"/>
      <w:r w:rsidRPr="009A2E44">
        <w:rPr>
          <w:rFonts w:ascii="Garamond" w:hAnsi="Garamond"/>
        </w:rPr>
        <w:t>Ti</w:t>
      </w:r>
      <w:proofErr w:type="spellEnd"/>
      <w:r w:rsidR="00E667E3" w:rsidRPr="009A2E44">
        <w:rPr>
          <w:rFonts w:ascii="Garamond" w:hAnsi="Garamond"/>
        </w:rPr>
        <w:t>*</w:t>
      </w:r>
      <w:r w:rsidRPr="009A2E44">
        <w:rPr>
          <w:rFonts w:ascii="Garamond" w:hAnsi="Garamond"/>
        </w:rPr>
        <w:t xml:space="preserve"> and </w:t>
      </w:r>
      <w:r w:rsidR="00F076AC" w:rsidRPr="009A2E44">
        <w:rPr>
          <w:rFonts w:ascii="Garamond" w:hAnsi="Garamond"/>
        </w:rPr>
        <w:t>magnetic susceptibility</w:t>
      </w:r>
      <w:r w:rsidRPr="009A2E44">
        <w:rPr>
          <w:rFonts w:ascii="Garamond" w:hAnsi="Garamond"/>
        </w:rPr>
        <w:t xml:space="preserve"> </w:t>
      </w:r>
      <w:r w:rsidR="00E54A1B">
        <w:rPr>
          <w:rFonts w:ascii="Garamond" w:hAnsi="Garamond"/>
        </w:rPr>
        <w:t xml:space="preserve">by contributing relatively more terrestrial sediment </w:t>
      </w:r>
      <w:r w:rsidRPr="009A2E44">
        <w:rPr>
          <w:rFonts w:ascii="Garamond" w:hAnsi="Garamond"/>
        </w:rPr>
        <w:t>compared to higher lake-level conditions that submerge more of the catchment.</w:t>
      </w:r>
      <w:r w:rsidR="003A537A">
        <w:rPr>
          <w:rFonts w:ascii="Garamond" w:hAnsi="Garamond"/>
        </w:rPr>
        <w:t xml:space="preserve"> </w:t>
      </w:r>
    </w:p>
    <w:p w14:paraId="5399E613" w14:textId="72BFF141" w:rsidR="00D5205C" w:rsidRPr="009A2E44" w:rsidRDefault="003A537A" w:rsidP="001C47D3">
      <w:pPr>
        <w:spacing w:line="480" w:lineRule="auto"/>
        <w:ind w:firstLine="720"/>
        <w:rPr>
          <w:rFonts w:ascii="Garamond" w:hAnsi="Garamond"/>
        </w:rPr>
      </w:pPr>
      <w:r>
        <w:rPr>
          <w:rFonts w:ascii="Garamond" w:hAnsi="Garamond"/>
        </w:rPr>
        <w:t>L</w:t>
      </w:r>
      <w:r w:rsidR="00D5205C" w:rsidRPr="009A2E44">
        <w:rPr>
          <w:rFonts w:ascii="Garamond" w:hAnsi="Garamond"/>
        </w:rPr>
        <w:t>inear regressions (</w:t>
      </w:r>
      <w:r w:rsidR="00D5205C" w:rsidRPr="009A2E44">
        <w:rPr>
          <w:rFonts w:ascii="Garamond" w:hAnsi="Garamond"/>
          <w:b/>
          <w:bCs/>
        </w:rPr>
        <w:t xml:space="preserve">Fig. </w:t>
      </w:r>
      <w:r w:rsidR="00F64053" w:rsidRPr="009A2E44">
        <w:rPr>
          <w:rFonts w:ascii="Garamond" w:hAnsi="Garamond"/>
          <w:b/>
          <w:bCs/>
        </w:rPr>
        <w:t>A.</w:t>
      </w:r>
      <w:r w:rsidR="0095523D" w:rsidRPr="009A2E44">
        <w:rPr>
          <w:rFonts w:ascii="Garamond" w:hAnsi="Garamond"/>
          <w:b/>
          <w:bCs/>
        </w:rPr>
        <w:t>7</w:t>
      </w:r>
      <w:r w:rsidR="00D5205C" w:rsidRPr="009A2E44">
        <w:rPr>
          <w:rFonts w:ascii="Garamond" w:hAnsi="Garamond"/>
        </w:rPr>
        <w:t xml:space="preserve">) indicate correlations between </w:t>
      </w:r>
      <w:r w:rsidR="00D5205C" w:rsidRPr="009A2E44">
        <w:rPr>
          <w:rFonts w:ascii="Garamond" w:hAnsi="Garamond"/>
        </w:rPr>
        <w:sym w:font="Symbol" w:char="F064"/>
      </w:r>
      <w:r w:rsidR="00D5205C" w:rsidRPr="009A2E44">
        <w:rPr>
          <w:rFonts w:ascii="Garamond" w:hAnsi="Garamond"/>
          <w:vertAlign w:val="superscript"/>
        </w:rPr>
        <w:t>2</w:t>
      </w:r>
      <w:r w:rsidR="00D5205C" w:rsidRPr="009A2E44">
        <w:rPr>
          <w:rFonts w:ascii="Garamond" w:hAnsi="Garamond"/>
        </w:rPr>
        <w:t>H</w:t>
      </w:r>
      <w:r w:rsidR="00D5205C" w:rsidRPr="009A2E44">
        <w:rPr>
          <w:rFonts w:ascii="Garamond" w:hAnsi="Garamond"/>
          <w:vertAlign w:val="subscript"/>
        </w:rPr>
        <w:t>dinosterol</w:t>
      </w:r>
      <w:r w:rsidR="00D5205C" w:rsidRPr="009A2E44">
        <w:rPr>
          <w:rFonts w:ascii="Garamond" w:hAnsi="Garamond"/>
        </w:rPr>
        <w:t xml:space="preserve"> values and </w:t>
      </w:r>
      <w:r w:rsidR="00F71787" w:rsidRPr="009A2E44">
        <w:rPr>
          <w:rFonts w:ascii="Garamond" w:hAnsi="Garamond"/>
        </w:rPr>
        <w:t xml:space="preserve">corresponding </w:t>
      </w:r>
      <w:r w:rsidR="00D5205C" w:rsidRPr="009A2E44">
        <w:rPr>
          <w:rFonts w:ascii="Garamond" w:hAnsi="Garamond"/>
        </w:rPr>
        <w:t>runoff records in Lake Emaotul (Efate, Vanuatu) (</w:t>
      </w:r>
      <w:r w:rsidR="0065090D" w:rsidRPr="009A2E44">
        <w:rPr>
          <w:rFonts w:ascii="Garamond" w:hAnsi="Garamond"/>
        </w:rPr>
        <w:t>excluding</w:t>
      </w:r>
      <w:r w:rsidR="00D5205C" w:rsidRPr="009A2E44">
        <w:rPr>
          <w:rFonts w:ascii="Garamond" w:hAnsi="Garamond"/>
        </w:rPr>
        <w:t xml:space="preserve"> the Kuwae ash event in the </w:t>
      </w:r>
      <w:r w:rsidR="00F076AC" w:rsidRPr="009A2E44">
        <w:rPr>
          <w:rFonts w:ascii="Garamond" w:hAnsi="Garamond"/>
        </w:rPr>
        <w:t>magnetic susceptibility</w:t>
      </w:r>
      <w:r w:rsidR="00D5205C" w:rsidRPr="009A2E44">
        <w:rPr>
          <w:rFonts w:ascii="Garamond" w:hAnsi="Garamond"/>
        </w:rPr>
        <w:t xml:space="preserve"> record</w:t>
      </w:r>
      <w:r w:rsidR="000043A6">
        <w:rPr>
          <w:rFonts w:ascii="Garamond" w:hAnsi="Garamond"/>
        </w:rPr>
        <w:t>,</w:t>
      </w:r>
      <w:r w:rsidR="007E5C7D">
        <w:rPr>
          <w:rFonts w:ascii="Garamond" w:hAnsi="Garamond"/>
        </w:rPr>
        <w:t xml:space="preserve"> </w:t>
      </w:r>
      <w:r w:rsidR="000043A6">
        <w:rPr>
          <w:rFonts w:ascii="Garamond" w:hAnsi="Garamond"/>
        </w:rPr>
        <w:t>R</w:t>
      </w:r>
      <w:r w:rsidR="000043A6" w:rsidRPr="000043A6">
        <w:rPr>
          <w:rFonts w:ascii="Garamond" w:hAnsi="Garamond"/>
          <w:vertAlign w:val="superscript"/>
        </w:rPr>
        <w:t>2</w:t>
      </w:r>
      <w:r w:rsidR="000043A6">
        <w:rPr>
          <w:rFonts w:ascii="Garamond" w:hAnsi="Garamond"/>
        </w:rPr>
        <w:t>=0.</w:t>
      </w:r>
      <w:r w:rsidR="00C97B1B">
        <w:rPr>
          <w:rFonts w:ascii="Garamond" w:hAnsi="Garamond"/>
        </w:rPr>
        <w:t>19</w:t>
      </w:r>
      <w:r w:rsidR="000043A6">
        <w:rPr>
          <w:rFonts w:ascii="Garamond" w:hAnsi="Garamond"/>
        </w:rPr>
        <w:t>, p=</w:t>
      </w:r>
      <w:r w:rsidR="00535BD3">
        <w:rPr>
          <w:rFonts w:ascii="Garamond" w:hAnsi="Garamond"/>
        </w:rPr>
        <w:t>0.</w:t>
      </w:r>
      <w:r w:rsidR="00C97B1B">
        <w:rPr>
          <w:rFonts w:ascii="Garamond" w:hAnsi="Garamond"/>
        </w:rPr>
        <w:t>009</w:t>
      </w:r>
      <w:r w:rsidR="007E5C7D">
        <w:rPr>
          <w:rFonts w:ascii="Garamond" w:hAnsi="Garamond"/>
        </w:rPr>
        <w:t>, n=</w:t>
      </w:r>
      <w:r w:rsidR="00C97B1B">
        <w:rPr>
          <w:rFonts w:ascii="Garamond" w:hAnsi="Garamond"/>
        </w:rPr>
        <w:t>34)</w:t>
      </w:r>
      <w:r w:rsidR="007E5C7D">
        <w:rPr>
          <w:rFonts w:ascii="Garamond" w:hAnsi="Garamond"/>
        </w:rPr>
        <w:t>, and R</w:t>
      </w:r>
      <w:r w:rsidR="007E5C7D" w:rsidRPr="000043A6">
        <w:rPr>
          <w:rFonts w:ascii="Garamond" w:hAnsi="Garamond"/>
          <w:vertAlign w:val="superscript"/>
        </w:rPr>
        <w:t>2</w:t>
      </w:r>
      <w:r w:rsidR="007E5C7D">
        <w:rPr>
          <w:rFonts w:ascii="Garamond" w:hAnsi="Garamond"/>
        </w:rPr>
        <w:t>=0.</w:t>
      </w:r>
      <w:r w:rsidR="00C97B1B">
        <w:rPr>
          <w:rFonts w:ascii="Garamond" w:hAnsi="Garamond"/>
        </w:rPr>
        <w:t>31</w:t>
      </w:r>
      <w:r w:rsidR="007E5C7D">
        <w:rPr>
          <w:rFonts w:ascii="Garamond" w:hAnsi="Garamond"/>
        </w:rPr>
        <w:t>, p&lt;0.001, n=</w:t>
      </w:r>
      <w:r w:rsidR="00C97B1B">
        <w:rPr>
          <w:rFonts w:ascii="Garamond" w:hAnsi="Garamond"/>
        </w:rPr>
        <w:t xml:space="preserve">36 </w:t>
      </w:r>
      <w:r w:rsidR="007E5C7D">
        <w:rPr>
          <w:rFonts w:ascii="Garamond" w:hAnsi="Garamond"/>
        </w:rPr>
        <w:t xml:space="preserve">for </w:t>
      </w:r>
      <w:proofErr w:type="spellStart"/>
      <w:r w:rsidR="007E5C7D">
        <w:rPr>
          <w:rFonts w:ascii="Garamond" w:hAnsi="Garamond"/>
        </w:rPr>
        <w:t>Ti</w:t>
      </w:r>
      <w:proofErr w:type="spellEnd"/>
      <w:r w:rsidR="007E5C7D">
        <w:rPr>
          <w:rFonts w:ascii="Garamond" w:hAnsi="Garamond"/>
        </w:rPr>
        <w:t>/Inc</w:t>
      </w:r>
      <w:r w:rsidR="00C97B1B">
        <w:rPr>
          <w:rFonts w:ascii="Garamond" w:hAnsi="Garamond"/>
        </w:rPr>
        <w:t xml:space="preserve">, the largest residuals </w:t>
      </w:r>
      <w:r w:rsidR="00C97B1B">
        <w:rPr>
          <w:rFonts w:ascii="Garamond" w:hAnsi="Garamond"/>
        </w:rPr>
        <w:lastRenderedPageBreak/>
        <w:t xml:space="preserve">occur when </w:t>
      </w:r>
      <w:r w:rsidR="00C97B1B" w:rsidRPr="009A2E44">
        <w:rPr>
          <w:rFonts w:ascii="Garamond" w:hAnsi="Garamond"/>
        </w:rPr>
        <w:sym w:font="Symbol" w:char="F064"/>
      </w:r>
      <w:r w:rsidR="00C97B1B" w:rsidRPr="009A2E44">
        <w:rPr>
          <w:rFonts w:ascii="Garamond" w:hAnsi="Garamond"/>
          <w:vertAlign w:val="superscript"/>
        </w:rPr>
        <w:t>2</w:t>
      </w:r>
      <w:r w:rsidR="00C97B1B" w:rsidRPr="009A2E44">
        <w:rPr>
          <w:rFonts w:ascii="Garamond" w:hAnsi="Garamond"/>
        </w:rPr>
        <w:t>H</w:t>
      </w:r>
      <w:r w:rsidR="00C97B1B" w:rsidRPr="009A2E44">
        <w:rPr>
          <w:rFonts w:ascii="Garamond" w:hAnsi="Garamond"/>
          <w:vertAlign w:val="subscript"/>
        </w:rPr>
        <w:t>dinosterol</w:t>
      </w:r>
      <w:r w:rsidR="00C97B1B" w:rsidRPr="009A2E44">
        <w:rPr>
          <w:rFonts w:ascii="Garamond" w:hAnsi="Garamond"/>
        </w:rPr>
        <w:t xml:space="preserve"> values</w:t>
      </w:r>
      <w:r w:rsidR="00C97B1B">
        <w:rPr>
          <w:rFonts w:ascii="Garamond" w:hAnsi="Garamond"/>
        </w:rPr>
        <w:t xml:space="preserve"> indicate the driest conditions, which were perhaps accompanied by lake desiccation (and hence reduction of terrestrial magnetics </w:t>
      </w:r>
      <w:r w:rsidR="000F3D54">
        <w:rPr>
          <w:rFonts w:ascii="Garamond" w:hAnsi="Garamond"/>
        </w:rPr>
        <w:t>and</w:t>
      </w:r>
      <w:r w:rsidR="00C97B1B">
        <w:rPr>
          <w:rFonts w:ascii="Garamond" w:hAnsi="Garamond"/>
        </w:rPr>
        <w:t xml:space="preserve"> </w:t>
      </w:r>
      <w:proofErr w:type="spellStart"/>
      <w:r w:rsidR="00C97B1B">
        <w:rPr>
          <w:rFonts w:ascii="Garamond" w:hAnsi="Garamond"/>
        </w:rPr>
        <w:t>Ti</w:t>
      </w:r>
      <w:proofErr w:type="spellEnd"/>
      <w:r w:rsidR="00C97B1B">
        <w:rPr>
          <w:rFonts w:ascii="Garamond" w:hAnsi="Garamond"/>
        </w:rPr>
        <w:t xml:space="preserve">). </w:t>
      </w:r>
      <w:r w:rsidR="00D5205C" w:rsidRPr="009A2E44">
        <w:rPr>
          <w:rFonts w:ascii="Garamond" w:hAnsi="Garamond"/>
        </w:rPr>
        <w:t xml:space="preserve">Lake Lanoto’o (‘Upolu, Samoa) </w:t>
      </w:r>
      <w:r w:rsidR="00C97B1B" w:rsidRPr="009A2E44">
        <w:rPr>
          <w:rFonts w:ascii="Garamond" w:hAnsi="Garamond"/>
        </w:rPr>
        <w:sym w:font="Symbol" w:char="F064"/>
      </w:r>
      <w:r w:rsidR="00C97B1B" w:rsidRPr="009A2E44">
        <w:rPr>
          <w:rFonts w:ascii="Garamond" w:hAnsi="Garamond"/>
          <w:vertAlign w:val="superscript"/>
        </w:rPr>
        <w:t>2</w:t>
      </w:r>
      <w:r w:rsidR="00C97B1B" w:rsidRPr="009A2E44">
        <w:rPr>
          <w:rFonts w:ascii="Garamond" w:hAnsi="Garamond"/>
        </w:rPr>
        <w:t>H</w:t>
      </w:r>
      <w:r w:rsidR="00C97B1B" w:rsidRPr="009A2E44">
        <w:rPr>
          <w:rFonts w:ascii="Garamond" w:hAnsi="Garamond"/>
          <w:vertAlign w:val="subscript"/>
        </w:rPr>
        <w:t>dinosterol</w:t>
      </w:r>
      <w:r w:rsidR="00C97B1B" w:rsidRPr="009A2E44">
        <w:rPr>
          <w:rFonts w:ascii="Garamond" w:hAnsi="Garamond"/>
        </w:rPr>
        <w:t xml:space="preserve"> values </w:t>
      </w:r>
      <w:r w:rsidR="00C97B1B">
        <w:rPr>
          <w:rFonts w:ascii="Garamond" w:hAnsi="Garamond"/>
        </w:rPr>
        <w:t>also correlated strongly with</w:t>
      </w:r>
      <w:r w:rsidR="00C97B1B" w:rsidRPr="009A2E44">
        <w:rPr>
          <w:rFonts w:ascii="Garamond" w:hAnsi="Garamond"/>
        </w:rPr>
        <w:t xml:space="preserve"> corresponding runoff records </w:t>
      </w:r>
      <w:r w:rsidR="004F51AE" w:rsidRPr="009A2E44">
        <w:rPr>
          <w:rFonts w:ascii="Garamond" w:hAnsi="Garamond"/>
        </w:rPr>
        <w:t xml:space="preserve">prior to </w:t>
      </w:r>
      <w:r w:rsidR="009C122A">
        <w:rPr>
          <w:rFonts w:ascii="Garamond" w:hAnsi="Garamond"/>
        </w:rPr>
        <w:t xml:space="preserve">and after </w:t>
      </w:r>
      <w:r w:rsidR="004F51AE" w:rsidRPr="009A2E44">
        <w:rPr>
          <w:rFonts w:ascii="Garamond" w:hAnsi="Garamond"/>
        </w:rPr>
        <w:t xml:space="preserve">the inferred lower MCA lake </w:t>
      </w:r>
      <w:r w:rsidR="00D5205C" w:rsidRPr="009A2E44">
        <w:rPr>
          <w:rFonts w:ascii="Garamond" w:hAnsi="Garamond"/>
        </w:rPr>
        <w:t>level</w:t>
      </w:r>
      <w:r w:rsidR="000043A6">
        <w:rPr>
          <w:rFonts w:ascii="Garamond" w:hAnsi="Garamond"/>
        </w:rPr>
        <w:t xml:space="preserve"> (R</w:t>
      </w:r>
      <w:r w:rsidR="000043A6" w:rsidRPr="000043A6">
        <w:rPr>
          <w:rFonts w:ascii="Garamond" w:hAnsi="Garamond"/>
          <w:vertAlign w:val="superscript"/>
        </w:rPr>
        <w:t>2</w:t>
      </w:r>
      <w:r w:rsidR="000043A6">
        <w:rPr>
          <w:rFonts w:ascii="Garamond" w:hAnsi="Garamond"/>
        </w:rPr>
        <w:t>=0.6</w:t>
      </w:r>
      <w:r w:rsidR="009C122A">
        <w:rPr>
          <w:rFonts w:ascii="Garamond" w:hAnsi="Garamond"/>
        </w:rPr>
        <w:t>5</w:t>
      </w:r>
      <w:r w:rsidR="000043A6">
        <w:rPr>
          <w:rFonts w:ascii="Garamond" w:hAnsi="Garamond"/>
        </w:rPr>
        <w:t>, p=0.</w:t>
      </w:r>
      <w:r w:rsidR="009C122A">
        <w:rPr>
          <w:rFonts w:ascii="Garamond" w:hAnsi="Garamond"/>
        </w:rPr>
        <w:t>003</w:t>
      </w:r>
      <w:r w:rsidR="00AB6B5F">
        <w:rPr>
          <w:rFonts w:ascii="Garamond" w:hAnsi="Garamond"/>
        </w:rPr>
        <w:t>, n=</w:t>
      </w:r>
      <w:r w:rsidR="009C122A">
        <w:rPr>
          <w:rFonts w:ascii="Garamond" w:hAnsi="Garamond"/>
        </w:rPr>
        <w:t xml:space="preserve">17 </w:t>
      </w:r>
      <w:r w:rsidR="000043A6">
        <w:rPr>
          <w:rFonts w:ascii="Garamond" w:hAnsi="Garamond"/>
        </w:rPr>
        <w:t xml:space="preserve">for </w:t>
      </w:r>
      <w:proofErr w:type="spellStart"/>
      <w:r w:rsidR="000043A6">
        <w:rPr>
          <w:rFonts w:ascii="Garamond" w:hAnsi="Garamond"/>
        </w:rPr>
        <w:t>Ti</w:t>
      </w:r>
      <w:proofErr w:type="spellEnd"/>
      <w:r w:rsidR="000043A6">
        <w:rPr>
          <w:rFonts w:ascii="Garamond" w:hAnsi="Garamond"/>
        </w:rPr>
        <w:t>* and R</w:t>
      </w:r>
      <w:r w:rsidR="000043A6" w:rsidRPr="000043A6">
        <w:rPr>
          <w:rFonts w:ascii="Garamond" w:hAnsi="Garamond"/>
          <w:vertAlign w:val="superscript"/>
        </w:rPr>
        <w:t>2</w:t>
      </w:r>
      <w:r w:rsidR="000043A6">
        <w:rPr>
          <w:rFonts w:ascii="Garamond" w:hAnsi="Garamond"/>
        </w:rPr>
        <w:t>=0.</w:t>
      </w:r>
      <w:r w:rsidR="009C122A">
        <w:rPr>
          <w:rFonts w:ascii="Garamond" w:hAnsi="Garamond"/>
        </w:rPr>
        <w:t>41</w:t>
      </w:r>
      <w:r w:rsidR="000043A6">
        <w:rPr>
          <w:rFonts w:ascii="Garamond" w:hAnsi="Garamond"/>
        </w:rPr>
        <w:t>, p=</w:t>
      </w:r>
      <w:r w:rsidR="009B4F0C">
        <w:rPr>
          <w:rFonts w:ascii="Garamond" w:hAnsi="Garamond"/>
        </w:rPr>
        <w:t>0</w:t>
      </w:r>
      <w:r w:rsidR="000043A6">
        <w:rPr>
          <w:rFonts w:ascii="Garamond" w:hAnsi="Garamond"/>
        </w:rPr>
        <w:t>.</w:t>
      </w:r>
      <w:r w:rsidR="009C122A">
        <w:rPr>
          <w:rFonts w:ascii="Garamond" w:hAnsi="Garamond"/>
        </w:rPr>
        <w:t>004</w:t>
      </w:r>
      <w:r w:rsidR="00AB6B5F">
        <w:rPr>
          <w:rFonts w:ascii="Garamond" w:hAnsi="Garamond"/>
        </w:rPr>
        <w:t>, n=</w:t>
      </w:r>
      <w:r w:rsidR="009C122A">
        <w:rPr>
          <w:rFonts w:ascii="Garamond" w:hAnsi="Garamond"/>
        </w:rPr>
        <w:t xml:space="preserve">18 </w:t>
      </w:r>
      <w:r w:rsidR="000043A6">
        <w:rPr>
          <w:rFonts w:ascii="Garamond" w:hAnsi="Garamond"/>
        </w:rPr>
        <w:t>for magnetic susceptibility)</w:t>
      </w:r>
      <w:r w:rsidR="00D5205C" w:rsidRPr="009A2E44">
        <w:rPr>
          <w:rFonts w:ascii="Garamond" w:hAnsi="Garamond"/>
        </w:rPr>
        <w:t xml:space="preserve">. </w:t>
      </w:r>
      <w:r w:rsidR="00DF1BA0">
        <w:rPr>
          <w:rFonts w:ascii="Garamond" w:hAnsi="Garamond"/>
        </w:rPr>
        <w:t xml:space="preserve">These correlations give us confidence that both </w:t>
      </w:r>
      <w:r w:rsidR="00DF1BA0" w:rsidRPr="009A2E44">
        <w:rPr>
          <w:rFonts w:ascii="Garamond" w:hAnsi="Garamond"/>
        </w:rPr>
        <w:sym w:font="Symbol" w:char="F064"/>
      </w:r>
      <w:r w:rsidR="00DF1BA0" w:rsidRPr="009A2E44">
        <w:rPr>
          <w:rFonts w:ascii="Garamond" w:hAnsi="Garamond"/>
          <w:vertAlign w:val="superscript"/>
        </w:rPr>
        <w:t>2</w:t>
      </w:r>
      <w:r w:rsidR="00DF1BA0" w:rsidRPr="009A2E44">
        <w:rPr>
          <w:rFonts w:ascii="Garamond" w:hAnsi="Garamond"/>
        </w:rPr>
        <w:t>H</w:t>
      </w:r>
      <w:r w:rsidR="00DF1BA0" w:rsidRPr="009A2E44">
        <w:rPr>
          <w:rFonts w:ascii="Garamond" w:hAnsi="Garamond"/>
          <w:vertAlign w:val="subscript"/>
        </w:rPr>
        <w:t>dinosterol</w:t>
      </w:r>
      <w:r w:rsidR="00DF1BA0" w:rsidRPr="009A2E44">
        <w:rPr>
          <w:rFonts w:ascii="Garamond" w:hAnsi="Garamond"/>
        </w:rPr>
        <w:t xml:space="preserve"> values</w:t>
      </w:r>
      <w:r w:rsidR="00DF1BA0">
        <w:rPr>
          <w:rFonts w:ascii="Garamond" w:hAnsi="Garamond"/>
        </w:rPr>
        <w:t xml:space="preserve"> and runoff proxies are sensitive to hydroclimate at these sites.</w:t>
      </w:r>
      <w:r w:rsidR="00DF1BA0" w:rsidRPr="00DF1BA0">
        <w:rPr>
          <w:rFonts w:ascii="Garamond" w:hAnsi="Garamond"/>
        </w:rPr>
        <w:t xml:space="preserve"> </w:t>
      </w:r>
      <w:r w:rsidR="00DF1BA0" w:rsidRPr="009A2E44">
        <w:rPr>
          <w:rFonts w:ascii="Garamond" w:hAnsi="Garamond"/>
        </w:rPr>
        <w:t>There is no significant correlation in Lac Lanutavake data</w:t>
      </w:r>
      <w:r w:rsidR="00DF1BA0">
        <w:rPr>
          <w:rFonts w:ascii="Garamond" w:hAnsi="Garamond"/>
        </w:rPr>
        <w:t xml:space="preserve"> (R</w:t>
      </w:r>
      <w:r w:rsidR="00DF1BA0" w:rsidRPr="000043A6">
        <w:rPr>
          <w:rFonts w:ascii="Garamond" w:hAnsi="Garamond"/>
          <w:vertAlign w:val="superscript"/>
        </w:rPr>
        <w:t>2</w:t>
      </w:r>
      <w:r w:rsidR="00DF1BA0">
        <w:rPr>
          <w:rFonts w:ascii="Garamond" w:hAnsi="Garamond"/>
        </w:rPr>
        <w:t xml:space="preserve">=0.01, p=0.65, n=25) </w:t>
      </w:r>
      <w:r w:rsidR="00DF1BA0" w:rsidRPr="009A2E44">
        <w:rPr>
          <w:rFonts w:ascii="Garamond" w:hAnsi="Garamond"/>
        </w:rPr>
        <w:t>(</w:t>
      </w:r>
      <w:r w:rsidR="00DF1BA0" w:rsidRPr="009A2E44">
        <w:rPr>
          <w:rFonts w:ascii="Garamond" w:hAnsi="Garamond"/>
          <w:b/>
          <w:bCs/>
        </w:rPr>
        <w:t>Fig. A.7</w:t>
      </w:r>
      <w:r w:rsidR="00DF1BA0" w:rsidRPr="009A2E44">
        <w:rPr>
          <w:rFonts w:ascii="Garamond" w:hAnsi="Garamond"/>
        </w:rPr>
        <w:t xml:space="preserve">). Increased sampling resolution plus magnetic susceptibility data from the upper portions of Lac Lanutavake cores might reveal a stronger correlation. It is also possible that the response of lake water </w:t>
      </w:r>
      <w:r w:rsidR="00DF1BA0" w:rsidRPr="009A2E44">
        <w:rPr>
          <w:rFonts w:ascii="Garamond" w:hAnsi="Garamond"/>
          <w:vertAlign w:val="superscript"/>
        </w:rPr>
        <w:t>2</w:t>
      </w:r>
      <w:r w:rsidR="00DF1BA0" w:rsidRPr="009A2E44">
        <w:rPr>
          <w:rFonts w:ascii="Garamond" w:hAnsi="Garamond"/>
        </w:rPr>
        <w:t>H/</w:t>
      </w:r>
      <w:r w:rsidR="00DF1BA0" w:rsidRPr="009A2E44">
        <w:rPr>
          <w:rFonts w:ascii="Garamond" w:hAnsi="Garamond"/>
          <w:vertAlign w:val="superscript"/>
        </w:rPr>
        <w:t>1</w:t>
      </w:r>
      <w:r w:rsidR="00DF1BA0" w:rsidRPr="009A2E44">
        <w:rPr>
          <w:rFonts w:ascii="Garamond" w:hAnsi="Garamond"/>
        </w:rPr>
        <w:t xml:space="preserve">H ratios may be delayed relative to the more immediate response of the magnetic susceptibility record, or the absolute signal of </w:t>
      </w:r>
      <w:r w:rsidR="00DF1BA0" w:rsidRPr="009A2E44">
        <w:rPr>
          <w:rFonts w:ascii="Garamond" w:hAnsi="Garamond"/>
        </w:rPr>
        <w:sym w:font="Symbol" w:char="F064"/>
      </w:r>
      <w:r w:rsidR="00DF1BA0" w:rsidRPr="009A2E44">
        <w:rPr>
          <w:rFonts w:ascii="Garamond" w:hAnsi="Garamond"/>
          <w:vertAlign w:val="superscript"/>
        </w:rPr>
        <w:t>2</w:t>
      </w:r>
      <w:r w:rsidR="00DF1BA0" w:rsidRPr="009A2E44">
        <w:rPr>
          <w:rFonts w:ascii="Garamond" w:hAnsi="Garamond"/>
        </w:rPr>
        <w:t>H</w:t>
      </w:r>
      <w:r w:rsidR="00DF1BA0" w:rsidRPr="009A2E44">
        <w:rPr>
          <w:rFonts w:ascii="Garamond" w:hAnsi="Garamond"/>
          <w:vertAlign w:val="subscript"/>
        </w:rPr>
        <w:t>dinosterol</w:t>
      </w:r>
      <w:r w:rsidR="00DF1BA0" w:rsidRPr="009A2E44">
        <w:rPr>
          <w:rFonts w:ascii="Garamond" w:hAnsi="Garamond"/>
        </w:rPr>
        <w:t xml:space="preserve"> may be too small to reveal a correlation if </w:t>
      </w:r>
      <w:r w:rsidR="00DF1BA0">
        <w:rPr>
          <w:rFonts w:ascii="Garamond" w:hAnsi="Garamond"/>
        </w:rPr>
        <w:t>precipitation remained relatively stable on ‘Uvea.</w:t>
      </w:r>
    </w:p>
    <w:p w14:paraId="0E6AB4D2" w14:textId="77777777" w:rsidR="00D5205C" w:rsidRPr="009A2E44" w:rsidRDefault="00D5205C" w:rsidP="001C47D3">
      <w:pPr>
        <w:spacing w:line="480" w:lineRule="auto"/>
        <w:rPr>
          <w:rFonts w:ascii="Garamond" w:hAnsi="Garamond"/>
          <w:i/>
        </w:rPr>
      </w:pPr>
    </w:p>
    <w:p w14:paraId="67F9F27F" w14:textId="07159A02" w:rsidR="00B54F3D" w:rsidRPr="009A2E44" w:rsidRDefault="00B54F3D" w:rsidP="001C47D3">
      <w:pPr>
        <w:spacing w:line="480" w:lineRule="auto"/>
        <w:rPr>
          <w:rFonts w:ascii="Garamond" w:hAnsi="Garamond"/>
        </w:rPr>
      </w:pPr>
      <w:r w:rsidRPr="009A2E44">
        <w:rPr>
          <w:rFonts w:ascii="Garamond" w:hAnsi="Garamond"/>
          <w:i/>
        </w:rPr>
        <w:t>5.</w:t>
      </w:r>
      <w:r w:rsidR="00242AF7" w:rsidRPr="009A2E44">
        <w:rPr>
          <w:rFonts w:ascii="Garamond" w:hAnsi="Garamond"/>
          <w:i/>
        </w:rPr>
        <w:t>2</w:t>
      </w:r>
      <w:r w:rsidRPr="009A2E44">
        <w:rPr>
          <w:rFonts w:ascii="Garamond" w:hAnsi="Garamond"/>
          <w:i/>
        </w:rPr>
        <w:t>.</w:t>
      </w:r>
      <w:r w:rsidR="00D5205C" w:rsidRPr="009A2E44">
        <w:rPr>
          <w:rFonts w:ascii="Garamond" w:hAnsi="Garamond"/>
          <w:i/>
        </w:rPr>
        <w:t>2</w:t>
      </w:r>
      <w:r w:rsidR="006F5FA3" w:rsidRPr="009A2E44">
        <w:rPr>
          <w:rFonts w:ascii="Garamond" w:hAnsi="Garamond"/>
          <w:i/>
        </w:rPr>
        <w:t>.</w:t>
      </w:r>
      <w:r w:rsidRPr="009A2E44">
        <w:rPr>
          <w:rFonts w:ascii="Garamond" w:hAnsi="Garamond"/>
          <w:i/>
        </w:rPr>
        <w:t xml:space="preserve"> Modern </w:t>
      </w:r>
      <w:r w:rsidRPr="009A2E44">
        <w:rPr>
          <w:rFonts w:ascii="Garamond" w:hAnsi="Garamond"/>
          <w:i/>
        </w:rPr>
        <w:sym w:font="Symbol" w:char="F064"/>
      </w:r>
      <w:r w:rsidRPr="009A2E44">
        <w:rPr>
          <w:rFonts w:ascii="Garamond" w:hAnsi="Garamond"/>
          <w:i/>
          <w:vertAlign w:val="superscript"/>
        </w:rPr>
        <w:t>2</w:t>
      </w:r>
      <w:r w:rsidRPr="009A2E44">
        <w:rPr>
          <w:rFonts w:ascii="Garamond" w:hAnsi="Garamond"/>
          <w:i/>
        </w:rPr>
        <w:t>H</w:t>
      </w:r>
      <w:r w:rsidRPr="009A2E44">
        <w:rPr>
          <w:rFonts w:ascii="Garamond" w:hAnsi="Garamond"/>
          <w:i/>
          <w:vertAlign w:val="subscript"/>
        </w:rPr>
        <w:t>dinosterol</w:t>
      </w:r>
      <w:r w:rsidRPr="009A2E44">
        <w:rPr>
          <w:rFonts w:ascii="Garamond" w:hAnsi="Garamond"/>
          <w:i/>
        </w:rPr>
        <w:t xml:space="preserve"> values </w:t>
      </w:r>
      <w:r w:rsidR="00660EE8" w:rsidRPr="009A2E44">
        <w:rPr>
          <w:rFonts w:ascii="Garamond" w:hAnsi="Garamond"/>
          <w:i/>
        </w:rPr>
        <w:t xml:space="preserve">track instrumental </w:t>
      </w:r>
      <w:r w:rsidR="00EC59A8" w:rsidRPr="009A2E44">
        <w:rPr>
          <w:rFonts w:ascii="Garamond" w:hAnsi="Garamond"/>
          <w:i/>
        </w:rPr>
        <w:t>precipitation</w:t>
      </w:r>
    </w:p>
    <w:p w14:paraId="348ECA08" w14:textId="6BDEDE1A" w:rsidR="00397377" w:rsidRPr="009A2E44" w:rsidRDefault="00BE2F07" w:rsidP="001C47D3">
      <w:pPr>
        <w:spacing w:line="480" w:lineRule="auto"/>
        <w:ind w:firstLine="720"/>
        <w:rPr>
          <w:rFonts w:ascii="Garamond" w:hAnsi="Garamond"/>
          <w:iCs/>
        </w:rPr>
      </w:pPr>
      <w:r w:rsidRPr="009A2E44">
        <w:rPr>
          <w:rFonts w:ascii="Garamond" w:hAnsi="Garamond"/>
        </w:rPr>
        <w:t xml:space="preserve">The </w:t>
      </w:r>
      <w:r w:rsidR="00C20A34" w:rsidRPr="009A2E44">
        <w:rPr>
          <w:rFonts w:ascii="Garamond" w:hAnsi="Garamond"/>
        </w:rPr>
        <w:t xml:space="preserve">overall </w:t>
      </w:r>
      <w:r w:rsidRPr="009A2E44">
        <w:rPr>
          <w:rFonts w:ascii="Garamond" w:hAnsi="Garamond"/>
        </w:rPr>
        <w:t>m</w:t>
      </w:r>
      <w:r w:rsidR="00AF77C7" w:rsidRPr="009A2E44">
        <w:rPr>
          <w:rFonts w:ascii="Garamond" w:hAnsi="Garamond"/>
        </w:rPr>
        <w:t xml:space="preserve">ean </w:t>
      </w:r>
      <w:r w:rsidR="00125EDD">
        <w:rPr>
          <w:rFonts w:ascii="Garamond" w:hAnsi="Garamond"/>
        </w:rPr>
        <w:t>m</w:t>
      </w:r>
      <w:r w:rsidR="00125EDD" w:rsidRPr="009A2E44">
        <w:rPr>
          <w:rFonts w:ascii="Garamond" w:hAnsi="Garamond"/>
        </w:rPr>
        <w:t xml:space="preserve">odern </w:t>
      </w:r>
      <w:r w:rsidRPr="009A2E44">
        <w:rPr>
          <w:rFonts w:ascii="Garamond" w:hAnsi="Garamond"/>
        </w:rPr>
        <w:t xml:space="preserve">(1850 </w:t>
      </w:r>
      <w:r w:rsidR="000C2A4D">
        <w:rPr>
          <w:rFonts w:ascii="Garamond" w:hAnsi="Garamond"/>
          <w:color w:val="202020"/>
          <w:shd w:val="clear" w:color="auto" w:fill="FFFFFF"/>
        </w:rPr>
        <w:t>to</w:t>
      </w:r>
      <w:r w:rsidR="000C2A4D" w:rsidRPr="009A2E44">
        <w:rPr>
          <w:rFonts w:ascii="Garamond" w:hAnsi="Garamond"/>
          <w:color w:val="202020"/>
          <w:shd w:val="clear" w:color="auto" w:fill="FFFFFF"/>
        </w:rPr>
        <w:t xml:space="preserve"> </w:t>
      </w:r>
      <w:r w:rsidRPr="009A2E44">
        <w:rPr>
          <w:rFonts w:ascii="Garamond" w:hAnsi="Garamond"/>
        </w:rPr>
        <w:t xml:space="preserve">present) </w:t>
      </w:r>
      <w:r w:rsidR="00AF77C7" w:rsidRPr="009A2E44">
        <w:rPr>
          <w:rFonts w:ascii="Garamond" w:hAnsi="Garamond"/>
        </w:rPr>
        <w:t xml:space="preserve">reconstructed precipitation rate </w:t>
      </w:r>
      <w:r w:rsidR="0016127D" w:rsidRPr="009A2E44">
        <w:rPr>
          <w:rFonts w:ascii="Garamond" w:hAnsi="Garamond"/>
        </w:rPr>
        <w:t>(6.3</w:t>
      </w:r>
      <w:r w:rsidR="0016127D" w:rsidRPr="009A2E44">
        <w:rPr>
          <w:rFonts w:ascii="Garamond" w:hAnsi="Garamond"/>
        </w:rPr>
        <w:sym w:font="Symbol" w:char="F0B1"/>
      </w:r>
      <w:r w:rsidR="0016127D" w:rsidRPr="009A2E44">
        <w:rPr>
          <w:rFonts w:ascii="Garamond" w:hAnsi="Garamond"/>
        </w:rPr>
        <w:t>2.3 mm d</w:t>
      </w:r>
      <w:r w:rsidR="0016127D" w:rsidRPr="009A2E44">
        <w:rPr>
          <w:rFonts w:ascii="Garamond" w:hAnsi="Garamond"/>
          <w:color w:val="202020"/>
          <w:shd w:val="clear" w:color="auto" w:fill="FFFFFF"/>
          <w:vertAlign w:val="superscript"/>
        </w:rPr>
        <w:t>−</w:t>
      </w:r>
      <w:r w:rsidR="0016127D" w:rsidRPr="009A2E44">
        <w:rPr>
          <w:rFonts w:ascii="Garamond" w:hAnsi="Garamond"/>
          <w:vertAlign w:val="superscript"/>
        </w:rPr>
        <w:t>1</w:t>
      </w:r>
      <w:r w:rsidR="0016127D" w:rsidRPr="009A2E44">
        <w:rPr>
          <w:rFonts w:ascii="Garamond" w:hAnsi="Garamond"/>
        </w:rPr>
        <w:t xml:space="preserve">) from </w:t>
      </w:r>
      <w:r w:rsidRPr="009A2E44">
        <w:rPr>
          <w:rFonts w:ascii="Garamond" w:hAnsi="Garamond"/>
          <w:color w:val="000000"/>
          <w:shd w:val="clear" w:color="auto" w:fill="FFFFFF"/>
        </w:rPr>
        <w:t>Lac Lanutavake</w:t>
      </w:r>
      <w:r w:rsidR="00EA0321" w:rsidRPr="009A2E44">
        <w:rPr>
          <w:rFonts w:ascii="Garamond" w:hAnsi="Garamond"/>
          <w:color w:val="000000"/>
          <w:shd w:val="clear" w:color="auto" w:fill="FFFFFF"/>
        </w:rPr>
        <w:t xml:space="preserve">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samples </w:t>
      </w:r>
      <w:r w:rsidR="00E631D9" w:rsidRPr="009A2E44">
        <w:rPr>
          <w:rFonts w:ascii="Garamond" w:hAnsi="Garamond"/>
        </w:rPr>
        <w:t>(</w:t>
      </w:r>
      <w:r w:rsidR="00E667E3" w:rsidRPr="009A2E44">
        <w:rPr>
          <w:rFonts w:ascii="Garamond" w:hAnsi="Garamond"/>
          <w:b/>
          <w:bCs/>
        </w:rPr>
        <w:t>Fig. 4,</w:t>
      </w:r>
      <w:r w:rsidR="00E667E3" w:rsidRPr="009A2E44">
        <w:rPr>
          <w:rFonts w:ascii="Garamond" w:hAnsi="Garamond"/>
        </w:rPr>
        <w:t xml:space="preserve"> </w:t>
      </w:r>
      <w:r w:rsidR="00E631D9" w:rsidRPr="009A2E44">
        <w:rPr>
          <w:rFonts w:ascii="Garamond" w:hAnsi="Garamond"/>
          <w:b/>
          <w:bCs/>
        </w:rPr>
        <w:t>Table A.</w:t>
      </w:r>
      <w:r w:rsidR="0095523D" w:rsidRPr="009A2E44">
        <w:rPr>
          <w:rFonts w:ascii="Garamond" w:hAnsi="Garamond"/>
          <w:b/>
          <w:bCs/>
        </w:rPr>
        <w:t>5</w:t>
      </w:r>
      <w:r w:rsidR="00E631D9" w:rsidRPr="009A2E44">
        <w:rPr>
          <w:rFonts w:ascii="Garamond" w:hAnsi="Garamond"/>
        </w:rPr>
        <w:t xml:space="preserve">) </w:t>
      </w:r>
      <w:r w:rsidR="00131D8C" w:rsidRPr="009A2E44">
        <w:rPr>
          <w:rFonts w:ascii="Garamond" w:hAnsi="Garamond"/>
        </w:rPr>
        <w:t>agree</w:t>
      </w:r>
      <w:r w:rsidRPr="009A2E44">
        <w:rPr>
          <w:rFonts w:ascii="Garamond" w:hAnsi="Garamond"/>
        </w:rPr>
        <w:t>s</w:t>
      </w:r>
      <w:r w:rsidR="00FE4B6D" w:rsidRPr="009A2E44">
        <w:rPr>
          <w:rFonts w:ascii="Garamond" w:hAnsi="Garamond"/>
        </w:rPr>
        <w:t xml:space="preserve"> well with </w:t>
      </w:r>
      <w:r w:rsidR="0016127D" w:rsidRPr="009A2E44">
        <w:rPr>
          <w:rFonts w:ascii="Garamond" w:hAnsi="Garamond"/>
        </w:rPr>
        <w:t>‘Uvea’s mean</w:t>
      </w:r>
      <w:r w:rsidR="00FE4B6D" w:rsidRPr="009A2E44">
        <w:rPr>
          <w:rFonts w:ascii="Garamond" w:hAnsi="Garamond"/>
        </w:rPr>
        <w:t xml:space="preserve"> GPCP value </w:t>
      </w:r>
      <w:r w:rsidR="00346591" w:rsidRPr="009A2E44">
        <w:rPr>
          <w:rFonts w:ascii="Garamond" w:hAnsi="Garamond"/>
        </w:rPr>
        <w:t>(</w:t>
      </w:r>
      <w:r w:rsidRPr="009A2E44">
        <w:rPr>
          <w:rFonts w:ascii="Garamond" w:hAnsi="Garamond"/>
        </w:rPr>
        <w:t>6.0</w:t>
      </w:r>
      <w:r w:rsidRPr="009A2E44">
        <w:rPr>
          <w:rFonts w:ascii="Garamond" w:hAnsi="Garamond"/>
        </w:rPr>
        <w:sym w:font="Symbol" w:char="F0B1"/>
      </w:r>
      <w:r w:rsidRPr="009A2E44">
        <w:rPr>
          <w:rFonts w:ascii="Garamond" w:hAnsi="Garamond"/>
        </w:rPr>
        <w:t xml:space="preserve">1.4 </w:t>
      </w:r>
      <w:r w:rsidR="00346591" w:rsidRPr="009A2E44">
        <w:rPr>
          <w:rFonts w:ascii="Garamond" w:hAnsi="Garamond"/>
        </w:rPr>
        <w:t>mm d</w:t>
      </w:r>
      <w:r w:rsidR="00346591" w:rsidRPr="009A2E44">
        <w:rPr>
          <w:rFonts w:ascii="Garamond" w:hAnsi="Garamond"/>
          <w:color w:val="202020"/>
          <w:shd w:val="clear" w:color="auto" w:fill="FFFFFF"/>
          <w:vertAlign w:val="superscript"/>
        </w:rPr>
        <w:t>−</w:t>
      </w:r>
      <w:r w:rsidR="00346591" w:rsidRPr="009A2E44">
        <w:rPr>
          <w:rFonts w:ascii="Garamond" w:hAnsi="Garamond"/>
          <w:vertAlign w:val="superscript"/>
        </w:rPr>
        <w:t>1</w:t>
      </w:r>
      <w:r w:rsidR="00346591" w:rsidRPr="009A2E44">
        <w:rPr>
          <w:rFonts w:ascii="Garamond" w:hAnsi="Garamond"/>
        </w:rPr>
        <w:t>)</w:t>
      </w:r>
      <w:r w:rsidR="00C20A34" w:rsidRPr="009A2E44">
        <w:rPr>
          <w:rFonts w:ascii="Garamond" w:hAnsi="Garamond"/>
        </w:rPr>
        <w:t xml:space="preserve"> (</w:t>
      </w:r>
      <w:r w:rsidR="007241CB" w:rsidRPr="009A2E44">
        <w:rPr>
          <w:rFonts w:ascii="Garamond" w:hAnsi="Garamond"/>
          <w:b/>
          <w:bCs/>
        </w:rPr>
        <w:t>Table A.1</w:t>
      </w:r>
      <w:r w:rsidR="00C20A34" w:rsidRPr="009A2E44">
        <w:rPr>
          <w:rFonts w:ascii="Garamond" w:hAnsi="Garamond"/>
        </w:rPr>
        <w:t>)</w:t>
      </w:r>
      <w:r w:rsidR="00346591" w:rsidRPr="009A2E44">
        <w:rPr>
          <w:rFonts w:ascii="Garamond" w:hAnsi="Garamond"/>
        </w:rPr>
        <w:t xml:space="preserve">. </w:t>
      </w:r>
      <w:r w:rsidR="00C20A34" w:rsidRPr="009A2E44">
        <w:rPr>
          <w:rFonts w:ascii="Garamond" w:hAnsi="Garamond"/>
        </w:rPr>
        <w:t>Furthermore</w:t>
      </w:r>
      <w:r w:rsidRPr="009A2E44">
        <w:rPr>
          <w:rFonts w:ascii="Garamond" w:hAnsi="Garamond"/>
        </w:rPr>
        <w:t xml:space="preserve">, </w:t>
      </w:r>
      <w:r w:rsidR="00FE4B6D" w:rsidRPr="009A2E44">
        <w:rPr>
          <w:rFonts w:ascii="Garamond" w:hAnsi="Garamond"/>
          <w:b/>
          <w:bCs/>
        </w:rPr>
        <w:t xml:space="preserve">Fig. </w:t>
      </w:r>
      <w:r w:rsidR="00E631D9" w:rsidRPr="009A2E44">
        <w:rPr>
          <w:rFonts w:ascii="Garamond" w:hAnsi="Garamond"/>
          <w:b/>
          <w:bCs/>
        </w:rPr>
        <w:t>5</w:t>
      </w:r>
      <w:r w:rsidR="00E631D9" w:rsidRPr="009A2E44">
        <w:rPr>
          <w:rFonts w:ascii="Garamond" w:hAnsi="Garamond"/>
        </w:rPr>
        <w:t xml:space="preserve"> </w:t>
      </w:r>
      <w:r w:rsidR="00B9593D" w:rsidRPr="009A2E44">
        <w:rPr>
          <w:rFonts w:ascii="Garamond" w:hAnsi="Garamond"/>
        </w:rPr>
        <w:t>illustrates</w:t>
      </w:r>
      <w:r w:rsidR="00AF77C7" w:rsidRPr="009A2E44">
        <w:rPr>
          <w:rFonts w:ascii="Garamond" w:hAnsi="Garamond"/>
        </w:rPr>
        <w:t xml:space="preserve"> </w:t>
      </w:r>
      <w:r w:rsidR="00BA2F58" w:rsidRPr="009A2E44">
        <w:rPr>
          <w:rFonts w:ascii="Garamond" w:hAnsi="Garamond"/>
        </w:rPr>
        <w:t xml:space="preserve">how </w:t>
      </w:r>
      <w:r w:rsidR="00C20A34" w:rsidRPr="009A2E44">
        <w:rPr>
          <w:rFonts w:ascii="Garamond" w:hAnsi="Garamond"/>
        </w:rPr>
        <w:t>the</w:t>
      </w:r>
      <w:r w:rsidR="00AF77C7" w:rsidRPr="009A2E44">
        <w:rPr>
          <w:rFonts w:ascii="Garamond" w:hAnsi="Garamond"/>
        </w:rPr>
        <w:t xml:space="preserve"> variability captured in </w:t>
      </w:r>
      <w:r w:rsidR="00FE74D5" w:rsidRPr="009A2E44">
        <w:rPr>
          <w:rFonts w:ascii="Garamond" w:hAnsi="Garamond"/>
          <w:color w:val="000000"/>
          <w:shd w:val="clear" w:color="auto" w:fill="FFFFFF"/>
        </w:rPr>
        <w:t>Lac Lanutavake’s</w:t>
      </w:r>
      <w:r w:rsidR="00AF77C7" w:rsidRPr="009A2E44">
        <w:rPr>
          <w:rFonts w:ascii="Garamond" w:hAnsi="Garamond"/>
        </w:rPr>
        <w:t xml:space="preserve"> uppermost </w:t>
      </w:r>
      <w:r w:rsidRPr="009A2E44">
        <w:rPr>
          <w:rFonts w:ascii="Garamond" w:hAnsi="Garamond"/>
        </w:rPr>
        <w:t>six</w:t>
      </w:r>
      <w:r w:rsidR="00AF77C7" w:rsidRPr="009A2E44">
        <w:rPr>
          <w:rFonts w:ascii="Garamond" w:hAnsi="Garamond"/>
        </w:rPr>
        <w:t xml:space="preserve"> samples </w:t>
      </w:r>
      <w:proofErr w:type="gramStart"/>
      <w:r w:rsidR="00C20A34" w:rsidRPr="009A2E44">
        <w:rPr>
          <w:rFonts w:ascii="Garamond" w:hAnsi="Garamond"/>
        </w:rPr>
        <w:t>echoes</w:t>
      </w:r>
      <w:proofErr w:type="gramEnd"/>
      <w:r w:rsidR="00C20A34" w:rsidRPr="009A2E44">
        <w:rPr>
          <w:rFonts w:ascii="Garamond" w:hAnsi="Garamond"/>
        </w:rPr>
        <w:t xml:space="preserve"> the pattern</w:t>
      </w:r>
      <w:r w:rsidR="00AF77C7" w:rsidRPr="009A2E44">
        <w:rPr>
          <w:rFonts w:ascii="Garamond" w:hAnsi="Garamond"/>
        </w:rPr>
        <w:t xml:space="preserve"> </w:t>
      </w:r>
      <w:r w:rsidR="00C20A34" w:rsidRPr="009A2E44">
        <w:rPr>
          <w:rFonts w:ascii="Garamond" w:hAnsi="Garamond"/>
        </w:rPr>
        <w:t xml:space="preserve">of </w:t>
      </w:r>
      <w:r w:rsidR="00AF77C7" w:rsidRPr="009A2E44">
        <w:rPr>
          <w:rFonts w:ascii="Garamond" w:hAnsi="Garamond"/>
        </w:rPr>
        <w:t xml:space="preserve">a smoothed </w:t>
      </w:r>
      <w:r w:rsidR="00FE74D5" w:rsidRPr="009A2E44">
        <w:rPr>
          <w:rFonts w:ascii="Garamond" w:hAnsi="Garamond"/>
        </w:rPr>
        <w:t>GPCP</w:t>
      </w:r>
      <w:r w:rsidR="00AF77C7" w:rsidRPr="009A2E44">
        <w:rPr>
          <w:rFonts w:ascii="Garamond" w:hAnsi="Garamond"/>
        </w:rPr>
        <w:t xml:space="preserve"> </w:t>
      </w:r>
      <w:r w:rsidR="00C20A34" w:rsidRPr="009A2E44">
        <w:rPr>
          <w:rFonts w:ascii="Garamond" w:hAnsi="Garamond"/>
        </w:rPr>
        <w:t>record</w:t>
      </w:r>
      <w:r w:rsidR="00BA2F58" w:rsidRPr="009A2E44">
        <w:rPr>
          <w:rFonts w:ascii="Garamond" w:hAnsi="Garamond"/>
        </w:rPr>
        <w:t xml:space="preserve"> </w:t>
      </w:r>
      <w:r w:rsidR="00AF77C7" w:rsidRPr="009A2E44">
        <w:rPr>
          <w:rFonts w:ascii="Garamond" w:hAnsi="Garamond"/>
        </w:rPr>
        <w:t>within age uncertainties</w:t>
      </w:r>
      <w:r w:rsidR="00C20A34" w:rsidRPr="009A2E44">
        <w:rPr>
          <w:rFonts w:ascii="Garamond" w:hAnsi="Garamond"/>
        </w:rPr>
        <w:t>. S</w:t>
      </w:r>
      <w:r w:rsidR="00C20A34" w:rsidRPr="009A2E44">
        <w:rPr>
          <w:rFonts w:ascii="Garamond" w:hAnsi="Garamond"/>
          <w:iCs/>
        </w:rPr>
        <w:t xml:space="preserve">moothing the GPCP record with </w:t>
      </w:r>
      <w:r w:rsidRPr="009A2E44">
        <w:rPr>
          <w:rFonts w:ascii="Garamond" w:hAnsi="Garamond"/>
          <w:iCs/>
        </w:rPr>
        <w:t xml:space="preserve">a 3.5-year running mean </w:t>
      </w:r>
      <w:r w:rsidRPr="009A2E44">
        <w:rPr>
          <w:rFonts w:ascii="Garamond" w:hAnsi="Garamond"/>
        </w:rPr>
        <w:t>approximate</w:t>
      </w:r>
      <w:r w:rsidR="00FE74D5" w:rsidRPr="009A2E44">
        <w:rPr>
          <w:rFonts w:ascii="Garamond" w:hAnsi="Garamond"/>
        </w:rPr>
        <w:t>s</w:t>
      </w:r>
      <w:r w:rsidRPr="009A2E44">
        <w:rPr>
          <w:rFonts w:ascii="Garamond" w:hAnsi="Garamond"/>
        </w:rPr>
        <w:t xml:space="preserve"> how </w:t>
      </w:r>
      <w:r w:rsidR="0002430A" w:rsidRPr="009A2E44">
        <w:rPr>
          <w:rFonts w:ascii="Garamond" w:hAnsi="Garamond"/>
        </w:rPr>
        <w:t>the</w:t>
      </w:r>
      <w:r w:rsidRPr="009A2E44">
        <w:rPr>
          <w:rFonts w:ascii="Garamond" w:hAnsi="Garamond"/>
        </w:rPr>
        <w:t xml:space="preserve"> precipitation signal </w:t>
      </w:r>
      <w:r w:rsidR="0002430A" w:rsidRPr="009A2E44">
        <w:rPr>
          <w:rFonts w:ascii="Garamond" w:hAnsi="Garamond"/>
        </w:rPr>
        <w:t>is</w:t>
      </w:r>
      <w:r w:rsidRPr="009A2E44">
        <w:rPr>
          <w:rFonts w:ascii="Garamond" w:hAnsi="Garamond"/>
        </w:rPr>
        <w:t xml:space="preserve"> reflected in</w:t>
      </w:r>
      <w:r w:rsidR="007242F6">
        <w:rPr>
          <w:rFonts w:ascii="Garamond" w:hAnsi="Garamond"/>
        </w:rPr>
        <w:t xml:space="preserve"> sediment samples of 0.5</w:t>
      </w:r>
      <w:r w:rsidR="00F37FC8" w:rsidRPr="009A2E44">
        <w:rPr>
          <w:rFonts w:ascii="Garamond" w:hAnsi="Garamond"/>
        </w:rPr>
        <w:t xml:space="preserve"> </w:t>
      </w:r>
      <w:r w:rsidR="000C2A4D">
        <w:rPr>
          <w:rFonts w:ascii="Garamond" w:hAnsi="Garamond"/>
          <w:color w:val="202020"/>
          <w:shd w:val="clear" w:color="auto" w:fill="FFFFFF"/>
        </w:rPr>
        <w:t>to</w:t>
      </w:r>
      <w:r w:rsidR="000C2A4D" w:rsidRPr="009A2E44">
        <w:rPr>
          <w:rFonts w:ascii="Garamond" w:hAnsi="Garamond"/>
          <w:color w:val="202020"/>
          <w:shd w:val="clear" w:color="auto" w:fill="FFFFFF"/>
        </w:rPr>
        <w:t xml:space="preserve"> </w:t>
      </w:r>
      <w:r w:rsidR="000E30FF">
        <w:rPr>
          <w:rFonts w:ascii="Garamond" w:hAnsi="Garamond"/>
        </w:rPr>
        <w:t>2</w:t>
      </w:r>
      <w:r w:rsidR="007242F6">
        <w:rPr>
          <w:rFonts w:ascii="Garamond" w:hAnsi="Garamond"/>
        </w:rPr>
        <w:t xml:space="preserve"> cm thickness</w:t>
      </w:r>
      <w:r w:rsidRPr="009A2E44">
        <w:rPr>
          <w:rFonts w:ascii="Garamond" w:hAnsi="Garamond"/>
        </w:rPr>
        <w:t xml:space="preserve"> that integrate 1 to 8 </w:t>
      </w:r>
      <w:r w:rsidR="00C20A34" w:rsidRPr="009A2E44">
        <w:rPr>
          <w:rFonts w:ascii="Garamond" w:hAnsi="Garamond"/>
        </w:rPr>
        <w:t xml:space="preserve">years of accumulation </w:t>
      </w:r>
      <w:r w:rsidRPr="009A2E44">
        <w:rPr>
          <w:rFonts w:ascii="Garamond" w:hAnsi="Garamond"/>
        </w:rPr>
        <w:t>(average 3.5</w:t>
      </w:r>
      <w:r w:rsidR="00C20A34" w:rsidRPr="009A2E44">
        <w:rPr>
          <w:rFonts w:ascii="Garamond" w:hAnsi="Garamond"/>
        </w:rPr>
        <w:t xml:space="preserve"> years for sites examined here</w:t>
      </w:r>
      <w:r w:rsidR="00E631D9" w:rsidRPr="009A2E44">
        <w:rPr>
          <w:rFonts w:ascii="Garamond" w:hAnsi="Garamond"/>
        </w:rPr>
        <w:t xml:space="preserve"> during 1979</w:t>
      </w:r>
      <w:r w:rsidR="003528DF" w:rsidRPr="009A2E44">
        <w:rPr>
          <w:rFonts w:ascii="Garamond" w:hAnsi="Garamond"/>
        </w:rPr>
        <w:t xml:space="preserve"> </w:t>
      </w:r>
      <w:r w:rsidR="000C2A4D">
        <w:rPr>
          <w:rFonts w:ascii="Garamond" w:hAnsi="Garamond"/>
          <w:color w:val="202020"/>
          <w:shd w:val="clear" w:color="auto" w:fill="FFFFFF"/>
        </w:rPr>
        <w:t>to</w:t>
      </w:r>
      <w:r w:rsidR="000C2A4D" w:rsidRPr="009A2E44">
        <w:rPr>
          <w:rFonts w:ascii="Garamond" w:hAnsi="Garamond"/>
          <w:color w:val="202020"/>
          <w:shd w:val="clear" w:color="auto" w:fill="FFFFFF"/>
        </w:rPr>
        <w:t xml:space="preserve"> </w:t>
      </w:r>
      <w:r w:rsidR="00E631D9" w:rsidRPr="009A2E44">
        <w:rPr>
          <w:rFonts w:ascii="Garamond" w:hAnsi="Garamond"/>
        </w:rPr>
        <w:t>2016</w:t>
      </w:r>
      <w:r w:rsidRPr="009A2E44">
        <w:rPr>
          <w:rFonts w:ascii="Garamond" w:hAnsi="Garamond"/>
        </w:rPr>
        <w:t>)</w:t>
      </w:r>
      <w:r w:rsidR="00AF77C7" w:rsidRPr="009A2E44">
        <w:rPr>
          <w:rFonts w:ascii="Garamond" w:hAnsi="Garamond"/>
        </w:rPr>
        <w:t>.</w:t>
      </w:r>
      <w:r w:rsidR="00FE4B6D" w:rsidRPr="009A2E44">
        <w:rPr>
          <w:rFonts w:ascii="Garamond" w:hAnsi="Garamond"/>
        </w:rPr>
        <w:t xml:space="preserve"> </w:t>
      </w:r>
      <w:r w:rsidR="0002430A" w:rsidRPr="009A2E44">
        <w:rPr>
          <w:rFonts w:ascii="Garamond" w:hAnsi="Garamond"/>
        </w:rPr>
        <w:t>T</w:t>
      </w:r>
      <w:r w:rsidR="004C490B" w:rsidRPr="009A2E44">
        <w:rPr>
          <w:rFonts w:ascii="Garamond" w:hAnsi="Garamond"/>
        </w:rPr>
        <w:t>here are</w:t>
      </w:r>
      <w:r w:rsidR="00FE4B6D" w:rsidRPr="009A2E44">
        <w:rPr>
          <w:rFonts w:ascii="Garamond" w:hAnsi="Garamond"/>
        </w:rPr>
        <w:t xml:space="preserve"> only </w:t>
      </w:r>
      <w:r w:rsidRPr="009A2E44">
        <w:rPr>
          <w:rFonts w:ascii="Garamond" w:hAnsi="Garamond"/>
        </w:rPr>
        <w:t>two</w:t>
      </w:r>
      <w:r w:rsidR="00FE4B6D" w:rsidRPr="009A2E44">
        <w:rPr>
          <w:rFonts w:ascii="Garamond" w:hAnsi="Garamond"/>
        </w:rPr>
        <w:t xml:space="preserve"> (Lake Lanoto’o) or </w:t>
      </w:r>
      <w:r w:rsidR="003528DF" w:rsidRPr="009A2E44">
        <w:rPr>
          <w:rFonts w:ascii="Garamond" w:hAnsi="Garamond"/>
        </w:rPr>
        <w:t xml:space="preserve">five </w:t>
      </w:r>
      <w:r w:rsidR="00FE4B6D" w:rsidRPr="009A2E44">
        <w:rPr>
          <w:rFonts w:ascii="Garamond" w:hAnsi="Garamond"/>
        </w:rPr>
        <w:t xml:space="preserve">(Lake Emaotul) samples </w:t>
      </w:r>
      <w:r w:rsidR="004C490B" w:rsidRPr="009A2E44">
        <w:rPr>
          <w:rFonts w:ascii="Garamond" w:hAnsi="Garamond"/>
        </w:rPr>
        <w:t>that overlap with the GPCP record</w:t>
      </w:r>
      <w:r w:rsidR="009060EC" w:rsidRPr="009A2E44">
        <w:rPr>
          <w:rFonts w:ascii="Garamond" w:hAnsi="Garamond"/>
        </w:rPr>
        <w:t xml:space="preserve">, </w:t>
      </w:r>
      <w:r w:rsidR="007242F6">
        <w:rPr>
          <w:rFonts w:ascii="Garamond" w:hAnsi="Garamond"/>
        </w:rPr>
        <w:t>but the</w:t>
      </w:r>
      <w:r w:rsidR="00F37FC8">
        <w:rPr>
          <w:rFonts w:ascii="Garamond" w:hAnsi="Garamond"/>
        </w:rPr>
        <w:t>ir</w:t>
      </w:r>
      <w:r w:rsidR="007242F6" w:rsidRPr="009A2E44">
        <w:rPr>
          <w:rFonts w:ascii="Garamond" w:hAnsi="Garamond"/>
        </w:rPr>
        <w:t xml:space="preserve"> </w:t>
      </w:r>
      <w:r w:rsidR="00C324E5" w:rsidRPr="009A2E44">
        <w:rPr>
          <w:rFonts w:ascii="Garamond" w:hAnsi="Garamond"/>
        </w:rPr>
        <w:t xml:space="preserve">reconstructed precipitation values </w:t>
      </w:r>
      <w:r w:rsidR="00F37FC8">
        <w:rPr>
          <w:rFonts w:ascii="Garamond" w:hAnsi="Garamond"/>
        </w:rPr>
        <w:t xml:space="preserve">also </w:t>
      </w:r>
      <w:r w:rsidR="006B463D" w:rsidRPr="009A2E44">
        <w:rPr>
          <w:rFonts w:ascii="Garamond" w:hAnsi="Garamond"/>
        </w:rPr>
        <w:t xml:space="preserve">approximately match the smoothed </w:t>
      </w:r>
      <w:r w:rsidR="007242F6">
        <w:rPr>
          <w:rFonts w:ascii="Garamond" w:hAnsi="Garamond"/>
        </w:rPr>
        <w:t>instrumental</w:t>
      </w:r>
      <w:r w:rsidR="007242F6" w:rsidRPr="009A2E44">
        <w:rPr>
          <w:rFonts w:ascii="Garamond" w:hAnsi="Garamond"/>
        </w:rPr>
        <w:t xml:space="preserve"> </w:t>
      </w:r>
      <w:r w:rsidR="006B463D" w:rsidRPr="009A2E44">
        <w:rPr>
          <w:rFonts w:ascii="Garamond" w:hAnsi="Garamond"/>
        </w:rPr>
        <w:t>record (</w:t>
      </w:r>
      <w:r w:rsidR="006B463D" w:rsidRPr="009A2E44">
        <w:rPr>
          <w:rFonts w:ascii="Garamond" w:hAnsi="Garamond"/>
          <w:b/>
          <w:bCs/>
        </w:rPr>
        <w:t xml:space="preserve">Fig. </w:t>
      </w:r>
      <w:r w:rsidR="00E631D9" w:rsidRPr="009A2E44">
        <w:rPr>
          <w:rFonts w:ascii="Garamond" w:hAnsi="Garamond"/>
          <w:b/>
          <w:bCs/>
        </w:rPr>
        <w:t>5</w:t>
      </w:r>
      <w:r w:rsidR="00317B37" w:rsidRPr="009A2E44">
        <w:rPr>
          <w:rFonts w:ascii="Garamond" w:hAnsi="Garamond"/>
        </w:rPr>
        <w:t xml:space="preserve">, </w:t>
      </w:r>
      <w:r w:rsidR="00781148" w:rsidRPr="009A2E44">
        <w:rPr>
          <w:rFonts w:ascii="Garamond" w:hAnsi="Garamond"/>
          <w:b/>
          <w:bCs/>
        </w:rPr>
        <w:t xml:space="preserve">Table </w:t>
      </w:r>
      <w:r w:rsidR="00E631D9" w:rsidRPr="009A2E44">
        <w:rPr>
          <w:rFonts w:ascii="Garamond" w:hAnsi="Garamond"/>
          <w:b/>
          <w:bCs/>
        </w:rPr>
        <w:t>A.1</w:t>
      </w:r>
      <w:r w:rsidR="00444FDF" w:rsidRPr="009A2E44">
        <w:rPr>
          <w:rFonts w:ascii="Garamond" w:hAnsi="Garamond"/>
          <w:b/>
          <w:bCs/>
        </w:rPr>
        <w:t>,</w:t>
      </w:r>
      <w:r w:rsidR="007241CB" w:rsidRPr="009A2E44">
        <w:rPr>
          <w:rFonts w:ascii="Garamond" w:hAnsi="Garamond"/>
          <w:b/>
          <w:bCs/>
        </w:rPr>
        <w:t xml:space="preserve"> A.</w:t>
      </w:r>
      <w:r w:rsidR="0095523D" w:rsidRPr="009A2E44">
        <w:rPr>
          <w:rFonts w:ascii="Garamond" w:hAnsi="Garamond"/>
          <w:b/>
          <w:bCs/>
        </w:rPr>
        <w:t>5</w:t>
      </w:r>
      <w:r w:rsidR="004C490B" w:rsidRPr="009A2E44">
        <w:rPr>
          <w:rFonts w:ascii="Garamond" w:hAnsi="Garamond"/>
        </w:rPr>
        <w:t>)</w:t>
      </w:r>
      <w:r w:rsidR="00242AF7" w:rsidRPr="009A2E44">
        <w:rPr>
          <w:rFonts w:ascii="Garamond" w:hAnsi="Garamond"/>
          <w:iCs/>
        </w:rPr>
        <w:t xml:space="preserve">. </w:t>
      </w:r>
      <w:r w:rsidR="007A43F6" w:rsidRPr="009A2E44">
        <w:rPr>
          <w:rFonts w:ascii="Garamond" w:hAnsi="Garamond"/>
        </w:rPr>
        <w:t xml:space="preserve">Comparing the </w:t>
      </w:r>
      <w:r w:rsidR="00125EDD">
        <w:rPr>
          <w:rFonts w:ascii="Garamond" w:hAnsi="Garamond"/>
        </w:rPr>
        <w:t>m</w:t>
      </w:r>
      <w:r w:rsidR="00125EDD" w:rsidRPr="009A2E44">
        <w:rPr>
          <w:rFonts w:ascii="Garamond" w:hAnsi="Garamond"/>
        </w:rPr>
        <w:t xml:space="preserve">odern </w:t>
      </w:r>
      <w:r w:rsidR="007A43F6" w:rsidRPr="009A2E44">
        <w:rPr>
          <w:rFonts w:ascii="Garamond" w:hAnsi="Garamond"/>
        </w:rPr>
        <w:t xml:space="preserve">period </w:t>
      </w:r>
      <w:r w:rsidR="007A43F6" w:rsidRPr="009A2E44">
        <w:rPr>
          <w:rFonts w:ascii="Garamond" w:hAnsi="Garamond"/>
        </w:rPr>
        <w:sym w:font="Symbol" w:char="F064"/>
      </w:r>
      <w:r w:rsidR="007A43F6" w:rsidRPr="009A2E44">
        <w:rPr>
          <w:rFonts w:ascii="Garamond" w:hAnsi="Garamond"/>
          <w:vertAlign w:val="superscript"/>
        </w:rPr>
        <w:t>2</w:t>
      </w:r>
      <w:r w:rsidR="007A43F6" w:rsidRPr="009A2E44">
        <w:rPr>
          <w:rFonts w:ascii="Garamond" w:hAnsi="Garamond"/>
        </w:rPr>
        <w:t>H</w:t>
      </w:r>
      <w:r w:rsidR="007A43F6" w:rsidRPr="009A2E44">
        <w:rPr>
          <w:rFonts w:ascii="Garamond" w:hAnsi="Garamond"/>
          <w:vertAlign w:val="subscript"/>
        </w:rPr>
        <w:t>dinosterol</w:t>
      </w:r>
      <w:r w:rsidR="007A43F6" w:rsidRPr="009A2E44">
        <w:rPr>
          <w:rFonts w:ascii="Garamond" w:hAnsi="Garamond"/>
        </w:rPr>
        <w:t xml:space="preserve"> values to the GPCP observational record reveals how slow sediment accumulation rates, low resolution </w:t>
      </w:r>
      <w:r w:rsidR="007A43F6" w:rsidRPr="009A2E44">
        <w:rPr>
          <w:rFonts w:ascii="Garamond" w:hAnsi="Garamond"/>
        </w:rPr>
        <w:lastRenderedPageBreak/>
        <w:t xml:space="preserve">sectioning/sampling, and large age model uncertainties </w:t>
      </w:r>
      <w:r w:rsidR="007242F6">
        <w:rPr>
          <w:rFonts w:ascii="Garamond" w:hAnsi="Garamond"/>
        </w:rPr>
        <w:t>restrict our lacustrine</w:t>
      </w:r>
      <w:r w:rsidR="007A43F6" w:rsidRPr="009A2E44">
        <w:rPr>
          <w:rFonts w:ascii="Garamond" w:hAnsi="Garamond"/>
        </w:rPr>
        <w:t xml:space="preserve"> precipitation reconstructions to interannual or longer timescales.</w:t>
      </w:r>
      <w:r w:rsidR="000719DE">
        <w:rPr>
          <w:rFonts w:ascii="Garamond" w:hAnsi="Garamond"/>
        </w:rPr>
        <w:t xml:space="preserve"> </w:t>
      </w:r>
    </w:p>
    <w:p w14:paraId="2F94684E" w14:textId="5FFB78B0" w:rsidR="003E1AEA" w:rsidRPr="009A2E44" w:rsidRDefault="00E23A90" w:rsidP="001C47D3">
      <w:pPr>
        <w:spacing w:line="480" w:lineRule="auto"/>
        <w:ind w:firstLine="720"/>
        <w:rPr>
          <w:rFonts w:ascii="Garamond" w:hAnsi="Garamond"/>
        </w:rPr>
      </w:pPr>
      <w:r w:rsidRPr="009A2E44">
        <w:rPr>
          <w:rFonts w:ascii="Garamond" w:hAnsi="Garamond"/>
        </w:rPr>
        <w:t>Four</w:t>
      </w:r>
      <w:r w:rsidR="00451187" w:rsidRPr="009A2E44">
        <w:rPr>
          <w:rFonts w:ascii="Garamond" w:hAnsi="Garamond"/>
        </w:rPr>
        <w:t xml:space="preserve"> aspects of the core top calibration need to be considered when interpreting precipitation estimates generated from </w:t>
      </w:r>
      <w:r w:rsidR="00451187" w:rsidRPr="009A2E44">
        <w:rPr>
          <w:rFonts w:ascii="Garamond" w:hAnsi="Garamond"/>
        </w:rPr>
        <w:sym w:font="Symbol" w:char="F064"/>
      </w:r>
      <w:r w:rsidR="00451187" w:rsidRPr="009A2E44">
        <w:rPr>
          <w:rFonts w:ascii="Garamond" w:hAnsi="Garamond"/>
          <w:vertAlign w:val="superscript"/>
        </w:rPr>
        <w:t>2</w:t>
      </w:r>
      <w:r w:rsidR="00451187" w:rsidRPr="009A2E44">
        <w:rPr>
          <w:rFonts w:ascii="Garamond" w:hAnsi="Garamond"/>
        </w:rPr>
        <w:t>H</w:t>
      </w:r>
      <w:r w:rsidR="00451187" w:rsidRPr="009A2E44">
        <w:rPr>
          <w:rFonts w:ascii="Garamond" w:hAnsi="Garamond"/>
          <w:vertAlign w:val="subscript"/>
        </w:rPr>
        <w:t>dinosterol</w:t>
      </w:r>
      <w:r w:rsidR="00451187" w:rsidRPr="009A2E44">
        <w:rPr>
          <w:rFonts w:ascii="Garamond" w:hAnsi="Garamond"/>
        </w:rPr>
        <w:t xml:space="preserve"> data. First, </w:t>
      </w:r>
      <w:r w:rsidR="00483861" w:rsidRPr="009A2E44">
        <w:rPr>
          <w:rFonts w:ascii="Garamond" w:hAnsi="Garamond"/>
        </w:rPr>
        <w:sym w:font="Symbol" w:char="F064"/>
      </w:r>
      <w:r w:rsidR="00483861" w:rsidRPr="009A2E44">
        <w:rPr>
          <w:rFonts w:ascii="Garamond" w:hAnsi="Garamond"/>
          <w:vertAlign w:val="superscript"/>
        </w:rPr>
        <w:t>2</w:t>
      </w:r>
      <w:r w:rsidR="00483861" w:rsidRPr="009A2E44">
        <w:rPr>
          <w:rFonts w:ascii="Garamond" w:hAnsi="Garamond"/>
        </w:rPr>
        <w:t>H</w:t>
      </w:r>
      <w:r w:rsidR="00483861" w:rsidRPr="009A2E44">
        <w:rPr>
          <w:rFonts w:ascii="Garamond" w:hAnsi="Garamond"/>
          <w:vertAlign w:val="subscript"/>
        </w:rPr>
        <w:t>dinosterol</w:t>
      </w:r>
      <w:r w:rsidR="00483861" w:rsidRPr="009A2E44">
        <w:rPr>
          <w:rFonts w:ascii="Garamond" w:hAnsi="Garamond"/>
        </w:rPr>
        <w:t xml:space="preserve"> values most directly reflect </w:t>
      </w:r>
      <w:r w:rsidR="00483861" w:rsidRPr="009A2E44">
        <w:rPr>
          <w:rFonts w:ascii="Garamond" w:hAnsi="Garamond"/>
        </w:rPr>
        <w:sym w:font="Symbol" w:char="F064"/>
      </w:r>
      <w:r w:rsidR="00483861" w:rsidRPr="009A2E44">
        <w:rPr>
          <w:rFonts w:ascii="Garamond" w:hAnsi="Garamond"/>
          <w:vertAlign w:val="superscript"/>
        </w:rPr>
        <w:t>2</w:t>
      </w:r>
      <w:r w:rsidR="00483861" w:rsidRPr="009A2E44">
        <w:rPr>
          <w:rFonts w:ascii="Garamond" w:hAnsi="Garamond"/>
        </w:rPr>
        <w:t>H</w:t>
      </w:r>
      <w:r w:rsidR="00483861" w:rsidRPr="009A2E44">
        <w:rPr>
          <w:rFonts w:ascii="Garamond" w:hAnsi="Garamond"/>
          <w:vertAlign w:val="subscript"/>
        </w:rPr>
        <w:t>lakewater</w:t>
      </w:r>
      <w:r w:rsidR="00483861" w:rsidRPr="009A2E44">
        <w:rPr>
          <w:rFonts w:ascii="Garamond" w:hAnsi="Garamond"/>
        </w:rPr>
        <w:t xml:space="preserve"> values since</w:t>
      </w:r>
      <w:r w:rsidR="00397377" w:rsidRPr="009A2E44">
        <w:rPr>
          <w:rFonts w:ascii="Garamond" w:hAnsi="Garamond"/>
        </w:rPr>
        <w:t xml:space="preserve"> biomarker lipids </w:t>
      </w:r>
      <w:r w:rsidR="00483861" w:rsidRPr="009A2E44">
        <w:rPr>
          <w:rFonts w:ascii="Garamond" w:hAnsi="Garamond"/>
        </w:rPr>
        <w:t>source hydrogen from environmental water</w:t>
      </w:r>
      <w:r w:rsidR="00621E91" w:rsidRPr="009A2E44">
        <w:rPr>
          <w:rFonts w:ascii="Garamond" w:hAnsi="Garamond"/>
        </w:rPr>
        <w:t xml:space="preserve"> with </w:t>
      </w:r>
      <w:r w:rsidR="00483861" w:rsidRPr="009A2E44">
        <w:rPr>
          <w:rFonts w:ascii="Garamond" w:hAnsi="Garamond"/>
        </w:rPr>
        <w:t>a</w:t>
      </w:r>
      <w:r w:rsidR="00621E91" w:rsidRPr="009A2E44">
        <w:rPr>
          <w:rFonts w:ascii="Garamond" w:hAnsi="Garamond"/>
        </w:rPr>
        <w:t xml:space="preserve"> biosynthetic </w:t>
      </w:r>
      <w:r w:rsidR="00083968" w:rsidRPr="009A2E44">
        <w:rPr>
          <w:rFonts w:ascii="Garamond" w:hAnsi="Garamond"/>
        </w:rPr>
        <w:t xml:space="preserve">isotopic </w:t>
      </w:r>
      <w:r w:rsidR="00621E91" w:rsidRPr="009A2E44">
        <w:rPr>
          <w:rFonts w:ascii="Garamond" w:hAnsi="Garamond"/>
        </w:rPr>
        <w:t>fractionation</w:t>
      </w:r>
      <w:r w:rsidR="00397377" w:rsidRPr="009A2E44">
        <w:rPr>
          <w:rFonts w:ascii="Garamond" w:hAnsi="Garamond"/>
        </w:rPr>
        <w:t xml:space="preserve"> </w:t>
      </w:r>
      <w:r w:rsidR="00397377" w:rsidRPr="009A2E44">
        <w:rPr>
          <w:rFonts w:ascii="Garamond" w:hAnsi="Garamond"/>
        </w:rPr>
        <w:fldChar w:fldCharType="begin" w:fldLock="1"/>
      </w:r>
      <w:r w:rsidR="00E757E6">
        <w:rPr>
          <w:rFonts w:ascii="Garamond" w:hAnsi="Garamond"/>
        </w:rPr>
        <w:instrText>ADDIN CSL_CITATION {"citationItems":[{"id":"ITEM-1","itemData":{"DOI":"10.1016/j.gca.2005.04.011","ISSN":"00167037","author":[{"dropping-particle":"","family":"Englebrecht","given":"Amy C","non-dropping-particle":"","parse-names":false,"suffix":""},{"dropping-particle":"","family":"Sachs","given":"Julian P","non-dropping-particle":"","parse-names":false,"suffix":""}],"container-title":"Geochimica et Cosmochimica Acta","id":"ITEM-1","issue":"17","issued":{"date-parts":[["2005","9"]]},"page":"4253-4265","title":"Determination of sediment provenance at drift sites using hydrogen isotopes and unsaturation ratios in alkenones","type":"article-journal","volume":"69"},"uris":["http://www.mendeley.com/documents/?uuid=0b9a5a44-e35b-4891-a465-70a5af967859"]},{"id":"ITEM-2","itemData":{"DOI":"10.1016/j.gca.2013.05.023","ISSN":"00167037","author":[{"dropping-particle":"","family":"Dirghangi","given":"Sitindra S","non-dropping-particle":"","parse-names":false,"suffix":""},{"dropping-particle":"","family":"Pagani","given":"Mark","non-dropping-particle":"","parse-names":false,"suffix":""}],"container-title":"Geochimica et Cosmochimica Acta","id":"ITEM-2","issued":{"date-parts":[["2013","10"]]},"page":"381-390","publisher":"Elsevier Ltd","title":"Hydrogen isotope fractionation during lipid biosynthesis by Haloarcula marismortui","type":"article-journal","volume":"119"},"uris":["http://www.mendeley.com/documents/?uuid=6bc92b8d-fb70-4bcd-95bc-defd756c7177"]}],"mendeley":{"formattedCitation":"(Dirghangi and Pagani, 2013; Englebrecht and Sachs, 2005)","manualFormatting":"(e.g., Dirghangi and Pagani, 2013; Englebrecht and Sachs, 2005)","plainTextFormattedCitation":"(Dirghangi and Pagani, 2013; Englebrecht and Sachs, 2005)","previouslyFormattedCitation":"(Dirghangi and Pagani, 2013; Englebrecht and Sachs, 2005)"},"properties":{"noteIndex":0},"schema":"https://github.com/citation-style-language/schema/raw/master/csl-citation.json"}</w:instrText>
      </w:r>
      <w:r w:rsidR="00397377" w:rsidRPr="009A2E44">
        <w:rPr>
          <w:rFonts w:ascii="Garamond" w:hAnsi="Garamond"/>
        </w:rPr>
        <w:fldChar w:fldCharType="separate"/>
      </w:r>
      <w:r w:rsidR="00397377" w:rsidRPr="009A2E44">
        <w:rPr>
          <w:rFonts w:ascii="Garamond" w:hAnsi="Garamond"/>
          <w:noProof/>
        </w:rPr>
        <w:t>(e.g.</w:t>
      </w:r>
      <w:r w:rsidR="00D1680B">
        <w:rPr>
          <w:rFonts w:ascii="Garamond" w:hAnsi="Garamond"/>
          <w:noProof/>
        </w:rPr>
        <w:t>,</w:t>
      </w:r>
      <w:r w:rsidR="00397377" w:rsidRPr="009A2E44">
        <w:rPr>
          <w:rFonts w:ascii="Garamond" w:hAnsi="Garamond"/>
          <w:noProof/>
        </w:rPr>
        <w:t xml:space="preserve"> Dirghangi and Pagani, 2013; Englebrecht and Sachs, 2005)</w:t>
      </w:r>
      <w:r w:rsidR="00397377" w:rsidRPr="009A2E44">
        <w:rPr>
          <w:rFonts w:ascii="Garamond" w:hAnsi="Garamond"/>
        </w:rPr>
        <w:fldChar w:fldCharType="end"/>
      </w:r>
      <w:r w:rsidR="006D3184" w:rsidRPr="009A2E44">
        <w:rPr>
          <w:rFonts w:ascii="Garamond" w:hAnsi="Garamond"/>
        </w:rPr>
        <w:t xml:space="preserve">. </w:t>
      </w:r>
      <w:r w:rsidRPr="009A2E44">
        <w:rPr>
          <w:rFonts w:ascii="Garamond" w:hAnsi="Garamond"/>
        </w:rPr>
        <w:t>T</w:t>
      </w:r>
      <w:r w:rsidR="004759C2" w:rsidRPr="009A2E44">
        <w:rPr>
          <w:rFonts w:ascii="Garamond" w:hAnsi="Garamond" w:cstheme="minorHAnsi"/>
        </w:rPr>
        <w:t xml:space="preserve">he </w:t>
      </w:r>
      <w:r w:rsidR="004759C2" w:rsidRPr="009A2E44">
        <w:rPr>
          <w:rFonts w:ascii="Garamond" w:hAnsi="Garamond"/>
        </w:rPr>
        <w:sym w:font="Symbol" w:char="F064"/>
      </w:r>
      <w:r w:rsidR="004759C2" w:rsidRPr="009A2E44">
        <w:rPr>
          <w:rFonts w:ascii="Garamond" w:hAnsi="Garamond"/>
          <w:vertAlign w:val="superscript"/>
        </w:rPr>
        <w:t>2</w:t>
      </w:r>
      <w:r w:rsidR="004759C2" w:rsidRPr="009A2E44">
        <w:rPr>
          <w:rFonts w:ascii="Garamond" w:hAnsi="Garamond"/>
        </w:rPr>
        <w:t>H</w:t>
      </w:r>
      <w:r w:rsidR="004759C2" w:rsidRPr="009A2E44">
        <w:rPr>
          <w:rFonts w:ascii="Garamond" w:hAnsi="Garamond"/>
          <w:vertAlign w:val="subscript"/>
        </w:rPr>
        <w:t>lakewater</w:t>
      </w:r>
      <w:r w:rsidR="004759C2" w:rsidRPr="009A2E44">
        <w:rPr>
          <w:rFonts w:ascii="Garamond" w:hAnsi="Garamond"/>
        </w:rPr>
        <w:t xml:space="preserve"> values measured </w:t>
      </w:r>
      <w:r w:rsidR="00A82BD3" w:rsidRPr="009A2E44">
        <w:rPr>
          <w:rFonts w:ascii="Garamond" w:hAnsi="Garamond"/>
        </w:rPr>
        <w:t xml:space="preserve">were </w:t>
      </w:r>
      <w:r w:rsidR="004759C2" w:rsidRPr="009A2E44">
        <w:rPr>
          <w:rFonts w:ascii="Garamond" w:hAnsi="Garamond"/>
        </w:rPr>
        <w:t>only snapshots in time (</w:t>
      </w:r>
      <w:r w:rsidR="00FF36C6" w:rsidRPr="009A2E44">
        <w:rPr>
          <w:rFonts w:ascii="Garamond" w:hAnsi="Garamond"/>
        </w:rPr>
        <w:t xml:space="preserve">with a seasonal </w:t>
      </w:r>
      <w:r w:rsidR="00530B99" w:rsidRPr="009A2E44">
        <w:rPr>
          <w:rFonts w:ascii="Garamond" w:hAnsi="Garamond"/>
        </w:rPr>
        <w:t xml:space="preserve">range </w:t>
      </w:r>
      <w:r w:rsidR="00FF36C6" w:rsidRPr="009A2E44">
        <w:rPr>
          <w:rFonts w:ascii="Garamond" w:hAnsi="Garamond"/>
        </w:rPr>
        <w:t>of up to</w:t>
      </w:r>
      <w:r w:rsidR="004759C2" w:rsidRPr="009A2E44">
        <w:rPr>
          <w:rFonts w:ascii="Garamond" w:hAnsi="Garamond"/>
        </w:rPr>
        <w:t xml:space="preserve"> 20</w:t>
      </w:r>
      <w:r w:rsidR="009E2872" w:rsidRPr="009A2E44">
        <w:rPr>
          <w:rFonts w:ascii="Garamond" w:hAnsi="Garamond"/>
        </w:rPr>
        <w:t xml:space="preserve"> </w:t>
      </w:r>
      <w:r w:rsidR="004759C2" w:rsidRPr="009A2E44">
        <w:rPr>
          <w:rFonts w:ascii="Garamond" w:hAnsi="Garamond"/>
        </w:rPr>
        <w:t xml:space="preserve">‰), </w:t>
      </w:r>
      <w:r w:rsidRPr="009A2E44">
        <w:rPr>
          <w:rFonts w:ascii="Garamond" w:hAnsi="Garamond"/>
        </w:rPr>
        <w:t xml:space="preserve">so </w:t>
      </w:r>
      <w:r w:rsidR="004759C2" w:rsidRPr="009A2E44">
        <w:rPr>
          <w:rFonts w:ascii="Garamond" w:hAnsi="Garamond"/>
        </w:rPr>
        <w:t xml:space="preserve">were </w:t>
      </w:r>
      <w:r w:rsidR="00FF36C6" w:rsidRPr="009A2E44">
        <w:rPr>
          <w:rFonts w:ascii="Garamond" w:hAnsi="Garamond"/>
        </w:rPr>
        <w:t xml:space="preserve">not </w:t>
      </w:r>
      <w:r w:rsidR="00530B99" w:rsidRPr="009A2E44">
        <w:rPr>
          <w:rFonts w:ascii="Garamond" w:hAnsi="Garamond"/>
        </w:rPr>
        <w:t xml:space="preserve">directly comparable </w:t>
      </w:r>
      <w:r w:rsidRPr="009A2E44">
        <w:rPr>
          <w:rFonts w:ascii="Garamond" w:hAnsi="Garamond"/>
        </w:rPr>
        <w:t>to</w:t>
      </w:r>
      <w:r w:rsidR="00530B99" w:rsidRPr="009A2E44">
        <w:rPr>
          <w:rFonts w:ascii="Garamond" w:hAnsi="Garamond"/>
        </w:rPr>
        <w:t xml:space="preserve"> the time-integrated</w:t>
      </w:r>
      <w:r w:rsidRPr="009A2E44">
        <w:rPr>
          <w:rFonts w:ascii="Garamond" w:hAnsi="Garamond"/>
        </w:rPr>
        <w:t xml:space="preserve"> </w:t>
      </w:r>
      <w:r w:rsidR="00530B99" w:rsidRPr="009A2E44">
        <w:rPr>
          <w:rFonts w:ascii="Garamond" w:hAnsi="Garamond"/>
        </w:rPr>
        <w:sym w:font="Symbol" w:char="F064"/>
      </w:r>
      <w:r w:rsidR="00530B99" w:rsidRPr="009A2E44">
        <w:rPr>
          <w:rFonts w:ascii="Garamond" w:hAnsi="Garamond"/>
          <w:vertAlign w:val="superscript"/>
        </w:rPr>
        <w:t>2</w:t>
      </w:r>
      <w:r w:rsidR="00530B99" w:rsidRPr="009A2E44">
        <w:rPr>
          <w:rFonts w:ascii="Garamond" w:hAnsi="Garamond"/>
        </w:rPr>
        <w:t>H</w:t>
      </w:r>
      <w:r w:rsidR="00530B99" w:rsidRPr="009A2E44">
        <w:rPr>
          <w:rFonts w:ascii="Garamond" w:hAnsi="Garamond"/>
          <w:vertAlign w:val="subscript"/>
        </w:rPr>
        <w:t>dinosterol</w:t>
      </w:r>
      <w:r w:rsidR="006437D5" w:rsidRPr="009A2E44">
        <w:rPr>
          <w:rFonts w:ascii="Garamond" w:hAnsi="Garamond"/>
        </w:rPr>
        <w:t xml:space="preserve"> </w:t>
      </w:r>
      <w:r w:rsidR="00530B99" w:rsidRPr="009A2E44">
        <w:rPr>
          <w:rFonts w:ascii="Garamond" w:hAnsi="Garamond"/>
        </w:rPr>
        <w:t>signal in core</w:t>
      </w:r>
      <w:r w:rsidR="00856BD4" w:rsidRPr="009A2E44">
        <w:rPr>
          <w:rFonts w:ascii="Garamond" w:hAnsi="Garamond"/>
        </w:rPr>
        <w:t xml:space="preserve"> </w:t>
      </w:r>
      <w:r w:rsidR="00530B99" w:rsidRPr="009A2E44">
        <w:rPr>
          <w:rFonts w:ascii="Garamond" w:hAnsi="Garamond"/>
        </w:rPr>
        <w:t>top sediments</w:t>
      </w:r>
      <w:r w:rsidR="00FF36C6" w:rsidRPr="009A2E44">
        <w:rPr>
          <w:rFonts w:ascii="Garamond" w:hAnsi="Garamond"/>
        </w:rPr>
        <w:t xml:space="preserve"> (</w:t>
      </w:r>
      <w:r w:rsidR="00530B99" w:rsidRPr="009A2E44">
        <w:rPr>
          <w:rFonts w:ascii="Garamond" w:hAnsi="Garamond"/>
        </w:rPr>
        <w:t xml:space="preserve">which may represent </w:t>
      </w:r>
      <w:r w:rsidR="00FF36C6" w:rsidRPr="009A2E44">
        <w:rPr>
          <w:rFonts w:ascii="Garamond" w:hAnsi="Garamond"/>
        </w:rPr>
        <w:t>up to 20 years)</w:t>
      </w:r>
      <w:r w:rsidR="004759C2" w:rsidRPr="009A2E44">
        <w:rPr>
          <w:rFonts w:ascii="Garamond" w:hAnsi="Garamond"/>
        </w:rPr>
        <w:t xml:space="preserve">. </w:t>
      </w:r>
      <w:r w:rsidRPr="009A2E44">
        <w:rPr>
          <w:rFonts w:ascii="Garamond" w:hAnsi="Garamond"/>
        </w:rPr>
        <w:t xml:space="preserve">Second, </w:t>
      </w:r>
      <w:r w:rsidR="00E362C8" w:rsidRPr="009A2E44">
        <w:rPr>
          <w:rFonts w:ascii="Garamond" w:hAnsi="Garamond"/>
        </w:rPr>
        <w:t>biosynthetic isotopic fractionation</w:t>
      </w:r>
      <w:r w:rsidR="00E362C8" w:rsidRPr="009A2E44" w:rsidDel="00E362C8">
        <w:rPr>
          <w:rFonts w:ascii="Garamond" w:hAnsi="Garamond"/>
        </w:rPr>
        <w:t xml:space="preserve"> </w:t>
      </w:r>
      <w:r w:rsidR="00E362C8">
        <w:rPr>
          <w:rFonts w:ascii="Garamond" w:hAnsi="Garamond"/>
        </w:rPr>
        <w:t xml:space="preserve">values </w:t>
      </w:r>
      <w:r w:rsidR="00856BD4" w:rsidRPr="009A2E44">
        <w:rPr>
          <w:rFonts w:ascii="Garamond" w:hAnsi="Garamond" w:cstheme="minorHAnsi"/>
        </w:rPr>
        <w:t xml:space="preserve">from core top </w:t>
      </w:r>
      <w:r w:rsidR="00E362C8">
        <w:rPr>
          <w:rFonts w:ascii="Garamond" w:hAnsi="Garamond" w:cstheme="minorHAnsi"/>
        </w:rPr>
        <w:t>and lake</w:t>
      </w:r>
      <w:r w:rsidR="000F4DE7">
        <w:rPr>
          <w:rFonts w:ascii="Garamond" w:hAnsi="Garamond" w:cstheme="minorHAnsi"/>
        </w:rPr>
        <w:t xml:space="preserve"> </w:t>
      </w:r>
      <w:r w:rsidR="00E362C8">
        <w:rPr>
          <w:rFonts w:ascii="Garamond" w:hAnsi="Garamond" w:cstheme="minorHAnsi"/>
        </w:rPr>
        <w:t xml:space="preserve">water </w:t>
      </w:r>
      <w:r w:rsidR="00856BD4" w:rsidRPr="009A2E44">
        <w:rPr>
          <w:rFonts w:ascii="Garamond" w:hAnsi="Garamond" w:cstheme="minorHAnsi"/>
        </w:rPr>
        <w:t xml:space="preserve">samples </w:t>
      </w:r>
      <w:r w:rsidR="00621E91" w:rsidRPr="009A2E44">
        <w:rPr>
          <w:rFonts w:ascii="Garamond" w:hAnsi="Garamond"/>
        </w:rPr>
        <w:t>increase with</w:t>
      </w:r>
      <w:r w:rsidR="00451187" w:rsidRPr="009A2E44">
        <w:rPr>
          <w:rFonts w:ascii="Garamond" w:hAnsi="Garamond"/>
        </w:rPr>
        <w:t xml:space="preserve"> precipitation rate</w:t>
      </w:r>
      <w:r w:rsidR="009060EC" w:rsidRPr="009A2E44">
        <w:rPr>
          <w:rFonts w:ascii="Garamond" w:hAnsi="Garamond"/>
        </w:rPr>
        <w:t xml:space="preserve"> </w:t>
      </w:r>
      <w:r w:rsidR="009060EC" w:rsidRPr="009A2E44">
        <w:rPr>
          <w:rFonts w:ascii="Garamond" w:hAnsi="Garamond"/>
        </w:rPr>
        <w:fldChar w:fldCharType="begin" w:fldLock="1"/>
      </w:r>
      <w:r w:rsidR="00E757E6">
        <w:rPr>
          <w:rFonts w:ascii="Garamond" w:hAnsi="Garamond"/>
        </w:rPr>
        <w:instrText>ADDIN CSL_CITATION {"citationItems":[{"id":"ITEM-1","itemData":{"DOI":"10.1016/j.gca.2018.10.028","ISSN":"0016-7037","author":[{"dropping-particle":"","family":"Maloney","given":"Ashley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Acta","id":"ITEM-1","issued":{"date-parts":[["2019"]]},"page":"190-206","publisher":"Elsevier Ltd","title":"Reconstructing precipitation in the tropical South Pacific from dinosterol 2H/1H ratios in lake sediment","type":"article-journal","volume":"245"},"uris":["http://www.mendeley.com/documents/?uuid=c7ab851f-4ac6-4a60-a0db-daaa3baed28f"]}],"mendeley":{"formattedCitation":"(Maloney et al., 2019)","plainTextFormattedCitation":"(Maloney et al., 2019)","previouslyFormattedCitation":"(Maloney et al., 2019)"},"properties":{"noteIndex":0},"schema":"https://github.com/citation-style-language/schema/raw/master/csl-citation.json"}</w:instrText>
      </w:r>
      <w:r w:rsidR="009060EC" w:rsidRPr="009A2E44">
        <w:rPr>
          <w:rFonts w:ascii="Garamond" w:hAnsi="Garamond"/>
        </w:rPr>
        <w:fldChar w:fldCharType="separate"/>
      </w:r>
      <w:r w:rsidR="009060EC" w:rsidRPr="009A2E44">
        <w:rPr>
          <w:rFonts w:ascii="Garamond" w:hAnsi="Garamond"/>
          <w:noProof/>
        </w:rPr>
        <w:t>(Maloney et al., 2019)</w:t>
      </w:r>
      <w:r w:rsidR="009060EC" w:rsidRPr="009A2E44">
        <w:rPr>
          <w:rFonts w:ascii="Garamond" w:hAnsi="Garamond"/>
        </w:rPr>
        <w:fldChar w:fldCharType="end"/>
      </w:r>
      <w:r w:rsidR="006D3184" w:rsidRPr="009A2E44">
        <w:rPr>
          <w:rFonts w:ascii="Garamond" w:hAnsi="Garamond"/>
        </w:rPr>
        <w:t xml:space="preserve">, </w:t>
      </w:r>
      <w:r w:rsidR="00AF014E" w:rsidRPr="009A2E44">
        <w:rPr>
          <w:rFonts w:ascii="Garamond" w:hAnsi="Garamond"/>
        </w:rPr>
        <w:t>potentially</w:t>
      </w:r>
      <w:r w:rsidR="00621E91" w:rsidRPr="009A2E44">
        <w:rPr>
          <w:rFonts w:ascii="Garamond" w:hAnsi="Garamond"/>
        </w:rPr>
        <w:t xml:space="preserve"> </w:t>
      </w:r>
      <w:r w:rsidR="006D3184" w:rsidRPr="009A2E44">
        <w:rPr>
          <w:rFonts w:ascii="Garamond" w:hAnsi="Garamond"/>
        </w:rPr>
        <w:t>a result of</w:t>
      </w:r>
      <w:r w:rsidR="00621E91" w:rsidRPr="009A2E44">
        <w:rPr>
          <w:rFonts w:ascii="Garamond" w:hAnsi="Garamond"/>
        </w:rPr>
        <w:t xml:space="preserve"> increased </w:t>
      </w:r>
      <w:r w:rsidR="00451187" w:rsidRPr="009A2E44">
        <w:rPr>
          <w:rFonts w:ascii="Garamond" w:hAnsi="Garamond"/>
        </w:rPr>
        <w:t>nutrient</w:t>
      </w:r>
      <w:r w:rsidR="00621E91" w:rsidRPr="009A2E44">
        <w:rPr>
          <w:rFonts w:ascii="Garamond" w:hAnsi="Garamond"/>
        </w:rPr>
        <w:t xml:space="preserve"> delivery </w:t>
      </w:r>
      <w:r w:rsidR="006D3184" w:rsidRPr="009A2E44">
        <w:rPr>
          <w:rFonts w:ascii="Garamond" w:hAnsi="Garamond"/>
        </w:rPr>
        <w:t xml:space="preserve">at wetter sites </w:t>
      </w:r>
      <w:r w:rsidR="00621E91" w:rsidRPr="009A2E44">
        <w:rPr>
          <w:rFonts w:ascii="Garamond" w:hAnsi="Garamond"/>
        </w:rPr>
        <w:t>enhanc</w:t>
      </w:r>
      <w:r w:rsidR="006D3184" w:rsidRPr="009A2E44">
        <w:rPr>
          <w:rFonts w:ascii="Garamond" w:hAnsi="Garamond"/>
        </w:rPr>
        <w:t>ing</w:t>
      </w:r>
      <w:r w:rsidR="00621E91" w:rsidRPr="009A2E44">
        <w:rPr>
          <w:rFonts w:ascii="Garamond" w:hAnsi="Garamond"/>
        </w:rPr>
        <w:t xml:space="preserve"> algal growth rate which </w:t>
      </w:r>
      <w:r w:rsidR="006437D5" w:rsidRPr="009A2E44">
        <w:rPr>
          <w:rFonts w:ascii="Garamond" w:hAnsi="Garamond"/>
        </w:rPr>
        <w:t>can</w:t>
      </w:r>
      <w:r w:rsidR="007120C2" w:rsidRPr="009A2E44">
        <w:rPr>
          <w:rFonts w:ascii="Garamond" w:hAnsi="Garamond"/>
        </w:rPr>
        <w:t xml:space="preserve"> </w:t>
      </w:r>
      <w:r w:rsidR="00621E91" w:rsidRPr="009A2E44">
        <w:rPr>
          <w:rFonts w:ascii="Garamond" w:hAnsi="Garamond"/>
        </w:rPr>
        <w:t xml:space="preserve">increase </w:t>
      </w:r>
      <w:r w:rsidR="00E362C8">
        <w:rPr>
          <w:rFonts w:ascii="Garamond" w:hAnsi="Garamond"/>
        </w:rPr>
        <w:t>biosynthetic isotopic fractionation</w:t>
      </w:r>
      <w:r w:rsidR="00621E91" w:rsidRPr="009A2E44">
        <w:rPr>
          <w:rFonts w:ascii="Garamond" w:hAnsi="Garamond"/>
        </w:rPr>
        <w:t xml:space="preserve"> </w:t>
      </w:r>
      <w:r w:rsidR="00621E91" w:rsidRPr="009A2E44">
        <w:rPr>
          <w:rFonts w:ascii="Garamond" w:hAnsi="Garamond"/>
        </w:rPr>
        <w:fldChar w:fldCharType="begin" w:fldLock="1"/>
      </w:r>
      <w:r w:rsidR="006F4AA3" w:rsidRPr="009A2E44">
        <w:rPr>
          <w:rFonts w:ascii="Garamond" w:hAnsi="Garamond"/>
        </w:rPr>
        <w:instrText xml:space="preserve">ADDIN CSL_CITATION {"citationItems":[{"id":"ITEM-1","itemData":{"DOI":"10.1016/j.gca.2018.06.005","ISSN":"00167037","abstract":"Compound specific hydrogen isotope ratios (2H/1H) of lipid biomarkers preserved in sediments are used as paleohydrologic proxies. However, several variables, including contributions from different source organisms and their growth rates, can influence2H/1H fractionation between lipids and source water. Significant uncertainties remain about how these factors combine to produce the net2H/1H signal exported to sediments. To assess the influence of phosphorus availability on2H/1H ratios of lipids accumulating in lake sediments, we analyzed surface sediments and sediment traps from ten central Swiss lakes representing a wide range of trophic states. In agreement with results from laboratory cultures,2H/1H fractionation for the diatom biomarker brassicasterol (24-methyl cholest-5,22-dien-3β-ol) increased in more productive lakes (0.6 ± 0.1‰ per μg/L total P in sediment traps and surface sediments). In contrast,2H/1H fractionation for phytol, the isoprenoid side-chain moiety of chlorophyll, decreased with increasing total P (−0.4 ± 0.1‰ per μg/L total P in sediment traps), suggesting that different biochemical mechanisms are responsible for changes in2H/1H fractionation for each type of isoprenoidal lipid. Opposing changes in2H-fractionation for sterols and phytol cause their2H/1H ratios to converge as total P increases. This response may be a new tracer for phytoplankton growth conditions and is not influenced by the source water isotope value. Interpreting the2H/1H ratios of short to long chain (C14–C30) n-alkanoic acids and n-alkanols is complicated by likely contributions from heterotrophs and/or vascular plants. These values generally did not correlate with lake water isotopes, nor did their fractionation factors correlate with total P. For most lipids there was no significant difference between sediment trap and surface sediment2H/1H ratios. However, n-C14–n-C18fatty acids were2H-enriched in the surface sediments, most likely due to degradation in the water column. Our results indicate that interpretations of short-chain fatty acid2H/1H ratios as a water isotope signal likely require supporting information about ecological conditions and community structure, but that paired H isotope measurements of phytoplankton-derived sterols and phytol may be developed as a proxy for phytoplankton growth.","author":[{"dropping-particle":"","family":"Ladd","given":"S Nemiah","non-dropping-particle":"","parse-names":false,"suffix":""},{"dropping-particle":"","family":"Nelson","given":"Daniel B","non-dropping-particle":"","parse-names":false,"suffix":""},{"dropping-particle":"","family":"Schubert","given":"Carsten J","non-dropping-particle":"","parse-names":false,"suffix":""},{"dropping-particle":"","family":"Dubois","given":"Nathalie","non-dropping-particle":"","parse-names":false,"suffix":""}],"container-title":"Geochimica et Cosmochimica Acta","id":"ITEM-1","issued":{"date-parts":[["2018"]]},"page":"103-119","publisher":"Elsevier Ltd","title":"Lipid compound classes display diverging hydrogen isotope responses in lakes along a nutrient gradient","type":"article-journal","volume":"237"},"uris":["http://www.mendeley.com/documents/?uuid=28cc695b-ff9c-495e-8c9c-d60094eacab0"]},{"id":"ITEM-2","itemData":{"DOI":"10.1371/journal.pone.0141643","ISSN":"1932-6203","PMID":"26576007","abstract":"The hydrogen isotope (2H/1H) ratio of lipids from phytoplankton is a powerful new tool for reconstructing hydroclimate variations in the geologic past from marine and lacustrine sediments. Water 2H/1H changes are reflected in lipid 2H/1H changes with R2 &gt; 0.99, and salinity variations have been shown to cause about a 1‰change in lipid δ2H values per unit (ppt) change in salinity. Less understood are the effects of growth rate, nutrient limitation and light on 2H/1H fractionation in phytoplankton. Here we present the first published study of growth rate effects on 2H/1H fractionation in the lipids of coccolithophorids grown in continuous cultures. Emiliania huxleyi was cultivated in steady state at four growth rates and the δ2H value of individual alkenones (C37:2, C37:3, C38:2, C38:3), fatty acids (C14:0, C16:0, C18:0), and 24-methyl cholest-5,22-dien-3β-ol (brassicasterol) were measured. 2H/1H fractionation increased in all lipids as growth rate increased by 24‰to 79‰(div d-1)1.We attribute this response to a proportional increase in the fraction of NADPH from Photosystem I (PS1) of photosynthesis relative to NADPH from the cytosolic oxidative pentose phosphate (OPP) pathway in the synthesis of lipids as growth rate increases. A 3-endmember model is presented in which lipid hydrogen comes from NADPH produced in PS1, NADPH produced by OPP, and intracellular water. With published values or best estimates of the fractionation factors for these sources (αPS1 = 0.4, αOPP = 0.75, and αH2O = 0) and half of the hydrogen in a lipid derived from water the model indicates αlipid = 0.79. This value is within the range measured for alkenones (αalkenone = 0.77 to 0.81) and fatty acids (αFA = 0.75 to 0.82) in the chemostat cultures, but is greater than the range for brassicasterol (αbrassicasterol = 0.68 to 0.72). The latter is attributed to a greater proportion of hydrogen from NADPH relative to water in isoprenoid lipids. The model successfully explains the increase in 2H/1H fractionation in the sterol 24-methyl-cholesta-5,24(28)-dien-3β-ol from marine centric diatom T. pseudonana chemostat cultures as growth rate increases. Insensitivity of αFA in those same cultures may be attributable to a larger fraction of hydrogen in fatty acids sourced from intracellular water at the expense of NADPH as growth rate increases. The high sensitivity of α to growth rate in E. huxleyi lipids and a T. pseudonana sterol implies that any change in growth rate larger than </w:instrText>
      </w:r>
      <w:r w:rsidR="006F4AA3" w:rsidRPr="009A2E44">
        <w:rPr>
          <w:rFonts w:ascii="Cambria Math" w:hAnsi="Cambria Math" w:cs="Cambria Math"/>
        </w:rPr>
        <w:instrText>∼</w:instrText>
      </w:r>
      <w:r w:rsidR="006F4AA3" w:rsidRPr="009A2E44">
        <w:rPr>
          <w:rFonts w:ascii="Garamond" w:hAnsi="Garamond"/>
        </w:rPr>
        <w:instrText>0.15 div d…","author":[{"dropping-particle":"","family":"Sachs","given":"Julian P","non-dropping-particle":"","parse-names":false,"suffix":""},{"dropping-particle":"","family":"Kawka","given":"Orest E","non-dropping-particle":"","parse-names":false,"suffix":""}],"container-title":"PLoS ONE","id":"ITEM-2","issue":"11","issued":{"date-parts":[["2015"]]},"page":"e0141643","title":"The influence of growth rate on 2H/1H fractionation in continuous cultures of the coccolithophorid &lt;i&gt;Emiliania huxleyi&lt;/i&gt; and the diatom &lt;i&gt;Thalassiosira pseudonana&lt;/i&gt;","type":"article-journal","volume":"10"},"uris":["http://www.mendeley.com/documents/?uuid=a1a78ce4-e952-4b24-bae8-c034f3253969"]}],"mendeley":{"formattedCitation":"(Ladd et al., 2018; Sachs and Kawka, 2015)","plainTextFormattedCitation":"(Ladd et al., 2018; Sachs and Kawka, 2015)","previouslyFormattedCitation":"(Ladd et al., 2018; Sachs and Kawka, 2015)"},"properties":{"noteIndex":0},"schema":"https://github.com/citation-style-language/schema/raw/master/csl-citation.json"}</w:instrText>
      </w:r>
      <w:r w:rsidR="00621E91" w:rsidRPr="009A2E44">
        <w:rPr>
          <w:rFonts w:ascii="Garamond" w:hAnsi="Garamond"/>
        </w:rPr>
        <w:fldChar w:fldCharType="separate"/>
      </w:r>
      <w:r w:rsidR="00621E91" w:rsidRPr="009A2E44">
        <w:rPr>
          <w:rFonts w:ascii="Garamond" w:hAnsi="Garamond"/>
          <w:noProof/>
        </w:rPr>
        <w:t>(Ladd et al., 2018; Sachs and Kawka, 2015)</w:t>
      </w:r>
      <w:r w:rsidR="00621E91" w:rsidRPr="009A2E44">
        <w:rPr>
          <w:rFonts w:ascii="Garamond" w:hAnsi="Garamond"/>
        </w:rPr>
        <w:fldChar w:fldCharType="end"/>
      </w:r>
      <w:r w:rsidR="00451187" w:rsidRPr="009A2E44">
        <w:rPr>
          <w:rFonts w:ascii="Garamond" w:hAnsi="Garamond"/>
        </w:rPr>
        <w:t xml:space="preserve">. </w:t>
      </w:r>
      <w:r w:rsidRPr="009A2E44">
        <w:rPr>
          <w:rFonts w:ascii="Garamond" w:hAnsi="Garamond"/>
        </w:rPr>
        <w:t>If higher precipitation rates influence growth rate through nutrient delivery</w:t>
      </w:r>
      <w:r w:rsidR="006437D5" w:rsidRPr="009A2E44">
        <w:rPr>
          <w:rFonts w:ascii="Garamond" w:hAnsi="Garamond"/>
        </w:rPr>
        <w:t xml:space="preserve">, </w:t>
      </w:r>
      <w:r w:rsidR="00DF6360" w:rsidRPr="009A2E44">
        <w:rPr>
          <w:rFonts w:ascii="Garamond" w:hAnsi="Garamond"/>
        </w:rPr>
        <w:t xml:space="preserve">any </w:t>
      </w:r>
      <w:r w:rsidRPr="009A2E44">
        <w:rPr>
          <w:rFonts w:ascii="Garamond" w:hAnsi="Garamond"/>
        </w:rPr>
        <w:t>increased</w:t>
      </w:r>
      <w:r w:rsidR="00263F74">
        <w:rPr>
          <w:rFonts w:ascii="Garamond" w:hAnsi="Garamond"/>
        </w:rPr>
        <w:t xml:space="preserve"> isotopic</w:t>
      </w:r>
      <w:r w:rsidRPr="009A2E44">
        <w:rPr>
          <w:rFonts w:ascii="Garamond" w:hAnsi="Garamond"/>
        </w:rPr>
        <w:t xml:space="preserve"> </w:t>
      </w:r>
      <w:r w:rsidR="006437D5" w:rsidRPr="009A2E44">
        <w:rPr>
          <w:rFonts w:ascii="Garamond" w:hAnsi="Garamond"/>
        </w:rPr>
        <w:t xml:space="preserve">fractionation </w:t>
      </w:r>
      <w:r w:rsidRPr="009A2E44">
        <w:rPr>
          <w:rFonts w:ascii="Garamond" w:hAnsi="Garamond"/>
        </w:rPr>
        <w:t>serves to</w:t>
      </w:r>
      <w:r w:rsidR="00483861" w:rsidRPr="009A2E44">
        <w:rPr>
          <w:rFonts w:ascii="Garamond" w:hAnsi="Garamond"/>
        </w:rPr>
        <w:t xml:space="preserve"> amplif</w:t>
      </w:r>
      <w:r w:rsidRPr="009A2E44">
        <w:rPr>
          <w:rFonts w:ascii="Garamond" w:hAnsi="Garamond"/>
        </w:rPr>
        <w:t>y</w:t>
      </w:r>
      <w:r w:rsidR="00483861" w:rsidRPr="009A2E44">
        <w:rPr>
          <w:rFonts w:ascii="Garamond" w:hAnsi="Garamond"/>
        </w:rPr>
        <w:t xml:space="preserve"> the hydrological </w:t>
      </w:r>
      <w:r w:rsidR="0016091F" w:rsidRPr="009A2E44">
        <w:rPr>
          <w:rFonts w:ascii="Garamond" w:hAnsi="Garamond"/>
        </w:rPr>
        <w:t>signal and</w:t>
      </w:r>
      <w:r w:rsidR="006437D5" w:rsidRPr="009A2E44">
        <w:rPr>
          <w:rFonts w:ascii="Garamond" w:hAnsi="Garamond"/>
        </w:rPr>
        <w:t xml:space="preserve"> </w:t>
      </w:r>
      <w:r w:rsidR="00483861" w:rsidRPr="009A2E44">
        <w:rPr>
          <w:rFonts w:ascii="Garamond" w:hAnsi="Garamond"/>
        </w:rPr>
        <w:t xml:space="preserve">is embedded in the calibration and </w:t>
      </w:r>
      <w:r w:rsidR="006437D5" w:rsidRPr="009A2E44">
        <w:rPr>
          <w:rFonts w:ascii="Garamond" w:hAnsi="Garamond"/>
        </w:rPr>
        <w:t>downcore</w:t>
      </w:r>
      <w:r w:rsidR="00483861" w:rsidRPr="009A2E44">
        <w:rPr>
          <w:rFonts w:ascii="Garamond" w:hAnsi="Garamond"/>
        </w:rPr>
        <w:t xml:space="preserve"> </w:t>
      </w:r>
      <w:r w:rsidR="00483861" w:rsidRPr="009A2E44">
        <w:rPr>
          <w:rFonts w:ascii="Garamond" w:hAnsi="Garamond"/>
        </w:rPr>
        <w:sym w:font="Symbol" w:char="F064"/>
      </w:r>
      <w:r w:rsidR="00483861" w:rsidRPr="009A2E44">
        <w:rPr>
          <w:rFonts w:ascii="Garamond" w:hAnsi="Garamond"/>
          <w:vertAlign w:val="superscript"/>
        </w:rPr>
        <w:t>2</w:t>
      </w:r>
      <w:r w:rsidR="00483861" w:rsidRPr="009A2E44">
        <w:rPr>
          <w:rFonts w:ascii="Garamond" w:hAnsi="Garamond"/>
        </w:rPr>
        <w:t>H</w:t>
      </w:r>
      <w:r w:rsidR="00483861" w:rsidRPr="009A2E44">
        <w:rPr>
          <w:rFonts w:ascii="Garamond" w:hAnsi="Garamond"/>
          <w:vertAlign w:val="subscript"/>
        </w:rPr>
        <w:t>dinosterol</w:t>
      </w:r>
      <w:r w:rsidR="00483861" w:rsidRPr="009A2E44">
        <w:rPr>
          <w:rFonts w:ascii="Garamond" w:hAnsi="Garamond"/>
        </w:rPr>
        <w:t xml:space="preserve"> </w:t>
      </w:r>
      <w:r w:rsidR="00530B99" w:rsidRPr="009A2E44">
        <w:rPr>
          <w:rFonts w:ascii="Garamond" w:hAnsi="Garamond"/>
        </w:rPr>
        <w:t>signal</w:t>
      </w:r>
      <w:r w:rsidR="00483861" w:rsidRPr="009A2E44">
        <w:rPr>
          <w:rFonts w:ascii="Garamond" w:hAnsi="Garamond"/>
        </w:rPr>
        <w:t xml:space="preserve">. </w:t>
      </w:r>
      <w:r w:rsidRPr="009A2E44">
        <w:rPr>
          <w:rFonts w:ascii="Garamond" w:hAnsi="Garamond"/>
        </w:rPr>
        <w:t>Third</w:t>
      </w:r>
      <w:r w:rsidR="00451187" w:rsidRPr="009A2E44">
        <w:rPr>
          <w:rFonts w:ascii="Garamond" w:hAnsi="Garamond"/>
        </w:rPr>
        <w:t xml:space="preserve">, </w:t>
      </w:r>
      <w:r w:rsidR="002B2E80" w:rsidRPr="009A2E44">
        <w:rPr>
          <w:rFonts w:ascii="Garamond" w:hAnsi="Garamond"/>
        </w:rPr>
        <w:t>in lakes where</w:t>
      </w:r>
      <w:r w:rsidR="00214F7A" w:rsidRPr="009A2E44">
        <w:rPr>
          <w:rFonts w:ascii="Garamond" w:hAnsi="Garamond"/>
        </w:rPr>
        <w:t xml:space="preserve"> </w:t>
      </w:r>
      <w:r w:rsidR="00397377" w:rsidRPr="009A2E44">
        <w:rPr>
          <w:rFonts w:ascii="Garamond" w:hAnsi="Garamond"/>
        </w:rPr>
        <w:sym w:font="Symbol" w:char="F064"/>
      </w:r>
      <w:r w:rsidR="00397377" w:rsidRPr="009A2E44">
        <w:rPr>
          <w:rFonts w:ascii="Garamond" w:hAnsi="Garamond"/>
          <w:vertAlign w:val="superscript"/>
        </w:rPr>
        <w:t>2</w:t>
      </w:r>
      <w:r w:rsidR="00397377" w:rsidRPr="009A2E44">
        <w:rPr>
          <w:rFonts w:ascii="Garamond" w:hAnsi="Garamond"/>
        </w:rPr>
        <w:t>H</w:t>
      </w:r>
      <w:r w:rsidR="00397377" w:rsidRPr="009A2E44">
        <w:rPr>
          <w:rFonts w:ascii="Garamond" w:hAnsi="Garamond"/>
          <w:vertAlign w:val="subscript"/>
        </w:rPr>
        <w:t>lakewater</w:t>
      </w:r>
      <w:r w:rsidR="00397377" w:rsidRPr="009A2E44">
        <w:rPr>
          <w:rFonts w:ascii="Garamond" w:hAnsi="Garamond"/>
        </w:rPr>
        <w:t xml:space="preserve"> reflects </w:t>
      </w:r>
      <w:r w:rsidR="00530B99" w:rsidRPr="009A2E44">
        <w:rPr>
          <w:rFonts w:ascii="Garamond" w:hAnsi="Garamond"/>
        </w:rPr>
        <w:t>hydroclimate</w:t>
      </w:r>
      <w:r w:rsidR="00214F7A" w:rsidRPr="009A2E44">
        <w:rPr>
          <w:rFonts w:ascii="Garamond" w:hAnsi="Garamond"/>
        </w:rPr>
        <w:t>,</w:t>
      </w:r>
      <w:r w:rsidR="00405EA4" w:rsidRPr="009A2E44">
        <w:rPr>
          <w:rFonts w:ascii="Garamond" w:hAnsi="Garamond"/>
        </w:rPr>
        <w:t xml:space="preserve"> </w:t>
      </w:r>
      <w:r w:rsidR="00214F7A" w:rsidRPr="009A2E44">
        <w:rPr>
          <w:rFonts w:ascii="Garamond" w:hAnsi="Garamond"/>
        </w:rPr>
        <w:t>P</w:t>
      </w:r>
      <w:r w:rsidR="002B2E80" w:rsidRPr="009A2E44">
        <w:rPr>
          <w:rFonts w:ascii="Garamond" w:hAnsi="Garamond"/>
          <w:color w:val="202020"/>
          <w:shd w:val="clear" w:color="auto" w:fill="FFFFFF"/>
        </w:rPr>
        <w:t>−</w:t>
      </w:r>
      <w:r w:rsidR="00214F7A" w:rsidRPr="009A2E44">
        <w:rPr>
          <w:rFonts w:ascii="Garamond" w:hAnsi="Garamond"/>
        </w:rPr>
        <w:t xml:space="preserve">E (not just P) would better represent the controls on </w:t>
      </w:r>
      <w:r w:rsidR="00214F7A" w:rsidRPr="009A2E44">
        <w:rPr>
          <w:rFonts w:ascii="Garamond" w:hAnsi="Garamond"/>
        </w:rPr>
        <w:sym w:font="Symbol" w:char="F064"/>
      </w:r>
      <w:r w:rsidR="00214F7A" w:rsidRPr="009A2E44">
        <w:rPr>
          <w:rFonts w:ascii="Garamond" w:hAnsi="Garamond"/>
          <w:vertAlign w:val="superscript"/>
        </w:rPr>
        <w:t>2</w:t>
      </w:r>
      <w:r w:rsidR="00214F7A" w:rsidRPr="009A2E44">
        <w:rPr>
          <w:rFonts w:ascii="Garamond" w:hAnsi="Garamond"/>
        </w:rPr>
        <w:t>H</w:t>
      </w:r>
      <w:r w:rsidR="00214F7A" w:rsidRPr="009A2E44">
        <w:rPr>
          <w:rFonts w:ascii="Garamond" w:hAnsi="Garamond"/>
          <w:vertAlign w:val="subscript"/>
        </w:rPr>
        <w:t>dinosterol</w:t>
      </w:r>
      <w:r w:rsidR="002B2E80" w:rsidRPr="009A2E44">
        <w:rPr>
          <w:rFonts w:ascii="Garamond" w:hAnsi="Garamond"/>
        </w:rPr>
        <w:t>.</w:t>
      </w:r>
      <w:r w:rsidR="00214F7A" w:rsidRPr="009A2E44">
        <w:rPr>
          <w:rFonts w:ascii="Garamond" w:hAnsi="Garamond"/>
        </w:rPr>
        <w:t xml:space="preserve"> </w:t>
      </w:r>
      <w:r w:rsidR="002B2E80" w:rsidRPr="009A2E44">
        <w:rPr>
          <w:rFonts w:ascii="Garamond" w:hAnsi="Garamond"/>
        </w:rPr>
        <w:t>However,</w:t>
      </w:r>
      <w:r w:rsidR="00214F7A" w:rsidRPr="009A2E44">
        <w:rPr>
          <w:rFonts w:ascii="Garamond" w:hAnsi="Garamond"/>
        </w:rPr>
        <w:t xml:space="preserve"> evaporation </w:t>
      </w:r>
      <w:r w:rsidR="006D3184" w:rsidRPr="009A2E44">
        <w:rPr>
          <w:rFonts w:ascii="Garamond" w:hAnsi="Garamond"/>
        </w:rPr>
        <w:t>rates are</w:t>
      </w:r>
      <w:r w:rsidR="002B2E80" w:rsidRPr="009A2E44">
        <w:rPr>
          <w:rFonts w:ascii="Garamond" w:hAnsi="Garamond"/>
        </w:rPr>
        <w:t xml:space="preserve"> similar throughout the SPCZ</w:t>
      </w:r>
      <w:r w:rsidR="006D3184" w:rsidRPr="009A2E44">
        <w:rPr>
          <w:rFonts w:ascii="Garamond" w:hAnsi="Garamond"/>
        </w:rPr>
        <w:t xml:space="preserve"> </w:t>
      </w:r>
      <w:r w:rsidR="006D3184" w:rsidRPr="009A2E44">
        <w:rPr>
          <w:rFonts w:ascii="Garamond" w:hAnsi="Garamond"/>
        </w:rPr>
        <w:fldChar w:fldCharType="begin" w:fldLock="1"/>
      </w:r>
      <w:r w:rsidR="006F4AA3" w:rsidRPr="009A2E44">
        <w:rPr>
          <w:rFonts w:ascii="Garamond" w:hAnsi="Garamond"/>
        </w:rPr>
        <w:instrText>ADDIN CSL_CITATION {"citationItems":[{"id":"ITEM-1","itemData":{"DOI":"10.1016/j.gca.2018.10.028","ISSN":"0016-7037","author":[{"dropping-particle":"","family":"Maloney","given":"Ashley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Acta","id":"ITEM-1","issued":{"date-parts":[["2019"]]},"page":"190-206","publisher":"Elsevier Ltd","title":"Reconstructing precipitation in the tropical South Pacific from dinosterol 2H/1H ratios in lake sediment","type":"article-journal","volume":"245"},"uris":["http://www.mendeley.com/documents/?uuid=c7ab851f-4ac6-4a60-a0db-daaa3baed28f"]},{"id":"ITEM-2","itemData":{"DOI":"10.1007/s00382-011-1115-0","ISBN":"0003-0007","ISSN":"09307575","abstract":"This report supports the release of the third version of global ocean-surface heat flux products (1958-2006) developed by the Objectively Analyzed air-sea Heat Fluxes (OAFlux) project. The OAFlux products are constructed not from a single data source, but from an optimal blending of satellite retrievals and three atmospheric reanalyses. Daily fluxes are computed from the optimally estimated variables using the COARE bulk flux algorithm 3.0. This report documents the methodology, strategy, and procedure used in developing the 49-year (1958-2006) analysis of global latent, sensible heat fluxes, and ocean evaporation. Error estimates for flux and related variable fields are provided. The report includes the comparisons with two ship-based climatologies, three model reanalyzed fluxes, and 107 in situ flux time series. OAFlux estimates are unbiased and have the smallest mean error: the mean OAFlux-buoy difference is of 1.0 Wm-2 and the mean difference in absolute measure is of 7.4 Wm-2. Monthly products are made for the entire 49-year period, and daily products are available from 1985 onward. The datasets are freely available to interested users for non-commercial scientific research. For further information, please visit the project website at http://oaflux.whoi.edu/. The project is sponsored by the NOAA Office of Climate Observation.","author":[{"dropping-particle":"","family":"Yu","given":"L.","non-dropping-particle":"","parse-names":false,"suffix":""},{"dropping-particle":"","family":"Jin","given":"X.","non-dropping-particle":"","parse-names":false,"suffix":""},{"dropping-particle":"","family":"Weller","given":"R. A.","non-dropping-particle":"","parse-names":false,"suffix":""}],"container-title":"OAFlux Project Technical Report OA-2008-01","id":"ITEM-2","issue":"64pp.","issued":{"date-parts":[["2008"]]},"page":"Woods Hole Oceanogr. Inst.","title":"Multidecade Global Flux Datasets from the Objectively Analyzed Air-sea Fluxes (OAFlux) Project: Latent and sensible heat fluxes, ocean evaporation, and related surface meteorological variables.","type":"article-journal"},"uris":["http://www.mendeley.com/documents/?uuid=fac74aff-7fbd-4ea7-808e-d20d52546afb"]}],"mendeley":{"formattedCitation":"(Maloney et al., 2019; Yu et al., 2008)","plainTextFormattedCitation":"(Maloney et al., 2019; Yu et al., 2008)","previouslyFormattedCitation":"(Maloney et al., 2019; Yu et al., 2008)"},"properties":{"noteIndex":0},"schema":"https://github.com/citation-style-language/schema/raw/master/csl-citation.json"}</w:instrText>
      </w:r>
      <w:r w:rsidR="006D3184" w:rsidRPr="009A2E44">
        <w:rPr>
          <w:rFonts w:ascii="Garamond" w:hAnsi="Garamond"/>
        </w:rPr>
        <w:fldChar w:fldCharType="separate"/>
      </w:r>
      <w:r w:rsidR="006437D5" w:rsidRPr="009A2E44">
        <w:rPr>
          <w:rFonts w:ascii="Garamond" w:hAnsi="Garamond"/>
          <w:noProof/>
        </w:rPr>
        <w:t>(Maloney et al., 2019; Yu et al., 2008)</w:t>
      </w:r>
      <w:r w:rsidR="006D3184" w:rsidRPr="009A2E44">
        <w:rPr>
          <w:rFonts w:ascii="Garamond" w:hAnsi="Garamond"/>
        </w:rPr>
        <w:fldChar w:fldCharType="end"/>
      </w:r>
      <w:r w:rsidR="002B2E80" w:rsidRPr="009A2E44">
        <w:rPr>
          <w:rFonts w:ascii="Garamond" w:hAnsi="Garamond"/>
        </w:rPr>
        <w:t xml:space="preserve">, more accurate </w:t>
      </w:r>
      <w:r w:rsidR="006437D5" w:rsidRPr="009A2E44">
        <w:rPr>
          <w:rFonts w:ascii="Garamond" w:hAnsi="Garamond"/>
        </w:rPr>
        <w:t xml:space="preserve">evaporation </w:t>
      </w:r>
      <w:r w:rsidR="002B2E80" w:rsidRPr="009A2E44">
        <w:rPr>
          <w:rFonts w:ascii="Garamond" w:hAnsi="Garamond"/>
        </w:rPr>
        <w:t xml:space="preserve">estimates </w:t>
      </w:r>
      <w:r w:rsidR="00214F7A" w:rsidRPr="009A2E44">
        <w:rPr>
          <w:rFonts w:ascii="Garamond" w:hAnsi="Garamond"/>
        </w:rPr>
        <w:t xml:space="preserve">are not currently available for the </w:t>
      </w:r>
      <w:r w:rsidR="002B2E80" w:rsidRPr="009A2E44">
        <w:rPr>
          <w:rFonts w:ascii="Garamond" w:hAnsi="Garamond"/>
        </w:rPr>
        <w:t xml:space="preserve">core top </w:t>
      </w:r>
      <w:r w:rsidR="00214F7A" w:rsidRPr="009A2E44">
        <w:rPr>
          <w:rFonts w:ascii="Garamond" w:hAnsi="Garamond"/>
        </w:rPr>
        <w:t>sites</w:t>
      </w:r>
      <w:r w:rsidR="002B2E80" w:rsidRPr="009A2E44">
        <w:rPr>
          <w:rFonts w:ascii="Garamond" w:hAnsi="Garamond"/>
        </w:rPr>
        <w:t>, and the P</w:t>
      </w:r>
      <w:r w:rsidR="002B2E80" w:rsidRPr="009A2E44">
        <w:rPr>
          <w:rFonts w:ascii="Garamond" w:hAnsi="Garamond"/>
          <w:color w:val="202020"/>
          <w:shd w:val="clear" w:color="auto" w:fill="FFFFFF"/>
        </w:rPr>
        <w:t>−</w:t>
      </w:r>
      <w:r w:rsidR="002B2E80" w:rsidRPr="009A2E44">
        <w:rPr>
          <w:rFonts w:ascii="Garamond" w:hAnsi="Garamond"/>
        </w:rPr>
        <w:t>E spatial pattern is dominated by P</w:t>
      </w:r>
      <w:r w:rsidR="007120C2" w:rsidRPr="009A2E44">
        <w:rPr>
          <w:rFonts w:ascii="Garamond" w:hAnsi="Garamond"/>
        </w:rPr>
        <w:t xml:space="preserve"> in the tropical Pacific</w:t>
      </w:r>
      <w:r w:rsidR="002B2E80" w:rsidRPr="009A2E44">
        <w:rPr>
          <w:rFonts w:ascii="Garamond" w:hAnsi="Garamond"/>
        </w:rPr>
        <w:t xml:space="preserve"> </w:t>
      </w:r>
      <w:r w:rsidR="002B2E80" w:rsidRPr="009A2E44">
        <w:rPr>
          <w:rFonts w:ascii="Garamond" w:hAnsi="Garamond"/>
        </w:rPr>
        <w:fldChar w:fldCharType="begin" w:fldLock="1"/>
      </w:r>
      <w:r w:rsidR="00621E91" w:rsidRPr="009A2E44">
        <w:rPr>
          <w:rFonts w:ascii="Garamond" w:hAnsi="Garamond"/>
        </w:rPr>
        <w:instrText>ADDIN CSL_CITATION {"citationItems":[{"id":"ITEM-1","itemData":{"DOI":"10.1357/002224010794657164","ISBN":"0022-2402","ISSN":"00222402","author":[{"dropping-particle":"","family":"Schanze","given":"J. J.","non-dropping-particle":"","parse-names":false,"suffix":""},{"dropping-particle":"","family":"Schmitt","given":"R. W.","non-dropping-particle":"","parse-names":false,"suffix":""},{"dropping-particle":"","family":"Yu","given":"L. L.","non-dropping-particle":"","parse-names":false,"suffix":""}],"container-title":"Journal of Marine Research","id":"ITEM-1","issued":{"date-parts":[["2010"]]},"page":"569-595","title":"The global oceanic freshwater cycle: A state-of-the-art quantification","type":"article-journal","volume":"68"},"uris":["http://www.mendeley.com/documents/?uuid=f12f2b6d-6d97-4c96-9696-b4a2334d5ad9"]}],"mendeley":{"formattedCitation":"(Schanze et al., 2010)","plainTextFormattedCitation":"(Schanze et al., 2010)","previouslyFormattedCitation":"(Schanze et al., 2010)"},"properties":{"noteIndex":0},"schema":"https://github.com/citation-style-language/schema/raw/master/csl-citation.json"}</w:instrText>
      </w:r>
      <w:r w:rsidR="002B2E80" w:rsidRPr="009A2E44">
        <w:rPr>
          <w:rFonts w:ascii="Garamond" w:hAnsi="Garamond"/>
        </w:rPr>
        <w:fldChar w:fldCharType="separate"/>
      </w:r>
      <w:r w:rsidR="002B2E80" w:rsidRPr="009A2E44">
        <w:rPr>
          <w:rFonts w:ascii="Garamond" w:hAnsi="Garamond"/>
          <w:noProof/>
        </w:rPr>
        <w:t>(Schanze et al., 2010)</w:t>
      </w:r>
      <w:r w:rsidR="002B2E80" w:rsidRPr="009A2E44">
        <w:rPr>
          <w:rFonts w:ascii="Garamond" w:hAnsi="Garamond"/>
        </w:rPr>
        <w:fldChar w:fldCharType="end"/>
      </w:r>
      <w:r w:rsidR="00DF6360" w:rsidRPr="009A2E44">
        <w:rPr>
          <w:rFonts w:ascii="Garamond" w:hAnsi="Garamond"/>
        </w:rPr>
        <w:t>.</w:t>
      </w:r>
      <w:r w:rsidR="00A130EB" w:rsidRPr="009A2E44">
        <w:rPr>
          <w:rFonts w:ascii="Garamond" w:hAnsi="Garamond"/>
        </w:rPr>
        <w:t xml:space="preserve"> </w:t>
      </w:r>
      <w:r w:rsidR="00DF6360" w:rsidRPr="009A2E44">
        <w:rPr>
          <w:rFonts w:ascii="Garamond" w:hAnsi="Garamond"/>
        </w:rPr>
        <w:t>T</w:t>
      </w:r>
      <w:r w:rsidR="00A130EB" w:rsidRPr="009A2E44">
        <w:rPr>
          <w:rFonts w:ascii="Garamond" w:hAnsi="Garamond"/>
        </w:rPr>
        <w:t>herefore,</w:t>
      </w:r>
      <w:r w:rsidR="002B2E80" w:rsidRPr="009A2E44">
        <w:rPr>
          <w:rFonts w:ascii="Garamond" w:hAnsi="Garamond"/>
        </w:rPr>
        <w:t xml:space="preserve"> applying the calibration assumes that </w:t>
      </w:r>
      <w:r w:rsidR="000E30FF">
        <w:rPr>
          <w:rFonts w:ascii="Garamond" w:hAnsi="Garamond"/>
        </w:rPr>
        <w:t xml:space="preserve">both </w:t>
      </w:r>
      <w:r w:rsidR="002B2E80" w:rsidRPr="009A2E44">
        <w:rPr>
          <w:rFonts w:ascii="Garamond" w:hAnsi="Garamond"/>
        </w:rPr>
        <w:t xml:space="preserve">the </w:t>
      </w:r>
      <w:r w:rsidR="007120C2" w:rsidRPr="009A2E44">
        <w:rPr>
          <w:rFonts w:ascii="Garamond" w:hAnsi="Garamond"/>
        </w:rPr>
        <w:t>P</w:t>
      </w:r>
      <w:r w:rsidR="007120C2" w:rsidRPr="009A2E44">
        <w:rPr>
          <w:rFonts w:ascii="Garamond" w:hAnsi="Garamond"/>
          <w:color w:val="202020"/>
          <w:shd w:val="clear" w:color="auto" w:fill="FFFFFF"/>
        </w:rPr>
        <w:t>−</w:t>
      </w:r>
      <w:r w:rsidR="007120C2" w:rsidRPr="009A2E44">
        <w:rPr>
          <w:rFonts w:ascii="Garamond" w:hAnsi="Garamond"/>
        </w:rPr>
        <w:t xml:space="preserve">E </w:t>
      </w:r>
      <w:r w:rsidR="002B2E80" w:rsidRPr="009A2E44">
        <w:rPr>
          <w:rFonts w:ascii="Garamond" w:hAnsi="Garamond"/>
        </w:rPr>
        <w:t xml:space="preserve">relationship </w:t>
      </w:r>
      <w:r w:rsidR="000E30FF">
        <w:rPr>
          <w:rFonts w:ascii="Garamond" w:hAnsi="Garamond"/>
        </w:rPr>
        <w:t xml:space="preserve">and the </w:t>
      </w:r>
      <w:r w:rsidR="006C1166">
        <w:rPr>
          <w:rFonts w:ascii="Garamond" w:hAnsi="Garamond"/>
        </w:rPr>
        <w:t xml:space="preserve">mean trajectory/source of P </w:t>
      </w:r>
      <w:r w:rsidR="002B2E80" w:rsidRPr="009A2E44">
        <w:rPr>
          <w:rFonts w:ascii="Garamond" w:hAnsi="Garamond"/>
        </w:rPr>
        <w:t>is constant through time</w:t>
      </w:r>
      <w:r w:rsidR="00397377" w:rsidRPr="009A2E44">
        <w:rPr>
          <w:rFonts w:ascii="Garamond" w:hAnsi="Garamond"/>
        </w:rPr>
        <w:t xml:space="preserve">. </w:t>
      </w:r>
      <w:r w:rsidRPr="009A2E44">
        <w:rPr>
          <w:rFonts w:ascii="Garamond" w:hAnsi="Garamond"/>
        </w:rPr>
        <w:t>Finally</w:t>
      </w:r>
      <w:r w:rsidR="00451187" w:rsidRPr="009A2E44">
        <w:rPr>
          <w:rFonts w:ascii="Garamond" w:hAnsi="Garamond"/>
        </w:rPr>
        <w:t>, the calibration uses the GPCPv2.3 data set so all estimated precipitation rates should be considered “GPCP-like”</w:t>
      </w:r>
      <w:r w:rsidR="00A130EB" w:rsidRPr="009A2E44">
        <w:rPr>
          <w:rFonts w:ascii="Garamond" w:hAnsi="Garamond"/>
        </w:rPr>
        <w:t xml:space="preserve">; </w:t>
      </w:r>
      <w:r w:rsidR="00451187" w:rsidRPr="009A2E44">
        <w:rPr>
          <w:rFonts w:ascii="Garamond" w:hAnsi="Garamond"/>
        </w:rPr>
        <w:t xml:space="preserve">using </w:t>
      </w:r>
      <w:r w:rsidR="00B84D52" w:rsidRPr="009A2E44">
        <w:rPr>
          <w:rFonts w:ascii="Garamond" w:hAnsi="Garamond"/>
        </w:rPr>
        <w:t>different rainfall products</w:t>
      </w:r>
      <w:r w:rsidR="00451187" w:rsidRPr="009A2E44">
        <w:rPr>
          <w:rFonts w:ascii="Garamond" w:hAnsi="Garamond"/>
        </w:rPr>
        <w:t xml:space="preserve"> </w:t>
      </w:r>
      <w:r w:rsidR="00856BD4" w:rsidRPr="009A2E44">
        <w:rPr>
          <w:rFonts w:ascii="Garamond" w:hAnsi="Garamond"/>
        </w:rPr>
        <w:t xml:space="preserve">for a calibration </w:t>
      </w:r>
      <w:r w:rsidR="00451187" w:rsidRPr="009A2E44">
        <w:rPr>
          <w:rFonts w:ascii="Garamond" w:hAnsi="Garamond"/>
        </w:rPr>
        <w:t xml:space="preserve">would result in different </w:t>
      </w:r>
      <w:r w:rsidR="006D3184" w:rsidRPr="009A2E44">
        <w:rPr>
          <w:rFonts w:ascii="Garamond" w:hAnsi="Garamond"/>
        </w:rPr>
        <w:t>slopes, intercepts, and uncertainties</w:t>
      </w:r>
      <w:r w:rsidR="00451187" w:rsidRPr="009A2E44">
        <w:rPr>
          <w:rFonts w:ascii="Garamond" w:hAnsi="Garamond"/>
        </w:rPr>
        <w:t>.</w:t>
      </w:r>
      <w:r w:rsidR="00A130EB" w:rsidRPr="009A2E44">
        <w:rPr>
          <w:rFonts w:ascii="Garamond" w:hAnsi="Garamond"/>
        </w:rPr>
        <w:t xml:space="preserve"> </w:t>
      </w:r>
      <w:r w:rsidR="00F37FC8">
        <w:rPr>
          <w:rFonts w:ascii="Garamond" w:hAnsi="Garamond"/>
        </w:rPr>
        <w:t>U</w:t>
      </w:r>
      <w:r w:rsidRPr="009A2E44">
        <w:rPr>
          <w:rFonts w:ascii="Garamond" w:hAnsi="Garamond"/>
        </w:rPr>
        <w:t xml:space="preserve">ncertainties in modern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lakewater</w:t>
      </w:r>
      <w:r w:rsidRPr="009A2E44">
        <w:rPr>
          <w:rFonts w:ascii="Garamond" w:hAnsi="Garamond"/>
        </w:rPr>
        <w:t xml:space="preserve"> and evaporation make it difficult to </w:t>
      </w:r>
      <w:r w:rsidR="00071AC2" w:rsidRPr="009A2E44">
        <w:rPr>
          <w:rFonts w:ascii="Garamond" w:hAnsi="Garamond"/>
        </w:rPr>
        <w:t xml:space="preserve">quantitatively </w:t>
      </w:r>
      <w:r w:rsidRPr="009A2E44">
        <w:rPr>
          <w:rFonts w:ascii="Garamond" w:hAnsi="Garamond"/>
        </w:rPr>
        <w:t xml:space="preserve">reconstruct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lakewater</w:t>
      </w:r>
      <w:r w:rsidRPr="009A2E44">
        <w:rPr>
          <w:rFonts w:ascii="Garamond" w:hAnsi="Garamond"/>
        </w:rPr>
        <w:t xml:space="preserve">, </w:t>
      </w:r>
      <w:r w:rsidR="006D318A">
        <w:rPr>
          <w:rFonts w:ascii="Garamond" w:hAnsi="Garamond"/>
        </w:rPr>
        <w:t>biosynthetic isotopic fractionation between dinosterol and lake water</w:t>
      </w:r>
      <w:r w:rsidRPr="009A2E44">
        <w:rPr>
          <w:rFonts w:ascii="Garamond" w:hAnsi="Garamond" w:cstheme="minorHAnsi"/>
        </w:rPr>
        <w:t xml:space="preserve">, </w:t>
      </w:r>
      <w:r w:rsidR="00F37FC8">
        <w:rPr>
          <w:rFonts w:ascii="Garamond" w:hAnsi="Garamond" w:cstheme="minorHAnsi"/>
        </w:rPr>
        <w:t>or</w:t>
      </w:r>
      <w:r w:rsidR="00F37FC8" w:rsidRPr="009A2E44">
        <w:rPr>
          <w:rFonts w:ascii="Garamond" w:hAnsi="Garamond" w:cstheme="minorHAnsi"/>
        </w:rPr>
        <w:t xml:space="preserve"> </w:t>
      </w:r>
      <w:r w:rsidRPr="009A2E44">
        <w:rPr>
          <w:rFonts w:ascii="Garamond" w:hAnsi="Garamond"/>
        </w:rPr>
        <w:t>P</w:t>
      </w:r>
      <w:r w:rsidRPr="009A2E44">
        <w:rPr>
          <w:rFonts w:ascii="Garamond" w:hAnsi="Garamond"/>
          <w:color w:val="202020"/>
          <w:shd w:val="clear" w:color="auto" w:fill="FFFFFF"/>
        </w:rPr>
        <w:t>−</w:t>
      </w:r>
      <w:r w:rsidRPr="009A2E44">
        <w:rPr>
          <w:rFonts w:ascii="Garamond" w:hAnsi="Garamond" w:cstheme="minorHAnsi"/>
        </w:rPr>
        <w:t>E</w:t>
      </w:r>
      <w:r w:rsidR="008F3C41">
        <w:rPr>
          <w:rFonts w:ascii="Garamond" w:hAnsi="Garamond"/>
          <w:iCs/>
        </w:rPr>
        <w:t xml:space="preserve">. </w:t>
      </w:r>
      <w:proofErr w:type="gramStart"/>
      <w:r w:rsidR="008F3C41">
        <w:rPr>
          <w:rFonts w:ascii="Garamond" w:hAnsi="Garamond"/>
          <w:iCs/>
        </w:rPr>
        <w:t>T</w:t>
      </w:r>
      <w:r w:rsidR="00451187" w:rsidRPr="009A2E44">
        <w:rPr>
          <w:rFonts w:ascii="Garamond" w:hAnsi="Garamond"/>
          <w:iCs/>
        </w:rPr>
        <w:t>he</w:t>
      </w:r>
      <w:r w:rsidR="00F37FC8">
        <w:rPr>
          <w:rFonts w:ascii="Garamond" w:hAnsi="Garamond"/>
          <w:iCs/>
        </w:rPr>
        <w:t>refore</w:t>
      </w:r>
      <w:proofErr w:type="gramEnd"/>
      <w:r w:rsidR="00F37FC8">
        <w:rPr>
          <w:rFonts w:ascii="Garamond" w:hAnsi="Garamond"/>
          <w:iCs/>
        </w:rPr>
        <w:t xml:space="preserve"> </w:t>
      </w:r>
      <w:r w:rsidR="008F3C41">
        <w:rPr>
          <w:rFonts w:ascii="Garamond" w:hAnsi="Garamond"/>
          <w:iCs/>
        </w:rPr>
        <w:t>this work</w:t>
      </w:r>
      <w:r w:rsidR="00F37FC8">
        <w:rPr>
          <w:rFonts w:ascii="Garamond" w:hAnsi="Garamond"/>
          <w:iCs/>
        </w:rPr>
        <w:t xml:space="preserve"> reconstruct</w:t>
      </w:r>
      <w:r w:rsidR="008F3C41">
        <w:rPr>
          <w:rFonts w:ascii="Garamond" w:hAnsi="Garamond"/>
          <w:iCs/>
        </w:rPr>
        <w:t>s</w:t>
      </w:r>
      <w:r w:rsidR="00F37FC8">
        <w:rPr>
          <w:rFonts w:ascii="Garamond" w:hAnsi="Garamond"/>
          <w:iCs/>
        </w:rPr>
        <w:t xml:space="preserve"> precipitation rates and the</w:t>
      </w:r>
      <w:r w:rsidR="00451187" w:rsidRPr="009A2E44">
        <w:rPr>
          <w:rFonts w:ascii="Garamond" w:hAnsi="Garamond"/>
          <w:iCs/>
        </w:rPr>
        <w:t xml:space="preserve"> agreement at all three sites between </w:t>
      </w:r>
      <w:r w:rsidR="00451187" w:rsidRPr="009A2E44">
        <w:rPr>
          <w:rFonts w:ascii="Garamond" w:hAnsi="Garamond"/>
          <w:iCs/>
        </w:rPr>
        <w:lastRenderedPageBreak/>
        <w:t xml:space="preserve">GPCP precipitation rates and reconstructed </w:t>
      </w:r>
      <w:r w:rsidR="00451187" w:rsidRPr="009A2E44">
        <w:rPr>
          <w:rFonts w:ascii="Garamond" w:hAnsi="Garamond"/>
        </w:rPr>
        <w:t>precipitation rates indicates that the core</w:t>
      </w:r>
      <w:r w:rsidR="007A43F6" w:rsidRPr="009A2E44">
        <w:rPr>
          <w:rFonts w:ascii="Garamond" w:hAnsi="Garamond"/>
        </w:rPr>
        <w:t xml:space="preserve"> </w:t>
      </w:r>
      <w:r w:rsidR="00451187" w:rsidRPr="009A2E44">
        <w:rPr>
          <w:rFonts w:ascii="Garamond" w:hAnsi="Garamond"/>
        </w:rPr>
        <w:t xml:space="preserve">top calibration </w:t>
      </w:r>
      <w:r w:rsidR="00071AC2" w:rsidRPr="009A2E44">
        <w:rPr>
          <w:rFonts w:ascii="Garamond" w:hAnsi="Garamond"/>
        </w:rPr>
        <w:t xml:space="preserve">skillfully captures </w:t>
      </w:r>
      <w:r w:rsidR="00451187" w:rsidRPr="009A2E44">
        <w:rPr>
          <w:rFonts w:ascii="Garamond" w:hAnsi="Garamond"/>
        </w:rPr>
        <w:t xml:space="preserve">precipitation rates. </w:t>
      </w:r>
    </w:p>
    <w:p w14:paraId="076A4034" w14:textId="26091C96" w:rsidR="00385307" w:rsidRPr="009A2E44" w:rsidRDefault="00385307" w:rsidP="001C47D3">
      <w:pPr>
        <w:spacing w:line="480" w:lineRule="auto"/>
        <w:ind w:firstLine="720"/>
        <w:rPr>
          <w:rFonts w:ascii="Garamond" w:hAnsi="Garamond"/>
          <w:i/>
        </w:rPr>
      </w:pPr>
    </w:p>
    <w:p w14:paraId="78FF9FDC" w14:textId="7AF694E8" w:rsidR="00660EE8" w:rsidRPr="009A2E44" w:rsidRDefault="00660EE8" w:rsidP="001C47D3">
      <w:pPr>
        <w:spacing w:line="480" w:lineRule="auto"/>
        <w:rPr>
          <w:rFonts w:ascii="Garamond" w:hAnsi="Garamond"/>
        </w:rPr>
      </w:pPr>
      <w:r w:rsidRPr="009A2E44">
        <w:rPr>
          <w:rFonts w:ascii="Garamond" w:hAnsi="Garamond"/>
          <w:i/>
        </w:rPr>
        <w:t>5.2.</w:t>
      </w:r>
      <w:r w:rsidR="002134BE" w:rsidRPr="009A2E44">
        <w:rPr>
          <w:rFonts w:ascii="Garamond" w:hAnsi="Garamond"/>
          <w:i/>
        </w:rPr>
        <w:t>3</w:t>
      </w:r>
      <w:r w:rsidRPr="009A2E44">
        <w:rPr>
          <w:rFonts w:ascii="Garamond" w:hAnsi="Garamond"/>
          <w:i/>
        </w:rPr>
        <w:t xml:space="preserve">. </w:t>
      </w:r>
      <w:r w:rsidR="00D6172A" w:rsidRPr="009A2E44">
        <w:rPr>
          <w:rFonts w:ascii="Garamond" w:hAnsi="Garamond"/>
          <w:i/>
        </w:rPr>
        <w:t>Variable L</w:t>
      </w:r>
      <w:r w:rsidRPr="009A2E44">
        <w:rPr>
          <w:rFonts w:ascii="Garamond" w:hAnsi="Garamond"/>
          <w:i/>
        </w:rPr>
        <w:t xml:space="preserve">ittle Ice Age </w:t>
      </w:r>
      <w:r w:rsidRPr="009A2E44">
        <w:rPr>
          <w:rFonts w:ascii="Garamond" w:hAnsi="Garamond"/>
          <w:i/>
        </w:rPr>
        <w:sym w:font="Symbol" w:char="F064"/>
      </w:r>
      <w:r w:rsidRPr="009A2E44">
        <w:rPr>
          <w:rFonts w:ascii="Garamond" w:hAnsi="Garamond"/>
          <w:i/>
          <w:vertAlign w:val="superscript"/>
        </w:rPr>
        <w:t>2</w:t>
      </w:r>
      <w:r w:rsidRPr="009A2E44">
        <w:rPr>
          <w:rFonts w:ascii="Garamond" w:hAnsi="Garamond"/>
          <w:i/>
        </w:rPr>
        <w:t>H</w:t>
      </w:r>
      <w:r w:rsidRPr="009A2E44">
        <w:rPr>
          <w:rFonts w:ascii="Garamond" w:hAnsi="Garamond"/>
          <w:i/>
          <w:vertAlign w:val="subscript"/>
        </w:rPr>
        <w:t>dinosterol</w:t>
      </w:r>
      <w:r w:rsidRPr="009A2E44">
        <w:rPr>
          <w:rFonts w:ascii="Garamond" w:hAnsi="Garamond"/>
          <w:i/>
        </w:rPr>
        <w:t xml:space="preserve"> values </w:t>
      </w:r>
    </w:p>
    <w:p w14:paraId="6C1E31F5" w14:textId="78E41932" w:rsidR="00A82BD3" w:rsidRPr="00FC29A0" w:rsidRDefault="00FC29A0" w:rsidP="00FC29A0">
      <w:pPr>
        <w:spacing w:line="480" w:lineRule="auto"/>
        <w:ind w:firstLine="720"/>
        <w:rPr>
          <w:rFonts w:ascii="Garamond" w:hAnsi="Garamond"/>
          <w:iCs/>
        </w:rPr>
      </w:pPr>
      <w:r>
        <w:rPr>
          <w:rFonts w:ascii="Garamond" w:hAnsi="Garamond"/>
        </w:rPr>
        <w:t>A</w:t>
      </w:r>
      <w:r w:rsidRPr="000719DE">
        <w:rPr>
          <w:rFonts w:ascii="Garamond" w:hAnsi="Garamond"/>
        </w:rPr>
        <w:t xml:space="preserve">fter carefully considering all possibilities, the most internally consistent explanation of our multi-proxy dataset from </w:t>
      </w:r>
      <w:r>
        <w:rPr>
          <w:rFonts w:ascii="Garamond" w:hAnsi="Garamond"/>
        </w:rPr>
        <w:t>Lac L</w:t>
      </w:r>
      <w:r w:rsidRPr="000719DE">
        <w:rPr>
          <w:rFonts w:ascii="Garamond" w:hAnsi="Garamond"/>
        </w:rPr>
        <w:t>an</w:t>
      </w:r>
      <w:r>
        <w:rPr>
          <w:rFonts w:ascii="Garamond" w:hAnsi="Garamond"/>
        </w:rPr>
        <w:t>u</w:t>
      </w:r>
      <w:r w:rsidRPr="000719DE">
        <w:rPr>
          <w:rFonts w:ascii="Garamond" w:hAnsi="Garamond"/>
        </w:rPr>
        <w:t>tavake is that it primarily represents a hydroclimate signal, and that it can be interpreted as such together with similarly robust hydroclimate records from Samoa and Vanuatu</w:t>
      </w:r>
      <w:r>
        <w:rPr>
          <w:rFonts w:ascii="Garamond" w:hAnsi="Garamond"/>
        </w:rPr>
        <w:t>.</w:t>
      </w:r>
      <w:r>
        <w:rPr>
          <w:rFonts w:ascii="Garamond" w:hAnsi="Garamond"/>
          <w:iCs/>
        </w:rPr>
        <w:t xml:space="preserve"> </w:t>
      </w:r>
      <w:r w:rsidR="0016127D" w:rsidRPr="009A2E44">
        <w:rPr>
          <w:rFonts w:ascii="Garamond" w:hAnsi="Garamond"/>
          <w:iCs/>
        </w:rPr>
        <w:t>P</w:t>
      </w:r>
      <w:r w:rsidR="00675836" w:rsidRPr="009A2E44">
        <w:rPr>
          <w:rFonts w:ascii="Garamond" w:hAnsi="Garamond"/>
          <w:iCs/>
        </w:rPr>
        <w:t xml:space="preserve">recipitation rates </w:t>
      </w:r>
      <w:r w:rsidR="0016127D" w:rsidRPr="009A2E44">
        <w:rPr>
          <w:rFonts w:ascii="Garamond" w:hAnsi="Garamond"/>
          <w:iCs/>
        </w:rPr>
        <w:t xml:space="preserve">reconstructed from Lac Lanutavake’s </w:t>
      </w:r>
      <w:r w:rsidR="0016127D" w:rsidRPr="009A2E44">
        <w:rPr>
          <w:rFonts w:ascii="Garamond" w:hAnsi="Garamond"/>
          <w:iCs/>
        </w:rPr>
        <w:sym w:font="Symbol" w:char="F064"/>
      </w:r>
      <w:r w:rsidR="0016127D" w:rsidRPr="009A2E44">
        <w:rPr>
          <w:rFonts w:ascii="Garamond" w:hAnsi="Garamond"/>
          <w:iCs/>
          <w:vertAlign w:val="superscript"/>
        </w:rPr>
        <w:t>2</w:t>
      </w:r>
      <w:r w:rsidR="0016127D" w:rsidRPr="009A2E44">
        <w:rPr>
          <w:rFonts w:ascii="Garamond" w:hAnsi="Garamond"/>
          <w:iCs/>
        </w:rPr>
        <w:t>H</w:t>
      </w:r>
      <w:r w:rsidR="0016127D" w:rsidRPr="009A2E44">
        <w:rPr>
          <w:rFonts w:ascii="Garamond" w:hAnsi="Garamond"/>
          <w:iCs/>
          <w:vertAlign w:val="subscript"/>
        </w:rPr>
        <w:t>dinosterol</w:t>
      </w:r>
      <w:r w:rsidR="0016127D" w:rsidRPr="009A2E44">
        <w:rPr>
          <w:rFonts w:ascii="Garamond" w:hAnsi="Garamond"/>
          <w:iCs/>
        </w:rPr>
        <w:t xml:space="preserve"> values during the LIA </w:t>
      </w:r>
      <w:r w:rsidR="00C90796" w:rsidRPr="009A2E44">
        <w:rPr>
          <w:rFonts w:ascii="Garamond" w:hAnsi="Garamond"/>
          <w:iCs/>
        </w:rPr>
        <w:t>fluctuat</w:t>
      </w:r>
      <w:r w:rsidR="00B465A6" w:rsidRPr="009A2E44">
        <w:rPr>
          <w:rFonts w:ascii="Garamond" w:hAnsi="Garamond"/>
          <w:iCs/>
        </w:rPr>
        <w:t>e</w:t>
      </w:r>
      <w:r w:rsidR="00F71E98">
        <w:rPr>
          <w:rFonts w:ascii="Garamond" w:hAnsi="Garamond"/>
          <w:iCs/>
        </w:rPr>
        <w:t>d</w:t>
      </w:r>
      <w:r w:rsidR="00C90796" w:rsidRPr="009A2E44">
        <w:rPr>
          <w:rFonts w:ascii="Garamond" w:hAnsi="Garamond"/>
          <w:iCs/>
        </w:rPr>
        <w:t xml:space="preserve"> between 6 </w:t>
      </w:r>
      <w:r w:rsidR="000B6E41" w:rsidRPr="009A2E44">
        <w:rPr>
          <w:rFonts w:ascii="Garamond" w:hAnsi="Garamond"/>
          <w:iCs/>
        </w:rPr>
        <w:t>to</w:t>
      </w:r>
      <w:r w:rsidR="00C90796" w:rsidRPr="009A2E44">
        <w:rPr>
          <w:rFonts w:ascii="Garamond" w:hAnsi="Garamond"/>
          <w:iCs/>
        </w:rPr>
        <w:t xml:space="preserve"> 7 mm d</w:t>
      </w:r>
      <w:r w:rsidR="00C90796" w:rsidRPr="009A2E44">
        <w:rPr>
          <w:rFonts w:ascii="Garamond" w:hAnsi="Garamond"/>
          <w:color w:val="202020"/>
          <w:shd w:val="clear" w:color="auto" w:fill="FFFFFF"/>
          <w:vertAlign w:val="superscript"/>
        </w:rPr>
        <w:t>−</w:t>
      </w:r>
      <w:r w:rsidR="00C90796" w:rsidRPr="009A2E44">
        <w:rPr>
          <w:rFonts w:ascii="Garamond" w:hAnsi="Garamond"/>
          <w:iCs/>
          <w:vertAlign w:val="superscript"/>
        </w:rPr>
        <w:t>1</w:t>
      </w:r>
      <w:r w:rsidR="00675836" w:rsidRPr="009A2E44">
        <w:rPr>
          <w:rFonts w:ascii="Garamond" w:hAnsi="Garamond"/>
          <w:iCs/>
        </w:rPr>
        <w:t>. W</w:t>
      </w:r>
      <w:r w:rsidR="00B72682" w:rsidRPr="009A2E44">
        <w:rPr>
          <w:rFonts w:ascii="Garamond" w:hAnsi="Garamond"/>
          <w:iCs/>
        </w:rPr>
        <w:t>ettest conditions</w:t>
      </w:r>
      <w:r w:rsidR="00FF1F25" w:rsidRPr="009A2E44">
        <w:rPr>
          <w:rFonts w:ascii="Garamond" w:hAnsi="Garamond"/>
          <w:iCs/>
        </w:rPr>
        <w:t xml:space="preserve"> </w:t>
      </w:r>
      <w:r w:rsidR="00675836" w:rsidRPr="009A2E44">
        <w:rPr>
          <w:rFonts w:ascii="Garamond" w:hAnsi="Garamond"/>
          <w:iCs/>
        </w:rPr>
        <w:t xml:space="preserve">occurred </w:t>
      </w:r>
      <w:r w:rsidR="00FF1F25" w:rsidRPr="009A2E44">
        <w:rPr>
          <w:rFonts w:ascii="Garamond" w:hAnsi="Garamond"/>
          <w:iCs/>
        </w:rPr>
        <w:t>in the early LIA and immediately after the LIA, creating a “u-shaped” pattern</w:t>
      </w:r>
      <w:r w:rsidR="00675836" w:rsidRPr="009A2E44">
        <w:rPr>
          <w:rFonts w:ascii="Garamond" w:hAnsi="Garamond"/>
          <w:iCs/>
        </w:rPr>
        <w:t xml:space="preserve"> </w:t>
      </w:r>
      <w:r w:rsidR="001B1E08" w:rsidRPr="009A2E44">
        <w:rPr>
          <w:rFonts w:ascii="Garamond" w:hAnsi="Garamond"/>
          <w:iCs/>
        </w:rPr>
        <w:t>(</w:t>
      </w:r>
      <w:r w:rsidR="00675836" w:rsidRPr="009A2E44">
        <w:rPr>
          <w:rFonts w:ascii="Garamond" w:hAnsi="Garamond"/>
          <w:b/>
          <w:bCs/>
          <w:iCs/>
        </w:rPr>
        <w:t>Fig</w:t>
      </w:r>
      <w:r w:rsidR="001B1E08" w:rsidRPr="009A2E44">
        <w:rPr>
          <w:rFonts w:ascii="Garamond" w:hAnsi="Garamond"/>
          <w:b/>
          <w:bCs/>
          <w:iCs/>
        </w:rPr>
        <w:t xml:space="preserve">. </w:t>
      </w:r>
      <w:r w:rsidR="00F64053" w:rsidRPr="009A2E44">
        <w:rPr>
          <w:rFonts w:ascii="Garamond" w:hAnsi="Garamond"/>
          <w:b/>
          <w:bCs/>
          <w:iCs/>
        </w:rPr>
        <w:t>5</w:t>
      </w:r>
      <w:r w:rsidR="001B1E08" w:rsidRPr="009A2E44">
        <w:rPr>
          <w:rFonts w:ascii="Garamond" w:hAnsi="Garamond"/>
          <w:iCs/>
        </w:rPr>
        <w:t>)</w:t>
      </w:r>
      <w:r w:rsidR="00CD6B44">
        <w:rPr>
          <w:rFonts w:ascii="Garamond" w:hAnsi="Garamond"/>
          <w:iCs/>
        </w:rPr>
        <w:t>,</w:t>
      </w:r>
      <w:r w:rsidR="00551AED">
        <w:rPr>
          <w:rFonts w:ascii="Garamond" w:hAnsi="Garamond"/>
          <w:iCs/>
        </w:rPr>
        <w:t xml:space="preserve"> </w:t>
      </w:r>
      <w:r w:rsidR="00F71E98">
        <w:rPr>
          <w:rFonts w:ascii="Garamond" w:hAnsi="Garamond"/>
          <w:iCs/>
        </w:rPr>
        <w:t>with</w:t>
      </w:r>
      <w:r w:rsidR="00551AED">
        <w:rPr>
          <w:rFonts w:ascii="Garamond" w:hAnsi="Garamond"/>
          <w:iCs/>
        </w:rPr>
        <w:t xml:space="preserve"> the </w:t>
      </w:r>
      <w:r w:rsidR="00CD6B44">
        <w:rPr>
          <w:rFonts w:ascii="Garamond" w:hAnsi="Garamond"/>
          <w:iCs/>
        </w:rPr>
        <w:t>average of all LIA</w:t>
      </w:r>
      <w:r w:rsidR="00F71E98">
        <w:rPr>
          <w:rFonts w:ascii="Garamond" w:hAnsi="Garamond"/>
          <w:iCs/>
        </w:rPr>
        <w:t xml:space="preserve"> </w:t>
      </w:r>
      <w:r w:rsidR="00F71E98" w:rsidRPr="009A2E44">
        <w:rPr>
          <w:rFonts w:ascii="Garamond" w:hAnsi="Garamond"/>
          <w:iCs/>
        </w:rPr>
        <w:sym w:font="Symbol" w:char="F064"/>
      </w:r>
      <w:r w:rsidR="00F71E98" w:rsidRPr="009A2E44">
        <w:rPr>
          <w:rFonts w:ascii="Garamond" w:hAnsi="Garamond"/>
          <w:iCs/>
          <w:vertAlign w:val="superscript"/>
        </w:rPr>
        <w:t>2</w:t>
      </w:r>
      <w:r w:rsidR="00F71E98" w:rsidRPr="009A2E44">
        <w:rPr>
          <w:rFonts w:ascii="Garamond" w:hAnsi="Garamond"/>
          <w:iCs/>
        </w:rPr>
        <w:t>H</w:t>
      </w:r>
      <w:r w:rsidR="00F71E98" w:rsidRPr="009A2E44">
        <w:rPr>
          <w:rFonts w:ascii="Garamond" w:hAnsi="Garamond"/>
          <w:iCs/>
          <w:vertAlign w:val="subscript"/>
        </w:rPr>
        <w:t>dinosterol</w:t>
      </w:r>
      <w:r w:rsidR="00CD6B44">
        <w:rPr>
          <w:rFonts w:ascii="Garamond" w:hAnsi="Garamond"/>
          <w:iCs/>
        </w:rPr>
        <w:t xml:space="preserve"> values slightly </w:t>
      </w:r>
      <w:r w:rsidR="00F71E98">
        <w:rPr>
          <w:rFonts w:ascii="Garamond" w:hAnsi="Garamond"/>
          <w:iCs/>
        </w:rPr>
        <w:t xml:space="preserve">lower (i.e., </w:t>
      </w:r>
      <w:r w:rsidR="00CD6B44">
        <w:rPr>
          <w:rFonts w:ascii="Garamond" w:hAnsi="Garamond"/>
          <w:iCs/>
        </w:rPr>
        <w:t>wetter</w:t>
      </w:r>
      <w:r w:rsidR="00F71E98">
        <w:rPr>
          <w:rFonts w:ascii="Garamond" w:hAnsi="Garamond"/>
          <w:iCs/>
        </w:rPr>
        <w:t>)</w:t>
      </w:r>
      <w:r w:rsidR="00CD6B44">
        <w:rPr>
          <w:rFonts w:ascii="Garamond" w:hAnsi="Garamond"/>
          <w:iCs/>
        </w:rPr>
        <w:t xml:space="preserve"> than the core mean (</w:t>
      </w:r>
      <w:r w:rsidR="00CD6B44" w:rsidRPr="0059783F">
        <w:rPr>
          <w:rFonts w:ascii="Garamond" w:hAnsi="Garamond"/>
          <w:b/>
          <w:iCs/>
        </w:rPr>
        <w:t>Fig. 4B</w:t>
      </w:r>
      <w:r w:rsidR="00CD6B44">
        <w:rPr>
          <w:rFonts w:ascii="Garamond" w:hAnsi="Garamond"/>
          <w:iCs/>
        </w:rPr>
        <w:t>)</w:t>
      </w:r>
      <w:r w:rsidR="00C5386A" w:rsidRPr="009A2E44">
        <w:rPr>
          <w:rFonts w:ascii="Garamond" w:hAnsi="Garamond"/>
          <w:iCs/>
        </w:rPr>
        <w:t xml:space="preserve">. </w:t>
      </w:r>
      <w:r w:rsidR="0016127D" w:rsidRPr="009A2E44">
        <w:rPr>
          <w:rFonts w:ascii="Garamond" w:hAnsi="Garamond"/>
          <w:iCs/>
        </w:rPr>
        <w:t xml:space="preserve">A </w:t>
      </w:r>
      <w:r w:rsidR="003E3FC8" w:rsidRPr="009A2E44">
        <w:rPr>
          <w:rFonts w:ascii="Garamond" w:hAnsi="Garamond"/>
          <w:iCs/>
        </w:rPr>
        <w:t xml:space="preserve">more pronounced </w:t>
      </w:r>
      <w:r w:rsidR="00FF1F25" w:rsidRPr="009A2E44">
        <w:rPr>
          <w:rFonts w:ascii="Garamond" w:hAnsi="Garamond"/>
          <w:iCs/>
        </w:rPr>
        <w:t xml:space="preserve">mid-LIA drying pattern </w:t>
      </w:r>
      <w:r w:rsidR="00730147" w:rsidRPr="009A2E44">
        <w:rPr>
          <w:rFonts w:ascii="Garamond" w:hAnsi="Garamond"/>
          <w:iCs/>
        </w:rPr>
        <w:t xml:space="preserve">appears in the </w:t>
      </w:r>
      <w:r w:rsidR="00B54F3D" w:rsidRPr="009A2E44">
        <w:rPr>
          <w:rFonts w:ascii="Garamond" w:hAnsi="Garamond"/>
          <w:iCs/>
        </w:rPr>
        <w:t>Lake Lanoto’o and Lake Emaotul</w:t>
      </w:r>
      <w:r w:rsidR="00FF1F25" w:rsidRPr="009A2E44">
        <w:rPr>
          <w:rFonts w:ascii="Garamond" w:hAnsi="Garamond"/>
          <w:i/>
        </w:rPr>
        <w:t xml:space="preserve"> </w:t>
      </w:r>
      <w:r w:rsidR="00FF1F25" w:rsidRPr="009A2E44">
        <w:rPr>
          <w:rFonts w:ascii="Garamond" w:hAnsi="Garamond"/>
          <w:iCs/>
        </w:rPr>
        <w:sym w:font="Symbol" w:char="F064"/>
      </w:r>
      <w:r w:rsidR="00FF1F25" w:rsidRPr="009A2E44">
        <w:rPr>
          <w:rFonts w:ascii="Garamond" w:hAnsi="Garamond"/>
          <w:iCs/>
          <w:vertAlign w:val="superscript"/>
        </w:rPr>
        <w:t>2</w:t>
      </w:r>
      <w:r w:rsidR="00FF1F25" w:rsidRPr="009A2E44">
        <w:rPr>
          <w:rFonts w:ascii="Garamond" w:hAnsi="Garamond"/>
          <w:iCs/>
        </w:rPr>
        <w:t>H</w:t>
      </w:r>
      <w:r w:rsidR="00FF1F25" w:rsidRPr="009A2E44">
        <w:rPr>
          <w:rFonts w:ascii="Garamond" w:hAnsi="Garamond"/>
          <w:iCs/>
          <w:vertAlign w:val="subscript"/>
        </w:rPr>
        <w:t>dinosterol</w:t>
      </w:r>
      <w:r w:rsidR="00FF1F25" w:rsidRPr="009A2E44">
        <w:rPr>
          <w:rFonts w:ascii="Garamond" w:hAnsi="Garamond"/>
          <w:iCs/>
        </w:rPr>
        <w:t xml:space="preserve"> </w:t>
      </w:r>
      <w:r w:rsidR="00DF6360" w:rsidRPr="009A2E44">
        <w:rPr>
          <w:rFonts w:ascii="Garamond" w:hAnsi="Garamond"/>
          <w:iCs/>
        </w:rPr>
        <w:t>records</w:t>
      </w:r>
      <w:r w:rsidR="00B72682" w:rsidRPr="009A2E44">
        <w:rPr>
          <w:rFonts w:ascii="Garamond" w:hAnsi="Garamond"/>
          <w:iCs/>
        </w:rPr>
        <w:t xml:space="preserve">, </w:t>
      </w:r>
      <w:r w:rsidR="00DD3364" w:rsidRPr="009A2E44">
        <w:rPr>
          <w:rFonts w:ascii="Garamond" w:hAnsi="Garamond"/>
          <w:iCs/>
        </w:rPr>
        <w:t xml:space="preserve">with corresponding reconstructed precipitation rates </w:t>
      </w:r>
      <w:r w:rsidR="00B72682" w:rsidRPr="009A2E44">
        <w:rPr>
          <w:rFonts w:ascii="Garamond" w:hAnsi="Garamond"/>
          <w:iCs/>
        </w:rPr>
        <w:t>fluctuating between 4.</w:t>
      </w:r>
      <w:r w:rsidR="00CD6B44">
        <w:rPr>
          <w:rFonts w:ascii="Garamond" w:hAnsi="Garamond"/>
          <w:iCs/>
        </w:rPr>
        <w:t>3</w:t>
      </w:r>
      <w:r w:rsidR="00CD6B44" w:rsidRPr="009A2E44">
        <w:rPr>
          <w:rFonts w:ascii="Garamond" w:hAnsi="Garamond"/>
          <w:iCs/>
        </w:rPr>
        <w:t xml:space="preserve"> </w:t>
      </w:r>
      <w:r w:rsidR="000B6E41" w:rsidRPr="009A2E44">
        <w:rPr>
          <w:rFonts w:ascii="Garamond" w:hAnsi="Garamond"/>
          <w:iCs/>
        </w:rPr>
        <w:t>to</w:t>
      </w:r>
      <w:r w:rsidR="00B72682" w:rsidRPr="009A2E44">
        <w:rPr>
          <w:rFonts w:ascii="Garamond" w:hAnsi="Garamond"/>
          <w:iCs/>
        </w:rPr>
        <w:t xml:space="preserve"> </w:t>
      </w:r>
      <w:r w:rsidR="00CD6B44">
        <w:rPr>
          <w:rFonts w:ascii="Garamond" w:hAnsi="Garamond"/>
          <w:iCs/>
        </w:rPr>
        <w:t>5.8</w:t>
      </w:r>
      <w:r w:rsidR="00CD6B44" w:rsidRPr="009A2E44">
        <w:rPr>
          <w:rFonts w:ascii="Garamond" w:hAnsi="Garamond"/>
          <w:iCs/>
        </w:rPr>
        <w:t xml:space="preserve"> </w:t>
      </w:r>
      <w:r w:rsidR="00B72682" w:rsidRPr="009A2E44">
        <w:rPr>
          <w:rFonts w:ascii="Garamond" w:hAnsi="Garamond"/>
          <w:iCs/>
        </w:rPr>
        <w:t>mm d</w:t>
      </w:r>
      <w:r w:rsidR="00B72682" w:rsidRPr="009A2E44">
        <w:rPr>
          <w:rFonts w:ascii="Garamond" w:hAnsi="Garamond"/>
          <w:color w:val="202020"/>
          <w:shd w:val="clear" w:color="auto" w:fill="FFFFFF"/>
          <w:vertAlign w:val="superscript"/>
        </w:rPr>
        <w:t>−</w:t>
      </w:r>
      <w:r w:rsidR="000B6E41" w:rsidRPr="009A2E44">
        <w:rPr>
          <w:rFonts w:ascii="Garamond" w:hAnsi="Garamond"/>
          <w:iCs/>
          <w:vertAlign w:val="superscript"/>
        </w:rPr>
        <w:t>1</w:t>
      </w:r>
      <w:r w:rsidR="000B6E41" w:rsidRPr="009A2E44">
        <w:rPr>
          <w:rFonts w:ascii="Garamond" w:hAnsi="Garamond"/>
          <w:iCs/>
        </w:rPr>
        <w:t xml:space="preserve"> and</w:t>
      </w:r>
      <w:r w:rsidR="00B72682" w:rsidRPr="009A2E44">
        <w:rPr>
          <w:rFonts w:ascii="Garamond" w:hAnsi="Garamond"/>
          <w:iCs/>
        </w:rPr>
        <w:t xml:space="preserve"> </w:t>
      </w:r>
      <w:r w:rsidR="007E21BB" w:rsidRPr="009A2E44">
        <w:rPr>
          <w:rFonts w:ascii="Garamond" w:hAnsi="Garamond"/>
          <w:iCs/>
        </w:rPr>
        <w:t>mirrored by runoff records in the same cores</w:t>
      </w:r>
      <w:r w:rsidR="00B54F3D" w:rsidRPr="009A2E44">
        <w:rPr>
          <w:rFonts w:ascii="Garamond" w:hAnsi="Garamond"/>
          <w:iCs/>
        </w:rPr>
        <w:t xml:space="preserve"> (</w:t>
      </w:r>
      <w:r w:rsidR="007E21BB" w:rsidRPr="009A2E44">
        <w:rPr>
          <w:rFonts w:ascii="Garamond" w:hAnsi="Garamond"/>
          <w:b/>
          <w:bCs/>
          <w:iCs/>
        </w:rPr>
        <w:t xml:space="preserve">Fig. </w:t>
      </w:r>
      <w:r w:rsidR="00F64053" w:rsidRPr="009A2E44">
        <w:rPr>
          <w:rFonts w:ascii="Garamond" w:hAnsi="Garamond"/>
          <w:b/>
          <w:bCs/>
          <w:iCs/>
        </w:rPr>
        <w:t>2</w:t>
      </w:r>
      <w:r w:rsidR="00B54F3D" w:rsidRPr="009A2E44">
        <w:rPr>
          <w:rFonts w:ascii="Garamond" w:hAnsi="Garamond"/>
          <w:iCs/>
        </w:rPr>
        <w:t xml:space="preserve">). Simple linear regressions from the driest </w:t>
      </w:r>
      <w:r w:rsidR="00B72682" w:rsidRPr="009A2E44">
        <w:rPr>
          <w:rFonts w:ascii="Garamond" w:hAnsi="Garamond"/>
          <w:iCs/>
        </w:rPr>
        <w:t xml:space="preserve">LIA </w:t>
      </w:r>
      <w:r w:rsidR="00B54F3D" w:rsidRPr="009A2E44">
        <w:rPr>
          <w:rFonts w:ascii="Garamond" w:hAnsi="Garamond"/>
          <w:iCs/>
        </w:rPr>
        <w:t xml:space="preserve">point to </w:t>
      </w:r>
      <w:r w:rsidR="00AE1402">
        <w:rPr>
          <w:rFonts w:ascii="Garamond" w:hAnsi="Garamond"/>
          <w:iCs/>
        </w:rPr>
        <w:t>present</w:t>
      </w:r>
      <w:r w:rsidR="00B54F3D" w:rsidRPr="009A2E44">
        <w:rPr>
          <w:rFonts w:ascii="Garamond" w:hAnsi="Garamond"/>
          <w:iCs/>
        </w:rPr>
        <w:t xml:space="preserve"> </w:t>
      </w:r>
      <w:r w:rsidR="006975E7" w:rsidRPr="009A2E44">
        <w:rPr>
          <w:rFonts w:ascii="Garamond" w:hAnsi="Garamond"/>
          <w:iCs/>
        </w:rPr>
        <w:t>indicate</w:t>
      </w:r>
      <w:r w:rsidR="00B54F3D" w:rsidRPr="009A2E44">
        <w:rPr>
          <w:rFonts w:ascii="Garamond" w:hAnsi="Garamond"/>
          <w:iCs/>
        </w:rPr>
        <w:t xml:space="preserve"> </w:t>
      </w:r>
      <w:r w:rsidR="00CD16D6">
        <w:rPr>
          <w:rFonts w:ascii="Garamond" w:hAnsi="Garamond"/>
          <w:iCs/>
        </w:rPr>
        <w:t xml:space="preserve">only </w:t>
      </w:r>
      <w:r w:rsidR="00B54F3D" w:rsidRPr="009A2E44">
        <w:rPr>
          <w:rFonts w:ascii="Garamond" w:hAnsi="Garamond"/>
          <w:iCs/>
        </w:rPr>
        <w:t>Lake Lanoto’o</w:t>
      </w:r>
      <w:r w:rsidR="00CD16D6">
        <w:rPr>
          <w:rFonts w:ascii="Garamond" w:hAnsi="Garamond"/>
          <w:iCs/>
        </w:rPr>
        <w:t xml:space="preserve"> </w:t>
      </w:r>
      <w:r w:rsidR="00B54F3D" w:rsidRPr="009A2E44">
        <w:rPr>
          <w:rFonts w:ascii="Garamond" w:hAnsi="Garamond"/>
          <w:iCs/>
        </w:rPr>
        <w:t xml:space="preserve">had a significant trend towards wetter </w:t>
      </w:r>
      <w:r w:rsidR="00125EDD">
        <w:rPr>
          <w:rFonts w:ascii="Garamond" w:hAnsi="Garamond"/>
          <w:iCs/>
        </w:rPr>
        <w:t>m</w:t>
      </w:r>
      <w:r w:rsidR="00DD3364" w:rsidRPr="009A2E44">
        <w:rPr>
          <w:rFonts w:ascii="Garamond" w:hAnsi="Garamond"/>
          <w:iCs/>
        </w:rPr>
        <w:t xml:space="preserve">odern </w:t>
      </w:r>
      <w:r w:rsidR="00B54F3D" w:rsidRPr="009A2E44">
        <w:rPr>
          <w:rFonts w:ascii="Garamond" w:hAnsi="Garamond"/>
          <w:iCs/>
        </w:rPr>
        <w:t xml:space="preserve">conditions </w:t>
      </w:r>
      <w:r w:rsidR="00CD16D6">
        <w:rPr>
          <w:rFonts w:ascii="Garamond" w:hAnsi="Garamond"/>
          <w:iCs/>
        </w:rPr>
        <w:t xml:space="preserve">for all proxies measured </w:t>
      </w:r>
      <w:r w:rsidR="006975E7" w:rsidRPr="009A2E44">
        <w:rPr>
          <w:rFonts w:ascii="Garamond" w:hAnsi="Garamond"/>
          <w:iCs/>
        </w:rPr>
        <w:t>(</w:t>
      </w:r>
      <w:r w:rsidR="006975E7" w:rsidRPr="009A2E44">
        <w:rPr>
          <w:rFonts w:ascii="Garamond" w:hAnsi="Garamond"/>
          <w:b/>
          <w:bCs/>
          <w:iCs/>
        </w:rPr>
        <w:t xml:space="preserve">Fig. </w:t>
      </w:r>
      <w:r w:rsidR="007241CB" w:rsidRPr="009A2E44">
        <w:rPr>
          <w:rFonts w:ascii="Garamond" w:hAnsi="Garamond"/>
          <w:b/>
          <w:bCs/>
          <w:iCs/>
        </w:rPr>
        <w:t>A.</w:t>
      </w:r>
      <w:r w:rsidR="00207A87">
        <w:rPr>
          <w:rFonts w:ascii="Garamond" w:hAnsi="Garamond"/>
          <w:b/>
          <w:bCs/>
          <w:iCs/>
        </w:rPr>
        <w:t>9</w:t>
      </w:r>
      <w:r w:rsidR="006975E7" w:rsidRPr="009A2E44">
        <w:rPr>
          <w:rFonts w:ascii="Garamond" w:hAnsi="Garamond"/>
          <w:iCs/>
        </w:rPr>
        <w:t>)</w:t>
      </w:r>
      <w:r w:rsidR="00B54F3D" w:rsidRPr="009A2E44">
        <w:rPr>
          <w:rFonts w:ascii="Garamond" w:hAnsi="Garamond"/>
          <w:iCs/>
        </w:rPr>
        <w:t xml:space="preserve">. </w:t>
      </w:r>
      <w:r w:rsidR="00DD3364" w:rsidRPr="009A2E44">
        <w:rPr>
          <w:rFonts w:ascii="Garamond" w:hAnsi="Garamond"/>
        </w:rPr>
        <w:t>H</w:t>
      </w:r>
      <w:r w:rsidR="00B54F3D" w:rsidRPr="009A2E44">
        <w:rPr>
          <w:rFonts w:ascii="Garamond" w:hAnsi="Garamond"/>
        </w:rPr>
        <w:t>igh</w:t>
      </w:r>
      <w:r w:rsidR="00DF6360" w:rsidRPr="009A2E44">
        <w:rPr>
          <w:rFonts w:ascii="Garamond" w:hAnsi="Garamond"/>
        </w:rPr>
        <w:t>-</w:t>
      </w:r>
      <w:r w:rsidR="00B54F3D" w:rsidRPr="009A2E44">
        <w:rPr>
          <w:rFonts w:ascii="Garamond" w:hAnsi="Garamond"/>
        </w:rPr>
        <w:t xml:space="preserve">resolution coral </w:t>
      </w:r>
      <w:r w:rsidR="00B54F3D" w:rsidRPr="009A2E44">
        <w:rPr>
          <w:rFonts w:ascii="Garamond" w:hAnsi="Garamond"/>
        </w:rPr>
        <w:fldChar w:fldCharType="begin" w:fldLock="1"/>
      </w:r>
      <w:r w:rsidR="00FE31C6" w:rsidRPr="009A2E44">
        <w:rPr>
          <w:rFonts w:ascii="Garamond" w:hAnsi="Garamond"/>
        </w:rPr>
        <w:instrText>ADDIN CSL_CITATION {"citationItems":[{"id":"ITEM-1","itemData":{"DOI":"10.1029/2005GC001115","ISSN":"15252027","author":[{"dropping-particle":"","family":"Linsley","given":"Braddock K","non-dropping-particle":"","parse-names":false,"suffix":""},{"dropping-particle":"","family":"Kaplan","given":"Alexey","non-dropping-particle":"","parse-names":false,"suffix":""},{"dropping-particle":"","family":"Gouriou","given":"Yves","non-dropping-particle":"","parse-names":false,"suffix":""},{"dropping-particle":"","family":"Salinger","given":"M J","non-dropping-particle":"","parse-names":false,"suffix":""},{"dropping-particle":"","family":"DeMenocal","given":"Peter B","non-dropping-particle":"","parse-names":false,"suffix":""},{"dropping-particle":"","family":"Wellington","given":"Gerard M","non-dropping-particle":"","parse-names":false,"suffix":""},{"dropping-particle":"","family":"Howe","given":"Stephen S","non-dropping-particle":"","parse-names":false,"suffix":""}],"container-title":"Geochemistry, Geophysics, Geosystems","id":"ITEM-1","issue":"4","issued":{"date-parts":[["2006","5","3"]]},"page":"1-15","title":"Tracking the extent of the South Pacific Convergence Zone since the early 1600s","type":"article-journal","volume":"7"},"uris":["http://www.mendeley.com/documents/?uuid=9c16c578-43c2-430e-bc38-39f24ae64763"]}],"mendeley":{"formattedCitation":"(Linsley et al., 2006)","plainTextFormattedCitation":"(Linsley et al., 2006)","previouslyFormattedCitation":"(Linsley et al., 2006)"},"properties":{"noteIndex":0},"schema":"https://github.com/citation-style-language/schema/raw/master/csl-citation.json"}</w:instrText>
      </w:r>
      <w:r w:rsidR="00B54F3D" w:rsidRPr="009A2E44">
        <w:rPr>
          <w:rFonts w:ascii="Garamond" w:hAnsi="Garamond"/>
        </w:rPr>
        <w:fldChar w:fldCharType="separate"/>
      </w:r>
      <w:r w:rsidR="00B54F3D" w:rsidRPr="009A2E44">
        <w:rPr>
          <w:rFonts w:ascii="Garamond" w:hAnsi="Garamond"/>
          <w:noProof/>
        </w:rPr>
        <w:t>(Linsley et al., 2006)</w:t>
      </w:r>
      <w:r w:rsidR="00B54F3D" w:rsidRPr="009A2E44">
        <w:rPr>
          <w:rFonts w:ascii="Garamond" w:hAnsi="Garamond"/>
        </w:rPr>
        <w:fldChar w:fldCharType="end"/>
      </w:r>
      <w:r w:rsidR="00B54F3D" w:rsidRPr="009A2E44">
        <w:rPr>
          <w:rFonts w:ascii="Garamond" w:hAnsi="Garamond"/>
        </w:rPr>
        <w:t xml:space="preserve"> and cave records </w:t>
      </w:r>
      <w:r w:rsidR="00B54F3D" w:rsidRPr="009A2E44">
        <w:rPr>
          <w:rFonts w:ascii="Garamond" w:hAnsi="Garamond"/>
        </w:rPr>
        <w:fldChar w:fldCharType="begin" w:fldLock="1"/>
      </w:r>
      <w:r w:rsidR="00B54F3D" w:rsidRPr="009A2E44">
        <w:rPr>
          <w:rFonts w:ascii="Garamond" w:hAnsi="Garamond"/>
        </w:rPr>
        <w:instrText>ADDIN CSL_CITATION {"citationItems":[{"id":"ITEM-1","itemData":{"DOI":"10.1130/G34718.1","ISSN":"0091-7613","author":[{"dropping-particle":"","family":"Partin","given":"Judson W","non-dropping-particle":"","parse-names":false,"suffix":""},{"dropping-particle":"","family":"Quinn","given":"T M","non-dropping-particle":"","parse-names":false,"suffix":""},{"dropping-particle":"","family":"Shen","given":"C-C","non-dropping-particle":"","parse-names":false,"suffix":""},{"dropping-particle":"","family":"Emile-Geay","given":"J","non-dropping-particle":"","parse-names":false,"suffix":""},{"dropping-particle":"","family":"Taylor","given":"F W","non-dropping-particle":"","parse-names":false,"suffix":""},{"dropping-particle":"","family":"Maupin","given":"C R","non-dropping-particle":"","parse-names":false,"suffix":""},{"dropping-particle":"","family":"Lin","given":"K","non-dropping-particle":"","parse-names":false,"suffix":""},{"dropping-particle":"","family":"Jackson","given":"C S","non-dropping-particle":"","parse-names":false,"suffix":""},{"dropping-particle":"","family":"Banner","given":"J L","non-dropping-particle":"","parse-names":false,"suffix":""},{"dropping-particle":"","family":"Sinclair","given":"D J","non-dropping-particle":"","parse-names":false,"suffix":""},{"dropping-particle":"","family":"Huh","given":"C-A","non-dropping-particle":"","parse-names":false,"suffix":""}],"container-title":"Geology","id":"ITEM-1","issue":"11","issued":{"date-parts":[["2013","9","6"]]},"page":"1143-1146","title":"Multidecadal rainfall variability in South Pacific Convergence Zone as revealed by stalagmite geochemistry","type":"article-journal","volume":"41"},"uris":["http://www.mendeley.com/documents/?uuid=c9296f05-1795-45cf-ad68-c010c52e078d"]},{"id":"ITEM-2","itemData":{"DOI":"10.5194/cp-10-1319-2014","ISSN":"1814-9332","author":[{"dropping-particle":"","family":"Maupin","given":"C R","non-dropping-particle":"","parse-names":false,"suffix":""},{"dropping-particle":"","family":"Partin","given":"Judson W","non-dropping-particle":"","parse-names":false,"suffix":""},{"dropping-particle":"","family":"Shen","given":"C-C","non-dropping-particle":"","parse-names":false,"suffix":""},{"dropping-particle":"","family":"Quinn","given":"T M","non-dropping-particle":"","parse-names":false,"suffix":""},{"dropping-particle":"","family":"Lin","given":"K","non-dropping-particle":"","parse-names":false,"suffix":""},{"dropping-particle":"","family":"Taylor","given":"F W","non-dropping-particle":"","parse-names":false,"suffix":""},{"dropping-particle":"","family":"Banner","given":"J L","non-dropping-particle":"","parse-names":false,"suffix":""},{"dropping-particle":"","family":"Thirumalai","given":"Kaustubh","non-dropping-particle":"","parse-names":false,"suffix":""},{"dropping-particle":"","family":"Sinclair","given":"D J","non-dropping-particle":"","parse-names":false,"suffix":""}],"container-title":"Climate of the Past","id":"ITEM-2","issued":{"date-parts":[["2014","7","10"]]},"page":"1319-1332","title":"Persistent decadal-scale rainfall variability in the tropical South Pacific Convergence Zone through the past six centuries","type":"article-journal","volume":"10"},"uris":["http://www.mendeley.com/documents/?uuid=a75b3c55-7e44-47aa-bf02-c080e244637f"]}],"mendeley":{"formattedCitation":"(Maupin et al., 2014; Partin et al., 2013)","plainTextFormattedCitation":"(Maupin et al., 2014; Partin et al., 2013)","previouslyFormattedCitation":"(Maupin et al., 2014; Partin et al., 2013)"},"properties":{"noteIndex":0},"schema":"https://github.com/citation-style-language/schema/raw/master/csl-citation.json"}</w:instrText>
      </w:r>
      <w:r w:rsidR="00B54F3D" w:rsidRPr="009A2E44">
        <w:rPr>
          <w:rFonts w:ascii="Garamond" w:hAnsi="Garamond"/>
        </w:rPr>
        <w:fldChar w:fldCharType="separate"/>
      </w:r>
      <w:r w:rsidR="00B54F3D" w:rsidRPr="009A2E44">
        <w:rPr>
          <w:rFonts w:ascii="Garamond" w:hAnsi="Garamond"/>
          <w:noProof/>
        </w:rPr>
        <w:t>(Maupin et al., 2014; Partin et al., 2013)</w:t>
      </w:r>
      <w:r w:rsidR="00B54F3D" w:rsidRPr="009A2E44">
        <w:rPr>
          <w:rFonts w:ascii="Garamond" w:hAnsi="Garamond"/>
        </w:rPr>
        <w:fldChar w:fldCharType="end"/>
      </w:r>
      <w:r w:rsidR="002A14E8" w:rsidRPr="009A2E44">
        <w:rPr>
          <w:rFonts w:ascii="Garamond" w:hAnsi="Garamond"/>
        </w:rPr>
        <w:t xml:space="preserve"> </w:t>
      </w:r>
      <w:r w:rsidR="001B1E08" w:rsidRPr="009A2E44">
        <w:rPr>
          <w:rFonts w:ascii="Garamond" w:hAnsi="Garamond"/>
        </w:rPr>
        <w:t xml:space="preserve">from various locations in the SPCZ </w:t>
      </w:r>
      <w:r w:rsidR="00DD3364" w:rsidRPr="009A2E44">
        <w:rPr>
          <w:rFonts w:ascii="Garamond" w:hAnsi="Garamond"/>
        </w:rPr>
        <w:t xml:space="preserve">also </w:t>
      </w:r>
      <w:r w:rsidR="00A151F8">
        <w:rPr>
          <w:rFonts w:ascii="Garamond" w:hAnsi="Garamond"/>
        </w:rPr>
        <w:t>hint at</w:t>
      </w:r>
      <w:r w:rsidR="00A151F8" w:rsidRPr="009A2E44">
        <w:rPr>
          <w:rFonts w:ascii="Garamond" w:hAnsi="Garamond"/>
        </w:rPr>
        <w:t xml:space="preserve"> </w:t>
      </w:r>
      <w:r w:rsidR="00DD3364" w:rsidRPr="009A2E44">
        <w:rPr>
          <w:rFonts w:ascii="Garamond" w:hAnsi="Garamond"/>
        </w:rPr>
        <w:t>a</w:t>
      </w:r>
      <w:r w:rsidR="00B54F3D" w:rsidRPr="009A2E44">
        <w:rPr>
          <w:rFonts w:ascii="Garamond" w:hAnsi="Garamond"/>
        </w:rPr>
        <w:t xml:space="preserve"> drier LIA compared to </w:t>
      </w:r>
      <w:r w:rsidR="00125EDD">
        <w:rPr>
          <w:rFonts w:ascii="Garamond" w:hAnsi="Garamond"/>
        </w:rPr>
        <w:t>the present</w:t>
      </w:r>
      <w:r w:rsidR="00B54F3D" w:rsidRPr="009A2E44">
        <w:rPr>
          <w:rFonts w:ascii="Garamond" w:hAnsi="Garamond"/>
        </w:rPr>
        <w:t xml:space="preserve">, but the changes </w:t>
      </w:r>
      <w:r w:rsidR="00DD3364" w:rsidRPr="009A2E44">
        <w:rPr>
          <w:rFonts w:ascii="Garamond" w:hAnsi="Garamond"/>
        </w:rPr>
        <w:t>were too small</w:t>
      </w:r>
      <w:r w:rsidR="00B54F3D" w:rsidRPr="009A2E44">
        <w:rPr>
          <w:rFonts w:ascii="Garamond" w:hAnsi="Garamond"/>
        </w:rPr>
        <w:t xml:space="preserve"> to confidently attribute to precipitation, or </w:t>
      </w:r>
      <w:r w:rsidR="00DF6360" w:rsidRPr="009A2E44">
        <w:rPr>
          <w:rFonts w:ascii="Garamond" w:hAnsi="Garamond"/>
        </w:rPr>
        <w:t xml:space="preserve">were </w:t>
      </w:r>
      <w:r w:rsidR="001762C9" w:rsidRPr="009A2E44">
        <w:rPr>
          <w:rFonts w:ascii="Garamond" w:hAnsi="Garamond"/>
        </w:rPr>
        <w:t>additionally</w:t>
      </w:r>
      <w:r w:rsidR="00B54F3D" w:rsidRPr="009A2E44">
        <w:rPr>
          <w:rFonts w:ascii="Garamond" w:hAnsi="Garamond"/>
        </w:rPr>
        <w:t xml:space="preserve"> influenced by </w:t>
      </w:r>
      <w:r w:rsidR="00E50FB4" w:rsidRPr="009A2E44">
        <w:rPr>
          <w:rFonts w:ascii="Garamond" w:hAnsi="Garamond"/>
        </w:rPr>
        <w:t xml:space="preserve">factors </w:t>
      </w:r>
      <w:r w:rsidR="00B54F3D" w:rsidRPr="009A2E44">
        <w:rPr>
          <w:rFonts w:ascii="Garamond" w:hAnsi="Garamond"/>
        </w:rPr>
        <w:t xml:space="preserve">unrelated to precipitation </w:t>
      </w:r>
      <w:r w:rsidR="00B54F3D" w:rsidRPr="009A2E44">
        <w:rPr>
          <w:rFonts w:ascii="Garamond" w:hAnsi="Garamond"/>
        </w:rPr>
        <w:fldChar w:fldCharType="begin" w:fldLock="1"/>
      </w:r>
      <w:r w:rsidR="00D04FB8">
        <w:rPr>
          <w:rFonts w:ascii="Garamond" w:hAnsi="Garamond"/>
        </w:rPr>
        <w:instrText>ADDIN CSL_CITATION {"citationItems":[{"id":"ITEM-1","itemData":{"DOI":"10.1175/JCLI-D-17-0071.1","ISSN":"08948755","abstract":"© 2018 American Meteorological Society. Direct observations indicate a southeastward expansion of the South Pacific convergence zone (SPCZ) fresh pool and a freshening trend since the 1970s. Understanding decadal and longer-term variability of the SPCZ fresh pool and of the salinity front located at its southeastern margin has been limited by the scarcity of instrumental sea surface salinity (SSS) measurements. This study uses coral δ 18 O as a proxy for SSS to extend the salinity record back to the 1880s, from three different loca tions across the SSS front: Fiji, Tonga, and Rarotonga (FTR region). High percentages of observed SSS variance are explained by multicoral δ 18 O mean composite at each site. At the interannual time scale, the salinity front displacement over the last 200 years follows the El Niño-Southern Oscillation (ENSO) index. The different El Niño flavors are observable in the amplitude of the salinity front interannual displacement. However, no significant changes in either the frequency or the amplitude of its displacements were observed. At longer time scales, the timing and magnitude of the freshening trend vary among sites. The earliest freshening onset of about -0.06 psu decade -1 is detected in Fiji (around 1865), then Rarotonga (around 1939), and Tonga (around 1982). The role of atmospheric freshwater fluxes on SSS variability is evaluated by comparing coral SSS to historical precipitation data. The results suggest that, despite the known influence of the interdecadal Pacific oscillation (IPO) negative phases on increasing atmospheric freshwater fluxes and lowering SSS in the FTR region, ocean dynamics has a dominant influence at decadal time scale and in the onset of freshening trends.","author":[{"dropping-particle":"","family":"Dassié","given":"Emilie P","non-dropping-particle":"","parse-names":false,"suffix":""},{"dropping-particle":"","family":"Hasson","given":"Audrey","non-dropping-particle":"","parse-names":false,"suffix":""},{"dropping-particle":"","family":"Khodri","given":"Myriam","non-dropping-particle":"","parse-names":false,"suffix":""},{"dropping-particle":"","family":"Lebas","given":"Nicolas","non-dropping-particle":"","parse-names":false,"suffix":""},{"dropping-particle":"","family":"Linsley","given":"Braddock K","non-dropping-particle":"","parse-names":false,"suffix":""}],"container-title":"Journal of Climate","id":"ITEM-1","issue":"8","issued":{"date-parts":[["2018"]]},"page":"3265-3288","title":"Spatiotemporal variability of the South Pacific Convergence Zone fresh pool eastern front from coral-derived surface salinity data","type":"article-journal","volume":"31"},"uris":["http://www.mendeley.com/documents/?uuid=715b5ab6-0901-4d49-afb4-9adce51285c2"]}],"mendeley":{"formattedCitation":"(Dassié et al., 2018)","manualFormatting":"(e.g., ocean currents, Dassié et al., 2018)","plainTextFormattedCitation":"(Dassié et al., 2018)","previouslyFormattedCitation":"(Dassié et al., 2018)"},"properties":{"noteIndex":0},"schema":"https://github.com/citation-style-language/schema/raw/master/csl-citation.json"}</w:instrText>
      </w:r>
      <w:r w:rsidR="00B54F3D" w:rsidRPr="009A2E44">
        <w:rPr>
          <w:rFonts w:ascii="Garamond" w:hAnsi="Garamond"/>
        </w:rPr>
        <w:fldChar w:fldCharType="separate"/>
      </w:r>
      <w:r w:rsidR="00B54F3D" w:rsidRPr="009A2E44">
        <w:rPr>
          <w:rFonts w:ascii="Garamond" w:hAnsi="Garamond"/>
          <w:noProof/>
        </w:rPr>
        <w:t>(</w:t>
      </w:r>
      <w:r w:rsidR="009E250A" w:rsidRPr="009A2E44">
        <w:rPr>
          <w:rFonts w:ascii="Garamond" w:hAnsi="Garamond"/>
          <w:noProof/>
        </w:rPr>
        <w:t>e.g.</w:t>
      </w:r>
      <w:r w:rsidR="00D1680B">
        <w:rPr>
          <w:rFonts w:ascii="Garamond" w:hAnsi="Garamond"/>
          <w:noProof/>
        </w:rPr>
        <w:t>,</w:t>
      </w:r>
      <w:r w:rsidR="009E250A" w:rsidRPr="009A2E44">
        <w:rPr>
          <w:rFonts w:ascii="Garamond" w:hAnsi="Garamond"/>
          <w:noProof/>
        </w:rPr>
        <w:t xml:space="preserve"> ocean currents, </w:t>
      </w:r>
      <w:r w:rsidR="00B54F3D" w:rsidRPr="009A2E44">
        <w:rPr>
          <w:rFonts w:ascii="Garamond" w:hAnsi="Garamond"/>
          <w:noProof/>
        </w:rPr>
        <w:t>Dassié et al., 2018)</w:t>
      </w:r>
      <w:r w:rsidR="00B54F3D" w:rsidRPr="009A2E44">
        <w:rPr>
          <w:rFonts w:ascii="Garamond" w:hAnsi="Garamond"/>
        </w:rPr>
        <w:fldChar w:fldCharType="end"/>
      </w:r>
      <w:r w:rsidR="00B54F3D" w:rsidRPr="009A2E44">
        <w:rPr>
          <w:rFonts w:ascii="Garamond" w:hAnsi="Garamond"/>
        </w:rPr>
        <w:t xml:space="preserve">. </w:t>
      </w:r>
      <w:r w:rsidR="00CA620B" w:rsidRPr="009A2E44">
        <w:rPr>
          <w:rFonts w:ascii="Garamond" w:hAnsi="Garamond"/>
        </w:rPr>
        <w:t xml:space="preserve">To the </w:t>
      </w:r>
      <w:r w:rsidR="004F51AE">
        <w:rPr>
          <w:rFonts w:ascii="Garamond" w:hAnsi="Garamond"/>
        </w:rPr>
        <w:t>west</w:t>
      </w:r>
      <w:r w:rsidR="004F51AE" w:rsidRPr="009A2E44">
        <w:rPr>
          <w:rFonts w:ascii="Garamond" w:hAnsi="Garamond"/>
        </w:rPr>
        <w:t xml:space="preserve"> </w:t>
      </w:r>
      <w:r w:rsidR="001B1E08" w:rsidRPr="009A2E44">
        <w:rPr>
          <w:rFonts w:ascii="Garamond" w:hAnsi="Garamond"/>
        </w:rPr>
        <w:t xml:space="preserve">of the SPCZ </w:t>
      </w:r>
      <w:r w:rsidR="00CA620B" w:rsidRPr="009A2E44">
        <w:rPr>
          <w:rFonts w:ascii="Garamond" w:hAnsi="Garamond"/>
        </w:rPr>
        <w:t>a</w:t>
      </w:r>
      <w:r w:rsidR="00337DE2" w:rsidRPr="009A2E44">
        <w:rPr>
          <w:rFonts w:ascii="Garamond" w:hAnsi="Garamond"/>
        </w:rPr>
        <w:t xml:space="preserve"> </w:t>
      </w:r>
      <w:r w:rsidR="00E511EB" w:rsidRPr="009A2E44">
        <w:rPr>
          <w:rFonts w:ascii="Garamond" w:hAnsi="Garamond"/>
        </w:rPr>
        <w:t>very clear</w:t>
      </w:r>
      <w:r w:rsidR="00CA620B" w:rsidRPr="009A2E44">
        <w:rPr>
          <w:rFonts w:ascii="Garamond" w:hAnsi="Garamond"/>
        </w:rPr>
        <w:t xml:space="preserve"> </w:t>
      </w:r>
      <w:r w:rsidR="001B1E08" w:rsidRPr="009A2E44">
        <w:rPr>
          <w:rFonts w:ascii="Garamond" w:hAnsi="Garamond"/>
        </w:rPr>
        <w:t xml:space="preserve">transition </w:t>
      </w:r>
      <w:r w:rsidR="0016127D" w:rsidRPr="009A2E44">
        <w:rPr>
          <w:rFonts w:ascii="Garamond" w:hAnsi="Garamond"/>
        </w:rPr>
        <w:t xml:space="preserve">from a drier LIA </w:t>
      </w:r>
      <w:r w:rsidR="001B1E08" w:rsidRPr="009A2E44">
        <w:rPr>
          <w:rFonts w:ascii="Garamond" w:hAnsi="Garamond"/>
        </w:rPr>
        <w:t xml:space="preserve">to wetter </w:t>
      </w:r>
      <w:r w:rsidR="00125EDD">
        <w:rPr>
          <w:rFonts w:ascii="Garamond" w:hAnsi="Garamond"/>
        </w:rPr>
        <w:t>m</w:t>
      </w:r>
      <w:r w:rsidR="00125EDD" w:rsidRPr="009A2E44">
        <w:rPr>
          <w:rFonts w:ascii="Garamond" w:hAnsi="Garamond"/>
        </w:rPr>
        <w:t xml:space="preserve">odern </w:t>
      </w:r>
      <w:r w:rsidR="001B1E08" w:rsidRPr="009A2E44">
        <w:rPr>
          <w:rFonts w:ascii="Garamond" w:hAnsi="Garamond"/>
        </w:rPr>
        <w:t>conditions</w:t>
      </w:r>
      <w:r w:rsidR="00337DE2" w:rsidRPr="009A2E44">
        <w:rPr>
          <w:rFonts w:ascii="Garamond" w:hAnsi="Garamond"/>
        </w:rPr>
        <w:t xml:space="preserve"> was observed in Lake Lading</w:t>
      </w:r>
      <w:r w:rsidR="00CA620B" w:rsidRPr="009A2E44">
        <w:rPr>
          <w:rFonts w:ascii="Garamond" w:hAnsi="Garamond"/>
        </w:rPr>
        <w:t xml:space="preserve"> (8</w:t>
      </w:r>
      <w:r w:rsidR="00B465A6" w:rsidRPr="009A2E44">
        <w:rPr>
          <w:rFonts w:ascii="Garamond" w:hAnsi="Garamond"/>
        </w:rPr>
        <w:t>º</w:t>
      </w:r>
      <w:r w:rsidR="00CA620B" w:rsidRPr="009A2E44">
        <w:rPr>
          <w:rFonts w:ascii="Garamond" w:hAnsi="Garamond"/>
        </w:rPr>
        <w:t>S, 113</w:t>
      </w:r>
      <w:r w:rsidR="00B465A6" w:rsidRPr="009A2E44">
        <w:rPr>
          <w:rFonts w:ascii="Garamond" w:hAnsi="Garamond"/>
        </w:rPr>
        <w:t>º</w:t>
      </w:r>
      <w:r w:rsidR="00CA620B" w:rsidRPr="009A2E44">
        <w:rPr>
          <w:rFonts w:ascii="Garamond" w:hAnsi="Garamond"/>
        </w:rPr>
        <w:t xml:space="preserve"> E)</w:t>
      </w:r>
      <w:r w:rsidR="00E511EB" w:rsidRPr="009A2E44">
        <w:rPr>
          <w:rFonts w:ascii="Garamond" w:hAnsi="Garamond"/>
        </w:rPr>
        <w:t xml:space="preserve"> (</w:t>
      </w:r>
      <w:r w:rsidR="00B465A6" w:rsidRPr="009A2E44">
        <w:rPr>
          <w:rFonts w:ascii="Garamond" w:hAnsi="Garamond"/>
        </w:rPr>
        <w:t xml:space="preserve">East </w:t>
      </w:r>
      <w:r w:rsidR="00337DE2" w:rsidRPr="009A2E44">
        <w:rPr>
          <w:rFonts w:ascii="Garamond" w:hAnsi="Garamond"/>
        </w:rPr>
        <w:t>Java</w:t>
      </w:r>
      <w:r w:rsidR="00B465A6" w:rsidRPr="009A2E44">
        <w:rPr>
          <w:rFonts w:ascii="Garamond" w:hAnsi="Garamond"/>
        </w:rPr>
        <w:t>,</w:t>
      </w:r>
      <w:r w:rsidR="00337DE2" w:rsidRPr="009A2E44">
        <w:rPr>
          <w:rFonts w:ascii="Garamond" w:hAnsi="Garamond"/>
        </w:rPr>
        <w:t xml:space="preserve"> </w:t>
      </w:r>
      <w:r w:rsidR="0060224F" w:rsidRPr="009A2E44">
        <w:rPr>
          <w:rFonts w:ascii="Garamond" w:hAnsi="Garamond"/>
        </w:rPr>
        <w:t>Indonesia</w:t>
      </w:r>
      <w:r w:rsidR="00E511EB" w:rsidRPr="009A2E44">
        <w:rPr>
          <w:rFonts w:ascii="Garamond" w:hAnsi="Garamond"/>
        </w:rPr>
        <w:t xml:space="preserve">), </w:t>
      </w:r>
      <w:r w:rsidR="00DF6360" w:rsidRPr="009A2E44">
        <w:rPr>
          <w:rFonts w:ascii="Garamond" w:hAnsi="Garamond"/>
        </w:rPr>
        <w:t>interpreted as a</w:t>
      </w:r>
      <w:r w:rsidR="00E511EB" w:rsidRPr="009A2E44">
        <w:rPr>
          <w:rFonts w:ascii="Garamond" w:hAnsi="Garamond"/>
        </w:rPr>
        <w:t xml:space="preserve"> strengthening of the</w:t>
      </w:r>
      <w:r w:rsidR="00337DE2" w:rsidRPr="009A2E44">
        <w:rPr>
          <w:rFonts w:ascii="Garamond" w:hAnsi="Garamond"/>
        </w:rPr>
        <w:t xml:space="preserve"> Walker circulation </w:t>
      </w:r>
      <w:r w:rsidR="00DF6360" w:rsidRPr="009A2E44">
        <w:rPr>
          <w:rFonts w:ascii="Garamond" w:hAnsi="Garamond"/>
        </w:rPr>
        <w:t>leading to</w:t>
      </w:r>
      <w:r w:rsidR="00102C00" w:rsidRPr="009A2E44">
        <w:rPr>
          <w:rFonts w:ascii="Garamond" w:hAnsi="Garamond"/>
        </w:rPr>
        <w:t xml:space="preserve"> wetter conditions</w:t>
      </w:r>
      <w:r w:rsidR="00730147" w:rsidRPr="009A2E44">
        <w:rPr>
          <w:rFonts w:ascii="Garamond" w:hAnsi="Garamond"/>
        </w:rPr>
        <w:t xml:space="preserve"> </w:t>
      </w:r>
      <w:r w:rsidR="00337DE2" w:rsidRPr="009A2E44">
        <w:rPr>
          <w:rFonts w:ascii="Garamond" w:hAnsi="Garamond"/>
        </w:rPr>
        <w:fldChar w:fldCharType="begin" w:fldLock="1"/>
      </w:r>
      <w:r w:rsidR="006F4AA3" w:rsidRPr="009A2E44">
        <w:rPr>
          <w:rFonts w:ascii="Garamond" w:hAnsi="Garamond"/>
        </w:rPr>
        <w:instrText>ADDIN CSL_CITATION {"citationItems":[{"id":"ITEM-1","itemData":{"DOI":"10.1029/2012GL054331","ISSN":"00948276","abstract":"Modern precipitation in Indonesia is strongly correlated to variations in the Asian/Australasian monsoons, the Walker circulation, and migrations of the Intertropical Convergence Zone (ITCZ), but controls on multidecadal to millennial rainfall variations are less clear. We present a new, highresolution, precipitation proxy reconstruction from Lake Lading (8°S, 113°E), Java, from 850 Common Era (C.E.) to present, based on the δD of terrestrial plant waxes. We find that rainfall has steadily increased in Java over the past millennium. This increase persists into the twentieth century despite evidence from other tropical proxy records for a northward ITCZ migration during the last two centuries, which should introduce drier conditions to Java. Aspects of this long-term increase in rainfall resemble records from the Northern Hemisphere, tropical Indo-Pacific, suggesting that strengthening Walker circulation played an important role in this long-term increase in rainfall and decrease in the δD of precipitation, while ITCZ variations may have been important to climate variations on multidecadal to centennial timescales. © 2013. American Geophysical Union. All Rights Reserved.","author":[{"dropping-particle":"","family":"Konecky","given":"Bronwen Louise","non-dropping-particle":"","parse-names":false,"suffix":""},{"dropping-particle":"","family":"Russell","given":"James M.","non-dropping-particle":"","parse-names":false,"suffix":""},{"dropping-particle":"","family":"Rodysill","given":"Jessica R.","non-dropping-particle":"","parse-names":false,"suffix":""},{"dropping-particle":"","family":"Vuille","given":"Mathias","non-dropping-particle":"","parse-names":false,"suffix":""},{"dropping-particle":"","family":"Bijaksana","given":"Satria","non-dropping-particle":"","parse-names":false,"suffix":""},{"dropping-particle":"","family":"Huang","given":"Yongsong","non-dropping-particle":"","parse-names":false,"suffix":""}],"container-title":"Geophysical Research Letters","id":"ITEM-1","issue":"2","issued":{"date-parts":[["2013"]]},"page":"386-391","title":"Intensification of southwestern Indonesian rainfall over the past millennium","type":"article-journal","volume":"40"},"uris":["http://www.mendeley.com/documents/?uuid=03668741-de0c-46f1-8ba3-01f0fecebaa9"]}],"mendeley":{"formattedCitation":"(Konecky et al., 2013)","plainTextFormattedCitation":"(Konecky et al., 2013)","previouslyFormattedCitation":"(Konecky et al., 2013)"},"properties":{"noteIndex":0},"schema":"https://github.com/citation-style-language/schema/raw/master/csl-citation.json"}</w:instrText>
      </w:r>
      <w:r w:rsidR="00337DE2" w:rsidRPr="009A2E44">
        <w:rPr>
          <w:rFonts w:ascii="Garamond" w:hAnsi="Garamond"/>
        </w:rPr>
        <w:fldChar w:fldCharType="separate"/>
      </w:r>
      <w:r w:rsidR="00337DE2" w:rsidRPr="009A2E44">
        <w:rPr>
          <w:rFonts w:ascii="Garamond" w:hAnsi="Garamond"/>
          <w:noProof/>
        </w:rPr>
        <w:t>(Konecky et al., 2013)</w:t>
      </w:r>
      <w:r w:rsidR="00337DE2" w:rsidRPr="009A2E44">
        <w:rPr>
          <w:rFonts w:ascii="Garamond" w:hAnsi="Garamond"/>
        </w:rPr>
        <w:fldChar w:fldCharType="end"/>
      </w:r>
      <w:r w:rsidR="001B1E08" w:rsidRPr="009A2E44">
        <w:rPr>
          <w:rFonts w:ascii="Garamond" w:hAnsi="Garamond"/>
        </w:rPr>
        <w:t xml:space="preserve">. </w:t>
      </w:r>
      <w:r w:rsidR="00102C00" w:rsidRPr="009A2E44">
        <w:rPr>
          <w:rFonts w:ascii="Garamond" w:hAnsi="Garamond"/>
        </w:rPr>
        <w:t>Changes in Walker circulation strength could also explain</w:t>
      </w:r>
      <w:r w:rsidR="0015020B">
        <w:rPr>
          <w:rFonts w:ascii="Garamond" w:hAnsi="Garamond"/>
        </w:rPr>
        <w:t xml:space="preserve"> the slightly (</w:t>
      </w:r>
      <w:r w:rsidR="00102C00" w:rsidRPr="009A2E44">
        <w:rPr>
          <w:rFonts w:ascii="Garamond" w:hAnsi="Garamond"/>
        </w:rPr>
        <w:t>~1</w:t>
      </w:r>
      <w:r w:rsidR="00E03B50">
        <w:rPr>
          <w:rFonts w:ascii="Garamond" w:hAnsi="Garamond"/>
        </w:rPr>
        <w:t>.5</w:t>
      </w:r>
      <w:r w:rsidR="00102C00" w:rsidRPr="009A2E44">
        <w:rPr>
          <w:rFonts w:ascii="Garamond" w:hAnsi="Garamond"/>
        </w:rPr>
        <w:t xml:space="preserve"> </w:t>
      </w:r>
      <w:r w:rsidR="00102C00" w:rsidRPr="009A2E44">
        <w:rPr>
          <w:rFonts w:ascii="Garamond" w:hAnsi="Garamond"/>
          <w:iCs/>
        </w:rPr>
        <w:t>mm d</w:t>
      </w:r>
      <w:r w:rsidR="00102C00" w:rsidRPr="009A2E44">
        <w:rPr>
          <w:rFonts w:ascii="Garamond" w:hAnsi="Garamond"/>
          <w:color w:val="202020"/>
          <w:shd w:val="clear" w:color="auto" w:fill="FFFFFF"/>
          <w:vertAlign w:val="superscript"/>
        </w:rPr>
        <w:t>−</w:t>
      </w:r>
      <w:r w:rsidR="00102C00" w:rsidRPr="009A2E44">
        <w:rPr>
          <w:rFonts w:ascii="Garamond" w:hAnsi="Garamond"/>
          <w:iCs/>
          <w:vertAlign w:val="superscript"/>
        </w:rPr>
        <w:t>1</w:t>
      </w:r>
      <w:r w:rsidR="0015020B">
        <w:rPr>
          <w:rFonts w:ascii="Garamond" w:hAnsi="Garamond"/>
          <w:iCs/>
        </w:rPr>
        <w:t xml:space="preserve">) </w:t>
      </w:r>
      <w:r w:rsidR="00102C00" w:rsidRPr="009A2E44">
        <w:rPr>
          <w:rFonts w:ascii="Garamond" w:hAnsi="Garamond"/>
        </w:rPr>
        <w:t xml:space="preserve">wetter conditions </w:t>
      </w:r>
      <w:r w:rsidR="0016127D" w:rsidRPr="009A2E44">
        <w:rPr>
          <w:rFonts w:ascii="Garamond" w:hAnsi="Garamond"/>
        </w:rPr>
        <w:t xml:space="preserve">in </w:t>
      </w:r>
      <w:r w:rsidR="00102C00" w:rsidRPr="009A2E44">
        <w:rPr>
          <w:rFonts w:ascii="Garamond" w:hAnsi="Garamond"/>
        </w:rPr>
        <w:t>the late-LIA/</w:t>
      </w:r>
      <w:r w:rsidR="00125EDD">
        <w:rPr>
          <w:rFonts w:ascii="Garamond" w:hAnsi="Garamond"/>
        </w:rPr>
        <w:t>m</w:t>
      </w:r>
      <w:r w:rsidR="00125EDD" w:rsidRPr="009A2E44">
        <w:rPr>
          <w:rFonts w:ascii="Garamond" w:hAnsi="Garamond"/>
        </w:rPr>
        <w:t xml:space="preserve">odern </w:t>
      </w:r>
      <w:r w:rsidR="00102C00" w:rsidRPr="009A2E44">
        <w:rPr>
          <w:rFonts w:ascii="Garamond" w:hAnsi="Garamond"/>
        </w:rPr>
        <w:t>compare</w:t>
      </w:r>
      <w:r w:rsidR="00DF6360" w:rsidRPr="009A2E44">
        <w:rPr>
          <w:rFonts w:ascii="Garamond" w:hAnsi="Garamond"/>
        </w:rPr>
        <w:t>d</w:t>
      </w:r>
      <w:r w:rsidR="00102C00" w:rsidRPr="009A2E44">
        <w:rPr>
          <w:rFonts w:ascii="Garamond" w:hAnsi="Garamond"/>
        </w:rPr>
        <w:t xml:space="preserve"> to a dry mid-LIA in </w:t>
      </w:r>
      <w:r w:rsidR="001B1E08" w:rsidRPr="009A2E44">
        <w:rPr>
          <w:rFonts w:ascii="Garamond" w:hAnsi="Garamond"/>
        </w:rPr>
        <w:t>Lake Lanoto’o</w:t>
      </w:r>
      <w:r w:rsidR="00E03B50">
        <w:rPr>
          <w:rFonts w:ascii="Garamond" w:hAnsi="Garamond"/>
        </w:rPr>
        <w:t xml:space="preserve"> </w:t>
      </w:r>
      <w:r w:rsidR="00E10C21">
        <w:rPr>
          <w:rFonts w:ascii="Garamond" w:hAnsi="Garamond"/>
        </w:rPr>
        <w:t>by changing the shape, size, or intensity of SPCZ precipitation</w:t>
      </w:r>
      <w:r w:rsidR="00277C41">
        <w:rPr>
          <w:rFonts w:ascii="Garamond" w:hAnsi="Garamond"/>
        </w:rPr>
        <w:t>. However, this w</w:t>
      </w:r>
      <w:r w:rsidR="00E03B50">
        <w:rPr>
          <w:rFonts w:ascii="Garamond" w:hAnsi="Garamond"/>
        </w:rPr>
        <w:t xml:space="preserve">ould </w:t>
      </w:r>
      <w:r w:rsidR="00277C41">
        <w:rPr>
          <w:rFonts w:ascii="Garamond" w:hAnsi="Garamond"/>
        </w:rPr>
        <w:t xml:space="preserve">have to </w:t>
      </w:r>
      <w:r w:rsidR="00E03B50">
        <w:rPr>
          <w:rFonts w:ascii="Garamond" w:hAnsi="Garamond"/>
        </w:rPr>
        <w:t xml:space="preserve">occur without largely changing precipitation on ‘Uvea and Efate </w:t>
      </w:r>
      <w:r w:rsidR="00277C41">
        <w:rPr>
          <w:rFonts w:ascii="Garamond" w:hAnsi="Garamond"/>
        </w:rPr>
        <w:t>unless</w:t>
      </w:r>
      <w:r w:rsidR="00E03B50">
        <w:rPr>
          <w:rFonts w:ascii="Garamond" w:hAnsi="Garamond"/>
        </w:rPr>
        <w:t xml:space="preserve"> non-climatic </w:t>
      </w:r>
      <w:r w:rsidR="00117FC7">
        <w:rPr>
          <w:rFonts w:ascii="Garamond" w:hAnsi="Garamond"/>
        </w:rPr>
        <w:t>factors</w:t>
      </w:r>
      <w:r w:rsidR="00E03B50">
        <w:rPr>
          <w:rFonts w:ascii="Garamond" w:hAnsi="Garamond"/>
        </w:rPr>
        <w:t xml:space="preserve"> mute </w:t>
      </w:r>
      <w:r w:rsidR="00E03B50">
        <w:rPr>
          <w:rFonts w:ascii="Garamond" w:hAnsi="Garamond"/>
        </w:rPr>
        <w:lastRenderedPageBreak/>
        <w:t>precipitation signals at these locations</w:t>
      </w:r>
      <w:r w:rsidR="00E10C21">
        <w:rPr>
          <w:rFonts w:ascii="Garamond" w:hAnsi="Garamond"/>
        </w:rPr>
        <w:t>.</w:t>
      </w:r>
      <w:r w:rsidR="00E03B50">
        <w:rPr>
          <w:rFonts w:ascii="Garamond" w:hAnsi="Garamond"/>
        </w:rPr>
        <w:t xml:space="preserve"> A</w:t>
      </w:r>
      <w:r w:rsidR="00117FC7">
        <w:rPr>
          <w:rFonts w:ascii="Garamond" w:hAnsi="Garamond"/>
        </w:rPr>
        <w:t xml:space="preserve"> recent reevaluation of tropical Pacific climate changes during the LIA find support for a strengthened Pacific Walker Circulation, but a</w:t>
      </w:r>
      <w:r w:rsidR="00483887">
        <w:rPr>
          <w:rFonts w:ascii="Garamond" w:hAnsi="Garamond"/>
        </w:rPr>
        <w:t xml:space="preserve">dditional records from the central and eastern tropical Pacific are needed </w:t>
      </w:r>
      <w:r w:rsidR="00483887">
        <w:rPr>
          <w:rFonts w:ascii="Garamond" w:hAnsi="Garamond"/>
        </w:rPr>
        <w:fldChar w:fldCharType="begin" w:fldLock="1"/>
      </w:r>
      <w:r w:rsidR="00FA5BB3">
        <w:rPr>
          <w:rFonts w:ascii="Garamond" w:hAnsi="Garamond"/>
        </w:rPr>
        <w:instrText>ADDIN CSL_CITATION {"citationItems":[{"id":"ITEM-1","itemData":{"DOI":"10.1029/2020PA003934","ISSN":"25724525","abstract":"We examine the evidence for large-scale tropical hydroclimate changes over the Common Era based on a compilation of 67 tropical hydroclimate records from 55 sites and assess the consistency between the reconstructed hydroclimate changes and those simulated by transient model simulations of the last millennium. Our synthesis of the proxy records reveals several regionally coherent patterns on centennial time scales. From 800 to 1000 CE, records from the eastern Pacific and parts of Mesoamerica indicate a pronounced drying event relative to background conditions of the Common Era. In addition, 1400–1700 CE is marked by pronounced hydroclimate changes across the tropics, including dry and/or isotopically enriched conditions in South and East Asia, wet and/or isotopically depleted conditions in the central Andes and southern Amazon in South America, and fresher and/or isotopically depleted conditions in the Maritime Continent. We find notable dissimilarities between the regional hydroclimate changes and global-scale and hemispheric-scale temperature reconstructions, indicating that more work needs to be done to understand the mechanisms of the widespread tropical hydroclimate changes during the LIA. Apropos to previous interpretations of large-scale reorganization of tropical Pacific climate during the LIA, we do not find support for a large-scale southward shift of the Pacific Intertropical Convergence Zone, while evidence for a strengthened Pacific Walker Circulation and/or an equatorward contraction of the monsoonal Asian-Australian rain belt exists from limited geographic regions but require additional paleoclimate constraints. Transient climate model simulations exhibit weak forced long-term tropical rainfall changes over the last millennium but provide several important insights to the proxy reconstructions.","author":[{"dropping-particle":"","family":"Atwood","given":"Alyssa R","non-dropping-particle":"","parse-names":false,"suffix":""},{"dropping-particle":"","family":"Battisti","given":"David S","non-dropping-particle":"","parse-names":false,"suffix":""},{"dropping-particle":"","family":"Wu","given":"E","non-dropping-particle":"","parse-names":false,"suffix":""},{"dropping-particle":"","family":"Frierson","given":"D. M.W.","non-dropping-particle":"","parse-names":false,"suffix":""},{"dropping-particle":"","family":"Sachs","given":"Julian P","non-dropping-particle":"","parse-names":false,"suffix":""}],"container-title":"Paleoceanography and Paleoclimatology","id":"ITEM-1","issue":"7","issued":{"date-parts":[["2021"]]},"page":"1-30","title":"Data-Model Comparisons of Tropical Hydroclimate Changes Over the Common Era","type":"article-journal","volume":"36"},"uris":["http://www.mendeley.com/documents/?uuid=3c9003ec-1ee1-4040-b190-3521a2200498"]}],"mendeley":{"formattedCitation":"(Atwood et al., 2021)","plainTextFormattedCitation":"(Atwood et al., 2021)","previouslyFormattedCitation":"(Atwood et al., 2021)"},"properties":{"noteIndex":0},"schema":"https://github.com/citation-style-language/schema/raw/master/csl-citation.json"}</w:instrText>
      </w:r>
      <w:r w:rsidR="00483887">
        <w:rPr>
          <w:rFonts w:ascii="Garamond" w:hAnsi="Garamond"/>
        </w:rPr>
        <w:fldChar w:fldCharType="separate"/>
      </w:r>
      <w:r w:rsidR="00483887" w:rsidRPr="00483887">
        <w:rPr>
          <w:rFonts w:ascii="Garamond" w:hAnsi="Garamond"/>
          <w:noProof/>
        </w:rPr>
        <w:t>(Atwood et al., 2021)</w:t>
      </w:r>
      <w:r w:rsidR="00483887">
        <w:rPr>
          <w:rFonts w:ascii="Garamond" w:hAnsi="Garamond"/>
        </w:rPr>
        <w:fldChar w:fldCharType="end"/>
      </w:r>
      <w:r w:rsidR="00483887">
        <w:rPr>
          <w:rFonts w:ascii="Garamond" w:hAnsi="Garamond"/>
        </w:rPr>
        <w:t>.</w:t>
      </w:r>
    </w:p>
    <w:p w14:paraId="6303B84D" w14:textId="129244A9" w:rsidR="00B45F4A" w:rsidRPr="009A2E44" w:rsidRDefault="00B45F4A" w:rsidP="001C47D3">
      <w:pPr>
        <w:spacing w:line="480" w:lineRule="auto"/>
        <w:rPr>
          <w:rFonts w:ascii="Garamond" w:hAnsi="Garamond"/>
        </w:rPr>
      </w:pPr>
    </w:p>
    <w:p w14:paraId="25FD0260" w14:textId="50165949" w:rsidR="009F1940" w:rsidRPr="009A2E44" w:rsidRDefault="00B340F9" w:rsidP="001C47D3">
      <w:pPr>
        <w:spacing w:line="480" w:lineRule="auto"/>
        <w:rPr>
          <w:rFonts w:ascii="Garamond" w:hAnsi="Garamond"/>
          <w:i/>
        </w:rPr>
      </w:pPr>
      <w:r w:rsidRPr="009A2E44">
        <w:rPr>
          <w:rFonts w:ascii="Garamond" w:hAnsi="Garamond"/>
          <w:i/>
        </w:rPr>
        <w:t>5.</w:t>
      </w:r>
      <w:r w:rsidR="006F5FA3" w:rsidRPr="009A2E44">
        <w:rPr>
          <w:rFonts w:ascii="Garamond" w:hAnsi="Garamond"/>
          <w:i/>
        </w:rPr>
        <w:t>2.</w:t>
      </w:r>
      <w:r w:rsidR="002134BE" w:rsidRPr="009A2E44">
        <w:rPr>
          <w:rFonts w:ascii="Garamond" w:hAnsi="Garamond"/>
          <w:i/>
        </w:rPr>
        <w:t>4</w:t>
      </w:r>
      <w:r w:rsidR="005C11E9" w:rsidRPr="009A2E44">
        <w:rPr>
          <w:rFonts w:ascii="Garamond" w:hAnsi="Garamond"/>
          <w:i/>
        </w:rPr>
        <w:t>.</w:t>
      </w:r>
      <w:r w:rsidR="000B5E0B" w:rsidRPr="009A2E44">
        <w:rPr>
          <w:rFonts w:ascii="Garamond" w:hAnsi="Garamond"/>
          <w:i/>
        </w:rPr>
        <w:t xml:space="preserve"> </w:t>
      </w:r>
      <w:r w:rsidR="00C51AA8" w:rsidRPr="009A2E44">
        <w:rPr>
          <w:rFonts w:ascii="Garamond" w:hAnsi="Garamond"/>
          <w:i/>
        </w:rPr>
        <w:t xml:space="preserve">Drying of </w:t>
      </w:r>
      <w:r w:rsidR="009A7B4F" w:rsidRPr="009A2E44">
        <w:rPr>
          <w:rFonts w:ascii="Garamond" w:hAnsi="Garamond"/>
          <w:i/>
        </w:rPr>
        <w:t>‘Uvea</w:t>
      </w:r>
      <w:r w:rsidR="00C51AA8" w:rsidRPr="009A2E44">
        <w:rPr>
          <w:rFonts w:ascii="Garamond" w:hAnsi="Garamond"/>
          <w:i/>
        </w:rPr>
        <w:t xml:space="preserve">, </w:t>
      </w:r>
      <w:r w:rsidR="009A7B4F" w:rsidRPr="009A2E44">
        <w:rPr>
          <w:rFonts w:ascii="Garamond" w:hAnsi="Garamond"/>
          <w:i/>
        </w:rPr>
        <w:t>‘Upolu</w:t>
      </w:r>
      <w:r w:rsidR="00C51AA8" w:rsidRPr="009A2E44">
        <w:rPr>
          <w:rFonts w:ascii="Garamond" w:hAnsi="Garamond"/>
          <w:i/>
        </w:rPr>
        <w:t xml:space="preserve">, and </w:t>
      </w:r>
      <w:r w:rsidR="009A7B4F" w:rsidRPr="009A2E44">
        <w:rPr>
          <w:rFonts w:ascii="Garamond" w:hAnsi="Garamond"/>
          <w:i/>
        </w:rPr>
        <w:t>Efate</w:t>
      </w:r>
      <w:r w:rsidR="00C51AA8" w:rsidRPr="009A2E44">
        <w:rPr>
          <w:rFonts w:ascii="Garamond" w:hAnsi="Garamond"/>
          <w:i/>
        </w:rPr>
        <w:t xml:space="preserve"> </w:t>
      </w:r>
      <w:r w:rsidR="0026452F" w:rsidRPr="009A2E44">
        <w:rPr>
          <w:rFonts w:ascii="Garamond" w:hAnsi="Garamond"/>
          <w:i/>
        </w:rPr>
        <w:t>during the Medieval Climate Anomaly</w:t>
      </w:r>
    </w:p>
    <w:p w14:paraId="0AD5DC49" w14:textId="78CC2E68" w:rsidR="008836E8" w:rsidRPr="009A2E44" w:rsidRDefault="00117FC7" w:rsidP="001C47D3">
      <w:pPr>
        <w:spacing w:line="480" w:lineRule="auto"/>
        <w:ind w:firstLine="720"/>
        <w:rPr>
          <w:rFonts w:ascii="Garamond" w:hAnsi="Garamond"/>
        </w:rPr>
      </w:pPr>
      <w:r>
        <w:rPr>
          <w:rFonts w:ascii="Garamond" w:hAnsi="Garamond"/>
        </w:rPr>
        <w:t xml:space="preserve">Three </w:t>
      </w:r>
      <w:r w:rsidR="002762FF" w:rsidRPr="009A2E44">
        <w:rPr>
          <w:rFonts w:ascii="Garamond" w:hAnsi="Garamond"/>
          <w:iCs/>
        </w:rPr>
        <w:sym w:font="Symbol" w:char="F064"/>
      </w:r>
      <w:r w:rsidR="002762FF" w:rsidRPr="009A2E44">
        <w:rPr>
          <w:rFonts w:ascii="Garamond" w:hAnsi="Garamond"/>
          <w:iCs/>
          <w:vertAlign w:val="superscript"/>
        </w:rPr>
        <w:t>2</w:t>
      </w:r>
      <w:r w:rsidR="002762FF" w:rsidRPr="009A2E44">
        <w:rPr>
          <w:rFonts w:ascii="Garamond" w:hAnsi="Garamond"/>
          <w:iCs/>
        </w:rPr>
        <w:t>H</w:t>
      </w:r>
      <w:r w:rsidR="002762FF" w:rsidRPr="009A2E44">
        <w:rPr>
          <w:rFonts w:ascii="Garamond" w:hAnsi="Garamond"/>
          <w:iCs/>
          <w:vertAlign w:val="subscript"/>
        </w:rPr>
        <w:t>dinosterol</w:t>
      </w:r>
      <w:r w:rsidR="002762FF" w:rsidRPr="009A2E44">
        <w:rPr>
          <w:rFonts w:ascii="Garamond" w:hAnsi="Garamond"/>
          <w:iCs/>
        </w:rPr>
        <w:t xml:space="preserve"> </w:t>
      </w:r>
      <w:r w:rsidR="002762FF" w:rsidRPr="009A2E44">
        <w:rPr>
          <w:rFonts w:ascii="Garamond" w:hAnsi="Garamond"/>
        </w:rPr>
        <w:t xml:space="preserve">records indicate MCA </w:t>
      </w:r>
      <w:r w:rsidR="00CE707A" w:rsidRPr="009A2E44">
        <w:rPr>
          <w:rFonts w:ascii="Garamond" w:hAnsi="Garamond"/>
        </w:rPr>
        <w:t xml:space="preserve">drying </w:t>
      </w:r>
      <w:r w:rsidR="003B2307">
        <w:rPr>
          <w:rFonts w:ascii="Garamond" w:hAnsi="Garamond"/>
        </w:rPr>
        <w:t xml:space="preserve">relative to mean conditions </w:t>
      </w:r>
      <w:r w:rsidR="00CE707A" w:rsidRPr="009A2E44">
        <w:rPr>
          <w:rFonts w:ascii="Garamond" w:hAnsi="Garamond"/>
        </w:rPr>
        <w:t>throughout the SPCZ</w:t>
      </w:r>
      <w:r w:rsidR="002762FF" w:rsidRPr="009A2E44">
        <w:rPr>
          <w:rFonts w:ascii="Garamond" w:hAnsi="Garamond"/>
        </w:rPr>
        <w:t xml:space="preserve">, </w:t>
      </w:r>
      <w:r w:rsidR="00CE707A" w:rsidRPr="009A2E44">
        <w:rPr>
          <w:rFonts w:ascii="Garamond" w:hAnsi="Garamond"/>
        </w:rPr>
        <w:t>with the smallest change in Lac Lanutavake on ‘Uvea</w:t>
      </w:r>
      <w:r w:rsidR="002762FF" w:rsidRPr="009A2E44">
        <w:rPr>
          <w:rFonts w:ascii="Garamond" w:hAnsi="Garamond"/>
        </w:rPr>
        <w:t xml:space="preserve"> (</w:t>
      </w:r>
      <w:r w:rsidR="003B2307" w:rsidRPr="003B2307">
        <w:rPr>
          <w:rFonts w:ascii="Garamond" w:hAnsi="Garamond"/>
          <w:b/>
        </w:rPr>
        <w:t>Fig. 4B,</w:t>
      </w:r>
      <w:r w:rsidR="003B2307">
        <w:rPr>
          <w:rFonts w:ascii="Garamond" w:hAnsi="Garamond"/>
        </w:rPr>
        <w:t xml:space="preserve"> </w:t>
      </w:r>
      <w:r w:rsidR="002762FF" w:rsidRPr="009A2E44">
        <w:rPr>
          <w:rFonts w:ascii="Garamond" w:hAnsi="Garamond"/>
          <w:b/>
          <w:bCs/>
        </w:rPr>
        <w:t>Fig. 5</w:t>
      </w:r>
      <w:r w:rsidR="002762FF" w:rsidRPr="009A2E44">
        <w:rPr>
          <w:rFonts w:ascii="Garamond" w:hAnsi="Garamond"/>
        </w:rPr>
        <w:t>)</w:t>
      </w:r>
      <w:r w:rsidR="00CE707A" w:rsidRPr="009A2E44">
        <w:rPr>
          <w:rFonts w:ascii="Garamond" w:hAnsi="Garamond"/>
        </w:rPr>
        <w:t xml:space="preserve">. </w:t>
      </w:r>
      <w:r w:rsidR="004B32D4" w:rsidRPr="009A2E44">
        <w:rPr>
          <w:rFonts w:ascii="Garamond" w:hAnsi="Garamond"/>
        </w:rPr>
        <w:t xml:space="preserve">The </w:t>
      </w:r>
      <w:r w:rsidR="008836E8" w:rsidRPr="009A2E44">
        <w:rPr>
          <w:rFonts w:ascii="Garamond" w:hAnsi="Garamond"/>
        </w:rPr>
        <w:t xml:space="preserve">driest </w:t>
      </w:r>
      <w:r w:rsidR="00E82BC1" w:rsidRPr="009A2E44">
        <w:rPr>
          <w:rFonts w:ascii="Garamond" w:hAnsi="Garamond"/>
        </w:rPr>
        <w:t xml:space="preserve">MCA </w:t>
      </w:r>
      <w:r w:rsidR="004B32D4" w:rsidRPr="009A2E44">
        <w:rPr>
          <w:rFonts w:ascii="Garamond" w:hAnsi="Garamond"/>
        </w:rPr>
        <w:t xml:space="preserve">values from Efate, Vanuatu </w:t>
      </w:r>
      <w:r w:rsidR="006F7E8B" w:rsidRPr="009A2E44">
        <w:rPr>
          <w:rFonts w:ascii="Garamond" w:hAnsi="Garamond"/>
        </w:rPr>
        <w:t>(</w:t>
      </w:r>
      <w:r w:rsidR="00C23758">
        <w:rPr>
          <w:rFonts w:ascii="Garamond" w:hAnsi="Garamond"/>
        </w:rPr>
        <w:t>4.</w:t>
      </w:r>
      <w:r w:rsidR="000F3D54">
        <w:rPr>
          <w:rFonts w:ascii="Garamond" w:hAnsi="Garamond"/>
        </w:rPr>
        <w:t>0</w:t>
      </w:r>
      <w:r w:rsidR="006F7E8B" w:rsidRPr="009A2E44">
        <w:rPr>
          <w:rFonts w:ascii="Garamond" w:hAnsi="Garamond"/>
        </w:rPr>
        <w:sym w:font="Symbol" w:char="F0B1"/>
      </w:r>
      <w:r w:rsidR="006F7E8B" w:rsidRPr="009A2E44">
        <w:rPr>
          <w:rFonts w:ascii="Garamond" w:hAnsi="Garamond"/>
        </w:rPr>
        <w:t>1.</w:t>
      </w:r>
      <w:r w:rsidR="000F3D54">
        <w:rPr>
          <w:rFonts w:ascii="Garamond" w:hAnsi="Garamond"/>
        </w:rPr>
        <w:t>8</w:t>
      </w:r>
      <w:r w:rsidR="000F3D54" w:rsidRPr="009A2E44">
        <w:rPr>
          <w:rFonts w:ascii="Garamond" w:hAnsi="Garamond"/>
        </w:rPr>
        <w:t xml:space="preserve"> </w:t>
      </w:r>
      <w:r w:rsidR="006F7E8B" w:rsidRPr="009A2E44">
        <w:rPr>
          <w:rFonts w:ascii="Garamond" w:hAnsi="Garamond"/>
        </w:rPr>
        <w:t>mm d</w:t>
      </w:r>
      <w:r w:rsidR="006F7E8B" w:rsidRPr="009A2E44">
        <w:rPr>
          <w:rFonts w:ascii="Garamond" w:hAnsi="Garamond"/>
          <w:color w:val="202020"/>
          <w:shd w:val="clear" w:color="auto" w:fill="FFFFFF"/>
          <w:vertAlign w:val="superscript"/>
        </w:rPr>
        <w:t>−</w:t>
      </w:r>
      <w:r w:rsidR="006F7E8B" w:rsidRPr="009A2E44">
        <w:rPr>
          <w:rFonts w:ascii="Garamond" w:hAnsi="Garamond"/>
          <w:vertAlign w:val="superscript"/>
        </w:rPr>
        <w:t>1</w:t>
      </w:r>
      <w:r w:rsidR="006F7E8B" w:rsidRPr="009A2E44">
        <w:rPr>
          <w:rFonts w:ascii="Garamond" w:hAnsi="Garamond"/>
        </w:rPr>
        <w:t xml:space="preserve">) </w:t>
      </w:r>
      <w:r w:rsidR="004B32D4" w:rsidRPr="009A2E44">
        <w:rPr>
          <w:rFonts w:ascii="Garamond" w:hAnsi="Garamond"/>
        </w:rPr>
        <w:t xml:space="preserve">and ‘Upolu, Samoa </w:t>
      </w:r>
      <w:r w:rsidR="006F7E8B" w:rsidRPr="009A2E44">
        <w:rPr>
          <w:rFonts w:ascii="Garamond" w:hAnsi="Garamond"/>
        </w:rPr>
        <w:t>(3.</w:t>
      </w:r>
      <w:r w:rsidR="00C23758">
        <w:rPr>
          <w:rFonts w:ascii="Garamond" w:hAnsi="Garamond"/>
        </w:rPr>
        <w:t>7</w:t>
      </w:r>
      <w:r w:rsidR="006F7E8B" w:rsidRPr="009A2E44">
        <w:rPr>
          <w:rFonts w:ascii="Garamond" w:hAnsi="Garamond"/>
        </w:rPr>
        <w:sym w:font="Symbol" w:char="F0B1"/>
      </w:r>
      <w:r w:rsidR="006F7E8B" w:rsidRPr="009A2E44">
        <w:rPr>
          <w:rFonts w:ascii="Garamond" w:hAnsi="Garamond"/>
        </w:rPr>
        <w:t>1.</w:t>
      </w:r>
      <w:r w:rsidR="00C23758">
        <w:rPr>
          <w:rFonts w:ascii="Garamond" w:hAnsi="Garamond"/>
        </w:rPr>
        <w:t>7</w:t>
      </w:r>
      <w:r w:rsidR="00C23758" w:rsidRPr="009A2E44">
        <w:rPr>
          <w:rFonts w:ascii="Garamond" w:hAnsi="Garamond"/>
        </w:rPr>
        <w:t xml:space="preserve"> </w:t>
      </w:r>
      <w:r w:rsidR="006F7E8B" w:rsidRPr="009A2E44">
        <w:rPr>
          <w:rFonts w:ascii="Garamond" w:hAnsi="Garamond"/>
        </w:rPr>
        <w:t>mm d</w:t>
      </w:r>
      <w:r w:rsidR="006F7E8B" w:rsidRPr="009A2E44">
        <w:rPr>
          <w:rFonts w:ascii="Garamond" w:hAnsi="Garamond"/>
          <w:color w:val="202020"/>
          <w:shd w:val="clear" w:color="auto" w:fill="FFFFFF"/>
          <w:vertAlign w:val="superscript"/>
        </w:rPr>
        <w:t>−</w:t>
      </w:r>
      <w:r w:rsidR="006F7E8B" w:rsidRPr="009A2E44">
        <w:rPr>
          <w:rFonts w:ascii="Garamond" w:hAnsi="Garamond"/>
          <w:vertAlign w:val="superscript"/>
        </w:rPr>
        <w:t>1</w:t>
      </w:r>
      <w:r w:rsidR="006F7E8B" w:rsidRPr="009A2E44">
        <w:rPr>
          <w:rFonts w:ascii="Garamond" w:hAnsi="Garamond"/>
        </w:rPr>
        <w:t xml:space="preserve">) </w:t>
      </w:r>
      <w:r w:rsidR="004B32D4" w:rsidRPr="009A2E44">
        <w:rPr>
          <w:rFonts w:ascii="Garamond" w:hAnsi="Garamond"/>
        </w:rPr>
        <w:t>were</w:t>
      </w:r>
      <w:r w:rsidR="008836E8" w:rsidRPr="009A2E44">
        <w:rPr>
          <w:rFonts w:ascii="Garamond" w:hAnsi="Garamond"/>
        </w:rPr>
        <w:t xml:space="preserve"> </w:t>
      </w:r>
      <w:r w:rsidR="00CB40AB">
        <w:rPr>
          <w:rFonts w:ascii="Garamond" w:hAnsi="Garamond"/>
        </w:rPr>
        <w:t>1.4</w:t>
      </w:r>
      <w:r w:rsidR="00C23758">
        <w:rPr>
          <w:rFonts w:ascii="Garamond" w:hAnsi="Garamond"/>
        </w:rPr>
        <w:t xml:space="preserve"> to </w:t>
      </w:r>
      <w:r w:rsidR="008836E8" w:rsidRPr="009A2E44">
        <w:rPr>
          <w:rFonts w:ascii="Garamond" w:hAnsi="Garamond"/>
        </w:rPr>
        <w:t>1.</w:t>
      </w:r>
      <w:r w:rsidR="00F04C76">
        <w:rPr>
          <w:rFonts w:ascii="Garamond" w:hAnsi="Garamond"/>
        </w:rPr>
        <w:t>5</w:t>
      </w:r>
      <w:r w:rsidR="00C23758" w:rsidRPr="009A2E44">
        <w:rPr>
          <w:rFonts w:ascii="Garamond" w:hAnsi="Garamond"/>
        </w:rPr>
        <w:t xml:space="preserve"> </w:t>
      </w:r>
      <w:r w:rsidR="008836E8" w:rsidRPr="009A2E44">
        <w:rPr>
          <w:rFonts w:ascii="Garamond" w:hAnsi="Garamond"/>
        </w:rPr>
        <w:t>mm d</w:t>
      </w:r>
      <w:r w:rsidR="008836E8" w:rsidRPr="009A2E44">
        <w:rPr>
          <w:rFonts w:ascii="Garamond" w:hAnsi="Garamond"/>
          <w:color w:val="202020"/>
          <w:shd w:val="clear" w:color="auto" w:fill="FFFFFF"/>
          <w:vertAlign w:val="superscript"/>
        </w:rPr>
        <w:t>−</w:t>
      </w:r>
      <w:r w:rsidR="008836E8" w:rsidRPr="009A2E44">
        <w:rPr>
          <w:rFonts w:ascii="Garamond" w:hAnsi="Garamond"/>
          <w:vertAlign w:val="superscript"/>
        </w:rPr>
        <w:t>1</w:t>
      </w:r>
      <w:r w:rsidR="008836E8" w:rsidRPr="009A2E44">
        <w:rPr>
          <w:rFonts w:ascii="Garamond" w:hAnsi="Garamond"/>
        </w:rPr>
        <w:t xml:space="preserve"> </w:t>
      </w:r>
      <w:r w:rsidR="004B32D4" w:rsidRPr="009A2E44">
        <w:rPr>
          <w:rFonts w:ascii="Garamond" w:hAnsi="Garamond"/>
        </w:rPr>
        <w:t xml:space="preserve">drier </w:t>
      </w:r>
      <w:r w:rsidR="008836E8" w:rsidRPr="009A2E44">
        <w:rPr>
          <w:rFonts w:ascii="Garamond" w:hAnsi="Garamond"/>
        </w:rPr>
        <w:t>(</w:t>
      </w:r>
      <w:r w:rsidR="00CB40AB" w:rsidRPr="009A2E44">
        <w:rPr>
          <w:rFonts w:ascii="Garamond" w:hAnsi="Garamond"/>
        </w:rPr>
        <w:t>1</w:t>
      </w:r>
      <w:r w:rsidR="00CB40AB">
        <w:rPr>
          <w:rFonts w:ascii="Garamond" w:hAnsi="Garamond"/>
        </w:rPr>
        <w:t xml:space="preserve">7 </w:t>
      </w:r>
      <w:r w:rsidR="00C23758">
        <w:rPr>
          <w:rFonts w:ascii="Garamond" w:hAnsi="Garamond"/>
        </w:rPr>
        <w:t xml:space="preserve">to </w:t>
      </w:r>
      <w:r w:rsidR="00F04C76">
        <w:rPr>
          <w:rFonts w:ascii="Garamond" w:hAnsi="Garamond"/>
        </w:rPr>
        <w:t>19</w:t>
      </w:r>
      <w:r w:rsidR="009E2872" w:rsidRPr="009A2E44">
        <w:rPr>
          <w:rFonts w:ascii="Garamond" w:hAnsi="Garamond"/>
        </w:rPr>
        <w:t xml:space="preserve"> </w:t>
      </w:r>
      <w:r w:rsidR="008836E8" w:rsidRPr="009A2E44">
        <w:rPr>
          <w:rFonts w:ascii="Garamond" w:hAnsi="Garamond"/>
        </w:rPr>
        <w:t>‰</w:t>
      </w:r>
      <w:r w:rsidR="001F754D" w:rsidRPr="009A2E44">
        <w:rPr>
          <w:rFonts w:ascii="Garamond" w:hAnsi="Garamond"/>
        </w:rPr>
        <w:t xml:space="preserve"> higher</w:t>
      </w:r>
      <w:r w:rsidR="008836E8" w:rsidRPr="009A2E44">
        <w:rPr>
          <w:rFonts w:ascii="Garamond" w:hAnsi="Garamond"/>
        </w:rPr>
        <w:t>)</w:t>
      </w:r>
      <w:r w:rsidR="00D965AD" w:rsidRPr="009A2E44">
        <w:rPr>
          <w:rFonts w:ascii="Garamond" w:hAnsi="Garamond"/>
        </w:rPr>
        <w:t xml:space="preserve"> compare</w:t>
      </w:r>
      <w:r w:rsidR="00DF6360" w:rsidRPr="009A2E44">
        <w:rPr>
          <w:rFonts w:ascii="Garamond" w:hAnsi="Garamond"/>
        </w:rPr>
        <w:t>d</w:t>
      </w:r>
      <w:r w:rsidR="00D965AD" w:rsidRPr="009A2E44">
        <w:rPr>
          <w:rFonts w:ascii="Garamond" w:hAnsi="Garamond"/>
        </w:rPr>
        <w:t xml:space="preserve"> to </w:t>
      </w:r>
      <w:r w:rsidR="00CB40AB">
        <w:rPr>
          <w:rFonts w:ascii="Garamond" w:hAnsi="Garamond"/>
        </w:rPr>
        <w:t xml:space="preserve">their </w:t>
      </w:r>
      <w:r w:rsidR="004B32D4" w:rsidRPr="009A2E44">
        <w:rPr>
          <w:rFonts w:ascii="Garamond" w:hAnsi="Garamond"/>
        </w:rPr>
        <w:t>core</w:t>
      </w:r>
      <w:r w:rsidR="00D965AD" w:rsidRPr="009A2E44">
        <w:rPr>
          <w:rFonts w:ascii="Garamond" w:hAnsi="Garamond"/>
        </w:rPr>
        <w:t xml:space="preserve"> means</w:t>
      </w:r>
      <w:r w:rsidR="00E82BC1" w:rsidRPr="009A2E44">
        <w:rPr>
          <w:rFonts w:ascii="Garamond" w:hAnsi="Garamond"/>
        </w:rPr>
        <w:t xml:space="preserve">. </w:t>
      </w:r>
      <w:r w:rsidR="00CE707A" w:rsidRPr="009A2E44">
        <w:rPr>
          <w:rFonts w:ascii="Garamond" w:hAnsi="Garamond"/>
        </w:rPr>
        <w:t>Lac Lanutavake’s driest MCA value</w:t>
      </w:r>
      <w:r w:rsidR="006F7E8B" w:rsidRPr="009A2E44">
        <w:rPr>
          <w:rFonts w:ascii="Garamond" w:hAnsi="Garamond"/>
        </w:rPr>
        <w:t xml:space="preserve"> (5.7</w:t>
      </w:r>
      <w:r w:rsidR="006F7E8B" w:rsidRPr="009A2E44">
        <w:rPr>
          <w:rFonts w:ascii="Garamond" w:hAnsi="Garamond"/>
        </w:rPr>
        <w:sym w:font="Symbol" w:char="F0B1"/>
      </w:r>
      <w:r w:rsidR="006F7E8B" w:rsidRPr="009A2E44">
        <w:rPr>
          <w:rFonts w:ascii="Garamond" w:hAnsi="Garamond"/>
        </w:rPr>
        <w:t>2.2 mm d</w:t>
      </w:r>
      <w:r w:rsidR="006F7E8B" w:rsidRPr="009A2E44">
        <w:rPr>
          <w:rFonts w:ascii="Garamond" w:hAnsi="Garamond"/>
          <w:color w:val="202020"/>
          <w:shd w:val="clear" w:color="auto" w:fill="FFFFFF"/>
          <w:vertAlign w:val="superscript"/>
        </w:rPr>
        <w:t>−</w:t>
      </w:r>
      <w:r w:rsidR="006F7E8B" w:rsidRPr="009A2E44">
        <w:rPr>
          <w:rFonts w:ascii="Garamond" w:hAnsi="Garamond"/>
          <w:vertAlign w:val="superscript"/>
        </w:rPr>
        <w:t>1</w:t>
      </w:r>
      <w:r w:rsidR="006F7E8B" w:rsidRPr="009A2E44">
        <w:rPr>
          <w:rFonts w:ascii="Garamond" w:hAnsi="Garamond"/>
        </w:rPr>
        <w:t>)</w:t>
      </w:r>
      <w:r w:rsidR="00CE707A" w:rsidRPr="009A2E44">
        <w:rPr>
          <w:rFonts w:ascii="Garamond" w:hAnsi="Garamond"/>
        </w:rPr>
        <w:t xml:space="preserve"> was </w:t>
      </w:r>
      <w:r w:rsidR="00CD16D6">
        <w:rPr>
          <w:rFonts w:ascii="Garamond" w:hAnsi="Garamond"/>
        </w:rPr>
        <w:t xml:space="preserve">only </w:t>
      </w:r>
      <w:r w:rsidR="00CE707A" w:rsidRPr="009A2E44">
        <w:rPr>
          <w:rFonts w:ascii="Garamond" w:hAnsi="Garamond"/>
        </w:rPr>
        <w:t>0.6 mm d</w:t>
      </w:r>
      <w:r w:rsidR="00CE707A" w:rsidRPr="009A2E44">
        <w:rPr>
          <w:rFonts w:ascii="Garamond" w:hAnsi="Garamond"/>
          <w:color w:val="202020"/>
          <w:shd w:val="clear" w:color="auto" w:fill="FFFFFF"/>
          <w:vertAlign w:val="superscript"/>
        </w:rPr>
        <w:t>−</w:t>
      </w:r>
      <w:r w:rsidR="00CE707A" w:rsidRPr="009A2E44">
        <w:rPr>
          <w:rFonts w:ascii="Garamond" w:hAnsi="Garamond"/>
          <w:vertAlign w:val="superscript"/>
        </w:rPr>
        <w:t>1</w:t>
      </w:r>
      <w:r w:rsidR="00CE707A" w:rsidRPr="009A2E44">
        <w:rPr>
          <w:rFonts w:ascii="Garamond" w:hAnsi="Garamond"/>
        </w:rPr>
        <w:t xml:space="preserve"> drier (8</w:t>
      </w:r>
      <w:r w:rsidR="009E2872" w:rsidRPr="009A2E44">
        <w:rPr>
          <w:rFonts w:ascii="Garamond" w:hAnsi="Garamond"/>
        </w:rPr>
        <w:t xml:space="preserve"> </w:t>
      </w:r>
      <w:r w:rsidR="00CE707A" w:rsidRPr="009A2E44">
        <w:rPr>
          <w:rFonts w:ascii="Garamond" w:hAnsi="Garamond"/>
        </w:rPr>
        <w:t xml:space="preserve">‰ </w:t>
      </w:r>
      <w:r w:rsidR="001F754D" w:rsidRPr="009A2E44">
        <w:rPr>
          <w:rFonts w:ascii="Garamond" w:hAnsi="Garamond"/>
        </w:rPr>
        <w:t>higher</w:t>
      </w:r>
      <w:r w:rsidR="00CE707A" w:rsidRPr="009A2E44">
        <w:rPr>
          <w:rFonts w:ascii="Garamond" w:hAnsi="Garamond"/>
        </w:rPr>
        <w:t>) compare</w:t>
      </w:r>
      <w:r w:rsidR="00DF6360" w:rsidRPr="009A2E44">
        <w:rPr>
          <w:rFonts w:ascii="Garamond" w:hAnsi="Garamond"/>
        </w:rPr>
        <w:t>d</w:t>
      </w:r>
      <w:r w:rsidR="00CE707A" w:rsidRPr="009A2E44">
        <w:rPr>
          <w:rFonts w:ascii="Garamond" w:hAnsi="Garamond"/>
        </w:rPr>
        <w:t xml:space="preserve"> to </w:t>
      </w:r>
      <w:r w:rsidR="00CB40AB">
        <w:rPr>
          <w:rFonts w:ascii="Garamond" w:hAnsi="Garamond"/>
        </w:rPr>
        <w:t>its</w:t>
      </w:r>
      <w:r w:rsidR="00CB40AB" w:rsidRPr="009A2E44">
        <w:rPr>
          <w:rFonts w:ascii="Garamond" w:hAnsi="Garamond"/>
        </w:rPr>
        <w:t xml:space="preserve"> </w:t>
      </w:r>
      <w:r w:rsidR="00CE707A" w:rsidRPr="009A2E44">
        <w:rPr>
          <w:rFonts w:ascii="Garamond" w:hAnsi="Garamond"/>
        </w:rPr>
        <w:t>mean</w:t>
      </w:r>
      <w:r w:rsidR="005B773F">
        <w:rPr>
          <w:rFonts w:ascii="Garamond" w:hAnsi="Garamond"/>
        </w:rPr>
        <w:t xml:space="preserve">, </w:t>
      </w:r>
      <w:r w:rsidR="00CB40AB">
        <w:rPr>
          <w:rFonts w:ascii="Garamond" w:hAnsi="Garamond"/>
        </w:rPr>
        <w:t>0.8</w:t>
      </w:r>
      <w:r w:rsidR="00020A26">
        <w:rPr>
          <w:rFonts w:ascii="Garamond" w:hAnsi="Garamond"/>
        </w:rPr>
        <w:t xml:space="preserve"> to </w:t>
      </w:r>
      <w:r w:rsidR="00CB40AB">
        <w:rPr>
          <w:rFonts w:ascii="Garamond" w:hAnsi="Garamond"/>
        </w:rPr>
        <w:t>0.9</w:t>
      </w:r>
      <w:r w:rsidR="003540E5">
        <w:rPr>
          <w:rFonts w:ascii="Garamond" w:hAnsi="Garamond"/>
        </w:rPr>
        <w:t xml:space="preserve"> </w:t>
      </w:r>
      <w:r w:rsidR="003540E5" w:rsidRPr="009A2E44">
        <w:rPr>
          <w:rFonts w:ascii="Garamond" w:hAnsi="Garamond"/>
        </w:rPr>
        <w:t>mm d</w:t>
      </w:r>
      <w:r w:rsidR="003540E5" w:rsidRPr="009A2E44">
        <w:rPr>
          <w:rFonts w:ascii="Garamond" w:hAnsi="Garamond"/>
          <w:color w:val="202020"/>
          <w:shd w:val="clear" w:color="auto" w:fill="FFFFFF"/>
          <w:vertAlign w:val="superscript"/>
        </w:rPr>
        <w:t>−</w:t>
      </w:r>
      <w:r w:rsidR="003540E5" w:rsidRPr="009A2E44">
        <w:rPr>
          <w:rFonts w:ascii="Garamond" w:hAnsi="Garamond"/>
          <w:vertAlign w:val="superscript"/>
        </w:rPr>
        <w:t>1</w:t>
      </w:r>
      <w:r w:rsidR="00F04C76">
        <w:rPr>
          <w:rFonts w:ascii="Garamond" w:hAnsi="Garamond"/>
        </w:rPr>
        <w:t xml:space="preserve"> </w:t>
      </w:r>
      <w:r w:rsidR="00020A26">
        <w:rPr>
          <w:rFonts w:ascii="Garamond" w:hAnsi="Garamond"/>
        </w:rPr>
        <w:t xml:space="preserve">less drying compared to Lake </w:t>
      </w:r>
      <w:proofErr w:type="spellStart"/>
      <w:r w:rsidR="00020A26">
        <w:rPr>
          <w:rFonts w:ascii="Garamond" w:hAnsi="Garamond"/>
        </w:rPr>
        <w:t>Emaotul</w:t>
      </w:r>
      <w:proofErr w:type="spellEnd"/>
      <w:r w:rsidR="00020A26">
        <w:rPr>
          <w:rFonts w:ascii="Garamond" w:hAnsi="Garamond"/>
        </w:rPr>
        <w:t xml:space="preserve"> and Lake </w:t>
      </w:r>
      <w:proofErr w:type="spellStart"/>
      <w:r w:rsidR="00020A26">
        <w:rPr>
          <w:rFonts w:ascii="Garamond" w:hAnsi="Garamond"/>
        </w:rPr>
        <w:t>Lanoto’o</w:t>
      </w:r>
      <w:proofErr w:type="spellEnd"/>
      <w:r w:rsidR="00551AED">
        <w:rPr>
          <w:rFonts w:ascii="Garamond" w:hAnsi="Garamond"/>
        </w:rPr>
        <w:t xml:space="preserve"> (</w:t>
      </w:r>
      <w:r w:rsidR="00551AED" w:rsidRPr="00551AED">
        <w:rPr>
          <w:rFonts w:ascii="Garamond" w:hAnsi="Garamond"/>
          <w:b/>
        </w:rPr>
        <w:t>Fig. 4B</w:t>
      </w:r>
      <w:r w:rsidR="00551AED">
        <w:rPr>
          <w:rFonts w:ascii="Garamond" w:hAnsi="Garamond"/>
        </w:rPr>
        <w:t>)</w:t>
      </w:r>
      <w:r w:rsidR="00CE707A" w:rsidRPr="009A2E44">
        <w:rPr>
          <w:rFonts w:ascii="Garamond" w:hAnsi="Garamond"/>
        </w:rPr>
        <w:t>. There are two possible explanations for the smaller change in Lac Lanutavake</w:t>
      </w:r>
      <w:r w:rsidR="002E29D0" w:rsidRPr="009A2E44">
        <w:rPr>
          <w:rFonts w:ascii="Garamond" w:hAnsi="Garamond"/>
        </w:rPr>
        <w:t xml:space="preserve"> including 1) a muted response to drying due to </w:t>
      </w:r>
      <w:r w:rsidR="00CD16D6">
        <w:rPr>
          <w:rFonts w:ascii="Garamond" w:hAnsi="Garamond"/>
        </w:rPr>
        <w:t xml:space="preserve">a </w:t>
      </w:r>
      <w:r w:rsidR="002E29D0" w:rsidRPr="009A2E44">
        <w:rPr>
          <w:rFonts w:ascii="Garamond" w:hAnsi="Garamond"/>
        </w:rPr>
        <w:t>potential connection to ‘Uvea’s aquifer, and 2) a relatively stable precipitation rate through time at ‘Uvea compared to ‘Upolu and Efate</w:t>
      </w:r>
      <w:r w:rsidR="00CE707A" w:rsidRPr="009A2E44">
        <w:rPr>
          <w:rFonts w:ascii="Garamond" w:hAnsi="Garamond"/>
        </w:rPr>
        <w:t>.</w:t>
      </w:r>
    </w:p>
    <w:p w14:paraId="497080DC" w14:textId="4C1D31AF" w:rsidR="008836E8" w:rsidRPr="009A2E44" w:rsidRDefault="002762FF" w:rsidP="001C47D3">
      <w:pPr>
        <w:spacing w:line="480" w:lineRule="auto"/>
        <w:ind w:firstLine="720"/>
        <w:rPr>
          <w:rFonts w:ascii="Garamond" w:hAnsi="Garamond"/>
        </w:rPr>
      </w:pPr>
      <w:r w:rsidRPr="009A2E44">
        <w:rPr>
          <w:rFonts w:ascii="Garamond" w:hAnsi="Garamond"/>
        </w:rPr>
        <w:t>A</w:t>
      </w:r>
      <w:r w:rsidR="00EA56D8" w:rsidRPr="009A2E44">
        <w:rPr>
          <w:rFonts w:ascii="Garamond" w:hAnsi="Garamond"/>
        </w:rPr>
        <w:t xml:space="preserve">ll 53 samples from Lac Lanutavake have less variability around the mean compared to </w:t>
      </w:r>
      <w:r w:rsidR="00CB40AB">
        <w:rPr>
          <w:rFonts w:ascii="Garamond" w:hAnsi="Garamond"/>
        </w:rPr>
        <w:t>41</w:t>
      </w:r>
      <w:r w:rsidR="00CB40AB" w:rsidRPr="009A2E44">
        <w:rPr>
          <w:rFonts w:ascii="Garamond" w:hAnsi="Garamond"/>
        </w:rPr>
        <w:t xml:space="preserve"> </w:t>
      </w:r>
      <w:r w:rsidR="00EA56D8" w:rsidRPr="009A2E44">
        <w:rPr>
          <w:rFonts w:ascii="Garamond" w:hAnsi="Garamond"/>
        </w:rPr>
        <w:t>samples from Lake Emaotul and 22 samples in Lake Lanoto’o</w:t>
      </w:r>
      <w:r w:rsidRPr="009A2E44">
        <w:rPr>
          <w:rFonts w:ascii="Garamond" w:hAnsi="Garamond"/>
        </w:rPr>
        <w:t xml:space="preserve"> (</w:t>
      </w:r>
      <w:r w:rsidRPr="009A2E44">
        <w:rPr>
          <w:rFonts w:ascii="Garamond" w:hAnsi="Garamond"/>
          <w:b/>
          <w:bCs/>
        </w:rPr>
        <w:t>Fig. 4</w:t>
      </w:r>
      <w:r w:rsidRPr="009A2E44">
        <w:rPr>
          <w:rFonts w:ascii="Garamond" w:hAnsi="Garamond"/>
        </w:rPr>
        <w:t>)</w:t>
      </w:r>
      <w:r w:rsidR="00EA56D8" w:rsidRPr="009A2E44">
        <w:rPr>
          <w:rFonts w:ascii="Garamond" w:hAnsi="Garamond"/>
        </w:rPr>
        <w:t xml:space="preserve">. </w:t>
      </w:r>
      <w:r w:rsidR="00262A17" w:rsidRPr="009A2E44">
        <w:rPr>
          <w:rFonts w:ascii="Garamond" w:hAnsi="Garamond"/>
        </w:rPr>
        <w:t xml:space="preserve">Modern lake water </w:t>
      </w:r>
      <w:r w:rsidR="00262A17" w:rsidRPr="009A2E44">
        <w:rPr>
          <w:rFonts w:ascii="Garamond" w:hAnsi="Garamond"/>
          <w:vertAlign w:val="superscript"/>
        </w:rPr>
        <w:t>2</w:t>
      </w:r>
      <w:r w:rsidR="00262A17" w:rsidRPr="009A2E44">
        <w:rPr>
          <w:rFonts w:ascii="Garamond" w:hAnsi="Garamond"/>
        </w:rPr>
        <w:t>H/</w:t>
      </w:r>
      <w:r w:rsidR="00262A17" w:rsidRPr="009A2E44">
        <w:rPr>
          <w:rFonts w:ascii="Garamond" w:hAnsi="Garamond"/>
          <w:vertAlign w:val="superscript"/>
        </w:rPr>
        <w:t>1</w:t>
      </w:r>
      <w:r w:rsidR="00262A17" w:rsidRPr="009A2E44">
        <w:rPr>
          <w:rFonts w:ascii="Garamond" w:hAnsi="Garamond"/>
        </w:rPr>
        <w:t xml:space="preserve">H profiles indicate two distinct water masses in Lac Lanutavake: a photic zone </w:t>
      </w:r>
      <w:r w:rsidR="001F754D" w:rsidRPr="009A2E44">
        <w:rPr>
          <w:rFonts w:ascii="Garamond" w:hAnsi="Garamond"/>
        </w:rPr>
        <w:t xml:space="preserve">influenced by evaporation with higher </w:t>
      </w:r>
      <w:r w:rsidR="001F754D" w:rsidRPr="009A2E44">
        <w:rPr>
          <w:rFonts w:ascii="Garamond" w:hAnsi="Garamond"/>
          <w:iCs/>
        </w:rPr>
        <w:sym w:font="Symbol" w:char="F064"/>
      </w:r>
      <w:r w:rsidR="001F754D" w:rsidRPr="009A2E44">
        <w:rPr>
          <w:rFonts w:ascii="Garamond" w:hAnsi="Garamond"/>
          <w:iCs/>
          <w:vertAlign w:val="superscript"/>
        </w:rPr>
        <w:t>2</w:t>
      </w:r>
      <w:r w:rsidR="001F754D" w:rsidRPr="009A2E44">
        <w:rPr>
          <w:rFonts w:ascii="Garamond" w:hAnsi="Garamond"/>
          <w:iCs/>
        </w:rPr>
        <w:t>H</w:t>
      </w:r>
      <w:r w:rsidR="001F754D" w:rsidRPr="009A2E44">
        <w:rPr>
          <w:rFonts w:ascii="Garamond" w:hAnsi="Garamond"/>
          <w:iCs/>
          <w:vertAlign w:val="subscript"/>
        </w:rPr>
        <w:t>lakewater</w:t>
      </w:r>
      <w:r w:rsidR="001F754D" w:rsidRPr="009A2E44">
        <w:rPr>
          <w:rFonts w:ascii="Garamond" w:hAnsi="Garamond"/>
          <w:iCs/>
        </w:rPr>
        <w:t xml:space="preserve"> </w:t>
      </w:r>
      <w:r w:rsidR="001F754D" w:rsidRPr="009A2E44">
        <w:rPr>
          <w:rFonts w:ascii="Garamond" w:hAnsi="Garamond"/>
        </w:rPr>
        <w:t xml:space="preserve">values </w:t>
      </w:r>
      <w:r w:rsidR="005D6D43" w:rsidRPr="009A2E44">
        <w:rPr>
          <w:rFonts w:ascii="Garamond" w:hAnsi="Garamond"/>
        </w:rPr>
        <w:t>(</w:t>
      </w:r>
      <w:r w:rsidR="005D6D43" w:rsidRPr="009A2E44">
        <w:rPr>
          <w:rFonts w:ascii="Garamond" w:hAnsi="Garamond"/>
          <w:color w:val="202020"/>
          <w:sz w:val="20"/>
          <w:szCs w:val="20"/>
          <w:shd w:val="clear" w:color="auto" w:fill="FFFFFF"/>
        </w:rPr>
        <w:t>−</w:t>
      </w:r>
      <w:r w:rsidR="005D6D43" w:rsidRPr="009A2E44">
        <w:rPr>
          <w:rFonts w:ascii="Garamond" w:hAnsi="Garamond"/>
        </w:rPr>
        <w:t>5</w:t>
      </w:r>
      <w:r w:rsidR="009E2872" w:rsidRPr="009A2E44">
        <w:rPr>
          <w:rFonts w:ascii="Garamond" w:hAnsi="Garamond"/>
        </w:rPr>
        <w:t xml:space="preserve"> </w:t>
      </w:r>
      <w:r w:rsidR="005D6D43" w:rsidRPr="009A2E44">
        <w:rPr>
          <w:rFonts w:ascii="Garamond" w:hAnsi="Garamond"/>
        </w:rPr>
        <w:t xml:space="preserve">‰) </w:t>
      </w:r>
      <w:r w:rsidR="00262A17" w:rsidRPr="009A2E44">
        <w:rPr>
          <w:rFonts w:ascii="Garamond" w:hAnsi="Garamond"/>
        </w:rPr>
        <w:t>and</w:t>
      </w:r>
      <w:r w:rsidR="005D6D43" w:rsidRPr="009A2E44">
        <w:rPr>
          <w:rFonts w:ascii="Garamond" w:hAnsi="Garamond"/>
        </w:rPr>
        <w:t xml:space="preserve"> </w:t>
      </w:r>
      <w:r w:rsidR="00262A17" w:rsidRPr="009A2E44">
        <w:rPr>
          <w:rFonts w:ascii="Garamond" w:hAnsi="Garamond"/>
        </w:rPr>
        <w:t>bottom water</w:t>
      </w:r>
      <w:r w:rsidR="001F754D" w:rsidRPr="009A2E44">
        <w:rPr>
          <w:rFonts w:ascii="Garamond" w:hAnsi="Garamond"/>
        </w:rPr>
        <w:t xml:space="preserve"> with lower </w:t>
      </w:r>
      <w:r w:rsidR="001F754D" w:rsidRPr="009A2E44">
        <w:rPr>
          <w:rFonts w:ascii="Garamond" w:hAnsi="Garamond"/>
          <w:iCs/>
        </w:rPr>
        <w:sym w:font="Symbol" w:char="F064"/>
      </w:r>
      <w:r w:rsidR="001F754D" w:rsidRPr="009A2E44">
        <w:rPr>
          <w:rFonts w:ascii="Garamond" w:hAnsi="Garamond"/>
          <w:iCs/>
          <w:vertAlign w:val="superscript"/>
        </w:rPr>
        <w:t>2</w:t>
      </w:r>
      <w:r w:rsidR="001F754D" w:rsidRPr="009A2E44">
        <w:rPr>
          <w:rFonts w:ascii="Garamond" w:hAnsi="Garamond"/>
          <w:iCs/>
        </w:rPr>
        <w:t>H</w:t>
      </w:r>
      <w:r w:rsidR="001F754D" w:rsidRPr="009A2E44">
        <w:rPr>
          <w:rFonts w:ascii="Garamond" w:hAnsi="Garamond"/>
          <w:iCs/>
          <w:vertAlign w:val="subscript"/>
        </w:rPr>
        <w:t>lakewater</w:t>
      </w:r>
      <w:r w:rsidR="001F754D" w:rsidRPr="009A2E44">
        <w:rPr>
          <w:rFonts w:ascii="Garamond" w:hAnsi="Garamond"/>
          <w:iCs/>
        </w:rPr>
        <w:t xml:space="preserve"> </w:t>
      </w:r>
      <w:r w:rsidR="001F754D" w:rsidRPr="009A2E44">
        <w:rPr>
          <w:rFonts w:ascii="Garamond" w:hAnsi="Garamond"/>
        </w:rPr>
        <w:t>values</w:t>
      </w:r>
      <w:r w:rsidR="00262A17" w:rsidRPr="009A2E44">
        <w:rPr>
          <w:rFonts w:ascii="Garamond" w:hAnsi="Garamond"/>
        </w:rPr>
        <w:t xml:space="preserve"> </w:t>
      </w:r>
      <w:r w:rsidR="005D6D43" w:rsidRPr="009A2E44">
        <w:rPr>
          <w:rFonts w:ascii="Garamond" w:hAnsi="Garamond"/>
        </w:rPr>
        <w:t>(</w:t>
      </w:r>
      <w:r w:rsidR="005D6D43" w:rsidRPr="009A2E44">
        <w:rPr>
          <w:rFonts w:ascii="Garamond" w:hAnsi="Garamond"/>
          <w:color w:val="202020"/>
          <w:sz w:val="20"/>
          <w:szCs w:val="20"/>
          <w:shd w:val="clear" w:color="auto" w:fill="FFFFFF"/>
        </w:rPr>
        <w:t>−</w:t>
      </w:r>
      <w:r w:rsidR="005D6D43" w:rsidRPr="009A2E44">
        <w:rPr>
          <w:rFonts w:ascii="Garamond" w:hAnsi="Garamond"/>
        </w:rPr>
        <w:t>10</w:t>
      </w:r>
      <w:r w:rsidR="009E2872" w:rsidRPr="009A2E44">
        <w:rPr>
          <w:rFonts w:ascii="Garamond" w:hAnsi="Garamond"/>
        </w:rPr>
        <w:t xml:space="preserve"> </w:t>
      </w:r>
      <w:r w:rsidR="005D6D43" w:rsidRPr="009A2E44">
        <w:rPr>
          <w:rFonts w:ascii="Garamond" w:hAnsi="Garamond"/>
        </w:rPr>
        <w:t xml:space="preserve">‰) </w:t>
      </w:r>
      <w:r w:rsidRPr="009A2E44">
        <w:rPr>
          <w:rFonts w:ascii="Garamond" w:hAnsi="Garamond"/>
        </w:rPr>
        <w:t>approaching</w:t>
      </w:r>
      <w:r w:rsidR="00262A17" w:rsidRPr="009A2E44">
        <w:rPr>
          <w:rFonts w:ascii="Garamond" w:hAnsi="Garamond"/>
        </w:rPr>
        <w:t xml:space="preserve"> ‘Uvea’s aquifer</w:t>
      </w:r>
      <w:r w:rsidR="0092069E">
        <w:rPr>
          <w:rFonts w:ascii="Garamond" w:hAnsi="Garamond"/>
        </w:rPr>
        <w:t xml:space="preserve"> values</w:t>
      </w:r>
      <w:r w:rsidR="00262A17" w:rsidRPr="009A2E44">
        <w:rPr>
          <w:rFonts w:ascii="Garamond" w:hAnsi="Garamond"/>
        </w:rPr>
        <w:t xml:space="preserve"> </w:t>
      </w:r>
      <w:r w:rsidR="005D6D43" w:rsidRPr="009A2E44">
        <w:rPr>
          <w:rFonts w:ascii="Garamond" w:hAnsi="Garamond"/>
        </w:rPr>
        <w:t>(</w:t>
      </w:r>
      <w:r w:rsidR="005D6D43" w:rsidRPr="009A2E44">
        <w:rPr>
          <w:rFonts w:ascii="Garamond" w:hAnsi="Garamond"/>
          <w:color w:val="202020"/>
          <w:sz w:val="20"/>
          <w:szCs w:val="20"/>
          <w:shd w:val="clear" w:color="auto" w:fill="FFFFFF"/>
        </w:rPr>
        <w:t>−</w:t>
      </w:r>
      <w:r w:rsidR="005D6D43" w:rsidRPr="009A2E44">
        <w:rPr>
          <w:rFonts w:ascii="Garamond" w:hAnsi="Garamond"/>
        </w:rPr>
        <w:t>28</w:t>
      </w:r>
      <w:r w:rsidR="009E2872" w:rsidRPr="009A2E44">
        <w:rPr>
          <w:rFonts w:ascii="Garamond" w:hAnsi="Garamond"/>
        </w:rPr>
        <w:t xml:space="preserve"> </w:t>
      </w:r>
      <w:r w:rsidR="005D6D43" w:rsidRPr="009A2E44">
        <w:rPr>
          <w:rFonts w:ascii="Garamond" w:hAnsi="Garamond"/>
        </w:rPr>
        <w:t xml:space="preserve">‰) </w:t>
      </w:r>
      <w:r w:rsidR="00262A17" w:rsidRPr="009A2E44">
        <w:rPr>
          <w:rFonts w:ascii="Garamond" w:hAnsi="Garamond"/>
        </w:rPr>
        <w:t>(</w:t>
      </w:r>
      <w:r w:rsidR="00262A17" w:rsidRPr="009A2E44">
        <w:rPr>
          <w:rFonts w:ascii="Garamond" w:hAnsi="Garamond"/>
          <w:b/>
        </w:rPr>
        <w:t xml:space="preserve">Fig. </w:t>
      </w:r>
      <w:r w:rsidR="00F64053" w:rsidRPr="009A2E44">
        <w:rPr>
          <w:rFonts w:ascii="Garamond" w:hAnsi="Garamond"/>
          <w:b/>
        </w:rPr>
        <w:t>3</w:t>
      </w:r>
      <w:r w:rsidR="00262A17" w:rsidRPr="009A2E44">
        <w:rPr>
          <w:rFonts w:ascii="Garamond" w:hAnsi="Garamond"/>
        </w:rPr>
        <w:t xml:space="preserve">), suggesting a </w:t>
      </w:r>
      <w:r w:rsidR="004B71BE">
        <w:rPr>
          <w:rFonts w:ascii="Garamond" w:hAnsi="Garamond"/>
        </w:rPr>
        <w:t xml:space="preserve">(past </w:t>
      </w:r>
      <w:r w:rsidR="00020A26">
        <w:rPr>
          <w:rFonts w:ascii="Garamond" w:hAnsi="Garamond"/>
        </w:rPr>
        <w:t>and/</w:t>
      </w:r>
      <w:r w:rsidR="004B71BE">
        <w:rPr>
          <w:rFonts w:ascii="Garamond" w:hAnsi="Garamond"/>
        </w:rPr>
        <w:t xml:space="preserve">or present) </w:t>
      </w:r>
      <w:r w:rsidR="00262A17" w:rsidRPr="009A2E44">
        <w:rPr>
          <w:rFonts w:ascii="Garamond" w:hAnsi="Garamond"/>
        </w:rPr>
        <w:t xml:space="preserve">connection between </w:t>
      </w:r>
      <w:r w:rsidRPr="009A2E44">
        <w:rPr>
          <w:rFonts w:ascii="Garamond" w:hAnsi="Garamond"/>
        </w:rPr>
        <w:t>Lac Lanutavake</w:t>
      </w:r>
      <w:r w:rsidRPr="009A2E44" w:rsidDel="002762FF">
        <w:rPr>
          <w:rFonts w:ascii="Garamond" w:hAnsi="Garamond"/>
        </w:rPr>
        <w:t xml:space="preserve"> </w:t>
      </w:r>
      <w:r w:rsidR="00262A17" w:rsidRPr="009A2E44">
        <w:rPr>
          <w:rFonts w:ascii="Garamond" w:hAnsi="Garamond"/>
        </w:rPr>
        <w:t xml:space="preserve">and </w:t>
      </w:r>
      <w:r w:rsidRPr="009A2E44">
        <w:rPr>
          <w:rFonts w:ascii="Garamond" w:hAnsi="Garamond"/>
        </w:rPr>
        <w:t xml:space="preserve">‘Uvea’s </w:t>
      </w:r>
      <w:r w:rsidR="00262A17" w:rsidRPr="009A2E44">
        <w:rPr>
          <w:rFonts w:ascii="Garamond" w:hAnsi="Garamond"/>
        </w:rPr>
        <w:t xml:space="preserve">groundwater. </w:t>
      </w:r>
      <w:r w:rsidR="005D6D43" w:rsidRPr="009A2E44">
        <w:rPr>
          <w:rFonts w:ascii="Garamond" w:hAnsi="Garamond"/>
        </w:rPr>
        <w:t xml:space="preserve">The degree to which Lac Lanutavake is a surface expression of ‘Uvea’s aquifer </w:t>
      </w:r>
      <w:r w:rsidR="00D761C9" w:rsidRPr="009A2E44">
        <w:rPr>
          <w:rFonts w:ascii="Garamond" w:hAnsi="Garamond"/>
        </w:rPr>
        <w:t>might play a role in</w:t>
      </w:r>
      <w:r w:rsidR="008836E8" w:rsidRPr="009A2E44">
        <w:rPr>
          <w:rFonts w:ascii="Garamond" w:hAnsi="Garamond"/>
        </w:rPr>
        <w:t xml:space="preserve"> mut</w:t>
      </w:r>
      <w:r w:rsidR="00D761C9" w:rsidRPr="009A2E44">
        <w:rPr>
          <w:rFonts w:ascii="Garamond" w:hAnsi="Garamond"/>
        </w:rPr>
        <w:t>ing</w:t>
      </w:r>
      <w:r w:rsidR="008836E8" w:rsidRPr="009A2E44">
        <w:rPr>
          <w:rFonts w:ascii="Garamond" w:hAnsi="Garamond"/>
        </w:rPr>
        <w:t xml:space="preserve"> lake water isotop</w:t>
      </w:r>
      <w:r w:rsidR="005957A4" w:rsidRPr="009A2E44">
        <w:rPr>
          <w:rFonts w:ascii="Garamond" w:hAnsi="Garamond"/>
        </w:rPr>
        <w:t>ic</w:t>
      </w:r>
      <w:r w:rsidR="008836E8" w:rsidRPr="009A2E44">
        <w:rPr>
          <w:rFonts w:ascii="Garamond" w:hAnsi="Garamond"/>
        </w:rPr>
        <w:t xml:space="preserve"> variability </w:t>
      </w:r>
      <w:r w:rsidR="00D761C9" w:rsidRPr="009A2E44">
        <w:rPr>
          <w:rFonts w:ascii="Garamond" w:hAnsi="Garamond"/>
        </w:rPr>
        <w:t xml:space="preserve">(and therefore </w:t>
      </w:r>
      <w:r w:rsidR="005957A4" w:rsidRPr="009A2E44">
        <w:rPr>
          <w:rFonts w:ascii="Garamond" w:hAnsi="Garamond"/>
        </w:rPr>
        <w:t>variability</w:t>
      </w:r>
      <w:r w:rsidR="005957A4" w:rsidRPr="009A2E44">
        <w:rPr>
          <w:rFonts w:ascii="Garamond" w:hAnsi="Garamond"/>
          <w:iCs/>
        </w:rPr>
        <w:t xml:space="preserve"> in </w:t>
      </w:r>
      <w:r w:rsidR="00D761C9" w:rsidRPr="009A2E44">
        <w:rPr>
          <w:rFonts w:ascii="Garamond" w:hAnsi="Garamond"/>
          <w:iCs/>
        </w:rPr>
        <w:sym w:font="Symbol" w:char="F064"/>
      </w:r>
      <w:r w:rsidR="00D761C9" w:rsidRPr="009A2E44">
        <w:rPr>
          <w:rFonts w:ascii="Garamond" w:hAnsi="Garamond"/>
          <w:iCs/>
          <w:vertAlign w:val="superscript"/>
        </w:rPr>
        <w:t>2</w:t>
      </w:r>
      <w:r w:rsidR="00D761C9" w:rsidRPr="009A2E44">
        <w:rPr>
          <w:rFonts w:ascii="Garamond" w:hAnsi="Garamond"/>
          <w:iCs/>
        </w:rPr>
        <w:t>H</w:t>
      </w:r>
      <w:r w:rsidR="00D761C9" w:rsidRPr="009A2E44">
        <w:rPr>
          <w:rFonts w:ascii="Garamond" w:hAnsi="Garamond"/>
          <w:iCs/>
          <w:vertAlign w:val="subscript"/>
        </w:rPr>
        <w:t>dinosterol</w:t>
      </w:r>
      <w:r w:rsidR="005957A4" w:rsidRPr="009A2E44">
        <w:rPr>
          <w:rFonts w:ascii="Garamond" w:hAnsi="Garamond"/>
        </w:rPr>
        <w:t xml:space="preserve"> measurements)</w:t>
      </w:r>
      <w:r w:rsidR="00D761C9" w:rsidRPr="009A2E44">
        <w:rPr>
          <w:rFonts w:ascii="Garamond" w:hAnsi="Garamond"/>
        </w:rPr>
        <w:t xml:space="preserve"> </w:t>
      </w:r>
      <w:r w:rsidR="008836E8" w:rsidRPr="009A2E44">
        <w:rPr>
          <w:rFonts w:ascii="Garamond" w:hAnsi="Garamond"/>
        </w:rPr>
        <w:t>through time. Mixing between Lac Lanutavake</w:t>
      </w:r>
      <w:r w:rsidR="004B32D4" w:rsidRPr="009A2E44">
        <w:rPr>
          <w:rFonts w:ascii="Garamond" w:hAnsi="Garamond"/>
        </w:rPr>
        <w:t>’s surface waters</w:t>
      </w:r>
      <w:r w:rsidR="008836E8" w:rsidRPr="009A2E44">
        <w:rPr>
          <w:rFonts w:ascii="Garamond" w:hAnsi="Garamond"/>
        </w:rPr>
        <w:t xml:space="preserve"> and ‘Uvea’s aquifer </w:t>
      </w:r>
      <w:r w:rsidR="00EA56D8" w:rsidRPr="009A2E44">
        <w:rPr>
          <w:rFonts w:ascii="Garamond" w:hAnsi="Garamond"/>
        </w:rPr>
        <w:t>c</w:t>
      </w:r>
      <w:r w:rsidR="008836E8" w:rsidRPr="009A2E44">
        <w:rPr>
          <w:rFonts w:ascii="Garamond" w:hAnsi="Garamond"/>
        </w:rPr>
        <w:t xml:space="preserve">ould dampen </w:t>
      </w:r>
      <w:r w:rsidR="00E82BC1" w:rsidRPr="009A2E44">
        <w:rPr>
          <w:rFonts w:ascii="Garamond" w:hAnsi="Garamond"/>
        </w:rPr>
        <w:t xml:space="preserve">the depletion/enrichment effects of </w:t>
      </w:r>
      <w:r w:rsidR="008836E8" w:rsidRPr="009A2E44">
        <w:rPr>
          <w:rFonts w:ascii="Garamond" w:hAnsi="Garamond"/>
        </w:rPr>
        <w:t xml:space="preserve">precipitation/evaporation </w:t>
      </w:r>
      <w:r w:rsidR="00E82BC1" w:rsidRPr="009A2E44">
        <w:rPr>
          <w:rFonts w:ascii="Garamond" w:hAnsi="Garamond"/>
        </w:rPr>
        <w:t>on</w:t>
      </w:r>
      <w:r w:rsidR="008836E8" w:rsidRPr="009A2E44">
        <w:rPr>
          <w:rFonts w:ascii="Garamond" w:hAnsi="Garamond"/>
        </w:rPr>
        <w:t xml:space="preserve"> </w:t>
      </w:r>
      <w:r w:rsidR="008836E8" w:rsidRPr="009A2E44">
        <w:rPr>
          <w:rFonts w:ascii="Garamond" w:hAnsi="Garamond"/>
        </w:rPr>
        <w:sym w:font="Symbol" w:char="F064"/>
      </w:r>
      <w:r w:rsidR="008836E8" w:rsidRPr="009A2E44">
        <w:rPr>
          <w:rFonts w:ascii="Garamond" w:hAnsi="Garamond"/>
          <w:vertAlign w:val="superscript"/>
        </w:rPr>
        <w:t>2</w:t>
      </w:r>
      <w:r w:rsidR="008836E8" w:rsidRPr="009A2E44">
        <w:rPr>
          <w:rFonts w:ascii="Garamond" w:hAnsi="Garamond"/>
        </w:rPr>
        <w:t>H</w:t>
      </w:r>
      <w:r w:rsidR="008836E8" w:rsidRPr="009A2E44">
        <w:rPr>
          <w:rFonts w:ascii="Garamond" w:hAnsi="Garamond"/>
          <w:vertAlign w:val="subscript"/>
        </w:rPr>
        <w:t>lakewater</w:t>
      </w:r>
      <w:r w:rsidR="008836E8" w:rsidRPr="009A2E44">
        <w:rPr>
          <w:rFonts w:ascii="Garamond" w:hAnsi="Garamond"/>
        </w:rPr>
        <w:t xml:space="preserve"> since groundwater does not experience extensive evaporative enrichment, groundwater recharge is biased towards </w:t>
      </w:r>
      <w:r w:rsidR="00EA56D8" w:rsidRPr="009A2E44">
        <w:rPr>
          <w:rFonts w:ascii="Garamond" w:hAnsi="Garamond"/>
        </w:rPr>
        <w:t>heavy</w:t>
      </w:r>
      <w:r w:rsidR="008836E8" w:rsidRPr="009A2E44">
        <w:rPr>
          <w:rFonts w:ascii="Garamond" w:hAnsi="Garamond"/>
        </w:rPr>
        <w:t xml:space="preserve"> (</w:t>
      </w:r>
      <w:r w:rsidR="008836E8" w:rsidRPr="009A2E44">
        <w:rPr>
          <w:rFonts w:ascii="Garamond" w:hAnsi="Garamond"/>
          <w:vertAlign w:val="superscript"/>
        </w:rPr>
        <w:t>2</w:t>
      </w:r>
      <w:r w:rsidR="008836E8" w:rsidRPr="009A2E44">
        <w:rPr>
          <w:rFonts w:ascii="Garamond" w:hAnsi="Garamond"/>
        </w:rPr>
        <w:t xml:space="preserve">H-depleted) </w:t>
      </w:r>
      <w:r w:rsidR="008836E8" w:rsidRPr="009A2E44">
        <w:rPr>
          <w:rFonts w:ascii="Garamond" w:hAnsi="Garamond"/>
        </w:rPr>
        <w:lastRenderedPageBreak/>
        <w:t xml:space="preserve">rainfall events/seasons </w:t>
      </w:r>
      <w:r w:rsidR="008836E8" w:rsidRPr="009A2E44">
        <w:rPr>
          <w:rFonts w:ascii="Garamond" w:hAnsi="Garamond"/>
        </w:rPr>
        <w:fldChar w:fldCharType="begin" w:fldLock="1"/>
      </w:r>
      <w:r w:rsidR="00B05C30" w:rsidRPr="009A2E44">
        <w:rPr>
          <w:rFonts w:ascii="Garamond" w:hAnsi="Garamond"/>
        </w:rPr>
        <w:instrText>ADDIN CSL_CITATION {"citationItems":[{"id":"ITEM-1","itemData":{"DOI":"10.1029/2018JD028413","ISSN":"21698996","abstract":"Stable water isotopes are useful tracers in the groundwater recharge studies, where the local meteoric water line (LMWL) usually serves as a reference line and the amount-weighted average value of precipitation is regarded as the input meteoric signal. Based on a comparison of isotope composition between precipitation and groundwater collected from a groundwater basin in the Beijing area, we verify that small precipitation events do not constitute effective groundwater recharge in a (semi) arid region, causing that the isotopes in groundwater are biased toward the meteoric isotopic signal of heavy rainfall events. The positive deflections in groundwater levels from a phreatic aquifer in Yanqing Basin in the Northwest of Beijing revealed that recharge occurs exclusively during the rainy seasons and is clearly associated with heavy rainfall events (&gt;10 mm/day). The isotope composition of groundwater samples that plot far below the mean meteoric input value, further strengthen the dependence of groundwater recharge on heavy rainfall events. We construct the LMWLs with different regression methods using daily stable isotope data from seven hydro-meteorological stations over a hydrological year. When the δ18O ranges from −20‰ to 10‰, the lines are quite similar regressed by the weighted monthly values and by heavy rainfall events, so the conventional LMWL can still serve as the reference line for groundwater recharge studies.","author":[{"dropping-particle":"","family":"Li","given":"Jie","non-dropping-particle":"","parse-names":false,"suffix":""},{"dropping-particle":"","family":"Pang","given":"Zhonghe","non-dropping-particle":"","parse-names":false,"suffix":""},{"dropping-particle":"","family":"Kong","given":"Yanlong","non-dropping-particle":"","parse-names":false,"suffix":""},{"dropping-particle":"","family":"Wang","given":"Shufang","non-dropping-particle":"","parse-names":false,"suffix":""},{"dropping-particle":"","family":"Bai","given":"Guoying","non-dropping-particle":"","parse-names":false,"suffix":""},{"dropping-particle":"","family":"Zhao","given":"Hongyi","non-dropping-particle":"","parse-names":false,"suffix":""},{"dropping-particle":"","family":"Zhou","given":"Dong","non-dropping-particle":"","parse-names":false,"suffix":""},{"dropping-particle":"","family":"Sun","given":"Feng","non-dropping-particle":"","parse-names":false,"suffix":""},{"dropping-particle":"","family":"Yang","given":"Zhongshan","non-dropping-particle":"","parse-names":false,"suffix":""}],"container-title":"Journal of Geophysical Research: Atmospheres","id":"ITEM-1","issued":{"date-parts":[["2018"]]},"page":"6259-6266","title":"Groundwater isotopes biased toward heavy rainfall events and implications on the local meteoric water line","type":"article-journal","volume":"123"},"uris":["http://www.mendeley.com/documents/?uuid=e04bb018-bf83-46d0-9f8b-a0720b46364b"]}],"mendeley":{"formattedCitation":"(Li et al., 2018)","manualFormatting":"(e.g., Li et al., 2018)","plainTextFormattedCitation":"(Li et al., 2018)","previouslyFormattedCitation":"(Li et al., 2018)"},"properties":{"noteIndex":0},"schema":"https://github.com/citation-style-language/schema/raw/master/csl-citation.json"}</w:instrText>
      </w:r>
      <w:r w:rsidR="008836E8" w:rsidRPr="009A2E44">
        <w:rPr>
          <w:rFonts w:ascii="Garamond" w:hAnsi="Garamond"/>
        </w:rPr>
        <w:fldChar w:fldCharType="separate"/>
      </w:r>
      <w:r w:rsidR="008836E8" w:rsidRPr="009A2E44">
        <w:rPr>
          <w:rFonts w:ascii="Garamond" w:hAnsi="Garamond"/>
          <w:noProof/>
        </w:rPr>
        <w:t>(</w:t>
      </w:r>
      <w:r w:rsidR="00DB4B10" w:rsidRPr="009A2E44">
        <w:rPr>
          <w:rFonts w:ascii="Garamond" w:hAnsi="Garamond"/>
          <w:noProof/>
        </w:rPr>
        <w:t>e.g.</w:t>
      </w:r>
      <w:r w:rsidR="0076251E" w:rsidRPr="009A2E44">
        <w:rPr>
          <w:rFonts w:ascii="Garamond" w:hAnsi="Garamond"/>
          <w:noProof/>
        </w:rPr>
        <w:t>,</w:t>
      </w:r>
      <w:r w:rsidR="00DB4B10" w:rsidRPr="009A2E44">
        <w:rPr>
          <w:rFonts w:ascii="Garamond" w:hAnsi="Garamond"/>
          <w:noProof/>
        </w:rPr>
        <w:t xml:space="preserve"> </w:t>
      </w:r>
      <w:r w:rsidR="008836E8" w:rsidRPr="009A2E44">
        <w:rPr>
          <w:rFonts w:ascii="Garamond" w:hAnsi="Garamond"/>
          <w:noProof/>
        </w:rPr>
        <w:t>Li et al., 2018)</w:t>
      </w:r>
      <w:r w:rsidR="008836E8" w:rsidRPr="009A2E44">
        <w:rPr>
          <w:rFonts w:ascii="Garamond" w:hAnsi="Garamond"/>
        </w:rPr>
        <w:fldChar w:fldCharType="end"/>
      </w:r>
      <w:r w:rsidR="008836E8" w:rsidRPr="009A2E44">
        <w:rPr>
          <w:rFonts w:ascii="Garamond" w:hAnsi="Garamond"/>
        </w:rPr>
        <w:t xml:space="preserve">, and groundwater </w:t>
      </w:r>
      <w:r w:rsidR="00EA56D8" w:rsidRPr="009A2E44">
        <w:rPr>
          <w:rFonts w:ascii="Garamond" w:hAnsi="Garamond"/>
          <w:vertAlign w:val="superscript"/>
        </w:rPr>
        <w:t>2</w:t>
      </w:r>
      <w:r w:rsidR="00EA56D8" w:rsidRPr="009A2E44">
        <w:rPr>
          <w:rFonts w:ascii="Garamond" w:hAnsi="Garamond"/>
        </w:rPr>
        <w:t>H/</w:t>
      </w:r>
      <w:r w:rsidR="00EA56D8" w:rsidRPr="009A2E44">
        <w:rPr>
          <w:rFonts w:ascii="Garamond" w:hAnsi="Garamond"/>
          <w:vertAlign w:val="superscript"/>
        </w:rPr>
        <w:t>1</w:t>
      </w:r>
      <w:r w:rsidR="00EA56D8" w:rsidRPr="009A2E44">
        <w:rPr>
          <w:rFonts w:ascii="Garamond" w:hAnsi="Garamond"/>
        </w:rPr>
        <w:t>H ratios from Tutuila</w:t>
      </w:r>
      <w:r w:rsidR="006F7E8B" w:rsidRPr="009A2E44">
        <w:rPr>
          <w:rFonts w:ascii="Garamond" w:hAnsi="Garamond"/>
        </w:rPr>
        <w:t xml:space="preserve"> (</w:t>
      </w:r>
      <w:r w:rsidR="00EA56D8" w:rsidRPr="009A2E44">
        <w:rPr>
          <w:rFonts w:ascii="Garamond" w:hAnsi="Garamond"/>
        </w:rPr>
        <w:t>American Samoa</w:t>
      </w:r>
      <w:r w:rsidR="006F7E8B" w:rsidRPr="009A2E44">
        <w:rPr>
          <w:rFonts w:ascii="Garamond" w:hAnsi="Garamond"/>
        </w:rPr>
        <w:t>)</w:t>
      </w:r>
      <w:r w:rsidR="00EA56D8" w:rsidRPr="009A2E44">
        <w:rPr>
          <w:rFonts w:ascii="Garamond" w:hAnsi="Garamond"/>
        </w:rPr>
        <w:t>,</w:t>
      </w:r>
      <w:r w:rsidR="008836E8" w:rsidRPr="009A2E44">
        <w:rPr>
          <w:rFonts w:ascii="Garamond" w:hAnsi="Garamond"/>
        </w:rPr>
        <w:t xml:space="preserve"> an island with similar geology to ‘Uvea</w:t>
      </w:r>
      <w:r w:rsidR="00EA56D8" w:rsidRPr="009A2E44">
        <w:rPr>
          <w:rFonts w:ascii="Garamond" w:hAnsi="Garamond"/>
        </w:rPr>
        <w:t>,</w:t>
      </w:r>
      <w:r w:rsidR="008836E8" w:rsidRPr="009A2E44">
        <w:rPr>
          <w:rFonts w:ascii="Garamond" w:hAnsi="Garamond"/>
        </w:rPr>
        <w:t xml:space="preserve"> are stable </w:t>
      </w:r>
      <w:r w:rsidR="00C73017">
        <w:rPr>
          <w:rFonts w:ascii="Garamond" w:hAnsi="Garamond"/>
        </w:rPr>
        <w:t xml:space="preserve">around </w:t>
      </w:r>
      <w:r w:rsidR="00C9716A" w:rsidRPr="009A2E44">
        <w:rPr>
          <w:rFonts w:ascii="Garamond" w:hAnsi="Garamond"/>
          <w:color w:val="202020"/>
          <w:sz w:val="20"/>
          <w:szCs w:val="20"/>
          <w:shd w:val="clear" w:color="auto" w:fill="FFFFFF"/>
        </w:rPr>
        <w:t>−</w:t>
      </w:r>
      <w:r w:rsidR="00C9716A" w:rsidRPr="009A2E44">
        <w:rPr>
          <w:rFonts w:ascii="Garamond" w:hAnsi="Garamond"/>
        </w:rPr>
        <w:t>20</w:t>
      </w:r>
      <w:r w:rsidR="009E2872" w:rsidRPr="009A2E44">
        <w:rPr>
          <w:rFonts w:ascii="Garamond" w:hAnsi="Garamond"/>
        </w:rPr>
        <w:t xml:space="preserve"> </w:t>
      </w:r>
      <w:r w:rsidR="00C9716A" w:rsidRPr="009A2E44">
        <w:rPr>
          <w:rFonts w:ascii="Garamond" w:hAnsi="Garamond"/>
        </w:rPr>
        <w:t xml:space="preserve">‰ </w:t>
      </w:r>
      <w:r w:rsidR="00262A17" w:rsidRPr="009A2E44">
        <w:rPr>
          <w:rFonts w:ascii="Garamond" w:hAnsi="Garamond"/>
        </w:rPr>
        <w:t>despite</w:t>
      </w:r>
      <w:r w:rsidR="008836E8" w:rsidRPr="009A2E44">
        <w:rPr>
          <w:rFonts w:ascii="Garamond" w:hAnsi="Garamond"/>
        </w:rPr>
        <w:t xml:space="preserve"> </w:t>
      </w:r>
      <w:r w:rsidR="00262A17" w:rsidRPr="009A2E44">
        <w:rPr>
          <w:rFonts w:ascii="Garamond" w:hAnsi="Garamond"/>
        </w:rPr>
        <w:t>large (</w:t>
      </w:r>
      <w:r w:rsidR="00C9716A" w:rsidRPr="009A2E44">
        <w:rPr>
          <w:rFonts w:ascii="Garamond" w:hAnsi="Garamond"/>
        </w:rPr>
        <w:t>~</w:t>
      </w:r>
      <w:r w:rsidR="00262A17" w:rsidRPr="009A2E44">
        <w:rPr>
          <w:rFonts w:ascii="Garamond" w:hAnsi="Garamond"/>
        </w:rPr>
        <w:t>60</w:t>
      </w:r>
      <w:r w:rsidR="009E2872" w:rsidRPr="009A2E44">
        <w:rPr>
          <w:rFonts w:ascii="Garamond" w:hAnsi="Garamond"/>
        </w:rPr>
        <w:t xml:space="preserve"> </w:t>
      </w:r>
      <w:r w:rsidR="00262A17" w:rsidRPr="009A2E44">
        <w:rPr>
          <w:rFonts w:ascii="Garamond" w:hAnsi="Garamond"/>
        </w:rPr>
        <w:t xml:space="preserve">‰) seasonal shifts in </w:t>
      </w:r>
      <w:r w:rsidR="00262A17" w:rsidRPr="009A2E44">
        <w:rPr>
          <w:rFonts w:ascii="Garamond" w:hAnsi="Garamond"/>
          <w:iCs/>
        </w:rPr>
        <w:sym w:font="Symbol" w:char="F064"/>
      </w:r>
      <w:r w:rsidR="00262A17" w:rsidRPr="009A2E44">
        <w:rPr>
          <w:rFonts w:ascii="Garamond" w:hAnsi="Garamond"/>
          <w:iCs/>
          <w:vertAlign w:val="superscript"/>
        </w:rPr>
        <w:t>2</w:t>
      </w:r>
      <w:r w:rsidR="00262A17" w:rsidRPr="009A2E44">
        <w:rPr>
          <w:rFonts w:ascii="Garamond" w:hAnsi="Garamond"/>
          <w:iCs/>
        </w:rPr>
        <w:t>H</w:t>
      </w:r>
      <w:r w:rsidR="00262A17" w:rsidRPr="009A2E44">
        <w:rPr>
          <w:rFonts w:ascii="Garamond" w:hAnsi="Garamond"/>
          <w:iCs/>
          <w:vertAlign w:val="subscript"/>
        </w:rPr>
        <w:t>precipitation</w:t>
      </w:r>
      <w:r w:rsidR="00262A17" w:rsidRPr="009A2E44">
        <w:rPr>
          <w:rFonts w:ascii="Garamond" w:hAnsi="Garamond"/>
        </w:rPr>
        <w:t xml:space="preserve"> </w:t>
      </w:r>
      <w:r w:rsidR="008836E8" w:rsidRPr="009A2E44">
        <w:rPr>
          <w:rFonts w:ascii="Garamond" w:hAnsi="Garamond"/>
        </w:rPr>
        <w:fldChar w:fldCharType="begin" w:fldLock="1"/>
      </w:r>
      <w:r w:rsidR="00D04FB8">
        <w:rPr>
          <w:rFonts w:ascii="Garamond" w:hAnsi="Garamond"/>
        </w:rPr>
        <w:instrText>ADDIN CSL_CITATION {"citationItems":[{"id":"ITEM-1","itemData":{"DOI":"10.1111/gwmr.12299","ISSN":"17456592","abstract":"Wells designated as groundwater under the direct influence (GUDI) of surface water have caused an ongoing boil-water advisory afflicting the island of Tutuila, American Samoa for almost a decade. Regulatory testing at these wells found turbidity and indicator bacteria spikes correlated with heavy rainfall events. However, the mechanism of this contamination has, until now, remained unknown. Surface water may reach wells through improperly sealed well casings, or through the aquifer matrix itself. In this study, three independent surface water tracers, turbidity, indicator bacteria, and water isotopes were used to assess recharge timing and determine contamination mechanisms. Results from each method were reasonably consistent, revealing average GUDI well breakthrough times of 37 ± 21 h for turbidity, 18 to 63 h for bacteria, and 1 to 5 days for water isotopes. These times match well with estimated subsurface flow rates through highly permeable aquifer materials. In contrast, where one well casing was found to be compromised, turbidity breakthrough was observed at 3 to 4 h. These results support local management decisions and show repairing or replacing wells will likely result in continued GUDI contamination. Additionally, differences in observed rainfall response for each tracer provide insight into the recharge dynamics and subsurface flow characteristics of this and other highly conductive young-basaltic aquifers.","author":[{"dropping-particle":"","family":"Shuler","given":"Christopher K.","non-dropping-particle":"","parse-names":false,"suffix":""},{"dropping-particle":"","family":"Dulai","given":"Henrietta","non-dropping-particle":"","parse-names":false,"suffix":""},{"dropping-particle":"","family":"DeWees","given":"Randel","non-dropping-particle":"","parse-names":false,"suffix":""},{"dropping-particle":"","family":"Kirs","given":"Marek","non-dropping-particle":"","parse-names":false,"suffix":""},{"dropping-particle":"","family":"Glenn","given":"Craig R.","non-dropping-particle":"","parse-names":false,"suffix":""},{"dropping-particle":"","family":"El-Kadi","given":"Aly I.","non-dropping-particle":"","parse-names":false,"suffix":""}],"container-title":"Groundwater Monitoring and Remediation","id":"ITEM-1","issue":"1","issued":{"date-parts":[["2019"]]},"page":"20-35","title":"Isotopes, microbes, and turbidity: A multi-tracer approach to understanding recharge dynamics and groundwater contamination in a basaltic island aquifer","type":"article-journal","volume":"39"},"uris":["http://www.mendeley.com/documents/?uuid=dce99ba7-fa49-48ce-8d80-c6351d980959"]}],"mendeley":{"formattedCitation":"(Shuler et al., 2019)","plainTextFormattedCitation":"(Shuler et al., 2019)","previouslyFormattedCitation":"(Shuler et al., 2019)"},"properties":{"noteIndex":0},"schema":"https://github.com/citation-style-language/schema/raw/master/csl-citation.json"}</w:instrText>
      </w:r>
      <w:r w:rsidR="008836E8" w:rsidRPr="009A2E44">
        <w:rPr>
          <w:rFonts w:ascii="Garamond" w:hAnsi="Garamond"/>
        </w:rPr>
        <w:fldChar w:fldCharType="separate"/>
      </w:r>
      <w:r w:rsidR="008836E8" w:rsidRPr="009A2E44">
        <w:rPr>
          <w:rFonts w:ascii="Garamond" w:hAnsi="Garamond"/>
          <w:noProof/>
        </w:rPr>
        <w:t>(Shuler et al., 2019)</w:t>
      </w:r>
      <w:r w:rsidR="008836E8" w:rsidRPr="009A2E44">
        <w:rPr>
          <w:rFonts w:ascii="Garamond" w:hAnsi="Garamond"/>
        </w:rPr>
        <w:fldChar w:fldCharType="end"/>
      </w:r>
      <w:r w:rsidR="008836E8" w:rsidRPr="009A2E44">
        <w:rPr>
          <w:rFonts w:ascii="Garamond" w:hAnsi="Garamond"/>
        </w:rPr>
        <w:t xml:space="preserve">. </w:t>
      </w:r>
      <w:r w:rsidRPr="009A2E44">
        <w:rPr>
          <w:rFonts w:ascii="Garamond" w:hAnsi="Garamond"/>
        </w:rPr>
        <w:t xml:space="preserve">Since </w:t>
      </w:r>
      <w:r w:rsidR="009B7CD4" w:rsidRPr="009A2E44">
        <w:rPr>
          <w:rFonts w:ascii="Garamond" w:hAnsi="Garamond"/>
        </w:rPr>
        <w:t xml:space="preserve">Lac Lanutavake’s </w:t>
      </w:r>
      <w:r w:rsidR="00F076AC" w:rsidRPr="009A2E44">
        <w:rPr>
          <w:rFonts w:ascii="Garamond" w:hAnsi="Garamond"/>
        </w:rPr>
        <w:t>magnetic susceptibility</w:t>
      </w:r>
      <w:r w:rsidR="009B7CD4" w:rsidRPr="009A2E44">
        <w:rPr>
          <w:rFonts w:ascii="Garamond" w:hAnsi="Garamond"/>
        </w:rPr>
        <w:t xml:space="preserve"> records </w:t>
      </w:r>
      <w:r w:rsidR="00E10C21">
        <w:rPr>
          <w:rFonts w:ascii="Garamond" w:hAnsi="Garamond"/>
        </w:rPr>
        <w:t xml:space="preserve">more clearly </w:t>
      </w:r>
      <w:r w:rsidR="009B7CD4" w:rsidRPr="009A2E44">
        <w:rPr>
          <w:rFonts w:ascii="Garamond" w:hAnsi="Garamond"/>
        </w:rPr>
        <w:t>indicate a dry MCA</w:t>
      </w:r>
      <w:r w:rsidRPr="009A2E44">
        <w:rPr>
          <w:rFonts w:ascii="Garamond" w:hAnsi="Garamond"/>
        </w:rPr>
        <w:t xml:space="preserve">, it is </w:t>
      </w:r>
      <w:r w:rsidR="00205B3A" w:rsidRPr="009A2E44">
        <w:rPr>
          <w:rFonts w:ascii="Garamond" w:hAnsi="Garamond"/>
        </w:rPr>
        <w:t xml:space="preserve">possible </w:t>
      </w:r>
      <w:r w:rsidRPr="009A2E44">
        <w:rPr>
          <w:rFonts w:ascii="Garamond" w:hAnsi="Garamond"/>
        </w:rPr>
        <w:t xml:space="preserve">that a lake-groundwater connection at this site results in a </w:t>
      </w:r>
      <w:r w:rsidR="00205B3A" w:rsidRPr="009A2E44">
        <w:rPr>
          <w:rFonts w:ascii="Garamond" w:hAnsi="Garamond"/>
        </w:rPr>
        <w:t>damp</w:t>
      </w:r>
      <w:r w:rsidR="00DF6360" w:rsidRPr="009A2E44">
        <w:rPr>
          <w:rFonts w:ascii="Garamond" w:hAnsi="Garamond"/>
        </w:rPr>
        <w:t>en</w:t>
      </w:r>
      <w:r w:rsidR="00205B3A" w:rsidRPr="009A2E44">
        <w:rPr>
          <w:rFonts w:ascii="Garamond" w:hAnsi="Garamond"/>
        </w:rPr>
        <w:t xml:space="preserve">ing </w:t>
      </w:r>
      <w:r w:rsidR="00DF6360" w:rsidRPr="009A2E44">
        <w:rPr>
          <w:rFonts w:ascii="Garamond" w:hAnsi="Garamond"/>
        </w:rPr>
        <w:t>of</w:t>
      </w:r>
      <w:r w:rsidR="00205B3A" w:rsidRPr="009A2E44">
        <w:rPr>
          <w:rFonts w:ascii="Garamond" w:hAnsi="Garamond"/>
        </w:rPr>
        <w:t xml:space="preserve"> </w:t>
      </w:r>
      <w:r w:rsidR="00205B3A" w:rsidRPr="009A2E44">
        <w:rPr>
          <w:rFonts w:ascii="Garamond" w:hAnsi="Garamond"/>
        </w:rPr>
        <w:sym w:font="Symbol" w:char="F064"/>
      </w:r>
      <w:r w:rsidR="00205B3A" w:rsidRPr="009A2E44">
        <w:rPr>
          <w:rFonts w:ascii="Garamond" w:hAnsi="Garamond"/>
          <w:vertAlign w:val="superscript"/>
        </w:rPr>
        <w:t>2</w:t>
      </w:r>
      <w:r w:rsidR="00205B3A" w:rsidRPr="009A2E44">
        <w:rPr>
          <w:rFonts w:ascii="Garamond" w:hAnsi="Garamond"/>
        </w:rPr>
        <w:t>H</w:t>
      </w:r>
      <w:r w:rsidR="00205B3A" w:rsidRPr="009A2E44">
        <w:rPr>
          <w:rFonts w:ascii="Garamond" w:hAnsi="Garamond"/>
          <w:vertAlign w:val="subscript"/>
        </w:rPr>
        <w:t>lakewater</w:t>
      </w:r>
      <w:r w:rsidR="00205B3A" w:rsidRPr="009A2E44">
        <w:rPr>
          <w:rFonts w:ascii="Garamond" w:hAnsi="Garamond"/>
          <w:iCs/>
        </w:rPr>
        <w:t xml:space="preserve"> </w:t>
      </w:r>
      <w:r w:rsidRPr="009A2E44">
        <w:rPr>
          <w:rFonts w:ascii="Garamond" w:hAnsi="Garamond"/>
          <w:iCs/>
        </w:rPr>
        <w:t>(</w:t>
      </w:r>
      <w:r w:rsidR="00205B3A" w:rsidRPr="009A2E44">
        <w:rPr>
          <w:rFonts w:ascii="Garamond" w:hAnsi="Garamond"/>
          <w:iCs/>
        </w:rPr>
        <w:t>and</w:t>
      </w:r>
      <w:r w:rsidRPr="009A2E44">
        <w:rPr>
          <w:rFonts w:ascii="Garamond" w:hAnsi="Garamond"/>
          <w:iCs/>
        </w:rPr>
        <w:t xml:space="preserve"> therefore</w:t>
      </w:r>
      <w:r w:rsidR="00205B3A" w:rsidRPr="009A2E44">
        <w:rPr>
          <w:rFonts w:ascii="Garamond" w:hAnsi="Garamond"/>
          <w:iCs/>
        </w:rPr>
        <w:t xml:space="preserve"> </w:t>
      </w:r>
      <w:r w:rsidR="00205B3A" w:rsidRPr="009A2E44">
        <w:rPr>
          <w:rFonts w:ascii="Garamond" w:hAnsi="Garamond"/>
          <w:iCs/>
        </w:rPr>
        <w:sym w:font="Symbol" w:char="F064"/>
      </w:r>
      <w:r w:rsidR="00205B3A" w:rsidRPr="009A2E44">
        <w:rPr>
          <w:rFonts w:ascii="Garamond" w:hAnsi="Garamond"/>
          <w:iCs/>
          <w:vertAlign w:val="superscript"/>
        </w:rPr>
        <w:t>2</w:t>
      </w:r>
      <w:r w:rsidR="00205B3A" w:rsidRPr="009A2E44">
        <w:rPr>
          <w:rFonts w:ascii="Garamond" w:hAnsi="Garamond"/>
          <w:iCs/>
        </w:rPr>
        <w:t>H</w:t>
      </w:r>
      <w:r w:rsidR="00205B3A" w:rsidRPr="009A2E44">
        <w:rPr>
          <w:rFonts w:ascii="Garamond" w:hAnsi="Garamond"/>
          <w:iCs/>
          <w:vertAlign w:val="subscript"/>
        </w:rPr>
        <w:t>dinosterol</w:t>
      </w:r>
      <w:r w:rsidRPr="009A2E44">
        <w:rPr>
          <w:rFonts w:ascii="Garamond" w:hAnsi="Garamond"/>
        </w:rPr>
        <w:t xml:space="preserve">) </w:t>
      </w:r>
      <w:r w:rsidR="00205B3A" w:rsidRPr="009A2E44">
        <w:rPr>
          <w:rFonts w:ascii="Garamond" w:hAnsi="Garamond"/>
        </w:rPr>
        <w:t xml:space="preserve">values. </w:t>
      </w:r>
    </w:p>
    <w:p w14:paraId="5AA408F4" w14:textId="2467121D" w:rsidR="0094456F" w:rsidRPr="009A2E44" w:rsidRDefault="008836E8" w:rsidP="001C47D3">
      <w:pPr>
        <w:spacing w:line="480" w:lineRule="auto"/>
        <w:rPr>
          <w:rFonts w:ascii="Garamond" w:hAnsi="Garamond"/>
          <w:iCs/>
        </w:rPr>
      </w:pPr>
      <w:r w:rsidRPr="009A2E44">
        <w:rPr>
          <w:rFonts w:ascii="Garamond" w:hAnsi="Garamond"/>
          <w:iCs/>
        </w:rPr>
        <w:tab/>
      </w:r>
      <w:r w:rsidR="001D2B73" w:rsidRPr="009A2E44">
        <w:rPr>
          <w:rFonts w:ascii="Garamond" w:hAnsi="Garamond"/>
          <w:iCs/>
        </w:rPr>
        <w:t>Alternatively,</w:t>
      </w:r>
      <w:r w:rsidR="00D761C9" w:rsidRPr="009A2E44">
        <w:rPr>
          <w:rFonts w:ascii="Garamond" w:hAnsi="Garamond"/>
          <w:iCs/>
        </w:rPr>
        <w:t xml:space="preserve"> </w:t>
      </w:r>
      <w:r w:rsidRPr="009A2E44">
        <w:rPr>
          <w:rFonts w:ascii="Garamond" w:hAnsi="Garamond"/>
          <w:iCs/>
        </w:rPr>
        <w:t>‘Uvea’s location</w:t>
      </w:r>
      <w:r w:rsidR="004B32D4" w:rsidRPr="009A2E44">
        <w:rPr>
          <w:rFonts w:ascii="Garamond" w:hAnsi="Garamond"/>
          <w:iCs/>
        </w:rPr>
        <w:t xml:space="preserve"> </w:t>
      </w:r>
      <w:r w:rsidR="00675836" w:rsidRPr="009A2E44">
        <w:rPr>
          <w:rFonts w:ascii="Garamond" w:hAnsi="Garamond"/>
          <w:iCs/>
        </w:rPr>
        <w:t>along</w:t>
      </w:r>
      <w:r w:rsidR="00CC1A6A" w:rsidRPr="009A2E44">
        <w:rPr>
          <w:rFonts w:ascii="Garamond" w:hAnsi="Garamond"/>
          <w:iCs/>
        </w:rPr>
        <w:t xml:space="preserve"> the</w:t>
      </w:r>
      <w:r w:rsidR="004B32D4" w:rsidRPr="009A2E44">
        <w:rPr>
          <w:rFonts w:ascii="Garamond" w:hAnsi="Garamond"/>
          <w:iCs/>
        </w:rPr>
        <w:t xml:space="preserve"> central SPCZ axis</w:t>
      </w:r>
      <w:r w:rsidRPr="009A2E44">
        <w:rPr>
          <w:rFonts w:ascii="Garamond" w:hAnsi="Garamond"/>
          <w:iCs/>
        </w:rPr>
        <w:t xml:space="preserve"> </w:t>
      </w:r>
      <w:r w:rsidR="004B32D4" w:rsidRPr="009A2E44">
        <w:rPr>
          <w:rFonts w:ascii="Garamond" w:hAnsi="Garamond"/>
          <w:iCs/>
        </w:rPr>
        <w:t xml:space="preserve">may </w:t>
      </w:r>
      <w:r w:rsidR="00CC1A6A" w:rsidRPr="009A2E44">
        <w:rPr>
          <w:rFonts w:ascii="Garamond" w:hAnsi="Garamond"/>
          <w:iCs/>
        </w:rPr>
        <w:t xml:space="preserve">be responsible for </w:t>
      </w:r>
      <w:r w:rsidR="002E29D0" w:rsidRPr="009A2E44">
        <w:rPr>
          <w:rFonts w:ascii="Garamond" w:hAnsi="Garamond"/>
          <w:iCs/>
        </w:rPr>
        <w:t xml:space="preserve">the </w:t>
      </w:r>
      <w:r w:rsidR="00E82BC1" w:rsidRPr="009A2E44">
        <w:rPr>
          <w:rFonts w:ascii="Garamond" w:hAnsi="Garamond"/>
          <w:iCs/>
        </w:rPr>
        <w:t>smaller</w:t>
      </w:r>
      <w:r w:rsidR="004B32D4" w:rsidRPr="009A2E44">
        <w:rPr>
          <w:rFonts w:ascii="Garamond" w:hAnsi="Garamond"/>
          <w:iCs/>
        </w:rPr>
        <w:t xml:space="preserve"> </w:t>
      </w:r>
      <w:r w:rsidR="00CC1A6A" w:rsidRPr="009A2E44">
        <w:rPr>
          <w:rFonts w:ascii="Garamond" w:hAnsi="Garamond"/>
          <w:iCs/>
        </w:rPr>
        <w:t xml:space="preserve">MCA </w:t>
      </w:r>
      <w:r w:rsidR="00E82BC1" w:rsidRPr="009A2E44">
        <w:rPr>
          <w:rFonts w:ascii="Garamond" w:hAnsi="Garamond"/>
          <w:iCs/>
        </w:rPr>
        <w:t>drying signal</w:t>
      </w:r>
      <w:r w:rsidR="004B32D4" w:rsidRPr="009A2E44">
        <w:rPr>
          <w:rFonts w:ascii="Garamond" w:hAnsi="Garamond"/>
          <w:iCs/>
        </w:rPr>
        <w:t xml:space="preserve"> </w:t>
      </w:r>
      <w:r w:rsidR="002762FF" w:rsidRPr="009A2E44">
        <w:rPr>
          <w:rFonts w:ascii="Garamond" w:hAnsi="Garamond"/>
          <w:iCs/>
        </w:rPr>
        <w:t xml:space="preserve">detected in Lac Lanutavake </w:t>
      </w:r>
      <w:r w:rsidR="00CC1A6A" w:rsidRPr="009A2E44">
        <w:rPr>
          <w:rFonts w:ascii="Garamond" w:hAnsi="Garamond"/>
          <w:iCs/>
        </w:rPr>
        <w:t>compare</w:t>
      </w:r>
      <w:r w:rsidR="00EE5821">
        <w:rPr>
          <w:rFonts w:ascii="Garamond" w:hAnsi="Garamond"/>
          <w:iCs/>
        </w:rPr>
        <w:t>d</w:t>
      </w:r>
      <w:r w:rsidR="00CC1A6A" w:rsidRPr="009A2E44">
        <w:rPr>
          <w:rFonts w:ascii="Garamond" w:hAnsi="Garamond"/>
          <w:iCs/>
        </w:rPr>
        <w:t xml:space="preserve"> to</w:t>
      </w:r>
      <w:r w:rsidR="004B32D4" w:rsidRPr="009A2E44">
        <w:rPr>
          <w:rFonts w:ascii="Garamond" w:hAnsi="Garamond"/>
          <w:iCs/>
        </w:rPr>
        <w:t xml:space="preserve"> Efate</w:t>
      </w:r>
      <w:r w:rsidR="00E82BC1" w:rsidRPr="009A2E44">
        <w:rPr>
          <w:rFonts w:ascii="Garamond" w:hAnsi="Garamond"/>
          <w:iCs/>
        </w:rPr>
        <w:t xml:space="preserve"> </w:t>
      </w:r>
      <w:r w:rsidR="004B32D4" w:rsidRPr="009A2E44">
        <w:rPr>
          <w:rFonts w:ascii="Garamond" w:hAnsi="Garamond"/>
          <w:iCs/>
        </w:rPr>
        <w:t>and ‘Upolu</w:t>
      </w:r>
      <w:r w:rsidRPr="009A2E44">
        <w:rPr>
          <w:rFonts w:ascii="Garamond" w:hAnsi="Garamond"/>
          <w:iCs/>
        </w:rPr>
        <w:t>.</w:t>
      </w:r>
      <w:r w:rsidR="00633DDA" w:rsidRPr="009A2E44">
        <w:rPr>
          <w:rFonts w:ascii="Garamond" w:hAnsi="Garamond"/>
          <w:iCs/>
        </w:rPr>
        <w:t xml:space="preserve"> </w:t>
      </w:r>
      <w:r w:rsidR="00E82BC1" w:rsidRPr="009A2E44">
        <w:rPr>
          <w:rFonts w:ascii="Garamond" w:hAnsi="Garamond"/>
          <w:iCs/>
        </w:rPr>
        <w:t>Using</w:t>
      </w:r>
      <w:r w:rsidR="00CE707A" w:rsidRPr="009A2E44">
        <w:rPr>
          <w:rFonts w:ascii="Garamond" w:hAnsi="Garamond"/>
          <w:iCs/>
        </w:rPr>
        <w:t xml:space="preserve"> ENSO variability as an example</w:t>
      </w:r>
      <w:r w:rsidR="001E4D2A" w:rsidRPr="009A2E44">
        <w:rPr>
          <w:rFonts w:ascii="Garamond" w:hAnsi="Garamond"/>
          <w:iCs/>
        </w:rPr>
        <w:t>,</w:t>
      </w:r>
      <w:r w:rsidR="00CE707A" w:rsidRPr="009A2E44">
        <w:rPr>
          <w:rFonts w:ascii="Garamond" w:hAnsi="Garamond"/>
          <w:iCs/>
        </w:rPr>
        <w:t xml:space="preserve"> </w:t>
      </w:r>
      <w:r w:rsidR="00E82BC1" w:rsidRPr="009A2E44">
        <w:rPr>
          <w:rFonts w:ascii="Garamond" w:hAnsi="Garamond"/>
          <w:iCs/>
        </w:rPr>
        <w:t>t</w:t>
      </w:r>
      <w:r w:rsidR="00E87891" w:rsidRPr="009A2E44">
        <w:rPr>
          <w:rFonts w:ascii="Garamond" w:hAnsi="Garamond"/>
          <w:iCs/>
        </w:rPr>
        <w:t>oday</w:t>
      </w:r>
      <w:r w:rsidR="00633DDA" w:rsidRPr="009A2E44">
        <w:rPr>
          <w:rFonts w:ascii="Garamond" w:hAnsi="Garamond"/>
          <w:iCs/>
        </w:rPr>
        <w:t xml:space="preserve"> both ‘Uvea and ‘Upolu </w:t>
      </w:r>
      <w:r w:rsidR="00E87891" w:rsidRPr="009A2E44">
        <w:rPr>
          <w:rFonts w:ascii="Garamond" w:hAnsi="Garamond"/>
          <w:iCs/>
        </w:rPr>
        <w:t>occupy a climatic</w:t>
      </w:r>
      <w:r w:rsidR="00633DDA" w:rsidRPr="009A2E44">
        <w:rPr>
          <w:rFonts w:ascii="Garamond" w:hAnsi="Garamond"/>
          <w:iCs/>
        </w:rPr>
        <w:t xml:space="preserve"> null zone </w:t>
      </w:r>
      <w:r w:rsidR="00675836" w:rsidRPr="009A2E44">
        <w:rPr>
          <w:rFonts w:ascii="Garamond" w:hAnsi="Garamond"/>
          <w:iCs/>
        </w:rPr>
        <w:t>which experiences</w:t>
      </w:r>
      <w:r w:rsidR="00633DDA" w:rsidRPr="009A2E44">
        <w:rPr>
          <w:rFonts w:ascii="Garamond" w:hAnsi="Garamond"/>
          <w:iCs/>
        </w:rPr>
        <w:t xml:space="preserve"> little precipitation variability </w:t>
      </w:r>
      <w:r w:rsidR="00E52B69">
        <w:rPr>
          <w:rFonts w:ascii="Garamond" w:hAnsi="Garamond"/>
          <w:iCs/>
        </w:rPr>
        <w:t xml:space="preserve">associated with ENSO </w:t>
      </w:r>
      <w:r w:rsidR="00633DDA" w:rsidRPr="009A2E44">
        <w:rPr>
          <w:rFonts w:ascii="Garamond" w:hAnsi="Garamond"/>
          <w:iCs/>
        </w:rPr>
        <w:t>compare</w:t>
      </w:r>
      <w:r w:rsidR="00675836" w:rsidRPr="009A2E44">
        <w:rPr>
          <w:rFonts w:ascii="Garamond" w:hAnsi="Garamond"/>
          <w:iCs/>
        </w:rPr>
        <w:t>d</w:t>
      </w:r>
      <w:r w:rsidR="00633DDA" w:rsidRPr="009A2E44">
        <w:rPr>
          <w:rFonts w:ascii="Garamond" w:hAnsi="Garamond"/>
          <w:iCs/>
        </w:rPr>
        <w:t xml:space="preserve"> to </w:t>
      </w:r>
      <w:r w:rsidR="00117FC7">
        <w:rPr>
          <w:rFonts w:ascii="Garamond" w:hAnsi="Garamond"/>
          <w:iCs/>
        </w:rPr>
        <w:t>Efate</w:t>
      </w:r>
      <w:r w:rsidR="00C73017">
        <w:rPr>
          <w:rFonts w:ascii="Garamond" w:hAnsi="Garamond"/>
          <w:iCs/>
        </w:rPr>
        <w:t xml:space="preserve"> (</w:t>
      </w:r>
      <w:r w:rsidR="00633DDA" w:rsidRPr="009A2E44">
        <w:rPr>
          <w:rFonts w:ascii="Garamond" w:hAnsi="Garamond"/>
          <w:iCs/>
        </w:rPr>
        <w:t>Vanuatu</w:t>
      </w:r>
      <w:r w:rsidR="00C73017">
        <w:rPr>
          <w:rFonts w:ascii="Garamond" w:hAnsi="Garamond"/>
          <w:iCs/>
        </w:rPr>
        <w:t>)</w:t>
      </w:r>
      <w:r w:rsidR="00633DDA" w:rsidRPr="009A2E44">
        <w:rPr>
          <w:rFonts w:ascii="Garamond" w:hAnsi="Garamond"/>
          <w:iCs/>
        </w:rPr>
        <w:t xml:space="preserve"> whose rainfall patterns closely track </w:t>
      </w:r>
      <w:r w:rsidR="00675836" w:rsidRPr="009A2E44">
        <w:rPr>
          <w:rFonts w:ascii="Garamond" w:hAnsi="Garamond"/>
          <w:iCs/>
        </w:rPr>
        <w:t>SSTs in the Ni</w:t>
      </w:r>
      <w:r w:rsidR="00675836" w:rsidRPr="009A2E44">
        <w:rPr>
          <w:rFonts w:ascii="Garamond" w:hAnsi="Garamond"/>
          <w:color w:val="000000"/>
        </w:rPr>
        <w:t>ñ</w:t>
      </w:r>
      <w:r w:rsidR="00675836" w:rsidRPr="009A2E44">
        <w:rPr>
          <w:rFonts w:ascii="Garamond" w:hAnsi="Garamond"/>
          <w:iCs/>
        </w:rPr>
        <w:t>o 3.4 region</w:t>
      </w:r>
      <w:r w:rsidR="00633DDA" w:rsidRPr="009A2E44">
        <w:rPr>
          <w:rFonts w:ascii="Garamond" w:hAnsi="Garamond"/>
          <w:iCs/>
        </w:rPr>
        <w:t xml:space="preserve"> (</w:t>
      </w:r>
      <w:r w:rsidR="00633DDA" w:rsidRPr="009A2E44">
        <w:rPr>
          <w:rFonts w:ascii="Garamond" w:hAnsi="Garamond"/>
          <w:b/>
          <w:bCs/>
          <w:iCs/>
        </w:rPr>
        <w:t xml:space="preserve">Fig. </w:t>
      </w:r>
      <w:r w:rsidR="00F64053" w:rsidRPr="009A2E44">
        <w:rPr>
          <w:rFonts w:ascii="Garamond" w:hAnsi="Garamond"/>
          <w:b/>
          <w:bCs/>
          <w:iCs/>
        </w:rPr>
        <w:t>1</w:t>
      </w:r>
      <w:r w:rsidR="00633DDA" w:rsidRPr="009A2E44">
        <w:rPr>
          <w:rFonts w:ascii="Garamond" w:hAnsi="Garamond"/>
          <w:b/>
          <w:bCs/>
          <w:iCs/>
        </w:rPr>
        <w:t xml:space="preserve">, Fig. </w:t>
      </w:r>
      <w:r w:rsidR="007241CB" w:rsidRPr="009A2E44">
        <w:rPr>
          <w:rFonts w:ascii="Garamond" w:hAnsi="Garamond"/>
          <w:b/>
          <w:bCs/>
          <w:iCs/>
        </w:rPr>
        <w:t>A.1</w:t>
      </w:r>
      <w:r w:rsidR="00633DDA" w:rsidRPr="009A2E44">
        <w:rPr>
          <w:rFonts w:ascii="Garamond" w:hAnsi="Garamond"/>
          <w:iCs/>
        </w:rPr>
        <w:t>).</w:t>
      </w:r>
      <w:r w:rsidR="00E87891" w:rsidRPr="009A2E44">
        <w:rPr>
          <w:rFonts w:ascii="Garamond" w:hAnsi="Garamond"/>
          <w:iCs/>
        </w:rPr>
        <w:t xml:space="preserve"> </w:t>
      </w:r>
      <w:r w:rsidR="001E4D2A" w:rsidRPr="009A2E44">
        <w:rPr>
          <w:rFonts w:ascii="Garamond" w:hAnsi="Garamond"/>
          <w:iCs/>
        </w:rPr>
        <w:t xml:space="preserve">It is possible that ‘Uvea has remained in </w:t>
      </w:r>
      <w:r w:rsidR="00020A26">
        <w:rPr>
          <w:rFonts w:ascii="Garamond" w:hAnsi="Garamond"/>
          <w:iCs/>
        </w:rPr>
        <w:t>a</w:t>
      </w:r>
      <w:r w:rsidR="00020A26" w:rsidRPr="009A2E44">
        <w:rPr>
          <w:rFonts w:ascii="Garamond" w:hAnsi="Garamond"/>
          <w:iCs/>
        </w:rPr>
        <w:t xml:space="preserve"> </w:t>
      </w:r>
      <w:r w:rsidR="001E4D2A" w:rsidRPr="009A2E44">
        <w:rPr>
          <w:rFonts w:ascii="Garamond" w:hAnsi="Garamond"/>
          <w:iCs/>
        </w:rPr>
        <w:t xml:space="preserve">null zone throughout the last 2000 years while the zone may have passed over ‘Upolu. </w:t>
      </w:r>
      <w:r w:rsidR="00E87891" w:rsidRPr="009A2E44">
        <w:rPr>
          <w:rFonts w:ascii="Garamond" w:hAnsi="Garamond"/>
          <w:iCs/>
        </w:rPr>
        <w:t>A</w:t>
      </w:r>
      <w:r w:rsidR="00633DDA" w:rsidRPr="009A2E44">
        <w:rPr>
          <w:rFonts w:ascii="Garamond" w:hAnsi="Garamond"/>
          <w:iCs/>
        </w:rPr>
        <w:t xml:space="preserve"> recent coral record from Samoa</w:t>
      </w:r>
      <w:r w:rsidR="00E87891" w:rsidRPr="009A2E44">
        <w:rPr>
          <w:rFonts w:ascii="Garamond" w:hAnsi="Garamond"/>
          <w:iCs/>
        </w:rPr>
        <w:t xml:space="preserve"> </w:t>
      </w:r>
      <w:r w:rsidR="00633DDA" w:rsidRPr="009A2E44">
        <w:rPr>
          <w:rFonts w:ascii="Garamond" w:hAnsi="Garamond"/>
          <w:iCs/>
        </w:rPr>
        <w:t xml:space="preserve">provides evidence of a shifting null zone during the past </w:t>
      </w:r>
      <w:r w:rsidR="00E87891" w:rsidRPr="009A2E44">
        <w:rPr>
          <w:rFonts w:ascii="Garamond" w:hAnsi="Garamond"/>
          <w:iCs/>
        </w:rPr>
        <w:t xml:space="preserve">600 </w:t>
      </w:r>
      <w:r w:rsidR="00633DDA" w:rsidRPr="009A2E44">
        <w:rPr>
          <w:rFonts w:ascii="Garamond" w:hAnsi="Garamond"/>
          <w:iCs/>
        </w:rPr>
        <w:t xml:space="preserve">years </w:t>
      </w:r>
      <w:r w:rsidR="00633DDA" w:rsidRPr="009A2E44">
        <w:rPr>
          <w:rFonts w:ascii="Garamond" w:hAnsi="Garamond"/>
          <w:iCs/>
        </w:rPr>
        <w:fldChar w:fldCharType="begin" w:fldLock="1"/>
      </w:r>
      <w:r w:rsidR="00D04FB8">
        <w:rPr>
          <w:rFonts w:ascii="Garamond" w:hAnsi="Garamond"/>
          <w:iCs/>
        </w:rPr>
        <w:instrText>ADDIN CSL_CITATION {"citationItems":[{"id":"ITEM-1","itemData":{"DOI":"10.1029/2017PA003310","ISSN":"25724525","abstract":"A 492-year-long, continuous δ18O time series from a massive Porites coral colony in Ta'u, American Samoa, records contrasting responses to different types of El Niño-Southern Oscillation (ENSO) through a mixed sea surface temperature and salinity signal. Currently, conventional El Niño (La Niña) events generate cold and salty (warm and fresh) anomalies at Ta'u, while Modoki El Niño (La Niña) events warm (cool) the waters at Ta'u. Over the course of the twentieth century, the Ta'u δ18O record underwent a polarity shift in its response to conventional ENSO: A warm and fresh (cool and salty) response to El Niño (La Niña) was replaced by the opposite pattern. We interpret this as evidence for the movement of the Eastern Pacific ENSO null zone, the narrow band of the surface ocean where sea surface temperature variability is not on average correlated with ENSO. This movement appears to be related to overall shrinking of the ENSO footprint over the twentieth century. We infer no such trend in the Modoki footprint. The five-century-long Ta'u record shows dramatic, century-scale changes in ENSO-band variability. Comparisons with other ENSO reconstructions lead to conflicting interpretations: The Ta'u coral may have recorded changes in the strength of ENSO or in its spatial footprint. Changes in the spatial footprint manifest as a changing sensitivity to ENSO at any given location, presenting challenges to established methods of ENSO reconstruction.","author":[{"dropping-particle":"","family":"Tangri","given":"Neil","non-dropping-particle":"","parse-names":false,"suffix":""},{"dropping-particle":"","family":"Dunbar","given":"Robert B","non-dropping-particle":"","parse-names":false,"suffix":""},{"dropping-particle":"","family":"Linsley","given":"B. K.","non-dropping-particle":"","parse-names":false,"suffix":""},{"dropping-particle":"","family":"Mucciarone","given":"D. M.","non-dropping-particle":"","parse-names":false,"suffix":""}],"container-title":"Paleoceanography and Paleoclimatology","id":"ITEM-1","issue":"11","issued":{"date-parts":[["2018"]]},"page":"1136-1150","title":"ENSO's shrinking 20th Century footprint revealed in a half-millennium coral core From the South Pacific Convergence Zone","type":"article-journal","volume":"33"},"uris":["http://www.mendeley.com/documents/?uuid=736385f7-3a6d-4794-b479-057894622ab5"]}],"mendeley":{"formattedCitation":"(Tangri et al., 2018)","plainTextFormattedCitation":"(Tangri et al., 2018)","previouslyFormattedCitation":"(Tangri et al., 2018)"},"properties":{"noteIndex":0},"schema":"https://github.com/citation-style-language/schema/raw/master/csl-citation.json"}</w:instrText>
      </w:r>
      <w:r w:rsidR="00633DDA" w:rsidRPr="009A2E44">
        <w:rPr>
          <w:rFonts w:ascii="Garamond" w:hAnsi="Garamond"/>
          <w:iCs/>
        </w:rPr>
        <w:fldChar w:fldCharType="separate"/>
      </w:r>
      <w:r w:rsidR="00633DDA" w:rsidRPr="009A2E44">
        <w:rPr>
          <w:rFonts w:ascii="Garamond" w:hAnsi="Garamond"/>
          <w:iCs/>
          <w:noProof/>
        </w:rPr>
        <w:t>(Tangri et al., 2018)</w:t>
      </w:r>
      <w:r w:rsidR="00633DDA" w:rsidRPr="009A2E44">
        <w:rPr>
          <w:rFonts w:ascii="Garamond" w:hAnsi="Garamond"/>
          <w:iCs/>
        </w:rPr>
        <w:fldChar w:fldCharType="end"/>
      </w:r>
      <w:r w:rsidR="00E87891" w:rsidRPr="009A2E44">
        <w:rPr>
          <w:rFonts w:ascii="Garamond" w:hAnsi="Garamond"/>
          <w:iCs/>
        </w:rPr>
        <w:t xml:space="preserve">, and even </w:t>
      </w:r>
      <w:r w:rsidR="00A34566" w:rsidRPr="009A2E44">
        <w:rPr>
          <w:rFonts w:ascii="Garamond" w:hAnsi="Garamond"/>
          <w:iCs/>
        </w:rPr>
        <w:t xml:space="preserve">precipitation </w:t>
      </w:r>
      <w:r w:rsidR="00E87891" w:rsidRPr="009A2E44">
        <w:rPr>
          <w:rFonts w:ascii="Garamond" w:hAnsi="Garamond"/>
          <w:iCs/>
        </w:rPr>
        <w:t xml:space="preserve">gauge records </w:t>
      </w:r>
      <w:r w:rsidR="00A34566" w:rsidRPr="009A2E44">
        <w:rPr>
          <w:rFonts w:ascii="Garamond" w:hAnsi="Garamond"/>
          <w:iCs/>
        </w:rPr>
        <w:t>indicate that</w:t>
      </w:r>
      <w:r w:rsidR="00E87891" w:rsidRPr="009A2E44">
        <w:rPr>
          <w:rFonts w:ascii="Garamond" w:hAnsi="Garamond"/>
          <w:iCs/>
        </w:rPr>
        <w:t xml:space="preserve"> </w:t>
      </w:r>
      <w:r w:rsidR="00EA3AE5" w:rsidRPr="009A2E44">
        <w:rPr>
          <w:rFonts w:ascii="Garamond" w:hAnsi="Garamond"/>
          <w:iCs/>
        </w:rPr>
        <w:t>‘</w:t>
      </w:r>
      <w:r w:rsidR="001E4D2A" w:rsidRPr="009A2E44">
        <w:rPr>
          <w:rFonts w:ascii="Garamond" w:hAnsi="Garamond"/>
          <w:iCs/>
        </w:rPr>
        <w:t>Upolu’s</w:t>
      </w:r>
      <w:r w:rsidR="00A34566" w:rsidRPr="009A2E44">
        <w:rPr>
          <w:rFonts w:ascii="Garamond" w:hAnsi="Garamond"/>
          <w:iCs/>
        </w:rPr>
        <w:t xml:space="preserve"> </w:t>
      </w:r>
      <w:r w:rsidR="00E87891" w:rsidRPr="009A2E44">
        <w:rPr>
          <w:rFonts w:ascii="Garamond" w:hAnsi="Garamond"/>
          <w:iCs/>
        </w:rPr>
        <w:t xml:space="preserve">precipitation </w:t>
      </w:r>
      <w:r w:rsidR="00A34566" w:rsidRPr="009A2E44">
        <w:rPr>
          <w:rFonts w:ascii="Garamond" w:hAnsi="Garamond"/>
          <w:iCs/>
        </w:rPr>
        <w:t>has been correlated with</w:t>
      </w:r>
      <w:r w:rsidR="00E87891" w:rsidRPr="009A2E44">
        <w:rPr>
          <w:rFonts w:ascii="Garamond" w:hAnsi="Garamond"/>
          <w:iCs/>
        </w:rPr>
        <w:t xml:space="preserve"> ENSO </w:t>
      </w:r>
      <w:r w:rsidR="00A34566" w:rsidRPr="009A2E44">
        <w:rPr>
          <w:rFonts w:ascii="Garamond" w:hAnsi="Garamond"/>
          <w:iCs/>
        </w:rPr>
        <w:t>in the past, but not during the satellite era</w:t>
      </w:r>
      <w:r w:rsidR="00E87891" w:rsidRPr="009A2E44">
        <w:rPr>
          <w:rFonts w:ascii="Garamond" w:hAnsi="Garamond"/>
          <w:iCs/>
        </w:rPr>
        <w:t xml:space="preserve"> (</w:t>
      </w:r>
      <w:r w:rsidR="00E87891" w:rsidRPr="009A2E44">
        <w:rPr>
          <w:rFonts w:ascii="Garamond" w:hAnsi="Garamond"/>
          <w:b/>
          <w:bCs/>
          <w:iCs/>
        </w:rPr>
        <w:t xml:space="preserve">Fig. </w:t>
      </w:r>
      <w:r w:rsidR="007241CB" w:rsidRPr="009A2E44">
        <w:rPr>
          <w:rFonts w:ascii="Garamond" w:hAnsi="Garamond"/>
          <w:b/>
          <w:bCs/>
          <w:iCs/>
        </w:rPr>
        <w:t>A.1</w:t>
      </w:r>
      <w:r w:rsidR="00E87891" w:rsidRPr="009A2E44">
        <w:rPr>
          <w:rFonts w:ascii="Garamond" w:hAnsi="Garamond"/>
          <w:iCs/>
        </w:rPr>
        <w:t>)</w:t>
      </w:r>
      <w:r w:rsidR="00633DDA" w:rsidRPr="009A2E44">
        <w:rPr>
          <w:rFonts w:ascii="Garamond" w:hAnsi="Garamond"/>
          <w:iCs/>
        </w:rPr>
        <w:t>.</w:t>
      </w:r>
      <w:r w:rsidR="003C69F7" w:rsidRPr="009A2E44">
        <w:rPr>
          <w:rFonts w:ascii="Garamond" w:hAnsi="Garamond"/>
        </w:rPr>
        <w:t xml:space="preserve"> </w:t>
      </w:r>
      <w:r w:rsidR="0092069E">
        <w:rPr>
          <w:rFonts w:ascii="Garamond" w:hAnsi="Garamond"/>
        </w:rPr>
        <w:t>I</w:t>
      </w:r>
      <w:r w:rsidR="009551D9" w:rsidRPr="009A2E44">
        <w:rPr>
          <w:rFonts w:ascii="Garamond" w:hAnsi="Garamond"/>
        </w:rPr>
        <w:t xml:space="preserve">f </w:t>
      </w:r>
      <w:r w:rsidR="00020A26">
        <w:rPr>
          <w:rFonts w:ascii="Garamond" w:hAnsi="Garamond"/>
        </w:rPr>
        <w:t>‘Uvea’s</w:t>
      </w:r>
      <w:r w:rsidR="00020A26" w:rsidRPr="009A2E44">
        <w:rPr>
          <w:rFonts w:ascii="Garamond" w:hAnsi="Garamond"/>
        </w:rPr>
        <w:t xml:space="preserve"> </w:t>
      </w:r>
      <w:r w:rsidR="009551D9" w:rsidRPr="009A2E44">
        <w:rPr>
          <w:rFonts w:ascii="Garamond" w:hAnsi="Garamond"/>
        </w:rPr>
        <w:t xml:space="preserve">location </w:t>
      </w:r>
      <w:r w:rsidR="00020A26">
        <w:rPr>
          <w:rFonts w:ascii="Garamond" w:hAnsi="Garamond"/>
        </w:rPr>
        <w:t xml:space="preserve">precludes it from experiencing large ENSO variability, </w:t>
      </w:r>
      <w:r w:rsidR="009551D9" w:rsidRPr="009A2E44">
        <w:rPr>
          <w:rFonts w:ascii="Garamond" w:hAnsi="Garamond"/>
        </w:rPr>
        <w:t xml:space="preserve">it is conceivable that ‘Uvea </w:t>
      </w:r>
      <w:r w:rsidR="00020A26">
        <w:rPr>
          <w:rFonts w:ascii="Garamond" w:hAnsi="Garamond"/>
        </w:rPr>
        <w:t>c</w:t>
      </w:r>
      <w:r w:rsidR="00020A26" w:rsidRPr="009A2E44">
        <w:rPr>
          <w:rFonts w:ascii="Garamond" w:hAnsi="Garamond"/>
        </w:rPr>
        <w:t xml:space="preserve">ould </w:t>
      </w:r>
      <w:r w:rsidR="00020A26">
        <w:rPr>
          <w:rFonts w:ascii="Garamond" w:hAnsi="Garamond"/>
        </w:rPr>
        <w:t xml:space="preserve">also </w:t>
      </w:r>
      <w:r w:rsidR="009551D9" w:rsidRPr="009A2E44">
        <w:rPr>
          <w:rFonts w:ascii="Garamond" w:hAnsi="Garamond"/>
        </w:rPr>
        <w:t xml:space="preserve">be </w:t>
      </w:r>
      <w:r w:rsidR="00826BD3" w:rsidRPr="009A2E44">
        <w:rPr>
          <w:rFonts w:ascii="Garamond" w:hAnsi="Garamond"/>
        </w:rPr>
        <w:t xml:space="preserve">the least sensitive location to </w:t>
      </w:r>
      <w:r w:rsidR="00C73017">
        <w:rPr>
          <w:rFonts w:ascii="Garamond" w:hAnsi="Garamond"/>
        </w:rPr>
        <w:t xml:space="preserve">longer timescale </w:t>
      </w:r>
      <w:r w:rsidR="00826BD3" w:rsidRPr="009A2E44">
        <w:rPr>
          <w:rFonts w:ascii="Garamond" w:hAnsi="Garamond"/>
        </w:rPr>
        <w:t>variability</w:t>
      </w:r>
      <w:r w:rsidR="009551D9" w:rsidRPr="009A2E44">
        <w:rPr>
          <w:rFonts w:ascii="Garamond" w:hAnsi="Garamond"/>
        </w:rPr>
        <w:t xml:space="preserve">. </w:t>
      </w:r>
      <w:r w:rsidR="00F27587" w:rsidRPr="009A2E44">
        <w:rPr>
          <w:rFonts w:ascii="Garamond" w:hAnsi="Garamond"/>
        </w:rPr>
        <w:t xml:space="preserve">Indeed, Lac Lanutavake’s </w:t>
      </w:r>
      <w:r w:rsidR="00F27587" w:rsidRPr="009A2E44">
        <w:rPr>
          <w:rFonts w:ascii="Garamond" w:hAnsi="Garamond"/>
        </w:rPr>
        <w:sym w:font="Symbol" w:char="F064"/>
      </w:r>
      <w:r w:rsidR="00F27587" w:rsidRPr="009A2E44">
        <w:rPr>
          <w:rFonts w:ascii="Garamond" w:hAnsi="Garamond"/>
          <w:vertAlign w:val="superscript"/>
        </w:rPr>
        <w:t>2</w:t>
      </w:r>
      <w:r w:rsidR="00F27587" w:rsidRPr="009A2E44">
        <w:rPr>
          <w:rFonts w:ascii="Garamond" w:hAnsi="Garamond"/>
        </w:rPr>
        <w:t>H</w:t>
      </w:r>
      <w:r w:rsidR="00F27587" w:rsidRPr="009A2E44">
        <w:rPr>
          <w:rFonts w:ascii="Garamond" w:hAnsi="Garamond"/>
          <w:vertAlign w:val="subscript"/>
        </w:rPr>
        <w:t>dinosterol</w:t>
      </w:r>
      <w:r w:rsidR="00F27587" w:rsidRPr="009A2E44">
        <w:rPr>
          <w:rFonts w:ascii="Garamond" w:hAnsi="Garamond"/>
        </w:rPr>
        <w:t xml:space="preserve"> values are relatively steady throughout the entire 2000-year record, </w:t>
      </w:r>
      <w:r w:rsidR="00B911E3">
        <w:rPr>
          <w:rFonts w:ascii="Garamond" w:hAnsi="Garamond"/>
          <w:iCs/>
        </w:rPr>
        <w:t xml:space="preserve">and </w:t>
      </w:r>
      <w:r w:rsidR="00020A26">
        <w:rPr>
          <w:rFonts w:ascii="Garamond" w:hAnsi="Garamond"/>
          <w:iCs/>
        </w:rPr>
        <w:t xml:space="preserve">available </w:t>
      </w:r>
      <w:r w:rsidR="00B911E3">
        <w:rPr>
          <w:rFonts w:ascii="Garamond" w:hAnsi="Garamond"/>
          <w:iCs/>
        </w:rPr>
        <w:t>gridded instrumental data clearly indicates that ‘Uvea experiences less seasonal and interannual variability than ‘Upolu and Efate (</w:t>
      </w:r>
      <w:r w:rsidR="00B911E3" w:rsidRPr="00B911E3">
        <w:rPr>
          <w:rFonts w:ascii="Garamond" w:hAnsi="Garamond"/>
          <w:b/>
          <w:bCs/>
          <w:iCs/>
        </w:rPr>
        <w:t>Fig. 1</w:t>
      </w:r>
      <w:r w:rsidR="00B911E3">
        <w:rPr>
          <w:rFonts w:ascii="Garamond" w:hAnsi="Garamond"/>
          <w:iCs/>
        </w:rPr>
        <w:t>)</w:t>
      </w:r>
      <w:r w:rsidR="00E10C21">
        <w:rPr>
          <w:rFonts w:ascii="Garamond" w:hAnsi="Garamond"/>
          <w:iCs/>
        </w:rPr>
        <w:t>. This</w:t>
      </w:r>
      <w:r w:rsidR="00117FC7">
        <w:rPr>
          <w:rFonts w:ascii="Garamond" w:hAnsi="Garamond"/>
          <w:iCs/>
        </w:rPr>
        <w:t xml:space="preserve">, combined with the responsive magnetic susceptibility signals, </w:t>
      </w:r>
      <w:r w:rsidR="00F27587" w:rsidRPr="009A2E44">
        <w:rPr>
          <w:rFonts w:ascii="Garamond" w:hAnsi="Garamond"/>
        </w:rPr>
        <w:t>lead</w:t>
      </w:r>
      <w:r w:rsidR="00E10C21">
        <w:rPr>
          <w:rFonts w:ascii="Garamond" w:hAnsi="Garamond"/>
        </w:rPr>
        <w:t>s</w:t>
      </w:r>
      <w:r w:rsidR="00F27587" w:rsidRPr="009A2E44">
        <w:rPr>
          <w:rFonts w:ascii="Garamond" w:hAnsi="Garamond"/>
        </w:rPr>
        <w:t xml:space="preserve"> us to favor ‘Uvea’s central position as an explanation for i</w:t>
      </w:r>
      <w:r w:rsidR="001B4416" w:rsidRPr="009A2E44">
        <w:rPr>
          <w:rFonts w:ascii="Garamond" w:hAnsi="Garamond"/>
        </w:rPr>
        <w:t xml:space="preserve">ts lower variability </w:t>
      </w:r>
      <w:r w:rsidR="00B911E3">
        <w:rPr>
          <w:rFonts w:ascii="Garamond" w:hAnsi="Garamond"/>
        </w:rPr>
        <w:t>during the MCA</w:t>
      </w:r>
      <w:r w:rsidR="00117FC7">
        <w:rPr>
          <w:rFonts w:ascii="Garamond" w:hAnsi="Garamond"/>
        </w:rPr>
        <w:t xml:space="preserve"> (and potentially LIA)</w:t>
      </w:r>
      <w:r w:rsidR="00E10C21">
        <w:rPr>
          <w:rFonts w:ascii="Garamond" w:hAnsi="Garamond"/>
        </w:rPr>
        <w:t xml:space="preserve">, </w:t>
      </w:r>
      <w:r w:rsidR="00F27587" w:rsidRPr="009A2E44">
        <w:rPr>
          <w:rFonts w:ascii="Garamond" w:hAnsi="Garamond"/>
        </w:rPr>
        <w:t>as oppose</w:t>
      </w:r>
      <w:r w:rsidR="00526D3C" w:rsidRPr="009A2E44">
        <w:rPr>
          <w:rFonts w:ascii="Garamond" w:hAnsi="Garamond"/>
        </w:rPr>
        <w:t>d</w:t>
      </w:r>
      <w:r w:rsidR="00F27587" w:rsidRPr="009A2E44">
        <w:rPr>
          <w:rFonts w:ascii="Garamond" w:hAnsi="Garamond"/>
        </w:rPr>
        <w:t xml:space="preserve"> to possible </w:t>
      </w:r>
      <w:r w:rsidR="00DF6360" w:rsidRPr="009A2E44">
        <w:rPr>
          <w:rFonts w:ascii="Garamond" w:hAnsi="Garamond"/>
        </w:rPr>
        <w:t xml:space="preserve">time-varying inputs of </w:t>
      </w:r>
      <w:r w:rsidR="00F27587" w:rsidRPr="009A2E44">
        <w:rPr>
          <w:rFonts w:ascii="Garamond" w:hAnsi="Garamond"/>
        </w:rPr>
        <w:t xml:space="preserve">groundwater. </w:t>
      </w:r>
      <w:r w:rsidR="00126518" w:rsidRPr="009A2E44">
        <w:rPr>
          <w:rFonts w:ascii="Garamond" w:hAnsi="Garamond"/>
        </w:rPr>
        <w:t>Long-term</w:t>
      </w:r>
      <w:r w:rsidR="00F27587" w:rsidRPr="009A2E44">
        <w:rPr>
          <w:rFonts w:ascii="Garamond" w:hAnsi="Garamond"/>
        </w:rPr>
        <w:t xml:space="preserve"> </w:t>
      </w:r>
      <w:r w:rsidR="00126518" w:rsidRPr="009A2E44">
        <w:rPr>
          <w:rFonts w:ascii="Garamond" w:hAnsi="Garamond"/>
        </w:rPr>
        <w:t xml:space="preserve">monitoring of lake water chemistry in Lac Lanutavake and other </w:t>
      </w:r>
      <w:r w:rsidR="00F27587" w:rsidRPr="009A2E44">
        <w:rPr>
          <w:rFonts w:ascii="Garamond" w:hAnsi="Garamond"/>
        </w:rPr>
        <w:t xml:space="preserve">lakes on ‘Uvea could help validate the magnitude of past precipitation </w:t>
      </w:r>
      <w:r w:rsidR="00E87B7D" w:rsidRPr="009A2E44">
        <w:rPr>
          <w:rFonts w:ascii="Garamond" w:hAnsi="Garamond"/>
        </w:rPr>
        <w:t>change</w:t>
      </w:r>
      <w:r w:rsidR="00F27587" w:rsidRPr="009A2E44">
        <w:rPr>
          <w:rFonts w:ascii="Garamond" w:hAnsi="Garamond"/>
        </w:rPr>
        <w:t>.</w:t>
      </w:r>
    </w:p>
    <w:p w14:paraId="262503B3" w14:textId="223A4775" w:rsidR="00E87891" w:rsidRPr="009A2E44" w:rsidRDefault="008B16AE" w:rsidP="001C47D3">
      <w:pPr>
        <w:spacing w:line="480" w:lineRule="auto"/>
        <w:ind w:firstLine="720"/>
        <w:rPr>
          <w:rFonts w:ascii="Garamond" w:hAnsi="Garamond"/>
          <w:i/>
          <w:iCs/>
        </w:rPr>
      </w:pPr>
      <w:r w:rsidRPr="009A2E44">
        <w:rPr>
          <w:rFonts w:ascii="Garamond" w:hAnsi="Garamond"/>
        </w:rPr>
        <w:t>From the</w:t>
      </w:r>
      <w:r w:rsidR="00E87891" w:rsidRPr="009A2E44">
        <w:rPr>
          <w:rFonts w:ascii="Garamond" w:hAnsi="Garamond"/>
        </w:rPr>
        <w:t xml:space="preserve"> MCA</w:t>
      </w:r>
      <w:r w:rsidRPr="009A2E44">
        <w:rPr>
          <w:rFonts w:ascii="Garamond" w:hAnsi="Garamond"/>
        </w:rPr>
        <w:t xml:space="preserve"> to the present</w:t>
      </w:r>
      <w:r w:rsidR="00E87891" w:rsidRPr="009A2E44">
        <w:rPr>
          <w:rFonts w:ascii="Garamond" w:hAnsi="Garamond"/>
        </w:rPr>
        <w:t xml:space="preserve">, Lake Lanoto’o and Lake Emaotul </w:t>
      </w:r>
      <w:r w:rsidRPr="009A2E44">
        <w:rPr>
          <w:rFonts w:ascii="Garamond" w:hAnsi="Garamond"/>
        </w:rPr>
        <w:t>have nearly identical precipitation rate estimates and similar patterns of variability</w:t>
      </w:r>
      <w:r w:rsidR="00E87891" w:rsidRPr="009A2E44">
        <w:rPr>
          <w:rFonts w:ascii="Garamond" w:hAnsi="Garamond"/>
        </w:rPr>
        <w:t xml:space="preserve"> (i.e.</w:t>
      </w:r>
      <w:r w:rsidR="009C02ED">
        <w:rPr>
          <w:rFonts w:ascii="Garamond" w:hAnsi="Garamond"/>
        </w:rPr>
        <w:t>,</w:t>
      </w:r>
      <w:r w:rsidR="00E87891" w:rsidRPr="009A2E44">
        <w:rPr>
          <w:rFonts w:ascii="Garamond" w:hAnsi="Garamond"/>
        </w:rPr>
        <w:t xml:space="preserve"> where the </w:t>
      </w:r>
      <w:r w:rsidR="00040ECE" w:rsidRPr="009A2E44">
        <w:rPr>
          <w:rFonts w:ascii="Garamond" w:hAnsi="Garamond"/>
        </w:rPr>
        <w:t xml:space="preserve">thick </w:t>
      </w:r>
      <w:r w:rsidR="00F13F12">
        <w:rPr>
          <w:rFonts w:ascii="Garamond" w:hAnsi="Garamond"/>
        </w:rPr>
        <w:t xml:space="preserve">solid </w:t>
      </w:r>
      <w:r w:rsidR="00E87891" w:rsidRPr="009A2E44">
        <w:rPr>
          <w:rFonts w:ascii="Garamond" w:hAnsi="Garamond"/>
        </w:rPr>
        <w:t>orange and black lines overlap</w:t>
      </w:r>
      <w:r w:rsidRPr="009A2E44">
        <w:rPr>
          <w:rFonts w:ascii="Garamond" w:hAnsi="Garamond"/>
        </w:rPr>
        <w:t xml:space="preserve"> in </w:t>
      </w:r>
      <w:r w:rsidRPr="009A2E44">
        <w:rPr>
          <w:rFonts w:ascii="Garamond" w:hAnsi="Garamond"/>
          <w:b/>
          <w:bCs/>
        </w:rPr>
        <w:lastRenderedPageBreak/>
        <w:t>Figure 5</w:t>
      </w:r>
      <w:r w:rsidR="00E87891" w:rsidRPr="009A2E44">
        <w:rPr>
          <w:rFonts w:ascii="Garamond" w:hAnsi="Garamond"/>
        </w:rPr>
        <w:t xml:space="preserve">). </w:t>
      </w:r>
      <w:r w:rsidR="006658F6" w:rsidRPr="009A2E44">
        <w:rPr>
          <w:rFonts w:ascii="Garamond" w:hAnsi="Garamond"/>
        </w:rPr>
        <w:t>P</w:t>
      </w:r>
      <w:r w:rsidR="00421ADD" w:rsidRPr="009A2E44">
        <w:rPr>
          <w:rFonts w:ascii="Garamond" w:hAnsi="Garamond"/>
        </w:rPr>
        <w:t>rior to the MCA</w:t>
      </w:r>
      <w:r w:rsidRPr="009A2E44">
        <w:rPr>
          <w:rFonts w:ascii="Garamond" w:hAnsi="Garamond"/>
        </w:rPr>
        <w:t xml:space="preserve">, </w:t>
      </w:r>
      <w:r w:rsidR="00421ADD" w:rsidRPr="009A2E44">
        <w:rPr>
          <w:rFonts w:ascii="Garamond" w:hAnsi="Garamond"/>
        </w:rPr>
        <w:t>precipitation rates were similar in Lake Emaotul and Lac Lanutavake ~0</w:t>
      </w:r>
      <w:r w:rsidR="002E29D0" w:rsidRPr="009A2E44">
        <w:rPr>
          <w:rFonts w:ascii="Garamond" w:hAnsi="Garamond"/>
        </w:rPr>
        <w:t xml:space="preserve"> to </w:t>
      </w:r>
      <w:r w:rsidR="00421ADD" w:rsidRPr="009A2E44">
        <w:rPr>
          <w:rFonts w:ascii="Garamond" w:hAnsi="Garamond"/>
        </w:rPr>
        <w:t>900 CE (i.e.</w:t>
      </w:r>
      <w:r w:rsidR="0003792C">
        <w:rPr>
          <w:rFonts w:ascii="Garamond" w:hAnsi="Garamond"/>
        </w:rPr>
        <w:t>,</w:t>
      </w:r>
      <w:r w:rsidR="00421ADD" w:rsidRPr="009A2E44">
        <w:rPr>
          <w:rFonts w:ascii="Garamond" w:hAnsi="Garamond"/>
        </w:rPr>
        <w:t xml:space="preserve"> where </w:t>
      </w:r>
      <w:r w:rsidR="00040ECE" w:rsidRPr="009A2E44">
        <w:rPr>
          <w:rFonts w:ascii="Garamond" w:hAnsi="Garamond"/>
        </w:rPr>
        <w:t>the thick</w:t>
      </w:r>
      <w:r w:rsidR="00F13F12">
        <w:rPr>
          <w:rFonts w:ascii="Garamond" w:hAnsi="Garamond"/>
        </w:rPr>
        <w:t xml:space="preserve"> solid</w:t>
      </w:r>
      <w:r w:rsidR="00040ECE" w:rsidRPr="009A2E44">
        <w:rPr>
          <w:rFonts w:ascii="Garamond" w:hAnsi="Garamond"/>
        </w:rPr>
        <w:t xml:space="preserve"> </w:t>
      </w:r>
      <w:r w:rsidR="00421ADD" w:rsidRPr="009A2E44">
        <w:rPr>
          <w:rFonts w:ascii="Garamond" w:hAnsi="Garamond"/>
        </w:rPr>
        <w:t>orange and purple lines overlap</w:t>
      </w:r>
      <w:r w:rsidRPr="009A2E44">
        <w:rPr>
          <w:rFonts w:ascii="Garamond" w:hAnsi="Garamond"/>
        </w:rPr>
        <w:t xml:space="preserve"> in </w:t>
      </w:r>
      <w:r w:rsidRPr="009A2E44">
        <w:rPr>
          <w:rFonts w:ascii="Garamond" w:hAnsi="Garamond"/>
          <w:b/>
          <w:bCs/>
        </w:rPr>
        <w:t>Figure 5</w:t>
      </w:r>
      <w:r w:rsidR="00421ADD" w:rsidRPr="009A2E44">
        <w:rPr>
          <w:rFonts w:ascii="Garamond" w:hAnsi="Garamond"/>
        </w:rPr>
        <w:t>). This overlap implies that Efate was as wet as ‘Uvea</w:t>
      </w:r>
      <w:r w:rsidR="00B45D55" w:rsidRPr="009A2E44">
        <w:rPr>
          <w:rFonts w:ascii="Garamond" w:hAnsi="Garamond"/>
        </w:rPr>
        <w:t xml:space="preserve"> </w:t>
      </w:r>
      <w:r w:rsidR="00040ECE" w:rsidRPr="009A2E44">
        <w:rPr>
          <w:rFonts w:ascii="Garamond" w:hAnsi="Garamond"/>
        </w:rPr>
        <w:t xml:space="preserve">before the MCA and </w:t>
      </w:r>
      <w:r w:rsidR="00C73017">
        <w:rPr>
          <w:rFonts w:ascii="Garamond" w:hAnsi="Garamond"/>
        </w:rPr>
        <w:t xml:space="preserve">drier like </w:t>
      </w:r>
      <w:r w:rsidR="00040ECE" w:rsidRPr="009A2E44">
        <w:rPr>
          <w:rFonts w:ascii="Garamond" w:hAnsi="Garamond"/>
        </w:rPr>
        <w:t>‘Upolu after the MCA</w:t>
      </w:r>
      <w:r w:rsidR="00421ADD" w:rsidRPr="009A2E44">
        <w:rPr>
          <w:rFonts w:ascii="Garamond" w:hAnsi="Garamond"/>
        </w:rPr>
        <w:t xml:space="preserve">. </w:t>
      </w:r>
      <w:r w:rsidR="00DF6360" w:rsidRPr="009A2E44">
        <w:rPr>
          <w:rFonts w:ascii="Garamond" w:hAnsi="Garamond"/>
        </w:rPr>
        <w:t>This is unexpected given the higher modern climatological precipitation rate on ‘Uvea and ‘Upolu versus Efate</w:t>
      </w:r>
      <w:r w:rsidR="00040ECE" w:rsidRPr="009A2E44">
        <w:rPr>
          <w:rFonts w:ascii="Garamond" w:hAnsi="Garamond"/>
        </w:rPr>
        <w:t xml:space="preserve"> (</w:t>
      </w:r>
      <w:r w:rsidR="00F13F12">
        <w:rPr>
          <w:rFonts w:ascii="Garamond" w:hAnsi="Garamond"/>
        </w:rPr>
        <w:t>thin dashed</w:t>
      </w:r>
      <w:r w:rsidR="00F13F12" w:rsidRPr="009A2E44">
        <w:rPr>
          <w:rFonts w:ascii="Garamond" w:hAnsi="Garamond"/>
        </w:rPr>
        <w:t xml:space="preserve"> </w:t>
      </w:r>
      <w:r w:rsidR="00040ECE" w:rsidRPr="009A2E44">
        <w:rPr>
          <w:rFonts w:ascii="Garamond" w:hAnsi="Garamond"/>
        </w:rPr>
        <w:t xml:space="preserve">horizontal lines in </w:t>
      </w:r>
      <w:r w:rsidR="00040ECE" w:rsidRPr="009A2E44">
        <w:rPr>
          <w:rFonts w:ascii="Garamond" w:hAnsi="Garamond"/>
          <w:b/>
          <w:bCs/>
        </w:rPr>
        <w:t>Figure 5</w:t>
      </w:r>
      <w:r w:rsidR="00040ECE" w:rsidRPr="009A2E44">
        <w:rPr>
          <w:rFonts w:ascii="Garamond" w:hAnsi="Garamond"/>
        </w:rPr>
        <w:t xml:space="preserve">), and the </w:t>
      </w:r>
      <w:r w:rsidR="002001D8" w:rsidRPr="009A2E44">
        <w:rPr>
          <w:rFonts w:ascii="Garamond" w:hAnsi="Garamond"/>
        </w:rPr>
        <w:t>observations</w:t>
      </w:r>
      <w:r w:rsidR="00040ECE" w:rsidRPr="009A2E44">
        <w:rPr>
          <w:rFonts w:ascii="Garamond" w:hAnsi="Garamond"/>
        </w:rPr>
        <w:t xml:space="preserve"> that Efate is rarely as wet as ‘Upolu and ‘Uvea (for instance during </w:t>
      </w:r>
      <w:r w:rsidR="0003792C">
        <w:rPr>
          <w:rFonts w:ascii="Garamond" w:hAnsi="Garamond"/>
        </w:rPr>
        <w:t xml:space="preserve">some </w:t>
      </w:r>
      <w:r w:rsidR="00040ECE" w:rsidRPr="009A2E44">
        <w:rPr>
          <w:rFonts w:ascii="Garamond" w:hAnsi="Garamond"/>
        </w:rPr>
        <w:t>La Ni</w:t>
      </w:r>
      <w:r w:rsidR="00742688" w:rsidRPr="009A2E44">
        <w:rPr>
          <w:rFonts w:ascii="Garamond" w:hAnsi="Garamond"/>
        </w:rPr>
        <w:t>ñ</w:t>
      </w:r>
      <w:r w:rsidR="00040ECE" w:rsidRPr="009A2E44">
        <w:rPr>
          <w:rFonts w:ascii="Garamond" w:hAnsi="Garamond"/>
        </w:rPr>
        <w:t>a</w:t>
      </w:r>
      <w:r w:rsidR="002E29D0" w:rsidRPr="009A2E44">
        <w:rPr>
          <w:rFonts w:ascii="Garamond" w:hAnsi="Garamond"/>
        </w:rPr>
        <w:t xml:space="preserve"> events</w:t>
      </w:r>
      <w:r w:rsidR="00040ECE" w:rsidRPr="009A2E44">
        <w:rPr>
          <w:rFonts w:ascii="Garamond" w:hAnsi="Garamond"/>
        </w:rPr>
        <w:t xml:space="preserve">, </w:t>
      </w:r>
      <w:r w:rsidR="00040ECE" w:rsidRPr="009A2E44">
        <w:rPr>
          <w:rFonts w:ascii="Garamond" w:hAnsi="Garamond"/>
          <w:b/>
          <w:bCs/>
        </w:rPr>
        <w:t>Fi</w:t>
      </w:r>
      <w:r w:rsidR="00742688" w:rsidRPr="009A2E44">
        <w:rPr>
          <w:rFonts w:ascii="Garamond" w:hAnsi="Garamond"/>
          <w:b/>
          <w:bCs/>
        </w:rPr>
        <w:t>gure 1</w:t>
      </w:r>
      <w:r w:rsidR="00742688" w:rsidRPr="009A2E44">
        <w:rPr>
          <w:rFonts w:ascii="Garamond" w:hAnsi="Garamond"/>
        </w:rPr>
        <w:t>)</w:t>
      </w:r>
      <w:r w:rsidR="00DF6360" w:rsidRPr="009A2E44">
        <w:rPr>
          <w:rFonts w:ascii="Garamond" w:hAnsi="Garamond"/>
        </w:rPr>
        <w:t>.</w:t>
      </w:r>
      <w:r w:rsidR="00B45D55" w:rsidRPr="009A2E44">
        <w:rPr>
          <w:rFonts w:ascii="Garamond" w:hAnsi="Garamond"/>
        </w:rPr>
        <w:t xml:space="preserve"> </w:t>
      </w:r>
      <w:r w:rsidR="00040ECE" w:rsidRPr="009A2E44">
        <w:rPr>
          <w:rFonts w:ascii="Garamond" w:hAnsi="Garamond"/>
        </w:rPr>
        <w:t>Comparing the precipitation rate reconstructions from all three locations indicates that the</w:t>
      </w:r>
      <w:r w:rsidR="00742688" w:rsidRPr="009A2E44">
        <w:rPr>
          <w:rFonts w:ascii="Garamond" w:hAnsi="Garamond"/>
        </w:rPr>
        <w:t xml:space="preserve"> precipitation </w:t>
      </w:r>
      <w:r w:rsidR="006658F6" w:rsidRPr="009A2E44">
        <w:rPr>
          <w:rFonts w:ascii="Garamond" w:hAnsi="Garamond"/>
        </w:rPr>
        <w:t xml:space="preserve">estimates inferred from </w:t>
      </w:r>
      <w:r w:rsidR="006658F6" w:rsidRPr="009A2E44">
        <w:rPr>
          <w:rFonts w:ascii="Garamond" w:hAnsi="Garamond"/>
          <w:iCs/>
        </w:rPr>
        <w:sym w:font="Symbol" w:char="F064"/>
      </w:r>
      <w:r w:rsidR="006658F6" w:rsidRPr="009A2E44">
        <w:rPr>
          <w:rFonts w:ascii="Garamond" w:hAnsi="Garamond"/>
          <w:iCs/>
          <w:vertAlign w:val="superscript"/>
        </w:rPr>
        <w:t>2</w:t>
      </w:r>
      <w:r w:rsidR="006658F6" w:rsidRPr="009A2E44">
        <w:rPr>
          <w:rFonts w:ascii="Garamond" w:hAnsi="Garamond"/>
          <w:iCs/>
        </w:rPr>
        <w:t>H</w:t>
      </w:r>
      <w:r w:rsidR="006658F6" w:rsidRPr="009A2E44">
        <w:rPr>
          <w:rFonts w:ascii="Garamond" w:hAnsi="Garamond"/>
          <w:iCs/>
          <w:vertAlign w:val="subscript"/>
        </w:rPr>
        <w:t>dinosterol</w:t>
      </w:r>
      <w:r w:rsidR="006658F6" w:rsidRPr="009A2E44">
        <w:rPr>
          <w:rFonts w:ascii="Garamond" w:hAnsi="Garamond"/>
        </w:rPr>
        <w:t xml:space="preserve"> values </w:t>
      </w:r>
      <w:r w:rsidR="00742688" w:rsidRPr="009A2E44">
        <w:rPr>
          <w:rFonts w:ascii="Garamond" w:hAnsi="Garamond"/>
        </w:rPr>
        <w:t xml:space="preserve">may be </w:t>
      </w:r>
      <w:r w:rsidR="006658F6" w:rsidRPr="009A2E44">
        <w:rPr>
          <w:rFonts w:ascii="Garamond" w:hAnsi="Garamond"/>
        </w:rPr>
        <w:t xml:space="preserve">most useful in a relative sense (comparing variability </w:t>
      </w:r>
      <w:r w:rsidR="00DF6360" w:rsidRPr="009A2E44">
        <w:rPr>
          <w:rFonts w:ascii="Garamond" w:hAnsi="Garamond"/>
        </w:rPr>
        <w:t xml:space="preserve">at </w:t>
      </w:r>
      <w:r w:rsidR="006658F6" w:rsidRPr="009A2E44">
        <w:rPr>
          <w:rFonts w:ascii="Garamond" w:hAnsi="Garamond"/>
        </w:rPr>
        <w:t>a single site) as opposed to an absolute sense (comparing values between sites</w:t>
      </w:r>
      <w:r w:rsidR="00742688" w:rsidRPr="009A2E44">
        <w:rPr>
          <w:rFonts w:ascii="Garamond" w:hAnsi="Garamond"/>
        </w:rPr>
        <w:t xml:space="preserve"> hundreds of kilometers apart</w:t>
      </w:r>
      <w:r w:rsidR="006658F6" w:rsidRPr="009A2E44">
        <w:rPr>
          <w:rFonts w:ascii="Garamond" w:hAnsi="Garamond"/>
        </w:rPr>
        <w:t xml:space="preserve">). </w:t>
      </w:r>
      <w:r w:rsidR="00742688" w:rsidRPr="009A2E44">
        <w:rPr>
          <w:rFonts w:ascii="Garamond" w:hAnsi="Garamond"/>
        </w:rPr>
        <w:t xml:space="preserve">Tracking additional lake-specific physical and ecological factors that influence </w:t>
      </w:r>
      <w:r w:rsidR="00742688" w:rsidRPr="009A2E44">
        <w:rPr>
          <w:rFonts w:ascii="Garamond" w:hAnsi="Garamond"/>
        </w:rPr>
        <w:sym w:font="Symbol" w:char="F064"/>
      </w:r>
      <w:r w:rsidR="00742688" w:rsidRPr="009A2E44">
        <w:rPr>
          <w:rFonts w:ascii="Garamond" w:hAnsi="Garamond"/>
          <w:vertAlign w:val="superscript"/>
        </w:rPr>
        <w:t>2</w:t>
      </w:r>
      <w:r w:rsidR="00742688" w:rsidRPr="009A2E44">
        <w:rPr>
          <w:rFonts w:ascii="Garamond" w:hAnsi="Garamond"/>
        </w:rPr>
        <w:t>H</w:t>
      </w:r>
      <w:r w:rsidR="00742688" w:rsidRPr="009A2E44">
        <w:rPr>
          <w:rFonts w:ascii="Garamond" w:hAnsi="Garamond"/>
          <w:vertAlign w:val="subscript"/>
        </w:rPr>
        <w:t>lakewater</w:t>
      </w:r>
      <w:r w:rsidR="00742688" w:rsidRPr="009A2E44">
        <w:rPr>
          <w:rFonts w:ascii="Garamond" w:hAnsi="Garamond"/>
        </w:rPr>
        <w:t xml:space="preserve">, such as the extent of vegetation cover </w:t>
      </w:r>
      <w:r w:rsidR="002E29D0" w:rsidRPr="009A2E44">
        <w:rPr>
          <w:rFonts w:ascii="Garamond" w:hAnsi="Garamond"/>
        </w:rPr>
        <w:t xml:space="preserve">over shallow lakes </w:t>
      </w:r>
      <w:r w:rsidR="00F13F12">
        <w:rPr>
          <w:rFonts w:ascii="Garamond" w:hAnsi="Garamond"/>
        </w:rPr>
        <w:t>that</w:t>
      </w:r>
      <w:r w:rsidR="002E29D0" w:rsidRPr="009A2E44">
        <w:rPr>
          <w:rFonts w:ascii="Garamond" w:hAnsi="Garamond"/>
        </w:rPr>
        <w:t xml:space="preserve"> </w:t>
      </w:r>
      <w:r w:rsidR="00742688" w:rsidRPr="009A2E44">
        <w:rPr>
          <w:rFonts w:ascii="Garamond" w:hAnsi="Garamond"/>
        </w:rPr>
        <w:t xml:space="preserve">can act as a barrier to evaporation </w:t>
      </w:r>
      <w:r w:rsidR="00742688" w:rsidRPr="009A2E44">
        <w:rPr>
          <w:rFonts w:ascii="Garamond" w:hAnsi="Garamond"/>
        </w:rPr>
        <w:fldChar w:fldCharType="begin" w:fldLock="1"/>
      </w:r>
      <w:r w:rsidR="005C7FBF" w:rsidRPr="009A2E44">
        <w:rPr>
          <w:rFonts w:ascii="Garamond" w:hAnsi="Garamond"/>
        </w:rPr>
        <w:instrText>ADDIN CSL_CITATION {"citationItems":[{"id":"ITEM-1","itemData":{"DOI":"10.1029/2020jg005891","ISSN":"2169-8953","abstract":"Abstract Hydrogen isotope ratios of sedimentary leaf waxes (δ2HWax values) are increasingly used to reconstruct past hydroclimate. Here, we add δ2HWax values from 19 lakes and four swamps on 15 tropical Pacific islands to an updated global compilation of published data from surface sediments and soils. Globally, there is a strong positive linear correlation between δ2H values of mean annual precipitation (δ2HP values) and the leaf waxes n-C29-alkane (R2 = 0.74, n = 665) and n-C28-acid (R2 = 0.74, n = 242). Tropical Pacific δ2HWax values fall within the predicted range of values based on the global calibration, and the largest residuals from the global regression line are no greater than those observed elsewhere, despite large uncertainties in δ2HP values at some Pacific sites. However, tropical Pacific δ2HWax values in isolation are not correlated with estimated δ2HP values from isoscapes or from isotope-enabled general circulation models. Palynological analyses from these same Pacific sediment samples suggest no systematic relationship between any particular type of pollen distribution and deviations from the global calibration line. Rather, the poor correlations observed in the tropical Pacific are likely a function of the small range of δ2HP values relative to the typical residuals around the global calibration line. Our results suggest that δ2HWax values are currently most suitable for use in detecting large changes in precipitation in the tropical Pacific and elsewhere, but that ample room for improving this threshold exits in both improved understanding of δ2H variability in plants, as well as in precipitation.","author":[{"dropping-particle":"","family":"Ladd","given":"S Nemiah","non-dropping-particle":"","parse-names":false,"suffix":""},{"dropping-particle":"","family":"Maloney","given":"Ashley E","non-dropping-particle":"","parse-names":false,"suffix":""},{"dropping-particle":"","family":"Nelson","given":"Daniel B","non-dropping-particle":"","parse-names":false,"suffix":""},{"dropping-particle":"","family":"Prebble","given":"Matthew","non-dropping-particle":"","parse-names":false,"suffix":""},{"dropping-particle":"","family":"Camperio","given":"G.","non-dropping-particle":"","parse-names":false,"suffix":""},{"dropping-particle":"","family":"Sear","given":"David A","non-dropping-particle":"","parse-names":false,"suffix":""},{"dropping-particle":"","family":"Hassall","given":"Jonathan D","non-dropping-particle":"","parse-names":false,"suffix":""},{"dropping-particle":"","family":"Langdon","given":"P G","non-dropping-particle":"","parse-names":false,"suffix":""},{"dropping-particle":"","family":"Sachs","given":"Julian P","non-dropping-particle":"","parse-names":false,"suffix":""},{"dropping-particle":"","family":"Dubois","given":"N","non-dropping-particle":"","parse-names":false,"suffix":""}],"container-title":"Journal of Geophysical Research: Biogeosciences","id":"ITEM-1","issued":{"date-parts":[["2021"]]},"page":"e2020JG005891","title":"Leaf Wax Hydrogen Isotope s as a Hydroclimate Proxy in the Tropical Pacific","type":"article-journal","volume":"126"},"uris":["http://www.mendeley.com/documents/?uuid=4b90027e-4dd0-4523-8745-3463b8126b6e"]},{"id":"ITEM-2","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Acta","id":"ITEM-2","issued":{"date-parts":[["2019"]]},"page":"190-206","publisher":"Elsevier Ltd","title":"Reconstructing precipitation in the tropical South Pacific from dinosterol 2H/1H ratios in lake sediment","type":"article-journal","volume":"245"},"uris":["http://www.mendeley.com/documents/?uuid=c7ab851f-4ac6-4a60-a0db-daaa3baed28f"]}],"mendeley":{"formattedCitation":"(Ladd et al., 2021; Maloney et al., 2019)","plainTextFormattedCitation":"(Ladd et al., 2021; Maloney et al., 2019)","previouslyFormattedCitation":"(Ladd et al., 2021; Maloney et al., 2019)"},"properties":{"noteIndex":0},"schema":"https://github.com/citation-style-language/schema/raw/master/csl-citation.json"}</w:instrText>
      </w:r>
      <w:r w:rsidR="00742688" w:rsidRPr="009A2E44">
        <w:rPr>
          <w:rFonts w:ascii="Garamond" w:hAnsi="Garamond"/>
        </w:rPr>
        <w:fldChar w:fldCharType="separate"/>
      </w:r>
      <w:r w:rsidR="00742688" w:rsidRPr="009A2E44">
        <w:rPr>
          <w:rFonts w:ascii="Garamond" w:hAnsi="Garamond"/>
          <w:noProof/>
        </w:rPr>
        <w:t>(Ladd et al., 2021; Maloney et al., 2019)</w:t>
      </w:r>
      <w:r w:rsidR="00742688" w:rsidRPr="009A2E44">
        <w:rPr>
          <w:rFonts w:ascii="Garamond" w:hAnsi="Garamond"/>
        </w:rPr>
        <w:fldChar w:fldCharType="end"/>
      </w:r>
      <w:r w:rsidR="00742688" w:rsidRPr="009A2E44">
        <w:rPr>
          <w:rFonts w:ascii="Garamond" w:hAnsi="Garamond"/>
        </w:rPr>
        <w:t xml:space="preserve">, may be necessary to confidently compare reconstructed precipitation rates across space. </w:t>
      </w:r>
      <w:r w:rsidR="004B71BE">
        <w:rPr>
          <w:rFonts w:ascii="Garamond" w:hAnsi="Garamond"/>
        </w:rPr>
        <w:t>Another consideration is that</w:t>
      </w:r>
      <w:r w:rsidR="0038175E">
        <w:rPr>
          <w:rFonts w:ascii="Garamond" w:hAnsi="Garamond"/>
        </w:rPr>
        <w:t xml:space="preserve"> </w:t>
      </w:r>
      <w:r w:rsidR="004B71BE">
        <w:rPr>
          <w:rFonts w:ascii="Garamond" w:hAnsi="Garamond"/>
        </w:rPr>
        <w:t>evaporation rates and/or</w:t>
      </w:r>
      <w:r w:rsidR="0038175E">
        <w:rPr>
          <w:rFonts w:ascii="Garamond" w:hAnsi="Garamond"/>
        </w:rPr>
        <w:t xml:space="preserve"> </w:t>
      </w:r>
      <w:r w:rsidR="004B71BE">
        <w:rPr>
          <w:rFonts w:ascii="Garamond" w:hAnsi="Garamond"/>
        </w:rPr>
        <w:t>the observed relationship between precipitation amount and the isotopic composition of precipitation may vary through time</w:t>
      </w:r>
      <w:r w:rsidR="0038175E">
        <w:rPr>
          <w:rFonts w:ascii="Garamond" w:hAnsi="Garamond"/>
        </w:rPr>
        <w:t xml:space="preserve">. If this happened, then the </w:t>
      </w:r>
      <w:r w:rsidR="004B71BE">
        <w:rPr>
          <w:rFonts w:ascii="Garamond" w:hAnsi="Garamond"/>
        </w:rPr>
        <w:t xml:space="preserve">application of a core top calibration </w:t>
      </w:r>
      <w:r w:rsidR="0038175E">
        <w:rPr>
          <w:rFonts w:ascii="Garamond" w:hAnsi="Garamond"/>
        </w:rPr>
        <w:t xml:space="preserve">could over- or under-estimate quantitatively reconstructed pre-instrumental precipitation rates. This is another reason why it is important to consider runoff proxies that do not rely on the stationarity </w:t>
      </w:r>
      <w:r w:rsidR="004870C7">
        <w:rPr>
          <w:rFonts w:ascii="Garamond" w:hAnsi="Garamond"/>
        </w:rPr>
        <w:t xml:space="preserve">of </w:t>
      </w:r>
      <w:r w:rsidR="0038175E">
        <w:rPr>
          <w:rFonts w:ascii="Garamond" w:hAnsi="Garamond"/>
        </w:rPr>
        <w:t>isotopic relationships</w:t>
      </w:r>
      <w:r w:rsidR="0004371C">
        <w:rPr>
          <w:rFonts w:ascii="Garamond" w:hAnsi="Garamond"/>
        </w:rPr>
        <w:t xml:space="preserve"> as part of a multi-proxy approach</w:t>
      </w:r>
      <w:r w:rsidR="004B71BE">
        <w:rPr>
          <w:rFonts w:ascii="Garamond" w:hAnsi="Garamond"/>
        </w:rPr>
        <w:t xml:space="preserve">. </w:t>
      </w:r>
      <w:r w:rsidR="00F13F12">
        <w:rPr>
          <w:rFonts w:ascii="Garamond" w:hAnsi="Garamond"/>
        </w:rPr>
        <w:t>Finally, if</w:t>
      </w:r>
      <w:r w:rsidR="006658F6" w:rsidRPr="009A2E44">
        <w:rPr>
          <w:rFonts w:ascii="Garamond" w:hAnsi="Garamond"/>
        </w:rPr>
        <w:t xml:space="preserve"> </w:t>
      </w:r>
      <w:r w:rsidR="00040ECE" w:rsidRPr="009A2E44">
        <w:rPr>
          <w:rFonts w:ascii="Garamond" w:hAnsi="Garamond"/>
        </w:rPr>
        <w:t>pre-</w:t>
      </w:r>
      <w:r w:rsidR="00125EDD">
        <w:rPr>
          <w:rFonts w:ascii="Garamond" w:hAnsi="Garamond"/>
        </w:rPr>
        <w:t>m</w:t>
      </w:r>
      <w:r w:rsidR="00125EDD" w:rsidRPr="009A2E44">
        <w:rPr>
          <w:rFonts w:ascii="Garamond" w:hAnsi="Garamond"/>
        </w:rPr>
        <w:t xml:space="preserve">odern </w:t>
      </w:r>
      <w:r w:rsidR="00B45D55" w:rsidRPr="009A2E44">
        <w:rPr>
          <w:rFonts w:ascii="Garamond" w:hAnsi="Garamond"/>
        </w:rPr>
        <w:t xml:space="preserve">SPCZ precipitation </w:t>
      </w:r>
      <w:r w:rsidR="002E29D0" w:rsidRPr="009A2E44">
        <w:rPr>
          <w:rFonts w:ascii="Garamond" w:hAnsi="Garamond"/>
        </w:rPr>
        <w:t xml:space="preserve">rates </w:t>
      </w:r>
      <w:r w:rsidR="00742688" w:rsidRPr="009A2E44">
        <w:rPr>
          <w:rFonts w:ascii="Garamond" w:hAnsi="Garamond"/>
        </w:rPr>
        <w:t xml:space="preserve">are accurately </w:t>
      </w:r>
      <w:r w:rsidR="002E29D0" w:rsidRPr="009A2E44">
        <w:rPr>
          <w:rFonts w:ascii="Garamond" w:hAnsi="Garamond"/>
        </w:rPr>
        <w:t>captured by the</w:t>
      </w:r>
      <w:r w:rsidR="00B45D55" w:rsidRPr="009A2E44">
        <w:rPr>
          <w:rFonts w:ascii="Garamond" w:hAnsi="Garamond"/>
        </w:rPr>
        <w:t xml:space="preserve"> </w:t>
      </w:r>
      <w:r w:rsidR="00040ECE" w:rsidRPr="009A2E44">
        <w:rPr>
          <w:rFonts w:ascii="Garamond" w:hAnsi="Garamond"/>
        </w:rPr>
        <w:t xml:space="preserve">reconstructed </w:t>
      </w:r>
      <w:r w:rsidR="00B45D55" w:rsidRPr="009A2E44">
        <w:rPr>
          <w:rFonts w:ascii="Garamond" w:hAnsi="Garamond"/>
        </w:rPr>
        <w:t>patterns</w:t>
      </w:r>
      <w:r w:rsidR="00742688" w:rsidRPr="009A2E44">
        <w:rPr>
          <w:rFonts w:ascii="Garamond" w:hAnsi="Garamond"/>
        </w:rPr>
        <w:t xml:space="preserve"> presented here</w:t>
      </w:r>
      <w:r w:rsidR="00DF6360" w:rsidRPr="009A2E44">
        <w:rPr>
          <w:rFonts w:ascii="Garamond" w:hAnsi="Garamond"/>
        </w:rPr>
        <w:t>,</w:t>
      </w:r>
      <w:r w:rsidR="00742688" w:rsidRPr="009A2E44">
        <w:rPr>
          <w:rFonts w:ascii="Garamond" w:hAnsi="Garamond"/>
        </w:rPr>
        <w:t xml:space="preserve"> </w:t>
      </w:r>
      <w:r w:rsidR="00F13F12">
        <w:rPr>
          <w:rFonts w:ascii="Garamond" w:hAnsi="Garamond"/>
        </w:rPr>
        <w:t>this</w:t>
      </w:r>
      <w:r w:rsidR="00F13F12" w:rsidRPr="009A2E44">
        <w:rPr>
          <w:rFonts w:ascii="Garamond" w:hAnsi="Garamond"/>
        </w:rPr>
        <w:t xml:space="preserve"> </w:t>
      </w:r>
      <w:r w:rsidR="00742688" w:rsidRPr="009A2E44">
        <w:rPr>
          <w:rFonts w:ascii="Garamond" w:hAnsi="Garamond"/>
        </w:rPr>
        <w:t xml:space="preserve">could result from local scale precipitation shifts </w:t>
      </w:r>
      <w:r w:rsidR="00742688" w:rsidRPr="009A2E44">
        <w:rPr>
          <w:rFonts w:ascii="Garamond" w:hAnsi="Garamond"/>
        </w:rPr>
        <w:fldChar w:fldCharType="begin" w:fldLock="1"/>
      </w:r>
      <w:r w:rsidR="00FA5BB3">
        <w:rPr>
          <w:rFonts w:ascii="Garamond" w:hAnsi="Garamond"/>
        </w:rPr>
        <w:instrText>ADDIN CSL_CITATION {"citationItems":[{"id":"ITEM-1","itemData":{"DOI":"10.1029/2020GL088833","ISBN":"0000000269087","ISSN":"0094-8276","PMID":"25246403","abstract":"We evaluate the longitudinal variation in meridional shifts of the tropical rainbelt in response to natural and anthropogenic forcings using a large suite of coupled climate model simulations. We find that the energetic framework of the zonal mean Hadley cell is generally not useful for characterizing shifts of the rainbelt at regional scales, regardless of the characteristics of the forcing. Forcings with large hemispheric asymmetry such as extratropical volcanic forcing and meltwater forcing give rise to robust zonal mean shifts of the rainbelt, however the direction and magnitude of the shift varies strongly as a function of longitude. Even the Pacific rainband doesn’t shift uniformly under any forcing considered. Forcings with weak hemispheric asymmetry such as CO2 and mid-Holocene forcing give rise to zonal mean shifts that are small or absent, but the rainbelt does shift regionally in coherent ways across models that may have important dynamical consequences.","author":[{"dropping-particle":"","family":"Atwood","given":"Alyssa R","non-dropping-particle":"","parse-names":false,"suffix":""},{"dropping-particle":"","family":"Donohoe","given":"Aaron","non-dropping-particle":"","parse-names":false,"suffix":""},{"dropping-particle":"","family":"Battisti","given":"David S.","non-dropping-particle":"","parse-names":false,"suffix":""},{"dropping-particle":"","family":"Liu","given":"Xiaojuan","non-dropping-particle":"","parse-names":false,"suffix":""},{"dropping-particle":"","family":"Pausata","given":"Francesco S. R.","non-dropping-particle":"","parse-names":false,"suffix":""}],"container-title":"Geophysical Research Letters","id":"ITEM-1","issue":"1","issued":{"date-parts":[["2020"]]},"page":"98-99","title":"Robust longitudinally</w:instrText>
      </w:r>
      <w:r w:rsidR="00FA5BB3">
        <w:rPr>
          <w:rFonts w:ascii="Cambria Math" w:hAnsi="Cambria Math" w:cs="Cambria Math"/>
        </w:rPr>
        <w:instrText>‐</w:instrText>
      </w:r>
      <w:r w:rsidR="00FA5BB3">
        <w:rPr>
          <w:rFonts w:ascii="Garamond" w:hAnsi="Garamond"/>
        </w:rPr>
        <w:instrText>variable responses of the ITCZ to a myriad of climate forcings","type":"article-journal","volume":"20"},"uris":["http://www.mendeley.com/documents/?uuid=b0ab11f6-9a99-4e11-a0ce-44fb6583d6ee"]}],"mendeley":{"formattedCitation":"(Atwood et al., 2020)","manualFormatting":"(e.g., Atwood et al., 2020)","plainTextFormattedCitation":"(Atwood et al., 2020)","previouslyFormattedCitation":"(Atwood et al., 2020)"},"properties":{"noteIndex":0},"schema":"https://github.com/citation-style-language/schema/raw/master/csl-citation.json"}</w:instrText>
      </w:r>
      <w:r w:rsidR="00742688" w:rsidRPr="009A2E44">
        <w:rPr>
          <w:rFonts w:ascii="Garamond" w:hAnsi="Garamond"/>
        </w:rPr>
        <w:fldChar w:fldCharType="separate"/>
      </w:r>
      <w:r w:rsidR="00742688" w:rsidRPr="009A2E44">
        <w:rPr>
          <w:rFonts w:ascii="Garamond" w:hAnsi="Garamond"/>
          <w:noProof/>
        </w:rPr>
        <w:t>(e.g.</w:t>
      </w:r>
      <w:r w:rsidR="00D1680B">
        <w:rPr>
          <w:rFonts w:ascii="Garamond" w:hAnsi="Garamond"/>
          <w:noProof/>
        </w:rPr>
        <w:t>,</w:t>
      </w:r>
      <w:r w:rsidR="00742688" w:rsidRPr="009A2E44">
        <w:rPr>
          <w:rFonts w:ascii="Garamond" w:hAnsi="Garamond"/>
          <w:noProof/>
        </w:rPr>
        <w:t xml:space="preserve"> Atwood et al., 2020)</w:t>
      </w:r>
      <w:r w:rsidR="00742688" w:rsidRPr="009A2E44">
        <w:rPr>
          <w:rFonts w:ascii="Garamond" w:hAnsi="Garamond"/>
        </w:rPr>
        <w:fldChar w:fldCharType="end"/>
      </w:r>
      <w:r w:rsidR="00742688" w:rsidRPr="009A2E44">
        <w:rPr>
          <w:rFonts w:ascii="Garamond" w:hAnsi="Garamond"/>
        </w:rPr>
        <w:t xml:space="preserve">, highlighting the need for </w:t>
      </w:r>
      <w:r w:rsidR="001972C2">
        <w:rPr>
          <w:rFonts w:ascii="Garamond" w:hAnsi="Garamond"/>
        </w:rPr>
        <w:t>multiple</w:t>
      </w:r>
      <w:r w:rsidR="001972C2" w:rsidRPr="009A2E44">
        <w:rPr>
          <w:rFonts w:ascii="Garamond" w:hAnsi="Garamond"/>
        </w:rPr>
        <w:t xml:space="preserve"> </w:t>
      </w:r>
      <w:r w:rsidR="00742688" w:rsidRPr="009A2E44">
        <w:rPr>
          <w:rFonts w:ascii="Garamond" w:hAnsi="Garamond"/>
        </w:rPr>
        <w:t xml:space="preserve">records from each </w:t>
      </w:r>
      <w:r w:rsidR="004F51AE" w:rsidRPr="009A2E44">
        <w:rPr>
          <w:rFonts w:ascii="Garamond" w:hAnsi="Garamond"/>
        </w:rPr>
        <w:t>region</w:t>
      </w:r>
      <w:r w:rsidR="00B45D55" w:rsidRPr="009A2E44">
        <w:rPr>
          <w:rFonts w:ascii="Garamond" w:hAnsi="Garamond"/>
          <w:i/>
          <w:iCs/>
        </w:rPr>
        <w:t>.</w:t>
      </w:r>
      <w:r w:rsidR="0015020B">
        <w:rPr>
          <w:rFonts w:ascii="Garamond" w:hAnsi="Garamond"/>
          <w:i/>
          <w:iCs/>
        </w:rPr>
        <w:t xml:space="preserve"> </w:t>
      </w:r>
    </w:p>
    <w:p w14:paraId="744719E6" w14:textId="49D60D3F" w:rsidR="00421ADD" w:rsidRDefault="00E93FF8" w:rsidP="001C47D3">
      <w:pPr>
        <w:spacing w:line="480" w:lineRule="auto"/>
        <w:rPr>
          <w:rFonts w:ascii="Garamond" w:hAnsi="Garamond"/>
        </w:rPr>
      </w:pPr>
      <w:r w:rsidRPr="009A2E44">
        <w:rPr>
          <w:rFonts w:ascii="Garamond" w:hAnsi="Garamond"/>
        </w:rPr>
        <w:t xml:space="preserve"> </w:t>
      </w:r>
    </w:p>
    <w:p w14:paraId="3DC10A14" w14:textId="63774DD3" w:rsidR="00731F80" w:rsidRPr="009A2E44" w:rsidRDefault="00731F80" w:rsidP="00731F80">
      <w:pPr>
        <w:spacing w:line="480" w:lineRule="auto"/>
        <w:rPr>
          <w:rFonts w:ascii="Garamond" w:hAnsi="Garamond"/>
          <w:i/>
        </w:rPr>
      </w:pPr>
      <w:r w:rsidRPr="009A2E44">
        <w:rPr>
          <w:rFonts w:ascii="Garamond" w:hAnsi="Garamond"/>
          <w:i/>
        </w:rPr>
        <w:t xml:space="preserve">5.3. </w:t>
      </w:r>
      <w:r w:rsidR="0059696A">
        <w:rPr>
          <w:rFonts w:ascii="Garamond" w:hAnsi="Garamond"/>
          <w:i/>
        </w:rPr>
        <w:t xml:space="preserve">Late </w:t>
      </w:r>
      <w:r>
        <w:rPr>
          <w:rFonts w:ascii="Garamond" w:hAnsi="Garamond"/>
          <w:i/>
        </w:rPr>
        <w:t>Holocene SPCZ</w:t>
      </w:r>
      <w:r w:rsidRPr="009A2E44">
        <w:rPr>
          <w:rFonts w:ascii="Garamond" w:hAnsi="Garamond"/>
          <w:i/>
        </w:rPr>
        <w:t xml:space="preserve"> Precipitation Variability</w:t>
      </w:r>
    </w:p>
    <w:p w14:paraId="18EB591A" w14:textId="6D49B4C3" w:rsidR="006A74FF" w:rsidRDefault="00731F80" w:rsidP="001C47D3">
      <w:pPr>
        <w:spacing w:line="480" w:lineRule="auto"/>
        <w:rPr>
          <w:rFonts w:ascii="Garamond" w:hAnsi="Garamond"/>
        </w:rPr>
      </w:pPr>
      <w:r>
        <w:rPr>
          <w:rFonts w:ascii="Garamond" w:hAnsi="Garamond"/>
        </w:rPr>
        <w:tab/>
      </w:r>
      <w:r w:rsidR="0058498C">
        <w:rPr>
          <w:rFonts w:ascii="Garamond" w:hAnsi="Garamond"/>
        </w:rPr>
        <w:t>T</w:t>
      </w:r>
      <w:r>
        <w:rPr>
          <w:rFonts w:ascii="Garamond" w:hAnsi="Garamond"/>
        </w:rPr>
        <w:t xml:space="preserve">hree SPCZ </w:t>
      </w:r>
      <w:r w:rsidRPr="009A2E44">
        <w:rPr>
          <w:rFonts w:ascii="Garamond" w:hAnsi="Garamond"/>
          <w:iCs/>
        </w:rPr>
        <w:sym w:font="Symbol" w:char="F064"/>
      </w:r>
      <w:r w:rsidRPr="009A2E44">
        <w:rPr>
          <w:rFonts w:ascii="Garamond" w:hAnsi="Garamond"/>
          <w:iCs/>
          <w:vertAlign w:val="superscript"/>
        </w:rPr>
        <w:t>2</w:t>
      </w:r>
      <w:r w:rsidRPr="009A2E44">
        <w:rPr>
          <w:rFonts w:ascii="Garamond" w:hAnsi="Garamond"/>
          <w:iCs/>
        </w:rPr>
        <w:t>H</w:t>
      </w:r>
      <w:r w:rsidRPr="009A2E44">
        <w:rPr>
          <w:rFonts w:ascii="Garamond" w:hAnsi="Garamond"/>
          <w:iCs/>
          <w:vertAlign w:val="subscript"/>
        </w:rPr>
        <w:t>dinosterol</w:t>
      </w:r>
      <w:r w:rsidRPr="009A2E44">
        <w:rPr>
          <w:rFonts w:ascii="Garamond" w:hAnsi="Garamond"/>
          <w:iCs/>
        </w:rPr>
        <w:t xml:space="preserve"> </w:t>
      </w:r>
      <w:r w:rsidRPr="009A2E44">
        <w:rPr>
          <w:rFonts w:ascii="Garamond" w:hAnsi="Garamond"/>
        </w:rPr>
        <w:t xml:space="preserve">records </w:t>
      </w:r>
      <w:r>
        <w:rPr>
          <w:rFonts w:ascii="Garamond" w:hAnsi="Garamond"/>
        </w:rPr>
        <w:t>from</w:t>
      </w:r>
      <w:r w:rsidRPr="009A2E44">
        <w:rPr>
          <w:rFonts w:ascii="Garamond" w:hAnsi="Garamond"/>
        </w:rPr>
        <w:t xml:space="preserve"> Lac Lanutavake</w:t>
      </w:r>
      <w:r w:rsidR="001E5FBF">
        <w:rPr>
          <w:rFonts w:ascii="Garamond" w:hAnsi="Garamond"/>
        </w:rPr>
        <w:t xml:space="preserve"> (</w:t>
      </w:r>
      <w:r w:rsidRPr="009A2E44">
        <w:rPr>
          <w:rFonts w:ascii="Garamond" w:hAnsi="Garamond"/>
        </w:rPr>
        <w:t>‘Uvea</w:t>
      </w:r>
      <w:r w:rsidR="001E5FBF">
        <w:rPr>
          <w:rFonts w:ascii="Garamond" w:hAnsi="Garamond"/>
        </w:rPr>
        <w:t xml:space="preserve">, </w:t>
      </w:r>
      <w:r>
        <w:rPr>
          <w:rFonts w:ascii="Garamond" w:hAnsi="Garamond"/>
        </w:rPr>
        <w:t xml:space="preserve">Wallis et Futuna), Lake Emaotul </w:t>
      </w:r>
      <w:r w:rsidR="001E5FBF">
        <w:rPr>
          <w:rFonts w:ascii="Garamond" w:hAnsi="Garamond"/>
        </w:rPr>
        <w:t>(</w:t>
      </w:r>
      <w:r w:rsidRPr="009A2E44">
        <w:rPr>
          <w:rFonts w:ascii="Garamond" w:hAnsi="Garamond"/>
        </w:rPr>
        <w:t>Efate</w:t>
      </w:r>
      <w:r w:rsidR="001E5FBF">
        <w:rPr>
          <w:rFonts w:ascii="Garamond" w:hAnsi="Garamond"/>
        </w:rPr>
        <w:t xml:space="preserve">, </w:t>
      </w:r>
      <w:r w:rsidRPr="009A2E44">
        <w:rPr>
          <w:rFonts w:ascii="Garamond" w:hAnsi="Garamond"/>
        </w:rPr>
        <w:t>Vanuatu</w:t>
      </w:r>
      <w:r>
        <w:rPr>
          <w:rFonts w:ascii="Garamond" w:hAnsi="Garamond"/>
        </w:rPr>
        <w:t>)</w:t>
      </w:r>
      <w:r w:rsidR="0058498C">
        <w:rPr>
          <w:rFonts w:ascii="Garamond" w:hAnsi="Garamond"/>
        </w:rPr>
        <w:t>,</w:t>
      </w:r>
      <w:r w:rsidRPr="009A2E44">
        <w:rPr>
          <w:rFonts w:ascii="Garamond" w:hAnsi="Garamond"/>
        </w:rPr>
        <w:t xml:space="preserve"> and </w:t>
      </w:r>
      <w:r>
        <w:rPr>
          <w:rFonts w:ascii="Garamond" w:hAnsi="Garamond"/>
        </w:rPr>
        <w:t xml:space="preserve">Lake Lanoto’o </w:t>
      </w:r>
      <w:r w:rsidR="001E5FBF">
        <w:rPr>
          <w:rFonts w:ascii="Garamond" w:hAnsi="Garamond"/>
        </w:rPr>
        <w:t>(</w:t>
      </w:r>
      <w:r w:rsidRPr="009A2E44">
        <w:rPr>
          <w:rFonts w:ascii="Garamond" w:hAnsi="Garamond"/>
        </w:rPr>
        <w:t>‘Upolu</w:t>
      </w:r>
      <w:r w:rsidR="001E5FBF">
        <w:rPr>
          <w:rFonts w:ascii="Garamond" w:hAnsi="Garamond"/>
        </w:rPr>
        <w:t xml:space="preserve">, </w:t>
      </w:r>
      <w:r w:rsidRPr="009A2E44">
        <w:rPr>
          <w:rFonts w:ascii="Garamond" w:hAnsi="Garamond"/>
        </w:rPr>
        <w:t>Samoa</w:t>
      </w:r>
      <w:r>
        <w:rPr>
          <w:rFonts w:ascii="Garamond" w:hAnsi="Garamond"/>
        </w:rPr>
        <w:t>)</w:t>
      </w:r>
      <w:r w:rsidR="0058498C">
        <w:rPr>
          <w:rFonts w:ascii="Garamond" w:hAnsi="Garamond"/>
        </w:rPr>
        <w:t xml:space="preserve"> offer an opportunity to understand long term drivers of SPCZ GPCP-like precipitation rate variability. </w:t>
      </w:r>
      <w:r w:rsidR="00590FF2">
        <w:rPr>
          <w:rFonts w:ascii="Garamond" w:hAnsi="Garamond"/>
        </w:rPr>
        <w:t xml:space="preserve">Each core has unique </w:t>
      </w:r>
      <w:proofErr w:type="gramStart"/>
      <w:r w:rsidR="006F4C73">
        <w:rPr>
          <w:rFonts w:ascii="Garamond" w:hAnsi="Garamond"/>
        </w:rPr>
        <w:t>high-frequency</w:t>
      </w:r>
      <w:proofErr w:type="gramEnd"/>
      <w:r w:rsidR="0058498C">
        <w:rPr>
          <w:rFonts w:ascii="Garamond" w:hAnsi="Garamond"/>
        </w:rPr>
        <w:t xml:space="preserve"> </w:t>
      </w:r>
      <w:r w:rsidR="00590FF2" w:rsidRPr="009A2E44">
        <w:rPr>
          <w:rFonts w:ascii="Garamond" w:hAnsi="Garamond"/>
          <w:iCs/>
        </w:rPr>
        <w:sym w:font="Symbol" w:char="F064"/>
      </w:r>
      <w:r w:rsidR="00590FF2" w:rsidRPr="009A2E44">
        <w:rPr>
          <w:rFonts w:ascii="Garamond" w:hAnsi="Garamond"/>
          <w:iCs/>
          <w:vertAlign w:val="superscript"/>
        </w:rPr>
        <w:t>2</w:t>
      </w:r>
      <w:r w:rsidR="00590FF2" w:rsidRPr="009A2E44">
        <w:rPr>
          <w:rFonts w:ascii="Garamond" w:hAnsi="Garamond"/>
          <w:iCs/>
        </w:rPr>
        <w:t>H</w:t>
      </w:r>
      <w:r w:rsidR="00590FF2" w:rsidRPr="009A2E44">
        <w:rPr>
          <w:rFonts w:ascii="Garamond" w:hAnsi="Garamond"/>
          <w:iCs/>
          <w:vertAlign w:val="subscript"/>
        </w:rPr>
        <w:t>dinosterol</w:t>
      </w:r>
      <w:r w:rsidR="00F375F8">
        <w:rPr>
          <w:rFonts w:ascii="Garamond" w:hAnsi="Garamond"/>
        </w:rPr>
        <w:t xml:space="preserve"> </w:t>
      </w:r>
      <w:r w:rsidR="006F4C73">
        <w:rPr>
          <w:rFonts w:ascii="Garamond" w:hAnsi="Garamond"/>
        </w:rPr>
        <w:t>changes</w:t>
      </w:r>
      <w:r w:rsidR="00F375F8">
        <w:rPr>
          <w:rFonts w:ascii="Garamond" w:hAnsi="Garamond"/>
        </w:rPr>
        <w:t>,</w:t>
      </w:r>
      <w:r w:rsidR="0058498C">
        <w:rPr>
          <w:rFonts w:ascii="Garamond" w:hAnsi="Garamond"/>
        </w:rPr>
        <w:t xml:space="preserve"> </w:t>
      </w:r>
      <w:r w:rsidR="00590FF2">
        <w:rPr>
          <w:rFonts w:ascii="Garamond" w:hAnsi="Garamond"/>
        </w:rPr>
        <w:lastRenderedPageBreak/>
        <w:t xml:space="preserve">different ranges in reconstructed precipitation rates, </w:t>
      </w:r>
      <w:r w:rsidR="00F375F8">
        <w:rPr>
          <w:rFonts w:ascii="Garamond" w:hAnsi="Garamond"/>
        </w:rPr>
        <w:t xml:space="preserve">and </w:t>
      </w:r>
      <w:r w:rsidR="009833E4">
        <w:rPr>
          <w:rFonts w:ascii="Garamond" w:hAnsi="Garamond"/>
        </w:rPr>
        <w:t>distinct</w:t>
      </w:r>
      <w:r w:rsidR="00F375F8">
        <w:rPr>
          <w:rFonts w:ascii="Garamond" w:hAnsi="Garamond"/>
        </w:rPr>
        <w:t xml:space="preserve"> correlations with available </w:t>
      </w:r>
      <w:r w:rsidR="009833E4">
        <w:rPr>
          <w:rFonts w:ascii="Garamond" w:hAnsi="Garamond"/>
        </w:rPr>
        <w:t xml:space="preserve">runoff </w:t>
      </w:r>
      <w:r w:rsidR="00F375F8">
        <w:rPr>
          <w:rFonts w:ascii="Garamond" w:hAnsi="Garamond"/>
        </w:rPr>
        <w:t xml:space="preserve">data. These differences likely result from </w:t>
      </w:r>
      <w:r w:rsidR="007A2C7B">
        <w:rPr>
          <w:rFonts w:ascii="Garamond" w:hAnsi="Garamond"/>
        </w:rPr>
        <w:t xml:space="preserve">the </w:t>
      </w:r>
      <w:r w:rsidR="00F375F8">
        <w:rPr>
          <w:rFonts w:ascii="Garamond" w:hAnsi="Garamond"/>
        </w:rPr>
        <w:t xml:space="preserve">diverse environmental settings of each lake, variable sampling intervals, </w:t>
      </w:r>
      <w:r w:rsidR="007A2C7B">
        <w:rPr>
          <w:rFonts w:ascii="Garamond" w:hAnsi="Garamond"/>
        </w:rPr>
        <w:t xml:space="preserve">changes in the source and transport of precipitation, </w:t>
      </w:r>
      <w:r w:rsidR="00357F58">
        <w:rPr>
          <w:rFonts w:ascii="Garamond" w:hAnsi="Garamond"/>
        </w:rPr>
        <w:t xml:space="preserve">local precipitation/evaporation </w:t>
      </w:r>
      <w:r w:rsidR="007A2C7B">
        <w:rPr>
          <w:rFonts w:ascii="Garamond" w:hAnsi="Garamond"/>
        </w:rPr>
        <w:t xml:space="preserve">rate </w:t>
      </w:r>
      <w:r w:rsidR="00357F58">
        <w:rPr>
          <w:rFonts w:ascii="Garamond" w:hAnsi="Garamond"/>
        </w:rPr>
        <w:t>shifts</w:t>
      </w:r>
      <w:r w:rsidR="00E24976">
        <w:rPr>
          <w:rFonts w:ascii="Garamond" w:hAnsi="Garamond"/>
        </w:rPr>
        <w:t xml:space="preserve">, and </w:t>
      </w:r>
      <w:r w:rsidR="009833E4">
        <w:rPr>
          <w:rFonts w:ascii="Garamond" w:hAnsi="Garamond"/>
        </w:rPr>
        <w:t>large</w:t>
      </w:r>
      <w:r w:rsidR="00332DD5">
        <w:rPr>
          <w:rFonts w:ascii="Garamond" w:hAnsi="Garamond"/>
        </w:rPr>
        <w:t>-</w:t>
      </w:r>
      <w:r w:rsidR="009833E4">
        <w:rPr>
          <w:rFonts w:ascii="Garamond" w:hAnsi="Garamond"/>
        </w:rPr>
        <w:t xml:space="preserve">scale changes in SPCZ </w:t>
      </w:r>
      <w:r w:rsidR="007A2C7B">
        <w:rPr>
          <w:rFonts w:ascii="Garamond" w:hAnsi="Garamond"/>
        </w:rPr>
        <w:t>position</w:t>
      </w:r>
      <w:r w:rsidR="009833E4">
        <w:rPr>
          <w:rFonts w:ascii="Garamond" w:hAnsi="Garamond"/>
        </w:rPr>
        <w:t xml:space="preserve"> or intensity that differentially impact each location</w:t>
      </w:r>
      <w:r w:rsidR="007A2C7B">
        <w:rPr>
          <w:rFonts w:ascii="Garamond" w:hAnsi="Garamond"/>
        </w:rPr>
        <w:t>. S</w:t>
      </w:r>
      <w:r w:rsidR="00A151F8">
        <w:rPr>
          <w:rFonts w:ascii="Garamond" w:hAnsi="Garamond"/>
        </w:rPr>
        <w:t xml:space="preserve">ite </w:t>
      </w:r>
      <w:r w:rsidR="007A2C7B">
        <w:rPr>
          <w:rFonts w:ascii="Garamond" w:hAnsi="Garamond"/>
        </w:rPr>
        <w:t>and</w:t>
      </w:r>
      <w:r w:rsidR="00A151F8">
        <w:rPr>
          <w:rFonts w:ascii="Garamond" w:hAnsi="Garamond"/>
        </w:rPr>
        <w:t xml:space="preserve"> proxy </w:t>
      </w:r>
      <w:r w:rsidR="009833E4">
        <w:rPr>
          <w:rFonts w:ascii="Garamond" w:hAnsi="Garamond"/>
        </w:rPr>
        <w:t xml:space="preserve">replication </w:t>
      </w:r>
      <w:r w:rsidR="007A2C7B">
        <w:rPr>
          <w:rFonts w:ascii="Garamond" w:hAnsi="Garamond"/>
        </w:rPr>
        <w:t xml:space="preserve">is </w:t>
      </w:r>
      <w:r w:rsidR="00332DD5">
        <w:rPr>
          <w:rFonts w:ascii="Garamond" w:hAnsi="Garamond"/>
        </w:rPr>
        <w:t>required</w:t>
      </w:r>
      <w:r w:rsidR="007A2C7B">
        <w:rPr>
          <w:rFonts w:ascii="Garamond" w:hAnsi="Garamond"/>
        </w:rPr>
        <w:t xml:space="preserve"> for</w:t>
      </w:r>
      <w:r w:rsidR="00D67FE3">
        <w:rPr>
          <w:rFonts w:ascii="Garamond" w:hAnsi="Garamond"/>
        </w:rPr>
        <w:t xml:space="preserve"> </w:t>
      </w:r>
      <w:r w:rsidR="007A2C7B">
        <w:rPr>
          <w:rFonts w:ascii="Garamond" w:hAnsi="Garamond"/>
        </w:rPr>
        <w:t xml:space="preserve">interpreting </w:t>
      </w:r>
      <w:r w:rsidR="00FF2DC6">
        <w:rPr>
          <w:rFonts w:ascii="Garamond" w:hAnsi="Garamond"/>
        </w:rPr>
        <w:t xml:space="preserve">local versus </w:t>
      </w:r>
      <w:r w:rsidR="00727656">
        <w:rPr>
          <w:rFonts w:ascii="Garamond" w:hAnsi="Garamond"/>
        </w:rPr>
        <w:t>regional</w:t>
      </w:r>
      <w:r w:rsidR="00FF2DC6">
        <w:rPr>
          <w:rFonts w:ascii="Garamond" w:hAnsi="Garamond"/>
        </w:rPr>
        <w:t xml:space="preserve"> scale </w:t>
      </w:r>
      <w:r w:rsidR="00727656">
        <w:rPr>
          <w:rFonts w:ascii="Garamond" w:hAnsi="Garamond"/>
        </w:rPr>
        <w:t xml:space="preserve">precipitation rate </w:t>
      </w:r>
      <w:r w:rsidR="00FF2DC6">
        <w:rPr>
          <w:rFonts w:ascii="Garamond" w:hAnsi="Garamond"/>
        </w:rPr>
        <w:t>changes</w:t>
      </w:r>
      <w:r w:rsidR="00D67FE3">
        <w:rPr>
          <w:rFonts w:ascii="Garamond" w:hAnsi="Garamond"/>
        </w:rPr>
        <w:t xml:space="preserve">. </w:t>
      </w:r>
      <w:r w:rsidR="00727656">
        <w:rPr>
          <w:rFonts w:ascii="Garamond" w:hAnsi="Garamond"/>
        </w:rPr>
        <w:t>While</w:t>
      </w:r>
      <w:r w:rsidR="00D67FE3">
        <w:rPr>
          <w:rFonts w:ascii="Garamond" w:hAnsi="Garamond"/>
        </w:rPr>
        <w:t xml:space="preserve"> </w:t>
      </w:r>
      <w:r w:rsidR="00727656">
        <w:rPr>
          <w:rFonts w:ascii="Garamond" w:hAnsi="Garamond"/>
        </w:rPr>
        <w:t>all</w:t>
      </w:r>
      <w:r w:rsidR="00D67FE3">
        <w:rPr>
          <w:rFonts w:ascii="Garamond" w:hAnsi="Garamond"/>
        </w:rPr>
        <w:t xml:space="preserve"> records from </w:t>
      </w:r>
      <w:r w:rsidR="00C13850">
        <w:rPr>
          <w:rFonts w:ascii="Garamond" w:hAnsi="Garamond"/>
        </w:rPr>
        <w:t>‘Upolu</w:t>
      </w:r>
      <w:r w:rsidR="00D67FE3">
        <w:rPr>
          <w:rFonts w:ascii="Garamond" w:hAnsi="Garamond"/>
        </w:rPr>
        <w:t xml:space="preserve"> indicate a drier mid-LIA, </w:t>
      </w:r>
      <w:r w:rsidR="00C13850">
        <w:rPr>
          <w:rFonts w:ascii="Garamond" w:hAnsi="Garamond"/>
        </w:rPr>
        <w:t xml:space="preserve">duplicate </w:t>
      </w:r>
      <w:r w:rsidR="00E24976" w:rsidRPr="009A2E44">
        <w:rPr>
          <w:rFonts w:ascii="Garamond" w:hAnsi="Garamond"/>
          <w:iCs/>
        </w:rPr>
        <w:sym w:font="Symbol" w:char="F064"/>
      </w:r>
      <w:r w:rsidR="00E24976" w:rsidRPr="009A2E44">
        <w:rPr>
          <w:rFonts w:ascii="Garamond" w:hAnsi="Garamond"/>
          <w:iCs/>
          <w:vertAlign w:val="superscript"/>
        </w:rPr>
        <w:t>2</w:t>
      </w:r>
      <w:r w:rsidR="00E24976" w:rsidRPr="009A2E44">
        <w:rPr>
          <w:rFonts w:ascii="Garamond" w:hAnsi="Garamond"/>
          <w:iCs/>
        </w:rPr>
        <w:t>H</w:t>
      </w:r>
      <w:r w:rsidR="00E24976" w:rsidRPr="009A2E44">
        <w:rPr>
          <w:rFonts w:ascii="Garamond" w:hAnsi="Garamond"/>
          <w:iCs/>
          <w:vertAlign w:val="subscript"/>
        </w:rPr>
        <w:t>dinosterol</w:t>
      </w:r>
      <w:r w:rsidR="00E24976" w:rsidRPr="009A2E44">
        <w:rPr>
          <w:rFonts w:ascii="Garamond" w:hAnsi="Garamond"/>
          <w:iCs/>
        </w:rPr>
        <w:t xml:space="preserve"> </w:t>
      </w:r>
      <w:r w:rsidR="00C13850">
        <w:rPr>
          <w:rFonts w:ascii="Garamond" w:hAnsi="Garamond"/>
        </w:rPr>
        <w:t>records from ‘Uvea’s Lac Lanutavake</w:t>
      </w:r>
      <w:r w:rsidR="00E24976">
        <w:rPr>
          <w:rFonts w:ascii="Garamond" w:hAnsi="Garamond"/>
        </w:rPr>
        <w:t xml:space="preserve"> and records from Efate’s Lake Emaotul</w:t>
      </w:r>
      <w:r w:rsidR="00C13850">
        <w:rPr>
          <w:rFonts w:ascii="Garamond" w:hAnsi="Garamond"/>
        </w:rPr>
        <w:t xml:space="preserve"> </w:t>
      </w:r>
      <w:r w:rsidR="00A151F8">
        <w:rPr>
          <w:rFonts w:ascii="Garamond" w:hAnsi="Garamond"/>
        </w:rPr>
        <w:t>are relatively stable</w:t>
      </w:r>
      <w:r w:rsidR="00C13850">
        <w:rPr>
          <w:rFonts w:ascii="Garamond" w:hAnsi="Garamond"/>
        </w:rPr>
        <w:t xml:space="preserve"> across the LIA</w:t>
      </w:r>
      <w:r w:rsidR="00E24976">
        <w:rPr>
          <w:rFonts w:ascii="Garamond" w:hAnsi="Garamond"/>
        </w:rPr>
        <w:t xml:space="preserve"> (</w:t>
      </w:r>
      <w:r w:rsidR="00E24976" w:rsidRPr="00E24976">
        <w:rPr>
          <w:rFonts w:ascii="Garamond" w:hAnsi="Garamond"/>
          <w:b/>
          <w:bCs/>
        </w:rPr>
        <w:t>Fig. A.9</w:t>
      </w:r>
      <w:r w:rsidR="00E24976">
        <w:rPr>
          <w:rFonts w:ascii="Garamond" w:hAnsi="Garamond"/>
        </w:rPr>
        <w:t>)</w:t>
      </w:r>
      <w:r w:rsidR="00714CF5">
        <w:rPr>
          <w:rFonts w:ascii="Garamond" w:hAnsi="Garamond"/>
        </w:rPr>
        <w:t xml:space="preserve">. Currently there is no site or proxy replication during the LIA from ‘Uvea, making it difficult to confidently interpret </w:t>
      </w:r>
      <w:r w:rsidR="006A74FF">
        <w:rPr>
          <w:rFonts w:ascii="Garamond" w:hAnsi="Garamond"/>
        </w:rPr>
        <w:t xml:space="preserve">local versus large scale </w:t>
      </w:r>
      <w:r w:rsidR="00714CF5">
        <w:rPr>
          <w:rFonts w:ascii="Garamond" w:hAnsi="Garamond"/>
        </w:rPr>
        <w:t>SPCZ behavior</w:t>
      </w:r>
      <w:r w:rsidR="00BC7B8A">
        <w:rPr>
          <w:rFonts w:ascii="Garamond" w:hAnsi="Garamond"/>
        </w:rPr>
        <w:t xml:space="preserve">. </w:t>
      </w:r>
      <w:r w:rsidR="00E24976">
        <w:rPr>
          <w:rFonts w:ascii="Garamond" w:hAnsi="Garamond"/>
        </w:rPr>
        <w:t>A</w:t>
      </w:r>
      <w:r w:rsidR="00A151F8">
        <w:rPr>
          <w:rFonts w:ascii="Garamond" w:hAnsi="Garamond"/>
        </w:rPr>
        <w:t xml:space="preserve">dditional records </w:t>
      </w:r>
      <w:r w:rsidR="00167935">
        <w:rPr>
          <w:rFonts w:ascii="Garamond" w:hAnsi="Garamond"/>
        </w:rPr>
        <w:t>that capture LIA</w:t>
      </w:r>
      <w:r w:rsidR="00A151F8">
        <w:rPr>
          <w:rFonts w:ascii="Garamond" w:hAnsi="Garamond"/>
        </w:rPr>
        <w:t xml:space="preserve"> </w:t>
      </w:r>
      <w:r w:rsidR="00167935">
        <w:rPr>
          <w:rFonts w:ascii="Garamond" w:hAnsi="Garamond"/>
        </w:rPr>
        <w:t>runoff in Lac Lanutavake, or cores</w:t>
      </w:r>
      <w:r w:rsidR="00A151F8">
        <w:rPr>
          <w:rFonts w:ascii="Garamond" w:hAnsi="Garamond"/>
        </w:rPr>
        <w:t xml:space="preserve"> from ‘Uvea’s Lake </w:t>
      </w:r>
      <w:proofErr w:type="spellStart"/>
      <w:r w:rsidR="00A151F8">
        <w:rPr>
          <w:rFonts w:ascii="Garamond" w:hAnsi="Garamond"/>
        </w:rPr>
        <w:t>Lano</w:t>
      </w:r>
      <w:proofErr w:type="spellEnd"/>
      <w:r w:rsidR="001E5FBF">
        <w:rPr>
          <w:rFonts w:ascii="Garamond" w:hAnsi="Garamond"/>
        </w:rPr>
        <w:t>,</w:t>
      </w:r>
      <w:r w:rsidR="00A151F8">
        <w:rPr>
          <w:rFonts w:ascii="Garamond" w:hAnsi="Garamond"/>
        </w:rPr>
        <w:t xml:space="preserve"> would be valuable for </w:t>
      </w:r>
      <w:r w:rsidR="00E24976">
        <w:rPr>
          <w:rFonts w:ascii="Garamond" w:hAnsi="Garamond"/>
        </w:rPr>
        <w:t>understanding the nature of SPCZ variability during the LIA</w:t>
      </w:r>
      <w:r w:rsidR="00A151F8">
        <w:rPr>
          <w:rFonts w:ascii="Garamond" w:hAnsi="Garamond"/>
        </w:rPr>
        <w:t xml:space="preserve"> before invoking </w:t>
      </w:r>
      <w:r w:rsidR="006A74FF">
        <w:rPr>
          <w:rFonts w:ascii="Garamond" w:hAnsi="Garamond"/>
        </w:rPr>
        <w:t xml:space="preserve">detailed </w:t>
      </w:r>
      <w:r w:rsidR="00A151F8">
        <w:rPr>
          <w:rFonts w:ascii="Garamond" w:hAnsi="Garamond"/>
        </w:rPr>
        <w:t xml:space="preserve">ocean-atmospheric </w:t>
      </w:r>
      <w:r w:rsidR="006A74FF">
        <w:rPr>
          <w:rFonts w:ascii="Garamond" w:hAnsi="Garamond"/>
        </w:rPr>
        <w:t>forcings</w:t>
      </w:r>
      <w:r w:rsidR="000F4DE7">
        <w:rPr>
          <w:rFonts w:ascii="Garamond" w:hAnsi="Garamond"/>
        </w:rPr>
        <w:t xml:space="preserve"> during this period</w:t>
      </w:r>
      <w:r w:rsidR="009833E4">
        <w:rPr>
          <w:rFonts w:ascii="Garamond" w:hAnsi="Garamond"/>
        </w:rPr>
        <w:t xml:space="preserve">. </w:t>
      </w:r>
    </w:p>
    <w:p w14:paraId="710A086F" w14:textId="05F0D500" w:rsidR="00AF753C" w:rsidRDefault="009833E4" w:rsidP="006A74FF">
      <w:pPr>
        <w:spacing w:line="480" w:lineRule="auto"/>
        <w:ind w:firstLine="720"/>
        <w:rPr>
          <w:rFonts w:ascii="Garamond" w:hAnsi="Garamond"/>
        </w:rPr>
      </w:pPr>
      <w:r>
        <w:rPr>
          <w:rFonts w:ascii="Garamond" w:hAnsi="Garamond"/>
        </w:rPr>
        <w:t>Where long</w:t>
      </w:r>
      <w:r w:rsidR="00504053">
        <w:rPr>
          <w:rFonts w:ascii="Garamond" w:hAnsi="Garamond"/>
        </w:rPr>
        <w:t>-</w:t>
      </w:r>
      <w:r>
        <w:rPr>
          <w:rFonts w:ascii="Garamond" w:hAnsi="Garamond"/>
        </w:rPr>
        <w:t>term trends do agree</w:t>
      </w:r>
      <w:r w:rsidR="00C13850">
        <w:rPr>
          <w:rFonts w:ascii="Garamond" w:hAnsi="Garamond"/>
        </w:rPr>
        <w:t xml:space="preserve"> </w:t>
      </w:r>
      <w:r w:rsidR="00AF753C">
        <w:rPr>
          <w:rFonts w:ascii="Garamond" w:hAnsi="Garamond"/>
        </w:rPr>
        <w:t>across several</w:t>
      </w:r>
      <w:r w:rsidR="00C13850">
        <w:rPr>
          <w:rFonts w:ascii="Garamond" w:hAnsi="Garamond"/>
        </w:rPr>
        <w:t xml:space="preserve"> sites</w:t>
      </w:r>
      <w:r>
        <w:rPr>
          <w:rFonts w:ascii="Garamond" w:hAnsi="Garamond"/>
        </w:rPr>
        <w:t xml:space="preserve">, especially during the MCA when </w:t>
      </w:r>
      <w:r w:rsidR="006A74FF">
        <w:rPr>
          <w:rFonts w:ascii="Garamond" w:hAnsi="Garamond"/>
        </w:rPr>
        <w:t>multiple</w:t>
      </w:r>
      <w:r>
        <w:rPr>
          <w:rFonts w:ascii="Garamond" w:hAnsi="Garamond"/>
        </w:rPr>
        <w:t xml:space="preserve"> proxies</w:t>
      </w:r>
      <w:r w:rsidR="00B653F9">
        <w:rPr>
          <w:rFonts w:ascii="Garamond" w:hAnsi="Garamond"/>
        </w:rPr>
        <w:t xml:space="preserve"> </w:t>
      </w:r>
      <w:r w:rsidR="006A74FF">
        <w:rPr>
          <w:rFonts w:ascii="Garamond" w:hAnsi="Garamond"/>
        </w:rPr>
        <w:t>at each site</w:t>
      </w:r>
      <w:r w:rsidR="00B653F9">
        <w:rPr>
          <w:rFonts w:ascii="Garamond" w:hAnsi="Garamond"/>
        </w:rPr>
        <w:t xml:space="preserve"> </w:t>
      </w:r>
      <w:r>
        <w:rPr>
          <w:rFonts w:ascii="Garamond" w:hAnsi="Garamond"/>
        </w:rPr>
        <w:t xml:space="preserve">indicate a dry period, </w:t>
      </w:r>
      <w:r w:rsidR="00A43036">
        <w:rPr>
          <w:rFonts w:ascii="Garamond" w:hAnsi="Garamond"/>
        </w:rPr>
        <w:t xml:space="preserve">a large-scale </w:t>
      </w:r>
      <w:r w:rsidR="00504053">
        <w:rPr>
          <w:rFonts w:ascii="Garamond" w:hAnsi="Garamond"/>
        </w:rPr>
        <w:t>change in</w:t>
      </w:r>
      <w:r w:rsidR="00A43036">
        <w:rPr>
          <w:rFonts w:ascii="Garamond" w:hAnsi="Garamond"/>
        </w:rPr>
        <w:t xml:space="preserve"> SPCZ intensity or position </w:t>
      </w:r>
      <w:r w:rsidR="006A74FF">
        <w:rPr>
          <w:rFonts w:ascii="Garamond" w:hAnsi="Garamond"/>
        </w:rPr>
        <w:t xml:space="preserve">can more confidently be </w:t>
      </w:r>
      <w:r w:rsidR="00E24976">
        <w:rPr>
          <w:rFonts w:ascii="Garamond" w:hAnsi="Garamond"/>
        </w:rPr>
        <w:t>considered</w:t>
      </w:r>
      <w:r w:rsidR="00A43036">
        <w:rPr>
          <w:rFonts w:ascii="Garamond" w:hAnsi="Garamond"/>
        </w:rPr>
        <w:t>.</w:t>
      </w:r>
      <w:r w:rsidR="006A74FF">
        <w:rPr>
          <w:rFonts w:ascii="Garamond" w:hAnsi="Garamond"/>
        </w:rPr>
        <w:t xml:space="preserve"> </w:t>
      </w:r>
      <w:r w:rsidR="00504053">
        <w:rPr>
          <w:rFonts w:ascii="Garamond" w:hAnsi="Garamond"/>
        </w:rPr>
        <w:t>Below our</w:t>
      </w:r>
      <w:r w:rsidR="00A43036">
        <w:rPr>
          <w:rFonts w:ascii="Garamond" w:hAnsi="Garamond"/>
        </w:rPr>
        <w:t xml:space="preserve"> SPCZ </w:t>
      </w:r>
      <w:r w:rsidR="006A74FF">
        <w:rPr>
          <w:rFonts w:ascii="Garamond" w:hAnsi="Garamond"/>
        </w:rPr>
        <w:t xml:space="preserve">runoff and </w:t>
      </w:r>
      <w:r w:rsidR="00A43036" w:rsidRPr="009A2E44">
        <w:rPr>
          <w:rFonts w:ascii="Garamond" w:hAnsi="Garamond"/>
          <w:iCs/>
        </w:rPr>
        <w:sym w:font="Symbol" w:char="F064"/>
      </w:r>
      <w:r w:rsidR="00A43036" w:rsidRPr="009A2E44">
        <w:rPr>
          <w:rFonts w:ascii="Garamond" w:hAnsi="Garamond"/>
          <w:iCs/>
          <w:vertAlign w:val="superscript"/>
        </w:rPr>
        <w:t>2</w:t>
      </w:r>
      <w:r w:rsidR="00A43036" w:rsidRPr="009A2E44">
        <w:rPr>
          <w:rFonts w:ascii="Garamond" w:hAnsi="Garamond"/>
          <w:iCs/>
        </w:rPr>
        <w:t>H</w:t>
      </w:r>
      <w:r w:rsidR="00A43036" w:rsidRPr="009A2E44">
        <w:rPr>
          <w:rFonts w:ascii="Garamond" w:hAnsi="Garamond"/>
          <w:iCs/>
          <w:vertAlign w:val="subscript"/>
        </w:rPr>
        <w:t>dinosterol</w:t>
      </w:r>
      <w:r w:rsidR="00A43036" w:rsidRPr="009A2E44">
        <w:rPr>
          <w:rFonts w:ascii="Garamond" w:hAnsi="Garamond"/>
          <w:iCs/>
        </w:rPr>
        <w:t xml:space="preserve"> </w:t>
      </w:r>
      <w:r w:rsidR="00A43036" w:rsidRPr="009A2E44">
        <w:rPr>
          <w:rFonts w:ascii="Garamond" w:hAnsi="Garamond"/>
        </w:rPr>
        <w:t xml:space="preserve">records </w:t>
      </w:r>
      <w:r w:rsidR="00504053">
        <w:rPr>
          <w:rFonts w:ascii="Garamond" w:hAnsi="Garamond"/>
        </w:rPr>
        <w:t xml:space="preserve">are compared </w:t>
      </w:r>
      <w:r w:rsidR="00A43036">
        <w:rPr>
          <w:rFonts w:ascii="Garamond" w:hAnsi="Garamond"/>
        </w:rPr>
        <w:t xml:space="preserve">to other </w:t>
      </w:r>
      <w:r w:rsidR="00504053">
        <w:rPr>
          <w:rFonts w:ascii="Garamond" w:hAnsi="Garamond"/>
        </w:rPr>
        <w:t xml:space="preserve">paleoclimate </w:t>
      </w:r>
      <w:r w:rsidR="00A43036">
        <w:rPr>
          <w:rFonts w:ascii="Garamond" w:hAnsi="Garamond"/>
        </w:rPr>
        <w:t xml:space="preserve">records across the Pacific </w:t>
      </w:r>
      <w:r w:rsidR="00504053">
        <w:rPr>
          <w:rFonts w:ascii="Garamond" w:hAnsi="Garamond"/>
        </w:rPr>
        <w:t>to understand</w:t>
      </w:r>
      <w:r w:rsidR="00E24976">
        <w:rPr>
          <w:rFonts w:ascii="Garamond" w:hAnsi="Garamond"/>
        </w:rPr>
        <w:t xml:space="preserve"> </w:t>
      </w:r>
      <w:r w:rsidR="00A43036">
        <w:rPr>
          <w:rFonts w:ascii="Garamond" w:hAnsi="Garamond"/>
        </w:rPr>
        <w:t xml:space="preserve">possible </w:t>
      </w:r>
      <w:r w:rsidR="006A74FF">
        <w:rPr>
          <w:rFonts w:ascii="Garamond" w:hAnsi="Garamond"/>
        </w:rPr>
        <w:t xml:space="preserve">mechanistic </w:t>
      </w:r>
      <w:r w:rsidR="00504053">
        <w:rPr>
          <w:rFonts w:ascii="Garamond" w:hAnsi="Garamond"/>
        </w:rPr>
        <w:t>changes in</w:t>
      </w:r>
      <w:r w:rsidR="00A43036">
        <w:rPr>
          <w:rFonts w:ascii="Garamond" w:hAnsi="Garamond"/>
        </w:rPr>
        <w:t xml:space="preserve"> SPCZ shape and strength. </w:t>
      </w:r>
    </w:p>
    <w:p w14:paraId="0A8928A1" w14:textId="14CA70EB" w:rsidR="00535CBA" w:rsidRPr="007E5301" w:rsidRDefault="004E6007">
      <w:pPr>
        <w:spacing w:line="480" w:lineRule="auto"/>
        <w:ind w:firstLine="720"/>
        <w:rPr>
          <w:rFonts w:ascii="Garamond" w:hAnsi="Garamond"/>
          <w:i/>
          <w:iCs/>
        </w:rPr>
      </w:pPr>
      <w:r w:rsidRPr="009A2E44">
        <w:rPr>
          <w:rFonts w:ascii="Garamond" w:hAnsi="Garamond"/>
        </w:rPr>
        <w:t>Spatially extensive paleoenvironmental records that capture the MCA</w:t>
      </w:r>
      <w:r w:rsidR="00727656">
        <w:rPr>
          <w:rFonts w:ascii="Garamond" w:hAnsi="Garamond"/>
        </w:rPr>
        <w:t xml:space="preserve"> in</w:t>
      </w:r>
      <w:r w:rsidRPr="009A2E44">
        <w:rPr>
          <w:rFonts w:ascii="Garamond" w:hAnsi="Garamond"/>
        </w:rPr>
        <w:t xml:space="preserve"> </w:t>
      </w:r>
      <w:r w:rsidR="004E7B73" w:rsidRPr="009A2E44">
        <w:rPr>
          <w:rFonts w:ascii="Garamond" w:hAnsi="Garamond"/>
          <w:b/>
          <w:bCs/>
        </w:rPr>
        <w:t xml:space="preserve">Figure </w:t>
      </w:r>
      <w:r w:rsidR="00F64053" w:rsidRPr="009A2E44">
        <w:rPr>
          <w:rFonts w:ascii="Garamond" w:hAnsi="Garamond"/>
          <w:b/>
          <w:bCs/>
        </w:rPr>
        <w:t>6</w:t>
      </w:r>
      <w:r w:rsidR="00F64053" w:rsidRPr="009A2E44">
        <w:rPr>
          <w:rFonts w:ascii="Garamond" w:hAnsi="Garamond"/>
        </w:rPr>
        <w:t xml:space="preserve"> </w:t>
      </w:r>
      <w:r w:rsidR="00E526E5" w:rsidRPr="009A2E44">
        <w:rPr>
          <w:rFonts w:ascii="Garamond" w:hAnsi="Garamond"/>
        </w:rPr>
        <w:t xml:space="preserve">show </w:t>
      </w:r>
      <w:r w:rsidR="00507DFD">
        <w:rPr>
          <w:rFonts w:ascii="Garamond" w:hAnsi="Garamond"/>
        </w:rPr>
        <w:t xml:space="preserve">hydroclimate </w:t>
      </w:r>
      <w:r w:rsidR="00E526E5" w:rsidRPr="009A2E44">
        <w:rPr>
          <w:rFonts w:ascii="Garamond" w:hAnsi="Garamond"/>
        </w:rPr>
        <w:t>anomalies</w:t>
      </w:r>
      <w:r w:rsidR="00C45772" w:rsidRPr="009A2E44">
        <w:rPr>
          <w:rFonts w:ascii="Garamond" w:hAnsi="Garamond"/>
        </w:rPr>
        <w:t xml:space="preserve"> </w:t>
      </w:r>
      <w:r w:rsidR="00E526E5" w:rsidRPr="009A2E44">
        <w:rPr>
          <w:rFonts w:ascii="Garamond" w:hAnsi="Garamond"/>
        </w:rPr>
        <w:t xml:space="preserve">relative to </w:t>
      </w:r>
      <w:r w:rsidR="00513067" w:rsidRPr="009A2E44">
        <w:rPr>
          <w:rFonts w:ascii="Garamond" w:hAnsi="Garamond"/>
        </w:rPr>
        <w:t>the</w:t>
      </w:r>
      <w:r w:rsidR="00C45772" w:rsidRPr="009A2E44">
        <w:rPr>
          <w:rFonts w:ascii="Garamond" w:hAnsi="Garamond"/>
        </w:rPr>
        <w:t>ir</w:t>
      </w:r>
      <w:r w:rsidR="00513067" w:rsidRPr="009A2E44">
        <w:rPr>
          <w:rFonts w:ascii="Garamond" w:hAnsi="Garamond"/>
        </w:rPr>
        <w:t xml:space="preserve"> mean</w:t>
      </w:r>
      <w:r w:rsidR="00C45772" w:rsidRPr="009A2E44">
        <w:rPr>
          <w:rFonts w:ascii="Garamond" w:hAnsi="Garamond"/>
        </w:rPr>
        <w:t>s</w:t>
      </w:r>
      <w:r w:rsidR="00513067" w:rsidRPr="009A2E44">
        <w:rPr>
          <w:rFonts w:ascii="Garamond" w:hAnsi="Garamond"/>
        </w:rPr>
        <w:t xml:space="preserve"> to accommodate different absolute responses to precipitation. </w:t>
      </w:r>
      <w:r w:rsidR="008A3A14" w:rsidRPr="009A2E44">
        <w:rPr>
          <w:rFonts w:ascii="Garamond" w:hAnsi="Garamond"/>
        </w:rPr>
        <w:t xml:space="preserve">The similarities among these records indicate that a </w:t>
      </w:r>
      <w:r w:rsidR="00244B66">
        <w:rPr>
          <w:rFonts w:ascii="Garamond" w:hAnsi="Garamond"/>
        </w:rPr>
        <w:t xml:space="preserve">relatively </w:t>
      </w:r>
      <w:r w:rsidR="00244B66" w:rsidRPr="009A2E44">
        <w:rPr>
          <w:rFonts w:ascii="Garamond" w:hAnsi="Garamond"/>
        </w:rPr>
        <w:t>dr</w:t>
      </w:r>
      <w:r w:rsidR="00244B66">
        <w:rPr>
          <w:rFonts w:ascii="Garamond" w:hAnsi="Garamond"/>
        </w:rPr>
        <w:t>ier</w:t>
      </w:r>
      <w:r w:rsidR="00244B66" w:rsidRPr="009A2E44">
        <w:rPr>
          <w:rFonts w:ascii="Garamond" w:hAnsi="Garamond"/>
        </w:rPr>
        <w:t xml:space="preserve"> </w:t>
      </w:r>
      <w:r w:rsidR="008A3A14" w:rsidRPr="009A2E44">
        <w:rPr>
          <w:rFonts w:ascii="Garamond" w:hAnsi="Garamond"/>
        </w:rPr>
        <w:t xml:space="preserve">MCA </w:t>
      </w:r>
      <w:r w:rsidR="0032190B">
        <w:rPr>
          <w:rFonts w:ascii="Garamond" w:hAnsi="Garamond"/>
        </w:rPr>
        <w:t>occurred in the SPCZ and beyond</w:t>
      </w:r>
      <w:r w:rsidR="009F50D6">
        <w:rPr>
          <w:rFonts w:ascii="Garamond" w:hAnsi="Garamond"/>
        </w:rPr>
        <w:t xml:space="preserve">, highlighted by a gray vertical bar </w:t>
      </w:r>
      <w:r w:rsidR="00727656">
        <w:rPr>
          <w:rFonts w:ascii="Garamond" w:hAnsi="Garamond"/>
        </w:rPr>
        <w:t>from 950 to 1250</w:t>
      </w:r>
      <w:r w:rsidR="009F50D6">
        <w:rPr>
          <w:rFonts w:ascii="Garamond" w:hAnsi="Garamond"/>
        </w:rPr>
        <w:t xml:space="preserve"> in </w:t>
      </w:r>
      <w:r w:rsidR="009F50D6" w:rsidRPr="009F50D6">
        <w:rPr>
          <w:rFonts w:ascii="Garamond" w:hAnsi="Garamond"/>
          <w:b/>
          <w:bCs/>
        </w:rPr>
        <w:t xml:space="preserve">Figure </w:t>
      </w:r>
      <w:r w:rsidR="00244B66">
        <w:rPr>
          <w:rFonts w:ascii="Garamond" w:hAnsi="Garamond"/>
          <w:b/>
          <w:bCs/>
        </w:rPr>
        <w:t>6</w:t>
      </w:r>
      <w:r w:rsidR="008A3A14" w:rsidRPr="009A2E44">
        <w:rPr>
          <w:rFonts w:ascii="Garamond" w:hAnsi="Garamond"/>
        </w:rPr>
        <w:t xml:space="preserve">. </w:t>
      </w:r>
      <w:r w:rsidR="008A3A14">
        <w:rPr>
          <w:rFonts w:ascii="Garamond" w:hAnsi="Garamond"/>
        </w:rPr>
        <w:t>To</w:t>
      </w:r>
      <w:r w:rsidR="00535CBA" w:rsidRPr="009A2E44">
        <w:rPr>
          <w:rFonts w:ascii="Garamond" w:hAnsi="Garamond"/>
        </w:rPr>
        <w:t xml:space="preserve"> the west of the SPCZ, a sustained MCA dry period was found in Indonesian lake sediment </w:t>
      </w:r>
      <w:r w:rsidR="00535CBA" w:rsidRPr="009A2E44">
        <w:rPr>
          <w:rFonts w:ascii="Garamond" w:hAnsi="Garamond"/>
        </w:rPr>
        <w:fldChar w:fldCharType="begin" w:fldLock="1"/>
      </w:r>
      <w:r w:rsidR="006F4AA3" w:rsidRPr="009A2E44">
        <w:rPr>
          <w:rFonts w:ascii="Garamond" w:hAnsi="Garamond"/>
        </w:rPr>
        <w:instrText>ADDIN CSL_CITATION {"citationItems":[{"id":"ITEM-1","itemData":{"DOI":"10.1029/2012GL054331","ISSN":"00948276","abstract":"Modern precipitation in Indonesia is strongly correlated to variations in the Asian/Australasian monsoons, the Walker circulation, and migrations of the Intertropical Convergence Zone (ITCZ), but controls on multidecadal to millennial rainfall variations are less clear. We present a new, highresolution, precipitation proxy reconstruction from Lake Lading (8°S, 113°E), Java, from 850 Common Era (C.E.) to present, based on the δD of terrestrial plant waxes. We find that rainfall has steadily increased in Java over the past millennium. This increase persists into the twentieth century despite evidence from other tropical proxy records for a northward ITCZ migration during the last two centuries, which should introduce drier conditions to Java. Aspects of this long-term increase in rainfall resemble records from the Northern Hemisphere, tropical Indo-Pacific, suggesting that strengthening Walker circulation played an important role in this long-term increase in rainfall and decrease in the δD of precipitation, while ITCZ variations may have been important to climate variations on multidecadal to centennial timescales. © 2013. American Geophysical Union. All Rights Reserved.","author":[{"dropping-particle":"","family":"Konecky","given":"Bronwen Louise","non-dropping-particle":"","parse-names":false,"suffix":""},{"dropping-particle":"","family":"Russell","given":"James M.","non-dropping-particle":"","parse-names":false,"suffix":""},{"dropping-particle":"","family":"Rodysill","given":"Jessica R.","non-dropping-particle":"","parse-names":false,"suffix":""},{"dropping-particle":"","family":"Vuille","given":"Mathias","non-dropping-particle":"","parse-names":false,"suffix":""},{"dropping-particle":"","family":"Bijaksana","given":"Satria","non-dropping-particle":"","parse-names":false,"suffix":""},{"dropping-particle":"","family":"Huang","given":"Yongsong","non-dropping-particle":"","parse-names":false,"suffix":""}],"container-title":"Geophysical Research Letters","id":"ITEM-1","issue":"2","issued":{"date-parts":[["2013"]]},"page":"386-391","title":"Intensification of southwestern Indonesian rainfall over the past millennium","type":"article-journal","volume":"40"},"uris":["http://www.mendeley.com/documents/?uuid=03668741-de0c-46f1-8ba3-01f0fecebaa9"]}],"mendeley":{"formattedCitation":"(Konecky et al., 2013)","plainTextFormattedCitation":"(Konecky et al., 2013)","previouslyFormattedCitation":"(Konecky et al., 2013)"},"properties":{"noteIndex":0},"schema":"https://github.com/citation-style-language/schema/raw/master/csl-citation.json"}</w:instrText>
      </w:r>
      <w:r w:rsidR="00535CBA" w:rsidRPr="009A2E44">
        <w:rPr>
          <w:rFonts w:ascii="Garamond" w:hAnsi="Garamond"/>
        </w:rPr>
        <w:fldChar w:fldCharType="separate"/>
      </w:r>
      <w:r w:rsidR="00535CBA" w:rsidRPr="009A2E44">
        <w:rPr>
          <w:rFonts w:ascii="Garamond" w:hAnsi="Garamond"/>
          <w:noProof/>
        </w:rPr>
        <w:t>(Konecky et al., 2013)</w:t>
      </w:r>
      <w:r w:rsidR="00535CBA" w:rsidRPr="009A2E44">
        <w:rPr>
          <w:rFonts w:ascii="Garamond" w:hAnsi="Garamond"/>
        </w:rPr>
        <w:fldChar w:fldCharType="end"/>
      </w:r>
      <w:r w:rsidR="00535CBA" w:rsidRPr="009A2E44">
        <w:rPr>
          <w:rFonts w:ascii="Garamond" w:hAnsi="Garamond"/>
        </w:rPr>
        <w:t xml:space="preserve">, marine sediment </w:t>
      </w:r>
      <w:r w:rsidR="00535CBA" w:rsidRPr="009A2E44">
        <w:rPr>
          <w:rFonts w:ascii="Garamond" w:hAnsi="Garamond"/>
        </w:rPr>
        <w:fldChar w:fldCharType="begin" w:fldLock="1"/>
      </w:r>
      <w:r w:rsidR="00535CBA" w:rsidRPr="009A2E44">
        <w:rPr>
          <w:rFonts w:ascii="Garamond" w:hAnsi="Garamond"/>
        </w:rPr>
        <w:instrText>ADDIN CSL_CITATION {"citationItems":[{"id":"ITEM-1","itemData":{"DOI":"10.1029/2009PA001871","ISBN":"0883-8305","ISSN":"19449186","abstract":"Instrumental data suggest that major shifts in tropical Pacific atmospheric dynamics and hydrology have occurred within the past century, potentially in response to anthropogenic warming. To better understand these trends, we use the hydrogen isotopic ratios of terrestrial higher plant leaf waxes (dDwax) in marine sediments from southwest Sulawesi, Indonesia, to compile a detailed reconstruction of central Indo</w:instrText>
      </w:r>
      <w:r w:rsidR="00535CBA" w:rsidRPr="009A2E44">
        <w:rPr>
          <w:rFonts w:ascii="Cambria Math" w:hAnsi="Cambria Math" w:cs="Cambria Math"/>
        </w:rPr>
        <w:instrText>‐</w:instrText>
      </w:r>
      <w:r w:rsidR="00535CBA" w:rsidRPr="009A2E44">
        <w:rPr>
          <w:rFonts w:ascii="Garamond" w:hAnsi="Garamond"/>
        </w:rPr>
        <w:instrText>Pacific Warm Pool (IPWP) hydrologic variability spanning most of the last two millennia. Our paleodata are highly correlated with a monsoon reconstruction from Southeast Asia, indicating that intervals of strong East Asian summer monsoon (EASM) activity are associated with a weaker Indonesian monsoon (IM). Furthermore, the centennial</w:instrText>
      </w:r>
      <w:r w:rsidR="00535CBA" w:rsidRPr="009A2E44">
        <w:rPr>
          <w:rFonts w:ascii="Cambria Math" w:hAnsi="Cambria Math" w:cs="Cambria Math"/>
        </w:rPr>
        <w:instrText>‐</w:instrText>
      </w:r>
      <w:r w:rsidR="00535CBA" w:rsidRPr="009A2E44">
        <w:rPr>
          <w:rFonts w:ascii="Garamond" w:hAnsi="Garamond"/>
        </w:rPr>
        <w:instrText>scale oscillations in our data follow known changes in Northern Hemisphere climate (e.g., the Little Ice Age and Medieval Warm Period) implying a dynamic link between Northern Hemisphere temperatures and IPWP hydrology. The inverse relationship between the EASM and IM suggests that migrations of the Intertropical Convergence Zone and associated changes in monsoon strength caused synoptic hydrologic shifts in the IPWP throughout most of the past two millennia.","author":[{"dropping-particle":"","family":"Tierney","given":"Jessica E","non-dropping-particle":"","parse-names":false,"suffix":""},{"dropping-particle":"","family":"Oppo","given":"Delia W","non-dropping-particle":"","parse-names":false,"suffix":""},{"dropping-particle":"","family":"Rosenthal","given":"Yair","non-dropping-particle":"","parse-names":false,"suffix":""},{"dropping-particle":"","family":"Russell","given":"James M","non-dropping-particle":"","parse-names":false,"suffix":""},{"dropping-particle":"","family":"Linsley","given":"Braddock K","non-dropping-particle":"","parse-names":false,"suffix":""}],"container-title":"Paleoceanography","id":"ITEM-1","issue":"1","issued":{"date-parts":[["2010"]]},"page":"1-7","title":"Coordinated hydrological regimes in the Indo-Pacific region during the past two millennia","type":"article-journal","volume":"25"},"uris":["http://www.mendeley.com/documents/?uuid=d4da5293-580b-47d1-8817-ec1915c8722f"]}],"mendeley":{"formattedCitation":"(Tierney et al., 2010)","plainTextFormattedCitation":"(Tierney et al., 2010)","previouslyFormattedCitation":"(Tierney et al., 2010)"},"properties":{"noteIndex":0},"schema":"https://github.com/citation-style-language/schema/raw/master/csl-citation.json"}</w:instrText>
      </w:r>
      <w:r w:rsidR="00535CBA" w:rsidRPr="009A2E44">
        <w:rPr>
          <w:rFonts w:ascii="Garamond" w:hAnsi="Garamond"/>
        </w:rPr>
        <w:fldChar w:fldCharType="separate"/>
      </w:r>
      <w:r w:rsidR="00535CBA" w:rsidRPr="009A2E44">
        <w:rPr>
          <w:rFonts w:ascii="Garamond" w:hAnsi="Garamond"/>
          <w:noProof/>
        </w:rPr>
        <w:t>(Tierney et al., 2010)</w:t>
      </w:r>
      <w:r w:rsidR="00535CBA" w:rsidRPr="009A2E44">
        <w:rPr>
          <w:rFonts w:ascii="Garamond" w:hAnsi="Garamond"/>
        </w:rPr>
        <w:fldChar w:fldCharType="end"/>
      </w:r>
      <w:r w:rsidR="00535CBA" w:rsidRPr="009A2E44">
        <w:rPr>
          <w:rFonts w:ascii="Garamond" w:hAnsi="Garamond"/>
        </w:rPr>
        <w:t xml:space="preserve"> (</w:t>
      </w:r>
      <w:r w:rsidR="00535CBA" w:rsidRPr="009A2E44">
        <w:rPr>
          <w:rFonts w:ascii="Garamond" w:hAnsi="Garamond"/>
          <w:b/>
          <w:bCs/>
        </w:rPr>
        <w:t xml:space="preserve">Fig. </w:t>
      </w:r>
      <w:r w:rsidR="00F64053" w:rsidRPr="009A2E44">
        <w:rPr>
          <w:rFonts w:ascii="Garamond" w:hAnsi="Garamond"/>
          <w:b/>
          <w:bCs/>
        </w:rPr>
        <w:t>6B</w:t>
      </w:r>
      <w:r w:rsidR="00535CBA" w:rsidRPr="009A2E44">
        <w:rPr>
          <w:rFonts w:ascii="Garamond" w:hAnsi="Garamond"/>
          <w:b/>
          <w:bCs/>
        </w:rPr>
        <w:t>-</w:t>
      </w:r>
      <w:r w:rsidR="00244B66">
        <w:rPr>
          <w:rFonts w:ascii="Garamond" w:hAnsi="Garamond"/>
          <w:b/>
          <w:bCs/>
        </w:rPr>
        <w:t>C</w:t>
      </w:r>
      <w:r w:rsidR="00535CBA" w:rsidRPr="009A2E44">
        <w:rPr>
          <w:rFonts w:ascii="Garamond" w:hAnsi="Garamond"/>
        </w:rPr>
        <w:t xml:space="preserve">), speleothems </w:t>
      </w:r>
      <w:r w:rsidR="00535CBA" w:rsidRPr="009A2E44">
        <w:rPr>
          <w:rFonts w:ascii="Garamond" w:hAnsi="Garamond"/>
        </w:rPr>
        <w:fldChar w:fldCharType="begin" w:fldLock="1"/>
      </w:r>
      <w:r w:rsidR="00535CBA" w:rsidRPr="009A2E44">
        <w:rPr>
          <w:rFonts w:ascii="Garamond" w:hAnsi="Garamond"/>
        </w:rPr>
        <w:instrText>ADDIN CSL_CITATION {"citationItems":[{"id":"ITEM-1","itemData":{"DOI":"10.1038/ncomms11719","author":[{"dropping-particle":"","family":"Griffiths","given":"Michael L","non-dropping-particle":"","parse-names":false,"suffix":""},{"dropping-particle":"","family":"Kimbrough","given":"Alena K","non-dropping-particle":"","parse-names":false,"suffix":""},{"dropping-particle":"","family":"Gagan","given":"Michael K","non-dropping-particle":"","parse-names":false,"suffix":""},{"dropping-particle":"","family":"Drysdale","given":"Russell N","non-dropping-particle":"","parse-names":false,"suffix":""},{"dropping-particle":"","family":"Cole","given":"Julia E","non-dropping-particle":"","parse-names":false,"suffix":""},{"dropping-particle":"","family":"Johnson","given":"Kathleen R","non-dropping-particle":"","parse-names":false,"suffix":""},{"dropping-particle":"","family":"Zhao","given":"Jian-xin","non-dropping-particle":"","parse-names":false,"suffix":""},{"dropping-particle":"","family":"Cook","given":"Benjamin I","non-dropping-particle":"","parse-names":false,"suffix":""},{"dropping-particle":"","family":"Hellstrom","given":"John C","non-dropping-particle":"","parse-names":false,"suffix":""},{"dropping-particle":"","family":"Hantoro","given":"Wahyoe S","non-dropping-particle":"","parse-names":false,"suffix":""}],"container-title":"Nature Communications","id":"ITEM-1","issued":{"date-parts":[["2016"]]},"page":"1-9","publisher":"Nature Publishing Group","title":"Western Pacific hydroclimate linked to global climate variability over the past two millennia","type":"article-journal","volume":"7"},"uris":["http://www.mendeley.com/documents/?uuid=7184944d-4736-4d52-b79d-499475aaff80"]}],"mendeley":{"formattedCitation":"(Griffiths et al., 2016)","plainTextFormattedCitation":"(Griffiths et al., 2016)","previouslyFormattedCitation":"(Griffiths et al., 2016)"},"properties":{"noteIndex":0},"schema":"https://github.com/citation-style-language/schema/raw/master/csl-citation.json"}</w:instrText>
      </w:r>
      <w:r w:rsidR="00535CBA" w:rsidRPr="009A2E44">
        <w:rPr>
          <w:rFonts w:ascii="Garamond" w:hAnsi="Garamond"/>
        </w:rPr>
        <w:fldChar w:fldCharType="separate"/>
      </w:r>
      <w:r w:rsidR="00535CBA" w:rsidRPr="009A2E44">
        <w:rPr>
          <w:rFonts w:ascii="Garamond" w:hAnsi="Garamond"/>
          <w:noProof/>
        </w:rPr>
        <w:t>(Griffiths et al., 2016)</w:t>
      </w:r>
      <w:r w:rsidR="00535CBA" w:rsidRPr="009A2E44">
        <w:rPr>
          <w:rFonts w:ascii="Garamond" w:hAnsi="Garamond"/>
        </w:rPr>
        <w:fldChar w:fldCharType="end"/>
      </w:r>
      <w:r w:rsidR="005F71C0" w:rsidRPr="009A2E44">
        <w:rPr>
          <w:rFonts w:ascii="Garamond" w:hAnsi="Garamond"/>
        </w:rPr>
        <w:t>,</w:t>
      </w:r>
      <w:r w:rsidR="00535CBA" w:rsidRPr="009A2E44">
        <w:rPr>
          <w:rFonts w:ascii="Garamond" w:hAnsi="Garamond"/>
        </w:rPr>
        <w:t xml:space="preserve"> and </w:t>
      </w:r>
      <w:r w:rsidR="0016156C" w:rsidRPr="009A2E44">
        <w:rPr>
          <w:rFonts w:ascii="Garamond" w:hAnsi="Garamond"/>
        </w:rPr>
        <w:t xml:space="preserve">drying </w:t>
      </w:r>
      <w:r w:rsidR="00535CBA" w:rsidRPr="009A2E44">
        <w:rPr>
          <w:rFonts w:ascii="Garamond" w:hAnsi="Garamond"/>
        </w:rPr>
        <w:t xml:space="preserve">inferred </w:t>
      </w:r>
      <w:r w:rsidR="00BF7C7D" w:rsidRPr="009A2E44">
        <w:rPr>
          <w:rFonts w:ascii="Garamond" w:hAnsi="Garamond"/>
        </w:rPr>
        <w:t xml:space="preserve">from </w:t>
      </w:r>
      <w:r w:rsidR="00535CBA" w:rsidRPr="009A2E44">
        <w:rPr>
          <w:rFonts w:ascii="Garamond" w:hAnsi="Garamond"/>
        </w:rPr>
        <w:t xml:space="preserve">a cultural sequence in Papua New Guinea </w:t>
      </w:r>
      <w:r w:rsidR="00535CBA" w:rsidRPr="009A2E44">
        <w:rPr>
          <w:rFonts w:ascii="Garamond" w:hAnsi="Garamond"/>
        </w:rPr>
        <w:fldChar w:fldCharType="begin" w:fldLock="1"/>
      </w:r>
      <w:r w:rsidR="00535CBA" w:rsidRPr="009A2E44">
        <w:rPr>
          <w:rFonts w:ascii="Garamond" w:hAnsi="Garamond"/>
        </w:rPr>
        <w:instrText>ADDIN CSL_CITATION {"citationItems":[{"id":"ITEM-1","itemData":{"DOI":"10.1177/0959683620908641","ISSN":"14770911","abstract":"Islands present significant technological and ecological challenges for long-term human settlement, with archaeological investigations of islands globally able to shed light on the adaptive plasticity of cultural groups to changing climatic regimes. The Massim islands of eastern New Guinea significantly reduced in size throughout the Holocene (</w:instrText>
      </w:r>
      <w:r w:rsidR="00535CBA" w:rsidRPr="009A2E44">
        <w:rPr>
          <w:rFonts w:ascii="Cambria Math" w:hAnsi="Cambria Math" w:cs="Cambria Math"/>
        </w:rPr>
        <w:instrText>⩽</w:instrText>
      </w:r>
      <w:r w:rsidR="00535CBA" w:rsidRPr="009A2E44">
        <w:rPr>
          <w:rFonts w:ascii="Garamond" w:hAnsi="Garamond"/>
        </w:rPr>
        <w:instrText>11.7 kya), providing a unique opportunity to investigate the long-term adaptive capabilities of humans to changing island ecosystems. Here, we report a 2500-2300 year cultural sequence on Nimowa Island in the Louisiade Archipelago of the Massim region which began with the arrival of a late Lapita population during initial beachfront development. Sediment analyses indicate earlier settlement on the island would not have been possible as the coastline was unstable until near-modern sea levels were reached. The island was abandoned from 1290 to 530 cal. BP during a period of unusually dry conditions (‘Medieval Climate Anomaly’) and probable freshwater shortages. Re-settlement coincided with wetter climatic conditions (‘Little Ice Age’), associated with the establishment of large villages, the earliest expression of local pottery traditions and the onset of large-scale regional exchange networks. Import of non-local obsidian reflects two pulses of interaction followed by periods of increased isolation. With the absence of high-quality lithic resources, shell, coral and bone were used as a locally available alternative for tool production. Increased cyclone frequency from ~500 cal. BP greatly increased beach volume in the island and coastal New Guinea, which facilitated the movement of populations onto smaller islands. A late prehistoric shift in settlement patterns had a profound impact on regional social dynamics.","author":[{"dropping-particle":"","family":"Shaw","given":"Ben","non-dropping-particle":"","parse-names":false,"suffix":""},{"dropping-particle":"","family":"Coxe","given":"Simon","non-dropping-particle":"","parse-names":false,"suffix":""},{"dropping-particle":"","family":"Kewibu","given":"Vincent","non-dropping-particle":"","parse-names":false,"suffix":""},{"dropping-particle":"","family":"Haro","given":"Jemina","non-dropping-particle":"","parse-names":false,"suffix":""},{"dropping-particle":"","family":"Hull","given":"Emily","non-dropping-particle":"","parse-names":false,"suffix":""},{"dropping-particle":"","family":"Hawkins","given":"Stuart","non-dropping-particle":"","parse-names":false,"suffix":""}],"container-title":"Holocene","id":"ITEM-1","issue":"7","issued":{"date-parts":[["2020"]]},"page":"1075-1090","title":"2500-year cultural sequence in the Massim region of eastern Papua New Guinea reflects adaptive strategies to small islands and changing climate regimes since Lapita settlement","type":"article-journal","volume":"30"},"uris":["http://www.mendeley.com/documents/?uuid=2e5ae874-a1bd-47cd-980c-bff05c6a8271"]}],"mendeley":{"formattedCitation":"(Shaw et al., 2020)","plainTextFormattedCitation":"(Shaw et al., 2020)","previouslyFormattedCitation":"(Shaw et al., 2020)"},"properties":{"noteIndex":0},"schema":"https://github.com/citation-style-language/schema/raw/master/csl-citation.json"}</w:instrText>
      </w:r>
      <w:r w:rsidR="00535CBA" w:rsidRPr="009A2E44">
        <w:rPr>
          <w:rFonts w:ascii="Garamond" w:hAnsi="Garamond"/>
        </w:rPr>
        <w:fldChar w:fldCharType="separate"/>
      </w:r>
      <w:r w:rsidR="00535CBA" w:rsidRPr="009A2E44">
        <w:rPr>
          <w:rFonts w:ascii="Garamond" w:hAnsi="Garamond"/>
          <w:noProof/>
        </w:rPr>
        <w:t>(Shaw et al., 2020)</w:t>
      </w:r>
      <w:r w:rsidR="00535CBA" w:rsidRPr="009A2E44">
        <w:rPr>
          <w:rFonts w:ascii="Garamond" w:hAnsi="Garamond"/>
        </w:rPr>
        <w:fldChar w:fldCharType="end"/>
      </w:r>
      <w:r w:rsidR="00535CBA" w:rsidRPr="009A2E44">
        <w:rPr>
          <w:rFonts w:ascii="Garamond" w:hAnsi="Garamond"/>
        </w:rPr>
        <w:t xml:space="preserve">. </w:t>
      </w:r>
      <w:r w:rsidR="008C0A2C" w:rsidRPr="009A2E44">
        <w:rPr>
          <w:rFonts w:ascii="Garamond" w:hAnsi="Garamond"/>
        </w:rPr>
        <w:t xml:space="preserve">Dry conditions during the MCA in the SPCZ and Indonesia are noteworthy in light of the coincidence of SPCZ zonal events and Makassar straight </w:t>
      </w:r>
      <w:r w:rsidR="008C0A2C" w:rsidRPr="009A2E44">
        <w:rPr>
          <w:rFonts w:ascii="Garamond" w:hAnsi="Garamond"/>
        </w:rPr>
        <w:lastRenderedPageBreak/>
        <w:t xml:space="preserve">salinities </w:t>
      </w:r>
      <w:r w:rsidR="008C0A2C" w:rsidRPr="009A2E44">
        <w:rPr>
          <w:rFonts w:ascii="Garamond" w:hAnsi="Garamond"/>
        </w:rPr>
        <w:fldChar w:fldCharType="begin" w:fldLock="1"/>
      </w:r>
      <w:r w:rsidR="008C0A2C" w:rsidRPr="009A2E44">
        <w:rPr>
          <w:rFonts w:ascii="Garamond" w:hAnsi="Garamond"/>
        </w:rPr>
        <w:instrText>ADDIN CSL_CITATION {"citationItems":[{"id":"ITEM-1","itemData":{"DOI":"10.1002/2016GL070985","ISSN":"19448007","abstract":"Seasonal surface freshening of the Makassar Strait, the main conduit of the Indonesian Throughflow (ITF), is a key factor controlling the ITF. Here we present a 262 year reconstruction of seasonal sea-surface-salinity variability from 1742 to 2004 Common Era by using coral δ18O records from the central Makassar Strait. Our record reveals persistent seasonal freshening and also years with significant truncations of seasonal freshening that correlate exactly with South Pacific Convergence Zone (SPCZ) zonal events &gt;4000 km to the east. During these events, the SPCZ dramatically rotates ~15° north to near the equator and stronger westward flowing South Pacific boundary currents force higher-salinity water through the Makassar Strait in February–May halting the normal seasonal freshening in the strait. By these teleconnections, our Makassar coral δ18O series provides the first record of the recurrence interval of these zonal SPCZ events and demonstrates that they have occurred on a semiregular basis since the mid-1700s.","author":[{"dropping-particle":"","family":"Linsley","given":"Braddock K.","non-dropping-particle":"","parse-names":false,"suffix":""},{"dropping-particle":"","family":"Wu","given":"Henry C.","non-dropping-particle":"","parse-names":false,"suffix":""},{"dropping-particle":"","family":"Rixen","given":"Tim","non-dropping-particle":"","parse-names":false,"suffix":""},{"dropping-particle":"","family":"Charles","given":"Christopher D.","non-dropping-particle":"","parse-names":false,"suffix":""},{"dropping-particle":"","family":"Gordon","given":"Arnold L.","non-dropping-particle":"","parse-names":false,"suffix":""},{"dropping-particle":"","family":"Moore","given":"Michael D.","non-dropping-particle":"","parse-names":false,"suffix":""}],"container-title":"Geophysical Research Letters","id":"ITEM-1","issue":"1","issued":{"date-parts":[["2017"]]},"page":"293-303","title":"SPCZ zonal events and downstream influence on surface ocean conditions in the Indonesian Throughflow region","type":"article-journal","volume":"44"},"uris":["http://www.mendeley.com/documents/?uuid=97980051-62ff-4dcb-a41a-02969632922e"]}],"mendeley":{"formattedCitation":"(Linsley et al., 2017)","plainTextFormattedCitation":"(Linsley et al., 2017)","previouslyFormattedCitation":"(Linsley et al., 2017)"},"properties":{"noteIndex":0},"schema":"https://github.com/citation-style-language/schema/raw/master/csl-citation.json"}</w:instrText>
      </w:r>
      <w:r w:rsidR="008C0A2C" w:rsidRPr="009A2E44">
        <w:rPr>
          <w:rFonts w:ascii="Garamond" w:hAnsi="Garamond"/>
        </w:rPr>
        <w:fldChar w:fldCharType="separate"/>
      </w:r>
      <w:r w:rsidR="008C0A2C" w:rsidRPr="009A2E44">
        <w:rPr>
          <w:rFonts w:ascii="Garamond" w:hAnsi="Garamond"/>
          <w:noProof/>
        </w:rPr>
        <w:t>(Linsley et al., 2017)</w:t>
      </w:r>
      <w:r w:rsidR="008C0A2C" w:rsidRPr="009A2E44">
        <w:rPr>
          <w:rFonts w:ascii="Garamond" w:hAnsi="Garamond"/>
        </w:rPr>
        <w:fldChar w:fldCharType="end"/>
      </w:r>
      <w:r w:rsidR="008C0A2C" w:rsidRPr="009A2E44">
        <w:rPr>
          <w:rFonts w:ascii="Garamond" w:hAnsi="Garamond"/>
        </w:rPr>
        <w:t xml:space="preserve"> suggesting common mechanisms for the changes in </w:t>
      </w:r>
      <w:r w:rsidR="002A51EB">
        <w:rPr>
          <w:rFonts w:ascii="Garamond" w:hAnsi="Garamond"/>
        </w:rPr>
        <w:t xml:space="preserve">and near the </w:t>
      </w:r>
      <w:r w:rsidR="008C0A2C" w:rsidRPr="009A2E44">
        <w:rPr>
          <w:rFonts w:ascii="Garamond" w:hAnsi="Garamond"/>
        </w:rPr>
        <w:t>SPCZ.</w:t>
      </w:r>
      <w:r w:rsidR="008C0A2C">
        <w:rPr>
          <w:rFonts w:ascii="Garamond" w:hAnsi="Garamond"/>
        </w:rPr>
        <w:t xml:space="preserve"> </w:t>
      </w:r>
      <w:r w:rsidR="00535CBA" w:rsidRPr="009A2E44">
        <w:rPr>
          <w:rFonts w:ascii="Garamond" w:hAnsi="Garamond"/>
        </w:rPr>
        <w:t xml:space="preserve">Along the southeast margin of the SPCZ, </w:t>
      </w:r>
      <w:r w:rsidR="00225DD7" w:rsidRPr="009A2E44">
        <w:rPr>
          <w:rFonts w:ascii="Garamond" w:hAnsi="Garamond"/>
        </w:rPr>
        <w:t xml:space="preserve">a </w:t>
      </w:r>
      <w:r w:rsidR="004E7B73" w:rsidRPr="009A2E44">
        <w:rPr>
          <w:rFonts w:ascii="Garamond" w:hAnsi="Garamond"/>
        </w:rPr>
        <w:t>lake sediment record</w:t>
      </w:r>
      <w:r w:rsidR="00225DD7" w:rsidRPr="009A2E44">
        <w:rPr>
          <w:rFonts w:ascii="Garamond" w:hAnsi="Garamond"/>
        </w:rPr>
        <w:t xml:space="preserve"> indicates </w:t>
      </w:r>
      <w:r w:rsidR="00760C59" w:rsidRPr="009A2E44">
        <w:rPr>
          <w:rFonts w:ascii="Garamond" w:hAnsi="Garamond"/>
        </w:rPr>
        <w:t xml:space="preserve">the Southern </w:t>
      </w:r>
      <w:r w:rsidR="00225DD7" w:rsidRPr="009A2E44">
        <w:rPr>
          <w:rFonts w:ascii="Garamond" w:hAnsi="Garamond"/>
        </w:rPr>
        <w:t xml:space="preserve">Cook Islands were also drier </w:t>
      </w:r>
      <w:r w:rsidR="00225DD7" w:rsidRPr="009A2E44">
        <w:rPr>
          <w:rFonts w:ascii="Garamond" w:hAnsi="Garamond"/>
        </w:rPr>
        <w:fldChar w:fldCharType="begin" w:fldLock="1"/>
      </w:r>
      <w:r w:rsidR="00E757E6">
        <w:rPr>
          <w:rFonts w:ascii="Garamond" w:hAnsi="Garamond"/>
        </w:rPr>
        <w:instrText>ADDIN CSL_CITATION {"citationItems":[{"id":"ITEM-1","itemData":{"DOI":"10.1073/pnas.1920975117","ISSN":"10916490","PMID":"32253300","abstract":"The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America","id":"ITEM-1","issue":"16","issued":{"date-parts":[["2020"]]},"page":"8813-8819","title":"Human settlement of East Polynesia earlier, incremental, and coincident with prolonged South Pacific drought","type":"article-journal","volume":"117"},"uris":["http://www.mendeley.com/documents/?uuid=5e4a7b40-a602-4fa6-8dd7-b9d6ae8d7f06"]}],"mendeley":{"formattedCitation":"(Sear et al., 2020)","plainTextFormattedCitation":"(Sear et al., 2020)","previouslyFormattedCitation":"(Sear et al., 2020)"},"properties":{"noteIndex":0},"schema":"https://github.com/citation-style-language/schema/raw/master/csl-citation.json"}</w:instrText>
      </w:r>
      <w:r w:rsidR="00225DD7" w:rsidRPr="009A2E44">
        <w:rPr>
          <w:rFonts w:ascii="Garamond" w:hAnsi="Garamond"/>
        </w:rPr>
        <w:fldChar w:fldCharType="separate"/>
      </w:r>
      <w:r w:rsidR="00225DD7" w:rsidRPr="009A2E44">
        <w:rPr>
          <w:rFonts w:ascii="Garamond" w:hAnsi="Garamond"/>
          <w:noProof/>
        </w:rPr>
        <w:t>(Sear et al., 2020)</w:t>
      </w:r>
      <w:r w:rsidR="00225DD7" w:rsidRPr="009A2E44">
        <w:rPr>
          <w:rFonts w:ascii="Garamond" w:hAnsi="Garamond"/>
        </w:rPr>
        <w:fldChar w:fldCharType="end"/>
      </w:r>
      <w:r w:rsidR="003F68F3" w:rsidRPr="009A2E44">
        <w:rPr>
          <w:rFonts w:ascii="Garamond" w:hAnsi="Garamond"/>
        </w:rPr>
        <w:t xml:space="preserve"> (</w:t>
      </w:r>
      <w:r w:rsidR="003F68F3" w:rsidRPr="009A2E44">
        <w:rPr>
          <w:rFonts w:ascii="Garamond" w:hAnsi="Garamond"/>
          <w:b/>
          <w:bCs/>
        </w:rPr>
        <w:t xml:space="preserve">Fig. </w:t>
      </w:r>
      <w:r w:rsidR="00244B66" w:rsidRPr="009A2E44">
        <w:rPr>
          <w:rFonts w:ascii="Garamond" w:hAnsi="Garamond"/>
          <w:b/>
          <w:bCs/>
        </w:rPr>
        <w:t>6</w:t>
      </w:r>
      <w:r w:rsidR="00244B66">
        <w:rPr>
          <w:rFonts w:ascii="Garamond" w:hAnsi="Garamond"/>
          <w:b/>
          <w:bCs/>
        </w:rPr>
        <w:t>D</w:t>
      </w:r>
      <w:r w:rsidR="003F68F3" w:rsidRPr="009A2E44">
        <w:rPr>
          <w:rFonts w:ascii="Garamond" w:hAnsi="Garamond"/>
        </w:rPr>
        <w:t>)</w:t>
      </w:r>
      <w:r w:rsidR="00727656">
        <w:rPr>
          <w:rFonts w:ascii="Garamond" w:hAnsi="Garamond"/>
        </w:rPr>
        <w:t xml:space="preserve"> </w:t>
      </w:r>
      <w:r w:rsidR="001E5FBF">
        <w:rPr>
          <w:rFonts w:ascii="Garamond" w:hAnsi="Garamond"/>
        </w:rPr>
        <w:t>while</w:t>
      </w:r>
      <w:r w:rsidR="00727656">
        <w:rPr>
          <w:rFonts w:ascii="Garamond" w:hAnsi="Garamond"/>
        </w:rPr>
        <w:t xml:space="preserve"> </w:t>
      </w:r>
      <w:r w:rsidR="008A3A14">
        <w:rPr>
          <w:rFonts w:ascii="Garamond" w:hAnsi="Garamond"/>
        </w:rPr>
        <w:t>a</w:t>
      </w:r>
      <w:r w:rsidR="008A3A14" w:rsidRPr="009A2E44">
        <w:rPr>
          <w:rFonts w:ascii="Garamond" w:hAnsi="Garamond"/>
        </w:rPr>
        <w:t xml:space="preserve"> </w:t>
      </w:r>
      <w:r w:rsidR="00535CBA" w:rsidRPr="009A2E44">
        <w:rPr>
          <w:rFonts w:ascii="Garamond" w:hAnsi="Garamond"/>
        </w:rPr>
        <w:t xml:space="preserve">runoff record from French Polynesia </w:t>
      </w:r>
      <w:r w:rsidR="001D5120" w:rsidRPr="009A2E44">
        <w:rPr>
          <w:rFonts w:ascii="Garamond" w:hAnsi="Garamond"/>
        </w:rPr>
        <w:t xml:space="preserve">indicates </w:t>
      </w:r>
      <w:r w:rsidR="00BA3E18" w:rsidRPr="009A2E44">
        <w:rPr>
          <w:rFonts w:ascii="Garamond" w:hAnsi="Garamond"/>
        </w:rPr>
        <w:t>an overall wetter</w:t>
      </w:r>
      <w:r w:rsidR="00535CBA" w:rsidRPr="009A2E44">
        <w:rPr>
          <w:rFonts w:ascii="Garamond" w:hAnsi="Garamond"/>
        </w:rPr>
        <w:t xml:space="preserve"> MCA</w:t>
      </w:r>
      <w:r w:rsidR="00244B66">
        <w:rPr>
          <w:rFonts w:ascii="Garamond" w:hAnsi="Garamond"/>
        </w:rPr>
        <w:t xml:space="preserve"> </w:t>
      </w:r>
      <w:r w:rsidR="00244B66" w:rsidRPr="009A2E44">
        <w:rPr>
          <w:rFonts w:ascii="Garamond" w:hAnsi="Garamond"/>
        </w:rPr>
        <w:t>(</w:t>
      </w:r>
      <w:r w:rsidR="00244B66" w:rsidRPr="009A2E44">
        <w:rPr>
          <w:rFonts w:ascii="Garamond" w:hAnsi="Garamond"/>
          <w:b/>
          <w:bCs/>
        </w:rPr>
        <w:t>Fig. 6</w:t>
      </w:r>
      <w:r w:rsidR="00244B66">
        <w:rPr>
          <w:rFonts w:ascii="Garamond" w:hAnsi="Garamond"/>
          <w:b/>
          <w:bCs/>
        </w:rPr>
        <w:t>E</w:t>
      </w:r>
      <w:r w:rsidR="00244B66" w:rsidRPr="009A2E44">
        <w:rPr>
          <w:rFonts w:ascii="Garamond" w:hAnsi="Garamond"/>
        </w:rPr>
        <w:t>)</w:t>
      </w:r>
      <w:r w:rsidR="008A3A14">
        <w:rPr>
          <w:rFonts w:ascii="Garamond" w:hAnsi="Garamond"/>
        </w:rPr>
        <w:t xml:space="preserve">, </w:t>
      </w:r>
      <w:r w:rsidR="00727656">
        <w:rPr>
          <w:rFonts w:ascii="Garamond" w:hAnsi="Garamond"/>
        </w:rPr>
        <w:t xml:space="preserve">with </w:t>
      </w:r>
      <w:r w:rsidR="00BA3E18" w:rsidRPr="009A2E44">
        <w:rPr>
          <w:rFonts w:ascii="Garamond" w:hAnsi="Garamond"/>
        </w:rPr>
        <w:t>two periods of relative drying within the MCA ~ 950</w:t>
      </w:r>
      <w:r w:rsidR="00C666F0" w:rsidRPr="009A2E44">
        <w:rPr>
          <w:rFonts w:ascii="Garamond" w:hAnsi="Garamond"/>
        </w:rPr>
        <w:t xml:space="preserve"> </w:t>
      </w:r>
      <w:r w:rsidR="00F25F49">
        <w:rPr>
          <w:rFonts w:ascii="Garamond" w:hAnsi="Garamond"/>
          <w:color w:val="202020"/>
          <w:shd w:val="clear" w:color="auto" w:fill="FFFFFF"/>
        </w:rPr>
        <w:t>to</w:t>
      </w:r>
      <w:r w:rsidR="00F25F49" w:rsidRPr="009A2E44">
        <w:rPr>
          <w:rFonts w:ascii="Garamond" w:hAnsi="Garamond"/>
          <w:color w:val="202020"/>
          <w:shd w:val="clear" w:color="auto" w:fill="FFFFFF"/>
        </w:rPr>
        <w:t xml:space="preserve"> </w:t>
      </w:r>
      <w:r w:rsidR="00BA3E18" w:rsidRPr="009A2E44">
        <w:rPr>
          <w:rFonts w:ascii="Garamond" w:hAnsi="Garamond"/>
        </w:rPr>
        <w:t>1050 and 1150</w:t>
      </w:r>
      <w:r w:rsidR="00C666F0" w:rsidRPr="009A2E44">
        <w:rPr>
          <w:rFonts w:ascii="Garamond" w:hAnsi="Garamond"/>
        </w:rPr>
        <w:t xml:space="preserve"> </w:t>
      </w:r>
      <w:r w:rsidR="00F25F49">
        <w:rPr>
          <w:rFonts w:ascii="Garamond" w:hAnsi="Garamond"/>
          <w:color w:val="202020"/>
          <w:shd w:val="clear" w:color="auto" w:fill="FFFFFF"/>
        </w:rPr>
        <w:t>to</w:t>
      </w:r>
      <w:r w:rsidR="00F25F49" w:rsidRPr="009A2E44">
        <w:rPr>
          <w:rFonts w:ascii="Garamond" w:hAnsi="Garamond"/>
          <w:color w:val="202020"/>
          <w:shd w:val="clear" w:color="auto" w:fill="FFFFFF"/>
        </w:rPr>
        <w:t xml:space="preserve"> </w:t>
      </w:r>
      <w:r w:rsidR="00BA3E18" w:rsidRPr="009A2E44">
        <w:rPr>
          <w:rFonts w:ascii="Garamond" w:hAnsi="Garamond"/>
        </w:rPr>
        <w:t xml:space="preserve">1250 </w:t>
      </w:r>
      <w:r w:rsidR="008844AE" w:rsidRPr="009A2E44">
        <w:rPr>
          <w:rFonts w:ascii="Garamond" w:hAnsi="Garamond"/>
        </w:rPr>
        <w:t xml:space="preserve">CE </w:t>
      </w:r>
      <w:r w:rsidR="00535CBA" w:rsidRPr="009A2E44">
        <w:rPr>
          <w:rFonts w:ascii="Garamond" w:hAnsi="Garamond"/>
        </w:rPr>
        <w:fldChar w:fldCharType="begin" w:fldLock="1"/>
      </w:r>
      <w:r w:rsidR="00E757E6">
        <w:rPr>
          <w:rFonts w:ascii="Garamond" w:hAnsi="Garamond"/>
        </w:rPr>
        <w:instrText>ADDIN CSL_CITATION {"citationItems":[{"id":"ITEM-1","itemData":{"DOI":"10.1002/2015PA002870","ISSN":"19449186","abstract":"Major excursions in the position of the South Pacific Convergence Zone (SPCZ) and/or changes in its intensity are thought to drive tropical cyclone (TC) and precipitation variability across much of the central South Pacific. A lack of conventional sites typically used for multimillennial proxy reconstructions has limited efforts to extend observational rainfall/TC data sets and our ability to fully assess the risks posed to central Pacific islands by future changes in fresh water availability or the frequency of storm landfalls. Here we use the sedimentary record of Apu Bay, offshore the island of Tahaa, French Polynesia, to explore the relationship between SPCZ position/intensity and tropical cyclone overwash, resolved at decadal time scales, since 3200 years B.P. Changes in orbital precession and Pacific sea surface temperatures best explain evidence for a coordinated pattern of rainfall variability at Tahaa and across the Pacific over the late Holocene. Our companion record of tropical cyclone activity from Tahaa suggests major storm activity was higher between 2600-1500 years B.P., when decadal scale SPCZ variability may also have been stronger. A transition to lower storm frequency and a shift or expansion of the SPCZ toward French Polynesia around 1000 years B.P. may have prompted Polynesian migration into the central Pacific.","author":[{"dropping-particle":"","family":"Toomey","given":"Michael R","non-dropping-particle":"","parse-names":false,"suffix":""},{"dropping-particle":"","family":"Donnelly","given":"Jeffrey P","non-dropping-particle":"","parse-names":false,"suffix":""},{"dropping-particle":"","family":"Tierney","given":"Jessica E","non-dropping-particle":"","parse-names":false,"suffix":""}],"container-title":"Paleoceanography","id":"ITEM-1","issue":"4","issued":{"date-parts":[["2016"]]},"page":"491-504","title":"South Pacific hydrologic and cyclone variability during the last 3000 years","type":"article-journal","volume":"31"},"uris":["http://www.mendeley.com/documents/?uuid=2e203bd9-57ba-420a-af80-28a147e07e59"]}],"mendeley":{"formattedCitation":"(Toomey et al., 2016)","plainTextFormattedCitation":"(Toomey et al., 2016)","previouslyFormattedCitation":"(Toomey et al., 2016)"},"properties":{"noteIndex":0},"schema":"https://github.com/citation-style-language/schema/raw/master/csl-citation.json"}</w:instrText>
      </w:r>
      <w:r w:rsidR="00535CBA" w:rsidRPr="009A2E44">
        <w:rPr>
          <w:rFonts w:ascii="Garamond" w:hAnsi="Garamond"/>
        </w:rPr>
        <w:fldChar w:fldCharType="separate"/>
      </w:r>
      <w:r w:rsidR="00535CBA" w:rsidRPr="009A2E44">
        <w:rPr>
          <w:rFonts w:ascii="Garamond" w:hAnsi="Garamond"/>
          <w:noProof/>
        </w:rPr>
        <w:t>(Toomey et al., 2016)</w:t>
      </w:r>
      <w:r w:rsidR="00535CBA" w:rsidRPr="009A2E44">
        <w:rPr>
          <w:rFonts w:ascii="Garamond" w:hAnsi="Garamond"/>
        </w:rPr>
        <w:fldChar w:fldCharType="end"/>
      </w:r>
      <w:r w:rsidR="00BA3E18" w:rsidRPr="009A2E44">
        <w:rPr>
          <w:rFonts w:ascii="Garamond" w:hAnsi="Garamond"/>
        </w:rPr>
        <w:t>.</w:t>
      </w:r>
      <w:r w:rsidR="005F4581" w:rsidRPr="009A2E44">
        <w:rPr>
          <w:rFonts w:ascii="Garamond" w:hAnsi="Garamond"/>
        </w:rPr>
        <w:t xml:space="preserve"> </w:t>
      </w:r>
      <w:r w:rsidR="001E5FBF">
        <w:rPr>
          <w:rFonts w:ascii="Garamond" w:hAnsi="Garamond"/>
        </w:rPr>
        <w:t>Fa</w:t>
      </w:r>
      <w:r w:rsidR="002A51EB">
        <w:rPr>
          <w:rFonts w:ascii="Garamond" w:hAnsi="Garamond"/>
        </w:rPr>
        <w:t>r</w:t>
      </w:r>
      <w:r w:rsidR="001E5FBF">
        <w:rPr>
          <w:rFonts w:ascii="Garamond" w:hAnsi="Garamond"/>
        </w:rPr>
        <w:t xml:space="preserve"> t</w:t>
      </w:r>
      <w:r w:rsidR="000B53DB" w:rsidRPr="009A2E44">
        <w:rPr>
          <w:rFonts w:ascii="Garamond" w:hAnsi="Garamond"/>
        </w:rPr>
        <w:t xml:space="preserve">o the east of the SPCZ, a period of drought is inferred from drying out of lakes on Easter Island during </w:t>
      </w:r>
      <w:r w:rsidR="00F814F6" w:rsidRPr="009A2E44">
        <w:rPr>
          <w:rFonts w:ascii="Garamond" w:hAnsi="Garamond"/>
        </w:rPr>
        <w:t xml:space="preserve">the </w:t>
      </w:r>
      <w:r w:rsidR="000B53DB" w:rsidRPr="009A2E44">
        <w:rPr>
          <w:rFonts w:ascii="Garamond" w:hAnsi="Garamond"/>
        </w:rPr>
        <w:t xml:space="preserve">MCA </w:t>
      </w:r>
      <w:r w:rsidR="000B53DB" w:rsidRPr="009A2E44">
        <w:rPr>
          <w:rFonts w:ascii="Garamond" w:hAnsi="Garamond"/>
        </w:rPr>
        <w:fldChar w:fldCharType="begin" w:fldLock="1"/>
      </w:r>
      <w:r w:rsidR="000B53DB" w:rsidRPr="009A2E44">
        <w:rPr>
          <w:rFonts w:ascii="Garamond" w:hAnsi="Garamond"/>
        </w:rPr>
        <w:instrText>ADDIN CSL_CITATION {"citationItems":[{"id":"ITEM-1","itemData":{"DOI":"10.31223/OSF.IO/NF297","ISSN":"0277-3791","author":[{"dropping-particle":"","family":"Rull","given":"Valentí","non-dropping-particle":"","parse-names":false,"suffix":""}],"container-title":"Quaternary Science Reviews","id":"ITEM-1","issued":{"date-parts":[["2021"]]},"page":"106751","publisher":"Elsevier Ltd","title":"Contributions of paleoecology to Easter Island’s prehistory: a thorough review","type":"article-journal","volume":"252"},"uris":["http://www.mendeley.com/documents/?uuid=8f7d8cf9-cabd-42c4-a7be-ed1c166530d4"]}],"mendeley":{"formattedCitation":"(Rull, 2021)","plainTextFormattedCitation":"(Rull, 2021)","previouslyFormattedCitation":"(Rull, 2021)"},"properties":{"noteIndex":0},"schema":"https://github.com/citation-style-language/schema/raw/master/csl-citation.json"}</w:instrText>
      </w:r>
      <w:r w:rsidR="000B53DB" w:rsidRPr="009A2E44">
        <w:rPr>
          <w:rFonts w:ascii="Garamond" w:hAnsi="Garamond"/>
        </w:rPr>
        <w:fldChar w:fldCharType="separate"/>
      </w:r>
      <w:r w:rsidR="000B53DB" w:rsidRPr="009A2E44">
        <w:rPr>
          <w:rFonts w:ascii="Garamond" w:hAnsi="Garamond"/>
          <w:noProof/>
        </w:rPr>
        <w:t>(Rull, 2021)</w:t>
      </w:r>
      <w:r w:rsidR="000B53DB" w:rsidRPr="009A2E44">
        <w:rPr>
          <w:rFonts w:ascii="Garamond" w:hAnsi="Garamond"/>
        </w:rPr>
        <w:fldChar w:fldCharType="end"/>
      </w:r>
      <w:r w:rsidR="000B53DB" w:rsidRPr="009A2E44">
        <w:rPr>
          <w:rFonts w:ascii="Garamond" w:hAnsi="Garamond"/>
        </w:rPr>
        <w:t>.</w:t>
      </w:r>
      <w:r w:rsidR="00A95182" w:rsidRPr="009A2E44">
        <w:rPr>
          <w:rFonts w:ascii="Garamond" w:hAnsi="Garamond"/>
        </w:rPr>
        <w:t xml:space="preserve"> </w:t>
      </w:r>
    </w:p>
    <w:p w14:paraId="00B62F00" w14:textId="53BB1965" w:rsidR="00FD4021" w:rsidRPr="00707BE2" w:rsidRDefault="006F1695" w:rsidP="00707BE2">
      <w:pPr>
        <w:spacing w:line="480" w:lineRule="auto"/>
        <w:ind w:firstLine="720"/>
        <w:rPr>
          <w:rFonts w:ascii="Garamond" w:hAnsi="Garamond"/>
          <w:i/>
          <w:iCs/>
        </w:rPr>
      </w:pPr>
      <w:r>
        <w:rPr>
          <w:rFonts w:ascii="Garamond" w:hAnsi="Garamond"/>
        </w:rPr>
        <w:t>A</w:t>
      </w:r>
      <w:r w:rsidR="00100DF4" w:rsidRPr="009A2E44">
        <w:rPr>
          <w:rFonts w:ascii="Garamond" w:hAnsi="Garamond"/>
        </w:rPr>
        <w:t xml:space="preserve"> dry MCA </w:t>
      </w:r>
      <w:r>
        <w:rPr>
          <w:rFonts w:ascii="Garamond" w:hAnsi="Garamond"/>
        </w:rPr>
        <w:t>at these locations could represent</w:t>
      </w:r>
      <w:r w:rsidRPr="009A2E44">
        <w:rPr>
          <w:rFonts w:ascii="Garamond" w:hAnsi="Garamond"/>
        </w:rPr>
        <w:t xml:space="preserve"> </w:t>
      </w:r>
      <w:r w:rsidR="001C7633" w:rsidRPr="009A2E44">
        <w:rPr>
          <w:rFonts w:ascii="Garamond" w:hAnsi="Garamond"/>
        </w:rPr>
        <w:t>a</w:t>
      </w:r>
      <w:r w:rsidR="00100DF4" w:rsidRPr="009A2E44">
        <w:rPr>
          <w:rFonts w:ascii="Garamond" w:hAnsi="Garamond"/>
        </w:rPr>
        <w:t xml:space="preserve"> reduction in rainfall intensity, </w:t>
      </w:r>
      <w:r w:rsidR="00795D2B" w:rsidRPr="009A2E44">
        <w:rPr>
          <w:rFonts w:ascii="Garamond" w:hAnsi="Garamond"/>
        </w:rPr>
        <w:t xml:space="preserve">a reduction in SPCZ </w:t>
      </w:r>
      <w:r w:rsidR="0015020B">
        <w:rPr>
          <w:rFonts w:ascii="Garamond" w:hAnsi="Garamond"/>
        </w:rPr>
        <w:t>extent</w:t>
      </w:r>
      <w:r w:rsidR="000C21A4" w:rsidRPr="009A2E44">
        <w:rPr>
          <w:rFonts w:ascii="Garamond" w:hAnsi="Garamond"/>
        </w:rPr>
        <w:t>,</w:t>
      </w:r>
      <w:r w:rsidR="00795D2B" w:rsidRPr="009A2E44">
        <w:rPr>
          <w:rFonts w:ascii="Garamond" w:hAnsi="Garamond"/>
        </w:rPr>
        <w:t xml:space="preserve"> </w:t>
      </w:r>
      <w:r w:rsidR="00100DF4" w:rsidRPr="009A2E44">
        <w:rPr>
          <w:rFonts w:ascii="Garamond" w:hAnsi="Garamond"/>
        </w:rPr>
        <w:t xml:space="preserve">or a </w:t>
      </w:r>
      <w:r w:rsidR="00F92D7F" w:rsidRPr="009A2E44">
        <w:rPr>
          <w:rFonts w:ascii="Garamond" w:hAnsi="Garamond"/>
        </w:rPr>
        <w:t>north</w:t>
      </w:r>
      <w:r w:rsidR="00076935">
        <w:rPr>
          <w:rFonts w:ascii="Garamond" w:hAnsi="Garamond"/>
        </w:rPr>
        <w:t>east</w:t>
      </w:r>
      <w:r w:rsidR="00F92D7F" w:rsidRPr="009A2E44">
        <w:rPr>
          <w:rFonts w:ascii="Garamond" w:hAnsi="Garamond"/>
        </w:rPr>
        <w:t>ward</w:t>
      </w:r>
      <w:r w:rsidR="00CA6D23" w:rsidRPr="009A2E44">
        <w:rPr>
          <w:rFonts w:ascii="Garamond" w:hAnsi="Garamond"/>
        </w:rPr>
        <w:t xml:space="preserve"> </w:t>
      </w:r>
      <w:r w:rsidR="00100DF4" w:rsidRPr="009A2E44">
        <w:rPr>
          <w:rFonts w:ascii="Garamond" w:hAnsi="Garamond"/>
        </w:rPr>
        <w:t xml:space="preserve">shift of the </w:t>
      </w:r>
      <w:r w:rsidR="00CA6D23" w:rsidRPr="009A2E44">
        <w:rPr>
          <w:rFonts w:ascii="Garamond" w:hAnsi="Garamond"/>
        </w:rPr>
        <w:t>mean</w:t>
      </w:r>
      <w:r w:rsidR="00100DF4" w:rsidRPr="009A2E44">
        <w:rPr>
          <w:rFonts w:ascii="Garamond" w:hAnsi="Garamond"/>
        </w:rPr>
        <w:t xml:space="preserve"> SPCZ </w:t>
      </w:r>
      <w:r w:rsidR="00CA6D23" w:rsidRPr="009A2E44">
        <w:rPr>
          <w:rFonts w:ascii="Garamond" w:hAnsi="Garamond"/>
        </w:rPr>
        <w:t>position</w:t>
      </w:r>
      <w:r w:rsidR="00100DF4" w:rsidRPr="009A2E44">
        <w:rPr>
          <w:rFonts w:ascii="Garamond" w:hAnsi="Garamond"/>
        </w:rPr>
        <w:t xml:space="preserve"> such that it collapse</w:t>
      </w:r>
      <w:r w:rsidR="00BF7C7D" w:rsidRPr="009A2E44">
        <w:rPr>
          <w:rFonts w:ascii="Garamond" w:hAnsi="Garamond"/>
        </w:rPr>
        <w:t>d</w:t>
      </w:r>
      <w:r w:rsidR="00100DF4" w:rsidRPr="009A2E44">
        <w:rPr>
          <w:rFonts w:ascii="Garamond" w:hAnsi="Garamond"/>
        </w:rPr>
        <w:t xml:space="preserve"> towards the equator into a more zonal position. </w:t>
      </w:r>
      <w:r w:rsidR="00CA6D23" w:rsidRPr="009A2E44">
        <w:rPr>
          <w:rFonts w:ascii="Garamond" w:hAnsi="Garamond"/>
        </w:rPr>
        <w:t>An equatorward-shifted SPCZ</w:t>
      </w:r>
      <w:r w:rsidR="00E56A50" w:rsidRPr="009A2E44">
        <w:rPr>
          <w:rFonts w:ascii="Garamond" w:hAnsi="Garamond"/>
        </w:rPr>
        <w:t xml:space="preserve"> is </w:t>
      </w:r>
      <w:r w:rsidR="00CA6D23" w:rsidRPr="009A2E44">
        <w:rPr>
          <w:rFonts w:ascii="Garamond" w:hAnsi="Garamond"/>
        </w:rPr>
        <w:t xml:space="preserve">an orientation supported by </w:t>
      </w:r>
      <w:r w:rsidR="008B2726" w:rsidRPr="009A2E44">
        <w:rPr>
          <w:rFonts w:ascii="Garamond" w:hAnsi="Garamond"/>
        </w:rPr>
        <w:t>drought atlases based on tree-ring networks from a</w:t>
      </w:r>
      <w:r w:rsidR="00795D2B" w:rsidRPr="009A2E44">
        <w:rPr>
          <w:rFonts w:ascii="Garamond" w:hAnsi="Garamond"/>
        </w:rPr>
        <w:t>n</w:t>
      </w:r>
      <w:r w:rsidR="00CA6D23" w:rsidRPr="009A2E44">
        <w:rPr>
          <w:rFonts w:ascii="Garamond" w:hAnsi="Garamond"/>
        </w:rPr>
        <w:t xml:space="preserve"> </w:t>
      </w:r>
      <w:r w:rsidR="008B2726" w:rsidRPr="009A2E44">
        <w:rPr>
          <w:rFonts w:ascii="Garamond" w:hAnsi="Garamond"/>
        </w:rPr>
        <w:t>Australia-</w:t>
      </w:r>
      <w:r w:rsidR="00CA6D23" w:rsidRPr="009A2E44">
        <w:rPr>
          <w:rFonts w:ascii="Garamond" w:hAnsi="Garamond"/>
        </w:rPr>
        <w:t>New Zealand</w:t>
      </w:r>
      <w:r w:rsidR="008B2726" w:rsidRPr="009A2E44">
        <w:rPr>
          <w:rFonts w:ascii="Garamond" w:hAnsi="Garamond"/>
        </w:rPr>
        <w:t>-Indonesia cluster compare</w:t>
      </w:r>
      <w:r w:rsidR="00795D2B" w:rsidRPr="009A2E44">
        <w:rPr>
          <w:rFonts w:ascii="Garamond" w:hAnsi="Garamond"/>
        </w:rPr>
        <w:t>d</w:t>
      </w:r>
      <w:r w:rsidR="008B2726" w:rsidRPr="009A2E44">
        <w:rPr>
          <w:rFonts w:ascii="Garamond" w:hAnsi="Garamond"/>
        </w:rPr>
        <w:t xml:space="preserve"> to </w:t>
      </w:r>
      <w:r w:rsidR="00795D2B" w:rsidRPr="009A2E44">
        <w:rPr>
          <w:rFonts w:ascii="Garamond" w:hAnsi="Garamond"/>
        </w:rPr>
        <w:t xml:space="preserve">a </w:t>
      </w:r>
      <w:r w:rsidR="008B2726" w:rsidRPr="009A2E44">
        <w:rPr>
          <w:rFonts w:ascii="Garamond" w:hAnsi="Garamond"/>
        </w:rPr>
        <w:t>Mexico-southern United States-western Guatemala cluster</w:t>
      </w:r>
      <w:r w:rsidR="00CA6D23" w:rsidRPr="009A2E44">
        <w:rPr>
          <w:rFonts w:ascii="Garamond" w:hAnsi="Garamond"/>
        </w:rPr>
        <w:t xml:space="preserve"> </w:t>
      </w:r>
      <w:r w:rsidR="00CA6D23" w:rsidRPr="009A2E44">
        <w:rPr>
          <w:rFonts w:ascii="Garamond" w:hAnsi="Garamond"/>
        </w:rPr>
        <w:fldChar w:fldCharType="begin" w:fldLock="1"/>
      </w:r>
      <w:r w:rsidR="00552157" w:rsidRPr="009A2E44">
        <w:rPr>
          <w:rFonts w:ascii="Garamond" w:hAnsi="Garamond"/>
        </w:rPr>
        <w:instrText>ADDIN CSL_CITATION {"citationItems":[{"id":"ITEM-1","itemData":{"DOI":"10.1029/2020GL088238","ISSN":"19448007","abstract":"The South Pacific Convergence Zone (SPCZ) is the largest rain belt in the Southern Hemisphere and a key driver of precipitation variability, impacting South Pacific island communities. Our millennial-long reconstruction is based on a trans-Pacific tree-ring network, containing chronologies sensitive to changes in the SPCZ because of its pervasive nature, spatial extent, and link to the El Niño-Southern Oscillation. The reconstruction explains 58% of variance in the instrumental SPCZ index from 1911–1998. El Niño-Southern Oscillation cycles are identified throughout the reconstruction period. Multidecadal periodicities wax and wane, coinciding with a sustained eastward shift during the Medieval Climate Anomaly (~1,000–1,200 CE). We find large volcanic eruptions increased the tendency for the SPCZ to be displaced eastward. The reconstruction helps improve our understanding of past hydroclimatic behavior in the southwest Pacific and can be used to validate general circulation model projections for Pacific Island communities and the wider region in the 21st century.","author":[{"dropping-particle":"","family":"Higgins","given":"P A","non-dropping-particle":"","parse-names":false,"suffix":""},{"dropping-particle":"","family":"Palmer","given":"J. G.","non-dropping-particle":"","parse-names":false,"suffix":""},{"dropping-particle":"","family":"Turney","given":"C. S.M.","non-dropping-particle":"","parse-names":false,"suffix":""},{"dropping-particle":"","family":"Andersen","given":"M. S.","non-dropping-particle":"","parse-names":false,"suffix":""},{"dropping-particle":"","family":"Cook","given":"E. R.","non-dropping-particle":"","parse-names":false,"suffix":""}],"container-title":"Geophysical Research Letters","id":"ITEM-1","issued":{"date-parts":[["2020"]]},"page":"e2020GL088238","title":"One thousand three hundred years of variability in the position of the South Pacific Convergence Zone","type":"article-journal","volume":"47"},"uris":["http://www.mendeley.com/documents/?uuid=1532bca4-feb9-442d-8a22-59249f912eff"]}],"mendeley":{"formattedCitation":"(Higgins et al., 2020)","plainTextFormattedCitation":"(Higgins et al., 2020)","previouslyFormattedCitation":"(Higgins et al., 2020)"},"properties":{"noteIndex":0},"schema":"https://github.com/citation-style-language/schema/raw/master/csl-citation.json"}</w:instrText>
      </w:r>
      <w:r w:rsidR="00CA6D23" w:rsidRPr="009A2E44">
        <w:rPr>
          <w:rFonts w:ascii="Garamond" w:hAnsi="Garamond"/>
        </w:rPr>
        <w:fldChar w:fldCharType="separate"/>
      </w:r>
      <w:r w:rsidR="00CA6D23" w:rsidRPr="009A2E44">
        <w:rPr>
          <w:rFonts w:ascii="Garamond" w:hAnsi="Garamond"/>
          <w:noProof/>
        </w:rPr>
        <w:t>(Higgins et al., 2020)</w:t>
      </w:r>
      <w:r w:rsidR="00CA6D23" w:rsidRPr="009A2E44">
        <w:rPr>
          <w:rFonts w:ascii="Garamond" w:hAnsi="Garamond"/>
        </w:rPr>
        <w:fldChar w:fldCharType="end"/>
      </w:r>
      <w:r w:rsidR="00810D2B">
        <w:rPr>
          <w:rFonts w:ascii="Garamond" w:hAnsi="Garamond"/>
        </w:rPr>
        <w:t xml:space="preserve">. </w:t>
      </w:r>
      <w:r w:rsidR="00C57DCF">
        <w:rPr>
          <w:rFonts w:ascii="Garamond" w:hAnsi="Garamond"/>
        </w:rPr>
        <w:t xml:space="preserve">While this drought atlas </w:t>
      </w:r>
      <w:r w:rsidR="007D041B">
        <w:rPr>
          <w:rFonts w:ascii="Garamond" w:hAnsi="Garamond"/>
        </w:rPr>
        <w:t xml:space="preserve">is based on sites far from the SPCZ regions and </w:t>
      </w:r>
      <w:r w:rsidR="00C57DCF">
        <w:rPr>
          <w:rFonts w:ascii="Garamond" w:hAnsi="Garamond"/>
        </w:rPr>
        <w:t xml:space="preserve">contains no tropical tree ring data, which brings into question the </w:t>
      </w:r>
      <w:r w:rsidR="00771FD3">
        <w:rPr>
          <w:rFonts w:ascii="Garamond" w:hAnsi="Garamond"/>
        </w:rPr>
        <w:t>applicability</w:t>
      </w:r>
      <w:r w:rsidR="00C57DCF">
        <w:rPr>
          <w:rFonts w:ascii="Garamond" w:hAnsi="Garamond"/>
        </w:rPr>
        <w:t xml:space="preserve"> of its conclusions</w:t>
      </w:r>
      <w:r w:rsidR="00771FD3">
        <w:rPr>
          <w:rFonts w:ascii="Garamond" w:hAnsi="Garamond"/>
        </w:rPr>
        <w:t xml:space="preserve"> to SPCZ sites</w:t>
      </w:r>
      <w:r w:rsidR="00DB45AA">
        <w:rPr>
          <w:rFonts w:ascii="Garamond" w:hAnsi="Garamond"/>
        </w:rPr>
        <w:t>,</w:t>
      </w:r>
      <w:r w:rsidR="00810D2B">
        <w:rPr>
          <w:rFonts w:ascii="Garamond" w:hAnsi="Garamond"/>
        </w:rPr>
        <w:t xml:space="preserve"> the two largest westward/equatorward shifts in the Higgins et al. (2020) reconstructed SPCZ index occur during the MCA (</w:t>
      </w:r>
      <w:r w:rsidR="00DB45AA">
        <w:rPr>
          <w:rFonts w:ascii="Garamond" w:hAnsi="Garamond"/>
        </w:rPr>
        <w:t xml:space="preserve">gold sections in </w:t>
      </w:r>
      <w:r w:rsidR="00810D2B" w:rsidRPr="00707BE2">
        <w:rPr>
          <w:rFonts w:ascii="Garamond" w:hAnsi="Garamond"/>
          <w:b/>
          <w:bCs/>
        </w:rPr>
        <w:t>Fig. 6A</w:t>
      </w:r>
      <w:r w:rsidR="00810D2B">
        <w:rPr>
          <w:rFonts w:ascii="Garamond" w:hAnsi="Garamond"/>
        </w:rPr>
        <w:t>)</w:t>
      </w:r>
      <w:r w:rsidR="00DB45AA">
        <w:rPr>
          <w:rFonts w:ascii="Garamond" w:hAnsi="Garamond"/>
        </w:rPr>
        <w:t xml:space="preserve"> and </w:t>
      </w:r>
      <w:r w:rsidR="00871E73">
        <w:rPr>
          <w:rFonts w:ascii="Garamond" w:hAnsi="Garamond"/>
        </w:rPr>
        <w:t xml:space="preserve">may </w:t>
      </w:r>
      <w:r w:rsidR="00F04DA6">
        <w:rPr>
          <w:rFonts w:ascii="Garamond" w:hAnsi="Garamond"/>
        </w:rPr>
        <w:t>reflect</w:t>
      </w:r>
      <w:r w:rsidR="00871E73">
        <w:rPr>
          <w:rFonts w:ascii="Garamond" w:hAnsi="Garamond"/>
        </w:rPr>
        <w:t xml:space="preserve"> orientations similar to</w:t>
      </w:r>
      <w:r w:rsidR="008B2726" w:rsidRPr="009A2E44">
        <w:rPr>
          <w:rFonts w:ascii="Garamond" w:hAnsi="Garamond"/>
        </w:rPr>
        <w:t xml:space="preserve"> zonal SPCZ positions observed during </w:t>
      </w:r>
      <w:r w:rsidR="005A7136">
        <w:rPr>
          <w:rFonts w:ascii="Garamond" w:hAnsi="Garamond"/>
        </w:rPr>
        <w:t xml:space="preserve">some </w:t>
      </w:r>
      <w:r w:rsidR="008B2726" w:rsidRPr="009A2E44">
        <w:rPr>
          <w:rFonts w:ascii="Garamond" w:hAnsi="Garamond"/>
        </w:rPr>
        <w:t>strong El Ni</w:t>
      </w:r>
      <w:r w:rsidR="00056F7B" w:rsidRPr="009A2E44">
        <w:rPr>
          <w:rFonts w:ascii="Garamond" w:hAnsi="Garamond"/>
        </w:rPr>
        <w:t>ñ</w:t>
      </w:r>
      <w:r w:rsidR="008B2726" w:rsidRPr="009A2E44">
        <w:rPr>
          <w:rFonts w:ascii="Garamond" w:hAnsi="Garamond"/>
        </w:rPr>
        <w:t>o events</w:t>
      </w:r>
      <w:r w:rsidR="00B215AC">
        <w:rPr>
          <w:rFonts w:ascii="Garamond" w:hAnsi="Garamond"/>
        </w:rPr>
        <w:t xml:space="preserve"> (1982/83 and 1997/98), as well as the 1991/92 moderate event </w:t>
      </w:r>
      <w:r w:rsidR="00B215AC">
        <w:rPr>
          <w:rFonts w:ascii="Garamond" w:hAnsi="Garamond"/>
        </w:rPr>
        <w:fldChar w:fldCharType="begin" w:fldLock="1"/>
      </w:r>
      <w:r w:rsidR="001F63D3">
        <w:rPr>
          <w:rFonts w:ascii="Garamond" w:hAnsi="Garamond"/>
        </w:rPr>
        <w:instrText>ADDIN CSL_CITATION {"citationItems":[{"id":"ITEM-1","itemData":{"DOI":"10.1007/s00382-009-0716-3","ISSN":"09307575","abstract":"The interannual variability of the South Pacific Convergence Zone (SPCZ) and its influence on tropical cyclone (TC) genesis in the South Pacific are investigated using observations and ERA40 reanalysis over the 1979-2002 period. In austral summer, the SPCZ displays four typical structures at interannual timescales. The first three are characterized by a diagonal orientation of the SPCZ and account for 85% of the summer seasons. One is close to climatology and the other two exhibit a 3° northward or southward departure from the SPCZ climatological position. In contrast, the fourth one, that only encompasses three austral summer seasons (the extreme 1982/1983 and 1997/1998 El Niño events and the moderate 1991/1992 El Niño event), displays very peculiar behaviour where the SPCZ largely departs from its climatological position and is zonally oriented. Variability of the western/central Pacific equatorial sea surface temperature (SST) is shown to modulate moisture transport south of the equator, thereby strongly constraining the location of the SPCZ. The SPCZ location is also shown to strongly modulate the atmospheric circulation variability in the South Pacific with specific patterns for each class. However, independently of its wide year-to-year excursions, the SPCZ is always collocated with the zero relative vorticity at low levels while the maximum vorticity axis lies 6° to the south of the SPCZ position. This coherent atmospheric organisation in the SPCZ region is shown to constrain tropical cyclogenesis to occur preferentially within 10° south of the SPCZ location as this region combines all the large-scale atmospheric conditions that favour the breeding of TCs. This analysis also reveals that cyclogenesis in the central Pacific (in the vicinity of French Polynesia) only occurs when the SPCZ displays a zonal orientation while this observation was previously attributed to El Niño years in general. Different characteristics of El Niño Southern Oscillation (ENSO)-related Pacific equatorial warming are shown to impact differently on the SPCZ position, suggesting that for regional scales, such as the South Pacific, the SPCZ classification is more appropriate than a simple ENSO index to characterize TC interannual variability. These findings suggest that forecasting the strength of El Niño through SST variations in the eastern Pacific may not be sufficient to accurately predict cyclogenesis in the South Pacific, especially east of the dateline. © 2009 Spring…","author":[{"dropping-particle":"","family":"Vincent","given":"Emmanuel M","non-dropping-particle":"","parse-names":false,"suffix":""},{"dropping-particle":"","family":"Lengaigne","given":"Matthieu","non-dropping-particle":"","parse-names":false,"suffix":""},{"dropping-particle":"","family":"Menkes","given":"Christophe E","non-dropping-particle":"","parse-names":false,"suffix":""},{"dropping-particle":"","family":"Jourdain","given":"Nicolas C","non-dropping-particle":"","parse-names":false,"suffix":""},{"dropping-particle":"","family":"Marchesiello","given":"Patrick","non-dropping-particle":"","parse-names":false,"suffix":""},{"dropping-particle":"","family":"Madec","given":"Gurvan","non-dropping-particle":"","parse-names":false,"suffix":""}],"container-title":"Climate Dynamics","id":"ITEM-1","issued":{"date-parts":[["2011"]]},"page":"1881-1896","title":"Interannual variability of the South Pacific Convergence Zone and implications for tropical cyclone genesis","type":"article-journal","volume":"36"},"uris":["http://www.mendeley.com/documents/?uuid=e69e157c-5287-49df-92ef-81e8ce17b5ae"]}],"mendeley":{"formattedCitation":"(Vincent et al., 2011)","plainTextFormattedCitation":"(Vincent et al., 2011)","previouslyFormattedCitation":"(Vincent et al., 2011)"},"properties":{"noteIndex":0},"schema":"https://github.com/citation-style-language/schema/raw/master/csl-citation.json"}</w:instrText>
      </w:r>
      <w:r w:rsidR="00B215AC">
        <w:rPr>
          <w:rFonts w:ascii="Garamond" w:hAnsi="Garamond"/>
        </w:rPr>
        <w:fldChar w:fldCharType="separate"/>
      </w:r>
      <w:r w:rsidR="00B215AC" w:rsidRPr="00B215AC">
        <w:rPr>
          <w:rFonts w:ascii="Garamond" w:hAnsi="Garamond"/>
          <w:noProof/>
        </w:rPr>
        <w:t>(Vincent et al., 2011)</w:t>
      </w:r>
      <w:r w:rsidR="00B215AC">
        <w:rPr>
          <w:rFonts w:ascii="Garamond" w:hAnsi="Garamond"/>
        </w:rPr>
        <w:fldChar w:fldCharType="end"/>
      </w:r>
      <w:r w:rsidR="00DB45AA">
        <w:rPr>
          <w:rFonts w:ascii="Garamond" w:hAnsi="Garamond"/>
        </w:rPr>
        <w:t>.</w:t>
      </w:r>
      <w:r w:rsidR="007F2076">
        <w:rPr>
          <w:rFonts w:ascii="Garamond" w:hAnsi="Garamond"/>
        </w:rPr>
        <w:t xml:space="preserve"> I</w:t>
      </w:r>
      <w:r w:rsidR="00C57DCF">
        <w:rPr>
          <w:rFonts w:ascii="Garamond" w:hAnsi="Garamond"/>
        </w:rPr>
        <w:t xml:space="preserve">t is </w:t>
      </w:r>
      <w:r w:rsidR="007F2076">
        <w:rPr>
          <w:rFonts w:ascii="Garamond" w:hAnsi="Garamond"/>
        </w:rPr>
        <w:t>important to note</w:t>
      </w:r>
      <w:r w:rsidR="00C57DCF">
        <w:rPr>
          <w:rFonts w:ascii="Garamond" w:hAnsi="Garamond"/>
        </w:rPr>
        <w:t xml:space="preserve"> that </w:t>
      </w:r>
      <w:r w:rsidR="006F4C73">
        <w:rPr>
          <w:rFonts w:ascii="Garamond" w:hAnsi="Garamond"/>
        </w:rPr>
        <w:t xml:space="preserve">the </w:t>
      </w:r>
      <w:r w:rsidR="00C57DCF">
        <w:rPr>
          <w:rFonts w:ascii="Garamond" w:hAnsi="Garamond"/>
        </w:rPr>
        <w:t xml:space="preserve">two largest eastward/poleward shifts </w:t>
      </w:r>
      <w:r w:rsidR="006F4C73">
        <w:rPr>
          <w:rFonts w:ascii="Garamond" w:hAnsi="Garamond"/>
        </w:rPr>
        <w:t>in</w:t>
      </w:r>
      <w:r w:rsidR="007F2076">
        <w:rPr>
          <w:rFonts w:ascii="Garamond" w:hAnsi="Garamond"/>
        </w:rPr>
        <w:t xml:space="preserve"> the tree</w:t>
      </w:r>
      <w:r w:rsidR="00193743">
        <w:rPr>
          <w:rFonts w:ascii="Garamond" w:hAnsi="Garamond"/>
        </w:rPr>
        <w:t xml:space="preserve">-ring </w:t>
      </w:r>
      <w:r w:rsidR="006F4C73">
        <w:rPr>
          <w:rFonts w:ascii="Garamond" w:hAnsi="Garamond"/>
        </w:rPr>
        <w:t>data</w:t>
      </w:r>
      <w:r w:rsidR="00193743">
        <w:rPr>
          <w:rFonts w:ascii="Garamond" w:hAnsi="Garamond"/>
        </w:rPr>
        <w:t xml:space="preserve"> </w:t>
      </w:r>
      <w:r w:rsidR="00C57DCF">
        <w:rPr>
          <w:rFonts w:ascii="Garamond" w:hAnsi="Garamond"/>
        </w:rPr>
        <w:t xml:space="preserve">also occur during the MCA (green sections in </w:t>
      </w:r>
      <w:r w:rsidR="00C57DCF" w:rsidRPr="00C57DCF">
        <w:rPr>
          <w:rFonts w:ascii="Garamond" w:hAnsi="Garamond"/>
          <w:b/>
          <w:bCs/>
        </w:rPr>
        <w:t>Fig. 6A</w:t>
      </w:r>
      <w:r w:rsidR="00C57DCF">
        <w:rPr>
          <w:rFonts w:ascii="Garamond" w:hAnsi="Garamond"/>
        </w:rPr>
        <w:t>)</w:t>
      </w:r>
      <w:r w:rsidR="007F2076">
        <w:rPr>
          <w:rFonts w:ascii="Garamond" w:hAnsi="Garamond"/>
        </w:rPr>
        <w:t xml:space="preserve">, raising the possibility that </w:t>
      </w:r>
      <w:r w:rsidR="00151AAE">
        <w:rPr>
          <w:rFonts w:ascii="Garamond" w:hAnsi="Garamond"/>
        </w:rPr>
        <w:t>the</w:t>
      </w:r>
      <w:r w:rsidR="007F2076">
        <w:rPr>
          <w:rFonts w:ascii="Garamond" w:hAnsi="Garamond"/>
        </w:rPr>
        <w:t xml:space="preserve"> MCA </w:t>
      </w:r>
      <w:r w:rsidR="00151AAE">
        <w:rPr>
          <w:rFonts w:ascii="Garamond" w:hAnsi="Garamond"/>
        </w:rPr>
        <w:t>may be more appropriately considered a</w:t>
      </w:r>
      <w:r w:rsidR="007F2076">
        <w:rPr>
          <w:rFonts w:ascii="Garamond" w:hAnsi="Garamond"/>
        </w:rPr>
        <w:t xml:space="preserve"> period of greater</w:t>
      </w:r>
      <w:r w:rsidR="00151AAE">
        <w:rPr>
          <w:rFonts w:ascii="Garamond" w:hAnsi="Garamond"/>
        </w:rPr>
        <w:t xml:space="preserve"> and</w:t>
      </w:r>
      <w:r w:rsidR="007F2076">
        <w:rPr>
          <w:rFonts w:ascii="Garamond" w:hAnsi="Garamond"/>
        </w:rPr>
        <w:t xml:space="preserve"> more intense variability </w:t>
      </w:r>
      <w:r w:rsidR="00151AAE">
        <w:rPr>
          <w:rFonts w:ascii="Garamond" w:hAnsi="Garamond"/>
        </w:rPr>
        <w:t>between</w:t>
      </w:r>
      <w:r w:rsidR="007F2076">
        <w:rPr>
          <w:rFonts w:ascii="Garamond" w:hAnsi="Garamond"/>
        </w:rPr>
        <w:t xml:space="preserve"> very dry and very wet </w:t>
      </w:r>
      <w:r w:rsidR="00193743">
        <w:rPr>
          <w:rFonts w:ascii="Garamond" w:hAnsi="Garamond"/>
        </w:rPr>
        <w:t>conditions</w:t>
      </w:r>
      <w:r w:rsidR="006F4C73">
        <w:rPr>
          <w:rFonts w:ascii="Garamond" w:hAnsi="Garamond"/>
        </w:rPr>
        <w:t>. Yet</w:t>
      </w:r>
      <w:r w:rsidR="00151AAE">
        <w:rPr>
          <w:rFonts w:ascii="Garamond" w:hAnsi="Garamond"/>
        </w:rPr>
        <w:t xml:space="preserve"> very wet MCA conditions are</w:t>
      </w:r>
      <w:r w:rsidR="00193743">
        <w:rPr>
          <w:rFonts w:ascii="Garamond" w:hAnsi="Garamond"/>
        </w:rPr>
        <w:t xml:space="preserve"> not evident in the SPCZ lake records</w:t>
      </w:r>
      <w:r w:rsidR="00C57DCF">
        <w:rPr>
          <w:rFonts w:ascii="Garamond" w:hAnsi="Garamond"/>
        </w:rPr>
        <w:t xml:space="preserve">. </w:t>
      </w:r>
      <w:r w:rsidR="00244B66">
        <w:rPr>
          <w:rFonts w:ascii="Garamond" w:hAnsi="Garamond"/>
        </w:rPr>
        <w:t xml:space="preserve">Sear et al (2020) postulated a northeastward shift of the SPCZ based on the drier conditions inferred from the Emaotul and ‘Upolu records with relatively wetter conditions in French Polynesia from </w:t>
      </w:r>
      <w:proofErr w:type="spellStart"/>
      <w:r w:rsidR="00244B66">
        <w:rPr>
          <w:rFonts w:ascii="Garamond" w:hAnsi="Garamond"/>
        </w:rPr>
        <w:t>Apu</w:t>
      </w:r>
      <w:proofErr w:type="spellEnd"/>
      <w:r w:rsidR="00244B66">
        <w:rPr>
          <w:rFonts w:ascii="Garamond" w:hAnsi="Garamond"/>
        </w:rPr>
        <w:t xml:space="preserve"> Bay (Toomey et al. 2016).</w:t>
      </w:r>
      <w:r w:rsidR="00EE27CD">
        <w:rPr>
          <w:rFonts w:ascii="Garamond" w:hAnsi="Garamond"/>
        </w:rPr>
        <w:t xml:space="preserve"> The relative drying observed in Lac Lanutavake’s magnetic susceptibility and </w:t>
      </w:r>
      <w:r w:rsidR="00EE27CD" w:rsidRPr="009A2E44">
        <w:rPr>
          <w:rFonts w:ascii="Garamond" w:hAnsi="Garamond"/>
        </w:rPr>
        <w:sym w:font="Symbol" w:char="F064"/>
      </w:r>
      <w:r w:rsidR="00EE27CD" w:rsidRPr="009A2E44">
        <w:rPr>
          <w:rFonts w:ascii="Garamond" w:hAnsi="Garamond"/>
          <w:vertAlign w:val="superscript"/>
        </w:rPr>
        <w:t>2</w:t>
      </w:r>
      <w:r w:rsidR="00EE27CD" w:rsidRPr="009A2E44">
        <w:rPr>
          <w:rFonts w:ascii="Garamond" w:hAnsi="Garamond"/>
        </w:rPr>
        <w:t>H</w:t>
      </w:r>
      <w:r w:rsidR="00EE27CD" w:rsidRPr="009A2E44">
        <w:rPr>
          <w:rFonts w:ascii="Garamond" w:hAnsi="Garamond"/>
          <w:vertAlign w:val="subscript"/>
        </w:rPr>
        <w:t>dinosterol</w:t>
      </w:r>
      <w:r w:rsidR="001E5FBF">
        <w:rPr>
          <w:rFonts w:ascii="Garamond" w:hAnsi="Garamond"/>
        </w:rPr>
        <w:t xml:space="preserve"> </w:t>
      </w:r>
      <w:r w:rsidR="00EE27CD">
        <w:rPr>
          <w:rFonts w:ascii="Garamond" w:hAnsi="Garamond"/>
        </w:rPr>
        <w:t>records (</w:t>
      </w:r>
      <w:r w:rsidR="00EE27CD" w:rsidRPr="00EE27CD">
        <w:rPr>
          <w:rFonts w:ascii="Garamond" w:hAnsi="Garamond"/>
          <w:b/>
          <w:bCs/>
        </w:rPr>
        <w:t>Fig. 6F-G</w:t>
      </w:r>
      <w:r w:rsidR="00EE27CD">
        <w:rPr>
          <w:rFonts w:ascii="Garamond" w:hAnsi="Garamond"/>
        </w:rPr>
        <w:t>), while minor, lends support to this pattern of change.</w:t>
      </w:r>
    </w:p>
    <w:p w14:paraId="5B56546E" w14:textId="69BEAE17" w:rsidR="008C0A2C" w:rsidRPr="009A2E44" w:rsidRDefault="00871E73" w:rsidP="008C0A2C">
      <w:pPr>
        <w:spacing w:line="480" w:lineRule="auto"/>
        <w:ind w:firstLine="720"/>
        <w:rPr>
          <w:rFonts w:ascii="Garamond" w:hAnsi="Garamond"/>
        </w:rPr>
      </w:pPr>
      <w:r>
        <w:rPr>
          <w:rFonts w:ascii="Garamond" w:hAnsi="Garamond"/>
        </w:rPr>
        <w:lastRenderedPageBreak/>
        <w:t>Brown et al. (2020) synthesized the current understanding of the physical mechanisms responsible for modern SPCZ position and strength.</w:t>
      </w:r>
      <w:r w:rsidR="003149D0">
        <w:rPr>
          <w:rFonts w:ascii="Garamond" w:hAnsi="Garamond"/>
        </w:rPr>
        <w:t xml:space="preserve"> E</w:t>
      </w:r>
      <w:r>
        <w:rPr>
          <w:rFonts w:ascii="Garamond" w:hAnsi="Garamond"/>
        </w:rPr>
        <w:t xml:space="preserve">quatorward propagation of Rossby waves from the Southern Hemisphere’s subtropical jet trigger diagonally oriented convection; the sum of this convective activity results in the mean SPCZ position which is strongest during the austral summer when the zonal sea surface temperature gradient and oceanic heat content are greatest </w:t>
      </w:r>
      <w:r>
        <w:rPr>
          <w:rFonts w:ascii="Garamond" w:hAnsi="Garamond"/>
        </w:rPr>
        <w:fldChar w:fldCharType="begin" w:fldLock="1"/>
      </w:r>
      <w:r w:rsidR="00FA5BB3">
        <w:rPr>
          <w:rFonts w:ascii="Garamond" w:hAnsi="Garamond"/>
        </w:rPr>
        <w:instrText>ADDIN CSL_CITATION {"citationItems":[{"id":"ITEM-1","itemData":{"DOI":"10.1007/s00382-015-2668-0","ISBN":"0038201526","ISSN":"14320894","abstract":"longer triggered; the SPCZ disappears. The diagonal SPCZ is robust to large changes (up to ±6 °C) in absolute SST (i.e. where the SST asymmetry is preserved). Extreme cooling (change &lt;−6 °C) results in a weaker and more zonal SPCZ, due to decreasing atmospheric temperature, moisture content and convective available potential energy.","author":[{"dropping-particle":"","family":"Wiel","given":"Karin","non-dropping-particle":"van der","parse-names":false,"suffix":""},{"dropping-particle":"","family":"Matthews","given":"Adrian J","non-dropping-particle":"","parse-names":false,"suffix":""},{"dropping-particle":"","family":"Joshi","given":"Manoj M.","non-dropping-particle":"","parse-names":false,"suffix":""},{"dropping-particle":"","family":"Stevens","given":"David P","non-dropping-particle":"","parse-names":false,"suffix":""}],"container-title":"Climate Dynamics","id":"ITEM-1","issue":"5-6","issued":{"date-parts":[["2016"]]},"page":"1683-1698","publisher":"Springer Berlin Heidelberg","title":"Why the South Pacific Convergence Zone is diagonal","type":"article-journal","volume":"46"},"uris":["http://www.mendeley.com/documents/?uuid=ab84ddbd-1ad2-419b-bd41-66dd3473a31e"]},{"id":"ITEM-2","itemData":{"DOI":"10.1002/qj.2508","ISBN":"1477-870X","ISSN":"1477870X","abstract":"The South Pacific Convergence Zone (SPCZ) and South Atlantic Convergence Zone (SACZ) are diagonal bands of precipitation that extend from the Equator southeastward into the Southern Hemisphere over the western Pacific and Atlantic Oceans, respectively. With mean precipitation rates over 5 mm day −1 , they are a major component of the tropical and global climate in austral summer. However, their basic formation mechanism is not fully understood. Here, a conceptual framework for the diagonal convergence zones is developed, based on calculations of the vorticity budget from reanalysis and Rossby wave theory. Wave trains propagate eastward along the Southern Hemisphere subtropical jet, with initially quasi-circular vorticity centres. In the zonally sheared environment on the equatorward flank of the jet, these vorticity centres become elongated and develop a northwest–southeast tilt. Ray-tracing diagnostics in a non-divergent, barotropic Rossby wave framework then explain the observed equatorward propagation of these diagonal vorticity structures toward the westerly ducts over the equatorial Pacific and Atlantic. The baroclinic component of these circulations leads to destabilisation and ascent ahead of the cyclonic vorticity anomaly in the wave, triggering deep convection because of the high sea surface temperatures in this region. Latent heat release then forces additional ascent and strong upper-tropospheric divergence, with an associated anticyclonic vorticity tendency. A vorticity budget shows that this cancels out the advective cyclonic vorticity tendency in the wave train over the SPCZ, and dissipates the wave within a day. The mean SPCZ is consequently comprised of the sum of these pulses of diagonal bands of precipitation. Similar mechanisms also operate in the SACZ. However, the vorticity anomalies in the wave trains are stronger, and the precipitation and negative feedback from the divergence and anticyclonic vorticity tendency are weaker, resulting in continued propagation of the wave and a more diffuse diagonal convergence zone.","author":[{"dropping-particle":"","family":"Wiel","given":"Karin","non-dropping-particle":"van der","parse-names":false,"suffix":""},{"dropping-particle":"","family":"Matthews","given":"Adrian J","non-dropping-particle":"","parse-names":false,"suffix":""},{"dropping-particle":"","family":"Stevens","given":"David P","non-dropping-particle":"","parse-names":false,"suffix":""},{"dropping-particle":"","family":"Joshi","given":"Manoj M","non-dropping-particle":"","parse-names":false,"suffix":""}],"container-title":"Quarterly Journal of the Royal Meteorological Society","id":"ITEM-2","issue":"691","issued":{"date-parts":[["2015"]]},"page":"1997-2010","title":"A dynamical framework for the origin of the diagonal South Pacific and South Atlantic Convergence Zones","type":"article-journal","volume":"141"},"uris":["http://www.mendeley.com/documents/?uuid=b9f70b00-f37b-4413-b4e6-e39829c03c23"]},{"id":"ITEM-3","itemData":{"DOI":"10.1007/s00382-010-0871-6","ISBN":"0038201008716","ISSN":"09307575","abstract":"Three semi-permanent cloud bands exist in the Southern Hemisphere extending southeastward from the equator, through the tropics, and into the subtropics. The most prominent of these features occurs in the South Pacific and is referred to as the South Pacific Convergence Zone (SPCZ). Similar bands, with less intensity, exist in the South Indian and Atlantic oceans. We attempt to explain the physical mechanisms that promote the diagonal orientation of the SPCZ and the processes that determine the timescales of its variability. It is argued that the slowly varying sea surface temperature patterns produce upper tropospheric wind fields that vary substantially in longitude. Regions where 200 hPa zonal winds decrease with longitude (i. e., negative zonal stretching deformation, or ∂Ū/∂x&lt;0) reduce the group speed of the eastward propagating synoptic (3-6 day period) Rossby waves and locally increase the wave energy density. Such a region of wave accumulation occurs in the vicinity of the SPCZ, thus providing a physical basis for the diagonal orientation and earlier observations that the zone acts as a \"graveyard\" of propagating synoptic disturbances. In essence, ∂Ū/∂x=0 demarks the boundary of the graveyard while regions where ∂Ū/∂x&lt;0 denote the graveyard itself. Composites of the life cycles of synoptic waves confirm this hypothesis. From the graveyard hypothesis comes a more general theory accounting for the SPCZ's spatial orientation and its longer term variability influenced by the El Niño-Southern Oscillation (ENSO), or alternatively, the changing background SST associated with different phases of ENSO. © 2010 Springer-Verlag.","author":[{"dropping-particle":"","family":"Widlansky","given":"Matthew J","non-dropping-particle":"","parse-names":false,"suffix":""},{"dropping-particle":"","family":"Webster","given":"Peter J","non-dropping-particle":"","parse-names":false,"suffix":""},{"dropping-particle":"","family":"Hoyos","given":"Carlos D","non-dropping-particle":"","parse-names":false,"suffix":""}],"container-title":"Climate Dynamics","id":"ITEM-3","issued":{"date-parts":[["2011"]]},"page":"561-578","title":"On the location and orientation of the South Pacific Convergence Zone","type":"article-journal","volume":"36"},"uris":["http://www.mendeley.com/documents/?uuid=59cb1abc-bb7c-4bfb-b5ed-e72a71116981"]},{"id":"ITEM-4","itemData":{"DOI":"10.1002/qj.1870","author":[{"dropping-particle":"","family":"Matthews","given":"Adrian J","non-dropping-particle":"","parse-names":false,"suffix":""}],"container-title":"Quarterly Journal of the Royal Meteorological Society","id":"ITEM-4","issued":{"date-parts":[["2012"]]},"page":"1165-1178","title":"A multiscale framework for the origin and variability of the South Pacific Convergence Zone","type":"article-journal","volume":"138"},"uris":["http://www.mendeley.com/documents/?uuid=54137f73-e741-4450-b215-1491126db5fb"]}],"mendeley":{"formattedCitation":"(Matthews, 2012; van der Wiel et al., 2016, 2015; Widlansky et al., 2011)","plainTextFormattedCitation":"(Matthews, 2012; van der Wiel et al., 2016, 2015; Widlansky et al., 2011)","previouslyFormattedCitation":"(Matthews, 2012; van der Wiel et al., 2016, 2015; Widlansky et al., 2011)"},"properties":{"noteIndex":0},"schema":"https://github.com/citation-style-language/schema/raw/master/csl-citation.json"}</w:instrText>
      </w:r>
      <w:r>
        <w:rPr>
          <w:rFonts w:ascii="Garamond" w:hAnsi="Garamond"/>
        </w:rPr>
        <w:fldChar w:fldCharType="separate"/>
      </w:r>
      <w:r w:rsidRPr="00CF2820">
        <w:rPr>
          <w:rFonts w:ascii="Garamond" w:hAnsi="Garamond"/>
          <w:noProof/>
        </w:rPr>
        <w:t>(Matthews, 2012; van der Wiel et al., 2016, 2015; Widlansky et al., 2011)</w:t>
      </w:r>
      <w:r>
        <w:rPr>
          <w:rFonts w:ascii="Garamond" w:hAnsi="Garamond"/>
        </w:rPr>
        <w:fldChar w:fldCharType="end"/>
      </w:r>
      <w:r>
        <w:rPr>
          <w:rFonts w:ascii="Garamond" w:hAnsi="Garamond"/>
        </w:rPr>
        <w:t>.</w:t>
      </w:r>
      <w:r w:rsidRPr="00B36F09">
        <w:rPr>
          <w:rFonts w:ascii="Garamond" w:hAnsi="Garamond"/>
        </w:rPr>
        <w:t xml:space="preserve"> </w:t>
      </w:r>
      <w:r>
        <w:rPr>
          <w:rFonts w:ascii="Garamond" w:hAnsi="Garamond"/>
        </w:rPr>
        <w:t xml:space="preserve">SPCZ precipitation is also directly forced by heating and tropical convection over the Maritime Continent </w:t>
      </w:r>
      <w:r>
        <w:rPr>
          <w:rFonts w:ascii="Garamond" w:hAnsi="Garamond"/>
        </w:rPr>
        <w:fldChar w:fldCharType="begin" w:fldLock="1"/>
      </w:r>
      <w:r w:rsidR="00FA5BB3">
        <w:rPr>
          <w:rFonts w:ascii="Garamond" w:hAnsi="Garamond"/>
        </w:rPr>
        <w:instrText>ADDIN CSL_CITATION {"citationItems":[{"id":"ITEM-1","itemData":{"DOI":"10.1175/1520-0469(1999)056&lt;4032:ROTAHS&gt;2.0.CO;2","ISSN":"00224928","abstract":"The subtropical convergence zones (STCZs), that is, the Baiu frontal zone and subtropical portions of the South Pacific and South Atlantic convergence zones, are unique subtropical rainfall systems connected to the tropical monsoons to the west. An aqua-planet GCM without any land was used to study diabatic heating contributions in tropical monsoons and the STCZs that maintain the STCZs. An STCZ was simulated in the GCM without any influence of land when a monsoonlike, namely, strong zonally localized off-equatorial heat source, was put in the Tropics. The monsoonlike heat source has two roles: 1) making a strong subtropical jet through a local Hadley circulation in the summer hemisphere and 2) making a low-level poleward moisture flow, which supplies considerable moisture to the STCZ. Upward motion maintained by the diabatic heating in the STCZ induces a low-level trough along the west and poleward side of the STCZ, keeping the vorticity balance between stretching and advection of low absolute vorticity air from the Tropics. This trough intensifies the low-level wind along the STCZ. This wind maintains strong convergence in the STCZ, together with the poleward moisture flow from the Tropics. The upward motion also induces an upper-level trough and ridge with the STCZ between, as a result of vorticity balance between shrinking and eastward vorticity advection by the mean westerlies. The radiation of a stationary Rossby wave from the STCZ was also suggested.","author":[{"dropping-particle":"","family":"Kodama","given":"Yasu Masa","non-dropping-particle":"","parse-names":false,"suffix":""}],"container-title":"Journal of the Atmospheric Sciences","id":"ITEM-1","issued":{"date-parts":[["1999"]]},"page":"4032-4049","title":"Roles of the atmospheric heat sources in maintaining the subtropical convergence zones: an aqua-planet GCM study","type":"article-journal","volume":"56"},"uris":["http://www.mendeley.com/documents/?uuid=9e00441a-8b87-4318-a512-10189cae5550","http://www.mendeley.com/documents/?uuid=edf1b8c1-a976-4cef-b0c5-740fbe5b0b1b"]},{"id":"ITEM-2","itemData":{"DOI":"10.1256/smsqj.53105","ISSN":"00359009","abstract":"A subtropical Rossby-wave propagation mechanism is proposed to account for the poleward and eastward progression of intraseasonal convective anomalies along the South Pacific convergence zone (SPCZ) that is observed in a significant proportion of Madden-Julian oscillations (MJOs). Large-scale convection, associated with an MJO, is assumed to be already established over the Indonesian region. The latent heating associated with this convection forces an equatorial Rossby-wave response with an upper-tropospheric anticyclone centred over, or slightly to the west of, the convection. Large potential-vorticity (PV) gradients, associated with the subtropical jet and the tropopause, lie just poleward of the anticyclone, and large magnitude PV air is advected equatorwards on the eastern side of the anticyclone. This 'high' PV air, or upper-tropospheric trough, is far enough off the equator that it has associated strong horizontal temperature gradients, and it induces deep ascent on its eastern side, at a latitude of about 15-30°. If this deep ascent is over a region susceptible to deep convection, such as the SPCZ, then convection may be forced or triggered. Hence convection develops along the SPCZ as a forced response to convection over Indonesia. The response mechanism is essentially one of subtropical Rossby-wave propagation. This hypothesis is based on a case study of a particularly strong MJO in early 1988, and is tested by idealized modelling studies. The mechanism may also be relevant to the existence of the mean SPCZ, as a forced response to mean Indonesian convection.","author":[{"dropping-particle":"","family":"Matthews","given":"Adrian J","non-dropping-particle":"","parse-names":false,"suffix":""},{"dropping-particle":"","family":"Hoskins","given":"Brian J.","non-dropping-particle":"","parse-names":false,"suffix":""},{"dropping-particle":"","family":"Slingo","given":"Julia M.","non-dropping-particle":"","parse-names":false,"suffix":""},{"dropping-particle":"","family":"Blackburn","given":"Mike","non-dropping-particle":"","parse-names":false,"suffix":""}],"container-title":"Quarterly Journal of the Royal Meteorological Society","id":"ITEM-2","issue":"531","issued":{"date-parts":[["1996"]]},"page":"669-688","title":"Development of convection along the SPCZ within a Madden-Julian oscillation","type":"article-journal","volume":"122"},"uris":["http://www.mendeley.com/documents/?uuid=f5ea3c02-d710-44bc-ba73-94c791e46fc0"]}],"mendeley":{"formattedCitation":"(Kodama, 1999; Matthews et al., 1996)","plainTextFormattedCitation":"(Kodama, 1999; Matthews et al., 1996)","previouslyFormattedCitation":"(Kodama, 1999; Matthews et al., 1996)"},"properties":{"noteIndex":0},"schema":"https://github.com/citation-style-language/schema/raw/master/csl-citation.json"}</w:instrText>
      </w:r>
      <w:r>
        <w:rPr>
          <w:rFonts w:ascii="Garamond" w:hAnsi="Garamond"/>
        </w:rPr>
        <w:fldChar w:fldCharType="separate"/>
      </w:r>
      <w:r w:rsidRPr="007656BC">
        <w:rPr>
          <w:rFonts w:ascii="Garamond" w:hAnsi="Garamond"/>
          <w:noProof/>
        </w:rPr>
        <w:t>(Kodama, 1999; Matthews et al., 1996)</w:t>
      </w:r>
      <w:r>
        <w:rPr>
          <w:rFonts w:ascii="Garamond" w:hAnsi="Garamond"/>
        </w:rPr>
        <w:fldChar w:fldCharType="end"/>
      </w:r>
      <w:r>
        <w:rPr>
          <w:rFonts w:ascii="Garamond" w:hAnsi="Garamond"/>
        </w:rPr>
        <w:t xml:space="preserve">. </w:t>
      </w:r>
      <w:r w:rsidR="00631A55">
        <w:rPr>
          <w:rFonts w:ascii="Garamond" w:hAnsi="Garamond"/>
        </w:rPr>
        <w:t xml:space="preserve">Finally, </w:t>
      </w:r>
      <w:r>
        <w:rPr>
          <w:rFonts w:ascii="Garamond" w:hAnsi="Garamond"/>
        </w:rPr>
        <w:t>moisture-laden low-level air supplied by the Southeastern Pacific’s subtropical high</w:t>
      </w:r>
      <w:r w:rsidR="00631A55">
        <w:rPr>
          <w:rFonts w:ascii="Garamond" w:hAnsi="Garamond"/>
        </w:rPr>
        <w:t xml:space="preserve"> </w:t>
      </w:r>
      <w:r w:rsidR="000C288E">
        <w:rPr>
          <w:rFonts w:ascii="Garamond" w:hAnsi="Garamond"/>
        </w:rPr>
        <w:t xml:space="preserve">contributes to </w:t>
      </w:r>
      <w:r w:rsidR="001E3D8A">
        <w:rPr>
          <w:rFonts w:ascii="Garamond" w:hAnsi="Garamond"/>
        </w:rPr>
        <w:t xml:space="preserve">the formation of the </w:t>
      </w:r>
      <w:r w:rsidR="00430E41">
        <w:rPr>
          <w:rFonts w:ascii="Garamond" w:hAnsi="Garamond"/>
        </w:rPr>
        <w:t xml:space="preserve">SPCZ </w:t>
      </w:r>
      <w:r w:rsidR="00430E41">
        <w:rPr>
          <w:rFonts w:ascii="Garamond" w:hAnsi="Garamond"/>
        </w:rPr>
        <w:fldChar w:fldCharType="begin" w:fldLock="1"/>
      </w:r>
      <w:r w:rsidR="00430E41">
        <w:rPr>
          <w:rFonts w:ascii="Garamond" w:hAnsi="Garamond"/>
        </w:rPr>
        <w:instrText>ADDIN CSL_CITATION {"citationItems":[{"id":"ITEM-1","itemData":{"DOI":"10.1175/2007JCLI1656.1","ISSN":"0894-8755","author":[{"dropping-particle":"","family":"Takahashi","given":"Ken","non-dropping-particle":"","parse-names":false,"suffix":""},{"dropping-particle":"","family":"Battisti","given":"David S.","non-dropping-particle":"","parse-names":false,"suffix":""}],"container-title":"Journal of Climate","id":"ITEM-1","issued":{"date-parts":[["2007","12"]]},"page":"5696-5706","title":"Processes controlling the mean tropical Pacific precipitation pattern. Part II: The SPCZ and the southeast Pacific dry zone","type":"article-journal","volume":"20"},"uris":["http://www.mendeley.com/documents/?uuid=e4a8f6ff-6a62-4a19-a731-ffbc3358a29b"]},{"id":"ITEM-2","itemData":{"DOI":"10.1175/JCLI4198.1","ISSN":"0894-8755","author":[{"dropping-particle":"","family":"Takahashi","given":"Ken","non-dropping-particle":"","parse-names":false,"suffix":""},{"dropping-particle":"","family":"Battisti","given":"David S.","non-dropping-particle":"","parse-names":false,"suffix":""}],"container-title":"Journal of Climate","id":"ITEM-2","issue":"14","issued":{"date-parts":[["2007","7"]]},"page":"3434-3451","title":"Processes controlling the mean tropical Pacific precipitation pattern. Part I: The Andes and the eastern Pacific ITCZ","type":"article-journal","volume":"20"},"uris":["http://www.mendeley.com/documents/?uuid=50639c48-b4f8-4672-a9e9-354cb67477e5"]},{"id":"ITEM-3","itemData":{"DOI":"10.1029/2008GL034298","ISSN":"0094-8276","author":[{"dropping-particle":"","family":"Lintner","given":"Benjamin R.","non-dropping-particle":"","parse-names":false,"suffix":""},{"dropping-particle":"","family":"Neelin","given":"J. David","non-dropping-particle":"","parse-names":false,"suffix":""}],"container-title":"Geophysical Research Letters","id":"ITEM-3","issue":"16","issued":{"date-parts":[["2008","8","16"]]},"page":"L16701","title":"Eastern margin variability of the South Pacific Convergence Zone","type":"article-journal","volume":"35"},"uris":["http://www.mendeley.com/documents/?uuid=40828d9d-658d-4e2e-9d35-7a5d683f5ac2"]}],"mendeley":{"formattedCitation":"(Lintner and Neelin, 2008; Takahashi and Battisti, 2007a, 2007b)","plainTextFormattedCitation":"(Lintner and Neelin, 2008; Takahashi and Battisti, 2007a, 2007b)","previouslyFormattedCitation":"(Lintner and Neelin, 2008; Takahashi and Battisti, 2007a, 2007b)"},"properties":{"noteIndex":0},"schema":"https://github.com/citation-style-language/schema/raw/master/csl-citation.json"}</w:instrText>
      </w:r>
      <w:r w:rsidR="00430E41">
        <w:rPr>
          <w:rFonts w:ascii="Garamond" w:hAnsi="Garamond"/>
        </w:rPr>
        <w:fldChar w:fldCharType="separate"/>
      </w:r>
      <w:r w:rsidR="00430E41" w:rsidRPr="00631A55">
        <w:rPr>
          <w:rFonts w:ascii="Garamond" w:hAnsi="Garamond"/>
          <w:noProof/>
        </w:rPr>
        <w:t>(Lintner and Neelin, 2008; Takahashi and Battisti, 2007a, 2007b)</w:t>
      </w:r>
      <w:r w:rsidR="00430E41">
        <w:rPr>
          <w:rFonts w:ascii="Garamond" w:hAnsi="Garamond"/>
        </w:rPr>
        <w:fldChar w:fldCharType="end"/>
      </w:r>
      <w:r w:rsidR="00430E41">
        <w:rPr>
          <w:rFonts w:ascii="Garamond" w:hAnsi="Garamond"/>
        </w:rPr>
        <w:t>.</w:t>
      </w:r>
      <w:r w:rsidR="00430E41" w:rsidRPr="00104B24">
        <w:rPr>
          <w:rFonts w:ascii="Garamond" w:hAnsi="Garamond"/>
        </w:rPr>
        <w:t xml:space="preserve"> </w:t>
      </w:r>
      <w:r>
        <w:rPr>
          <w:rFonts w:ascii="Garamond" w:hAnsi="Garamond"/>
        </w:rPr>
        <w:t xml:space="preserve">The diagonal SPCZ orientation results from </w:t>
      </w:r>
      <w:r w:rsidR="001E3D8A">
        <w:rPr>
          <w:rFonts w:ascii="Garamond" w:hAnsi="Garamond"/>
        </w:rPr>
        <w:t>the</w:t>
      </w:r>
      <w:r>
        <w:rPr>
          <w:rFonts w:ascii="Garamond" w:hAnsi="Garamond"/>
        </w:rPr>
        <w:t xml:space="preserve"> combination of </w:t>
      </w:r>
      <w:r w:rsidR="001E5FBF">
        <w:rPr>
          <w:rFonts w:ascii="Garamond" w:hAnsi="Garamond"/>
        </w:rPr>
        <w:t xml:space="preserve">these </w:t>
      </w:r>
      <w:r>
        <w:rPr>
          <w:rFonts w:ascii="Garamond" w:hAnsi="Garamond"/>
        </w:rPr>
        <w:t>ocean-atmosphere forcings that respond to variations in the background state on observed intraseasonal to interdecadal timescales.</w:t>
      </w:r>
      <w:r w:rsidR="001E3D8A">
        <w:rPr>
          <w:rFonts w:ascii="Garamond" w:hAnsi="Garamond"/>
        </w:rPr>
        <w:t xml:space="preserve"> Variability in the same forcings may also be responsible for the long-term centennial-scale precipitation changes </w:t>
      </w:r>
      <w:r w:rsidR="00A82EB1">
        <w:rPr>
          <w:rFonts w:ascii="Garamond" w:hAnsi="Garamond"/>
        </w:rPr>
        <w:t xml:space="preserve">documented in the sediment cores </w:t>
      </w:r>
      <w:r w:rsidR="001E3D8A">
        <w:rPr>
          <w:rFonts w:ascii="Garamond" w:hAnsi="Garamond"/>
        </w:rPr>
        <w:t>presented here</w:t>
      </w:r>
      <w:r w:rsidR="00430E41">
        <w:rPr>
          <w:rFonts w:ascii="Garamond" w:hAnsi="Garamond"/>
        </w:rPr>
        <w:t xml:space="preserve">, possibly </w:t>
      </w:r>
      <w:r w:rsidR="001E5FBF">
        <w:rPr>
          <w:rFonts w:ascii="Garamond" w:hAnsi="Garamond"/>
        </w:rPr>
        <w:t xml:space="preserve">even </w:t>
      </w:r>
      <w:r w:rsidR="00430E41">
        <w:rPr>
          <w:rFonts w:ascii="Garamond" w:hAnsi="Garamond"/>
        </w:rPr>
        <w:t xml:space="preserve">driven by changes in extra-tropical modes of variability such as Multidecadal Atlantic Variability and the IPO </w:t>
      </w:r>
      <w:r w:rsidR="00430E41">
        <w:rPr>
          <w:rFonts w:ascii="Garamond" w:hAnsi="Garamond"/>
        </w:rPr>
        <w:fldChar w:fldCharType="begin" w:fldLock="1"/>
      </w:r>
      <w:r w:rsidR="00D04FB8">
        <w:rPr>
          <w:rFonts w:ascii="Garamond" w:hAnsi="Garamond"/>
        </w:rPr>
        <w:instrText>ADDIN CSL_CITATION {"citationItems":[{"id":"ITEM-1","itemData":{"DOI":"10.1029/2019RG000644","ISSN":"19449208","abstract":"By synthesizing recent studies employing a wide range of approaches (modern observations, paleo reconstructions, and climate model simulations), this paper provides a comprehensive review of the linkage between multidecadal Atlantic Meridional Overturning Circulation (AMOC) variability and Atlantic Multidecadal Variability (AMV) and associated climate impacts. There is strong observational and modeling evidence that multidecadal AMOC variability is a crucial driver of the observed AMV and associated climate impacts and an important source of enhanced decadal predictability and prediction skill. The AMOC-AMV linkage is consistent with observed key elements of AMV. Furthermore, this synthesis also points to a leading role of the AMOC in a range of AMV-related climate phenomena having enormous societal and economic implications, for example, Intertropical Convergence Zone shifts; Sahel and Indian monsoons; Atlantic hurricanes; El Niño–Southern Oscillation; Pacific Decadal Variability; North Atlantic Oscillation; climate over Europe, North America, and Asia; Arctic sea ice and surface air temperature; and hemispheric-scale surface temperature. Paleoclimate evidence indicates that a similar linkage between multidecadal AMOC variability and AMV and many associated climate impacts may also have existed in the preindustrial era, that AMV has enhanced multidecadal power significantly above a red noise background, and that AMV is not primarily driven by external forcing. The role of the AMOC in AMV and associated climate impacts has been underestimated in most state-of-the-art climate models, posing significant challenges but also great opportunities for substantial future improvements in understanding and predicting AMV and associated climate impacts.","author":[{"dropping-particle":"","family":"Zhang","given":"Rong","non-dropping-particle":"","parse-names":false,"suffix":""},{"dropping-particle":"","family":"Sutton","given":"Rowan","non-dropping-particle":"","parse-names":false,"suffix":""},{"dropping-particle":"","family":"Danabasoglu","given":"Gokhan","non-dropping-particle":"","parse-names":false,"suffix":""},{"dropping-particle":"","family":"Kwon","given":"Young Oh","non-dropping-particle":"","parse-names":false,"suffix":""},{"dropping-particle":"","family":"Marsh","given":"Robert","non-dropping-particle":"","parse-names":false,"suffix":""},{"dropping-particle":"","family":"Yeager","given":"Stephen G.","non-dropping-particle":"","parse-names":false,"suffix":""},{"dropping-particle":"","family":"Amrhein","given":"Daniel E.","non-dropping-particle":"","parse-names":false,"suffix":""},{"dropping-particle":"","family":"Little","given":"Christopher M.","non-dropping-particle":"","parse-names":false,"suffix":""}],"container-title":"Reviews of Geophysics","id":"ITEM-1","issue":"2","issued":{"date-parts":[["2019"]]},"page":"316-375","title":"A review of the role of the Atlantic meridional overturning circulation in Atlantic multidecadal variability and associated climate impacts","type":"article-journal","volume":"57"},"uris":["http://www.mendeley.com/documents/?uuid=0cf515af-2352-4eec-a488-7646121ee812"]},{"id":"ITEM-2","itemData":{"DOI":"10.1038/ngeo2962","ISSN":"17520908","abstract":"The North Atlantic experiences climate variability on multidecadal scales, which is sometimes referred to as Atlantic multidecadal variability. However, the relative contributions of external forcing such as changes in solar irradiance or volcanic activity and internal dynamics to these variations are unclear. Here we provide evidence for persistent summer Atlantic multidecadal variability from AD 800 to 2010 using a network of annually resolved terrestrial proxy records from the circum-North Atlantic region. We find that large volcanic eruptions and solar irradiance minima induce cool phases of Atlantic multidecadal variability and collectively explain about 30% of the variance in the reconstruction on timescales greater than 30 years. We are then able to isolate the internally generated component of Atlantic multidecadal variability, which we define as the Atlantic multidecadal oscillation. We find that the Atlantic multidecadal oscillation is the largest contributor to Atlantic multidecadal variability over the past 1,200 years. We also identify coherence between the Atlantic multidecadal oscillation and Northern Hemisphere temperature variations, leading us to conclude that the apparent link between Atlantic multidecadal variability and regional to hemispheric climate does not arise solely from a common response to external drivers, and may instead reflect dynamic processes.","author":[{"dropping-particle":"","family":"Wang","given":"Jianglin","non-dropping-particle":"","parse-names":false,"suffix":""},{"dropping-particle":"","family":"Yang","given":"Bao","non-dropping-particle":"","parse-names":false,"suffix":""},{"dropping-particle":"","family":"Ljungqvist","given":"Fredrik Charpentier","non-dropping-particle":"","parse-names":false,"suffix":""},{"dropping-particle":"","family":"Luterbacher","given":"Jürg","non-dropping-particle":"","parse-names":false,"suffix":""},{"dropping-particle":"","family":"Osborn","given":"Timothy J.","non-dropping-particle":"","parse-names":false,"suffix":""},{"dropping-particle":"","family":"Briffa","given":"Keith R.","non-dropping-particle":"","parse-names":false,"suffix":""},{"dropping-particle":"","family":"Zorita","given":"Eduardo","non-dropping-particle":"","parse-names":false,"suffix":""}],"container-title":"Nature Geoscience","id":"ITEM-2","issue":"7","issued":{"date-parts":[["2017"]]},"page":"512-517","title":"Internal and external forcing of multidecadal Atlantic climate variability over the past 1,200 years","type":"article-journal","volume":"10"},"uris":["http://www.mendeley.com/documents/?uuid=7bf03b50-cd7b-4100-9125-b890bcc6419f"]}],"mendeley":{"formattedCitation":"(Wang et al., 2017; Zhang et al., 2019)","plainTextFormattedCitation":"(Wang et al., 2017; Zhang et al., 2019)","previouslyFormattedCitation":"(Wang et al., 2017; Zhang et al., 2019)"},"properties":{"noteIndex":0},"schema":"https://github.com/citation-style-language/schema/raw/master/csl-citation.json"}</w:instrText>
      </w:r>
      <w:r w:rsidR="00430E41">
        <w:rPr>
          <w:rFonts w:ascii="Garamond" w:hAnsi="Garamond"/>
        </w:rPr>
        <w:fldChar w:fldCharType="separate"/>
      </w:r>
      <w:r w:rsidR="00430E41" w:rsidRPr="00482DE6">
        <w:rPr>
          <w:rFonts w:ascii="Garamond" w:hAnsi="Garamond"/>
          <w:noProof/>
        </w:rPr>
        <w:t>(Wang et al., 2017; Zhang et al., 2019)</w:t>
      </w:r>
      <w:r w:rsidR="00430E41">
        <w:rPr>
          <w:rFonts w:ascii="Garamond" w:hAnsi="Garamond"/>
        </w:rPr>
        <w:fldChar w:fldCharType="end"/>
      </w:r>
      <w:r w:rsidR="00430E41">
        <w:rPr>
          <w:rFonts w:ascii="Garamond" w:hAnsi="Garamond"/>
        </w:rPr>
        <w:t xml:space="preserve">. </w:t>
      </w:r>
      <w:r w:rsidR="00E510E1">
        <w:rPr>
          <w:rFonts w:ascii="Garamond" w:hAnsi="Garamond"/>
        </w:rPr>
        <w:t>Evidence for</w:t>
      </w:r>
      <w:r w:rsidR="00FB4456">
        <w:rPr>
          <w:rFonts w:ascii="Garamond" w:hAnsi="Garamond"/>
        </w:rPr>
        <w:t xml:space="preserve"> </w:t>
      </w:r>
      <w:r w:rsidR="00E510E1">
        <w:rPr>
          <w:rFonts w:ascii="Garamond" w:hAnsi="Garamond"/>
        </w:rPr>
        <w:t xml:space="preserve">MCA </w:t>
      </w:r>
      <w:r w:rsidR="00D04FB8">
        <w:rPr>
          <w:rFonts w:ascii="Garamond" w:hAnsi="Garamond"/>
        </w:rPr>
        <w:t xml:space="preserve">drying </w:t>
      </w:r>
      <w:r w:rsidR="00E510E1">
        <w:rPr>
          <w:rFonts w:ascii="Garamond" w:hAnsi="Garamond"/>
        </w:rPr>
        <w:t>in the central Pacific</w:t>
      </w:r>
      <w:r w:rsidR="00D04FB8">
        <w:rPr>
          <w:rFonts w:ascii="Garamond" w:hAnsi="Garamond"/>
        </w:rPr>
        <w:t xml:space="preserve"> </w:t>
      </w:r>
      <w:r w:rsidR="00C73876">
        <w:rPr>
          <w:rFonts w:ascii="Garamond" w:hAnsi="Garamond"/>
        </w:rPr>
        <w:fldChar w:fldCharType="begin" w:fldLock="1"/>
      </w:r>
      <w:r w:rsidR="00C73876">
        <w:rPr>
          <w:rFonts w:ascii="Garamond" w:hAnsi="Garamond"/>
        </w:rPr>
        <w:instrText>ADDIN CSL_CITATION {"citationItems":[{"id":"ITEM-1","itemData":{"DOI":"10.1029/2021PA004311","ISSN":"25724525","abstract":"Hydroclimatic variability in the tropical Pacific reflects large-scale ocean-atmosphere processes that imprint on global climate, but tropical Pacific hydroclimate variability over the last millennium remains uncertain. Here we present a multi-proxy reconstruction from a lacustrine sediment record on Kiritimati Atoll that spans the last millennium. A lake salinity reconstruction from the δ2H values of total lipid extracts, combined with changes in sediment mineralogy and the stable isotopic composition of inorganic carbonates, indicate the presence of several distinct hydrologic regimes on Kiritimati, including a period of persistent aridity from 960–1030 CE, shorter episodes of aridity from 1030–1370 CE, and extreme aridity throughout the latter half of the last millennium, from 1370–1970 CE, that drove complete evaporation of the lake. A period of wetter, variable conditions defines recent decades. Compound-specific lipid biomarker δ2H values indicate that shifts in microbial community structure occurred in the past, from a community dominated by photoautotrophic and chemoautotrophic organisms in more arid periods to a more metabolically diverse community in the recent period. Comparison of this record with nearby sediment records from Washington Island reveals a similar pattern of aridity through the last millennium, followed by wetter conditions in the modern period. These coherent changes in hydroclimate in the central Pacific are inconsistent with a migration of the Pacific Intertropical Convergence Zone within these latitudes. Rather, past aridity was caused by reduced El Niño-Southern Oscillation variability, observed through the low-pass filter of lacustrine records, or by multidecadal to multi-century strengthening of the Pacific Walker Circulation.","author":[{"dropping-particle":"","family":"Wyman","given":"D. A.","non-dropping-particle":"","parse-names":false,"suffix":""},{"dropping-particle":"","family":"Conroy","given":"J. L.","non-dropping-particle":"","parse-names":false,"suffix":""},{"dropping-particle":"","family":"Osburn","given":"M. R.","non-dropping-particle":"","parse-names":false,"suffix":""},{"dropping-particle":"","family":"Atwood","given":"Alyssa R","non-dropping-particle":"","parse-names":false,"suffix":""}],"container-title":"Paleoceanography and Paleoclimatology","id":"ITEM-1","issued":{"date-parts":[["2021"]]},"page":"1-15","title":"Coeval drying across the central tropical Pacific over the last millennium","type":"article-journal","volume":"36"},"uris":["http://www.mendeley.com/documents/?uuid=25ddb1c5-1d09-49d0-8b71-d789530bdd5c"]}],"mendeley":{"formattedCitation":"(Wyman et al., 2021)","plainTextFormattedCitation":"(Wyman et al., 2021)","previouslyFormattedCitation":"(Wyman et al., 2021)"},"properties":{"noteIndex":0},"schema":"https://github.com/citation-style-language/schema/raw/master/csl-citation.json"}</w:instrText>
      </w:r>
      <w:r w:rsidR="00C73876">
        <w:rPr>
          <w:rFonts w:ascii="Garamond" w:hAnsi="Garamond"/>
        </w:rPr>
        <w:fldChar w:fldCharType="separate"/>
      </w:r>
      <w:r w:rsidR="00C73876" w:rsidRPr="00D04FB8">
        <w:rPr>
          <w:rFonts w:ascii="Garamond" w:hAnsi="Garamond"/>
          <w:noProof/>
        </w:rPr>
        <w:t>(Wyman et al., 2021)</w:t>
      </w:r>
      <w:r w:rsidR="00C73876">
        <w:rPr>
          <w:rFonts w:ascii="Garamond" w:hAnsi="Garamond"/>
        </w:rPr>
        <w:fldChar w:fldCharType="end"/>
      </w:r>
      <w:r w:rsidR="00C73876">
        <w:rPr>
          <w:rFonts w:ascii="Garamond" w:hAnsi="Garamond"/>
        </w:rPr>
        <w:t xml:space="preserve">, east Pacific </w:t>
      </w:r>
      <w:r w:rsidR="00C73876">
        <w:rPr>
          <w:rFonts w:ascii="Garamond" w:hAnsi="Garamond"/>
        </w:rPr>
        <w:fldChar w:fldCharType="begin" w:fldLock="1"/>
      </w:r>
      <w:r w:rsidR="00C73876">
        <w:rPr>
          <w:rFonts w:ascii="Garamond" w:hAnsi="Garamond"/>
        </w:rPr>
        <w:instrText>ADDIN CSL_CITATION {"citationItems":[{"id":"ITEM-1","itemData":{"DOI":"doi: 10.1016/j.epsl.2014.07.038","author":[{"dropping-particle":"","family":"Atwood","given":"Alyssa R","non-dropping-particle":"","parse-names":false,"suffix":""},{"dropping-particle":"","family":"Sachs","given":"Julian P","non-dropping-particle":"","parse-names":false,"suffix":""}],"container-title":"Earth and Planetary Science Letters","id":"ITEM-1","issued":{"date-parts":[["2014"]]},"page":"408-419","title":"Separating ITCZ- and ENSO-related rainfall changes in the Galápagos over the last 3 kyr using D/H ratios of multiple lipid biomarkers","type":"article-journal","volume":"404"},"uris":["http://www.mendeley.com/documents/?uuid=c01fb347-64ee-4a03-bae1-951e0e399800"]},{"id":"ITEM-2","itemData":{"DOI":"10.1073/pnas.1516271113","author":[{"dropping-particle":"","family":"Nelson","given":"Daniel B","non-dropping-particle":"","parse-names":false,"suffix":""},{"dropping-particle":"","family":"Sachs","given":"Julian P","non-dropping-particle":"","parse-names":false,"suffix":""}],"container-title":"Proceedings of the National Academy of Sciences of the United States of America","id":"ITEM-2","issue":"13","issued":{"date-parts":[["2016"]]},"page":"3476-3481","title":"Galápagos hydroclimate of the Common Era from paired microalgal and mangrove biomarker 2H/1H values","type":"article-journal","volume":"113"},"uris":["http://www.mendeley.com/documents/?uuid=df473d62-948f-4d3d-b6ab-6f7b68212d81"]},{"id":"ITEM-3","itemData":{"DOI":"10.1016/j.quascirev.2008.02.015","ISBN":"0277-3791","ISSN":"02773791","abstract":"Paleoclimate records from the tropical Pacific suggest the early to mid-Holocene was a period of reduced El Ni??o/Southern Oscillation (ENSO) variability, with a transition to modern, increased ENSO frequency occurring some time in the last few thousand years. However, the nature and timing of this shift remains uncertain due to the discontinuous nature and/or coarse resolution of many ENSO proxies, as well as a lack of agreement between previously published records. A new, continuous, climate record from El Junco Crater Lake in the Gal??pagos Islands reveals several abrupt changes in lake level and precipitation through the Holocene. Hydroclimatic model simulations suggest that El Junco lake level responds sensitively to increases in precipitation associated with El Ni??o events, rising during wet El Ni??o events and falling during the intervening dry periods. Grain size data from El Junco sediment cores indicate past lake level variability, likely associated with changing seasonal precipitation and ENSO frequency. The grain size data suggest increased precipitation intensity prior to 9000??120 cal years BP, and after 4200??130 cal years BP, as well as a two-step increase in precipitation at 3200??160 and 2000??100 cal years BP. Maximum Holocene precipitation and inferred ENSO variability occurred between 2000??100 and 1500??70 cal years BP, during the same period that six other independent proxy records suggest higher ENSO frequency and longer, stronger El Ni??o events. Decreasing sediment carbon/nitrogen (C/N) ratios in El Junco sediments indicate rising lake levels from the early Holocene to present, corroborating the grain size data. The inferred increase in precipitation at 4200??130 cal years BP and at 2000??100 cal years BP coincides with decreasing Southwest Asian and East Asian Monsoon intensity, suggesting tropical Pacific climate and the Asian monsoon were interconnected systems at centennial to millennial timescales during the Holocene. A weakening trend in the Asian monsoon and the trend toward wetter conditions at El Junco also coincide with a trend toward cooler and drier conditions inferred from Cariaco Basin sediment proxies from the mid-Holocene to present, suggesting the migration of the Intertropical Convergence Zone (ITCZ) likely influenced hydrological changes in both the eastern tropical Pacific and the Asian Monsoon region during the Holocene. ?? 2008 Elsevier Ltd. All rights reserved.","author":[{"dropping-particle":"","family":"Conroy","given":"Jessica L","non-dropping-particle":"","parse-names":false,"suffix":""},{"dropping-particle":"","family":"Overpeck","given":"Jonathan T","non-dropping-particle":"","parse-names":false,"suffix":""},{"dropping-particle":"","family":"Cole","given":"Julia E","non-dropping-particle":"","parse-names":false,"suffix":""},{"dropping-particle":"","family":"Shanahan","given":"Timothy M","non-dropping-particle":"","parse-names":false,"suffix":""},{"dropping-particle":"","family":"Steinitz-Kannan","given":"Miriam","non-dropping-particle":"","parse-names":false,"suffix":""}],"container-title":"Quaternary Science Reviews","id":"ITEM-3","issue":"11-12","issued":{"date-parts":[["2008"]]},"page":"1166-1180","title":"Holocene changes in eastern tropical Pacific climate inferred from a Galápagos lake sediment record","type":"article-journal","volume":"27"},"uris":["http://www.mendeley.com/documents/?uuid=a0edccfd-907b-4152-a2b0-62cd967da748"]}],"mendeley":{"formattedCitation":"(Atwood and Sachs, 2014; Conroy et al., 2008; Nelson and Sachs, 2016)","plainTextFormattedCitation":"(Atwood and Sachs, 2014; Conroy et al., 2008; Nelson and Sachs, 2016)","previouslyFormattedCitation":"(Atwood and Sachs, 2014; Conroy et al., 2008; Nelson and Sachs, 2016)"},"properties":{"noteIndex":0},"schema":"https://github.com/citation-style-language/schema/raw/master/csl-citation.json"}</w:instrText>
      </w:r>
      <w:r w:rsidR="00C73876">
        <w:rPr>
          <w:rFonts w:ascii="Garamond" w:hAnsi="Garamond"/>
        </w:rPr>
        <w:fldChar w:fldCharType="separate"/>
      </w:r>
      <w:r w:rsidR="00C73876" w:rsidRPr="00D04FB8">
        <w:rPr>
          <w:rFonts w:ascii="Garamond" w:hAnsi="Garamond"/>
          <w:noProof/>
        </w:rPr>
        <w:t>(Atwood and Sachs, 2014; Conroy et al., 2008; Nelson and Sachs, 2016)</w:t>
      </w:r>
      <w:r w:rsidR="00C73876">
        <w:rPr>
          <w:rFonts w:ascii="Garamond" w:hAnsi="Garamond"/>
        </w:rPr>
        <w:fldChar w:fldCharType="end"/>
      </w:r>
      <w:r w:rsidR="00C73876">
        <w:rPr>
          <w:rFonts w:ascii="Garamond" w:hAnsi="Garamond"/>
        </w:rPr>
        <w:t xml:space="preserve">, and Mesoamerica </w:t>
      </w:r>
      <w:r w:rsidR="00C73876">
        <w:rPr>
          <w:rFonts w:ascii="Garamond" w:hAnsi="Garamond"/>
        </w:rPr>
        <w:fldChar w:fldCharType="begin" w:fldLock="1"/>
      </w:r>
      <w:r w:rsidR="00C73876">
        <w:rPr>
          <w:rFonts w:ascii="Garamond" w:hAnsi="Garamond"/>
        </w:rPr>
        <w:instrText xml:space="preserve">ADDIN CSL_CITATION {"citationItems":[{"id":"ITEM-1","itemData":{"DOI":"10.1073/pnas.1405653112","ISSN":"10916490","PMID":"25624470","abstract":"There is currently no consensus on the importance of climate change in Mesoamerican prehistory. Some invoke drought as a causal factor in major cultural transitions, including the abandonment of many sites at 900 CE, while others conclude that cultural factors were more important. This lack of agreement reflects the fact that the history of climate change in many regions of Mesoamerica is poorly understood. We present paleolimnological evidence suggesting that climate change was important in the abandonment of Cantona between 900 CE and 1050 CE. At its peak, Cantona was one of the largest cities in pre-Columbian Mesoamerica, with a population of 90,000 inhabitants. The site is located in the Cuenca Oriental, a semiarid basin east of Mexico City. We developed a subcentennial reconstruction of regional climate from a nearby maar lake, Aljojuca. The modern climatology of the region suggests that sediments record changes in summer monsoonal precipitation. Elemental geochemistry (X-ray fluorescence) and ä18O from authigenic calcite indicate a centennial-scale arid interval between 500 CE and 1150 CE, overlaid on a long-term drying trend. Comparison of this record to Cantona's chronology suggests that both the city's peak population and its abandonment occurred during this arid period. The human response to climate change most likely resulted from the interplay of environmental and political factors. During earlier periods of Cantona's history, increasing aridity and political unrest may have actually increased the city's importance. However, by 1050 CE, this extended arid period, possibly combined with regional political change, contributed to the city's abandonment.","author":[{"dropping-particle":"","family":"Bhattacharya","given":"Tripti","non-dropping-particle":"","parse-names":false,"suffix":""},{"dropping-particle":"","family":"Byrne","given":"Roger","non-dropping-particle":"","parse-names":false,"suffix":""},{"dropping-particle":"","family":"Böhnel","given":"Harald","non-dropping-particle":"","parse-names":false,"suffix":""},{"dropping-particle":"","family":"Wogau","given":"Kurt","non-dropping-particle":"","parse-names":false,"suffix":""},{"dropping-particle":"","family":"Kienel","given":"Ulrike","non-dropping-particle":"","parse-names":false,"suffix":""},{"dropping-particle":"","family":"Ingram","given":"B. Lynn","non-dropping-particle":"","parse-names":false,"suffix":""},{"dropping-particle":"","family":"Zimmerman","given":"Susan","non-dropping-particle":"","parse-names":false,"suffix":""}],"container-title":"Proceedings of the National Academy of Sciences","id":"ITEM-1","issued":{"date-parts":[["2015"]]},"page":"1693-1698","title":"Cultural implications of late holocene climate change in the Cuenca Oriental, Mexico","type":"article-journal","volume":"112"},"uris":["http://www.mendeley.com/documents/?uuid=b11b7ee9-0501-4ef8-b6c1-88fbfd8da5e8"]},{"id":"ITEM-2","itemData":{"DOI":"10.1006/qres.1996.0042","ISSN":"00335894","abstract":"Climate variability on the Yucatan Peninsula during the past 3500 yrs is reconstructed from the measurement of δ18O in mono-specific ostracods and gastropods in a 6.3-m sediment core from Lake Punta Laguna, Mexico. This late Holocene record is divided into three periods based on changes in mean δ18O values. From </w:instrText>
      </w:r>
      <w:r w:rsidR="00C73876">
        <w:rPr>
          <w:rFonts w:ascii="Cambria Math" w:hAnsi="Cambria Math" w:cs="Cambria Math"/>
        </w:rPr>
        <w:instrText>∼</w:instrText>
      </w:r>
      <w:r w:rsidR="00C73876">
        <w:rPr>
          <w:rFonts w:ascii="Garamond" w:hAnsi="Garamond"/>
        </w:rPr>
        <w:instrText xml:space="preserve">3310 to </w:instrText>
      </w:r>
      <w:r w:rsidR="00C73876">
        <w:rPr>
          <w:rFonts w:ascii="Cambria Math" w:hAnsi="Cambria Math" w:cs="Cambria Math"/>
        </w:rPr>
        <w:instrText>∼</w:instrText>
      </w:r>
      <w:r w:rsidR="00C73876">
        <w:rPr>
          <w:rFonts w:ascii="Garamond" w:hAnsi="Garamond"/>
        </w:rPr>
        <w:instrText xml:space="preserve">1785 14C yr B.P. (Period I), low mean δ18O values indicate relatively wet conditions (i.e., low evaporation to precipitation ratio, E/P). Mean oxygen isotopic values increased </w:instrText>
      </w:r>
      <w:r w:rsidR="00C73876">
        <w:rPr>
          <w:rFonts w:ascii="Cambria Math" w:hAnsi="Cambria Math" w:cs="Cambria Math"/>
        </w:rPr>
        <w:instrText>∼</w:instrText>
      </w:r>
      <w:r w:rsidR="00C73876">
        <w:rPr>
          <w:rFonts w:ascii="Garamond" w:hAnsi="Garamond"/>
        </w:rPr>
        <w:instrText xml:space="preserve">1785 14C yr B.P., and the interval between </w:instrText>
      </w:r>
      <w:r w:rsidR="00C73876">
        <w:rPr>
          <w:rFonts w:ascii="Cambria Math" w:hAnsi="Cambria Math" w:cs="Cambria Math"/>
        </w:rPr>
        <w:instrText>∼</w:instrText>
      </w:r>
      <w:r w:rsidR="00C73876">
        <w:rPr>
          <w:rFonts w:ascii="Garamond" w:hAnsi="Garamond"/>
        </w:rPr>
        <w:instrText xml:space="preserve">1785 and </w:instrText>
      </w:r>
      <w:r w:rsidR="00C73876">
        <w:rPr>
          <w:rFonts w:ascii="Cambria Math" w:hAnsi="Cambria Math" w:cs="Cambria Math"/>
        </w:rPr>
        <w:instrText>∼</w:instrText>
      </w:r>
      <w:r w:rsidR="00C73876">
        <w:rPr>
          <w:rFonts w:ascii="Garamond" w:hAnsi="Garamond"/>
        </w:rPr>
        <w:instrText xml:space="preserve">930 14C yr B.P. (Period II) was distinctly drier than the periods before or after. The climate during the latter part of Period II was persistently dry, with exceptionally arid events centered at </w:instrText>
      </w:r>
      <w:r w:rsidR="00C73876">
        <w:rPr>
          <w:rFonts w:ascii="Cambria Math" w:hAnsi="Cambria Math" w:cs="Cambria Math"/>
        </w:rPr>
        <w:instrText>∼</w:instrText>
      </w:r>
      <w:r w:rsidR="00C73876">
        <w:rPr>
          <w:rFonts w:ascii="Garamond" w:hAnsi="Garamond"/>
        </w:rPr>
        <w:instrText xml:space="preserve">1171, 1019, and 943 14C yr B.P. (equivalent to 862, 986, and 1051 A.D.). This interval of frequent drought was recorded at several other localities in Mexico and Central America, and coincided with the collapse of Classic Maya civilization. Following the last arid event, δ18O values decreased abruptly at </w:instrText>
      </w:r>
      <w:r w:rsidR="00C73876">
        <w:rPr>
          <w:rFonts w:ascii="Cambria Math" w:hAnsi="Cambria Math" w:cs="Cambria Math"/>
        </w:rPr>
        <w:instrText>∼</w:instrText>
      </w:r>
      <w:r w:rsidR="00C73876">
        <w:rPr>
          <w:rFonts w:ascii="Garamond" w:hAnsi="Garamond"/>
        </w:rPr>
        <w:instrText>930 14C yr B.P. (beginning of Period III), signaling a return to wetter conditions that have generally prevailed to the present, with the exception of a dry episode centered at 559 14C yr B.P. (1391 A.D.). The paleoclimatic record from Punta Laguna provides evidence that multi-decadal and millennial-scale changes in EIP occurred on the Yucatan Peninsula during the late Holocene. These wet/dry episodes may have influenced cultural evolution in Mesoamerica. © 1996 University of Washington.","author":[{"dropping-particle":"","family":"Curtis","given":"Jason H.","non-dropping-particle":"","parse-names":false,"suffix":""},{"dropping-particle":"","family":"Hodell","given":"David A.","non-dropping-particle":"","parse-names":false,"suffix":""},{"dropping-particle":"","family":"Brenner","given":"Mark","non-dropping-particle":"","parse-names":false,"suffix":""}],"container-title":"Quaternary Research","id":"ITEM-2","issue":"1","issued":{"date-parts":[["1996"]]},"page":"37-47","title":"Climate variability on the Yucatan Peninsula (Mexico) during the past 3500 years, and implications for Maya cultural evolution","type":"article-journal","volume":"46"},"uris":["http://www.mendeley.com/documents/?uuid=5589f54d-4c20-4b04-b958-769d76e0f95e"]},{"id":"ITEM-3","itemData":{"DOI":"10.1016/j.quascirev.2004.10.013","ISSN":"02773791","abstract":"We present new density records from sediment cores taken along a depth transect in Lake Chichancanab, Mexico. The data reveal in great detail the climatic events that comprised the Terminal Classic Drought (TCD) and coincided with the demise of Classic Maya civilization between ca 750 and 1050 AD. In shallow-water cores, the TCD is marked by a condensed gypsum horizon. In deeper-water sections it is expanded and represented by numerous interbedded gypsum and organic-rich strata. The TCD was not a single, two-century-long megadrought, but rather consisted of a series of dry events separated by intervening periods of relatively moister conditions. We estimate the TCD occurred between ca 770 and 1100 AD and included an early phase (ca 770-870 AD) and late phase (ca 920-1100 AD). The intervening 50-year period (ca 870-920 AD) was relatively moister. Each dry phase is represented by multiple gypsum (density) bands interbedded with organic-rich sediment that indicate alternating dry and wet conditions. Spectral analysis revealed significant periods around 213, 50, and 27 years. Despite uncertainty regarding the ages of these events, their pattern is robust and generally consistent with other proxy records under the same climate regime, such as the marine Cariaco Basin off northern Venezuela (Science 299 (2003) 1731). © 2004 Elsevier Ltd. All rights reserved.","author":[{"dropping-particle":"","family":"Hodell","given":"David A","non-dropping-particle":"","parse-names":false,"suffix":""},{"dropping-particle":"","family":"Brenner","given":"Mark","non-dropping-particle":"","parse-names":false,"suffix":""},{"dropping-particle":"","family":"Curtis","given":"Jason H","non-dropping-particle":"","parse-names":false,"suffix":""}],"container-title":"Quaternary Science Reviews","id":"ITEM-3","issued":{"date-parts":[["2005"]]},"page":"1413-1427","title":"Terminal Classic drought in the northern Maya lowlands inferred from multiple sediment cores in Lake Chichancanab (Mexico)","type":"article-journal","volume":"24"},"uris":["http://www.mendeley.com/documents/?uuid=55fa5038-129b-4423-81ad-c86d1c0a8ae8"]},{"id":"ITEM-4","itemData":{"DOI":"10.1016/j.epsl.2010.08.016","ISSN":"0012821X","abstract":"The decline of the Classic Maya civilization was complex and geographically variable, and occurred over a ~150-year interval, known as the Terminal Classic Period (TCP, C.E. 800-950). Paleoclimate studies based on lake sediments from the Yucatán Peninsula lowlands suggested that drought prevailed during the TCP and was likely an important factor in the disintegration of the Classic Maya civilization. The lacustrine evidence for decades of severe drought in the Yucatán Peninsula, however, does not readily explain the long 150-year socio-political decline of the Classic Maya civilization. Here we present a new, absolute-dated, high-resolution stalagmite δ18O record from the northwest Yucatán Peninsula that provides a much more detailed picture of climate variability during the last 1500years. Direct calibration between stalagmite δ18O and rainfall amount offers the first quantitative estimation of rainfall variability during the Terminal Classic Period. Our results show that eight severe droughts, lasting from 3 to 18years, occurred during major depopulation events of Classic Maya city-states. During these droughts, rainfall was reduced by 52% to 36%. The number and short duration of the dry intervals help explain why the TCP collapse of the Mayan civilization occurred over 150years. © 2010.","author":[{"dropping-particle":"","family":"Medina-Elizalde","given":"Martín","non-dropping-particle":"","parse-names":false,"suffix":""},{"dropping-particle":"","family":"Burns","given":"Stephen J.","non-dropping-particle":"","parse-names":false,"suffix":""},{"dropping-particle":"","family":"Lea","given":"David W.","non-dropping-particle":"","parse-names":false,"suffix":""},{"dropping-particle":"","family":"Asmerom","given":"Yemane","non-dropping-particle":"","parse-names":false,"suffix":""},{"dropping-particle":"","family":"Gunten","given":"Lucien","non-dropping-particle":"von","parse-names":false,"suffix":""},{"dropping-particle":"","family":"Polyak","given":"Victor","non-dropping-particle":"","parse-names":false,"suffix":""},{"dropping-particle":"","family":"Vuille","given":"Mathias","non-dropping-particle":"","parse-names":false,"suffix":""},{"dropping-particle":"","family":"Karmalkar","given":"Ambarish","non-dropping-particle":"","parse-names":false,"suffix":""}],"container-title":"Earth and Planetary Science Letters","id":"ITEM-4","issued":{"date-parts":[["2010"]]},"page":"255-262","publisher":"Elsevier B.V.","title":"High resolution stalagmite climate record from the Yucatán Peninsula spanning the Maya terminal classic period","type":"article-journal","volume":"298"},"uris":["http://www.mendeley.com/documents/?uuid=f1db37d7-f2dc-4490-89b2-0ef797c9af97"]},{"id":"ITEM-5","itemData":{"DOI":"10.1177/0959683610371994","ISSN":"09596836","abstract":"High-resolution titanium (Ti) data obtained using an ITRAX XRF core scanner from a laminated sediment core from the Laguna de Juanacatlán, western central Mexico yield a unique high-resolution record of runoff (precipitation) change for the last 2000 years. In the absence of reliable, long-term meteorological records, comparison of the Ti data with information from the rich Spanish colonial period archives and the post-Independence period, confirms that Ti is a proxy for runoff. This interpretation is supported by comparison with other high-resolution archives from the surrounding region, primarily tree rings and other lake sediment sequences. The Juanacatlán Ti record is therefore a proxy for summer, monsoonal rainfall. The record provides new evidence from the Pacific margin of tropical North America of the occurrence of dry conditions through much of the Classic period (c. AD 300-900), and wetter conditions during the later Medieval period (c. AD 1200-1350). The period commonly known as the 'Little Ice Age' (LIA) shows considerable variability, with dry conditions in the early part (c. AD 1400-1600) and wetter conditions, punctuated by multiyear droughts through the eighteenth century. A notable feature of the record is the apparent decoupling of lacustrine sedimentation from the climate since the mid-twentieth century, possibly resulting from anthropogenic disturbance. Preliminary interpretations of the Ti record indicate that patterns are consistent with changes in monsoon strength associated with ENSO and solar forcing over the last two millennia. © The Author(s) 2010.","author":[{"dropping-particle":"","family":"Metcalfe","given":"S. E.","non-dropping-particle":"","parse-names":false,"suffix":""},{"dropping-particle":"","family":"Jones","given":"M. D.","non-dropping-particle":"","parse-names":false,"suffix":""},{"dropping-particle":"","family":"Davies","given":"S. J.","non-dropping-particle":"","parse-names":false,"suffix":""},{"dropping-particle":"","family":"Noren","given":"A.","non-dropping-particle":"","parse-names":false,"suffix":""},{"dropping-particle":"","family":"MacKenzie","given":"A.","non-dropping-particle":"","parse-names":false,"suffix":""}],"container-title":"The Holocene","id":"ITEM-5","issue":"8","issued":{"date-parts":[["2010"]]},"page":"1195-1206","title":"Climate variability over the last two millennia in the North American Monsoon region, recorded in laminated lake sediments from Laguna de Juanacatlán, Mexico","type":"article-journal","volume":"20"},"uris":["http://www.mendeley.com/documents/?uuid=81590df9-32ff-4a0a-a880-ad68f34f9c8d"]}],"mendeley":{"formattedCitation":"(Bhattacharya et al., 2015; Curtis et al., 1996; Hodell et al., 2005; Medina-Elizalde et al., 2010; Metcalfe et al., 2010)","plainTextFormattedCitation":"(Bhattacharya et al., 2015; Curtis et al., 1996; Hodell et al., 2005; Medina-Elizalde et al., 2010; Metcalfe et al., 2010)","previouslyFormattedCitation":"(Bhattacharya et al., 2015; Curtis et al., 1996; Hodell et al., 2005)"},"properties":{"noteIndex":0},"schema":"https://github.com/citation-style-language/schema/raw/master/csl-citation.json"}</w:instrText>
      </w:r>
      <w:r w:rsidR="00C73876">
        <w:rPr>
          <w:rFonts w:ascii="Garamond" w:hAnsi="Garamond"/>
        </w:rPr>
        <w:fldChar w:fldCharType="separate"/>
      </w:r>
      <w:r w:rsidR="00C73876" w:rsidRPr="00C73876">
        <w:rPr>
          <w:rFonts w:ascii="Garamond" w:hAnsi="Garamond"/>
          <w:noProof/>
        </w:rPr>
        <w:t>(Bhattacharya et al., 2015; Curtis et al., 1996; Hodell et al., 2005; Medina-Elizalde et al., 2010; Metcalfe et al., 2010)</w:t>
      </w:r>
      <w:r w:rsidR="00C73876">
        <w:rPr>
          <w:rFonts w:ascii="Garamond" w:hAnsi="Garamond"/>
        </w:rPr>
        <w:fldChar w:fldCharType="end"/>
      </w:r>
      <w:r w:rsidR="00D04FB8">
        <w:rPr>
          <w:rFonts w:ascii="Garamond" w:hAnsi="Garamond"/>
        </w:rPr>
        <w:t>,</w:t>
      </w:r>
      <w:r w:rsidR="00E510E1">
        <w:rPr>
          <w:rFonts w:ascii="Garamond" w:hAnsi="Garamond"/>
        </w:rPr>
        <w:t xml:space="preserve"> </w:t>
      </w:r>
      <w:r w:rsidR="00D04FB8">
        <w:rPr>
          <w:rFonts w:ascii="Garamond" w:hAnsi="Garamond"/>
        </w:rPr>
        <w:t>supports the</w:t>
      </w:r>
      <w:r w:rsidR="00E510E1">
        <w:rPr>
          <w:rFonts w:ascii="Garamond" w:hAnsi="Garamond"/>
        </w:rPr>
        <w:t xml:space="preserve"> suggest</w:t>
      </w:r>
      <w:r w:rsidR="00D04FB8">
        <w:rPr>
          <w:rFonts w:ascii="Garamond" w:hAnsi="Garamond"/>
        </w:rPr>
        <w:t>ion of</w:t>
      </w:r>
      <w:r w:rsidR="00E510E1">
        <w:rPr>
          <w:rFonts w:ascii="Garamond" w:hAnsi="Garamond"/>
        </w:rPr>
        <w:t xml:space="preserve"> a Pacific-Atlantic teleconnection (</w:t>
      </w:r>
      <w:r w:rsidR="00D04FB8">
        <w:rPr>
          <w:rFonts w:ascii="Garamond" w:hAnsi="Garamond"/>
        </w:rPr>
        <w:t xml:space="preserve">e.g. </w:t>
      </w:r>
      <w:r w:rsidR="00E510E1">
        <w:rPr>
          <w:rFonts w:ascii="Garamond" w:hAnsi="Garamond"/>
        </w:rPr>
        <w:t>Fig. 6 in Wyman et al. 2021).</w:t>
      </w:r>
      <w:r w:rsidR="00FB4456">
        <w:rPr>
          <w:rFonts w:ascii="Garamond" w:hAnsi="Garamond"/>
        </w:rPr>
        <w:t xml:space="preserve"> </w:t>
      </w:r>
      <w:r w:rsidR="00A76B45">
        <w:rPr>
          <w:rFonts w:ascii="Garamond" w:hAnsi="Garamond"/>
        </w:rPr>
        <w:t xml:space="preserve">Available paleoprecipitation records indicate the ocean-atmosphere </w:t>
      </w:r>
      <w:r w:rsidR="00A76B45" w:rsidRPr="009A2E44">
        <w:rPr>
          <w:rFonts w:ascii="Garamond" w:hAnsi="Garamond"/>
        </w:rPr>
        <w:t xml:space="preserve">mechanisms </w:t>
      </w:r>
      <w:r w:rsidR="00A76B45">
        <w:rPr>
          <w:rFonts w:ascii="Garamond" w:hAnsi="Garamond"/>
        </w:rPr>
        <w:t>responsible for</w:t>
      </w:r>
      <w:r w:rsidR="00A76B45" w:rsidRPr="009A2E44">
        <w:rPr>
          <w:rFonts w:ascii="Garamond" w:hAnsi="Garamond"/>
        </w:rPr>
        <w:t xml:space="preserve"> past hydroclimate variability in </w:t>
      </w:r>
      <w:r w:rsidR="00A76B45">
        <w:rPr>
          <w:rFonts w:ascii="Garamond" w:hAnsi="Garamond"/>
        </w:rPr>
        <w:t xml:space="preserve">the tropical Pacific are </w:t>
      </w:r>
      <w:r w:rsidR="00E510E1">
        <w:rPr>
          <w:rFonts w:ascii="Garamond" w:hAnsi="Garamond"/>
        </w:rPr>
        <w:t>not always coherent</w:t>
      </w:r>
      <w:r w:rsidR="00A76B45" w:rsidRPr="009A2E44">
        <w:rPr>
          <w:rFonts w:ascii="Garamond" w:hAnsi="Garamond"/>
        </w:rPr>
        <w:t xml:space="preserve"> </w:t>
      </w:r>
      <w:r w:rsidR="00A76B45" w:rsidRPr="009A2E44">
        <w:rPr>
          <w:rFonts w:ascii="Garamond" w:hAnsi="Garamond"/>
        </w:rPr>
        <w:fldChar w:fldCharType="begin" w:fldLock="1"/>
      </w:r>
      <w:r w:rsidR="00A76B45">
        <w:rPr>
          <w:rFonts w:ascii="Garamond" w:hAnsi="Garamond"/>
        </w:rPr>
        <w:instrText>ADDIN CSL_CITATION {"citationItems":[{"id":"ITEM-1","itemData":{"DOI":"10.1002/2017PA003233","author":[{"dropping-particle":"","family":"Higley","given":"Melinda C","non-dropping-particle":"","parse-names":false,"suffix":""},{"dropping-particle":"","family":"Conroy","given":"Jessica L","non-dropping-particle":"","parse-names":false,"suffix":""},{"dropping-particle":"","family":"Schmitt","given":"Susan","non-dropping-particle":"","parse-names":false,"suffix":""}],"container-title":"Paleoceanography and Paleoclimatology","id":"ITEM-1","issued":{"date-parts":[["2018"]]},"page":"354-366","title":"Last millennium meridional shifts in hydroclimate in the central tropical Pacific","type":"article-journal","volume":"33"},"uris":["http://www.mendeley.com/documents/?uuid=6b04ec27-a35e-4a7d-8073-cd389379927e"]},{"id":"ITEM-2","itemData":{"DOI":"10.1029/2020PA003934","ISSN":"25724525","abstract":"We examine the evidence for large-scale tropical hydroclimate changes over the Common Era based on a compilation of 67 tropical hydroclimate records from 55 sites and assess the consistency between the reconstructed hydroclimate changes and those simulated by transient model simulations of the last millennium. Our synthesis of the proxy records reveals several regionally coherent patterns on centennial time scales. From 800 to 1000 CE, records from the eastern Pacific and parts of Mesoamerica indicate a pronounced drying event relative to background conditions of the Common Era. In addition, 1400–1700 CE is marked by pronounced hydroclimate changes across the tropics, including dry and/or isotopically enriched conditions in South and East Asia, wet and/or isotopically depleted conditions in the central Andes and southern Amazon in South America, and fresher and/or isotopically depleted conditions in the Maritime Continent. We find notable dissimilarities between the regional hydroclimate changes and global-scale and hemispheric-scale temperature reconstructions, indicating that more work needs to be done to understand the mechanisms of the widespread tropical hydroclimate changes during the LIA. Apropos to previous interpretations of large-scale reorganization of tropical Pacific climate during the LIA, we do not find support for a large-scale southward shift of the Pacific Intertropical Convergence Zone, while evidence for a strengthened Pacific Walker Circulation and/or an equatorward contraction of the monsoonal Asian-Australian rain belt exists from limited geographic regions but require additional paleoclimate constraints. Transient climate model simulations exhibit weak forced long-term tropical rainfall changes over the last millennium but provide several important insights to the proxy reconstructions.","author":[{"dropping-particle":"","family":"Atwood","given":"Alyssa R","non-dropping-particle":"","parse-names":false,"suffix":""},{"dropping-particle":"","family":"Battisti","given":"David S","non-dropping-particle":"","parse-names":false,"suffix":""},{"dropping-particle":"","family":"Wu","given":"E","non-dropping-particle":"","parse-names":false,"suffix":""},{"dropping-particle":"","family":"Frierson","given":"D. M.W.","non-dropping-particle":"","parse-names":false,"suffix":""},{"dropping-particle":"","family":"Sachs","given":"Julian P","non-dropping-particle":"","parse-names":false,"suffix":""}],"container-title":"Paleoceanography and Paleoclimatology","id":"ITEM-2","issue":"7","issued":{"date-parts":[["2021"]]},"page":"1-30","title":"Data-Model Comparisons of Tropical Hydroclimate Changes Over the Common Era","type":"article-journal","volume":"36"},"uris":["http://www.mendeley.com/documents/?uuid=3c9003ec-1ee1-4040-b190-3521a2200498"]},{"id":"ITEM-3","itemData":{"DOI":"10.1073/pnas.1920975117","ISSN":"10916490","PMID":"32253300","abstract":"The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America","id":"ITEM-3","issue":"16","issued":{"date-parts":[["2020"]]},"page":"8813-8819","title":"Human settlement of East Polynesia earlier, incremental, and coincident with prolonged South Pacific drought","type":"article-journal","volume":"117"},"uris":["http://www.mendeley.com/documents/?uuid=5e4a7b40-a602-4fa6-8dd7-b9d6ae8d7f06"]}],"mendeley":{"formattedCitation":"(Atwood et al., 2021; Higley et al., 2018; Sear et al., 2020)","plainTextFormattedCitation":"(Atwood et al., 2021; Higley et al., 2018; Sear et al., 2020)","previouslyFormattedCitation":"(Atwood et al., 2021; Higley et al., 2018; Sear et al., 2020)"},"properties":{"noteIndex":0},"schema":"https://github.com/citation-style-language/schema/raw/master/csl-citation.json"}</w:instrText>
      </w:r>
      <w:r w:rsidR="00A76B45" w:rsidRPr="009A2E44">
        <w:rPr>
          <w:rFonts w:ascii="Garamond" w:hAnsi="Garamond"/>
        </w:rPr>
        <w:fldChar w:fldCharType="separate"/>
      </w:r>
      <w:r w:rsidR="00A76B45" w:rsidRPr="007E5301">
        <w:rPr>
          <w:rFonts w:ascii="Garamond" w:hAnsi="Garamond"/>
          <w:noProof/>
        </w:rPr>
        <w:t>(Atwood et al., 2021; Higley et al., 2018; Sear et al., 2020)</w:t>
      </w:r>
      <w:r w:rsidR="00A76B45" w:rsidRPr="009A2E44">
        <w:rPr>
          <w:rFonts w:ascii="Garamond" w:hAnsi="Garamond"/>
        </w:rPr>
        <w:fldChar w:fldCharType="end"/>
      </w:r>
      <w:r w:rsidR="001E5FBF">
        <w:rPr>
          <w:rFonts w:ascii="Garamond" w:hAnsi="Garamond"/>
        </w:rPr>
        <w:t xml:space="preserve"> so c</w:t>
      </w:r>
      <w:r w:rsidR="003149D0">
        <w:rPr>
          <w:rFonts w:ascii="Garamond" w:hAnsi="Garamond"/>
        </w:rPr>
        <w:t xml:space="preserve">ontinued development of multiproxy records in and around the SPCZ should </w:t>
      </w:r>
      <w:r w:rsidR="001E5FBF">
        <w:rPr>
          <w:rFonts w:ascii="Garamond" w:hAnsi="Garamond"/>
        </w:rPr>
        <w:t>help clarify</w:t>
      </w:r>
      <w:r w:rsidR="003149D0">
        <w:rPr>
          <w:rFonts w:ascii="Garamond" w:hAnsi="Garamond"/>
        </w:rPr>
        <w:t xml:space="preserve"> how</w:t>
      </w:r>
      <w:r w:rsidR="001E5FBF">
        <w:rPr>
          <w:rFonts w:ascii="Garamond" w:hAnsi="Garamond"/>
        </w:rPr>
        <w:t xml:space="preserve"> and why</w:t>
      </w:r>
      <w:r w:rsidR="003149D0">
        <w:rPr>
          <w:rFonts w:ascii="Garamond" w:hAnsi="Garamond"/>
        </w:rPr>
        <w:t xml:space="preserve"> SPCZ precipitation varied prior to the instrumental record.</w:t>
      </w:r>
    </w:p>
    <w:p w14:paraId="3BE7AD28" w14:textId="77777777" w:rsidR="002E2871" w:rsidRPr="009A2E44" w:rsidRDefault="002E2871" w:rsidP="001C47D3">
      <w:pPr>
        <w:spacing w:line="480" w:lineRule="auto"/>
        <w:rPr>
          <w:rFonts w:ascii="Garamond" w:hAnsi="Garamond"/>
          <w:b/>
        </w:rPr>
      </w:pPr>
    </w:p>
    <w:p w14:paraId="2C460435" w14:textId="7CBB6391" w:rsidR="002E2871" w:rsidRPr="009A2E44" w:rsidRDefault="002E2871" w:rsidP="001C47D3">
      <w:pPr>
        <w:spacing w:line="480" w:lineRule="auto"/>
        <w:rPr>
          <w:rFonts w:ascii="Garamond" w:hAnsi="Garamond"/>
          <w:b/>
        </w:rPr>
      </w:pPr>
      <w:r w:rsidRPr="009A2E44">
        <w:rPr>
          <w:rFonts w:ascii="Garamond" w:hAnsi="Garamond"/>
          <w:b/>
        </w:rPr>
        <w:t>6. Conclusion</w:t>
      </w:r>
    </w:p>
    <w:p w14:paraId="4B5D459D" w14:textId="42F47A17" w:rsidR="00B279B1" w:rsidRPr="009A2E44" w:rsidRDefault="002E2871" w:rsidP="001C47D3">
      <w:pPr>
        <w:spacing w:line="480" w:lineRule="auto"/>
        <w:ind w:firstLine="720"/>
        <w:rPr>
          <w:rFonts w:ascii="Garamond" w:hAnsi="Garamond"/>
          <w:b/>
          <w:bCs/>
          <w:sz w:val="20"/>
          <w:szCs w:val="20"/>
        </w:rPr>
      </w:pPr>
      <w:r w:rsidRPr="009A2E44">
        <w:rPr>
          <w:rFonts w:ascii="Garamond" w:hAnsi="Garamond"/>
        </w:rPr>
        <w:lastRenderedPageBreak/>
        <w:t xml:space="preserve">This study </w:t>
      </w:r>
      <w:r w:rsidR="00DF6360" w:rsidRPr="009A2E44">
        <w:rPr>
          <w:rFonts w:ascii="Garamond" w:hAnsi="Garamond"/>
        </w:rPr>
        <w:t xml:space="preserve">presents </w:t>
      </w:r>
      <w:r w:rsidR="00AA4814">
        <w:rPr>
          <w:rFonts w:ascii="Garamond" w:hAnsi="Garamond"/>
        </w:rPr>
        <w:t>a multi</w:t>
      </w:r>
      <w:r w:rsidR="002D108D">
        <w:rPr>
          <w:rFonts w:ascii="Garamond" w:hAnsi="Garamond"/>
        </w:rPr>
        <w:t>-</w:t>
      </w:r>
      <w:r w:rsidR="00AA4814">
        <w:rPr>
          <w:rFonts w:ascii="Garamond" w:hAnsi="Garamond"/>
        </w:rPr>
        <w:t>proxy, mu</w:t>
      </w:r>
      <w:r w:rsidR="002D108D">
        <w:rPr>
          <w:rFonts w:ascii="Garamond" w:hAnsi="Garamond"/>
        </w:rPr>
        <w:t>l</w:t>
      </w:r>
      <w:r w:rsidR="00AA4814">
        <w:rPr>
          <w:rFonts w:ascii="Garamond" w:hAnsi="Garamond"/>
        </w:rPr>
        <w:t>ti</w:t>
      </w:r>
      <w:r w:rsidR="002D108D">
        <w:rPr>
          <w:rFonts w:ascii="Garamond" w:hAnsi="Garamond"/>
        </w:rPr>
        <w:t>-record dataset based on</w:t>
      </w:r>
      <w:r w:rsidR="00AA4814" w:rsidRPr="009A2E44">
        <w:rPr>
          <w:rFonts w:ascii="Garamond" w:hAnsi="Garamond"/>
        </w:rPr>
        <w:t xml:space="preserve"> </w:t>
      </w:r>
      <w:r w:rsidR="00DF6360" w:rsidRPr="009A2E44">
        <w:rPr>
          <w:rFonts w:ascii="Garamond" w:hAnsi="Garamond"/>
        </w:rPr>
        <w:sym w:font="Symbol" w:char="F064"/>
      </w:r>
      <w:r w:rsidR="00DF6360" w:rsidRPr="009A2E44">
        <w:rPr>
          <w:rFonts w:ascii="Garamond" w:hAnsi="Garamond"/>
          <w:vertAlign w:val="superscript"/>
        </w:rPr>
        <w:t>2</w:t>
      </w:r>
      <w:r w:rsidR="00DF6360" w:rsidRPr="009A2E44">
        <w:rPr>
          <w:rFonts w:ascii="Garamond" w:hAnsi="Garamond"/>
        </w:rPr>
        <w:t>H</w:t>
      </w:r>
      <w:r w:rsidR="00DF6360" w:rsidRPr="009A2E44">
        <w:rPr>
          <w:rFonts w:ascii="Garamond" w:hAnsi="Garamond"/>
          <w:vertAlign w:val="subscript"/>
        </w:rPr>
        <w:t>dinosterol</w:t>
      </w:r>
      <w:r w:rsidR="00DF6360" w:rsidRPr="009A2E44">
        <w:rPr>
          <w:rFonts w:ascii="Garamond" w:hAnsi="Garamond"/>
        </w:rPr>
        <w:t xml:space="preserve"> </w:t>
      </w:r>
      <w:r w:rsidR="003A2467">
        <w:rPr>
          <w:rFonts w:ascii="Garamond" w:hAnsi="Garamond"/>
        </w:rPr>
        <w:t xml:space="preserve">and magnetic susceptibility </w:t>
      </w:r>
      <w:r w:rsidR="002D108D">
        <w:rPr>
          <w:rFonts w:ascii="Garamond" w:hAnsi="Garamond"/>
        </w:rPr>
        <w:t>data</w:t>
      </w:r>
      <w:r w:rsidR="002D108D" w:rsidRPr="009A2E44">
        <w:rPr>
          <w:rFonts w:ascii="Garamond" w:hAnsi="Garamond"/>
        </w:rPr>
        <w:t xml:space="preserve"> </w:t>
      </w:r>
      <w:r w:rsidR="00DF6360" w:rsidRPr="009A2E44">
        <w:rPr>
          <w:rFonts w:ascii="Garamond" w:hAnsi="Garamond"/>
        </w:rPr>
        <w:t>spanning the last 2</w:t>
      </w:r>
      <w:r w:rsidR="00D115DC" w:rsidRPr="009A2E44">
        <w:rPr>
          <w:rFonts w:ascii="Garamond" w:hAnsi="Garamond"/>
        </w:rPr>
        <w:t xml:space="preserve">000 </w:t>
      </w:r>
      <w:r w:rsidR="00DF6360" w:rsidRPr="009A2E44">
        <w:rPr>
          <w:rFonts w:ascii="Garamond" w:hAnsi="Garamond"/>
        </w:rPr>
        <w:t>y</w:t>
      </w:r>
      <w:r w:rsidR="00D115DC" w:rsidRPr="009A2E44">
        <w:rPr>
          <w:rFonts w:ascii="Garamond" w:hAnsi="Garamond"/>
        </w:rPr>
        <w:t>ea</w:t>
      </w:r>
      <w:r w:rsidR="00DF6360" w:rsidRPr="009A2E44">
        <w:rPr>
          <w:rFonts w:ascii="Garamond" w:hAnsi="Garamond"/>
        </w:rPr>
        <w:t>r</w:t>
      </w:r>
      <w:r w:rsidR="00D115DC" w:rsidRPr="009A2E44">
        <w:rPr>
          <w:rFonts w:ascii="Garamond" w:hAnsi="Garamond"/>
        </w:rPr>
        <w:t>s</w:t>
      </w:r>
      <w:r w:rsidR="002D108D">
        <w:rPr>
          <w:rFonts w:ascii="Garamond" w:hAnsi="Garamond"/>
        </w:rPr>
        <w:t xml:space="preserve">, with full record replication </w:t>
      </w:r>
      <w:r w:rsidR="003F7940">
        <w:rPr>
          <w:rFonts w:ascii="Garamond" w:hAnsi="Garamond"/>
        </w:rPr>
        <w:t>in</w:t>
      </w:r>
      <w:r w:rsidR="002D108D">
        <w:rPr>
          <w:rFonts w:ascii="Garamond" w:hAnsi="Garamond"/>
        </w:rPr>
        <w:t xml:space="preserve"> two individual basins</w:t>
      </w:r>
      <w:r w:rsidR="003F7940">
        <w:rPr>
          <w:rFonts w:ascii="Garamond" w:hAnsi="Garamond"/>
        </w:rPr>
        <w:t>.</w:t>
      </w:r>
      <w:r w:rsidR="002D108D">
        <w:rPr>
          <w:rFonts w:ascii="Garamond" w:hAnsi="Garamond"/>
        </w:rPr>
        <w:t xml:space="preserve"> Records include sediment sequences </w:t>
      </w:r>
      <w:r w:rsidR="00DF6360" w:rsidRPr="009A2E44">
        <w:rPr>
          <w:rFonts w:ascii="Garamond" w:hAnsi="Garamond"/>
        </w:rPr>
        <w:t>from two crater lakes</w:t>
      </w:r>
      <w:r w:rsidR="002D108D">
        <w:rPr>
          <w:rFonts w:ascii="Garamond" w:hAnsi="Garamond"/>
        </w:rPr>
        <w:t>,</w:t>
      </w:r>
      <w:r w:rsidR="00DF6360" w:rsidRPr="009A2E44">
        <w:rPr>
          <w:rFonts w:ascii="Garamond" w:hAnsi="Garamond"/>
        </w:rPr>
        <w:t xml:space="preserve"> </w:t>
      </w:r>
      <w:r w:rsidR="002D108D">
        <w:rPr>
          <w:rFonts w:ascii="Garamond" w:hAnsi="Garamond"/>
        </w:rPr>
        <w:t xml:space="preserve">Lac Lalolalo and Lac Lanutavake, </w:t>
      </w:r>
      <w:r w:rsidR="00DF6360" w:rsidRPr="009A2E44">
        <w:rPr>
          <w:rFonts w:ascii="Garamond" w:hAnsi="Garamond"/>
        </w:rPr>
        <w:t xml:space="preserve">on the island of </w:t>
      </w:r>
      <w:r w:rsidRPr="009A2E44">
        <w:rPr>
          <w:rFonts w:ascii="Garamond" w:hAnsi="Garamond"/>
        </w:rPr>
        <w:t xml:space="preserve">‘Uvea (Wallis </w:t>
      </w:r>
      <w:r w:rsidR="007B6A66" w:rsidRPr="009A2E44">
        <w:rPr>
          <w:rFonts w:ascii="Garamond" w:hAnsi="Garamond"/>
        </w:rPr>
        <w:t xml:space="preserve">et </w:t>
      </w:r>
      <w:r w:rsidRPr="009A2E44">
        <w:rPr>
          <w:rFonts w:ascii="Garamond" w:hAnsi="Garamond"/>
        </w:rPr>
        <w:t>Futuna)</w:t>
      </w:r>
      <w:r w:rsidR="003F7940">
        <w:rPr>
          <w:rFonts w:ascii="Garamond" w:hAnsi="Garamond"/>
        </w:rPr>
        <w:t xml:space="preserve"> and </w:t>
      </w:r>
      <w:r w:rsidR="00367168">
        <w:rPr>
          <w:rFonts w:ascii="Garamond" w:hAnsi="Garamond"/>
        </w:rPr>
        <w:t xml:space="preserve">updated </w:t>
      </w:r>
      <w:r w:rsidR="00367168" w:rsidRPr="009A2E44">
        <w:rPr>
          <w:rFonts w:ascii="Garamond" w:hAnsi="Garamond"/>
        </w:rPr>
        <w:sym w:font="Symbol" w:char="F064"/>
      </w:r>
      <w:r w:rsidR="00367168" w:rsidRPr="009A2E44">
        <w:rPr>
          <w:rFonts w:ascii="Garamond" w:hAnsi="Garamond"/>
          <w:vertAlign w:val="superscript"/>
        </w:rPr>
        <w:t>2</w:t>
      </w:r>
      <w:r w:rsidR="00367168" w:rsidRPr="009A2E44">
        <w:rPr>
          <w:rFonts w:ascii="Garamond" w:hAnsi="Garamond"/>
        </w:rPr>
        <w:t>H</w:t>
      </w:r>
      <w:r w:rsidR="00367168" w:rsidRPr="009A2E44">
        <w:rPr>
          <w:rFonts w:ascii="Garamond" w:hAnsi="Garamond"/>
          <w:vertAlign w:val="subscript"/>
        </w:rPr>
        <w:t>dinosterol</w:t>
      </w:r>
      <w:r w:rsidR="00367168" w:rsidRPr="009A2E44">
        <w:rPr>
          <w:rFonts w:ascii="Garamond" w:hAnsi="Garamond"/>
        </w:rPr>
        <w:t xml:space="preserve"> records </w:t>
      </w:r>
      <w:r w:rsidR="00367168">
        <w:rPr>
          <w:rFonts w:ascii="Garamond" w:hAnsi="Garamond"/>
        </w:rPr>
        <w:t xml:space="preserve">and </w:t>
      </w:r>
      <w:r w:rsidRPr="009A2E44">
        <w:rPr>
          <w:rFonts w:ascii="Garamond" w:hAnsi="Garamond"/>
        </w:rPr>
        <w:t>lithogenic runoff proxies from Efate (Vanuatu)</w:t>
      </w:r>
      <w:r w:rsidR="00E10C21">
        <w:rPr>
          <w:rFonts w:ascii="Garamond" w:hAnsi="Garamond"/>
        </w:rPr>
        <w:t xml:space="preserve"> and updated runoff proxies from </w:t>
      </w:r>
      <w:r w:rsidR="00E10C21" w:rsidRPr="009A2E44">
        <w:rPr>
          <w:rFonts w:ascii="Garamond" w:hAnsi="Garamond"/>
        </w:rPr>
        <w:t>‘Upolu (Samoa)</w:t>
      </w:r>
      <w:r w:rsidRPr="009A2E44">
        <w:rPr>
          <w:rFonts w:ascii="Garamond" w:hAnsi="Garamond"/>
        </w:rPr>
        <w:t xml:space="preserve">. The assessment of moisture changes on ‘Uvea is complicated by contradictory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results in Lac Lalolalo and Lac Lanutavake</w:t>
      </w:r>
      <w:r w:rsidRPr="009A2E44">
        <w:rPr>
          <w:rFonts w:ascii="Garamond" w:hAnsi="Garamond"/>
          <w:color w:val="000000"/>
          <w:shd w:val="clear" w:color="auto" w:fill="FFFFFF"/>
        </w:rPr>
        <w:t>. We propose that Lac Lalolalo, the youngest and largest volcanic crater lake on ‘Uvea, only recently evolved to its current stat</w:t>
      </w:r>
      <w:r w:rsidR="00845E88" w:rsidRPr="009A2E44">
        <w:rPr>
          <w:rFonts w:ascii="Garamond" w:hAnsi="Garamond"/>
          <w:color w:val="000000"/>
          <w:shd w:val="clear" w:color="auto" w:fill="FFFFFF"/>
        </w:rPr>
        <w:t>e</w:t>
      </w:r>
      <w:r w:rsidRPr="009A2E44">
        <w:rPr>
          <w:rFonts w:ascii="Garamond" w:hAnsi="Garamond"/>
          <w:color w:val="000000"/>
          <w:shd w:val="clear" w:color="auto" w:fill="FFFFFF"/>
        </w:rPr>
        <w:t xml:space="preserve"> characterized by fresh </w:t>
      </w:r>
      <w:r w:rsidR="00DF6360" w:rsidRPr="009A2E44">
        <w:rPr>
          <w:rFonts w:ascii="Garamond" w:hAnsi="Garamond"/>
          <w:color w:val="000000"/>
          <w:shd w:val="clear" w:color="auto" w:fill="FFFFFF"/>
        </w:rPr>
        <w:t xml:space="preserve">surficial water </w:t>
      </w:r>
      <w:r w:rsidRPr="009A2E44">
        <w:rPr>
          <w:rFonts w:ascii="Garamond" w:hAnsi="Garamond"/>
          <w:color w:val="000000"/>
          <w:shd w:val="clear" w:color="auto" w:fill="FFFFFF"/>
        </w:rPr>
        <w:t xml:space="preserve">and deeper saline, nutrient-rich, alkaline water. Changes in </w:t>
      </w:r>
      <w:r w:rsidR="00B911E3">
        <w:rPr>
          <w:rFonts w:ascii="Garamond" w:hAnsi="Garamond"/>
          <w:color w:val="000000"/>
          <w:shd w:val="clear" w:color="auto" w:fill="FFFFFF"/>
        </w:rPr>
        <w:t>lake morphology,</w:t>
      </w:r>
      <w:r w:rsidR="00B911E3" w:rsidRPr="009A2E44">
        <w:rPr>
          <w:rFonts w:ascii="Garamond" w:hAnsi="Garamond"/>
          <w:color w:val="000000"/>
          <w:shd w:val="clear" w:color="auto" w:fill="FFFFFF"/>
        </w:rPr>
        <w:t xml:space="preserve"> </w:t>
      </w:r>
      <w:r w:rsidR="00367168">
        <w:rPr>
          <w:rFonts w:ascii="Garamond" w:hAnsi="Garamond"/>
          <w:color w:val="000000"/>
          <w:shd w:val="clear" w:color="auto" w:fill="FFFFFF"/>
        </w:rPr>
        <w:t xml:space="preserve">volcanic </w:t>
      </w:r>
      <w:r w:rsidRPr="009A2E44">
        <w:rPr>
          <w:rFonts w:ascii="Garamond" w:hAnsi="Garamond"/>
          <w:color w:val="000000"/>
          <w:shd w:val="clear" w:color="auto" w:fill="FFFFFF"/>
        </w:rPr>
        <w:t xml:space="preserve">hydrochemistry, ecology, or biomarker degradation </w:t>
      </w:r>
      <w:r w:rsidR="002E2D3E">
        <w:rPr>
          <w:rFonts w:ascii="Garamond" w:hAnsi="Garamond"/>
          <w:color w:val="000000"/>
          <w:shd w:val="clear" w:color="auto" w:fill="FFFFFF"/>
        </w:rPr>
        <w:t xml:space="preserve">may </w:t>
      </w:r>
      <w:r w:rsidRPr="009A2E44">
        <w:rPr>
          <w:rFonts w:ascii="Garamond" w:hAnsi="Garamond"/>
          <w:color w:val="000000"/>
          <w:shd w:val="clear" w:color="auto" w:fill="FFFFFF"/>
        </w:rPr>
        <w:t xml:space="preserve">explain Lac Lalolalo’s </w:t>
      </w:r>
      <w:r w:rsidR="00E9590E">
        <w:rPr>
          <w:rFonts w:ascii="Garamond" w:hAnsi="Garamond"/>
          <w:color w:val="000000"/>
          <w:shd w:val="clear" w:color="auto" w:fill="FFFFFF"/>
        </w:rPr>
        <w:t xml:space="preserve">evolution </w:t>
      </w:r>
      <w:r w:rsidR="00E10C21">
        <w:rPr>
          <w:rFonts w:ascii="Garamond" w:hAnsi="Garamond"/>
          <w:color w:val="000000"/>
          <w:shd w:val="clear" w:color="auto" w:fill="FFFFFF"/>
        </w:rPr>
        <w:t xml:space="preserve">from </w:t>
      </w:r>
      <w:r w:rsidR="00243A66">
        <w:rPr>
          <w:rFonts w:ascii="Garamond" w:hAnsi="Garamond"/>
          <w:color w:val="000000"/>
          <w:shd w:val="clear" w:color="auto" w:fill="FFFFFF"/>
        </w:rPr>
        <w:t>high</w:t>
      </w:r>
      <w:r w:rsidR="00E10C21">
        <w:rPr>
          <w:rFonts w:ascii="Garamond" w:hAnsi="Garamond"/>
          <w:color w:val="000000"/>
          <w:shd w:val="clear" w:color="auto" w:fill="FFFFFF"/>
        </w:rPr>
        <w:t xml:space="preserve"> to low</w:t>
      </w:r>
      <w:r w:rsidR="00243A66">
        <w:rPr>
          <w:rFonts w:ascii="Garamond" w:hAnsi="Garamond"/>
          <w:color w:val="000000"/>
          <w:shd w:val="clear" w:color="auto" w:fill="FFFFFF"/>
        </w:rPr>
        <w:t xml:space="preserve"> </w:t>
      </w:r>
      <w:r w:rsidR="00243A66" w:rsidRPr="009A2E44">
        <w:rPr>
          <w:rFonts w:ascii="Garamond" w:hAnsi="Garamond"/>
        </w:rPr>
        <w:sym w:font="Symbol" w:char="F064"/>
      </w:r>
      <w:r w:rsidR="00243A66" w:rsidRPr="009A2E44">
        <w:rPr>
          <w:rFonts w:ascii="Garamond" w:hAnsi="Garamond"/>
          <w:vertAlign w:val="superscript"/>
        </w:rPr>
        <w:t>2</w:t>
      </w:r>
      <w:r w:rsidR="00243A66" w:rsidRPr="009A2E44">
        <w:rPr>
          <w:rFonts w:ascii="Garamond" w:hAnsi="Garamond"/>
        </w:rPr>
        <w:t>H</w:t>
      </w:r>
      <w:r w:rsidR="00243A66" w:rsidRPr="009A2E44">
        <w:rPr>
          <w:rFonts w:ascii="Garamond" w:hAnsi="Garamond"/>
          <w:vertAlign w:val="subscript"/>
        </w:rPr>
        <w:t>dinosterol</w:t>
      </w:r>
      <w:r w:rsidR="00243A66" w:rsidRPr="009A2E44">
        <w:rPr>
          <w:rFonts w:ascii="Garamond" w:hAnsi="Garamond"/>
        </w:rPr>
        <w:t xml:space="preserve"> </w:t>
      </w:r>
      <w:r w:rsidR="00243A66">
        <w:rPr>
          <w:rFonts w:ascii="Garamond" w:hAnsi="Garamond"/>
          <w:color w:val="000000"/>
          <w:shd w:val="clear" w:color="auto" w:fill="FFFFFF"/>
        </w:rPr>
        <w:t xml:space="preserve">values </w:t>
      </w:r>
      <w:r w:rsidRPr="009A2E44">
        <w:rPr>
          <w:rFonts w:ascii="Garamond" w:hAnsi="Garamond"/>
          <w:color w:val="000000"/>
          <w:shd w:val="clear" w:color="auto" w:fill="FFFFFF"/>
        </w:rPr>
        <w:t xml:space="preserve">in a manner unrelated to climate. Lac Lanutavake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records </w:t>
      </w:r>
      <w:r w:rsidR="007B5446" w:rsidRPr="009A2E44">
        <w:rPr>
          <w:rFonts w:ascii="Garamond" w:hAnsi="Garamond"/>
        </w:rPr>
        <w:t xml:space="preserve">display </w:t>
      </w:r>
      <w:r w:rsidRPr="009A2E44">
        <w:rPr>
          <w:rFonts w:ascii="Garamond" w:hAnsi="Garamond"/>
        </w:rPr>
        <w:t>much smaller changes through time</w:t>
      </w:r>
      <w:r w:rsidR="008D1E5E">
        <w:rPr>
          <w:rFonts w:ascii="Garamond" w:hAnsi="Garamond"/>
        </w:rPr>
        <w:t>, and we consider this record to reflect hydroclimate</w:t>
      </w:r>
      <w:r w:rsidRPr="009A2E44">
        <w:rPr>
          <w:rFonts w:ascii="Garamond" w:hAnsi="Garamond"/>
        </w:rPr>
        <w:t xml:space="preserve">. </w:t>
      </w:r>
      <w:r w:rsidR="00D61C24">
        <w:rPr>
          <w:rFonts w:ascii="Garamond" w:hAnsi="Garamond"/>
        </w:rPr>
        <w:t>I</w:t>
      </w:r>
      <w:r w:rsidRPr="009A2E44">
        <w:rPr>
          <w:rFonts w:ascii="Garamond" w:hAnsi="Garamond"/>
        </w:rPr>
        <w:t xml:space="preserve">ndependent </w:t>
      </w:r>
      <w:r w:rsidR="00480C1F" w:rsidRPr="009A2E44">
        <w:rPr>
          <w:rFonts w:ascii="Garamond" w:hAnsi="Garamond"/>
        </w:rPr>
        <w:t xml:space="preserve">runoff </w:t>
      </w:r>
      <w:r w:rsidRPr="009A2E44">
        <w:rPr>
          <w:rFonts w:ascii="Garamond" w:hAnsi="Garamond"/>
        </w:rPr>
        <w:t>records support interpretations of past change</w:t>
      </w:r>
      <w:r w:rsidR="00F814F6" w:rsidRPr="009A2E44">
        <w:rPr>
          <w:rFonts w:ascii="Garamond" w:hAnsi="Garamond"/>
        </w:rPr>
        <w:t xml:space="preserve"> based on </w:t>
      </w:r>
      <w:r w:rsidR="000C21A4" w:rsidRPr="009A2E44">
        <w:rPr>
          <w:rFonts w:ascii="Garamond" w:hAnsi="Garamond"/>
        </w:rPr>
        <w:sym w:font="Symbol" w:char="F064"/>
      </w:r>
      <w:r w:rsidR="000C21A4" w:rsidRPr="009A2E44">
        <w:rPr>
          <w:rFonts w:ascii="Garamond" w:hAnsi="Garamond"/>
          <w:vertAlign w:val="superscript"/>
        </w:rPr>
        <w:t>2</w:t>
      </w:r>
      <w:r w:rsidR="000C21A4" w:rsidRPr="009A2E44">
        <w:rPr>
          <w:rFonts w:ascii="Garamond" w:hAnsi="Garamond"/>
        </w:rPr>
        <w:t>H</w:t>
      </w:r>
      <w:r w:rsidR="000C21A4" w:rsidRPr="009A2E44">
        <w:rPr>
          <w:rFonts w:ascii="Garamond" w:hAnsi="Garamond"/>
          <w:vertAlign w:val="subscript"/>
        </w:rPr>
        <w:t>dinosterol</w:t>
      </w:r>
      <w:r w:rsidR="000C21A4" w:rsidRPr="009A2E44">
        <w:rPr>
          <w:rFonts w:ascii="Garamond" w:hAnsi="Garamond"/>
        </w:rPr>
        <w:t xml:space="preserve"> </w:t>
      </w:r>
      <w:r w:rsidR="00F814F6" w:rsidRPr="009A2E44">
        <w:rPr>
          <w:rFonts w:ascii="Garamond" w:hAnsi="Garamond"/>
        </w:rPr>
        <w:t>values</w:t>
      </w:r>
      <w:r w:rsidRPr="009A2E44">
        <w:rPr>
          <w:rFonts w:ascii="Garamond" w:hAnsi="Garamond"/>
        </w:rPr>
        <w:t xml:space="preserve">; the coherent variations in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values and </w:t>
      </w:r>
      <w:r w:rsidR="00F076AC" w:rsidRPr="009A2E44">
        <w:rPr>
          <w:rFonts w:ascii="Garamond" w:hAnsi="Garamond"/>
        </w:rPr>
        <w:t>magnetic susceptibility</w:t>
      </w:r>
      <w:r w:rsidRPr="009A2E44">
        <w:rPr>
          <w:rFonts w:ascii="Garamond" w:hAnsi="Garamond"/>
        </w:rPr>
        <w:t xml:space="preserve"> in Lac Lanutavake indicate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values reflect precipitation and reveal a dry MCA. The </w:t>
      </w:r>
      <w:r w:rsidR="000C21A4" w:rsidRPr="009A2E44">
        <w:rPr>
          <w:rFonts w:ascii="Garamond" w:hAnsi="Garamond"/>
        </w:rPr>
        <w:t>‘Upolu</w:t>
      </w:r>
      <w:r w:rsidR="00243A66">
        <w:rPr>
          <w:rFonts w:ascii="Garamond" w:hAnsi="Garamond"/>
        </w:rPr>
        <w:t xml:space="preserve"> </w:t>
      </w:r>
      <w:r w:rsidRPr="009A2E44">
        <w:rPr>
          <w:rFonts w:ascii="Garamond" w:hAnsi="Garamond"/>
        </w:rPr>
        <w:t xml:space="preserve">and </w:t>
      </w:r>
      <w:r w:rsidR="000C21A4" w:rsidRPr="009A2E44">
        <w:rPr>
          <w:rFonts w:ascii="Garamond" w:hAnsi="Garamond"/>
        </w:rPr>
        <w:t>Efate</w:t>
      </w:r>
      <w:r w:rsidR="00243A66">
        <w:rPr>
          <w:rFonts w:ascii="Garamond" w:hAnsi="Garamond"/>
        </w:rPr>
        <w:t xml:space="preserve"> </w:t>
      </w:r>
      <w:r w:rsidR="008D4375">
        <w:rPr>
          <w:rFonts w:ascii="Garamond" w:hAnsi="Garamond"/>
        </w:rPr>
        <w:t>runoff</w:t>
      </w:r>
      <w:r w:rsidR="008D4375" w:rsidRPr="009A2E44">
        <w:rPr>
          <w:rFonts w:ascii="Garamond" w:hAnsi="Garamond"/>
        </w:rPr>
        <w:t xml:space="preserve"> </w:t>
      </w:r>
      <w:r w:rsidRPr="009A2E44">
        <w:rPr>
          <w:rFonts w:ascii="Garamond" w:hAnsi="Garamond"/>
        </w:rPr>
        <w:t xml:space="preserve">records also indicate a dry MCA as their previously published </w:t>
      </w:r>
      <w:r w:rsidRPr="009A2E44">
        <w:rPr>
          <w:rFonts w:ascii="Garamond" w:hAnsi="Garamond"/>
        </w:rPr>
        <w:sym w:font="Symbol" w:char="F064"/>
      </w:r>
      <w:r w:rsidRPr="009A2E44">
        <w:rPr>
          <w:rFonts w:ascii="Garamond" w:hAnsi="Garamond"/>
          <w:vertAlign w:val="superscript"/>
        </w:rPr>
        <w:t>2</w:t>
      </w:r>
      <w:r w:rsidRPr="009A2E44">
        <w:rPr>
          <w:rFonts w:ascii="Garamond" w:hAnsi="Garamond"/>
        </w:rPr>
        <w:t>H</w:t>
      </w:r>
      <w:r w:rsidRPr="009A2E44">
        <w:rPr>
          <w:rFonts w:ascii="Garamond" w:hAnsi="Garamond"/>
          <w:vertAlign w:val="subscript"/>
        </w:rPr>
        <w:t>dinosterol</w:t>
      </w:r>
      <w:r w:rsidRPr="009A2E44">
        <w:rPr>
          <w:rFonts w:ascii="Garamond" w:hAnsi="Garamond"/>
        </w:rPr>
        <w:t xml:space="preserve"> records have indicated. During the LIA, conditions appear to be drier than modern on ‘Upolu, but ‘Uvea and Efate had greater variability and no coherent LIA </w:t>
      </w:r>
      <w:r w:rsidR="003A2467">
        <w:rPr>
          <w:rFonts w:ascii="Garamond" w:hAnsi="Garamond"/>
        </w:rPr>
        <w:t>precipitation change</w:t>
      </w:r>
      <w:r w:rsidRPr="009A2E44">
        <w:rPr>
          <w:rFonts w:ascii="Garamond" w:hAnsi="Garamond"/>
        </w:rPr>
        <w:t xml:space="preserve">. </w:t>
      </w:r>
      <w:r w:rsidR="000C21A4" w:rsidRPr="009A2E44">
        <w:rPr>
          <w:rFonts w:ascii="Garamond" w:hAnsi="Garamond"/>
        </w:rPr>
        <w:t xml:space="preserve">Multi-proxy analysis of multiple records from the same region are </w:t>
      </w:r>
      <w:r w:rsidR="00D61C24" w:rsidRPr="00D61C24">
        <w:rPr>
          <w:rFonts w:ascii="Garamond" w:hAnsi="Garamond"/>
        </w:rPr>
        <w:t>highly valuable for interpreting</w:t>
      </w:r>
      <w:r w:rsidR="00D61C24" w:rsidRPr="00D61C24" w:rsidDel="00D61C24">
        <w:rPr>
          <w:rFonts w:ascii="Garamond" w:hAnsi="Garamond"/>
        </w:rPr>
        <w:t xml:space="preserve"> </w:t>
      </w:r>
      <w:r w:rsidR="000C21A4" w:rsidRPr="009A2E44">
        <w:rPr>
          <w:rFonts w:ascii="Garamond" w:hAnsi="Garamond"/>
        </w:rPr>
        <w:t xml:space="preserve">hydroclimate variability. </w:t>
      </w:r>
      <w:r w:rsidRPr="009A2E44">
        <w:rPr>
          <w:rFonts w:ascii="Garamond" w:hAnsi="Garamond"/>
        </w:rPr>
        <w:t xml:space="preserve">A large spatial distribution of </w:t>
      </w:r>
      <w:r w:rsidR="00845E88" w:rsidRPr="009A2E44">
        <w:rPr>
          <w:rFonts w:ascii="Garamond" w:hAnsi="Garamond"/>
        </w:rPr>
        <w:t xml:space="preserve">hydroclimate </w:t>
      </w:r>
      <w:r w:rsidRPr="009A2E44">
        <w:rPr>
          <w:rFonts w:ascii="Garamond" w:hAnsi="Garamond"/>
        </w:rPr>
        <w:t xml:space="preserve">records is key for understanding regional versus local precipitation changes throughout the SPCZ </w:t>
      </w:r>
      <w:r w:rsidR="007B5446" w:rsidRPr="009A2E44">
        <w:rPr>
          <w:rFonts w:ascii="Garamond" w:hAnsi="Garamond"/>
        </w:rPr>
        <w:t xml:space="preserve">domain </w:t>
      </w:r>
      <w:r w:rsidRPr="009A2E44">
        <w:rPr>
          <w:rFonts w:ascii="Garamond" w:hAnsi="Garamond"/>
        </w:rPr>
        <w:t xml:space="preserve">and helps </w:t>
      </w:r>
      <w:r w:rsidR="00AF046A" w:rsidRPr="009A2E44">
        <w:rPr>
          <w:rFonts w:ascii="Garamond" w:hAnsi="Garamond"/>
        </w:rPr>
        <w:t xml:space="preserve">reveal </w:t>
      </w:r>
      <w:r w:rsidRPr="009A2E44">
        <w:rPr>
          <w:rFonts w:ascii="Garamond" w:hAnsi="Garamond"/>
        </w:rPr>
        <w:t xml:space="preserve">mechanisms responsible for natural tropical precipitation change. </w:t>
      </w:r>
      <w:r w:rsidR="00076935">
        <w:rPr>
          <w:rFonts w:ascii="Garamond" w:hAnsi="Garamond"/>
        </w:rPr>
        <w:t xml:space="preserve">The available data imply that these three sites </w:t>
      </w:r>
      <w:r w:rsidR="003A2467">
        <w:rPr>
          <w:rFonts w:ascii="Garamond" w:hAnsi="Garamond"/>
        </w:rPr>
        <w:t>do</w:t>
      </w:r>
      <w:r w:rsidR="00076935">
        <w:rPr>
          <w:rFonts w:ascii="Garamond" w:hAnsi="Garamond"/>
        </w:rPr>
        <w:t xml:space="preserve"> </w:t>
      </w:r>
      <w:r w:rsidR="00412D42">
        <w:rPr>
          <w:rFonts w:ascii="Garamond" w:hAnsi="Garamond"/>
        </w:rPr>
        <w:t>captur</w:t>
      </w:r>
      <w:r w:rsidR="003A2467">
        <w:rPr>
          <w:rFonts w:ascii="Garamond" w:hAnsi="Garamond"/>
        </w:rPr>
        <w:t>e</w:t>
      </w:r>
      <w:r w:rsidR="00412D42">
        <w:rPr>
          <w:rFonts w:ascii="Garamond" w:hAnsi="Garamond"/>
        </w:rPr>
        <w:t xml:space="preserve"> large scale regional variability</w:t>
      </w:r>
      <w:r w:rsidR="003A2467">
        <w:rPr>
          <w:rFonts w:ascii="Garamond" w:hAnsi="Garamond"/>
        </w:rPr>
        <w:t xml:space="preserve"> when they agree</w:t>
      </w:r>
      <w:r w:rsidR="00412D42">
        <w:rPr>
          <w:rFonts w:ascii="Garamond" w:hAnsi="Garamond"/>
        </w:rPr>
        <w:t xml:space="preserve">, </w:t>
      </w:r>
      <w:r w:rsidR="00076935">
        <w:rPr>
          <w:rFonts w:ascii="Garamond" w:hAnsi="Garamond"/>
        </w:rPr>
        <w:t>and</w:t>
      </w:r>
      <w:r w:rsidR="00412D42">
        <w:rPr>
          <w:rFonts w:ascii="Garamond" w:hAnsi="Garamond"/>
        </w:rPr>
        <w:t xml:space="preserve"> together they suggest the </w:t>
      </w:r>
      <w:r w:rsidRPr="009A2E44">
        <w:rPr>
          <w:rFonts w:ascii="Garamond" w:hAnsi="Garamond"/>
        </w:rPr>
        <w:t xml:space="preserve">SPCZ was </w:t>
      </w:r>
      <w:r w:rsidR="008C4FEF">
        <w:rPr>
          <w:rFonts w:ascii="Garamond" w:hAnsi="Garamond"/>
        </w:rPr>
        <w:t xml:space="preserve">either </w:t>
      </w:r>
      <w:r w:rsidR="00E9590E">
        <w:rPr>
          <w:rFonts w:ascii="Garamond" w:hAnsi="Garamond"/>
        </w:rPr>
        <w:t>less intense</w:t>
      </w:r>
      <w:r w:rsidR="00412D42">
        <w:rPr>
          <w:rFonts w:ascii="Garamond" w:hAnsi="Garamond"/>
        </w:rPr>
        <w:t xml:space="preserve"> (indicating a less </w:t>
      </w:r>
      <w:r w:rsidR="00EE72B8">
        <w:rPr>
          <w:rFonts w:ascii="Garamond" w:hAnsi="Garamond"/>
        </w:rPr>
        <w:t>vigorous</w:t>
      </w:r>
      <w:r w:rsidR="00412D42">
        <w:rPr>
          <w:rFonts w:ascii="Garamond" w:hAnsi="Garamond"/>
        </w:rPr>
        <w:t xml:space="preserve"> rising limb of the Pacific Walker Circulation),</w:t>
      </w:r>
      <w:r w:rsidR="00E9590E">
        <w:rPr>
          <w:rFonts w:ascii="Garamond" w:hAnsi="Garamond"/>
        </w:rPr>
        <w:t xml:space="preserve"> or </w:t>
      </w:r>
      <w:r w:rsidRPr="009A2E44">
        <w:rPr>
          <w:rFonts w:ascii="Garamond" w:hAnsi="Garamond"/>
        </w:rPr>
        <w:t xml:space="preserve">shifted equatorward away from </w:t>
      </w:r>
      <w:r w:rsidR="008D4375">
        <w:rPr>
          <w:rFonts w:ascii="Garamond" w:hAnsi="Garamond"/>
        </w:rPr>
        <w:t>these</w:t>
      </w:r>
      <w:r w:rsidRPr="009A2E44">
        <w:rPr>
          <w:rFonts w:ascii="Garamond" w:hAnsi="Garamond"/>
        </w:rPr>
        <w:t xml:space="preserve"> sites </w:t>
      </w:r>
      <w:r w:rsidR="00412D42">
        <w:rPr>
          <w:rFonts w:ascii="Garamond" w:hAnsi="Garamond"/>
        </w:rPr>
        <w:t>(</w:t>
      </w:r>
      <w:r w:rsidR="00BA3422">
        <w:rPr>
          <w:rFonts w:ascii="Garamond" w:hAnsi="Garamond"/>
        </w:rPr>
        <w:t xml:space="preserve">resembling the position observed during some strong and moderate </w:t>
      </w:r>
      <w:r w:rsidR="00C623E9" w:rsidRPr="009A2E44">
        <w:rPr>
          <w:rFonts w:ascii="Garamond" w:hAnsi="Garamond"/>
        </w:rPr>
        <w:t>El Niño</w:t>
      </w:r>
      <w:r w:rsidR="00C623E9" w:rsidDel="00C623E9">
        <w:rPr>
          <w:rFonts w:ascii="Garamond" w:hAnsi="Garamond"/>
        </w:rPr>
        <w:t xml:space="preserve"> </w:t>
      </w:r>
      <w:r w:rsidR="00BA3422">
        <w:rPr>
          <w:rFonts w:ascii="Garamond" w:hAnsi="Garamond"/>
        </w:rPr>
        <w:t>events</w:t>
      </w:r>
      <w:r w:rsidR="00412D42">
        <w:rPr>
          <w:rFonts w:ascii="Garamond" w:hAnsi="Garamond"/>
        </w:rPr>
        <w:t xml:space="preserve">) </w:t>
      </w:r>
      <w:r w:rsidRPr="009A2E44">
        <w:rPr>
          <w:rFonts w:ascii="Garamond" w:hAnsi="Garamond"/>
        </w:rPr>
        <w:t xml:space="preserve">during the </w:t>
      </w:r>
      <w:r w:rsidR="008D4375">
        <w:rPr>
          <w:rFonts w:ascii="Garamond" w:hAnsi="Garamond"/>
        </w:rPr>
        <w:t xml:space="preserve">LIA and </w:t>
      </w:r>
      <w:r w:rsidRPr="009A2E44">
        <w:rPr>
          <w:rFonts w:ascii="Garamond" w:hAnsi="Garamond"/>
        </w:rPr>
        <w:lastRenderedPageBreak/>
        <w:t>MCA</w:t>
      </w:r>
      <w:r w:rsidR="00412D42">
        <w:rPr>
          <w:rFonts w:ascii="Garamond" w:hAnsi="Garamond"/>
        </w:rPr>
        <w:t xml:space="preserve"> compared to the modern</w:t>
      </w:r>
      <w:r w:rsidR="008C4FEF">
        <w:rPr>
          <w:rFonts w:ascii="Garamond" w:hAnsi="Garamond"/>
        </w:rPr>
        <w:t xml:space="preserve">, with the driest conditions of the last </w:t>
      </w:r>
      <w:r w:rsidR="008C4621">
        <w:rPr>
          <w:rFonts w:ascii="Garamond" w:hAnsi="Garamond"/>
        </w:rPr>
        <w:t>~</w:t>
      </w:r>
      <w:r w:rsidR="008C4FEF">
        <w:rPr>
          <w:rFonts w:ascii="Garamond" w:hAnsi="Garamond"/>
        </w:rPr>
        <w:t xml:space="preserve">2000 years occurring at some point </w:t>
      </w:r>
      <w:r w:rsidR="00B911E3">
        <w:rPr>
          <w:rFonts w:ascii="Garamond" w:hAnsi="Garamond"/>
        </w:rPr>
        <w:t>within</w:t>
      </w:r>
      <w:r w:rsidR="008C4FEF">
        <w:rPr>
          <w:rFonts w:ascii="Garamond" w:hAnsi="Garamond"/>
        </w:rPr>
        <w:t xml:space="preserve"> the MCA</w:t>
      </w:r>
      <w:r w:rsidRPr="009A2E44">
        <w:rPr>
          <w:rFonts w:ascii="Garamond" w:hAnsi="Garamond"/>
        </w:rPr>
        <w:t xml:space="preserve">. </w:t>
      </w:r>
      <w:r w:rsidR="00367168">
        <w:rPr>
          <w:rFonts w:ascii="Garamond" w:hAnsi="Garamond"/>
        </w:rPr>
        <w:t xml:space="preserve">The mechanisms responsible for the SPCZ shape and size today may be useful for understanding why the SPCZ changes on longer timescales once common patterns of change are established. </w:t>
      </w:r>
      <w:r w:rsidR="00971324">
        <w:rPr>
          <w:rFonts w:ascii="Garamond" w:hAnsi="Garamond"/>
        </w:rPr>
        <w:t>A larger network of sites that record past precipitation conditions should help distinguish how the shape and/or intensity of the SPCZ changed in the past.</w:t>
      </w:r>
    </w:p>
    <w:p w14:paraId="1D943341" w14:textId="77777777" w:rsidR="002E2871" w:rsidRPr="009A2E44" w:rsidRDefault="002E2871" w:rsidP="001C47D3">
      <w:pPr>
        <w:spacing w:line="480" w:lineRule="auto"/>
        <w:rPr>
          <w:rFonts w:ascii="Garamond" w:hAnsi="Garamond"/>
          <w:sz w:val="20"/>
          <w:szCs w:val="20"/>
        </w:rPr>
      </w:pPr>
    </w:p>
    <w:p w14:paraId="4B57C5FC" w14:textId="140D13E9" w:rsidR="00B921B0" w:rsidRPr="009A2E44" w:rsidRDefault="00B921B0" w:rsidP="001C47D3">
      <w:pPr>
        <w:spacing w:line="480" w:lineRule="auto"/>
        <w:outlineLvl w:val="0"/>
        <w:rPr>
          <w:rFonts w:ascii="Garamond" w:hAnsi="Garamond"/>
          <w:b/>
        </w:rPr>
      </w:pPr>
      <w:r w:rsidRPr="009A2E44">
        <w:rPr>
          <w:rFonts w:ascii="Garamond" w:hAnsi="Garamond"/>
          <w:b/>
        </w:rPr>
        <w:t>A</w:t>
      </w:r>
      <w:r w:rsidR="001B4D99" w:rsidRPr="009A2E44">
        <w:rPr>
          <w:rFonts w:ascii="Garamond" w:hAnsi="Garamond"/>
          <w:b/>
        </w:rPr>
        <w:t xml:space="preserve">cknowledgements </w:t>
      </w:r>
    </w:p>
    <w:p w14:paraId="59D1503D" w14:textId="6AB7509F" w:rsidR="00CA19E6" w:rsidRPr="009A2E44" w:rsidRDefault="00B921B0" w:rsidP="001C47D3">
      <w:pPr>
        <w:spacing w:line="480" w:lineRule="auto"/>
        <w:rPr>
          <w:rFonts w:ascii="Garamond" w:hAnsi="Garamond"/>
        </w:rPr>
      </w:pPr>
      <w:r w:rsidRPr="009A2E44">
        <w:rPr>
          <w:rFonts w:ascii="Garamond" w:hAnsi="Garamond"/>
          <w:bCs/>
        </w:rPr>
        <w:t xml:space="preserve">This material is based upon work supported by the US National Science Foundation under Grant Nos. 0823503 and </w:t>
      </w:r>
      <w:r w:rsidRPr="009A2E44">
        <w:rPr>
          <w:rFonts w:ascii="Garamond" w:hAnsi="Garamond"/>
        </w:rPr>
        <w:t>1502417</w:t>
      </w:r>
      <w:r w:rsidRPr="009A2E44">
        <w:rPr>
          <w:rFonts w:ascii="Garamond" w:hAnsi="Garamond"/>
          <w:b/>
          <w:bCs/>
        </w:rPr>
        <w:t xml:space="preserve"> </w:t>
      </w:r>
      <w:r w:rsidRPr="009A2E44">
        <w:rPr>
          <w:rFonts w:ascii="Garamond" w:hAnsi="Garamond"/>
        </w:rPr>
        <w:t>to J.P.S</w:t>
      </w:r>
      <w:r w:rsidR="006E2DD4" w:rsidRPr="009A2E44">
        <w:rPr>
          <w:rFonts w:ascii="Garamond" w:hAnsi="Garamond"/>
        </w:rPr>
        <w:t>. A</w:t>
      </w:r>
      <w:r w:rsidRPr="009A2E44">
        <w:rPr>
          <w:rFonts w:ascii="Garamond" w:hAnsi="Garamond"/>
        </w:rPr>
        <w:t xml:space="preserve"> University of Washington Program on Climate Change Fellowship</w:t>
      </w:r>
      <w:r w:rsidR="007F7F62" w:rsidRPr="009A2E44">
        <w:rPr>
          <w:rFonts w:ascii="Garamond" w:hAnsi="Garamond"/>
        </w:rPr>
        <w:t>,</w:t>
      </w:r>
      <w:r w:rsidRPr="009A2E44">
        <w:rPr>
          <w:rFonts w:ascii="Garamond" w:hAnsi="Garamond"/>
        </w:rPr>
        <w:t xml:space="preserve"> IGERT Ocean Change Fellowship [grant #NSF1068839]</w:t>
      </w:r>
      <w:r w:rsidR="007F7F62" w:rsidRPr="009A2E44">
        <w:rPr>
          <w:rFonts w:ascii="Garamond" w:hAnsi="Garamond"/>
        </w:rPr>
        <w:t xml:space="preserve">, </w:t>
      </w:r>
      <w:r w:rsidR="00017A8D" w:rsidRPr="009A2E44">
        <w:rPr>
          <w:rFonts w:ascii="Garamond" w:hAnsi="Garamond"/>
        </w:rPr>
        <w:t xml:space="preserve">Princeton University Department of Geosciences </w:t>
      </w:r>
      <w:r w:rsidR="006E2DD4" w:rsidRPr="009A2E44">
        <w:rPr>
          <w:rFonts w:ascii="Garamond" w:hAnsi="Garamond"/>
        </w:rPr>
        <w:t xml:space="preserve">Harry H. Hess postdoctoral </w:t>
      </w:r>
      <w:r w:rsidR="00017A8D" w:rsidRPr="009A2E44">
        <w:rPr>
          <w:rFonts w:ascii="Garamond" w:hAnsi="Garamond"/>
        </w:rPr>
        <w:t>F</w:t>
      </w:r>
      <w:r w:rsidR="006E2DD4" w:rsidRPr="009A2E44">
        <w:rPr>
          <w:rFonts w:ascii="Garamond" w:hAnsi="Garamond"/>
        </w:rPr>
        <w:t xml:space="preserve">ellowship, </w:t>
      </w:r>
      <w:r w:rsidR="007F7F62" w:rsidRPr="009A2E44">
        <w:rPr>
          <w:rFonts w:ascii="Garamond" w:hAnsi="Garamond"/>
        </w:rPr>
        <w:t>and Simons Foundation Fellowship [732763]</w:t>
      </w:r>
      <w:r w:rsidRPr="009A2E44">
        <w:rPr>
          <w:rFonts w:ascii="Garamond" w:hAnsi="Garamond"/>
        </w:rPr>
        <w:t xml:space="preserve"> provided partial </w:t>
      </w:r>
      <w:r w:rsidR="00300957" w:rsidRPr="009A2E44">
        <w:rPr>
          <w:rFonts w:ascii="Garamond" w:hAnsi="Garamond"/>
        </w:rPr>
        <w:t xml:space="preserve">research </w:t>
      </w:r>
      <w:r w:rsidRPr="009A2E44">
        <w:rPr>
          <w:rFonts w:ascii="Garamond" w:hAnsi="Garamond"/>
        </w:rPr>
        <w:t xml:space="preserve">support for A.E.M; IGERT Ocean Change mini-research awards, and a University of Washington Quaternary Research Center research award to A.E.M. The Explorers Club Exploration Fund Grant, Gilchrist Expedition </w:t>
      </w:r>
      <w:proofErr w:type="gramStart"/>
      <w:r w:rsidRPr="009A2E44">
        <w:rPr>
          <w:rFonts w:ascii="Garamond" w:hAnsi="Garamond"/>
        </w:rPr>
        <w:t>Grant</w:t>
      </w:r>
      <w:proofErr w:type="gramEnd"/>
      <w:r w:rsidRPr="009A2E44">
        <w:rPr>
          <w:rFonts w:ascii="Garamond" w:hAnsi="Garamond"/>
        </w:rPr>
        <w:t xml:space="preserve"> and Royal Geographical Society (with IBG) Monica Cole Grant assisted with </w:t>
      </w:r>
      <w:r w:rsidR="00AA059C" w:rsidRPr="009A2E44">
        <w:rPr>
          <w:rFonts w:ascii="Garamond" w:hAnsi="Garamond"/>
        </w:rPr>
        <w:t xml:space="preserve">Samoa </w:t>
      </w:r>
      <w:r w:rsidRPr="009A2E44">
        <w:rPr>
          <w:rFonts w:ascii="Garamond" w:hAnsi="Garamond"/>
        </w:rPr>
        <w:t>travel. Lake Lanoto’o data was funded under a NERC Studentship to J.D.H.</w:t>
      </w:r>
      <w:r w:rsidR="00474911" w:rsidRPr="009A2E44">
        <w:rPr>
          <w:rFonts w:ascii="Garamond" w:hAnsi="Garamond"/>
        </w:rPr>
        <w:t xml:space="preserve"> </w:t>
      </w:r>
      <w:r w:rsidR="006925C0" w:rsidRPr="009A2E44">
        <w:rPr>
          <w:rFonts w:ascii="Garamond" w:hAnsi="Garamond" w:cs="Helvetica"/>
          <w:color w:val="333333"/>
          <w:sz w:val="23"/>
          <w:szCs w:val="23"/>
          <w:shd w:val="clear" w:color="auto" w:fill="FFFFFF"/>
        </w:rPr>
        <w:t> </w:t>
      </w:r>
      <w:r w:rsidR="006925C0" w:rsidRPr="00EE72B8">
        <w:rPr>
          <w:rFonts w:ascii="Garamond" w:hAnsi="Garamond" w:cs="Helvetica"/>
          <w:shd w:val="clear" w:color="auto" w:fill="FFFFFF"/>
        </w:rPr>
        <w:t xml:space="preserve">Funding for Lake </w:t>
      </w:r>
      <w:r w:rsidR="009E637B" w:rsidRPr="00EE72B8">
        <w:rPr>
          <w:rFonts w:ascii="Garamond" w:hAnsi="Garamond" w:cs="Helvetica"/>
          <w:shd w:val="clear" w:color="auto" w:fill="FFFFFF"/>
        </w:rPr>
        <w:t>Emaotul</w:t>
      </w:r>
      <w:r w:rsidR="006925C0" w:rsidRPr="00EE72B8">
        <w:rPr>
          <w:rFonts w:ascii="Garamond" w:hAnsi="Garamond" w:cs="Helvetica"/>
          <w:shd w:val="clear" w:color="auto" w:fill="FFFFFF"/>
        </w:rPr>
        <w:t xml:space="preserve"> research was provided by Natural Environment Research Council (NERC) Grant NE/N006674/1.</w:t>
      </w:r>
      <w:r w:rsidR="006925C0" w:rsidRPr="009A2E44">
        <w:rPr>
          <w:rFonts w:ascii="Garamond" w:hAnsi="Garamond" w:cs="Helvetica"/>
          <w:color w:val="333333"/>
          <w:sz w:val="23"/>
          <w:szCs w:val="23"/>
          <w:shd w:val="clear" w:color="auto" w:fill="FFFFFF"/>
        </w:rPr>
        <w:t> </w:t>
      </w:r>
      <w:r w:rsidR="00C25B2B" w:rsidRPr="00C25B2B">
        <w:rPr>
          <w:rFonts w:ascii="Garamond" w:hAnsi="Garamond" w:cs="Helvetica"/>
          <w:color w:val="333333"/>
          <w:sz w:val="23"/>
          <w:szCs w:val="23"/>
          <w:shd w:val="clear" w:color="auto" w:fill="FFFFFF"/>
        </w:rPr>
        <w:t xml:space="preserve">UBA </w:t>
      </w:r>
      <w:r w:rsidR="00C25B2B" w:rsidRPr="00DC3E22">
        <w:rPr>
          <w:rFonts w:ascii="Garamond" w:hAnsi="Garamond" w:cs="Helvetica"/>
          <w:color w:val="333333"/>
          <w:sz w:val="23"/>
          <w:szCs w:val="23"/>
          <w:shd w:val="clear" w:color="auto" w:fill="FFFFFF"/>
          <w:vertAlign w:val="superscript"/>
        </w:rPr>
        <w:t>14</w:t>
      </w:r>
      <w:r w:rsidR="00C25B2B">
        <w:rPr>
          <w:rFonts w:ascii="Garamond" w:hAnsi="Garamond" w:cs="Helvetica"/>
          <w:color w:val="333333"/>
          <w:sz w:val="23"/>
          <w:szCs w:val="23"/>
          <w:shd w:val="clear" w:color="auto" w:fill="FFFFFF"/>
        </w:rPr>
        <w:t>C</w:t>
      </w:r>
      <w:r w:rsidR="00C25B2B" w:rsidRPr="00C25B2B">
        <w:rPr>
          <w:rFonts w:ascii="Garamond" w:hAnsi="Garamond" w:cs="Helvetica"/>
          <w:color w:val="333333"/>
          <w:sz w:val="23"/>
          <w:szCs w:val="23"/>
          <w:shd w:val="clear" w:color="auto" w:fill="FFFFFF"/>
        </w:rPr>
        <w:t xml:space="preserve"> date was funded by a NERC SPITFIRE PhD Scholarship and sampled by Nichola Strandberg</w:t>
      </w:r>
      <w:r w:rsidR="00C25B2B">
        <w:rPr>
          <w:rFonts w:ascii="Garamond" w:hAnsi="Garamond" w:cs="Helvetica"/>
          <w:color w:val="333333"/>
          <w:sz w:val="23"/>
          <w:szCs w:val="23"/>
          <w:shd w:val="clear" w:color="auto" w:fill="FFFFFF"/>
        </w:rPr>
        <w:t xml:space="preserve">. </w:t>
      </w:r>
      <w:r w:rsidRPr="009A2E44">
        <w:rPr>
          <w:rFonts w:ascii="Garamond" w:hAnsi="Garamond"/>
        </w:rPr>
        <w:t xml:space="preserve">We are grateful for permission from Wallis civic and traditional authorities. Sample collection </w:t>
      </w:r>
      <w:r w:rsidR="008D62E0" w:rsidRPr="009A2E44">
        <w:rPr>
          <w:rFonts w:ascii="Garamond" w:hAnsi="Garamond"/>
        </w:rPr>
        <w:t>i</w:t>
      </w:r>
      <w:r w:rsidRPr="009A2E44">
        <w:rPr>
          <w:rFonts w:ascii="Garamond" w:hAnsi="Garamond"/>
        </w:rPr>
        <w:t xml:space="preserve">n </w:t>
      </w:r>
      <w:r w:rsidR="009A7B4F" w:rsidRPr="009A2E44">
        <w:rPr>
          <w:rFonts w:ascii="Garamond" w:hAnsi="Garamond"/>
        </w:rPr>
        <w:t>‘Uvea</w:t>
      </w:r>
      <w:r w:rsidRPr="009A2E44">
        <w:rPr>
          <w:rFonts w:ascii="Garamond" w:hAnsi="Garamond"/>
        </w:rPr>
        <w:t xml:space="preserve"> benefitted from the assistance of K. </w:t>
      </w:r>
      <w:proofErr w:type="spellStart"/>
      <w:r w:rsidRPr="009A2E44">
        <w:rPr>
          <w:rFonts w:ascii="Garamond" w:hAnsi="Garamond"/>
        </w:rPr>
        <w:t>Manufeki</w:t>
      </w:r>
      <w:proofErr w:type="spellEnd"/>
      <w:r w:rsidRPr="009A2E44">
        <w:rPr>
          <w:rFonts w:ascii="Garamond" w:hAnsi="Garamond"/>
        </w:rPr>
        <w:t xml:space="preserve">, S. </w:t>
      </w:r>
      <w:proofErr w:type="spellStart"/>
      <w:r w:rsidRPr="009A2E44">
        <w:rPr>
          <w:rFonts w:ascii="Garamond" w:hAnsi="Garamond"/>
        </w:rPr>
        <w:t>Tauvale</w:t>
      </w:r>
      <w:proofErr w:type="spellEnd"/>
      <w:r w:rsidRPr="009A2E44">
        <w:rPr>
          <w:rFonts w:ascii="Garamond" w:hAnsi="Garamond"/>
        </w:rPr>
        <w:t xml:space="preserve">, C. </w:t>
      </w:r>
      <w:proofErr w:type="spellStart"/>
      <w:r w:rsidRPr="009A2E44">
        <w:rPr>
          <w:rFonts w:ascii="Garamond" w:hAnsi="Garamond"/>
        </w:rPr>
        <w:t>Manry</w:t>
      </w:r>
      <w:proofErr w:type="spellEnd"/>
      <w:r w:rsidRPr="009A2E44">
        <w:rPr>
          <w:rFonts w:ascii="Garamond" w:hAnsi="Garamond"/>
        </w:rPr>
        <w:t xml:space="preserve"> and others from Service de </w:t>
      </w:r>
      <w:proofErr w:type="spellStart"/>
      <w:r w:rsidRPr="009A2E44">
        <w:rPr>
          <w:rFonts w:ascii="Garamond" w:hAnsi="Garamond"/>
        </w:rPr>
        <w:t>L’Environment</w:t>
      </w:r>
      <w:proofErr w:type="spellEnd"/>
      <w:r w:rsidRPr="009A2E44">
        <w:rPr>
          <w:rFonts w:ascii="Garamond" w:hAnsi="Garamond"/>
        </w:rPr>
        <w:t xml:space="preserve">, M. </w:t>
      </w:r>
      <w:proofErr w:type="spellStart"/>
      <w:r w:rsidRPr="009A2E44">
        <w:rPr>
          <w:rFonts w:ascii="Garamond" w:hAnsi="Garamond"/>
        </w:rPr>
        <w:t>Fotuaika</w:t>
      </w:r>
      <w:proofErr w:type="spellEnd"/>
      <w:r w:rsidRPr="009A2E44">
        <w:rPr>
          <w:rFonts w:ascii="Garamond" w:hAnsi="Garamond"/>
        </w:rPr>
        <w:t xml:space="preserve">, J.-F. </w:t>
      </w:r>
      <w:proofErr w:type="spellStart"/>
      <w:r w:rsidRPr="009A2E44">
        <w:rPr>
          <w:rFonts w:ascii="Garamond" w:hAnsi="Garamond"/>
        </w:rPr>
        <w:t>Poncet</w:t>
      </w:r>
      <w:proofErr w:type="spellEnd"/>
      <w:r w:rsidRPr="009A2E44">
        <w:rPr>
          <w:rFonts w:ascii="Garamond" w:hAnsi="Garamond"/>
        </w:rPr>
        <w:t xml:space="preserve">, P. </w:t>
      </w:r>
      <w:proofErr w:type="spellStart"/>
      <w:r w:rsidRPr="009A2E44">
        <w:rPr>
          <w:rFonts w:ascii="Garamond" w:hAnsi="Garamond"/>
        </w:rPr>
        <w:t>Nicomette</w:t>
      </w:r>
      <w:proofErr w:type="spellEnd"/>
      <w:r w:rsidRPr="009A2E44">
        <w:rPr>
          <w:rFonts w:ascii="Garamond" w:hAnsi="Garamond"/>
        </w:rPr>
        <w:t xml:space="preserve">, S. </w:t>
      </w:r>
      <w:proofErr w:type="spellStart"/>
      <w:r w:rsidRPr="009A2E44">
        <w:rPr>
          <w:rFonts w:ascii="Garamond" w:hAnsi="Garamond"/>
        </w:rPr>
        <w:t>Felomaki</w:t>
      </w:r>
      <w:proofErr w:type="spellEnd"/>
      <w:r w:rsidRPr="009A2E44">
        <w:rPr>
          <w:rFonts w:ascii="Garamond" w:hAnsi="Garamond"/>
        </w:rPr>
        <w:t xml:space="preserve">, P. </w:t>
      </w:r>
      <w:proofErr w:type="spellStart"/>
      <w:r w:rsidRPr="009A2E44">
        <w:rPr>
          <w:rFonts w:ascii="Garamond" w:hAnsi="Garamond"/>
        </w:rPr>
        <w:t>Tauvale</w:t>
      </w:r>
      <w:proofErr w:type="spellEnd"/>
      <w:r w:rsidRPr="009A2E44">
        <w:rPr>
          <w:rFonts w:ascii="Garamond" w:hAnsi="Garamond"/>
        </w:rPr>
        <w:t xml:space="preserve">, C. Chauvet, and the planning assistance from C. </w:t>
      </w:r>
      <w:proofErr w:type="spellStart"/>
      <w:r w:rsidRPr="009A2E44">
        <w:rPr>
          <w:rFonts w:ascii="Garamond" w:hAnsi="Garamond"/>
        </w:rPr>
        <w:t>Lique</w:t>
      </w:r>
      <w:proofErr w:type="spellEnd"/>
      <w:r w:rsidRPr="009A2E44">
        <w:rPr>
          <w:rFonts w:ascii="Garamond" w:hAnsi="Garamond"/>
        </w:rPr>
        <w:t xml:space="preserve">, M. </w:t>
      </w:r>
      <w:proofErr w:type="spellStart"/>
      <w:r w:rsidRPr="009A2E44">
        <w:rPr>
          <w:rFonts w:ascii="Garamond" w:hAnsi="Garamond"/>
        </w:rPr>
        <w:t>Bridoux</w:t>
      </w:r>
      <w:proofErr w:type="spellEnd"/>
      <w:r w:rsidRPr="009A2E44">
        <w:rPr>
          <w:rFonts w:ascii="Garamond" w:hAnsi="Garamond"/>
        </w:rPr>
        <w:t xml:space="preserve">, and C. Altman. </w:t>
      </w:r>
      <w:r w:rsidRPr="009A2E44">
        <w:rPr>
          <w:rFonts w:ascii="Garamond" w:hAnsi="Garamond"/>
          <w:lang w:val="en"/>
        </w:rPr>
        <w:t xml:space="preserve">Field work in </w:t>
      </w:r>
      <w:r w:rsidR="00EA3AE5" w:rsidRPr="009A2E44">
        <w:rPr>
          <w:rFonts w:ascii="Garamond" w:hAnsi="Garamond"/>
          <w:lang w:val="en"/>
        </w:rPr>
        <w:t>‘</w:t>
      </w:r>
      <w:r w:rsidRPr="009A2E44">
        <w:rPr>
          <w:rFonts w:ascii="Garamond" w:hAnsi="Garamond"/>
          <w:lang w:val="en"/>
        </w:rPr>
        <w:t xml:space="preserve">Upolu, Samoa was kindly permitted by </w:t>
      </w:r>
      <w:proofErr w:type="spellStart"/>
      <w:r w:rsidRPr="009A2E44">
        <w:rPr>
          <w:rFonts w:ascii="Garamond" w:hAnsi="Garamond"/>
        </w:rPr>
        <w:t>Taule’ale’ausmai</w:t>
      </w:r>
      <w:proofErr w:type="spellEnd"/>
      <w:r w:rsidRPr="009A2E44">
        <w:rPr>
          <w:rFonts w:ascii="Garamond" w:hAnsi="Garamond"/>
        </w:rPr>
        <w:t xml:space="preserve"> </w:t>
      </w:r>
      <w:proofErr w:type="spellStart"/>
      <w:r w:rsidRPr="009A2E44">
        <w:rPr>
          <w:rFonts w:ascii="Garamond" w:hAnsi="Garamond"/>
        </w:rPr>
        <w:t>Laavasa</w:t>
      </w:r>
      <w:proofErr w:type="spellEnd"/>
      <w:r w:rsidRPr="009A2E44">
        <w:rPr>
          <w:rFonts w:ascii="Garamond" w:hAnsi="Garamond"/>
        </w:rPr>
        <w:t xml:space="preserve"> </w:t>
      </w:r>
      <w:proofErr w:type="spellStart"/>
      <w:r w:rsidRPr="009A2E44">
        <w:rPr>
          <w:rFonts w:ascii="Garamond" w:hAnsi="Garamond"/>
        </w:rPr>
        <w:t>Malua</w:t>
      </w:r>
      <w:proofErr w:type="spellEnd"/>
      <w:r w:rsidRPr="009A2E44">
        <w:rPr>
          <w:rFonts w:ascii="Garamond" w:hAnsi="Garamond"/>
        </w:rPr>
        <w:t xml:space="preserve">, Chief Executive Officer, </w:t>
      </w:r>
      <w:proofErr w:type="spellStart"/>
      <w:r w:rsidRPr="009A2E44">
        <w:rPr>
          <w:rFonts w:ascii="Garamond" w:hAnsi="Garamond"/>
        </w:rPr>
        <w:t>Niualuga</w:t>
      </w:r>
      <w:proofErr w:type="spellEnd"/>
      <w:r w:rsidRPr="009A2E44">
        <w:rPr>
          <w:rFonts w:ascii="Garamond" w:hAnsi="Garamond"/>
        </w:rPr>
        <w:t xml:space="preserve"> </w:t>
      </w:r>
      <w:proofErr w:type="spellStart"/>
      <w:r w:rsidRPr="009A2E44">
        <w:rPr>
          <w:rFonts w:ascii="Garamond" w:hAnsi="Garamond"/>
        </w:rPr>
        <w:t>Evaimalo</w:t>
      </w:r>
      <w:proofErr w:type="spellEnd"/>
      <w:r w:rsidRPr="009A2E44">
        <w:rPr>
          <w:rFonts w:ascii="Garamond" w:hAnsi="Garamond"/>
        </w:rPr>
        <w:t xml:space="preserve"> and staff in </w:t>
      </w:r>
      <w:r w:rsidRPr="009A2E44">
        <w:rPr>
          <w:rFonts w:ascii="Garamond" w:hAnsi="Garamond"/>
          <w:lang w:val="en"/>
        </w:rPr>
        <w:t>Ministry Natural Resources and Environment</w:t>
      </w:r>
      <w:r w:rsidR="007A1A70" w:rsidRPr="009A2E44">
        <w:rPr>
          <w:rFonts w:ascii="Garamond" w:hAnsi="Garamond"/>
          <w:lang w:val="en"/>
        </w:rPr>
        <w:t>; f</w:t>
      </w:r>
      <w:r w:rsidRPr="009A2E44">
        <w:rPr>
          <w:rFonts w:ascii="Garamond" w:hAnsi="Garamond"/>
          <w:lang w:val="en"/>
        </w:rPr>
        <w:t xml:space="preserve">ield assistance was provided by Josie Hill, Lucy, </w:t>
      </w:r>
      <w:proofErr w:type="spellStart"/>
      <w:r w:rsidRPr="009A2E44">
        <w:rPr>
          <w:rFonts w:ascii="Garamond" w:hAnsi="Garamond"/>
          <w:lang w:val="en"/>
        </w:rPr>
        <w:t>Tinifu</w:t>
      </w:r>
      <w:proofErr w:type="spellEnd"/>
      <w:r w:rsidRPr="009A2E44">
        <w:rPr>
          <w:rFonts w:ascii="Garamond" w:hAnsi="Garamond"/>
          <w:lang w:val="en"/>
        </w:rPr>
        <w:t xml:space="preserve">, </w:t>
      </w:r>
      <w:proofErr w:type="spellStart"/>
      <w:r w:rsidRPr="009A2E44">
        <w:rPr>
          <w:rFonts w:ascii="Garamond" w:hAnsi="Garamond"/>
          <w:lang w:val="en"/>
        </w:rPr>
        <w:t>Solomano</w:t>
      </w:r>
      <w:proofErr w:type="spellEnd"/>
      <w:r w:rsidRPr="009A2E44">
        <w:rPr>
          <w:rFonts w:ascii="Garamond" w:hAnsi="Garamond"/>
          <w:lang w:val="en"/>
        </w:rPr>
        <w:t xml:space="preserve"> and Ai. </w:t>
      </w:r>
      <w:r w:rsidR="00C25B2B">
        <w:rPr>
          <w:rFonts w:ascii="Garamond" w:hAnsi="Garamond"/>
          <w:lang w:val="en"/>
        </w:rPr>
        <w:t xml:space="preserve">Tom Bishop assisted with field work </w:t>
      </w:r>
      <w:proofErr w:type="gramStart"/>
      <w:r w:rsidR="00C25B2B">
        <w:rPr>
          <w:rFonts w:ascii="Garamond" w:hAnsi="Garamond"/>
          <w:lang w:val="en"/>
        </w:rPr>
        <w:t>on</w:t>
      </w:r>
      <w:proofErr w:type="gramEnd"/>
      <w:r w:rsidR="00C25B2B">
        <w:rPr>
          <w:rFonts w:ascii="Garamond" w:hAnsi="Garamond"/>
          <w:lang w:val="en"/>
        </w:rPr>
        <w:t xml:space="preserve"> Vanuatu. </w:t>
      </w:r>
      <w:r w:rsidRPr="009A2E44">
        <w:rPr>
          <w:rFonts w:ascii="Garamond" w:hAnsi="Garamond"/>
        </w:rPr>
        <w:t xml:space="preserve">M. </w:t>
      </w:r>
      <w:proofErr w:type="spellStart"/>
      <w:r w:rsidRPr="009A2E44">
        <w:rPr>
          <w:rFonts w:ascii="Garamond" w:hAnsi="Garamond"/>
        </w:rPr>
        <w:t>Wolfshorndl</w:t>
      </w:r>
      <w:proofErr w:type="spellEnd"/>
      <w:r w:rsidRPr="009A2E44">
        <w:rPr>
          <w:rFonts w:ascii="Garamond" w:hAnsi="Garamond"/>
        </w:rPr>
        <w:t xml:space="preserve">, T. Magee, J. </w:t>
      </w:r>
      <w:proofErr w:type="spellStart"/>
      <w:r w:rsidRPr="009A2E44">
        <w:rPr>
          <w:rFonts w:ascii="Garamond" w:hAnsi="Garamond"/>
        </w:rPr>
        <w:t>Rodysill</w:t>
      </w:r>
      <w:proofErr w:type="spellEnd"/>
      <w:r w:rsidRPr="009A2E44">
        <w:rPr>
          <w:rFonts w:ascii="Garamond" w:hAnsi="Garamond"/>
        </w:rPr>
        <w:t xml:space="preserve">, </w:t>
      </w:r>
      <w:r w:rsidRPr="009A2E44">
        <w:rPr>
          <w:rFonts w:ascii="Garamond" w:hAnsi="Garamond"/>
        </w:rPr>
        <w:lastRenderedPageBreak/>
        <w:t xml:space="preserve">and K. Brady assisted with splitting </w:t>
      </w:r>
      <w:r w:rsidR="00936A85" w:rsidRPr="009A2E44">
        <w:rPr>
          <w:rFonts w:ascii="Garamond" w:hAnsi="Garamond"/>
        </w:rPr>
        <w:t xml:space="preserve">and scanning </w:t>
      </w:r>
      <w:r w:rsidRPr="009A2E44">
        <w:rPr>
          <w:rFonts w:ascii="Garamond" w:hAnsi="Garamond"/>
        </w:rPr>
        <w:t xml:space="preserve">cores at </w:t>
      </w:r>
      <w:proofErr w:type="spellStart"/>
      <w:r w:rsidRPr="009A2E44">
        <w:rPr>
          <w:rFonts w:ascii="Garamond" w:hAnsi="Garamond"/>
        </w:rPr>
        <w:t>LacCore</w:t>
      </w:r>
      <w:proofErr w:type="spellEnd"/>
      <w:r w:rsidRPr="009A2E44">
        <w:rPr>
          <w:rFonts w:ascii="Garamond" w:hAnsi="Garamond"/>
        </w:rPr>
        <w:t xml:space="preserve">. We thank </w:t>
      </w:r>
      <w:r w:rsidRPr="009A2E44">
        <w:rPr>
          <w:rFonts w:ascii="Garamond" w:hAnsi="Garamond"/>
          <w:color w:val="222222"/>
          <w:shd w:val="clear" w:color="auto" w:fill="FFFFFF"/>
        </w:rPr>
        <w:t xml:space="preserve">C. </w:t>
      </w:r>
      <w:proofErr w:type="spellStart"/>
      <w:r w:rsidRPr="009A2E44">
        <w:rPr>
          <w:rFonts w:ascii="Garamond" w:hAnsi="Garamond"/>
          <w:color w:val="222222"/>
          <w:shd w:val="clear" w:color="auto" w:fill="FFFFFF"/>
        </w:rPr>
        <w:t>Kaapu</w:t>
      </w:r>
      <w:proofErr w:type="spellEnd"/>
      <w:r w:rsidRPr="009A2E44">
        <w:rPr>
          <w:rFonts w:ascii="Garamond" w:hAnsi="Garamond"/>
          <w:color w:val="222222"/>
          <w:shd w:val="clear" w:color="auto" w:fill="FFFFFF"/>
        </w:rPr>
        <w:t>-Lyons</w:t>
      </w:r>
      <w:r w:rsidRPr="009A2E44">
        <w:rPr>
          <w:rFonts w:ascii="Garamond" w:hAnsi="Garamond"/>
        </w:rPr>
        <w:t xml:space="preserve">, </w:t>
      </w:r>
      <w:r w:rsidRPr="009A2E44">
        <w:rPr>
          <w:rFonts w:ascii="Garamond" w:hAnsi="Garamond"/>
          <w:bCs/>
          <w:color w:val="222222"/>
          <w:shd w:val="clear" w:color="auto" w:fill="FFFFFF"/>
        </w:rPr>
        <w:t xml:space="preserve">N. </w:t>
      </w:r>
      <w:proofErr w:type="spellStart"/>
      <w:r w:rsidRPr="009A2E44">
        <w:rPr>
          <w:rFonts w:ascii="Garamond" w:hAnsi="Garamond"/>
          <w:bCs/>
          <w:color w:val="222222"/>
          <w:shd w:val="clear" w:color="auto" w:fill="FFFFFF"/>
        </w:rPr>
        <w:t>Wallsgrove</w:t>
      </w:r>
      <w:proofErr w:type="spellEnd"/>
      <w:r w:rsidRPr="009A2E44">
        <w:rPr>
          <w:rFonts w:ascii="Garamond" w:hAnsi="Garamond"/>
          <w:bCs/>
          <w:color w:val="222222"/>
          <w:shd w:val="clear" w:color="auto" w:fill="FFFFFF"/>
        </w:rPr>
        <w:t xml:space="preserve">, and B. Popp for analyzing </w:t>
      </w:r>
      <w:proofErr w:type="gramStart"/>
      <w:r w:rsidRPr="009A2E44">
        <w:rPr>
          <w:rFonts w:ascii="Garamond" w:hAnsi="Garamond"/>
          <w:bCs/>
          <w:color w:val="222222"/>
          <w:shd w:val="clear" w:color="auto" w:fill="FFFFFF"/>
        </w:rPr>
        <w:t>Wallis</w:t>
      </w:r>
      <w:proofErr w:type="gramEnd"/>
      <w:r w:rsidRPr="009A2E44">
        <w:rPr>
          <w:rFonts w:ascii="Garamond" w:hAnsi="Garamond"/>
          <w:bCs/>
          <w:color w:val="222222"/>
          <w:shd w:val="clear" w:color="auto" w:fill="FFFFFF"/>
        </w:rPr>
        <w:t xml:space="preserve"> water samples.</w:t>
      </w:r>
      <w:r w:rsidRPr="009A2E44">
        <w:rPr>
          <w:rFonts w:ascii="Garamond" w:hAnsi="Garamond"/>
        </w:rPr>
        <w:t xml:space="preserve"> </w:t>
      </w:r>
      <w:r w:rsidR="007F7F62" w:rsidRPr="009A2E44">
        <w:rPr>
          <w:rFonts w:ascii="Garamond" w:hAnsi="Garamond"/>
        </w:rPr>
        <w:t xml:space="preserve">T. </w:t>
      </w:r>
      <w:r w:rsidR="006B5439" w:rsidRPr="009A2E44">
        <w:rPr>
          <w:rFonts w:ascii="Garamond" w:hAnsi="Garamond"/>
        </w:rPr>
        <w:t xml:space="preserve">Fonville performed the preliminary assessment of microfossils. </w:t>
      </w:r>
      <w:r w:rsidR="00562EF3">
        <w:rPr>
          <w:rFonts w:ascii="Garamond" w:hAnsi="Garamond"/>
        </w:rPr>
        <w:t xml:space="preserve">M. </w:t>
      </w:r>
      <w:proofErr w:type="spellStart"/>
      <w:r w:rsidR="00562EF3">
        <w:rPr>
          <w:rFonts w:ascii="Garamond" w:hAnsi="Garamond"/>
        </w:rPr>
        <w:t>Wolhowe</w:t>
      </w:r>
      <w:proofErr w:type="spellEnd"/>
      <w:r w:rsidR="00562EF3">
        <w:rPr>
          <w:rFonts w:ascii="Garamond" w:hAnsi="Garamond"/>
        </w:rPr>
        <w:t xml:space="preserve"> and J. </w:t>
      </w:r>
      <w:proofErr w:type="spellStart"/>
      <w:r w:rsidR="00562EF3">
        <w:rPr>
          <w:rFonts w:ascii="Garamond" w:hAnsi="Garamond"/>
        </w:rPr>
        <w:t>Gregerson</w:t>
      </w:r>
      <w:proofErr w:type="spellEnd"/>
      <w:r w:rsidR="00562EF3">
        <w:rPr>
          <w:rFonts w:ascii="Garamond" w:hAnsi="Garamond"/>
        </w:rPr>
        <w:t xml:space="preserve"> assisted with instrument maintenance and </w:t>
      </w:r>
      <w:r w:rsidR="00C25B2B">
        <w:rPr>
          <w:rFonts w:ascii="Garamond" w:hAnsi="Garamond"/>
        </w:rPr>
        <w:t xml:space="preserve">M. </w:t>
      </w:r>
      <w:proofErr w:type="spellStart"/>
      <w:r w:rsidR="00C25B2B">
        <w:rPr>
          <w:rFonts w:ascii="Garamond" w:hAnsi="Garamond"/>
        </w:rPr>
        <w:t>Wolhowe</w:t>
      </w:r>
      <w:proofErr w:type="spellEnd"/>
      <w:r w:rsidR="00C25B2B">
        <w:rPr>
          <w:rFonts w:ascii="Garamond" w:hAnsi="Garamond"/>
        </w:rPr>
        <w:t xml:space="preserve"> made two new Vanuatu </w:t>
      </w:r>
      <w:r w:rsidR="00562EF3" w:rsidRPr="009A2E44">
        <w:rPr>
          <w:rFonts w:ascii="Garamond" w:hAnsi="Garamond"/>
        </w:rPr>
        <w:sym w:font="Symbol" w:char="F064"/>
      </w:r>
      <w:r w:rsidR="00562EF3" w:rsidRPr="009A2E44">
        <w:rPr>
          <w:rFonts w:ascii="Garamond" w:hAnsi="Garamond"/>
          <w:vertAlign w:val="superscript"/>
        </w:rPr>
        <w:t>2</w:t>
      </w:r>
      <w:r w:rsidR="00562EF3" w:rsidRPr="009A2E44">
        <w:rPr>
          <w:rFonts w:ascii="Garamond" w:hAnsi="Garamond"/>
        </w:rPr>
        <w:t>H</w:t>
      </w:r>
      <w:r w:rsidR="00562EF3" w:rsidRPr="009A2E44">
        <w:rPr>
          <w:rFonts w:ascii="Garamond" w:hAnsi="Garamond"/>
          <w:vertAlign w:val="subscript"/>
        </w:rPr>
        <w:t>dinosterol</w:t>
      </w:r>
      <w:r w:rsidR="00562EF3" w:rsidRPr="009A2E44">
        <w:rPr>
          <w:rFonts w:ascii="Garamond" w:hAnsi="Garamond"/>
        </w:rPr>
        <w:t xml:space="preserve"> </w:t>
      </w:r>
      <w:r w:rsidR="00562EF3">
        <w:rPr>
          <w:rFonts w:ascii="Garamond" w:hAnsi="Garamond"/>
        </w:rPr>
        <w:t xml:space="preserve">measurements. </w:t>
      </w:r>
      <w:r w:rsidR="007F7F62" w:rsidRPr="009A2E44">
        <w:rPr>
          <w:rFonts w:ascii="Garamond" w:hAnsi="Garamond"/>
        </w:rPr>
        <w:t xml:space="preserve">D. </w:t>
      </w:r>
      <w:proofErr w:type="spellStart"/>
      <w:r w:rsidR="006B5439" w:rsidRPr="009A2E44">
        <w:rPr>
          <w:rFonts w:ascii="Garamond" w:hAnsi="Garamond"/>
        </w:rPr>
        <w:t>Xue</w:t>
      </w:r>
      <w:proofErr w:type="spellEnd"/>
      <w:r w:rsidR="006B5439" w:rsidRPr="009A2E44">
        <w:rPr>
          <w:rFonts w:ascii="Garamond" w:hAnsi="Garamond"/>
        </w:rPr>
        <w:t xml:space="preserve"> analyzed ions and metals in Lac Lalolalo samples. </w:t>
      </w:r>
      <w:r w:rsidRPr="009A2E44">
        <w:rPr>
          <w:rFonts w:ascii="Garamond" w:hAnsi="Garamond"/>
        </w:rPr>
        <w:t xml:space="preserve">Conversations with L. Thompson, S. </w:t>
      </w:r>
      <w:proofErr w:type="spellStart"/>
      <w:r w:rsidRPr="009A2E44">
        <w:rPr>
          <w:rFonts w:ascii="Garamond" w:hAnsi="Garamond"/>
        </w:rPr>
        <w:t>PoChedley</w:t>
      </w:r>
      <w:proofErr w:type="spellEnd"/>
      <w:r w:rsidRPr="009A2E44">
        <w:rPr>
          <w:rFonts w:ascii="Garamond" w:hAnsi="Garamond"/>
        </w:rPr>
        <w:t xml:space="preserve">, R. Echols, J. </w:t>
      </w:r>
      <w:proofErr w:type="spellStart"/>
      <w:r w:rsidRPr="009A2E44">
        <w:rPr>
          <w:rFonts w:ascii="Garamond" w:hAnsi="Garamond"/>
        </w:rPr>
        <w:t>Scheff</w:t>
      </w:r>
      <w:proofErr w:type="spellEnd"/>
      <w:r w:rsidRPr="009A2E44">
        <w:rPr>
          <w:rFonts w:ascii="Garamond" w:hAnsi="Garamond"/>
        </w:rPr>
        <w:t xml:space="preserve">, S. </w:t>
      </w:r>
      <w:proofErr w:type="spellStart"/>
      <w:r w:rsidRPr="009A2E44">
        <w:rPr>
          <w:rFonts w:ascii="Garamond" w:hAnsi="Garamond"/>
        </w:rPr>
        <w:t>Rushley</w:t>
      </w:r>
      <w:proofErr w:type="spellEnd"/>
      <w:r w:rsidRPr="009A2E44">
        <w:rPr>
          <w:rFonts w:ascii="Garamond" w:hAnsi="Garamond"/>
        </w:rPr>
        <w:t xml:space="preserve">, D. Battisti, R. Wood, K. </w:t>
      </w:r>
      <w:proofErr w:type="spellStart"/>
      <w:r w:rsidRPr="009A2E44">
        <w:rPr>
          <w:rFonts w:ascii="Garamond" w:hAnsi="Garamond"/>
        </w:rPr>
        <w:t>Thirumalai</w:t>
      </w:r>
      <w:proofErr w:type="spellEnd"/>
      <w:r w:rsidR="002D7CBD" w:rsidRPr="009A2E44">
        <w:rPr>
          <w:rFonts w:ascii="Garamond" w:hAnsi="Garamond"/>
        </w:rPr>
        <w:t>, N. Williams,</w:t>
      </w:r>
      <w:r w:rsidRPr="009A2E44">
        <w:rPr>
          <w:rFonts w:ascii="Garamond" w:hAnsi="Garamond"/>
        </w:rPr>
        <w:t xml:space="preserve"> </w:t>
      </w:r>
      <w:r w:rsidR="003846DF" w:rsidRPr="009A2E44">
        <w:rPr>
          <w:rFonts w:ascii="Garamond" w:hAnsi="Garamond"/>
        </w:rPr>
        <w:t xml:space="preserve">W.J. </w:t>
      </w:r>
      <w:proofErr w:type="spellStart"/>
      <w:r w:rsidR="003846DF" w:rsidRPr="009A2E44">
        <w:rPr>
          <w:rFonts w:ascii="Garamond" w:hAnsi="Garamond"/>
        </w:rPr>
        <w:t>D’Andrea</w:t>
      </w:r>
      <w:proofErr w:type="spellEnd"/>
      <w:r w:rsidR="003846DF" w:rsidRPr="009A2E44">
        <w:rPr>
          <w:rFonts w:ascii="Garamond" w:hAnsi="Garamond"/>
        </w:rPr>
        <w:t xml:space="preserve"> </w:t>
      </w:r>
      <w:r w:rsidRPr="009A2E44">
        <w:rPr>
          <w:rFonts w:ascii="Garamond" w:hAnsi="Garamond"/>
        </w:rPr>
        <w:t xml:space="preserve">and constructive comments from A.E. Ingalls, </w:t>
      </w:r>
      <w:r w:rsidR="00131C71" w:rsidRPr="009A2E44">
        <w:rPr>
          <w:rFonts w:ascii="Garamond" w:hAnsi="Garamond"/>
        </w:rPr>
        <w:t xml:space="preserve">and </w:t>
      </w:r>
      <w:r w:rsidRPr="009A2E44">
        <w:rPr>
          <w:rFonts w:ascii="Garamond" w:hAnsi="Garamond"/>
        </w:rPr>
        <w:t>P. Quay</w:t>
      </w:r>
      <w:r w:rsidR="00131C71" w:rsidRPr="009A2E44">
        <w:rPr>
          <w:rFonts w:ascii="Garamond" w:hAnsi="Garamond"/>
        </w:rPr>
        <w:t xml:space="preserve"> </w:t>
      </w:r>
      <w:r w:rsidRPr="009A2E44">
        <w:rPr>
          <w:rFonts w:ascii="Garamond" w:hAnsi="Garamond"/>
        </w:rPr>
        <w:t xml:space="preserve">greatly improved this manuscript. </w:t>
      </w:r>
      <w:r w:rsidR="00076935" w:rsidRPr="00076935">
        <w:rPr>
          <w:rFonts w:ascii="Garamond" w:hAnsi="Garamond"/>
        </w:rPr>
        <w:t>Any use of trade, firm, or product names is for descriptive purposes only and does not imply endorsement by the U.S. Government</w:t>
      </w:r>
      <w:r w:rsidR="00BA1636" w:rsidRPr="00BA1636">
        <w:rPr>
          <w:rFonts w:ascii="Garamond" w:hAnsi="Garamond"/>
        </w:rPr>
        <w:t>.</w:t>
      </w:r>
      <w:r w:rsidR="00BA1636">
        <w:rPr>
          <w:rFonts w:ascii="Garamond" w:hAnsi="Garamond"/>
        </w:rPr>
        <w:t xml:space="preserve"> </w:t>
      </w:r>
      <w:r w:rsidR="00D32A40">
        <w:rPr>
          <w:rFonts w:ascii="Garamond" w:hAnsi="Garamond"/>
        </w:rPr>
        <w:t xml:space="preserve">We thank </w:t>
      </w:r>
      <w:r w:rsidR="009869E8">
        <w:rPr>
          <w:rFonts w:ascii="Garamond" w:hAnsi="Garamond"/>
        </w:rPr>
        <w:t xml:space="preserve">S.N. Ladd </w:t>
      </w:r>
      <w:r w:rsidR="00D32A40">
        <w:rPr>
          <w:rFonts w:ascii="Garamond" w:hAnsi="Garamond"/>
        </w:rPr>
        <w:t xml:space="preserve">for </w:t>
      </w:r>
      <w:r w:rsidR="009869E8">
        <w:rPr>
          <w:rFonts w:ascii="Garamond" w:hAnsi="Garamond"/>
        </w:rPr>
        <w:t>provi</w:t>
      </w:r>
      <w:r w:rsidR="00D32A40">
        <w:rPr>
          <w:rFonts w:ascii="Garamond" w:hAnsi="Garamond"/>
        </w:rPr>
        <w:t>ding</w:t>
      </w:r>
      <w:r w:rsidR="009869E8">
        <w:rPr>
          <w:rFonts w:ascii="Garamond" w:hAnsi="Garamond"/>
        </w:rPr>
        <w:t xml:space="preserve"> careful feedback</w:t>
      </w:r>
      <w:r w:rsidR="00D32A40">
        <w:rPr>
          <w:rFonts w:ascii="Garamond" w:hAnsi="Garamond"/>
        </w:rPr>
        <w:t xml:space="preserve"> on this project and helpful edits on the </w:t>
      </w:r>
      <w:r w:rsidR="00EE72B8">
        <w:rPr>
          <w:rFonts w:ascii="Garamond" w:hAnsi="Garamond"/>
        </w:rPr>
        <w:t>manuscript</w:t>
      </w:r>
      <w:r w:rsidR="009869E8">
        <w:rPr>
          <w:rFonts w:ascii="Garamond" w:hAnsi="Garamond"/>
        </w:rPr>
        <w:t xml:space="preserve">. </w:t>
      </w:r>
      <w:r w:rsidR="005875AB">
        <w:rPr>
          <w:rFonts w:ascii="Garamond" w:hAnsi="Garamond"/>
        </w:rPr>
        <w:t>We thank Editor P</w:t>
      </w:r>
      <w:r w:rsidR="009869E8">
        <w:rPr>
          <w:rFonts w:ascii="Garamond" w:hAnsi="Garamond"/>
        </w:rPr>
        <w:t>.</w:t>
      </w:r>
      <w:r w:rsidR="005875AB">
        <w:rPr>
          <w:rFonts w:ascii="Garamond" w:hAnsi="Garamond"/>
        </w:rPr>
        <w:t xml:space="preserve"> </w:t>
      </w:r>
      <w:proofErr w:type="spellStart"/>
      <w:r w:rsidR="005875AB">
        <w:rPr>
          <w:rFonts w:ascii="Garamond" w:hAnsi="Garamond"/>
        </w:rPr>
        <w:t>Rioual</w:t>
      </w:r>
      <w:proofErr w:type="spellEnd"/>
      <w:r w:rsidR="005875AB">
        <w:rPr>
          <w:rFonts w:ascii="Garamond" w:hAnsi="Garamond"/>
        </w:rPr>
        <w:t xml:space="preserve"> </w:t>
      </w:r>
      <w:r w:rsidR="009869E8">
        <w:rPr>
          <w:rFonts w:ascii="Garamond" w:hAnsi="Garamond"/>
        </w:rPr>
        <w:t>and</w:t>
      </w:r>
      <w:r w:rsidR="005875AB">
        <w:rPr>
          <w:rFonts w:ascii="Garamond" w:hAnsi="Garamond"/>
        </w:rPr>
        <w:t xml:space="preserve"> two anonymous reviewers for </w:t>
      </w:r>
      <w:r w:rsidR="009869E8">
        <w:rPr>
          <w:rFonts w:ascii="Garamond" w:hAnsi="Garamond"/>
        </w:rPr>
        <w:t xml:space="preserve">their helpful </w:t>
      </w:r>
      <w:r w:rsidR="00EE72B8">
        <w:rPr>
          <w:rFonts w:ascii="Garamond" w:hAnsi="Garamond"/>
        </w:rPr>
        <w:t xml:space="preserve">and constructive </w:t>
      </w:r>
      <w:r w:rsidR="009869E8">
        <w:rPr>
          <w:rFonts w:ascii="Garamond" w:hAnsi="Garamond"/>
        </w:rPr>
        <w:t xml:space="preserve">comments that improved this </w:t>
      </w:r>
      <w:r w:rsidR="00EE72B8">
        <w:rPr>
          <w:rFonts w:ascii="Garamond" w:hAnsi="Garamond"/>
        </w:rPr>
        <w:t>work</w:t>
      </w:r>
      <w:r w:rsidR="009869E8">
        <w:rPr>
          <w:rFonts w:ascii="Garamond" w:hAnsi="Garamond"/>
        </w:rPr>
        <w:t xml:space="preserve">. </w:t>
      </w:r>
    </w:p>
    <w:p w14:paraId="608F2325" w14:textId="0920B24A" w:rsidR="00685BEF" w:rsidRDefault="00685BEF" w:rsidP="001C47D3">
      <w:pPr>
        <w:spacing w:line="480" w:lineRule="auto"/>
        <w:rPr>
          <w:rFonts w:ascii="Garamond" w:hAnsi="Garamond"/>
        </w:rPr>
      </w:pPr>
    </w:p>
    <w:p w14:paraId="4FC5BB1D" w14:textId="371827F2" w:rsidR="007210CB" w:rsidRPr="007210CB" w:rsidRDefault="007210CB" w:rsidP="007210CB">
      <w:pPr>
        <w:spacing w:line="480" w:lineRule="auto"/>
        <w:outlineLvl w:val="0"/>
        <w:rPr>
          <w:rFonts w:ascii="Garamond" w:hAnsi="Garamond"/>
          <w:b/>
        </w:rPr>
      </w:pPr>
      <w:r w:rsidRPr="007210CB">
        <w:rPr>
          <w:rFonts w:ascii="Garamond" w:hAnsi="Garamond"/>
          <w:b/>
        </w:rPr>
        <w:t xml:space="preserve">Figure Captions </w:t>
      </w:r>
    </w:p>
    <w:p w14:paraId="46648358" w14:textId="6A110A6A" w:rsidR="007210CB" w:rsidRPr="007210CB" w:rsidRDefault="007210CB" w:rsidP="007210CB">
      <w:pPr>
        <w:spacing w:line="480" w:lineRule="auto"/>
        <w:rPr>
          <w:rFonts w:ascii="Garamond" w:hAnsi="Garamond"/>
        </w:rPr>
      </w:pPr>
      <w:r w:rsidRPr="007210CB">
        <w:rPr>
          <w:rFonts w:ascii="Garamond" w:hAnsi="Garamond"/>
          <w:b/>
        </w:rPr>
        <w:t>Figure 1</w:t>
      </w:r>
      <w:r w:rsidRPr="007210CB">
        <w:rPr>
          <w:rFonts w:ascii="Garamond" w:hAnsi="Garamond"/>
        </w:rPr>
        <w:t xml:space="preserve">. Regional setting. (A) </w:t>
      </w:r>
      <w:r w:rsidRPr="007210CB">
        <w:rPr>
          <w:rFonts w:ascii="Garamond" w:hAnsi="Garamond"/>
          <w:color w:val="000000" w:themeColor="text1"/>
        </w:rPr>
        <w:t xml:space="preserve">Contours and color scale show mean Global Precipitation Climatology Project (GPCP) </w:t>
      </w:r>
      <w:r w:rsidRPr="007210CB">
        <w:rPr>
          <w:rFonts w:ascii="Garamond" w:hAnsi="Garamond"/>
        </w:rPr>
        <w:t xml:space="preserve">precipitation </w:t>
      </w:r>
      <w:r w:rsidRPr="007210CB">
        <w:rPr>
          <w:rFonts w:ascii="Garamond" w:hAnsi="Garamond"/>
          <w:color w:val="000000" w:themeColor="text1"/>
        </w:rPr>
        <w:t>rate (mm d</w:t>
      </w:r>
      <w:r w:rsidRPr="007210CB">
        <w:rPr>
          <w:rFonts w:ascii="Garamond" w:hAnsi="Garamond"/>
          <w:color w:val="202020"/>
          <w:shd w:val="clear" w:color="auto" w:fill="FFFFFF"/>
          <w:vertAlign w:val="superscript"/>
        </w:rPr>
        <w:t>−</w:t>
      </w:r>
      <w:r w:rsidRPr="007210CB">
        <w:rPr>
          <w:rFonts w:ascii="Garamond" w:hAnsi="Garamond"/>
          <w:color w:val="000000" w:themeColor="text1"/>
          <w:vertAlign w:val="superscript"/>
        </w:rPr>
        <w:t>1</w:t>
      </w:r>
      <w:r w:rsidRPr="007210CB">
        <w:rPr>
          <w:rFonts w:ascii="Garamond" w:hAnsi="Garamond"/>
          <w:color w:val="000000" w:themeColor="text1"/>
        </w:rPr>
        <w:t>) on a 2.5</w:t>
      </w:r>
      <w:r w:rsidRPr="007210CB">
        <w:rPr>
          <w:rFonts w:ascii="Garamond" w:hAnsi="Garamond"/>
        </w:rPr>
        <w:t>°</w:t>
      </w:r>
      <w:r w:rsidRPr="007210CB">
        <w:rPr>
          <w:rFonts w:ascii="Garamond" w:hAnsi="Garamond"/>
          <w:color w:val="000000" w:themeColor="text1"/>
        </w:rPr>
        <w:t xml:space="preserve"> x 2.5</w:t>
      </w:r>
      <w:r w:rsidRPr="007210CB">
        <w:rPr>
          <w:rFonts w:ascii="Garamond" w:hAnsi="Garamond"/>
        </w:rPr>
        <w:t>°</w:t>
      </w:r>
      <w:r w:rsidRPr="007210CB">
        <w:rPr>
          <w:rFonts w:ascii="Garamond" w:hAnsi="Garamond"/>
          <w:color w:val="000000" w:themeColor="text1"/>
        </w:rPr>
        <w:t xml:space="preserve"> grid for the 1979 </w:t>
      </w:r>
      <w:r w:rsidR="00C378CF">
        <w:rPr>
          <w:rFonts w:ascii="Garamond" w:hAnsi="Garamond"/>
        </w:rPr>
        <w:t>to</w:t>
      </w:r>
      <w:r w:rsidR="00C378CF" w:rsidRPr="007210CB">
        <w:rPr>
          <w:rFonts w:ascii="Garamond" w:hAnsi="Garamond"/>
        </w:rPr>
        <w:t xml:space="preserve"> </w:t>
      </w:r>
      <w:r w:rsidRPr="007210CB">
        <w:rPr>
          <w:rFonts w:ascii="Garamond" w:hAnsi="Garamond"/>
          <w:color w:val="000000" w:themeColor="text1"/>
        </w:rPr>
        <w:t xml:space="preserve">2016 period, </w:t>
      </w:r>
      <w:r w:rsidRPr="007210CB">
        <w:rPr>
          <w:rFonts w:ascii="Garamond" w:hAnsi="Garamond"/>
        </w:rPr>
        <w:t xml:space="preserve">white dot indicates location of ‘Uvea (Wallis et Futuna), filled green dots indicate locations of ‘Upolu (Samoa), and Efate (Vanuatu), open green dots indicate locations </w:t>
      </w:r>
      <w:r w:rsidRPr="007210CB">
        <w:rPr>
          <w:rFonts w:ascii="Garamond" w:hAnsi="Garamond"/>
          <w:color w:val="000000" w:themeColor="text1"/>
        </w:rPr>
        <w:t xml:space="preserve">with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leafwax</w:t>
      </w:r>
      <w:r w:rsidRPr="007210CB">
        <w:rPr>
          <w:rFonts w:ascii="Garamond" w:hAnsi="Garamond"/>
          <w:color w:val="000000"/>
          <w:shd w:val="clear" w:color="auto" w:fill="FFFFFF"/>
        </w:rPr>
        <w:t xml:space="preserve"> </w:t>
      </w:r>
      <w:r w:rsidRPr="007210CB">
        <w:rPr>
          <w:rFonts w:ascii="Garamond" w:hAnsi="Garamond"/>
        </w:rPr>
        <w:t xml:space="preserve">records that extend into the MCA from: 1. the West Sulawesi margin, Indonesia (Tierney et al. 2010), 2. East Java, Indonesia (Konecky et al. 2013), 3. </w:t>
      </w:r>
      <w:proofErr w:type="spellStart"/>
      <w:r w:rsidRPr="007210CB">
        <w:rPr>
          <w:rFonts w:ascii="Garamond" w:hAnsi="Garamond"/>
        </w:rPr>
        <w:t>Atiu</w:t>
      </w:r>
      <w:proofErr w:type="spellEnd"/>
      <w:r w:rsidRPr="007210CB">
        <w:rPr>
          <w:rFonts w:ascii="Garamond" w:hAnsi="Garamond"/>
        </w:rPr>
        <w:t xml:space="preserve">, Cook Islands (Sear et al. 2020), and </w:t>
      </w:r>
      <w:r w:rsidR="00C378CF">
        <w:rPr>
          <w:rFonts w:ascii="Garamond" w:hAnsi="Garamond"/>
        </w:rPr>
        <w:t xml:space="preserve">a runoff record from </w:t>
      </w:r>
      <w:r w:rsidRPr="007210CB">
        <w:rPr>
          <w:rFonts w:ascii="Garamond" w:hAnsi="Garamond"/>
        </w:rPr>
        <w:t xml:space="preserve">4. </w:t>
      </w:r>
      <w:proofErr w:type="spellStart"/>
      <w:r w:rsidRPr="007210CB">
        <w:rPr>
          <w:rFonts w:ascii="Garamond" w:hAnsi="Garamond"/>
        </w:rPr>
        <w:t>Apu</w:t>
      </w:r>
      <w:proofErr w:type="spellEnd"/>
      <w:r w:rsidRPr="007210CB">
        <w:rPr>
          <w:rFonts w:ascii="Garamond" w:hAnsi="Garamond"/>
        </w:rPr>
        <w:t xml:space="preserve"> Bay, </w:t>
      </w:r>
      <w:proofErr w:type="spellStart"/>
      <w:r w:rsidRPr="007210CB">
        <w:rPr>
          <w:rFonts w:ascii="Garamond" w:hAnsi="Garamond"/>
        </w:rPr>
        <w:t>Tahaa</w:t>
      </w:r>
      <w:proofErr w:type="spellEnd"/>
      <w:r w:rsidRPr="007210CB">
        <w:rPr>
          <w:rFonts w:ascii="Garamond" w:hAnsi="Garamond"/>
        </w:rPr>
        <w:t xml:space="preserve"> French Polynesia (Toomey et al. 2016). (</w:t>
      </w:r>
      <w:r w:rsidRPr="007210CB">
        <w:rPr>
          <w:rFonts w:ascii="Garamond" w:hAnsi="Garamond"/>
          <w:color w:val="000000" w:themeColor="text1"/>
        </w:rPr>
        <w:t>B)</w:t>
      </w:r>
      <w:r w:rsidRPr="007210CB">
        <w:rPr>
          <w:rFonts w:ascii="Garamond" w:hAnsi="Garamond"/>
        </w:rPr>
        <w:t xml:space="preserve"> Google Earth image of sampled ‘Uvea lakes. (C) The upper panel shows </w:t>
      </w:r>
      <w:r w:rsidRPr="007210CB">
        <w:rPr>
          <w:rFonts w:ascii="Garamond" w:hAnsi="Garamond"/>
          <w:color w:val="000000" w:themeColor="text1"/>
        </w:rPr>
        <w:t xml:space="preserve">1-yr symmetrically smoothed running means of GPCP precipitation rates at </w:t>
      </w:r>
      <w:r w:rsidRPr="007210CB">
        <w:rPr>
          <w:rFonts w:ascii="Garamond" w:hAnsi="Garamond"/>
        </w:rPr>
        <w:t>‘Uvea (purple), ‘Upolu (black), and Efate (orange)</w:t>
      </w:r>
      <w:r w:rsidRPr="007210CB">
        <w:rPr>
          <w:rFonts w:ascii="Garamond" w:hAnsi="Garamond"/>
          <w:color w:val="000000" w:themeColor="text1"/>
        </w:rPr>
        <w:t xml:space="preserve"> and sea surface temperatures (dotted cyan line</w:t>
      </w:r>
      <w:r w:rsidRPr="007210CB">
        <w:rPr>
          <w:rFonts w:ascii="Garamond" w:hAnsi="Garamond"/>
        </w:rPr>
        <w:t>, note inverted cyan right y-axis</w:t>
      </w:r>
      <w:r w:rsidRPr="007210CB">
        <w:rPr>
          <w:rFonts w:ascii="Garamond" w:hAnsi="Garamond"/>
          <w:color w:val="000000" w:themeColor="text1"/>
        </w:rPr>
        <w:t>); specifically, each monthly data point was averaged with the 12 months preceding and 12 months following, repeated three times total. The lower panel shows Pacific basin climate indices: t</w:t>
      </w:r>
      <w:r w:rsidRPr="007210CB">
        <w:rPr>
          <w:rFonts w:ascii="Garamond" w:hAnsi="Garamond"/>
        </w:rPr>
        <w:t xml:space="preserve">he </w:t>
      </w:r>
      <w:proofErr w:type="spellStart"/>
      <w:r w:rsidRPr="007210CB">
        <w:rPr>
          <w:rFonts w:ascii="Garamond" w:hAnsi="Garamond"/>
        </w:rPr>
        <w:t>SPCZi</w:t>
      </w:r>
      <w:proofErr w:type="spellEnd"/>
      <w:r w:rsidRPr="007210CB">
        <w:rPr>
          <w:rFonts w:ascii="Garamond" w:hAnsi="Garamond"/>
        </w:rPr>
        <w:t xml:space="preserve"> index </w:t>
      </w:r>
      <w:r w:rsidRPr="007210CB">
        <w:rPr>
          <w:rFonts w:ascii="Garamond" w:hAnsi="Garamond"/>
        </w:rPr>
        <w:fldChar w:fldCharType="begin" w:fldLock="1"/>
      </w:r>
      <w:r w:rsidRPr="007210CB">
        <w:rPr>
          <w:rFonts w:ascii="Garamond" w:hAnsi="Garamond"/>
        </w:rPr>
        <w:instrText>ADDIN CSL_CITATION {"citationItems":[{"id":"ITEM-1","itemData":{"DOI":"10.1007/s00382-013-2035-y","ISSN":"14320894","abstract":"Quality controlled and recently homogenised mean sea level pressure records for the South Pacific are used to specify the location and variability of the South Pacific convergence zone (SPCZ) during the austral warm season (November-April). The SPCZ is the world's largest rainfall band during the austral summer, when it dominates the climate of the South Pacific. A new index called the South Pacific convergence zone index (SPCZI) is derived, and is shown to be coherent with changes in low level wind convergence associated with the SPCZ. This index replaces the earlier SPCZ position index because it uses higher quality mean sea level pressure data than the superseded index and extends the time series further forward in time. The SPCZI allows interannual to decadal variability in the climate of the South Pacific to be tracked for more than a century from 1910/1911 to 2011/2012. During El Niño episodes the SPCZ is displaced by about 1°-3° east, and La Niña events 1°-3° west of the mean position on average. The index indicates a striking movement eastward for the period 1977/78-1998/99, compared with 1944/45-1976/77 in association with the Interdecadal Pacific oscillation (IPO). The eastward movement of the SPCZ in the late twentieth century is related to significant precipitation trends in the South Pacific region. Since 1998/99 the SPCZ has regressed westward with the negative phase change of the IPO. The long-term trend in the SPCZI is very small relative to the interannual to decadal variability and is not statistically significant, suggesting that there has been little overall change in the mean position of the SPCZ over the past century. © 2014 Springer-Verlag Berlin Heidelberg.","author":[{"dropping-particle":"","family":"Salinger","given":"M J","non-dropping-particle":"","parse-names":false,"suffix":""},{"dropping-particle":"","family":"McGree","given":"Simon","non-dropping-particle":"","parse-names":false,"suffix":""},{"dropping-particle":"","family":"Beucher","given":"Florent","non-dropping-particle":"","parse-names":false,"suffix":""},{"dropping-particle":"","family":"Power","given":"Scott B.","non-dropping-particle":"","parse-names":false,"suffix":""},{"dropping-particle":"","family":"Delage","given":"François","non-dropping-particle":"","parse-names":false,"suffix":""}],"container-title":"Climate Dynamics","id":"ITEM-1","issue":"3-4","issued":{"date-parts":[["2014"]]},"page":"881-892","title":"A new index for variations in the position of the South Pacific convergence zone 1910/11-2011/2012","type":"article-journal","volume":"43"},"uris":["http://www.mendeley.com/documents/?uuid=d3d1814c-f84e-4d8e-8c94-d6f1575dee2b"]}],"mendeley":{"formattedCitation":"(Salinger et al., 2014)","manualFormatting":"(dark gray bars, Salinger et al., 2014)","plainTextFormattedCitation":"(Salinger et al., 2014)","previouslyFormattedCitation":"(Salinger et al., 2014)"},"properties":{"noteIndex":0},"schema":"https://github.com/citation-style-language/schema/raw/master/csl-citation.json"}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w:t>
      </w:r>
      <w:r w:rsidRPr="007210CB">
        <w:rPr>
          <w:rFonts w:ascii="Garamond" w:hAnsi="Garamond"/>
          <w:noProof/>
          <w:color w:val="000000" w:themeColor="text1"/>
        </w:rPr>
        <w:t>dark gray bars</w:t>
      </w:r>
      <w:r w:rsidRPr="007210CB">
        <w:rPr>
          <w:rFonts w:ascii="Garamond" w:hAnsi="Garamond"/>
          <w:noProof/>
        </w:rPr>
        <w:t>, Salinger et al., 2014)</w:t>
      </w:r>
      <w:r w:rsidRPr="007210CB">
        <w:rPr>
          <w:rFonts w:ascii="Garamond" w:hAnsi="Garamond"/>
        </w:rPr>
        <w:fldChar w:fldCharType="end"/>
      </w:r>
      <w:r w:rsidRPr="007210CB">
        <w:rPr>
          <w:rFonts w:ascii="Garamond" w:hAnsi="Garamond"/>
        </w:rPr>
        <w:t xml:space="preserve"> indicates when the position of the main SPCZ axis is relatively eastward (positive) </w:t>
      </w:r>
      <w:r w:rsidRPr="007210CB">
        <w:rPr>
          <w:rFonts w:ascii="Garamond" w:hAnsi="Garamond"/>
        </w:rPr>
        <w:lastRenderedPageBreak/>
        <w:t xml:space="preserve">compared to a westward position (negative), roughly associated with IPO phase </w:t>
      </w:r>
      <w:r w:rsidRPr="007210CB">
        <w:rPr>
          <w:rFonts w:ascii="Garamond" w:hAnsi="Garamond"/>
        </w:rPr>
        <w:fldChar w:fldCharType="begin" w:fldLock="1"/>
      </w:r>
      <w:r w:rsidRPr="007210CB">
        <w:rPr>
          <w:rFonts w:ascii="Garamond" w:hAnsi="Garamond"/>
        </w:rPr>
        <w:instrText>ADDIN CSL_CITATION {"citationItems":[{"id":"ITEM-1","itemData":{"author":[{"dropping-particle":"","family":"Folland","given":"C K","non-dropping-particle":"","parse-names":false,"suffix":""},{"dropping-particle":"","family":"Renwick","given":"J A","non-dropping-particle":"","parse-names":false,"suffix":""},{"dropping-particle":"","family":"Salinger","given":"M J","non-dropping-particle":"","parse-names":false,"suffix":""},{"dropping-particle":"","family":"Mullan","given":"A B","non-dropping-particle":"","parse-names":false,"suffix":""},{"dropping-particle":"","family":"Nin","given":"El","non-dropping-particle":"","parse-names":false,"suffix":""}],"id":"ITEM-1","issue":"13","issued":{"date-parts":[["2002"]]},"page":"2-5","title":"Relative influences of the Interdecadal Pacific Oscillation and ENSO on the South Pacific Convergence Zone","type":"article-journal","volume":"29"},"uris":["http://www.mendeley.com/documents/?uuid=43aaba76-fbbd-47da-8998-117845aaed72"]}],"mendeley":{"formattedCitation":"(Folland et al., 2002)","manualFormatting":"(fine light gray bars , Folland et al., 2002)","plainTextFormattedCitation":"(Folland et al., 2002)","previouslyFormattedCitation":"(Folland et al., 2002)"},"properties":{"noteIndex":0},"schema":"https://github.com/citation-style-language/schema/raw/master/csl-citation.json"}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(fine light gray bars , Folland et al., 2002)</w:t>
      </w:r>
      <w:r w:rsidRPr="007210CB">
        <w:rPr>
          <w:rFonts w:ascii="Garamond" w:hAnsi="Garamond"/>
        </w:rPr>
        <w:fldChar w:fldCharType="end"/>
      </w:r>
      <w:r w:rsidRPr="007210CB">
        <w:rPr>
          <w:rFonts w:ascii="Garamond" w:hAnsi="Garamond"/>
        </w:rPr>
        <w:t>, note inverted axis.</w:t>
      </w:r>
    </w:p>
    <w:p w14:paraId="042F4132" w14:textId="3602B9FA" w:rsidR="007210CB" w:rsidRPr="007210CB" w:rsidRDefault="007210CB" w:rsidP="007210CB">
      <w:pPr>
        <w:spacing w:line="480" w:lineRule="auto"/>
        <w:rPr>
          <w:rFonts w:ascii="Garamond" w:hAnsi="Garamond"/>
        </w:rPr>
      </w:pPr>
    </w:p>
    <w:p w14:paraId="14EB19F9" w14:textId="7A947076" w:rsidR="007210CB" w:rsidRPr="007210CB" w:rsidRDefault="007210CB" w:rsidP="007210CB">
      <w:pPr>
        <w:spacing w:line="480" w:lineRule="auto"/>
        <w:rPr>
          <w:rFonts w:ascii="Garamond" w:hAnsi="Garamond"/>
          <w:i/>
          <w:iCs/>
        </w:rPr>
      </w:pPr>
      <w:r w:rsidRPr="007210CB">
        <w:rPr>
          <w:rFonts w:ascii="Garamond" w:hAnsi="Garamond"/>
          <w:b/>
        </w:rPr>
        <w:t xml:space="preserve">Figure 2. </w:t>
      </w:r>
      <w:r w:rsidRPr="007210CB">
        <w:rPr>
          <w:rFonts w:ascii="Garamond" w:hAnsi="Garamond"/>
          <w:bCs/>
        </w:rPr>
        <w:t xml:space="preserve">All downcore sedimentary proxy data from ‘Uvea (Wallis et Futuna), ‘Upolu (Samoa), and Efate (Vanuatu). (A) Magnetic susceptibility (Mag. Sus.) and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dinosterol</w:t>
      </w:r>
      <w:r w:rsidRPr="007210CB">
        <w:rPr>
          <w:rFonts w:ascii="Garamond" w:hAnsi="Garamond"/>
        </w:rPr>
        <w:t xml:space="preserve"> records from</w:t>
      </w:r>
      <w:r w:rsidRPr="007210CB">
        <w:rPr>
          <w:rFonts w:ascii="Garamond" w:hAnsi="Garamond"/>
          <w:bCs/>
        </w:rPr>
        <w:t xml:space="preserve"> ‘Uvea</w:t>
      </w:r>
      <w:r w:rsidRPr="007210CB">
        <w:rPr>
          <w:rFonts w:ascii="Garamond" w:hAnsi="Garamond"/>
        </w:rPr>
        <w:t xml:space="preserve">: records from Lac Lalolalo are from two short </w:t>
      </w:r>
      <w:r w:rsidR="00C378CF">
        <w:rPr>
          <w:rFonts w:ascii="Garamond" w:hAnsi="Garamond"/>
        </w:rPr>
        <w:t xml:space="preserve">shallow water </w:t>
      </w:r>
      <w:r w:rsidRPr="007210CB">
        <w:rPr>
          <w:rFonts w:ascii="Garamond" w:hAnsi="Garamond"/>
        </w:rPr>
        <w:t xml:space="preserve">cores (blues: UC22 and UC24) and two long </w:t>
      </w:r>
      <w:proofErr w:type="gramStart"/>
      <w:r w:rsidR="00C378CF">
        <w:rPr>
          <w:rFonts w:ascii="Garamond" w:hAnsi="Garamond"/>
        </w:rPr>
        <w:t>deep water</w:t>
      </w:r>
      <w:proofErr w:type="gramEnd"/>
      <w:r w:rsidR="00C378CF">
        <w:rPr>
          <w:rFonts w:ascii="Garamond" w:hAnsi="Garamond"/>
        </w:rPr>
        <w:t xml:space="preserve"> </w:t>
      </w:r>
      <w:r w:rsidRPr="007210CB">
        <w:rPr>
          <w:rFonts w:ascii="Garamond" w:hAnsi="Garamond"/>
        </w:rPr>
        <w:t xml:space="preserve">cores (grays: UC13 and UC14), the periods covered by the mixed core top samples from UC13 (0 to 15 cm) and UC14 (0 to 20 cm) are highlighted by green vertical lines. Records from nearby Lac Lanutavake are from two cores (purples: UC1 and UC4), note there is no magnetic susceptibility data from the uppermost (field-sectioned) portions of these cores. (B) The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dinosterol</w:t>
      </w:r>
      <w:r w:rsidRPr="007210CB">
        <w:rPr>
          <w:rFonts w:ascii="Garamond" w:hAnsi="Garamond"/>
        </w:rPr>
        <w:t xml:space="preserve"> record from Lake Lanoto’o (‘Upolu) </w:t>
      </w:r>
      <w:r w:rsidRPr="007210CB">
        <w:rPr>
          <w:rFonts w:ascii="Garamond" w:hAnsi="Garamond"/>
        </w:rPr>
        <w:fldChar w:fldCharType="begin" w:fldLock="1"/>
      </w:r>
      <w:r w:rsidRPr="007210CB">
        <w:rPr>
          <w:rFonts w:ascii="Garamond" w:hAnsi="Garamond"/>
        </w:rPr>
        <w:instrText>ADDIN CSL_CITATION {"citationItems":[{"id":"ITEM-1","itemData":{"DOI":"10.1073/pnas.1920975117","ISSN":"10916490","PMID":"32253300","abstract":"The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America","id":"ITEM-1","issue":"16","issued":{"date-parts":[["2020"]]},"page":"8813-8819","title":"Human settlement of East Polynesia earlier, incremental, and coincident with prolonged South Pacific drought","type":"article-journal","volume":"117"},"uris":["http://www.mendeley.com/documents/?uuid=5e4a7b40-a602-4fa6-8dd7-b9d6ae8d7f06"]},{"id":"ITEM-2","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Acta","id":"ITEM-2","issued":{"date-parts":[["2019"]]},"page":"190-206","publisher":"Elsevier Ltd","title":"Reconstructing precipitation in the tropical South Pacific from dinosterol 2H/1H ratios in lake sediment","type":"article-journal","volume":"245"},"uris":["http://www.mendeley.com/documents/?uuid=c7ab851f-4ac6-4a60-a0db-daaa3baed28f"]}],"mendeley":{"formattedCitation":"(Maloney et al., 2019; Sear et al., 2020)","plainTextFormattedCitation":"(Maloney et al., 2019; Sear et al., 2020)","previouslyFormattedCitation":"(Maloney et al., 2019; Sear et al., 2020)"},"properties":{"noteIndex":0},"schema":"https://github.com/citation-style-language/schema/raw/master/csl-citation.json"}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(Maloney et al., 2019; Sear et al., 2020)</w:t>
      </w:r>
      <w:r w:rsidRPr="007210CB">
        <w:rPr>
          <w:rFonts w:ascii="Garamond" w:hAnsi="Garamond"/>
        </w:rPr>
        <w:fldChar w:fldCharType="end"/>
      </w:r>
      <w:r w:rsidRPr="007210CB">
        <w:rPr>
          <w:rFonts w:ascii="Garamond" w:hAnsi="Garamond"/>
        </w:rPr>
        <w:t xml:space="preserve"> mirrors recent magnetic susceptibility and titanium corrected for water (</w:t>
      </w:r>
      <w:proofErr w:type="spellStart"/>
      <w:r w:rsidRPr="007210CB">
        <w:rPr>
          <w:rFonts w:ascii="Garamond" w:hAnsi="Garamond"/>
        </w:rPr>
        <w:t>Ti</w:t>
      </w:r>
      <w:proofErr w:type="spellEnd"/>
      <w:r w:rsidRPr="007210CB">
        <w:rPr>
          <w:rFonts w:ascii="Garamond" w:hAnsi="Garamond"/>
        </w:rPr>
        <w:t xml:space="preserve">*) records, diverging during the MCA. (C) Lake Emaotul (Efate) has a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dinosterol</w:t>
      </w:r>
      <w:r w:rsidRPr="007210CB">
        <w:rPr>
          <w:rFonts w:ascii="Garamond" w:hAnsi="Garamond"/>
        </w:rPr>
        <w:t xml:space="preserve"> record </w:t>
      </w:r>
      <w:r w:rsidRPr="007210CB">
        <w:rPr>
          <w:rFonts w:ascii="Garamond" w:hAnsi="Garamond"/>
        </w:rPr>
        <w:fldChar w:fldCharType="begin" w:fldLock="1"/>
      </w:r>
      <w:r w:rsidRPr="007210CB">
        <w:rPr>
          <w:rFonts w:ascii="Garamond" w:hAnsi="Garamond"/>
        </w:rPr>
        <w:instrText>ADDIN CSL_CITATION {"citationItems":[{"id":"ITEM-1","itemData":{"DOI":"10.1073/pnas.1920975117","ISSN":"10916490","PMID":"32253300","abstract":"The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America","id":"ITEM-1","issue":"16","issued":{"date-parts":[["2020"]]},"page":"8813-8819","title":"Human settlement of East Polynesia earlier, incremental, and coincident with prolonged South Pacific drought","type":"article-journal","volume":"117"},"uris":["http://www.mendeley.com/documents/?uuid=5e4a7b40-a602-4fa6-8dd7-b9d6ae8d7f06"]},{"id":"ITEM-2","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Acta","id":"ITEM-2","issued":{"date-parts":[["2019"]]},"page":"190-206","publisher":"Elsevier Ltd","title":"Reconstructing precipitation in the tropical South Pacific from dinosterol 2H/1H ratios in lake sediment","type":"article-journal","volume":"245"},"uris":["http://www.mendeley.com/documents/?uuid=c7ab851f-4ac6-4a60-a0db-daaa3baed28f"]}],"mendeley":{"formattedCitation":"(Maloney et al., 2019; Sear et al., 2020)","plainTextFormattedCitation":"(Maloney et al., 2019; Sear et al., 2020)","previouslyFormattedCitation":"(Maloney et al., 2019; Sear et al., 2020)"},"properties":{"noteIndex":0},"schema":"https://github.com/citation-style-language/schema/raw/master/csl-citation.json"}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(Maloney et al., 2019; Sear et al., 2020)</w:t>
      </w:r>
      <w:r w:rsidRPr="007210CB">
        <w:rPr>
          <w:rFonts w:ascii="Garamond" w:hAnsi="Garamond"/>
        </w:rPr>
        <w:fldChar w:fldCharType="end"/>
      </w:r>
      <w:r w:rsidRPr="007210CB">
        <w:rPr>
          <w:rFonts w:ascii="Garamond" w:hAnsi="Garamond"/>
        </w:rPr>
        <w:t xml:space="preserve"> that is mirrored by titanium normalized by incoherence scatter (</w:t>
      </w:r>
      <w:proofErr w:type="spellStart"/>
      <w:r w:rsidRPr="007210CB">
        <w:rPr>
          <w:rFonts w:ascii="Garamond" w:hAnsi="Garamond"/>
        </w:rPr>
        <w:t>Ti</w:t>
      </w:r>
      <w:proofErr w:type="spellEnd"/>
      <w:r w:rsidRPr="007210CB">
        <w:rPr>
          <w:rFonts w:ascii="Garamond" w:hAnsi="Garamond"/>
        </w:rPr>
        <w:t xml:space="preserve">/Inc) (darker orange) and magnetic susceptibility (lighter orange) (with the exception of the </w:t>
      </w:r>
      <w:proofErr w:type="spellStart"/>
      <w:r w:rsidRPr="007210CB">
        <w:rPr>
          <w:rFonts w:ascii="Garamond" w:hAnsi="Garamond"/>
        </w:rPr>
        <w:t>Kuwae</w:t>
      </w:r>
      <w:proofErr w:type="spellEnd"/>
      <w:r w:rsidRPr="007210CB">
        <w:rPr>
          <w:rFonts w:ascii="Garamond" w:hAnsi="Garamond"/>
        </w:rPr>
        <w:t xml:space="preserve"> ash signal 1350</w:t>
      </w:r>
      <w:r w:rsidR="00C378CF">
        <w:rPr>
          <w:rFonts w:ascii="Garamond" w:hAnsi="Garamond"/>
        </w:rPr>
        <w:t xml:space="preserve"> to </w:t>
      </w:r>
      <w:r w:rsidRPr="007210CB">
        <w:rPr>
          <w:rFonts w:ascii="Garamond" w:hAnsi="Garamond"/>
        </w:rPr>
        <w:t xml:space="preserve">1450 CE). Error bars show analytical uncertainty from multiple injections (x-axis) and BACON age model uncertainties (y-axis) which are omitted from magnetic susceptibility and titanium records for clarity. Crosses indicate age control points with the max/min age estimates as vertical lines behind the crosses (not including three outliers from Lac Lalolalo UC14 and one outlier from Lake Emaotul). Horizontal shading indicates the LIA (1450 </w:t>
      </w:r>
      <w:r w:rsidR="00C378CF">
        <w:rPr>
          <w:rFonts w:ascii="Garamond" w:hAnsi="Garamond"/>
        </w:rPr>
        <w:t>to</w:t>
      </w:r>
      <w:r w:rsidR="00C378CF" w:rsidRPr="007210CB">
        <w:rPr>
          <w:rFonts w:ascii="Garamond" w:hAnsi="Garamond"/>
        </w:rPr>
        <w:t xml:space="preserve"> </w:t>
      </w:r>
      <w:r w:rsidRPr="007210CB">
        <w:rPr>
          <w:rFonts w:ascii="Garamond" w:hAnsi="Garamond"/>
        </w:rPr>
        <w:t xml:space="preserve">1850 CE) and MCA (950 </w:t>
      </w:r>
      <w:r w:rsidR="00C378CF">
        <w:rPr>
          <w:rFonts w:ascii="Garamond" w:hAnsi="Garamond"/>
        </w:rPr>
        <w:t xml:space="preserve">to </w:t>
      </w:r>
      <w:r w:rsidRPr="007210CB">
        <w:rPr>
          <w:rFonts w:ascii="Garamond" w:hAnsi="Garamond"/>
        </w:rPr>
        <w:t>1250 CE).</w:t>
      </w:r>
    </w:p>
    <w:p w14:paraId="21A5788D" w14:textId="71F1D0FF" w:rsidR="007210CB" w:rsidRPr="007210CB" w:rsidRDefault="007210CB" w:rsidP="007210CB">
      <w:pPr>
        <w:spacing w:line="480" w:lineRule="auto"/>
        <w:rPr>
          <w:rFonts w:ascii="Garamond" w:hAnsi="Garamond"/>
        </w:rPr>
      </w:pPr>
    </w:p>
    <w:p w14:paraId="64EBC4D0" w14:textId="75A0AC4F" w:rsidR="007210CB" w:rsidRPr="007210CB" w:rsidRDefault="007210CB" w:rsidP="007210CB">
      <w:pPr>
        <w:spacing w:line="480" w:lineRule="auto"/>
        <w:rPr>
          <w:rFonts w:ascii="Garamond" w:hAnsi="Garamond"/>
          <w:iCs/>
          <w:color w:val="000000" w:themeColor="text1"/>
        </w:rPr>
      </w:pPr>
      <w:r w:rsidRPr="007210CB">
        <w:rPr>
          <w:rFonts w:ascii="Garamond" w:hAnsi="Garamond"/>
          <w:b/>
        </w:rPr>
        <w:t>Figure. 3</w:t>
      </w:r>
      <w:r w:rsidRPr="007210CB">
        <w:rPr>
          <w:rFonts w:ascii="Garamond" w:hAnsi="Garamond"/>
        </w:rPr>
        <w:t xml:space="preserve">. ‘Uvea (Wallis et Futuna) lake water chemistry. (A) Hydrogen isotopic composition of Lac Lalolalo (gray), Lac Lanutavake (purple), and Lake </w:t>
      </w:r>
      <w:proofErr w:type="spellStart"/>
      <w:r w:rsidRPr="007210CB">
        <w:rPr>
          <w:rFonts w:ascii="Garamond" w:hAnsi="Garamond"/>
        </w:rPr>
        <w:t>Lano</w:t>
      </w:r>
      <w:proofErr w:type="spellEnd"/>
      <w:r w:rsidRPr="007210CB">
        <w:rPr>
          <w:rFonts w:ascii="Garamond" w:hAnsi="Garamond"/>
        </w:rPr>
        <w:t xml:space="preserve"> (magenta) water, ‘Uvea tap water and surface seawater endmembers are indicated with arrows, rain samples from ‘Uvea are indicated with cyan “+” marks, and the annual mean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precipitation</w:t>
      </w:r>
      <w:r w:rsidRPr="007210CB">
        <w:rPr>
          <w:rFonts w:ascii="Garamond" w:hAnsi="Garamond"/>
        </w:rPr>
        <w:t xml:space="preserve"> estimate at ‘Uvea from the OIPC3.1 (</w:t>
      </w:r>
      <w:r w:rsidRPr="007210CB">
        <w:rPr>
          <w:rFonts w:ascii="Garamond" w:hAnsi="Garamond"/>
          <w:color w:val="202020"/>
          <w:shd w:val="clear" w:color="auto" w:fill="FFFFFF"/>
        </w:rPr>
        <w:t>−</w:t>
      </w:r>
      <w:r w:rsidRPr="007210CB">
        <w:rPr>
          <w:rFonts w:ascii="Garamond" w:hAnsi="Garamond"/>
        </w:rPr>
        <w:t xml:space="preserve">23 </w:t>
      </w:r>
      <w:r w:rsidRPr="007210CB">
        <w:rPr>
          <w:rFonts w:ascii="Garamond" w:hAnsi="Garamond"/>
        </w:rPr>
        <w:sym w:font="Symbol" w:char="F0B1"/>
      </w:r>
      <w:r w:rsidRPr="007210CB">
        <w:rPr>
          <w:rFonts w:ascii="Garamond" w:hAnsi="Garamond"/>
        </w:rPr>
        <w:t xml:space="preserve"> 1 ‰) is indicated with </w:t>
      </w:r>
      <w:r w:rsidRPr="007210CB">
        <w:rPr>
          <w:rFonts w:ascii="Garamond" w:hAnsi="Garamond"/>
        </w:rPr>
        <w:lastRenderedPageBreak/>
        <w:t xml:space="preserve">a blue arrow. (B) Salinity values from Lac Lalolalo, Lac </w:t>
      </w:r>
      <w:proofErr w:type="spellStart"/>
      <w:r w:rsidRPr="007210CB">
        <w:rPr>
          <w:rFonts w:ascii="Garamond" w:hAnsi="Garamond"/>
        </w:rPr>
        <w:t>Lanutavake</w:t>
      </w:r>
      <w:proofErr w:type="spellEnd"/>
      <w:r w:rsidRPr="007210CB">
        <w:rPr>
          <w:rFonts w:ascii="Garamond" w:hAnsi="Garamond"/>
        </w:rPr>
        <w:t xml:space="preserve">, and Lake </w:t>
      </w:r>
      <w:proofErr w:type="spellStart"/>
      <w:r w:rsidRPr="007210CB">
        <w:rPr>
          <w:rFonts w:ascii="Garamond" w:hAnsi="Garamond"/>
        </w:rPr>
        <w:t>Lano</w:t>
      </w:r>
      <w:proofErr w:type="spellEnd"/>
      <w:r w:rsidRPr="007210CB">
        <w:rPr>
          <w:rFonts w:ascii="Garamond" w:hAnsi="Garamond"/>
        </w:rPr>
        <w:t xml:space="preserve"> are bracketed by tap water (salinity = 0) and coastal seawater (salinity = 31) endmembers. (C) </w:t>
      </w:r>
      <w:r w:rsidRPr="007210CB">
        <w:rPr>
          <w:rFonts w:ascii="Garamond" w:hAnsi="Garamond"/>
        </w:rPr>
        <w:sym w:font="Symbol" w:char="F064"/>
      </w:r>
      <w:r w:rsidRPr="007210CB">
        <w:rPr>
          <w:rFonts w:ascii="Garamond" w:hAnsi="Garamond"/>
          <w:vertAlign w:val="superscript"/>
        </w:rPr>
        <w:t>18</w:t>
      </w:r>
      <w:r w:rsidRPr="007210CB">
        <w:rPr>
          <w:rFonts w:ascii="Garamond" w:hAnsi="Garamond"/>
        </w:rPr>
        <w:t>O</w:t>
      </w:r>
      <w:r w:rsidRPr="007210CB">
        <w:rPr>
          <w:rFonts w:ascii="Garamond" w:hAnsi="Garamond"/>
          <w:vertAlign w:val="subscript"/>
        </w:rPr>
        <w:t>water</w:t>
      </w:r>
      <w:r w:rsidRPr="007210CB">
        <w:rPr>
          <w:rFonts w:ascii="Garamond" w:hAnsi="Garamond"/>
        </w:rPr>
        <w:t xml:space="preserve"> versus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water</w:t>
      </w:r>
      <w:r w:rsidRPr="007210CB">
        <w:rPr>
          <w:rFonts w:ascii="Garamond" w:hAnsi="Garamond"/>
        </w:rPr>
        <w:t xml:space="preserve"> with the global meteoric water line (y = 8x + 10) and Lake Lanoto’o (black) and Lake Emaotul (orange) samples for reference. S</w:t>
      </w:r>
      <w:r w:rsidRPr="007210CB">
        <w:rPr>
          <w:rFonts w:ascii="Garamond" w:hAnsi="Garamond"/>
          <w:iCs/>
          <w:color w:val="000000" w:themeColor="text1"/>
        </w:rPr>
        <w:t xml:space="preserve">alinity profiles </w:t>
      </w:r>
      <w:r w:rsidRPr="007210CB">
        <w:rPr>
          <w:rFonts w:ascii="Garamond" w:hAnsi="Garamond"/>
          <w:iCs/>
          <w:color w:val="000000" w:themeColor="text1"/>
        </w:rPr>
        <w:fldChar w:fldCharType="begin" w:fldLock="1"/>
      </w:r>
      <w:r w:rsidRPr="007210CB">
        <w:rPr>
          <w:rFonts w:ascii="Garamond" w:hAnsi="Garamond"/>
          <w:iCs/>
          <w:color w:val="000000" w:themeColor="text1"/>
        </w:rPr>
        <w:instrText>ADDIN CSL_CITATION {"citationItems":[{"id":"ITEM-1","itemData":{"DOI":"10.2984/68.3.3","ISSN":"15346188","abstract":"Species composition and vertical distribution of planktonic organisms in Lakes Lalolalo, Lanutavake, and Lano on the Pacific island of Uvea were investigated in relation to physicochemical water column profiles of temperature, conductivity, dissolved oxygen, and pH. The meromictic lakes Lalolalo (maximum depth 88.5 m) and Lanutavake (23.6 m) exhibited a strong chemocline with anoxic conditions below 10 m depth. Mixis was inhibited by sheltered topography, thermal stratification, and in Lalolalo a strong halocline. Crustaceans and rotifers were limited to the oxygenated epilimnion, but diversity and density of ciliates were highest within and below the chemocline. In Lalolalo, euryhaline rotifers dominated the community, reflecting the brackish condition of the lake. Species richness and densities were highest within the shallow lake Lano (3.5 m). On a calm day, hypoxic conditions occurred near the sediment-water interface, but higher oxygen concentrations were observed after heavy winds, indicating occasional mixis. In total, 32 phytoplankton species, 23 ciliate taxa, 18 rotiferan, 1 cladoceran, 1 copepod, and 1 gastrotrich species were identified in the pelagic zones of all three lakes. © 2014 by University of Hawai'i Press All rights reserved.","author":[{"dropping-particle":"","family":"Sichrowsky","given":"Ursula","non-dropping-particle":"","parse-names":false,"suffix":""},{"dropping-particle":"","family":"Schabetsberger","given":"Robert","non-dropping-particle":"","parse-names":false,"suffix":""},{"dropping-particle":"","family":"Sonntag","given":"Bettina","non-dropping-particle":"","parse-names":false,"suffix":""},{"dropping-particle":"","family":"Stoyneva","given":"Maya","non-dropping-particle":"","parse-names":false,"suffix":""},{"dropping-particle":"","family":"Maloney","given":"Ashley E","non-dropping-particle":"","parse-names":false,"suffix":""},{"dropping-particle":"","family":"Nelson","given":"Daniel B","non-dropping-particle":"","parse-names":false,"suffix":""},{"dropping-particle":"","family":"Richey","given":"Julie N","non-dropping-particle":"","parse-names":false,"suffix":""},{"dropping-particle":"","family":"Sachs","given":"Julian P","non-dropping-particle":"","parse-names":false,"suffix":""}],"container-title":"Pacific Science","id":"ITEM-1","issue":"3","issued":{"date-parts":[["2014","7"]]},"page":"333-343","title":"Limnological characterization of volcanic crater lakes on Uvea Island (Wallis and Futuna, South Pacific)","type":"article-journal","volume":"68"},"uris":["http://www.mendeley.com/documents/?uuid=923ca64f-f41e-45b0-a85c-cd355925b74b"]}],"mendeley":{"formattedCitation":"(Sichrowsky et al., 2014)","plainTextFormattedCitation":"(Sichrowsky et al., 2014)","previouslyFormattedCitation":"(Sichrowsky et al., 2014)"},"properties":{"noteIndex":0},"schema":"https://github.com/citation-style-language/schema/raw/master/csl-citation.json"}</w:instrText>
      </w:r>
      <w:r w:rsidRPr="007210CB">
        <w:rPr>
          <w:rFonts w:ascii="Garamond" w:hAnsi="Garamond"/>
          <w:iCs/>
          <w:color w:val="000000" w:themeColor="text1"/>
        </w:rPr>
        <w:fldChar w:fldCharType="separate"/>
      </w:r>
      <w:r w:rsidRPr="007210CB">
        <w:rPr>
          <w:rFonts w:ascii="Garamond" w:hAnsi="Garamond"/>
          <w:iCs/>
          <w:noProof/>
          <w:color w:val="000000" w:themeColor="text1"/>
        </w:rPr>
        <w:t>(Sichrowsky et al., 2014)</w:t>
      </w:r>
      <w:r w:rsidRPr="007210CB">
        <w:rPr>
          <w:rFonts w:ascii="Garamond" w:hAnsi="Garamond"/>
          <w:iCs/>
          <w:color w:val="000000" w:themeColor="text1"/>
        </w:rPr>
        <w:fldChar w:fldCharType="end"/>
      </w:r>
      <w:r w:rsidRPr="007210CB">
        <w:rPr>
          <w:rFonts w:ascii="Garamond" w:hAnsi="Garamond"/>
          <w:iCs/>
          <w:color w:val="000000" w:themeColor="text1"/>
        </w:rPr>
        <w:t xml:space="preserve">, ‘Uvea surface water isotope data, and </w:t>
      </w:r>
      <w:r w:rsidRPr="007210CB">
        <w:rPr>
          <w:rFonts w:ascii="Garamond" w:hAnsi="Garamond"/>
        </w:rPr>
        <w:t xml:space="preserve">surface waters from Lake Lanoto’o and Lake Emaotul </w:t>
      </w:r>
      <w:r w:rsidRPr="007210CB">
        <w:rPr>
          <w:rFonts w:ascii="Garamond" w:hAnsi="Garamond"/>
          <w:iCs/>
          <w:color w:val="000000" w:themeColor="text1"/>
        </w:rPr>
        <w:t xml:space="preserve">have been previously published </w:t>
      </w:r>
      <w:r w:rsidRPr="007210CB">
        <w:rPr>
          <w:rFonts w:ascii="Garamond" w:hAnsi="Garamond"/>
        </w:rPr>
        <w:fldChar w:fldCharType="begin" w:fldLock="1"/>
      </w:r>
      <w:r w:rsidRPr="007210CB">
        <w:rPr>
          <w:rFonts w:ascii="Garamond" w:hAnsi="Garamond"/>
        </w:rPr>
        <w:instrText>ADDIN CSL_CITATION {"citationItems":[{"id":"ITEM-1","itemData":{"DOI":"10.1016/j.gca.2018.10.028","ISSN":"0016-7037","author":[{"dropping-particle":"","family":"Maloney","given":"Ashley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Acta","id":"ITEM-1","issued":{"date-parts":[["2019"]]},"page":"190-206","publisher":"Elsevier Ltd","title":"Reconstructing precipitation in the tropical South Pacific from dinosterol 2H/1H ratios in lake sediment","type":"article-journal","volume":"245"},"uris":["http://www.mendeley.com/documents/?uuid=c7ab851f-4ac6-4a60-a0db-daaa3baed28f"]}],"mendeley":{"formattedCitation":"(Maloney et al., 2019)","plainTextFormattedCitation":"(Maloney et al., 2019)","previouslyFormattedCitation":"(Maloney et al., 2019)"},"properties":{"noteIndex":0},"schema":"https://github.com/citation-style-language/schema/raw/master/csl-citation.json"}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(Maloney et al., 2019)</w:t>
      </w:r>
      <w:r w:rsidRPr="007210CB">
        <w:rPr>
          <w:rFonts w:ascii="Garamond" w:hAnsi="Garamond"/>
        </w:rPr>
        <w:fldChar w:fldCharType="end"/>
      </w:r>
      <w:r w:rsidRPr="007210CB">
        <w:rPr>
          <w:rFonts w:ascii="Garamond" w:hAnsi="Garamond"/>
        </w:rPr>
        <w:t xml:space="preserve">. Analytical uncertainties (omitted for clarity) and are up to 1.3 ‰ for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water</w:t>
      </w:r>
      <w:r w:rsidRPr="007210CB">
        <w:rPr>
          <w:rFonts w:ascii="Garamond" w:hAnsi="Garamond"/>
        </w:rPr>
        <w:t xml:space="preserve"> and 0.3 ‰ for </w:t>
      </w:r>
      <w:r w:rsidRPr="007210CB">
        <w:rPr>
          <w:rFonts w:ascii="Garamond" w:hAnsi="Garamond"/>
        </w:rPr>
        <w:sym w:font="Symbol" w:char="F064"/>
      </w:r>
      <w:r w:rsidRPr="007210CB">
        <w:rPr>
          <w:rFonts w:ascii="Garamond" w:hAnsi="Garamond"/>
          <w:vertAlign w:val="superscript"/>
        </w:rPr>
        <w:t>18</w:t>
      </w:r>
      <w:r w:rsidRPr="007210CB">
        <w:rPr>
          <w:rFonts w:ascii="Garamond" w:hAnsi="Garamond"/>
        </w:rPr>
        <w:t>O</w:t>
      </w:r>
      <w:r w:rsidRPr="007210CB">
        <w:rPr>
          <w:rFonts w:ascii="Garamond" w:hAnsi="Garamond"/>
          <w:vertAlign w:val="subscript"/>
        </w:rPr>
        <w:t>water</w:t>
      </w:r>
      <w:r w:rsidRPr="007210CB">
        <w:rPr>
          <w:rFonts w:ascii="Garamond" w:hAnsi="Garamond"/>
        </w:rPr>
        <w:t xml:space="preserve">. </w:t>
      </w:r>
      <w:r w:rsidRPr="007210CB">
        <w:rPr>
          <w:rFonts w:ascii="Garamond" w:hAnsi="Garamond"/>
          <w:iCs/>
          <w:color w:val="000000" w:themeColor="text1"/>
        </w:rPr>
        <w:t>Lac Lalolalo ion and metal concentrations relative to mean seawater values including (D) silicon, nitrate, phosphate, and fluoride, and (E) sulfate, potassium, sodium, magnesium, and calcium, and chloride (</w:t>
      </w:r>
      <w:r w:rsidRPr="007210CB">
        <w:rPr>
          <w:rFonts w:ascii="Garamond" w:hAnsi="Garamond"/>
          <w:b/>
          <w:bCs/>
          <w:iCs/>
          <w:color w:val="000000" w:themeColor="text1"/>
        </w:rPr>
        <w:t>Table A.6</w:t>
      </w:r>
      <w:r w:rsidRPr="007210CB">
        <w:rPr>
          <w:rFonts w:ascii="Garamond" w:hAnsi="Garamond"/>
          <w:iCs/>
          <w:color w:val="000000" w:themeColor="text1"/>
        </w:rPr>
        <w:t>).</w:t>
      </w:r>
    </w:p>
    <w:p w14:paraId="2FFF553A" w14:textId="710B832A" w:rsidR="007210CB" w:rsidRPr="007210CB" w:rsidRDefault="007210CB" w:rsidP="007210CB">
      <w:pPr>
        <w:spacing w:line="480" w:lineRule="auto"/>
        <w:rPr>
          <w:rFonts w:ascii="Garamond" w:hAnsi="Garamond"/>
          <w:iCs/>
          <w:color w:val="000000" w:themeColor="text1"/>
        </w:rPr>
      </w:pPr>
    </w:p>
    <w:p w14:paraId="3B734AFB" w14:textId="2BAB5687" w:rsidR="007210CB" w:rsidRPr="007210CB" w:rsidRDefault="007210CB" w:rsidP="007210CB">
      <w:pPr>
        <w:spacing w:line="480" w:lineRule="auto"/>
        <w:rPr>
          <w:rFonts w:ascii="Garamond" w:hAnsi="Garamond"/>
        </w:rPr>
      </w:pPr>
      <w:r w:rsidRPr="007210CB">
        <w:rPr>
          <w:rFonts w:ascii="Garamond" w:hAnsi="Garamond"/>
          <w:b/>
          <w:bCs/>
        </w:rPr>
        <w:t>Figure 4.</w:t>
      </w:r>
      <w:r w:rsidRPr="007210CB">
        <w:rPr>
          <w:rFonts w:ascii="Garamond" w:hAnsi="Garamond"/>
        </w:rPr>
        <w:t xml:space="preserve"> All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dinosterol</w:t>
      </w:r>
      <w:r w:rsidRPr="007210CB">
        <w:rPr>
          <w:rFonts w:ascii="Garamond" w:hAnsi="Garamond"/>
          <w:vertAlign w:val="superscript"/>
        </w:rPr>
        <w:t xml:space="preserve"> </w:t>
      </w:r>
      <w:r w:rsidRPr="007210CB">
        <w:rPr>
          <w:rFonts w:ascii="Garamond" w:hAnsi="Garamond"/>
        </w:rPr>
        <w:t xml:space="preserve">values and corresponding precipitation rates </w:t>
      </w:r>
      <w:r w:rsidRPr="007210CB">
        <w:rPr>
          <w:rFonts w:ascii="Garamond" w:hAnsi="Garamond"/>
        </w:rPr>
        <w:fldChar w:fldCharType="begin" w:fldLock="1"/>
      </w:r>
      <w:r w:rsidRPr="007210CB">
        <w:rPr>
          <w:rFonts w:ascii="Garamond" w:hAnsi="Garamond"/>
        </w:rPr>
        <w:instrText>ADDIN CSL_CITATION {"citationItems":[{"id":"ITEM-1","itemData":{"DOI":"10.1016/j.gca.2018.10.028","ISSN":"0016-7037","author":[{"dropping-particle":"","family":"Maloney","given":"Ashley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Acta","id":"ITEM-1","issued":{"date-parts":[["2019"]]},"page":"190-206","publisher":"Elsevier Ltd","title":"Reconstructing precipitation in the tropical South Pacific from dinosterol 2H/1H ratios in lake sediment","type":"article-journal","volume":"245"},"uris":["http://www.mendeley.com/documents/?uuid=c7ab851f-4ac6-4a60-a0db-daaa3baed28f"]}],"mendeley":{"formattedCitation":"(Maloney et al., 2019)","manualFormatting":"([P = ((2Hsample + 211)  / −12.1], Maloney et al., 2019)","plainTextFormattedCitation":"(Maloney et al., 2019)","previouslyFormattedCitation":"(Maloney et al., 2019)"},"properties":{"noteIndex":0},"schema":"https://github.com/citation-style-language/schema/raw/master/csl-citation.json"}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([P = (</w:t>
      </w:r>
      <w:r w:rsidRPr="007210CB">
        <w:rPr>
          <w:rFonts w:ascii="Garamond" w:hAnsi="Garamond"/>
          <w:noProof/>
        </w:rPr>
        <w:sym w:font="Symbol" w:char="F064"/>
      </w:r>
      <w:r w:rsidRPr="007210CB">
        <w:rPr>
          <w:rFonts w:ascii="Garamond" w:hAnsi="Garamond"/>
          <w:noProof/>
          <w:vertAlign w:val="superscript"/>
        </w:rPr>
        <w:t>2</w:t>
      </w:r>
      <w:r w:rsidRPr="007210CB">
        <w:rPr>
          <w:rFonts w:ascii="Garamond" w:hAnsi="Garamond"/>
          <w:noProof/>
        </w:rPr>
        <w:t>H</w:t>
      </w:r>
      <w:r w:rsidRPr="007210CB">
        <w:rPr>
          <w:rFonts w:ascii="Garamond" w:hAnsi="Garamond"/>
          <w:noProof/>
          <w:vertAlign w:val="subscript"/>
        </w:rPr>
        <w:t>sample</w:t>
      </w:r>
      <w:r w:rsidRPr="007210CB">
        <w:rPr>
          <w:rFonts w:ascii="Garamond" w:hAnsi="Garamond"/>
          <w:noProof/>
        </w:rPr>
        <w:t xml:space="preserve"> </w:t>
      </w:r>
      <w:r w:rsidRPr="007210CB">
        <w:rPr>
          <w:rFonts w:ascii="Garamond" w:hAnsi="Garamond"/>
          <w:noProof/>
          <w:color w:val="202020"/>
          <w:shd w:val="clear" w:color="auto" w:fill="FFFFFF"/>
        </w:rPr>
        <w:t>+</w:t>
      </w:r>
      <w:r w:rsidRPr="007210CB">
        <w:rPr>
          <w:rFonts w:ascii="Garamond" w:hAnsi="Garamond"/>
          <w:noProof/>
        </w:rPr>
        <w:t xml:space="preserve"> 211)  / </w:t>
      </w:r>
      <w:r w:rsidRPr="007210CB">
        <w:rPr>
          <w:rFonts w:ascii="Garamond" w:hAnsi="Garamond"/>
          <w:noProof/>
          <w:color w:val="202020"/>
          <w:shd w:val="clear" w:color="auto" w:fill="FFFFFF"/>
        </w:rPr>
        <w:t>−</w:t>
      </w:r>
      <w:r w:rsidRPr="007210CB">
        <w:rPr>
          <w:rFonts w:ascii="Garamond" w:hAnsi="Garamond"/>
          <w:noProof/>
        </w:rPr>
        <w:t>12.1], Maloney et al., 2019)</w:t>
      </w:r>
      <w:r w:rsidRPr="007210CB">
        <w:rPr>
          <w:rFonts w:ascii="Garamond" w:hAnsi="Garamond"/>
        </w:rPr>
        <w:fldChar w:fldCharType="end"/>
      </w:r>
      <w:r w:rsidRPr="007210CB">
        <w:rPr>
          <w:rFonts w:ascii="Garamond" w:hAnsi="Garamond"/>
        </w:rPr>
        <w:t xml:space="preserve"> from ‘Uvea (Wallis et Futuna), ‘Upolu (Samoa), and Efate (Vanuatu). (A) Boxplots of all individual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dinosterol</w:t>
      </w:r>
      <w:r w:rsidRPr="007210CB">
        <w:rPr>
          <w:rFonts w:ascii="Garamond" w:hAnsi="Garamond"/>
          <w:vertAlign w:val="superscript"/>
        </w:rPr>
        <w:t xml:space="preserve"> </w:t>
      </w:r>
      <w:r w:rsidRPr="007210CB">
        <w:rPr>
          <w:rFonts w:ascii="Garamond" w:hAnsi="Garamond"/>
        </w:rPr>
        <w:t xml:space="preserve">data points from Lac Lalolalo’s two short cores (blues: UC22 and UC24) and two long cores (grays: UC13 and UC14) (n = 80); Lac Lanutavake’s two cores (UC1 and UC4, purples, n = 53); Lake Lanoto’o (black, n = 22), and Lake Emaotul (orange, n = </w:t>
      </w:r>
      <w:r w:rsidR="00AF19A9">
        <w:rPr>
          <w:rFonts w:ascii="Garamond" w:hAnsi="Garamond"/>
        </w:rPr>
        <w:t>41</w:t>
      </w:r>
      <w:r w:rsidRPr="007210CB">
        <w:rPr>
          <w:rFonts w:ascii="Garamond" w:hAnsi="Garamond"/>
        </w:rPr>
        <w:t xml:space="preserve">). The vertical dotted line separating Lac Lalolalo indicates pre-modern Lac Lalolalo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dinosterol</w:t>
      </w:r>
      <w:r w:rsidRPr="007210CB">
        <w:rPr>
          <w:rFonts w:ascii="Garamond" w:hAnsi="Garamond"/>
          <w:vertAlign w:val="superscript"/>
        </w:rPr>
        <w:t xml:space="preserve"> </w:t>
      </w:r>
      <w:r w:rsidRPr="007210CB">
        <w:rPr>
          <w:rFonts w:ascii="Garamond" w:hAnsi="Garamond"/>
        </w:rPr>
        <w:t>values are not primarily influenced by climate and therefore do not have corresponding precipitation rates</w:t>
      </w:r>
      <w:r w:rsidR="00C378CF">
        <w:rPr>
          <w:rFonts w:ascii="Garamond" w:hAnsi="Garamond"/>
        </w:rPr>
        <w:t xml:space="preserve"> before ~1950</w:t>
      </w:r>
      <w:r w:rsidRPr="007210CB">
        <w:rPr>
          <w:rFonts w:ascii="Garamond" w:hAnsi="Garamond"/>
        </w:rPr>
        <w:t xml:space="preserve">. Gray outline of boxplots is median, upper/lower (75/25%) quartiles, whiskers represent data within 1.5 x interquartile range of upper/lower quartiles. (B) Bar plots of Lac Lanutavake, Lake Lanoto’o, and Lake Emaotul mean MCA, LIA, and modern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dinosterol</w:t>
      </w:r>
      <w:r w:rsidRPr="007210CB">
        <w:rPr>
          <w:rFonts w:ascii="Garamond" w:hAnsi="Garamond"/>
          <w:vertAlign w:val="superscript"/>
        </w:rPr>
        <w:t xml:space="preserve"> </w:t>
      </w:r>
      <w:r w:rsidRPr="007210CB">
        <w:rPr>
          <w:rFonts w:ascii="Garamond" w:hAnsi="Garamond"/>
        </w:rPr>
        <w:t xml:space="preserve">values and corresponding precipitation rates (individual data points as open circles) compared to whole core means represented by horizontal line across all periods (data summarized in </w:t>
      </w:r>
      <w:r w:rsidRPr="007210CB">
        <w:rPr>
          <w:rFonts w:ascii="Garamond" w:hAnsi="Garamond"/>
          <w:b/>
          <w:bCs/>
        </w:rPr>
        <w:t>Table A.5</w:t>
      </w:r>
      <w:r w:rsidRPr="007210CB">
        <w:rPr>
          <w:rFonts w:ascii="Garamond" w:hAnsi="Garamond"/>
        </w:rPr>
        <w:t>). Green “+” symbols mark gridded GPCP gridded precipitation rates (1979 to 2016 average) (</w:t>
      </w:r>
      <w:r w:rsidRPr="007210CB">
        <w:rPr>
          <w:rFonts w:ascii="Garamond" w:hAnsi="Garamond"/>
          <w:b/>
          <w:bCs/>
        </w:rPr>
        <w:t>Table A.1</w:t>
      </w:r>
      <w:r w:rsidRPr="007210CB">
        <w:rPr>
          <w:rFonts w:ascii="Garamond" w:hAnsi="Garamond"/>
        </w:rPr>
        <w:t xml:space="preserve">). Average analytical uncertainty for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dinosterol</w:t>
      </w:r>
      <w:r w:rsidRPr="007210CB">
        <w:rPr>
          <w:rFonts w:ascii="Garamond" w:hAnsi="Garamond"/>
          <w:vertAlign w:val="superscript"/>
        </w:rPr>
        <w:t xml:space="preserve"> </w:t>
      </w:r>
      <w:r w:rsidRPr="007210CB">
        <w:rPr>
          <w:rFonts w:ascii="Garamond" w:hAnsi="Garamond"/>
        </w:rPr>
        <w:t>values is 4.7 ‰ (not shown); uncertainties in gridded precipitation are 1.4 mm d</w:t>
      </w:r>
      <w:r w:rsidRPr="007210CB">
        <w:rPr>
          <w:rFonts w:ascii="Garamond" w:hAnsi="Garamond"/>
          <w:color w:val="202020"/>
          <w:shd w:val="clear" w:color="auto" w:fill="FFFFFF"/>
          <w:vertAlign w:val="superscript"/>
        </w:rPr>
        <w:t>−</w:t>
      </w:r>
      <w:r w:rsidRPr="007210CB">
        <w:rPr>
          <w:rFonts w:ascii="Garamond" w:hAnsi="Garamond"/>
          <w:vertAlign w:val="superscript"/>
        </w:rPr>
        <w:t xml:space="preserve">1 </w:t>
      </w:r>
      <w:r w:rsidRPr="007210CB">
        <w:rPr>
          <w:rFonts w:ascii="Garamond" w:hAnsi="Garamond"/>
        </w:rPr>
        <w:t>(‘Uvea and ‘Upolu) and 0.9 mm d</w:t>
      </w:r>
      <w:r w:rsidRPr="007210CB">
        <w:rPr>
          <w:rFonts w:ascii="Garamond" w:hAnsi="Garamond"/>
          <w:color w:val="202020"/>
          <w:shd w:val="clear" w:color="auto" w:fill="FFFFFF"/>
          <w:vertAlign w:val="superscript"/>
        </w:rPr>
        <w:t>−</w:t>
      </w:r>
      <w:r w:rsidRPr="007210CB">
        <w:rPr>
          <w:rFonts w:ascii="Garamond" w:hAnsi="Garamond"/>
          <w:vertAlign w:val="superscript"/>
        </w:rPr>
        <w:t xml:space="preserve">1 </w:t>
      </w:r>
      <w:r w:rsidRPr="007210CB">
        <w:rPr>
          <w:rFonts w:ascii="Garamond" w:hAnsi="Garamond"/>
        </w:rPr>
        <w:t xml:space="preserve">(Efate) and uncertainties of reconstructed precipitation </w:t>
      </w:r>
      <w:r w:rsidRPr="007210CB">
        <w:rPr>
          <w:rFonts w:ascii="Garamond" w:hAnsi="Garamond"/>
        </w:rPr>
        <w:lastRenderedPageBreak/>
        <w:t>(including errors in calibration and analytical uncertainty) are up to 2.5 mm d</w:t>
      </w:r>
      <w:r w:rsidRPr="007210CB">
        <w:rPr>
          <w:rFonts w:ascii="Garamond" w:hAnsi="Garamond"/>
          <w:color w:val="202020"/>
          <w:shd w:val="clear" w:color="auto" w:fill="FFFFFF"/>
          <w:vertAlign w:val="superscript"/>
        </w:rPr>
        <w:t>−</w:t>
      </w:r>
      <w:r w:rsidRPr="007210CB">
        <w:rPr>
          <w:rFonts w:ascii="Garamond" w:hAnsi="Garamond"/>
          <w:vertAlign w:val="superscript"/>
        </w:rPr>
        <w:t xml:space="preserve">1 </w:t>
      </w:r>
      <w:r w:rsidRPr="007210CB">
        <w:rPr>
          <w:rFonts w:ascii="Garamond" w:hAnsi="Garamond"/>
        </w:rPr>
        <w:t>with a mean of 2.2 mm d</w:t>
      </w:r>
      <w:r w:rsidRPr="007210CB">
        <w:rPr>
          <w:rFonts w:ascii="Garamond" w:hAnsi="Garamond"/>
          <w:color w:val="202020"/>
          <w:shd w:val="clear" w:color="auto" w:fill="FFFFFF"/>
          <w:vertAlign w:val="superscript"/>
        </w:rPr>
        <w:t>−</w:t>
      </w:r>
      <w:r w:rsidRPr="007210CB">
        <w:rPr>
          <w:rFonts w:ascii="Garamond" w:hAnsi="Garamond"/>
          <w:vertAlign w:val="superscript"/>
        </w:rPr>
        <w:t xml:space="preserve">1 </w:t>
      </w:r>
      <w:r w:rsidRPr="007210CB">
        <w:rPr>
          <w:rFonts w:ascii="Garamond" w:hAnsi="Garamond"/>
        </w:rPr>
        <w:t xml:space="preserve">(not shown). Lake Lanoto’o and Lake Emaotul data from </w:t>
      </w:r>
      <w:r w:rsidRPr="007210CB">
        <w:rPr>
          <w:rFonts w:ascii="Garamond" w:hAnsi="Garamond"/>
        </w:rPr>
        <w:fldChar w:fldCharType="begin" w:fldLock="1"/>
      </w:r>
      <w:r w:rsidRPr="007210CB">
        <w:rPr>
          <w:rFonts w:ascii="Garamond" w:hAnsi="Garamond"/>
        </w:rPr>
        <w:instrText>ADDIN CSL_CITATION {"citationItems":[{"id":"ITEM-1","itemData":{"DOI":"10.1073/pnas.1920975117","ISSN":"10916490","PMID":"32253300","abstract":"The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America","id":"ITEM-1","issue":"16","issued":{"date-parts":[["2020"]]},"page":"8813-8819","title":"Human settlement of East Polynesia earlier, incremental, and coincident with prolonged South Pacific drought","type":"article-journal","volume":"117"},"uris":["http://www.mendeley.com/documents/?uuid=5e4a7b40-a602-4fa6-8dd7-b9d6ae8d7f06"]}],"mendeley":{"formattedCitation":"(Sear et al., 2020)","manualFormatting":"Sear et al. (2020)","plainTextFormattedCitation":"(Sear et al., 2020)","previouslyFormattedCitation":"(Sear et al., 2020)"},"properties":{"noteIndex":0},"schema":"https://github.com/citation-style-language/schema/raw/master/csl-citation.json"}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Sear et al. (2020)</w:t>
      </w:r>
      <w:r w:rsidRPr="007210CB">
        <w:rPr>
          <w:rFonts w:ascii="Garamond" w:hAnsi="Garamond"/>
        </w:rPr>
        <w:fldChar w:fldCharType="end"/>
      </w:r>
      <w:r w:rsidRPr="007210CB">
        <w:rPr>
          <w:rFonts w:ascii="Garamond" w:hAnsi="Garamond"/>
        </w:rPr>
        <w:t xml:space="preserve"> and Maloney et al. (2019).</w:t>
      </w:r>
    </w:p>
    <w:p w14:paraId="61B3E5FB" w14:textId="690D20DA" w:rsidR="007210CB" w:rsidRPr="007210CB" w:rsidRDefault="007210CB" w:rsidP="007210CB">
      <w:pPr>
        <w:spacing w:line="480" w:lineRule="auto"/>
        <w:rPr>
          <w:rFonts w:ascii="Garamond" w:hAnsi="Garamond"/>
        </w:rPr>
      </w:pPr>
    </w:p>
    <w:p w14:paraId="7595BEF7" w14:textId="77777777" w:rsidR="007210CB" w:rsidRPr="007210CB" w:rsidRDefault="007210CB" w:rsidP="007210CB">
      <w:pPr>
        <w:spacing w:line="480" w:lineRule="auto"/>
        <w:rPr>
          <w:rFonts w:ascii="Garamond" w:hAnsi="Garamond"/>
          <w:i/>
          <w:iCs/>
        </w:rPr>
      </w:pPr>
      <w:r w:rsidRPr="007210CB">
        <w:rPr>
          <w:rFonts w:ascii="Garamond" w:hAnsi="Garamond"/>
          <w:b/>
          <w:bCs/>
        </w:rPr>
        <w:t>Figure 5.</w:t>
      </w:r>
      <w:r w:rsidRPr="007210CB">
        <w:rPr>
          <w:rFonts w:ascii="Garamond" w:hAnsi="Garamond"/>
        </w:rPr>
        <w:t xml:space="preserve">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dinosterol</w:t>
      </w:r>
      <w:r w:rsidRPr="007210CB">
        <w:rPr>
          <w:rFonts w:ascii="Garamond" w:hAnsi="Garamond"/>
        </w:rPr>
        <w:t xml:space="preserve"> records from Lac Lanutavake (‘Uvea, Wallis et Futuna), Lake Lanoto’o (‘Upolu, Samoa), and Lake Emaotul (Efate, Vanuatu) with corresponding reconstructed precipitation rates </w:t>
      </w:r>
      <w:r w:rsidRPr="007210CB">
        <w:rPr>
          <w:rFonts w:ascii="Garamond" w:hAnsi="Garamond"/>
        </w:rPr>
        <w:fldChar w:fldCharType="begin" w:fldLock="1"/>
      </w:r>
      <w:r w:rsidRPr="007210CB">
        <w:rPr>
          <w:rFonts w:ascii="Garamond" w:hAnsi="Garamond"/>
        </w:rPr>
        <w:instrText>ADDIN CSL_CITATION {"citationItems":[{"id":"ITEM-1","itemData":{"DOI":"10.1016/j.gca.2018.10.028","ISSN":"0016-7037","author":[{"dropping-particle":"","family":"Maloney","given":"Ashley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Acta","id":"ITEM-1","issued":{"date-parts":[["2019"]]},"page":"190-206","publisher":"Elsevier Ltd","title":"Reconstructing precipitation in the tropical South Pacific from dinosterol 2H/1H ratios in lake sediment","type":"article-journal","volume":"245"},"uris":["http://www.mendeley.com/documents/?uuid=c7ab851f-4ac6-4a60-a0db-daaa3baed28f"]}],"mendeley":{"formattedCitation":"(Maloney et al., 2019)","manualFormatting":"([P = ((2Hsample + 211)  / −12.1], Maloney et al., (2019))","plainTextFormattedCitation":"(Maloney et al., 2019)","previouslyFormattedCitation":"(Maloney et al., 2019)"},"properties":{"noteIndex":0},"schema":"https://github.com/citation-style-language/schema/raw/master/csl-citation.json"}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([P = (</w:t>
      </w:r>
      <w:r w:rsidRPr="007210CB">
        <w:rPr>
          <w:rFonts w:ascii="Garamond" w:hAnsi="Garamond"/>
          <w:noProof/>
        </w:rPr>
        <w:sym w:font="Symbol" w:char="F064"/>
      </w:r>
      <w:r w:rsidRPr="007210CB">
        <w:rPr>
          <w:rFonts w:ascii="Garamond" w:hAnsi="Garamond"/>
          <w:noProof/>
          <w:vertAlign w:val="superscript"/>
        </w:rPr>
        <w:t>2</w:t>
      </w:r>
      <w:r w:rsidRPr="007210CB">
        <w:rPr>
          <w:rFonts w:ascii="Garamond" w:hAnsi="Garamond"/>
          <w:noProof/>
        </w:rPr>
        <w:t>H</w:t>
      </w:r>
      <w:r w:rsidRPr="007210CB">
        <w:rPr>
          <w:rFonts w:ascii="Garamond" w:hAnsi="Garamond"/>
          <w:noProof/>
          <w:vertAlign w:val="subscript"/>
        </w:rPr>
        <w:t>sample</w:t>
      </w:r>
      <w:r w:rsidRPr="007210CB">
        <w:rPr>
          <w:rFonts w:ascii="Garamond" w:hAnsi="Garamond"/>
          <w:noProof/>
        </w:rPr>
        <w:t xml:space="preserve"> </w:t>
      </w:r>
      <w:r w:rsidRPr="007210CB">
        <w:rPr>
          <w:rFonts w:ascii="Garamond" w:hAnsi="Garamond"/>
          <w:noProof/>
          <w:color w:val="202020"/>
          <w:shd w:val="clear" w:color="auto" w:fill="FFFFFF"/>
        </w:rPr>
        <w:t>+</w:t>
      </w:r>
      <w:r w:rsidRPr="007210CB">
        <w:rPr>
          <w:rFonts w:ascii="Garamond" w:hAnsi="Garamond"/>
          <w:noProof/>
        </w:rPr>
        <w:t xml:space="preserve"> 211)  / </w:t>
      </w:r>
      <w:r w:rsidRPr="007210CB">
        <w:rPr>
          <w:rFonts w:ascii="Garamond" w:hAnsi="Garamond"/>
          <w:noProof/>
          <w:color w:val="202020"/>
          <w:shd w:val="clear" w:color="auto" w:fill="FFFFFF"/>
        </w:rPr>
        <w:t>−</w:t>
      </w:r>
      <w:r w:rsidRPr="007210CB">
        <w:rPr>
          <w:rFonts w:ascii="Garamond" w:hAnsi="Garamond"/>
          <w:noProof/>
        </w:rPr>
        <w:t>12.1], Maloney et al., (2019))</w:t>
      </w:r>
      <w:r w:rsidRPr="007210CB">
        <w:rPr>
          <w:rFonts w:ascii="Garamond" w:hAnsi="Garamond"/>
        </w:rPr>
        <w:fldChar w:fldCharType="end"/>
      </w:r>
      <w:r w:rsidRPr="007210CB">
        <w:rPr>
          <w:rFonts w:ascii="Garamond" w:hAnsi="Garamond"/>
        </w:rPr>
        <w:t xml:space="preserve">. (A) SPCZ precipitation records during the Common Era, shading around solid lines indicates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dinosterol</w:t>
      </w:r>
      <w:r w:rsidRPr="007210CB">
        <w:rPr>
          <w:rFonts w:ascii="Garamond" w:hAnsi="Garamond"/>
        </w:rPr>
        <w:t xml:space="preserve"> value analytical uncertainty, uncertainties associated with reconstructed precipitation rates (including errors in calibration and analytical uncertainty) are up to 2.5 mm d</w:t>
      </w:r>
      <w:r w:rsidRPr="007210CB">
        <w:rPr>
          <w:rFonts w:ascii="Garamond" w:hAnsi="Garamond"/>
          <w:color w:val="202020"/>
          <w:shd w:val="clear" w:color="auto" w:fill="FFFFFF"/>
          <w:vertAlign w:val="superscript"/>
        </w:rPr>
        <w:t>−</w:t>
      </w:r>
      <w:r w:rsidRPr="007210CB">
        <w:rPr>
          <w:rFonts w:ascii="Garamond" w:hAnsi="Garamond"/>
          <w:vertAlign w:val="superscript"/>
        </w:rPr>
        <w:t xml:space="preserve">1 </w:t>
      </w:r>
      <w:r w:rsidRPr="007210CB">
        <w:rPr>
          <w:rFonts w:ascii="Garamond" w:hAnsi="Garamond"/>
        </w:rPr>
        <w:t>in these cores; for clarity uncertainty for only one sample from each core is shown as a thin vertical line, average age model uncertainty is indicated with a horizontal green bar, shaded gray vertical bars indicate MCA and LIA, and horizontal dashed lines are mean gridded GPCP precipitation rates (1979 to 2017) at each location, these have estimated errors of 1.4 mm d</w:t>
      </w:r>
      <w:r w:rsidRPr="007210CB">
        <w:rPr>
          <w:rFonts w:ascii="Garamond" w:hAnsi="Garamond"/>
          <w:color w:val="202020"/>
          <w:shd w:val="clear" w:color="auto" w:fill="FFFFFF"/>
          <w:vertAlign w:val="superscript"/>
        </w:rPr>
        <w:t>−</w:t>
      </w:r>
      <w:r w:rsidRPr="007210CB">
        <w:rPr>
          <w:rFonts w:ascii="Garamond" w:hAnsi="Garamond"/>
          <w:vertAlign w:val="superscript"/>
        </w:rPr>
        <w:t xml:space="preserve">1 </w:t>
      </w:r>
      <w:r w:rsidRPr="007210CB">
        <w:rPr>
          <w:rFonts w:ascii="Garamond" w:hAnsi="Garamond"/>
        </w:rPr>
        <w:t>(‘Uvea and ‘Upolu) and 0.9 mm d</w:t>
      </w:r>
      <w:r w:rsidRPr="007210CB">
        <w:rPr>
          <w:rFonts w:ascii="Garamond" w:hAnsi="Garamond"/>
          <w:color w:val="202020"/>
          <w:shd w:val="clear" w:color="auto" w:fill="FFFFFF"/>
          <w:vertAlign w:val="superscript"/>
        </w:rPr>
        <w:t>−</w:t>
      </w:r>
      <w:r w:rsidRPr="007210CB">
        <w:rPr>
          <w:rFonts w:ascii="Garamond" w:hAnsi="Garamond"/>
          <w:vertAlign w:val="superscript"/>
        </w:rPr>
        <w:t xml:space="preserve">1 </w:t>
      </w:r>
      <w:r w:rsidRPr="007210CB">
        <w:rPr>
          <w:rFonts w:ascii="Garamond" w:hAnsi="Garamond"/>
        </w:rPr>
        <w:t>(Efate) (not shown) (</w:t>
      </w:r>
      <w:r w:rsidRPr="007210CB">
        <w:rPr>
          <w:rFonts w:ascii="Garamond" w:hAnsi="Garamond"/>
          <w:b/>
          <w:bCs/>
        </w:rPr>
        <w:t>Table A.1</w:t>
      </w:r>
      <w:r w:rsidRPr="007210CB">
        <w:rPr>
          <w:rFonts w:ascii="Garamond" w:hAnsi="Garamond"/>
        </w:rPr>
        <w:t xml:space="preserve">). (B) The same data for the 1950 to 2017 period with 3.5-year running mean gridded GPCP precipitation time series shown as thin black lines (3.5 years is the average accumulation time represented by each sample that overlaps with gridded GPCP data). Thin error bars represent age model uncertainty (x axis) and analytical uncertainty of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dinosterol</w:t>
      </w:r>
      <w:r w:rsidRPr="007210CB">
        <w:rPr>
          <w:rFonts w:ascii="Garamond" w:hAnsi="Garamond"/>
        </w:rPr>
        <w:t xml:space="preserve"> values (y axis); thick horizontal bars represent the time integrated by each sample (1 to 8 years). The thick vertical green bar represents the average reconstructed precipitation rate error (</w:t>
      </w:r>
      <w:r w:rsidRPr="007210CB">
        <w:rPr>
          <w:rFonts w:ascii="Garamond" w:hAnsi="Garamond"/>
        </w:rPr>
        <w:sym w:font="Symbol" w:char="F0B1"/>
      </w:r>
      <w:r w:rsidRPr="007210CB">
        <w:rPr>
          <w:rFonts w:ascii="Garamond" w:hAnsi="Garamond"/>
        </w:rPr>
        <w:t xml:space="preserve"> 2.2 mm d</w:t>
      </w:r>
      <w:r w:rsidRPr="007210CB">
        <w:rPr>
          <w:rFonts w:ascii="Garamond" w:hAnsi="Garamond"/>
          <w:color w:val="202020"/>
          <w:shd w:val="clear" w:color="auto" w:fill="FFFFFF"/>
          <w:vertAlign w:val="superscript"/>
        </w:rPr>
        <w:t>−</w:t>
      </w:r>
      <w:r w:rsidRPr="007210CB">
        <w:rPr>
          <w:rFonts w:ascii="Garamond" w:hAnsi="Garamond"/>
          <w:vertAlign w:val="superscript"/>
        </w:rPr>
        <w:t>1</w:t>
      </w:r>
      <w:r w:rsidRPr="007210CB">
        <w:rPr>
          <w:rFonts w:ascii="Garamond" w:hAnsi="Garamond"/>
        </w:rPr>
        <w:t>), and the thin green vertical bar represents the average GPCP precipitation rate error (</w:t>
      </w:r>
      <w:r w:rsidRPr="007210CB">
        <w:rPr>
          <w:rFonts w:ascii="Garamond" w:hAnsi="Garamond"/>
        </w:rPr>
        <w:sym w:font="Symbol" w:char="F0B1"/>
      </w:r>
      <w:r w:rsidRPr="007210CB">
        <w:rPr>
          <w:rFonts w:ascii="Garamond" w:hAnsi="Garamond"/>
        </w:rPr>
        <w:t xml:space="preserve"> 1.2 mm d</w:t>
      </w:r>
      <w:r w:rsidRPr="007210CB">
        <w:rPr>
          <w:rFonts w:ascii="Garamond" w:hAnsi="Garamond"/>
          <w:color w:val="202020"/>
          <w:shd w:val="clear" w:color="auto" w:fill="FFFFFF"/>
          <w:vertAlign w:val="superscript"/>
        </w:rPr>
        <w:t>−</w:t>
      </w:r>
      <w:r w:rsidRPr="007210CB">
        <w:rPr>
          <w:rFonts w:ascii="Garamond" w:hAnsi="Garamond"/>
          <w:vertAlign w:val="superscript"/>
        </w:rPr>
        <w:t>1</w:t>
      </w:r>
      <w:r w:rsidRPr="007210CB">
        <w:rPr>
          <w:rFonts w:ascii="Garamond" w:hAnsi="Garamond"/>
        </w:rPr>
        <w:t xml:space="preserve">).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dinosterol</w:t>
      </w:r>
      <w:r w:rsidRPr="007210CB">
        <w:rPr>
          <w:rFonts w:ascii="Garamond" w:hAnsi="Garamond"/>
        </w:rPr>
        <w:t xml:space="preserve"> records from Lake Lanoto’o and Lake Emaotul from </w:t>
      </w:r>
      <w:r w:rsidRPr="007210CB">
        <w:rPr>
          <w:rFonts w:ascii="Garamond" w:hAnsi="Garamond"/>
        </w:rPr>
        <w:fldChar w:fldCharType="begin" w:fldLock="1"/>
      </w:r>
      <w:r w:rsidRPr="007210CB">
        <w:rPr>
          <w:rFonts w:ascii="Garamond" w:hAnsi="Garamond"/>
        </w:rPr>
        <w:instrText>ADDIN CSL_CITATION {"citationItems":[{"id":"ITEM-1","itemData":{"DOI":"10.1073/pnas.1920975117","ISSN":"10916490","PMID":"32253300","abstract":"The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America","id":"ITEM-1","issue":"16","issued":{"date-parts":[["2020"]]},"page":"8813-8819","title":"Human settlement of East Polynesia earlier, incremental, and coincident with prolonged South Pacific drought","type":"article-journal","volume":"117"},"uris":["http://www.mendeley.com/documents/?uuid=5e4a7b40-a602-4fa6-8dd7-b9d6ae8d7f06"]}],"mendeley":{"formattedCitation":"(Sear et al., 2020)","manualFormatting":"Sear et al. (2020)","plainTextFormattedCitation":"(Sear et al., 2020)","previouslyFormattedCitation":"(Sear et al., 2020)"},"properties":{"noteIndex":0},"schema":"https://github.com/citation-style-language/schema/raw/master/csl-citation.json"}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Sear et al. (2020)</w:t>
      </w:r>
      <w:r w:rsidRPr="007210CB">
        <w:rPr>
          <w:rFonts w:ascii="Garamond" w:hAnsi="Garamond"/>
        </w:rPr>
        <w:fldChar w:fldCharType="end"/>
      </w:r>
      <w:r w:rsidRPr="007210CB">
        <w:rPr>
          <w:rFonts w:ascii="Garamond" w:hAnsi="Garamond"/>
        </w:rPr>
        <w:t xml:space="preserve">; core top samples are from multiple core tops </w:t>
      </w:r>
      <w:r w:rsidRPr="007210CB">
        <w:rPr>
          <w:rFonts w:ascii="Garamond" w:hAnsi="Garamond"/>
        </w:rPr>
        <w:fldChar w:fldCharType="begin" w:fldLock="1"/>
      </w:r>
      <w:r w:rsidRPr="007210CB">
        <w:rPr>
          <w:rFonts w:ascii="Garamond" w:hAnsi="Garamond"/>
        </w:rPr>
        <w:instrText>ADDIN CSL_CITATION {"citationItems":[{"id":"ITEM-1","itemData":{"DOI":"10.1016/j.gca.2018.10.028","ISSN":"0016-7037","author":[{"dropping-particle":"","family":"Maloney","given":"Ashley E","non-dropping-particle":"","parse-names":false,"suffix":""},{"dropping-particle":"","family":"Nelson","given":"Daniel B","non-dropping-particle":"","parse-names":false,"suffix":""},{"dropping-particle":"","family":"Richey","given":"Julie N","non-dropping-particle":"","parse-names":false,"suffix":""},{"dropping-particle":"","family":"Prebble","given":"Matthew","non-dropping-particle":"","parse-names":false,"suffix":""},{"dropping-particle":"","family":"Sear","given":"David A","non-dropping-particle":"","parse-names":false,"suffix":""},{"dropping-particle":"","family":"Hassall","given":"Jonathan D","non-dropping-particle":"","parse-names":false,"suffix":""},{"dropping-particle":"","family":"Langdon","given":"Peter G","non-dropping-particle":"","parse-names":false,"suffix":""},{"dropping-particle":"","family":"Croudace","given":"Ian W","non-dropping-particle":"","parse-names":false,"suffix":""},{"dropping-particle":"","family":"Zawadzki","given":"Atun","non-dropping-particle":"","parse-names":false,"suffix":""},{"dropping-particle":"","family":"Sachs","given":"Julian P","non-dropping-particle":"","parse-names":false,"suffix":""}],"container-title":"Geochimica et Cosmochimica Acta","id":"ITEM-1","issued":{"date-parts":[["2019"]]},"page":"190-206","publisher":"Elsevier Ltd","title":"Reconstructing precipitation in the tropical South Pacific from dinosterol 2H/1H ratios in lake sediment","type":"article-journal","volume":"245"},"uris":["http://www.mendeley.com/documents/?uuid=c7ab851f-4ac6-4a60-a0db-daaa3baed28f"]}],"mendeley":{"formattedCitation":"(Maloney et al., 2019)","plainTextFormattedCitation":"(Maloney et al., 2019)","previouslyFormattedCitation":"(Maloney et al., 2019)"},"properties":{"noteIndex":0},"schema":"https://github.com/citation-style-language/schema/raw/master/csl-citation.json"}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(Maloney et al., 2019)</w:t>
      </w:r>
      <w:r w:rsidRPr="007210CB">
        <w:rPr>
          <w:rFonts w:ascii="Garamond" w:hAnsi="Garamond"/>
        </w:rPr>
        <w:fldChar w:fldCharType="end"/>
      </w:r>
      <w:r w:rsidRPr="007210CB">
        <w:rPr>
          <w:rFonts w:ascii="Garamond" w:hAnsi="Garamond"/>
        </w:rPr>
        <w:t>.</w:t>
      </w:r>
    </w:p>
    <w:p w14:paraId="37B24D6C" w14:textId="6CBC4BDC" w:rsidR="007210CB" w:rsidRPr="007210CB" w:rsidRDefault="007210CB" w:rsidP="007210CB">
      <w:pPr>
        <w:spacing w:line="480" w:lineRule="auto"/>
        <w:rPr>
          <w:rFonts w:ascii="Garamond" w:hAnsi="Garamond"/>
        </w:rPr>
      </w:pPr>
    </w:p>
    <w:p w14:paraId="3A04F908" w14:textId="77777777" w:rsidR="007210CB" w:rsidRPr="007210CB" w:rsidRDefault="007210CB" w:rsidP="007210CB">
      <w:pPr>
        <w:spacing w:line="480" w:lineRule="auto"/>
        <w:rPr>
          <w:rFonts w:ascii="Garamond" w:hAnsi="Garamond"/>
        </w:rPr>
      </w:pPr>
      <w:r w:rsidRPr="007210CB">
        <w:rPr>
          <w:rFonts w:ascii="Garamond" w:hAnsi="Garamond"/>
          <w:b/>
          <w:bCs/>
        </w:rPr>
        <w:t xml:space="preserve">Figure 6. </w:t>
      </w:r>
      <w:r w:rsidRPr="007210CB">
        <w:rPr>
          <w:rFonts w:ascii="Garamond" w:hAnsi="Garamond"/>
          <w:bCs/>
        </w:rPr>
        <w:t xml:space="preserve">Comparison of Lac Lanutavake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dinosterol</w:t>
      </w:r>
      <w:r w:rsidRPr="007210CB">
        <w:rPr>
          <w:rFonts w:ascii="Garamond" w:hAnsi="Garamond"/>
        </w:rPr>
        <w:t xml:space="preserve"> and </w:t>
      </w:r>
      <w:r w:rsidRPr="007210CB">
        <w:rPr>
          <w:rFonts w:ascii="Garamond" w:hAnsi="Garamond"/>
          <w:bCs/>
        </w:rPr>
        <w:t>magnetic susceptibility records to the</w:t>
      </w:r>
      <w:r w:rsidRPr="007210CB">
        <w:rPr>
          <w:rFonts w:ascii="Garamond" w:hAnsi="Garamond"/>
          <w:b/>
          <w:bCs/>
        </w:rPr>
        <w:t xml:space="preserve"> </w:t>
      </w:r>
      <w:r w:rsidRPr="007210CB">
        <w:rPr>
          <w:rFonts w:ascii="Garamond" w:hAnsi="Garamond"/>
        </w:rPr>
        <w:t xml:space="preserve">SPCZ Index, biomarker records, and a runoff record from the southwestern Pacific. Values at the top of each panel </w:t>
      </w:r>
      <w:r w:rsidRPr="007210CB">
        <w:rPr>
          <w:rFonts w:ascii="Garamond" w:hAnsi="Garamond"/>
        </w:rPr>
        <w:lastRenderedPageBreak/>
        <w:t xml:space="preserve">(more negative isotope values, higher magnetic susceptibility values, and natural logarithm ratios closer to zero) indicate periods of relatively higher precipitation. (A) A 50-year gaussian filter applied to the SPCZ index (dotted black line </w:t>
      </w:r>
      <w:r w:rsidRPr="007210CB">
        <w:rPr>
          <w:rFonts w:ascii="Garamond" w:hAnsi="Garamond"/>
        </w:rPr>
        <w:fldChar w:fldCharType="begin" w:fldLock="1"/>
      </w:r>
      <w:r w:rsidRPr="007210CB">
        <w:rPr>
          <w:rFonts w:ascii="Garamond" w:hAnsi="Garamond"/>
        </w:rPr>
        <w:instrText>ADDIN CSL_CITATION {"citationItems":[{"id":"ITEM-1","itemData":{"DOI":"10.1007/s00382-013-2035-y","ISSN":"14320894","abstract":"Quality controlled and recently homogenised mean sea level pressure records for the South Pacific are used to specify the location and variability of the South Pacific convergence zone (SPCZ) during the austral warm season (November-April). The SPCZ is the world's largest rainfall band during the austral summer, when it dominates the climate of the South Pacific. A new index called the South Pacific convergence zone index (SPCZI) is derived, and is shown to be coherent with changes in low level wind convergence associated with the SPCZ. This index replaces the earlier SPCZ position index because it uses higher quality mean sea level pressure data than the superseded index and extends the time series further forward in time. The SPCZI allows interannual to decadal variability in the climate of the South Pacific to be tracked for more than a century from 1910/1911 to 2011/2012. During El Niño episodes the SPCZ is displaced by about 1°-3° east, and La Niña events 1°-3° west of the mean position on average. The index indicates a striking movement eastward for the period 1977/78-1998/99, compared with 1944/45-1976/77 in association with the Interdecadal Pacific oscillation (IPO). The eastward movement of the SPCZ in the late twentieth century is related to significant precipitation trends in the South Pacific region. Since 1998/99 the SPCZ has regressed westward with the negative phase change of the IPO. The long-term trend in the SPCZI is very small relative to the interannual to decadal variability and is not statistically significant, suggesting that there has been little overall change in the mean position of the SPCZ over the past century. © 2014 Springer-Verlag Berlin Heidelberg.","author":[{"dropping-particle":"","family":"Salinger","given":"M J","non-dropping-particle":"","parse-names":false,"suffix":""},{"dropping-particle":"","family":"McGree","given":"Simon","non-dropping-particle":"","parse-names":false,"suffix":""},{"dropping-particle":"","family":"Beucher","given":"Florent","non-dropping-particle":"","parse-names":false,"suffix":""},{"dropping-particle":"","family":"Power","given":"Scott B.","non-dropping-particle":"","parse-names":false,"suffix":""},{"dropping-particle":"","family":"Delage","given":"François","non-dropping-particle":"","parse-names":false,"suffix":""}],"container-title":"Climate Dynamics","id":"ITEM-1","issue":"3-4","issued":{"date-parts":[["2014"]]},"page":"881-892","title":"A new index for variations in the position of the South Pacific convergence zone 1910/11-2011/2012","type":"article-journal","volume":"43"},"uris":["http://www.mendeley.com/documents/?uuid=d3d1814c-f84e-4d8e-8c94-d6f1575dee2b"]}],"mendeley":{"formattedCitation":"(Salinger et al., 2014)","manualFormatting":"Salinger et al., 2014)","plainTextFormattedCitation":"(Salinger et al., 2014)","previouslyFormattedCitation":"(Salinger et al., 2014)"},"properties":{"noteIndex":0},"schema":"https://github.com/citation-style-language/schema/raw/master/csl-citation.json"}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Salinger et al., 2014)</w:t>
      </w:r>
      <w:r w:rsidRPr="007210CB">
        <w:rPr>
          <w:rFonts w:ascii="Garamond" w:hAnsi="Garamond"/>
        </w:rPr>
        <w:fldChar w:fldCharType="end"/>
      </w:r>
      <w:r w:rsidRPr="007210CB">
        <w:rPr>
          <w:rFonts w:ascii="Garamond" w:hAnsi="Garamond"/>
        </w:rPr>
        <w:t xml:space="preserve"> and the SPCZ index reconstructed from tree rings </w:t>
      </w:r>
      <w:r w:rsidRPr="007210CB">
        <w:rPr>
          <w:rFonts w:ascii="Garamond" w:hAnsi="Garamond"/>
        </w:rPr>
        <w:fldChar w:fldCharType="begin" w:fldLock="1"/>
      </w:r>
      <w:r w:rsidRPr="007210CB">
        <w:rPr>
          <w:rFonts w:ascii="Garamond" w:hAnsi="Garamond"/>
        </w:rPr>
        <w:instrText>ADDIN CSL_CITATION {"citationItems":[{"id":"ITEM-1","itemData":{"DOI":"10.1029/2020GL088238","ISSN":"19448007","abstract":"The South Pacific Convergence Zone (SPCZ) is the largest rain belt in the Southern Hemisphere and a key driver of precipitation variability, impacting South Pacific island communities. Our millennial-long reconstruction is based on a trans-Pacific tree-ring network, containing chronologies sensitive to changes in the SPCZ because of its pervasive nature, spatial extent, and link to the El Niño-Southern Oscillation. The reconstruction explains 58% of variance in the instrumental SPCZ index from 1911–1998. El Niño-Southern Oscillation cycles are identified throughout the reconstruction period. Multidecadal periodicities wax and wane, coinciding with a sustained eastward shift during the Medieval Climate Anomaly (~1,000–1,200 CE). We find large volcanic eruptions increased the tendency for the SPCZ to be displaced eastward. The reconstruction helps improve our understanding of past hydroclimatic behavior in the southwest Pacific and can be used to validate general circulation model projections for Pacific Island communities and the wider region in the 21st century.","author":[{"dropping-particle":"","family":"Higgins","given":"P A","non-dropping-particle":"","parse-names":false,"suffix":""},{"dropping-particle":"","family":"Palmer","given":"J. G.","non-dropping-particle":"","parse-names":false,"suffix":""},{"dropping-particle":"","family":"Turney","given":"C. S.M.","non-dropping-particle":"","parse-names":false,"suffix":""},{"dropping-particle":"","family":"Andersen","given":"M. S.","non-dropping-particle":"","parse-names":false,"suffix":""},{"dropping-particle":"","family":"Cook","given":"E. R.","non-dropping-particle":"","parse-names":false,"suffix":""}],"container-title":"Geophysical Research Letters","id":"ITEM-1","issued":{"date-parts":[["2020"]]},"page":"e2020GL088238","title":"One thousand three hundred years of variability in the position of the South Pacific Convergence Zone","type":"article-journal","volume":"47"},"uris":["http://www.mendeley.com/documents/?uuid=1532bca4-feb9-442d-8a22-59249f912eff"]}],"mendeley":{"formattedCitation":"(Higgins et al., 2020)","manualFormatting":"(teal and gold segments, Higgins et al., 2020)","plainTextFormattedCitation":"(Higgins et al., 2020)","previouslyFormattedCitation":"(Higgins et al., 2020)"},"properties":{"noteIndex":0},"schema":"https://github.com/citation-style-language/schema/raw/master/csl-citation.json"}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(teal and gold segments, Higgins et al., 2020)</w:t>
      </w:r>
      <w:r w:rsidRPr="007210CB">
        <w:rPr>
          <w:rFonts w:ascii="Garamond" w:hAnsi="Garamond"/>
        </w:rPr>
        <w:fldChar w:fldCharType="end"/>
      </w:r>
      <w:r w:rsidRPr="007210CB">
        <w:rPr>
          <w:rFonts w:ascii="Garamond" w:hAnsi="Garamond"/>
        </w:rPr>
        <w:t xml:space="preserve"> reflects the relative position of the SPCZ (note inverted axis), (B)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wax</w:t>
      </w:r>
      <w:r w:rsidRPr="007210CB">
        <w:rPr>
          <w:rFonts w:ascii="Garamond" w:hAnsi="Garamond"/>
        </w:rPr>
        <w:t xml:space="preserve"> from C</w:t>
      </w:r>
      <w:r w:rsidRPr="007210CB">
        <w:rPr>
          <w:rFonts w:ascii="Garamond" w:hAnsi="Garamond"/>
          <w:vertAlign w:val="subscript"/>
        </w:rPr>
        <w:t>30</w:t>
      </w:r>
      <w:r w:rsidRPr="007210CB">
        <w:rPr>
          <w:rFonts w:ascii="Garamond" w:hAnsi="Garamond"/>
        </w:rPr>
        <w:t xml:space="preserve"> </w:t>
      </w:r>
      <w:r w:rsidRPr="007210CB">
        <w:rPr>
          <w:rFonts w:ascii="Garamond" w:hAnsi="Garamond"/>
          <w:i/>
          <w:iCs/>
        </w:rPr>
        <w:t>n</w:t>
      </w:r>
      <w:r w:rsidRPr="007210CB">
        <w:rPr>
          <w:rFonts w:ascii="Garamond" w:hAnsi="Garamond"/>
        </w:rPr>
        <w:t xml:space="preserve">-alkanoic acid from terrestrial leaf wax inputs measured in marine sediments from the W. Sulawesi margin of Indonesia </w:t>
      </w:r>
      <w:r w:rsidRPr="007210CB">
        <w:rPr>
          <w:rFonts w:ascii="Garamond" w:hAnsi="Garamond"/>
        </w:rPr>
        <w:fldChar w:fldCharType="begin" w:fldLock="1"/>
      </w:r>
      <w:r w:rsidRPr="007210CB">
        <w:rPr>
          <w:rFonts w:ascii="Garamond" w:hAnsi="Garamond"/>
        </w:rPr>
        <w:instrText>ADDIN CSL_CITATION {"citationItems":[{"id":"ITEM-1","itemData":{"DOI":"10.1029/2009PA001871","ISBN":"0883-8305","ISSN":"19449186","abstract":"Instrumental data suggest that major shifts in tropical Pacific atmospheric dynamics and hydrology have occurred within the past century, potentially in response to anthropogenic warming. To better understand these trends, we use the hydrogen isotopic ratios of terrestrial higher plant leaf waxes (dDwax) in marine sediments from southwest Sulawesi, Indonesia, to compile a detailed reconstruction of central Indo</w:instrText>
      </w:r>
      <w:r w:rsidRPr="007210CB">
        <w:rPr>
          <w:rFonts w:ascii="Cambria Math" w:hAnsi="Cambria Math" w:cs="Cambria Math"/>
        </w:rPr>
        <w:instrText>‐</w:instrText>
      </w:r>
      <w:r w:rsidRPr="007210CB">
        <w:rPr>
          <w:rFonts w:ascii="Garamond" w:hAnsi="Garamond"/>
        </w:rPr>
        <w:instrText>Pacific Warm Pool (IPWP) hydrologic variability spanning most of the last two millennia. Our paleodata are highly correlated with a monsoon reconstruction from Southeast Asia, indicating that intervals of strong East Asian summer monsoon (EASM) activity are associated with a weaker Indonesian monsoon (IM). Furthermore, the centennial</w:instrText>
      </w:r>
      <w:r w:rsidRPr="007210CB">
        <w:rPr>
          <w:rFonts w:ascii="Cambria Math" w:hAnsi="Cambria Math" w:cs="Cambria Math"/>
        </w:rPr>
        <w:instrText>‐</w:instrText>
      </w:r>
      <w:r w:rsidRPr="007210CB">
        <w:rPr>
          <w:rFonts w:ascii="Garamond" w:hAnsi="Garamond"/>
        </w:rPr>
        <w:instrText>scale oscillations in our data follow known changes in Northern Hemisphere climate (e.g., the Little Ice Age and Medieval Warm Period) implying a dynamic link between Northern Hemisphere temperatures and IPWP hydrology. The inverse relationship between the EASM and IM suggests that migrations of the Intertropical Convergence Zone and associated changes in monsoon strength caused synoptic hydrologic shifts in the IPWP throughout most of the past two millennia.","author":[{"dropping-particle":"","family":"Tierney","given":"Jessica E","non-dropping-particle":"","parse-names":false,"suffix":""},{"dropping-particle":"","family":"Oppo","given":"Delia W","non-dropping-particle":"","parse-names":false,"suffix":""},{"dropping-particle":"","family":"Rosenthal","given":"Yair","non-dropping-particle":"","parse-names":false,"suffix":""},{"dropping-particle":"","family":"Russell","given":"James M","non-dropping-particle":"","parse-names":false,"suffix":""},{"dropping-particle":"","family":"Linsley","given":"Braddock K","non-dropping-particle":"","parse-names":false,"suffix":""}],"container-title":"Paleoceanography","id":"ITEM-1","issue":"1","issued":{"date-parts":[["2010"]]},"page":"1-7","title":"Coordinated hydrological regimes in the Indo-Pacific region during the past two millennia","type":"article-journal","volume":"25"},"uris":["http://www.mendeley.com/documents/?uuid=d4da5293-580b-47d1-8817-ec1915c8722f"]}],"mendeley":{"formattedCitation":"(Tierney et al., 2010)","plainTextFormattedCitation":"(Tierney et al., 2010)","previouslyFormattedCitation":"(Tierney et al., 2010)"},"properties":{"noteIndex":0},"schema":"https://github.com/citation-style-language/schema/raw/master/csl-citation.json"}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(Tierney et al., 2010)</w:t>
      </w:r>
      <w:r w:rsidRPr="007210CB">
        <w:rPr>
          <w:rFonts w:ascii="Garamond" w:hAnsi="Garamond"/>
        </w:rPr>
        <w:fldChar w:fldCharType="end"/>
      </w:r>
      <w:r w:rsidRPr="007210CB">
        <w:rPr>
          <w:rFonts w:ascii="Garamond" w:hAnsi="Garamond"/>
        </w:rPr>
        <w:t xml:space="preserve">, (C)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wax</w:t>
      </w:r>
      <w:r w:rsidRPr="007210CB">
        <w:rPr>
          <w:rFonts w:ascii="Garamond" w:hAnsi="Garamond"/>
        </w:rPr>
        <w:t xml:space="preserve"> from C</w:t>
      </w:r>
      <w:r w:rsidRPr="007210CB">
        <w:rPr>
          <w:rFonts w:ascii="Garamond" w:hAnsi="Garamond"/>
          <w:vertAlign w:val="subscript"/>
        </w:rPr>
        <w:t>28</w:t>
      </w:r>
      <w:r w:rsidRPr="007210CB">
        <w:rPr>
          <w:rFonts w:ascii="Garamond" w:hAnsi="Garamond"/>
        </w:rPr>
        <w:t xml:space="preserve"> </w:t>
      </w:r>
      <w:r w:rsidRPr="007210CB">
        <w:rPr>
          <w:rFonts w:ascii="Garamond" w:hAnsi="Garamond"/>
          <w:i/>
          <w:iCs/>
        </w:rPr>
        <w:t>n</w:t>
      </w:r>
      <w:r w:rsidRPr="007210CB">
        <w:rPr>
          <w:rFonts w:ascii="Garamond" w:hAnsi="Garamond"/>
        </w:rPr>
        <w:t xml:space="preserve">-alkanoic acid from terrestrial leaf wax inputs measured in Lake Lading sediment </w:t>
      </w:r>
      <w:r w:rsidRPr="007210CB">
        <w:rPr>
          <w:rFonts w:ascii="Garamond" w:hAnsi="Garamond"/>
        </w:rPr>
        <w:fldChar w:fldCharType="begin" w:fldLock="1"/>
      </w:r>
      <w:r w:rsidRPr="007210CB">
        <w:rPr>
          <w:rFonts w:ascii="Garamond" w:hAnsi="Garamond"/>
        </w:rPr>
        <w:instrText>ADDIN CSL_CITATION {"citationItems":[{"id":"ITEM-1","itemData":{"DOI":"10.1029/2012GL054331","ISSN":"00948276","abstract":"Modern precipitation in Indonesia is strongly correlated to variations in the Asian/Australasian monsoons, the Walker circulation, and migrations of the Intertropical Convergence Zone (ITCZ), but controls on multidecadal to millennial rainfall variations are less clear. We present a new, highresolution, precipitation proxy reconstruction from Lake Lading (8°S, 113°E), Java, from 850 Common Era (C.E.) to present, based on the δD of terrestrial plant waxes. We find that rainfall has steadily increased in Java over the past millennium. This increase persists into the twentieth century despite evidence from other tropical proxy records for a northward ITCZ migration during the last two centuries, which should introduce drier conditions to Java. Aspects of this long-term increase in rainfall resemble records from the Northern Hemisphere, tropical Indo-Pacific, suggesting that strengthening Walker circulation played an important role in this long-term increase in rainfall and decrease in the δD of precipitation, while ITCZ variations may have been important to climate variations on multidecadal to centennial timescales. © 2013. American Geophysical Union. All Rights Reserved.","author":[{"dropping-particle":"","family":"Konecky","given":"Bronwen Louise","non-dropping-particle":"","parse-names":false,"suffix":""},{"dropping-particle":"","family":"Russell","given":"James M.","non-dropping-particle":"","parse-names":false,"suffix":""},{"dropping-particle":"","family":"Rodysill","given":"Jessica R.","non-dropping-particle":"","parse-names":false,"suffix":""},{"dropping-particle":"","family":"Vuille","given":"Mathias","non-dropping-particle":"","parse-names":false,"suffix":""},{"dropping-particle":"","family":"Bijaksana","given":"Satria","non-dropping-particle":"","parse-names":false,"suffix":""},{"dropping-particle":"","family":"Huang","given":"Yongsong","non-dropping-particle":"","parse-names":false,"suffix":""}],"container-title":"Geophysical Research Letters","id":"ITEM-1","issue":"2","issued":{"date-parts":[["2013"]]},"page":"386-391","title":"Intensification of southwestern Indonesian rainfall over the past millennium","type":"article-journal","volume":"40"},"uris":["http://www.mendeley.com/documents/?uuid=03668741-de0c-46f1-8ba3-01f0fecebaa9"]}],"mendeley":{"formattedCitation":"(Konecky et al., 2013)","plainTextFormattedCitation":"(Konecky et al., 2013)","previouslyFormattedCitation":"(Konecky et al., 2013)"},"properties":{"noteIndex":0},"schema":"https://github.com/citation-style-language/schema/raw/master/csl-citation.json"}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(Konecky et al., 2013)</w:t>
      </w:r>
      <w:r w:rsidRPr="007210CB">
        <w:rPr>
          <w:rFonts w:ascii="Garamond" w:hAnsi="Garamond"/>
        </w:rPr>
        <w:fldChar w:fldCharType="end"/>
      </w:r>
      <w:r w:rsidRPr="007210CB">
        <w:rPr>
          <w:rFonts w:ascii="Garamond" w:hAnsi="Garamond"/>
        </w:rPr>
        <w:t>, (E) XRF ln(</w:t>
      </w:r>
      <w:proofErr w:type="spellStart"/>
      <w:r w:rsidRPr="007210CB">
        <w:rPr>
          <w:rFonts w:ascii="Garamond" w:hAnsi="Garamond"/>
        </w:rPr>
        <w:t>Ti</w:t>
      </w:r>
      <w:proofErr w:type="spellEnd"/>
      <w:r w:rsidRPr="007210CB">
        <w:rPr>
          <w:rFonts w:ascii="Garamond" w:hAnsi="Garamond"/>
        </w:rPr>
        <w:t xml:space="preserve">/Ca) runoff record (gold) with a 100-yr low pass filter (dark gold) from </w:t>
      </w:r>
      <w:proofErr w:type="spellStart"/>
      <w:r w:rsidRPr="007210CB">
        <w:rPr>
          <w:rFonts w:ascii="Garamond" w:hAnsi="Garamond"/>
        </w:rPr>
        <w:t>Apu</w:t>
      </w:r>
      <w:proofErr w:type="spellEnd"/>
      <w:r w:rsidRPr="007210CB">
        <w:rPr>
          <w:rFonts w:ascii="Garamond" w:hAnsi="Garamond"/>
        </w:rPr>
        <w:t xml:space="preserve"> Bay off the island of </w:t>
      </w:r>
      <w:proofErr w:type="spellStart"/>
      <w:r w:rsidRPr="007210CB">
        <w:rPr>
          <w:rFonts w:ascii="Garamond" w:hAnsi="Garamond"/>
        </w:rPr>
        <w:t>Tahaa</w:t>
      </w:r>
      <w:proofErr w:type="spellEnd"/>
      <w:r w:rsidRPr="007210CB">
        <w:rPr>
          <w:rFonts w:ascii="Garamond" w:hAnsi="Garamond"/>
        </w:rPr>
        <w:t xml:space="preserve"> in French Polynesia (Toomey et al., 2016), (D)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wax</w:t>
      </w:r>
      <w:r w:rsidRPr="007210CB">
        <w:rPr>
          <w:rFonts w:ascii="Garamond" w:hAnsi="Garamond"/>
        </w:rPr>
        <w:t xml:space="preserve"> from C</w:t>
      </w:r>
      <w:r w:rsidRPr="007210CB">
        <w:rPr>
          <w:rFonts w:ascii="Garamond" w:hAnsi="Garamond"/>
          <w:vertAlign w:val="subscript"/>
        </w:rPr>
        <w:t>26</w:t>
      </w:r>
      <w:r w:rsidRPr="007210CB">
        <w:rPr>
          <w:rFonts w:ascii="Garamond" w:hAnsi="Garamond"/>
        </w:rPr>
        <w:t xml:space="preserve"> </w:t>
      </w:r>
      <w:r w:rsidRPr="007210CB">
        <w:rPr>
          <w:rFonts w:ascii="Garamond" w:hAnsi="Garamond"/>
          <w:i/>
          <w:iCs/>
        </w:rPr>
        <w:t>n</w:t>
      </w:r>
      <w:r w:rsidRPr="007210CB">
        <w:rPr>
          <w:rFonts w:ascii="Garamond" w:hAnsi="Garamond"/>
        </w:rPr>
        <w:t xml:space="preserve">-alkanoic acid from terrestrial leaf wax inputs measured in Lake </w:t>
      </w:r>
      <w:proofErr w:type="spellStart"/>
      <w:r w:rsidRPr="007210CB">
        <w:rPr>
          <w:rFonts w:ascii="Garamond" w:hAnsi="Garamond"/>
        </w:rPr>
        <w:t>Te</w:t>
      </w:r>
      <w:proofErr w:type="spellEnd"/>
      <w:r w:rsidRPr="007210CB">
        <w:rPr>
          <w:rFonts w:ascii="Garamond" w:hAnsi="Garamond"/>
        </w:rPr>
        <w:t xml:space="preserve"> Roto sediment </w:t>
      </w:r>
      <w:r w:rsidRPr="007210CB">
        <w:rPr>
          <w:rFonts w:ascii="Garamond" w:hAnsi="Garamond"/>
        </w:rPr>
        <w:fldChar w:fldCharType="begin" w:fldLock="1"/>
      </w:r>
      <w:r w:rsidRPr="007210CB">
        <w:rPr>
          <w:rFonts w:ascii="Garamond" w:hAnsi="Garamond"/>
        </w:rPr>
        <w:instrText>ADDIN CSL_CITATION {"citationItems":[{"id":"ITEM-1","itemData":{"DOI":"10.1073/pnas.1920975117","ISSN":"10916490","PMID":"32253300","abstract":"The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America","id":"ITEM-1","issue":"16","issued":{"date-parts":[["2020"]]},"page":"8813-8819","title":"Human settlement of East Polynesia earlier, incremental, and coincident with prolonged South Pacific drought","type":"article-journal","volume":"117"},"uris":["http://www.mendeley.com/documents/?uuid=5e4a7b40-a602-4fa6-8dd7-b9d6ae8d7f06"]}],"mendeley":{"formattedCitation":"(Sear et al., 2020)","plainTextFormattedCitation":"(Sear et al., 2020)","previouslyFormattedCitation":"(Sear et al., 2020)"},"properties":{"noteIndex":0},"schema":"https://github.com/citation-style-language/schema/raw/master/csl-citation.json"}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(Sear et al., 2020)</w:t>
      </w:r>
      <w:r w:rsidRPr="007210CB">
        <w:rPr>
          <w:rFonts w:ascii="Garamond" w:hAnsi="Garamond"/>
        </w:rPr>
        <w:fldChar w:fldCharType="end"/>
      </w:r>
      <w:r w:rsidRPr="007210CB">
        <w:rPr>
          <w:rFonts w:ascii="Garamond" w:hAnsi="Garamond"/>
        </w:rPr>
        <w:t xml:space="preserve">. (F) Lac Lanutavake UC1 and UC4 magnetic susceptibility (not available for the uppermost material sectioned in the field) and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dinosterol</w:t>
      </w:r>
      <w:r w:rsidRPr="007210CB">
        <w:rPr>
          <w:rFonts w:ascii="Garamond" w:hAnsi="Garamond"/>
        </w:rPr>
        <w:t xml:space="preserve"> (G) records from ‘Uvea (this study), and </w:t>
      </w:r>
      <w:r w:rsidRPr="007210CB">
        <w:rPr>
          <w:rFonts w:ascii="Garamond" w:hAnsi="Garamond"/>
        </w:rPr>
        <w:sym w:font="Symbol" w:char="F064"/>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dinosterol</w:t>
      </w:r>
      <w:r w:rsidRPr="007210CB">
        <w:rPr>
          <w:rFonts w:ascii="Garamond" w:hAnsi="Garamond"/>
        </w:rPr>
        <w:t xml:space="preserve"> records from Samoa </w:t>
      </w:r>
      <w:r w:rsidRPr="007210CB">
        <w:rPr>
          <w:rFonts w:ascii="Garamond" w:hAnsi="Garamond"/>
        </w:rPr>
        <w:fldChar w:fldCharType="begin" w:fldLock="1"/>
      </w:r>
      <w:r w:rsidRPr="007210CB">
        <w:rPr>
          <w:rFonts w:ascii="Garamond" w:hAnsi="Garamond"/>
        </w:rPr>
        <w:instrText>ADDIN CSL_CITATION {"citationItems":[{"id":"ITEM-1","itemData":{"DOI":"10.1073/pnas.1920975117","ISSN":"10916490","PMID":"32253300","abstract":"The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America","id":"ITEM-1","issue":"16","issued":{"date-parts":[["2020"]]},"page":"8813-8819","title":"Human settlement of East Polynesia earlier, incremental, and coincident with prolonged South Pacific drought","type":"article-journal","volume":"117"},"uris":["http://www.mendeley.com/documents/?uuid=5e4a7b40-a602-4fa6-8dd7-b9d6ae8d7f06"]}],"mendeley":{"formattedCitation":"(Sear et al., 2020)","plainTextFormattedCitation":"(Sear et al., 2020)","previouslyFormattedCitation":"(Sear et al., 2020)"},"properties":{"noteIndex":0},"schema":"https://github.com/citation-style-language/schema/raw/master/csl-citation.json"}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(Sear et al., 2020)</w:t>
      </w:r>
      <w:r w:rsidRPr="007210CB">
        <w:rPr>
          <w:rFonts w:ascii="Garamond" w:hAnsi="Garamond"/>
        </w:rPr>
        <w:fldChar w:fldCharType="end"/>
      </w:r>
      <w:r w:rsidRPr="007210CB">
        <w:rPr>
          <w:rFonts w:ascii="Garamond" w:hAnsi="Garamond"/>
        </w:rPr>
        <w:t xml:space="preserve"> (H), and Vanuatu </w:t>
      </w:r>
      <w:r w:rsidRPr="007210CB">
        <w:rPr>
          <w:rFonts w:ascii="Garamond" w:hAnsi="Garamond"/>
        </w:rPr>
        <w:fldChar w:fldCharType="begin" w:fldLock="1"/>
      </w:r>
      <w:r w:rsidRPr="007210CB">
        <w:rPr>
          <w:rFonts w:ascii="Garamond" w:hAnsi="Garamond"/>
        </w:rPr>
        <w:instrText>ADDIN CSL_CITATION {"citationItems":[{"id":"ITEM-1","itemData":{"DOI":"10.1073/pnas.1920975117","ISSN":"10916490","PMID":"32253300","abstract":"The timing of human colonization of East Polynesia, a vast area lying between Hawai‘i, Rapa Nui, and New Zealand, is much debated and the underlying causes of this great migration have been enigmatic. Our study generates evidence for human dispersal into eastern Polynesia from islands to the west from around AD 900 and contemporaneous paleoclimate data from the likely source region. Lake cores from Atiu, Southern Cook Islands (SCIs) register evidence of pig and/or human occupation on a virgin landscape at this time, followed by changes in lake carbon around AD 1000 and significant anthropogenic disturbance from c. AD 1100. The broader paleoclimate context of these early voyages of exploration are derived from the Atiu lake core and complemented by additional lake cores from Samoa (directly west) and Vanuatu (southwest) and published hydroclimate proxies from the Society Islands (northeast) and Kiribati (north). Algal lipid and leaf wax biomarkers allow for comparisons of changing hydroclimate conditions across the region before, during, and after human arrival in the SCIs. The evidence indicates a prolonged drought in the likely western source region for these colonists, lasting c. 200 to 400 y, contemporaneous with the phasing of human dispersal into the Pacific. We propose that drying climate, coupled with documented social pressures and societal developments, instigated initial eastward exploration, resulting in SCI landfall(s) and return voyaging, with colonization a century or two later. This incremental settlement process likely involved the accumulation of critical maritime knowledge over several generations.","author":[{"dropping-particle":"","family":"Sear","given":"David A","non-dropping-particle":"","parse-names":false,"suffix":""},{"dropping-particle":"","family":"Allen","given":"Melinda S","non-dropping-particle":"","parse-names":false,"suffix":""},{"dropping-particle":"","family":"Hassall","given":"Jonathan D","non-dropping-particle":"","parse-names":false,"suffix":""},{"dropping-particle":"","family":"Maloney","given":"Ashley E","non-dropping-particle":"","parse-names":false,"suffix":""},{"dropping-particle":"","family":"Langdon","given":"Peter G","non-dropping-particle":"","parse-names":false,"suffix":""},{"dropping-particle":"","family":"Morrison","given":"Alex E.","non-dropping-particle":"","parse-names":false,"suffix":""},{"dropping-particle":"","family":"Henderson","given":"Andrew C.G.","non-dropping-particle":"","parse-names":false,"suffix":""},{"dropping-particle":"","family":"Mackay","given":"Helen","non-dropping-particle":"","parse-names":false,"suffix":""},{"dropping-particle":"","family":"Croudace","given":"Ian W","non-dropping-particle":"","parse-names":false,"suffix":""},{"dropping-particle":"","family":"Clarke","given":"Charlotte","non-dropping-particle":"","parse-names":false,"suffix":""},{"dropping-particle":"","family":"Sachs","given":"Julian P","non-dropping-particle":"","parse-names":false,"suffix":""},{"dropping-particle":"","family":"Macdonald","given":"Georgiana","non-dropping-particle":"","parse-names":false,"suffix":""},{"dropping-particle":"","family":"Chiverrell","given":"Richard C","non-dropping-particle":"","parse-names":false,"suffix":""},{"dropping-particle":"","family":"Leng","given":"Melanie J","non-dropping-particle":"","parse-names":false,"suffix":""},{"dropping-particle":"","family":"Cisneros-Dozal","given":"L. M.","non-dropping-particle":"","parse-names":false,"suffix":""},{"dropping-particle":"","family":"Fonville","given":"Thierry","non-dropping-particle":"","parse-names":false,"suffix":""}],"container-title":"Proceedings of the National Academy of Sciences of the United States of America","id":"ITEM-1","issue":"16","issued":{"date-parts":[["2020"]]},"page":"8813-8819","title":"Human settlement of East Polynesia earlier, incremental, and coincident with prolonged South Pacific drought","type":"article-journal","volume":"117"},"uris":["http://www.mendeley.com/documents/?uuid=5e4a7b40-a602-4fa6-8dd7-b9d6ae8d7f06"]}],"mendeley":{"formattedCitation":"(Sear et al., 2020)","plainTextFormattedCitation":"(Sear et al., 2020)","previouslyFormattedCitation":"(Sear et al., 2020)"},"properties":{"noteIndex":0},"schema":"https://github.com/citation-style-language/schema/raw/master/csl-citation.json"}</w:instrText>
      </w:r>
      <w:r w:rsidRPr="007210CB">
        <w:rPr>
          <w:rFonts w:ascii="Garamond" w:hAnsi="Garamond"/>
        </w:rPr>
        <w:fldChar w:fldCharType="separate"/>
      </w:r>
      <w:r w:rsidRPr="007210CB">
        <w:rPr>
          <w:rFonts w:ascii="Garamond" w:hAnsi="Garamond"/>
          <w:noProof/>
        </w:rPr>
        <w:t>(Sear et al., 2020)</w:t>
      </w:r>
      <w:r w:rsidRPr="007210CB">
        <w:rPr>
          <w:rFonts w:ascii="Garamond" w:hAnsi="Garamond"/>
        </w:rPr>
        <w:fldChar w:fldCharType="end"/>
      </w:r>
      <w:r w:rsidRPr="007210CB">
        <w:rPr>
          <w:rFonts w:ascii="Garamond" w:hAnsi="Garamond"/>
        </w:rPr>
        <w:t xml:space="preserve"> (I). Error bars indicate uncertainty in age models (x-axis, when provided) and analytical uncertainty (y-axis); note different y-axis scales.</w:t>
      </w:r>
    </w:p>
    <w:p w14:paraId="0EB73448" w14:textId="00FF3623" w:rsidR="007210CB" w:rsidRPr="007210CB" w:rsidRDefault="007210CB" w:rsidP="007210CB">
      <w:pPr>
        <w:spacing w:line="480" w:lineRule="auto"/>
        <w:rPr>
          <w:rFonts w:ascii="Garamond" w:hAnsi="Garamond"/>
        </w:rPr>
      </w:pPr>
    </w:p>
    <w:p w14:paraId="10C70D0B" w14:textId="1A519922" w:rsidR="007210CB" w:rsidRPr="007210CB" w:rsidRDefault="007210CB" w:rsidP="007210CB">
      <w:pPr>
        <w:spacing w:line="480" w:lineRule="auto"/>
        <w:rPr>
          <w:rFonts w:ascii="Garamond" w:hAnsi="Garamond"/>
          <w:b/>
          <w:bCs/>
        </w:rPr>
      </w:pPr>
      <w:r w:rsidRPr="007210CB">
        <w:rPr>
          <w:rFonts w:ascii="Garamond" w:hAnsi="Garamond"/>
          <w:b/>
          <w:bCs/>
        </w:rPr>
        <w:t>Tables</w:t>
      </w:r>
    </w:p>
    <w:p w14:paraId="7FB15E02" w14:textId="3C278CAB" w:rsidR="007210CB" w:rsidRDefault="007210CB" w:rsidP="007210CB">
      <w:pPr>
        <w:spacing w:line="480" w:lineRule="auto"/>
        <w:rPr>
          <w:rFonts w:ascii="Garamond" w:hAnsi="Garamond"/>
          <w:color w:val="000000"/>
        </w:rPr>
      </w:pPr>
      <w:r w:rsidRPr="007210CB">
        <w:rPr>
          <w:rFonts w:ascii="Garamond" w:hAnsi="Garamond"/>
          <w:b/>
          <w:bCs/>
          <w:color w:val="000000"/>
        </w:rPr>
        <w:t>Table 1</w:t>
      </w:r>
      <w:r w:rsidRPr="007210CB">
        <w:rPr>
          <w:rFonts w:ascii="Garamond" w:hAnsi="Garamond"/>
          <w:color w:val="000000"/>
        </w:rPr>
        <w:t>. Sediment core sites and data summary, "</w:t>
      </w:r>
      <w:proofErr w:type="spellStart"/>
      <w:r w:rsidRPr="007210CB">
        <w:rPr>
          <w:rFonts w:ascii="Garamond" w:hAnsi="Garamond"/>
          <w:i/>
          <w:iCs/>
          <w:color w:val="000000"/>
        </w:rPr>
        <w:t>n.s</w:t>
      </w:r>
      <w:proofErr w:type="spellEnd"/>
      <w:r w:rsidRPr="007210CB">
        <w:rPr>
          <w:rFonts w:ascii="Garamond" w:hAnsi="Garamond"/>
          <w:i/>
          <w:iCs/>
          <w:color w:val="000000"/>
        </w:rPr>
        <w:t>.</w:t>
      </w:r>
      <w:r w:rsidRPr="007210CB">
        <w:rPr>
          <w:rFonts w:ascii="Garamond" w:hAnsi="Garamond"/>
          <w:color w:val="000000"/>
        </w:rPr>
        <w:t xml:space="preserve">" indicates not suitable since Lac Lalolalo </w:t>
      </w:r>
      <w:r w:rsidRPr="007210CB">
        <w:rPr>
          <w:rFonts w:ascii="Garamond" w:hAnsi="Garamond"/>
        </w:rPr>
        <w:t>δ</w:t>
      </w:r>
      <w:r w:rsidRPr="007210CB">
        <w:rPr>
          <w:rFonts w:ascii="Garamond" w:hAnsi="Garamond"/>
          <w:vertAlign w:val="superscript"/>
        </w:rPr>
        <w:t>2</w:t>
      </w:r>
      <w:r w:rsidRPr="007210CB">
        <w:rPr>
          <w:rFonts w:ascii="Garamond" w:hAnsi="Garamond"/>
        </w:rPr>
        <w:t>H</w:t>
      </w:r>
      <w:r w:rsidRPr="007210CB">
        <w:rPr>
          <w:rFonts w:ascii="Garamond" w:hAnsi="Garamond"/>
          <w:vertAlign w:val="subscript"/>
        </w:rPr>
        <w:t>dinosterol</w:t>
      </w:r>
      <w:r w:rsidRPr="007210CB">
        <w:rPr>
          <w:rFonts w:ascii="Garamond" w:hAnsi="Garamond"/>
          <w:color w:val="000000"/>
        </w:rPr>
        <w:t xml:space="preserve"> values do not track precipitation, "n.d." indicates no data.</w:t>
      </w:r>
    </w:p>
    <w:tbl>
      <w:tblPr>
        <w:tblStyle w:val="TableGrid"/>
        <w:tblW w:w="10435" w:type="dxa"/>
        <w:tblInd w:w="-5" w:type="dxa"/>
        <w:tblLayout w:type="fixed"/>
        <w:tblLook w:val="04A0" w:firstRow="1" w:lastRow="0" w:firstColumn="1" w:lastColumn="0" w:noHBand="0" w:noVBand="1"/>
      </w:tblPr>
      <w:tblGrid>
        <w:gridCol w:w="1620"/>
        <w:gridCol w:w="902"/>
        <w:gridCol w:w="810"/>
        <w:gridCol w:w="1100"/>
        <w:gridCol w:w="658"/>
        <w:gridCol w:w="670"/>
        <w:gridCol w:w="704"/>
        <w:gridCol w:w="720"/>
        <w:gridCol w:w="360"/>
        <w:gridCol w:w="720"/>
        <w:gridCol w:w="900"/>
        <w:gridCol w:w="540"/>
        <w:gridCol w:w="720"/>
        <w:gridCol w:w="11"/>
      </w:tblGrid>
      <w:tr w:rsidR="00BA3E78" w14:paraId="2701F4E1" w14:textId="77777777" w:rsidTr="00BA3E78">
        <w:trPr>
          <w:gridAfter w:val="1"/>
          <w:wAfter w:w="11" w:type="dxa"/>
        </w:trPr>
        <w:tc>
          <w:tcPr>
            <w:tcW w:w="1620" w:type="dxa"/>
            <w:vAlign w:val="center"/>
          </w:tcPr>
          <w:p w14:paraId="24B550AE" w14:textId="77777777" w:rsidR="008D2850" w:rsidRPr="00075F37" w:rsidRDefault="008D2850" w:rsidP="00D61C24">
            <w:pPr>
              <w:jc w:val="center"/>
              <w:rPr>
                <w:sz w:val="11"/>
                <w:szCs w:val="11"/>
              </w:rPr>
            </w:pPr>
            <w:r w:rsidRPr="00075F37">
              <w:rPr>
                <w:b/>
                <w:bCs/>
                <w:sz w:val="11"/>
                <w:szCs w:val="11"/>
              </w:rPr>
              <w:t>Site Name</w:t>
            </w:r>
          </w:p>
        </w:tc>
        <w:tc>
          <w:tcPr>
            <w:tcW w:w="902" w:type="dxa"/>
            <w:vAlign w:val="center"/>
          </w:tcPr>
          <w:p w14:paraId="5AE4E06D" w14:textId="77777777" w:rsidR="008D2850" w:rsidRPr="00075F37" w:rsidRDefault="008D2850" w:rsidP="00D61C24">
            <w:pPr>
              <w:jc w:val="center"/>
              <w:rPr>
                <w:sz w:val="11"/>
                <w:szCs w:val="11"/>
              </w:rPr>
            </w:pPr>
            <w:r w:rsidRPr="00075F37">
              <w:rPr>
                <w:b/>
                <w:bCs/>
                <w:sz w:val="11"/>
                <w:szCs w:val="11"/>
              </w:rPr>
              <w:t>Latitude</w:t>
            </w:r>
          </w:p>
        </w:tc>
        <w:tc>
          <w:tcPr>
            <w:tcW w:w="810" w:type="dxa"/>
            <w:vAlign w:val="center"/>
          </w:tcPr>
          <w:p w14:paraId="19829ECD" w14:textId="77777777" w:rsidR="008D2850" w:rsidRPr="00075F37" w:rsidRDefault="008D2850" w:rsidP="00D61C24">
            <w:pPr>
              <w:jc w:val="center"/>
              <w:rPr>
                <w:sz w:val="11"/>
                <w:szCs w:val="11"/>
              </w:rPr>
            </w:pPr>
            <w:r w:rsidRPr="00075F37">
              <w:rPr>
                <w:b/>
                <w:bCs/>
                <w:sz w:val="11"/>
                <w:szCs w:val="11"/>
              </w:rPr>
              <w:t>Longitude</w:t>
            </w:r>
          </w:p>
        </w:tc>
        <w:tc>
          <w:tcPr>
            <w:tcW w:w="1100" w:type="dxa"/>
            <w:vAlign w:val="center"/>
          </w:tcPr>
          <w:p w14:paraId="4312D2D9" w14:textId="77777777" w:rsidR="008D2850" w:rsidRPr="00075F37" w:rsidRDefault="008D2850" w:rsidP="00D61C24">
            <w:pPr>
              <w:jc w:val="center"/>
              <w:rPr>
                <w:sz w:val="11"/>
                <w:szCs w:val="11"/>
              </w:rPr>
            </w:pPr>
            <w:proofErr w:type="gramStart"/>
            <w:r w:rsidRPr="00075F37">
              <w:rPr>
                <w:b/>
                <w:bCs/>
                <w:sz w:val="11"/>
                <w:szCs w:val="11"/>
              </w:rPr>
              <w:t>Core  ID</w:t>
            </w:r>
            <w:proofErr w:type="gramEnd"/>
          </w:p>
        </w:tc>
        <w:tc>
          <w:tcPr>
            <w:tcW w:w="658" w:type="dxa"/>
            <w:vAlign w:val="center"/>
          </w:tcPr>
          <w:p w14:paraId="442FA766" w14:textId="77777777" w:rsidR="008D2850" w:rsidRPr="00075F37" w:rsidRDefault="008D2850" w:rsidP="00D61C24">
            <w:pPr>
              <w:jc w:val="center"/>
              <w:rPr>
                <w:sz w:val="11"/>
                <w:szCs w:val="11"/>
              </w:rPr>
            </w:pPr>
            <w:r w:rsidRPr="00075F37">
              <w:rPr>
                <w:b/>
                <w:bCs/>
                <w:sz w:val="11"/>
                <w:szCs w:val="11"/>
              </w:rPr>
              <w:t xml:space="preserve">Water depth at core site </w:t>
            </w:r>
          </w:p>
        </w:tc>
        <w:tc>
          <w:tcPr>
            <w:tcW w:w="670" w:type="dxa"/>
            <w:vAlign w:val="center"/>
          </w:tcPr>
          <w:p w14:paraId="7335C25A" w14:textId="77777777" w:rsidR="008D2850" w:rsidRPr="00075F37" w:rsidRDefault="008D2850" w:rsidP="00D61C24">
            <w:pPr>
              <w:jc w:val="center"/>
              <w:rPr>
                <w:sz w:val="11"/>
                <w:szCs w:val="11"/>
              </w:rPr>
            </w:pPr>
            <w:r w:rsidRPr="00075F37">
              <w:rPr>
                <w:b/>
                <w:bCs/>
                <w:sz w:val="11"/>
                <w:szCs w:val="11"/>
              </w:rPr>
              <w:t>Elevation lake surface</w:t>
            </w:r>
          </w:p>
        </w:tc>
        <w:tc>
          <w:tcPr>
            <w:tcW w:w="704" w:type="dxa"/>
            <w:vAlign w:val="center"/>
          </w:tcPr>
          <w:p w14:paraId="706DEFC7" w14:textId="77777777" w:rsidR="008D2850" w:rsidRPr="00075F37" w:rsidRDefault="008D2850" w:rsidP="00D61C24">
            <w:pPr>
              <w:jc w:val="center"/>
              <w:rPr>
                <w:sz w:val="11"/>
                <w:szCs w:val="11"/>
              </w:rPr>
            </w:pPr>
            <w:r w:rsidRPr="00075F37">
              <w:rPr>
                <w:b/>
                <w:bCs/>
                <w:sz w:val="11"/>
                <w:szCs w:val="11"/>
              </w:rPr>
              <w:t>δ</w:t>
            </w:r>
            <w:r w:rsidRPr="00075F37">
              <w:rPr>
                <w:b/>
                <w:bCs/>
                <w:sz w:val="11"/>
                <w:szCs w:val="11"/>
                <w:vertAlign w:val="superscript"/>
              </w:rPr>
              <w:t>2</w:t>
            </w:r>
            <w:proofErr w:type="gramStart"/>
            <w:r w:rsidRPr="00075F37">
              <w:rPr>
                <w:b/>
                <w:bCs/>
                <w:sz w:val="11"/>
                <w:szCs w:val="11"/>
              </w:rPr>
              <w:t>H</w:t>
            </w:r>
            <w:r w:rsidRPr="00075F37">
              <w:rPr>
                <w:b/>
                <w:bCs/>
                <w:sz w:val="11"/>
                <w:szCs w:val="11"/>
                <w:vertAlign w:val="subscript"/>
              </w:rPr>
              <w:t>dinosterol</w:t>
            </w:r>
            <w:r w:rsidRPr="00075F37">
              <w:rPr>
                <w:b/>
                <w:bCs/>
                <w:sz w:val="11"/>
                <w:szCs w:val="11"/>
              </w:rPr>
              <w:t xml:space="preserve">  min</w:t>
            </w:r>
            <w:proofErr w:type="gramEnd"/>
            <w:r w:rsidRPr="00075F37">
              <w:rPr>
                <w:b/>
                <w:bCs/>
                <w:sz w:val="11"/>
                <w:szCs w:val="11"/>
              </w:rPr>
              <w:t xml:space="preserve">       </w:t>
            </w:r>
          </w:p>
        </w:tc>
        <w:tc>
          <w:tcPr>
            <w:tcW w:w="720" w:type="dxa"/>
            <w:vAlign w:val="center"/>
          </w:tcPr>
          <w:p w14:paraId="44949383" w14:textId="77777777" w:rsidR="008D2850" w:rsidRPr="00075F37" w:rsidRDefault="008D2850" w:rsidP="00D61C24">
            <w:pPr>
              <w:jc w:val="center"/>
              <w:rPr>
                <w:sz w:val="11"/>
                <w:szCs w:val="11"/>
              </w:rPr>
            </w:pPr>
            <w:r w:rsidRPr="00075F37">
              <w:rPr>
                <w:b/>
                <w:bCs/>
                <w:sz w:val="11"/>
                <w:szCs w:val="11"/>
              </w:rPr>
              <w:t>δ</w:t>
            </w:r>
            <w:r w:rsidRPr="00075F37">
              <w:rPr>
                <w:b/>
                <w:bCs/>
                <w:sz w:val="11"/>
                <w:szCs w:val="11"/>
                <w:vertAlign w:val="superscript"/>
              </w:rPr>
              <w:t>2</w:t>
            </w:r>
            <w:proofErr w:type="gramStart"/>
            <w:r w:rsidRPr="00075F37">
              <w:rPr>
                <w:b/>
                <w:bCs/>
                <w:sz w:val="11"/>
                <w:szCs w:val="11"/>
              </w:rPr>
              <w:t>H</w:t>
            </w:r>
            <w:r w:rsidRPr="00075F37">
              <w:rPr>
                <w:b/>
                <w:bCs/>
                <w:sz w:val="11"/>
                <w:szCs w:val="11"/>
                <w:vertAlign w:val="subscript"/>
              </w:rPr>
              <w:t>dinosterol</w:t>
            </w:r>
            <w:r w:rsidRPr="00075F37">
              <w:rPr>
                <w:b/>
                <w:bCs/>
                <w:sz w:val="11"/>
                <w:szCs w:val="11"/>
              </w:rPr>
              <w:t xml:space="preserve">  max</w:t>
            </w:r>
            <w:proofErr w:type="gramEnd"/>
            <w:r w:rsidRPr="00075F37">
              <w:rPr>
                <w:b/>
                <w:bCs/>
                <w:sz w:val="11"/>
                <w:szCs w:val="11"/>
              </w:rPr>
              <w:t xml:space="preserve">       </w:t>
            </w:r>
          </w:p>
        </w:tc>
        <w:tc>
          <w:tcPr>
            <w:tcW w:w="360" w:type="dxa"/>
            <w:vAlign w:val="center"/>
          </w:tcPr>
          <w:p w14:paraId="12EBE9ED" w14:textId="77777777" w:rsidR="008D2850" w:rsidRPr="00075F37" w:rsidRDefault="008D2850" w:rsidP="00D61C24">
            <w:pPr>
              <w:jc w:val="center"/>
              <w:rPr>
                <w:sz w:val="11"/>
                <w:szCs w:val="11"/>
              </w:rPr>
            </w:pPr>
            <w:r w:rsidRPr="00075F37">
              <w:rPr>
                <w:b/>
                <w:bCs/>
                <w:sz w:val="11"/>
                <w:szCs w:val="11"/>
              </w:rPr>
              <w:t>n</w:t>
            </w:r>
          </w:p>
        </w:tc>
        <w:tc>
          <w:tcPr>
            <w:tcW w:w="720" w:type="dxa"/>
            <w:vAlign w:val="center"/>
          </w:tcPr>
          <w:p w14:paraId="7F79DAB2" w14:textId="77777777" w:rsidR="008D2850" w:rsidRPr="00075F37" w:rsidRDefault="008D2850" w:rsidP="00D61C24">
            <w:pPr>
              <w:jc w:val="center"/>
              <w:rPr>
                <w:sz w:val="11"/>
                <w:szCs w:val="11"/>
              </w:rPr>
            </w:pPr>
            <w:r w:rsidRPr="00075F37">
              <w:rPr>
                <w:b/>
                <w:bCs/>
                <w:sz w:val="11"/>
                <w:szCs w:val="11"/>
              </w:rPr>
              <w:t>δ</w:t>
            </w:r>
            <w:r w:rsidRPr="00075F37">
              <w:rPr>
                <w:b/>
                <w:bCs/>
                <w:sz w:val="11"/>
                <w:szCs w:val="11"/>
                <w:vertAlign w:val="superscript"/>
              </w:rPr>
              <w:t>2</w:t>
            </w:r>
            <w:proofErr w:type="gramStart"/>
            <w:r w:rsidRPr="00075F37">
              <w:rPr>
                <w:b/>
                <w:bCs/>
                <w:sz w:val="11"/>
                <w:szCs w:val="11"/>
              </w:rPr>
              <w:t>H</w:t>
            </w:r>
            <w:r w:rsidRPr="00075F37">
              <w:rPr>
                <w:b/>
                <w:bCs/>
                <w:sz w:val="11"/>
                <w:szCs w:val="11"/>
                <w:vertAlign w:val="subscript"/>
              </w:rPr>
              <w:t>dinosterol</w:t>
            </w:r>
            <w:r w:rsidRPr="00075F37">
              <w:rPr>
                <w:b/>
                <w:bCs/>
                <w:sz w:val="11"/>
                <w:szCs w:val="11"/>
              </w:rPr>
              <w:t xml:space="preserve">  range</w:t>
            </w:r>
            <w:proofErr w:type="gramEnd"/>
            <w:r w:rsidRPr="00075F37">
              <w:rPr>
                <w:b/>
                <w:bCs/>
                <w:sz w:val="11"/>
                <w:szCs w:val="11"/>
              </w:rPr>
              <w:t xml:space="preserve">       </w:t>
            </w:r>
          </w:p>
        </w:tc>
        <w:tc>
          <w:tcPr>
            <w:tcW w:w="900" w:type="dxa"/>
            <w:vAlign w:val="center"/>
          </w:tcPr>
          <w:p w14:paraId="00C7E850" w14:textId="77777777" w:rsidR="008D2850" w:rsidRPr="00075F37" w:rsidRDefault="008D2850" w:rsidP="00D61C24">
            <w:pPr>
              <w:jc w:val="center"/>
              <w:rPr>
                <w:b/>
                <w:bCs/>
                <w:sz w:val="11"/>
                <w:szCs w:val="11"/>
              </w:rPr>
            </w:pPr>
            <w:r w:rsidRPr="00075F37">
              <w:rPr>
                <w:b/>
                <w:bCs/>
                <w:sz w:val="11"/>
                <w:szCs w:val="11"/>
              </w:rPr>
              <w:t>Precipitation</w:t>
            </w:r>
            <w:r w:rsidRPr="00075F37">
              <w:rPr>
                <w:b/>
                <w:bCs/>
                <w:sz w:val="11"/>
                <w:szCs w:val="11"/>
                <w:vertAlign w:val="superscript"/>
              </w:rPr>
              <w:t>3</w:t>
            </w:r>
            <w:r w:rsidRPr="00075F37">
              <w:rPr>
                <w:b/>
                <w:bCs/>
                <w:sz w:val="11"/>
                <w:szCs w:val="11"/>
              </w:rPr>
              <w:t xml:space="preserve"> range        </w:t>
            </w:r>
          </w:p>
        </w:tc>
        <w:tc>
          <w:tcPr>
            <w:tcW w:w="540" w:type="dxa"/>
            <w:vAlign w:val="center"/>
          </w:tcPr>
          <w:p w14:paraId="1027EC1A" w14:textId="77777777" w:rsidR="008D2850" w:rsidRPr="00075F37" w:rsidRDefault="008D2850" w:rsidP="00D61C24">
            <w:pPr>
              <w:jc w:val="center"/>
              <w:rPr>
                <w:b/>
                <w:bCs/>
                <w:sz w:val="11"/>
                <w:szCs w:val="11"/>
              </w:rPr>
            </w:pPr>
            <w:r w:rsidRPr="00075F37">
              <w:rPr>
                <w:b/>
                <w:bCs/>
                <w:sz w:val="11"/>
                <w:szCs w:val="11"/>
              </w:rPr>
              <w:t>Mag. Sus. signal</w:t>
            </w:r>
          </w:p>
        </w:tc>
        <w:tc>
          <w:tcPr>
            <w:tcW w:w="720" w:type="dxa"/>
            <w:vAlign w:val="center"/>
          </w:tcPr>
          <w:p w14:paraId="66996D46" w14:textId="77777777" w:rsidR="008D2850" w:rsidRPr="00075F37" w:rsidRDefault="008D2850" w:rsidP="00D61C24">
            <w:pPr>
              <w:jc w:val="center"/>
              <w:rPr>
                <w:b/>
                <w:bCs/>
                <w:sz w:val="11"/>
                <w:szCs w:val="11"/>
              </w:rPr>
            </w:pPr>
            <w:r w:rsidRPr="00075F37">
              <w:rPr>
                <w:b/>
                <w:bCs/>
                <w:sz w:val="11"/>
                <w:szCs w:val="11"/>
              </w:rPr>
              <w:t>Titanium data</w:t>
            </w:r>
          </w:p>
        </w:tc>
      </w:tr>
      <w:tr w:rsidR="00BA3E78" w14:paraId="167EBF71" w14:textId="77777777" w:rsidTr="00BA3E78">
        <w:trPr>
          <w:gridAfter w:val="1"/>
          <w:wAfter w:w="11" w:type="dxa"/>
        </w:trPr>
        <w:tc>
          <w:tcPr>
            <w:tcW w:w="1620" w:type="dxa"/>
            <w:vAlign w:val="center"/>
          </w:tcPr>
          <w:p w14:paraId="111C20D3" w14:textId="77777777" w:rsidR="008D2850" w:rsidRPr="00075F37" w:rsidRDefault="008D2850" w:rsidP="00D61C24">
            <w:pPr>
              <w:jc w:val="center"/>
              <w:rPr>
                <w:sz w:val="11"/>
                <w:szCs w:val="11"/>
              </w:rPr>
            </w:pPr>
          </w:p>
        </w:tc>
        <w:tc>
          <w:tcPr>
            <w:tcW w:w="902" w:type="dxa"/>
            <w:vAlign w:val="center"/>
          </w:tcPr>
          <w:p w14:paraId="7F240442" w14:textId="77777777" w:rsidR="008D2850" w:rsidRPr="00075F37" w:rsidRDefault="008D2850" w:rsidP="00D61C24">
            <w:pPr>
              <w:jc w:val="center"/>
              <w:rPr>
                <w:sz w:val="11"/>
                <w:szCs w:val="11"/>
              </w:rPr>
            </w:pPr>
            <w:r w:rsidRPr="00075F37">
              <w:rPr>
                <w:b/>
                <w:bCs/>
                <w:sz w:val="11"/>
                <w:szCs w:val="11"/>
              </w:rPr>
              <w:t>°</w:t>
            </w:r>
          </w:p>
        </w:tc>
        <w:tc>
          <w:tcPr>
            <w:tcW w:w="810" w:type="dxa"/>
            <w:vAlign w:val="center"/>
          </w:tcPr>
          <w:p w14:paraId="23C44E5E" w14:textId="77777777" w:rsidR="008D2850" w:rsidRPr="00075F37" w:rsidRDefault="008D2850" w:rsidP="00D61C24">
            <w:pPr>
              <w:jc w:val="center"/>
              <w:rPr>
                <w:sz w:val="11"/>
                <w:szCs w:val="11"/>
              </w:rPr>
            </w:pPr>
            <w:r w:rsidRPr="00075F37">
              <w:rPr>
                <w:b/>
                <w:bCs/>
                <w:sz w:val="11"/>
                <w:szCs w:val="11"/>
              </w:rPr>
              <w:t>°</w:t>
            </w:r>
          </w:p>
        </w:tc>
        <w:tc>
          <w:tcPr>
            <w:tcW w:w="1100" w:type="dxa"/>
            <w:vAlign w:val="center"/>
          </w:tcPr>
          <w:p w14:paraId="3CFF1F53" w14:textId="77777777" w:rsidR="008D2850" w:rsidRPr="00075F37" w:rsidRDefault="008D2850" w:rsidP="00D61C24">
            <w:pPr>
              <w:jc w:val="center"/>
              <w:rPr>
                <w:sz w:val="11"/>
                <w:szCs w:val="11"/>
              </w:rPr>
            </w:pPr>
          </w:p>
        </w:tc>
        <w:tc>
          <w:tcPr>
            <w:tcW w:w="658" w:type="dxa"/>
            <w:vAlign w:val="center"/>
          </w:tcPr>
          <w:p w14:paraId="22618F51" w14:textId="77777777" w:rsidR="008D2850" w:rsidRPr="00075F37" w:rsidRDefault="008D2850" w:rsidP="00D61C24">
            <w:pPr>
              <w:jc w:val="center"/>
              <w:rPr>
                <w:sz w:val="11"/>
                <w:szCs w:val="11"/>
              </w:rPr>
            </w:pPr>
            <w:r w:rsidRPr="00075F37">
              <w:rPr>
                <w:b/>
                <w:bCs/>
                <w:sz w:val="11"/>
                <w:szCs w:val="11"/>
              </w:rPr>
              <w:t>m</w:t>
            </w:r>
          </w:p>
        </w:tc>
        <w:tc>
          <w:tcPr>
            <w:tcW w:w="670" w:type="dxa"/>
            <w:vAlign w:val="center"/>
          </w:tcPr>
          <w:p w14:paraId="13C3D9F0" w14:textId="77777777" w:rsidR="008D2850" w:rsidRPr="00075F37" w:rsidRDefault="008D2850" w:rsidP="00D61C24">
            <w:pPr>
              <w:jc w:val="center"/>
              <w:rPr>
                <w:sz w:val="11"/>
                <w:szCs w:val="11"/>
              </w:rPr>
            </w:pPr>
            <w:r w:rsidRPr="00075F37">
              <w:rPr>
                <w:b/>
                <w:bCs/>
                <w:sz w:val="11"/>
                <w:szCs w:val="11"/>
              </w:rPr>
              <w:t>m</w:t>
            </w:r>
          </w:p>
        </w:tc>
        <w:tc>
          <w:tcPr>
            <w:tcW w:w="704" w:type="dxa"/>
            <w:vAlign w:val="bottom"/>
          </w:tcPr>
          <w:p w14:paraId="5B8C98EA" w14:textId="77777777" w:rsidR="008D2850" w:rsidRPr="00075F37" w:rsidRDefault="008D2850" w:rsidP="00D61C24">
            <w:pPr>
              <w:jc w:val="center"/>
              <w:rPr>
                <w:sz w:val="11"/>
                <w:szCs w:val="11"/>
              </w:rPr>
            </w:pPr>
            <w:r w:rsidRPr="00075F37">
              <w:rPr>
                <w:b/>
                <w:bCs/>
                <w:sz w:val="11"/>
                <w:szCs w:val="11"/>
              </w:rPr>
              <w:t>‰</w:t>
            </w:r>
          </w:p>
        </w:tc>
        <w:tc>
          <w:tcPr>
            <w:tcW w:w="720" w:type="dxa"/>
            <w:vAlign w:val="bottom"/>
          </w:tcPr>
          <w:p w14:paraId="3BD322D9" w14:textId="77777777" w:rsidR="008D2850" w:rsidRPr="00075F37" w:rsidRDefault="008D2850" w:rsidP="00D61C24">
            <w:pPr>
              <w:jc w:val="center"/>
              <w:rPr>
                <w:sz w:val="11"/>
                <w:szCs w:val="11"/>
              </w:rPr>
            </w:pPr>
            <w:r w:rsidRPr="00075F37">
              <w:rPr>
                <w:b/>
                <w:bCs/>
                <w:sz w:val="11"/>
                <w:szCs w:val="11"/>
              </w:rPr>
              <w:t>‰</w:t>
            </w:r>
          </w:p>
        </w:tc>
        <w:tc>
          <w:tcPr>
            <w:tcW w:w="360" w:type="dxa"/>
            <w:vAlign w:val="bottom"/>
          </w:tcPr>
          <w:p w14:paraId="2DECB081" w14:textId="77777777" w:rsidR="008D2850" w:rsidRPr="00075F37" w:rsidRDefault="008D2850" w:rsidP="00D61C24">
            <w:pPr>
              <w:jc w:val="center"/>
              <w:rPr>
                <w:sz w:val="11"/>
                <w:szCs w:val="11"/>
              </w:rPr>
            </w:pPr>
          </w:p>
        </w:tc>
        <w:tc>
          <w:tcPr>
            <w:tcW w:w="720" w:type="dxa"/>
            <w:vAlign w:val="bottom"/>
          </w:tcPr>
          <w:p w14:paraId="6C3C1E40" w14:textId="77777777" w:rsidR="008D2850" w:rsidRPr="00075F37" w:rsidRDefault="008D2850" w:rsidP="00D61C24">
            <w:pPr>
              <w:jc w:val="center"/>
              <w:rPr>
                <w:sz w:val="11"/>
                <w:szCs w:val="11"/>
              </w:rPr>
            </w:pPr>
            <w:r w:rsidRPr="00075F37">
              <w:rPr>
                <w:b/>
                <w:bCs/>
                <w:sz w:val="11"/>
                <w:szCs w:val="11"/>
              </w:rPr>
              <w:t>‰</w:t>
            </w:r>
          </w:p>
        </w:tc>
        <w:tc>
          <w:tcPr>
            <w:tcW w:w="900" w:type="dxa"/>
            <w:vAlign w:val="bottom"/>
          </w:tcPr>
          <w:p w14:paraId="596171D6" w14:textId="77777777" w:rsidR="008D2850" w:rsidRPr="00075F37" w:rsidRDefault="008D2850" w:rsidP="00D61C24">
            <w:pPr>
              <w:jc w:val="center"/>
              <w:rPr>
                <w:b/>
                <w:bCs/>
                <w:sz w:val="11"/>
                <w:szCs w:val="11"/>
              </w:rPr>
            </w:pPr>
            <w:r w:rsidRPr="00075F37">
              <w:rPr>
                <w:b/>
                <w:bCs/>
                <w:sz w:val="11"/>
                <w:szCs w:val="11"/>
              </w:rPr>
              <w:t>mm d</w:t>
            </w:r>
            <w:r w:rsidRPr="00075F37">
              <w:rPr>
                <w:b/>
                <w:bCs/>
                <w:sz w:val="11"/>
                <w:szCs w:val="11"/>
                <w:vertAlign w:val="superscript"/>
              </w:rPr>
              <w:t>-1</w:t>
            </w:r>
          </w:p>
        </w:tc>
        <w:tc>
          <w:tcPr>
            <w:tcW w:w="540" w:type="dxa"/>
            <w:vAlign w:val="center"/>
          </w:tcPr>
          <w:p w14:paraId="0A5910DD" w14:textId="77777777" w:rsidR="008D2850" w:rsidRPr="00075F37" w:rsidRDefault="008D2850" w:rsidP="00D61C24">
            <w:pPr>
              <w:jc w:val="center"/>
              <w:rPr>
                <w:b/>
                <w:bCs/>
                <w:sz w:val="11"/>
                <w:szCs w:val="11"/>
              </w:rPr>
            </w:pPr>
          </w:p>
        </w:tc>
        <w:tc>
          <w:tcPr>
            <w:tcW w:w="720" w:type="dxa"/>
            <w:vAlign w:val="center"/>
          </w:tcPr>
          <w:p w14:paraId="15E893E7" w14:textId="77777777" w:rsidR="008D2850" w:rsidRPr="00075F37" w:rsidRDefault="008D2850" w:rsidP="00D61C24">
            <w:pPr>
              <w:jc w:val="center"/>
              <w:rPr>
                <w:b/>
                <w:bCs/>
                <w:sz w:val="11"/>
                <w:szCs w:val="11"/>
              </w:rPr>
            </w:pPr>
          </w:p>
        </w:tc>
      </w:tr>
      <w:tr w:rsidR="00BA3E78" w14:paraId="29AA2C3B" w14:textId="77777777" w:rsidTr="00BA3E78">
        <w:trPr>
          <w:gridAfter w:val="1"/>
          <w:wAfter w:w="11" w:type="dxa"/>
        </w:trPr>
        <w:tc>
          <w:tcPr>
            <w:tcW w:w="1620" w:type="dxa"/>
            <w:vAlign w:val="center"/>
          </w:tcPr>
          <w:p w14:paraId="17830036" w14:textId="77777777" w:rsidR="008D2850" w:rsidRPr="00075F37" w:rsidRDefault="008D2850" w:rsidP="00D61C24">
            <w:pPr>
              <w:jc w:val="center"/>
              <w:rPr>
                <w:sz w:val="11"/>
                <w:szCs w:val="11"/>
              </w:rPr>
            </w:pPr>
            <w:r w:rsidRPr="00075F37">
              <w:rPr>
                <w:color w:val="000000"/>
                <w:sz w:val="11"/>
                <w:szCs w:val="11"/>
              </w:rPr>
              <w:t>Lac Lalolalo, 'Uvea, Wallis</w:t>
            </w:r>
          </w:p>
        </w:tc>
        <w:tc>
          <w:tcPr>
            <w:tcW w:w="902" w:type="dxa"/>
            <w:vAlign w:val="center"/>
          </w:tcPr>
          <w:p w14:paraId="17ABC6E6" w14:textId="77777777" w:rsidR="008D2850" w:rsidRPr="00075F37" w:rsidRDefault="008D2850" w:rsidP="00D61C24">
            <w:pPr>
              <w:jc w:val="center"/>
              <w:rPr>
                <w:sz w:val="11"/>
                <w:szCs w:val="11"/>
              </w:rPr>
            </w:pPr>
            <w:r w:rsidRPr="00075F37">
              <w:rPr>
                <w:color w:val="000000"/>
                <w:sz w:val="11"/>
                <w:szCs w:val="11"/>
              </w:rPr>
              <w:t>−13.30108</w:t>
            </w:r>
          </w:p>
        </w:tc>
        <w:tc>
          <w:tcPr>
            <w:tcW w:w="810" w:type="dxa"/>
            <w:vAlign w:val="center"/>
          </w:tcPr>
          <w:p w14:paraId="33FA30A2" w14:textId="77777777" w:rsidR="008D2850" w:rsidRPr="00075F37" w:rsidRDefault="008D2850" w:rsidP="00D61C24">
            <w:pPr>
              <w:jc w:val="center"/>
              <w:rPr>
                <w:sz w:val="11"/>
                <w:szCs w:val="11"/>
              </w:rPr>
            </w:pPr>
            <w:r w:rsidRPr="00075F37">
              <w:rPr>
                <w:color w:val="000000"/>
                <w:sz w:val="11"/>
                <w:szCs w:val="11"/>
              </w:rPr>
              <w:t>183.765917</w:t>
            </w:r>
          </w:p>
        </w:tc>
        <w:tc>
          <w:tcPr>
            <w:tcW w:w="1100" w:type="dxa"/>
            <w:vAlign w:val="center"/>
          </w:tcPr>
          <w:p w14:paraId="202890D8" w14:textId="77777777" w:rsidR="008D2850" w:rsidRPr="00075F37" w:rsidRDefault="008D2850" w:rsidP="00D61C24">
            <w:pPr>
              <w:jc w:val="center"/>
              <w:rPr>
                <w:sz w:val="11"/>
                <w:szCs w:val="11"/>
              </w:rPr>
            </w:pPr>
            <w:r w:rsidRPr="00075F37">
              <w:rPr>
                <w:color w:val="000000"/>
                <w:sz w:val="11"/>
                <w:szCs w:val="11"/>
              </w:rPr>
              <w:t>LALOUC13</w:t>
            </w:r>
          </w:p>
        </w:tc>
        <w:tc>
          <w:tcPr>
            <w:tcW w:w="658" w:type="dxa"/>
            <w:vAlign w:val="center"/>
          </w:tcPr>
          <w:p w14:paraId="4F4967B7" w14:textId="77777777" w:rsidR="008D2850" w:rsidRPr="00075F37" w:rsidRDefault="008D2850" w:rsidP="00D61C24">
            <w:pPr>
              <w:jc w:val="center"/>
              <w:rPr>
                <w:sz w:val="11"/>
                <w:szCs w:val="11"/>
              </w:rPr>
            </w:pPr>
            <w:r w:rsidRPr="00075F37">
              <w:rPr>
                <w:color w:val="000000"/>
                <w:sz w:val="11"/>
                <w:szCs w:val="11"/>
              </w:rPr>
              <w:t>88</w:t>
            </w:r>
          </w:p>
        </w:tc>
        <w:tc>
          <w:tcPr>
            <w:tcW w:w="670" w:type="dxa"/>
            <w:vAlign w:val="center"/>
          </w:tcPr>
          <w:p w14:paraId="4E1CA8A1" w14:textId="77777777" w:rsidR="008D2850" w:rsidRPr="00075F37" w:rsidRDefault="008D2850" w:rsidP="00D61C24">
            <w:pPr>
              <w:jc w:val="center"/>
              <w:rPr>
                <w:sz w:val="11"/>
                <w:szCs w:val="11"/>
              </w:rPr>
            </w:pPr>
            <w:r w:rsidRPr="00075F37">
              <w:rPr>
                <w:color w:val="000000"/>
                <w:sz w:val="11"/>
                <w:szCs w:val="11"/>
              </w:rPr>
              <w:t>1</w:t>
            </w:r>
          </w:p>
        </w:tc>
        <w:tc>
          <w:tcPr>
            <w:tcW w:w="704" w:type="dxa"/>
            <w:vAlign w:val="center"/>
          </w:tcPr>
          <w:p w14:paraId="3C7DF777" w14:textId="77777777" w:rsidR="008D2850" w:rsidRPr="00075F37" w:rsidRDefault="008D2850" w:rsidP="00D61C24">
            <w:pPr>
              <w:jc w:val="center"/>
              <w:rPr>
                <w:sz w:val="11"/>
                <w:szCs w:val="11"/>
              </w:rPr>
            </w:pPr>
            <w:r w:rsidRPr="00075F37">
              <w:rPr>
                <w:color w:val="000000"/>
                <w:sz w:val="11"/>
                <w:szCs w:val="11"/>
              </w:rPr>
              <w:t>−283</w:t>
            </w:r>
          </w:p>
        </w:tc>
        <w:tc>
          <w:tcPr>
            <w:tcW w:w="720" w:type="dxa"/>
            <w:vAlign w:val="center"/>
          </w:tcPr>
          <w:p w14:paraId="478B54F1" w14:textId="77777777" w:rsidR="008D2850" w:rsidRPr="00075F37" w:rsidRDefault="008D2850" w:rsidP="00D61C24">
            <w:pPr>
              <w:jc w:val="center"/>
              <w:rPr>
                <w:sz w:val="11"/>
                <w:szCs w:val="11"/>
              </w:rPr>
            </w:pPr>
            <w:r w:rsidRPr="00075F37">
              <w:rPr>
                <w:color w:val="000000"/>
                <w:sz w:val="11"/>
                <w:szCs w:val="11"/>
              </w:rPr>
              <w:t>−227</w:t>
            </w:r>
          </w:p>
        </w:tc>
        <w:tc>
          <w:tcPr>
            <w:tcW w:w="360" w:type="dxa"/>
            <w:vAlign w:val="center"/>
          </w:tcPr>
          <w:p w14:paraId="47466AAE" w14:textId="77777777" w:rsidR="008D2850" w:rsidRPr="00075F37" w:rsidRDefault="008D2850" w:rsidP="00D61C24">
            <w:pPr>
              <w:jc w:val="center"/>
              <w:rPr>
                <w:sz w:val="11"/>
                <w:szCs w:val="11"/>
              </w:rPr>
            </w:pPr>
            <w:r w:rsidRPr="00075F37">
              <w:rPr>
                <w:color w:val="000000"/>
                <w:sz w:val="11"/>
                <w:szCs w:val="11"/>
              </w:rPr>
              <w:t>36</w:t>
            </w:r>
          </w:p>
        </w:tc>
        <w:tc>
          <w:tcPr>
            <w:tcW w:w="720" w:type="dxa"/>
            <w:vAlign w:val="center"/>
          </w:tcPr>
          <w:p w14:paraId="737779D6" w14:textId="77777777" w:rsidR="008D2850" w:rsidRPr="00075F37" w:rsidRDefault="008D2850" w:rsidP="00D61C24">
            <w:pPr>
              <w:jc w:val="center"/>
              <w:rPr>
                <w:sz w:val="11"/>
                <w:szCs w:val="11"/>
              </w:rPr>
            </w:pPr>
            <w:r w:rsidRPr="00075F37">
              <w:rPr>
                <w:color w:val="000000"/>
                <w:sz w:val="11"/>
                <w:szCs w:val="11"/>
              </w:rPr>
              <w:t>56</w:t>
            </w:r>
          </w:p>
        </w:tc>
        <w:tc>
          <w:tcPr>
            <w:tcW w:w="900" w:type="dxa"/>
            <w:vAlign w:val="center"/>
          </w:tcPr>
          <w:p w14:paraId="498A04C5" w14:textId="77777777" w:rsidR="008D2850" w:rsidRPr="00075F37" w:rsidRDefault="008D2850" w:rsidP="00D61C24">
            <w:pPr>
              <w:jc w:val="center"/>
              <w:rPr>
                <w:color w:val="000000"/>
                <w:sz w:val="11"/>
                <w:szCs w:val="11"/>
              </w:rPr>
            </w:pPr>
            <w:proofErr w:type="spellStart"/>
            <w:r w:rsidRPr="00075F37">
              <w:rPr>
                <w:i/>
                <w:iCs/>
                <w:sz w:val="11"/>
                <w:szCs w:val="11"/>
              </w:rPr>
              <w:t>n.s</w:t>
            </w:r>
            <w:proofErr w:type="spellEnd"/>
            <w:r w:rsidRPr="00075F37">
              <w:rPr>
                <w:i/>
                <w:iCs/>
                <w:sz w:val="11"/>
                <w:szCs w:val="11"/>
              </w:rPr>
              <w:t>.</w:t>
            </w:r>
          </w:p>
        </w:tc>
        <w:tc>
          <w:tcPr>
            <w:tcW w:w="540" w:type="dxa"/>
            <w:vAlign w:val="center"/>
          </w:tcPr>
          <w:p w14:paraId="4EE5E77C" w14:textId="77777777" w:rsidR="008D2850" w:rsidRPr="00075F37" w:rsidRDefault="008D2850" w:rsidP="00D61C24">
            <w:pPr>
              <w:jc w:val="center"/>
              <w:rPr>
                <w:color w:val="000000"/>
                <w:sz w:val="11"/>
                <w:szCs w:val="11"/>
              </w:rPr>
            </w:pPr>
            <w:r w:rsidRPr="00075F37">
              <w:rPr>
                <w:rFonts w:ascii="Segoe UI Symbol" w:hAnsi="Segoe UI Symbol" w:cs="Segoe UI Symbol"/>
                <w:sz w:val="11"/>
                <w:szCs w:val="11"/>
              </w:rPr>
              <w:t>✓</w:t>
            </w:r>
          </w:p>
        </w:tc>
        <w:tc>
          <w:tcPr>
            <w:tcW w:w="720" w:type="dxa"/>
            <w:vAlign w:val="center"/>
          </w:tcPr>
          <w:p w14:paraId="64EE6BCB" w14:textId="77777777" w:rsidR="008D2850" w:rsidRPr="00075F37" w:rsidRDefault="008D2850" w:rsidP="00D61C24">
            <w:pPr>
              <w:jc w:val="center"/>
              <w:rPr>
                <w:color w:val="000000"/>
                <w:sz w:val="11"/>
                <w:szCs w:val="11"/>
              </w:rPr>
            </w:pPr>
            <w:r w:rsidRPr="00075F37">
              <w:rPr>
                <w:sz w:val="11"/>
                <w:szCs w:val="11"/>
              </w:rPr>
              <w:t>n.d.</w:t>
            </w:r>
          </w:p>
        </w:tc>
      </w:tr>
      <w:tr w:rsidR="00BA3E78" w14:paraId="4B80E5AD" w14:textId="77777777" w:rsidTr="00BA3E78">
        <w:trPr>
          <w:gridAfter w:val="1"/>
          <w:wAfter w:w="11" w:type="dxa"/>
        </w:trPr>
        <w:tc>
          <w:tcPr>
            <w:tcW w:w="1620" w:type="dxa"/>
            <w:vAlign w:val="center"/>
          </w:tcPr>
          <w:p w14:paraId="006F92FA" w14:textId="77777777" w:rsidR="008D2850" w:rsidRPr="00075F37" w:rsidRDefault="008D2850" w:rsidP="00D61C24">
            <w:pPr>
              <w:jc w:val="center"/>
              <w:rPr>
                <w:sz w:val="11"/>
                <w:szCs w:val="11"/>
              </w:rPr>
            </w:pPr>
            <w:r w:rsidRPr="00075F37">
              <w:rPr>
                <w:color w:val="000000"/>
                <w:sz w:val="11"/>
                <w:szCs w:val="11"/>
              </w:rPr>
              <w:t>Lac Lalolalo, 'Uvea, Wallis</w:t>
            </w:r>
          </w:p>
        </w:tc>
        <w:tc>
          <w:tcPr>
            <w:tcW w:w="902" w:type="dxa"/>
            <w:vAlign w:val="center"/>
          </w:tcPr>
          <w:p w14:paraId="5366357E" w14:textId="77777777" w:rsidR="008D2850" w:rsidRPr="00075F37" w:rsidRDefault="008D2850" w:rsidP="00D61C24">
            <w:pPr>
              <w:jc w:val="center"/>
              <w:rPr>
                <w:sz w:val="11"/>
                <w:szCs w:val="11"/>
              </w:rPr>
            </w:pPr>
            <w:r w:rsidRPr="00075F37">
              <w:rPr>
                <w:color w:val="000000"/>
                <w:sz w:val="11"/>
                <w:szCs w:val="11"/>
              </w:rPr>
              <w:t>−13.30048</w:t>
            </w:r>
          </w:p>
        </w:tc>
        <w:tc>
          <w:tcPr>
            <w:tcW w:w="810" w:type="dxa"/>
            <w:vAlign w:val="center"/>
          </w:tcPr>
          <w:p w14:paraId="131F1737" w14:textId="77777777" w:rsidR="008D2850" w:rsidRPr="00075F37" w:rsidRDefault="008D2850" w:rsidP="00D61C24">
            <w:pPr>
              <w:jc w:val="center"/>
              <w:rPr>
                <w:sz w:val="11"/>
                <w:szCs w:val="11"/>
              </w:rPr>
            </w:pPr>
            <w:r w:rsidRPr="00075F37">
              <w:rPr>
                <w:color w:val="000000"/>
                <w:sz w:val="11"/>
                <w:szCs w:val="11"/>
              </w:rPr>
              <w:t>183.766000</w:t>
            </w:r>
          </w:p>
        </w:tc>
        <w:tc>
          <w:tcPr>
            <w:tcW w:w="1100" w:type="dxa"/>
            <w:vAlign w:val="center"/>
          </w:tcPr>
          <w:p w14:paraId="2ACA6243" w14:textId="77777777" w:rsidR="008D2850" w:rsidRPr="00075F37" w:rsidRDefault="008D2850" w:rsidP="00D61C24">
            <w:pPr>
              <w:jc w:val="center"/>
              <w:rPr>
                <w:sz w:val="11"/>
                <w:szCs w:val="11"/>
              </w:rPr>
            </w:pPr>
            <w:r w:rsidRPr="00075F37">
              <w:rPr>
                <w:color w:val="000000"/>
                <w:sz w:val="11"/>
                <w:szCs w:val="11"/>
              </w:rPr>
              <w:t>LALOUC14</w:t>
            </w:r>
          </w:p>
        </w:tc>
        <w:tc>
          <w:tcPr>
            <w:tcW w:w="658" w:type="dxa"/>
            <w:vAlign w:val="center"/>
          </w:tcPr>
          <w:p w14:paraId="3128708B" w14:textId="77777777" w:rsidR="008D2850" w:rsidRPr="00075F37" w:rsidRDefault="008D2850" w:rsidP="00D61C24">
            <w:pPr>
              <w:jc w:val="center"/>
              <w:rPr>
                <w:sz w:val="11"/>
                <w:szCs w:val="11"/>
              </w:rPr>
            </w:pPr>
            <w:r w:rsidRPr="00075F37">
              <w:rPr>
                <w:color w:val="000000"/>
                <w:sz w:val="11"/>
                <w:szCs w:val="11"/>
              </w:rPr>
              <w:t>88</w:t>
            </w:r>
          </w:p>
        </w:tc>
        <w:tc>
          <w:tcPr>
            <w:tcW w:w="670" w:type="dxa"/>
            <w:vAlign w:val="center"/>
          </w:tcPr>
          <w:p w14:paraId="777253EB" w14:textId="77777777" w:rsidR="008D2850" w:rsidRPr="00075F37" w:rsidRDefault="008D2850" w:rsidP="00D61C24">
            <w:pPr>
              <w:jc w:val="center"/>
              <w:rPr>
                <w:sz w:val="11"/>
                <w:szCs w:val="11"/>
              </w:rPr>
            </w:pPr>
            <w:r w:rsidRPr="00075F37">
              <w:rPr>
                <w:color w:val="000000"/>
                <w:sz w:val="11"/>
                <w:szCs w:val="11"/>
              </w:rPr>
              <w:t>1</w:t>
            </w:r>
          </w:p>
        </w:tc>
        <w:tc>
          <w:tcPr>
            <w:tcW w:w="704" w:type="dxa"/>
            <w:vAlign w:val="center"/>
          </w:tcPr>
          <w:p w14:paraId="780A4CE3" w14:textId="77777777" w:rsidR="008D2850" w:rsidRPr="00075F37" w:rsidRDefault="008D2850" w:rsidP="00D61C24">
            <w:pPr>
              <w:jc w:val="center"/>
              <w:rPr>
                <w:sz w:val="11"/>
                <w:szCs w:val="11"/>
              </w:rPr>
            </w:pPr>
            <w:r w:rsidRPr="00075F37">
              <w:rPr>
                <w:color w:val="000000"/>
                <w:sz w:val="11"/>
                <w:szCs w:val="11"/>
              </w:rPr>
              <w:t>−270</w:t>
            </w:r>
          </w:p>
        </w:tc>
        <w:tc>
          <w:tcPr>
            <w:tcW w:w="720" w:type="dxa"/>
            <w:vAlign w:val="center"/>
          </w:tcPr>
          <w:p w14:paraId="3E349DAC" w14:textId="77777777" w:rsidR="008D2850" w:rsidRPr="00075F37" w:rsidRDefault="008D2850" w:rsidP="00D61C24">
            <w:pPr>
              <w:jc w:val="center"/>
              <w:rPr>
                <w:sz w:val="11"/>
                <w:szCs w:val="11"/>
              </w:rPr>
            </w:pPr>
            <w:r w:rsidRPr="00075F37">
              <w:rPr>
                <w:color w:val="000000"/>
                <w:sz w:val="11"/>
                <w:szCs w:val="11"/>
              </w:rPr>
              <w:t>−227</w:t>
            </w:r>
          </w:p>
        </w:tc>
        <w:tc>
          <w:tcPr>
            <w:tcW w:w="360" w:type="dxa"/>
            <w:vAlign w:val="center"/>
          </w:tcPr>
          <w:p w14:paraId="0391970B" w14:textId="77777777" w:rsidR="008D2850" w:rsidRPr="00075F37" w:rsidRDefault="008D2850" w:rsidP="00D61C24">
            <w:pPr>
              <w:jc w:val="center"/>
              <w:rPr>
                <w:sz w:val="11"/>
                <w:szCs w:val="11"/>
              </w:rPr>
            </w:pPr>
            <w:r w:rsidRPr="00075F37">
              <w:rPr>
                <w:color w:val="000000"/>
                <w:sz w:val="11"/>
                <w:szCs w:val="11"/>
              </w:rPr>
              <w:t>30</w:t>
            </w:r>
          </w:p>
        </w:tc>
        <w:tc>
          <w:tcPr>
            <w:tcW w:w="720" w:type="dxa"/>
            <w:vAlign w:val="center"/>
          </w:tcPr>
          <w:p w14:paraId="035C4662" w14:textId="77777777" w:rsidR="008D2850" w:rsidRPr="00075F37" w:rsidRDefault="008D2850" w:rsidP="00D61C24">
            <w:pPr>
              <w:jc w:val="center"/>
              <w:rPr>
                <w:sz w:val="11"/>
                <w:szCs w:val="11"/>
              </w:rPr>
            </w:pPr>
            <w:r w:rsidRPr="00075F37">
              <w:rPr>
                <w:color w:val="000000"/>
                <w:sz w:val="11"/>
                <w:szCs w:val="11"/>
              </w:rPr>
              <w:t>42</w:t>
            </w:r>
          </w:p>
        </w:tc>
        <w:tc>
          <w:tcPr>
            <w:tcW w:w="900" w:type="dxa"/>
            <w:vAlign w:val="center"/>
          </w:tcPr>
          <w:p w14:paraId="0604D8B9" w14:textId="77777777" w:rsidR="008D2850" w:rsidRPr="00075F37" w:rsidRDefault="008D2850" w:rsidP="00D61C24">
            <w:pPr>
              <w:jc w:val="center"/>
              <w:rPr>
                <w:color w:val="000000"/>
                <w:sz w:val="11"/>
                <w:szCs w:val="11"/>
              </w:rPr>
            </w:pPr>
            <w:proofErr w:type="spellStart"/>
            <w:r w:rsidRPr="00075F37">
              <w:rPr>
                <w:i/>
                <w:iCs/>
                <w:sz w:val="11"/>
                <w:szCs w:val="11"/>
              </w:rPr>
              <w:t>n.s</w:t>
            </w:r>
            <w:proofErr w:type="spellEnd"/>
            <w:r w:rsidRPr="00075F37">
              <w:rPr>
                <w:i/>
                <w:iCs/>
                <w:sz w:val="11"/>
                <w:szCs w:val="11"/>
              </w:rPr>
              <w:t>.</w:t>
            </w:r>
          </w:p>
        </w:tc>
        <w:tc>
          <w:tcPr>
            <w:tcW w:w="540" w:type="dxa"/>
            <w:vAlign w:val="center"/>
          </w:tcPr>
          <w:p w14:paraId="02FAF0C0" w14:textId="77777777" w:rsidR="008D2850" w:rsidRPr="00075F37" w:rsidRDefault="008D2850" w:rsidP="00D61C24">
            <w:pPr>
              <w:jc w:val="center"/>
              <w:rPr>
                <w:color w:val="000000"/>
                <w:sz w:val="11"/>
                <w:szCs w:val="11"/>
              </w:rPr>
            </w:pPr>
            <w:r w:rsidRPr="00075F37">
              <w:rPr>
                <w:rFonts w:ascii="Segoe UI Symbol" w:hAnsi="Segoe UI Symbol" w:cs="Segoe UI Symbol"/>
                <w:sz w:val="11"/>
                <w:szCs w:val="11"/>
              </w:rPr>
              <w:t>✓</w:t>
            </w:r>
          </w:p>
        </w:tc>
        <w:tc>
          <w:tcPr>
            <w:tcW w:w="720" w:type="dxa"/>
            <w:vAlign w:val="center"/>
          </w:tcPr>
          <w:p w14:paraId="6FF2AA6C" w14:textId="77777777" w:rsidR="008D2850" w:rsidRPr="00075F37" w:rsidRDefault="008D2850" w:rsidP="00D61C24">
            <w:pPr>
              <w:jc w:val="center"/>
              <w:rPr>
                <w:color w:val="000000"/>
                <w:sz w:val="11"/>
                <w:szCs w:val="11"/>
              </w:rPr>
            </w:pPr>
            <w:r w:rsidRPr="00075F37">
              <w:rPr>
                <w:sz w:val="11"/>
                <w:szCs w:val="11"/>
              </w:rPr>
              <w:t>n.d.</w:t>
            </w:r>
          </w:p>
        </w:tc>
      </w:tr>
      <w:tr w:rsidR="00BA3E78" w14:paraId="615FE732" w14:textId="77777777" w:rsidTr="00BA3E78">
        <w:trPr>
          <w:gridAfter w:val="1"/>
          <w:wAfter w:w="11" w:type="dxa"/>
        </w:trPr>
        <w:tc>
          <w:tcPr>
            <w:tcW w:w="1620" w:type="dxa"/>
            <w:vAlign w:val="center"/>
          </w:tcPr>
          <w:p w14:paraId="2AF7F2BE" w14:textId="77777777" w:rsidR="008D2850" w:rsidRPr="00075F37" w:rsidRDefault="008D2850" w:rsidP="00D61C24">
            <w:pPr>
              <w:jc w:val="center"/>
              <w:rPr>
                <w:sz w:val="11"/>
                <w:szCs w:val="11"/>
              </w:rPr>
            </w:pPr>
            <w:r w:rsidRPr="00075F37">
              <w:rPr>
                <w:color w:val="000000"/>
                <w:sz w:val="11"/>
                <w:szCs w:val="11"/>
              </w:rPr>
              <w:t>Lac Lalolalo, 'Uvea, Wallis</w:t>
            </w:r>
          </w:p>
        </w:tc>
        <w:tc>
          <w:tcPr>
            <w:tcW w:w="902" w:type="dxa"/>
            <w:vAlign w:val="center"/>
          </w:tcPr>
          <w:p w14:paraId="05283526" w14:textId="77777777" w:rsidR="008D2850" w:rsidRPr="00075F37" w:rsidRDefault="008D2850" w:rsidP="00D61C24">
            <w:pPr>
              <w:jc w:val="center"/>
              <w:rPr>
                <w:sz w:val="11"/>
                <w:szCs w:val="11"/>
              </w:rPr>
            </w:pPr>
            <w:r w:rsidRPr="00075F37">
              <w:rPr>
                <w:color w:val="000000"/>
                <w:sz w:val="11"/>
                <w:szCs w:val="11"/>
              </w:rPr>
              <w:t>−13.30168</w:t>
            </w:r>
          </w:p>
        </w:tc>
        <w:tc>
          <w:tcPr>
            <w:tcW w:w="810" w:type="dxa"/>
            <w:vAlign w:val="center"/>
          </w:tcPr>
          <w:p w14:paraId="728BA946" w14:textId="77777777" w:rsidR="008D2850" w:rsidRPr="00075F37" w:rsidRDefault="008D2850" w:rsidP="00D61C24">
            <w:pPr>
              <w:jc w:val="center"/>
              <w:rPr>
                <w:sz w:val="11"/>
                <w:szCs w:val="11"/>
              </w:rPr>
            </w:pPr>
            <w:r w:rsidRPr="00075F37">
              <w:rPr>
                <w:color w:val="000000"/>
                <w:sz w:val="11"/>
                <w:szCs w:val="11"/>
              </w:rPr>
              <w:t>183.768083</w:t>
            </w:r>
          </w:p>
        </w:tc>
        <w:tc>
          <w:tcPr>
            <w:tcW w:w="1100" w:type="dxa"/>
            <w:vAlign w:val="center"/>
          </w:tcPr>
          <w:p w14:paraId="72E9E4A7" w14:textId="77777777" w:rsidR="008D2850" w:rsidRPr="00075F37" w:rsidRDefault="008D2850" w:rsidP="00D61C24">
            <w:pPr>
              <w:jc w:val="center"/>
              <w:rPr>
                <w:sz w:val="11"/>
                <w:szCs w:val="11"/>
              </w:rPr>
            </w:pPr>
            <w:r w:rsidRPr="00075F37">
              <w:rPr>
                <w:color w:val="000000"/>
                <w:sz w:val="11"/>
                <w:szCs w:val="11"/>
              </w:rPr>
              <w:t>LALOUC22</w:t>
            </w:r>
          </w:p>
        </w:tc>
        <w:tc>
          <w:tcPr>
            <w:tcW w:w="658" w:type="dxa"/>
            <w:vAlign w:val="center"/>
          </w:tcPr>
          <w:p w14:paraId="11F5CF2F" w14:textId="77777777" w:rsidR="008D2850" w:rsidRPr="00075F37" w:rsidRDefault="008D2850" w:rsidP="00D61C24">
            <w:pPr>
              <w:jc w:val="center"/>
              <w:rPr>
                <w:sz w:val="11"/>
                <w:szCs w:val="11"/>
              </w:rPr>
            </w:pPr>
            <w:r w:rsidRPr="00075F37">
              <w:rPr>
                <w:color w:val="000000"/>
                <w:sz w:val="11"/>
                <w:szCs w:val="11"/>
              </w:rPr>
              <w:t>23</w:t>
            </w:r>
          </w:p>
        </w:tc>
        <w:tc>
          <w:tcPr>
            <w:tcW w:w="670" w:type="dxa"/>
            <w:vAlign w:val="center"/>
          </w:tcPr>
          <w:p w14:paraId="1E1A02F0" w14:textId="77777777" w:rsidR="008D2850" w:rsidRPr="00075F37" w:rsidRDefault="008D2850" w:rsidP="00D61C24">
            <w:pPr>
              <w:jc w:val="center"/>
              <w:rPr>
                <w:sz w:val="11"/>
                <w:szCs w:val="11"/>
              </w:rPr>
            </w:pPr>
            <w:r w:rsidRPr="00075F37">
              <w:rPr>
                <w:color w:val="000000"/>
                <w:sz w:val="11"/>
                <w:szCs w:val="11"/>
              </w:rPr>
              <w:t>1</w:t>
            </w:r>
          </w:p>
        </w:tc>
        <w:tc>
          <w:tcPr>
            <w:tcW w:w="704" w:type="dxa"/>
            <w:vAlign w:val="center"/>
          </w:tcPr>
          <w:p w14:paraId="66EF61E4" w14:textId="77777777" w:rsidR="008D2850" w:rsidRPr="00075F37" w:rsidRDefault="008D2850" w:rsidP="00D61C24">
            <w:pPr>
              <w:jc w:val="center"/>
              <w:rPr>
                <w:sz w:val="11"/>
                <w:szCs w:val="11"/>
              </w:rPr>
            </w:pPr>
            <w:r w:rsidRPr="00075F37">
              <w:rPr>
                <w:color w:val="000000"/>
                <w:sz w:val="11"/>
                <w:szCs w:val="11"/>
              </w:rPr>
              <w:t>−303</w:t>
            </w:r>
          </w:p>
        </w:tc>
        <w:tc>
          <w:tcPr>
            <w:tcW w:w="720" w:type="dxa"/>
            <w:vAlign w:val="center"/>
          </w:tcPr>
          <w:p w14:paraId="088B4438" w14:textId="77777777" w:rsidR="008D2850" w:rsidRPr="00075F37" w:rsidRDefault="008D2850" w:rsidP="00D61C24">
            <w:pPr>
              <w:jc w:val="center"/>
              <w:rPr>
                <w:sz w:val="11"/>
                <w:szCs w:val="11"/>
              </w:rPr>
            </w:pPr>
            <w:r w:rsidRPr="00075F37">
              <w:rPr>
                <w:color w:val="000000"/>
                <w:sz w:val="11"/>
                <w:szCs w:val="11"/>
              </w:rPr>
              <w:t>−240</w:t>
            </w:r>
          </w:p>
        </w:tc>
        <w:tc>
          <w:tcPr>
            <w:tcW w:w="360" w:type="dxa"/>
            <w:vAlign w:val="center"/>
          </w:tcPr>
          <w:p w14:paraId="61C4CA65" w14:textId="77777777" w:rsidR="008D2850" w:rsidRPr="00075F37" w:rsidRDefault="008D2850" w:rsidP="00D61C24">
            <w:pPr>
              <w:jc w:val="center"/>
              <w:rPr>
                <w:sz w:val="11"/>
                <w:szCs w:val="11"/>
              </w:rPr>
            </w:pPr>
            <w:r w:rsidRPr="00075F37">
              <w:rPr>
                <w:color w:val="000000"/>
                <w:sz w:val="11"/>
                <w:szCs w:val="11"/>
              </w:rPr>
              <w:t>7</w:t>
            </w:r>
          </w:p>
        </w:tc>
        <w:tc>
          <w:tcPr>
            <w:tcW w:w="720" w:type="dxa"/>
            <w:vAlign w:val="center"/>
          </w:tcPr>
          <w:p w14:paraId="55956B6B" w14:textId="77777777" w:rsidR="008D2850" w:rsidRPr="00075F37" w:rsidRDefault="008D2850" w:rsidP="00D61C24">
            <w:pPr>
              <w:jc w:val="center"/>
              <w:rPr>
                <w:sz w:val="11"/>
                <w:szCs w:val="11"/>
              </w:rPr>
            </w:pPr>
            <w:r w:rsidRPr="00075F37">
              <w:rPr>
                <w:color w:val="000000"/>
                <w:sz w:val="11"/>
                <w:szCs w:val="11"/>
              </w:rPr>
              <w:t>42</w:t>
            </w:r>
          </w:p>
        </w:tc>
        <w:tc>
          <w:tcPr>
            <w:tcW w:w="900" w:type="dxa"/>
            <w:vAlign w:val="center"/>
          </w:tcPr>
          <w:p w14:paraId="6046C2D5" w14:textId="77777777" w:rsidR="008D2850" w:rsidRPr="00075F37" w:rsidRDefault="008D2850" w:rsidP="00D61C24">
            <w:pPr>
              <w:jc w:val="center"/>
              <w:rPr>
                <w:color w:val="000000"/>
                <w:sz w:val="11"/>
                <w:szCs w:val="11"/>
              </w:rPr>
            </w:pPr>
            <w:proofErr w:type="spellStart"/>
            <w:r w:rsidRPr="00075F37">
              <w:rPr>
                <w:i/>
                <w:iCs/>
                <w:sz w:val="11"/>
                <w:szCs w:val="11"/>
              </w:rPr>
              <w:t>n.s</w:t>
            </w:r>
            <w:proofErr w:type="spellEnd"/>
            <w:r w:rsidRPr="00075F37">
              <w:rPr>
                <w:i/>
                <w:iCs/>
                <w:sz w:val="11"/>
                <w:szCs w:val="11"/>
              </w:rPr>
              <w:t>.</w:t>
            </w:r>
          </w:p>
        </w:tc>
        <w:tc>
          <w:tcPr>
            <w:tcW w:w="540" w:type="dxa"/>
            <w:vAlign w:val="center"/>
          </w:tcPr>
          <w:p w14:paraId="15AD52DA" w14:textId="77777777" w:rsidR="008D2850" w:rsidRPr="00075F37" w:rsidRDefault="008D2850" w:rsidP="00D61C24">
            <w:pPr>
              <w:jc w:val="center"/>
              <w:rPr>
                <w:color w:val="000000"/>
                <w:sz w:val="11"/>
                <w:szCs w:val="11"/>
              </w:rPr>
            </w:pPr>
            <w:r w:rsidRPr="00075F37">
              <w:rPr>
                <w:sz w:val="11"/>
                <w:szCs w:val="11"/>
              </w:rPr>
              <w:t>n.d.</w:t>
            </w:r>
          </w:p>
        </w:tc>
        <w:tc>
          <w:tcPr>
            <w:tcW w:w="720" w:type="dxa"/>
            <w:vAlign w:val="center"/>
          </w:tcPr>
          <w:p w14:paraId="35503722" w14:textId="77777777" w:rsidR="008D2850" w:rsidRPr="00075F37" w:rsidRDefault="008D2850" w:rsidP="00D61C24">
            <w:pPr>
              <w:jc w:val="center"/>
              <w:rPr>
                <w:color w:val="000000"/>
                <w:sz w:val="11"/>
                <w:szCs w:val="11"/>
              </w:rPr>
            </w:pPr>
            <w:r w:rsidRPr="00075F37">
              <w:rPr>
                <w:sz w:val="11"/>
                <w:szCs w:val="11"/>
              </w:rPr>
              <w:t>n.d.</w:t>
            </w:r>
          </w:p>
        </w:tc>
      </w:tr>
      <w:tr w:rsidR="00BA3E78" w14:paraId="1EC113EF" w14:textId="77777777" w:rsidTr="00BA3E78">
        <w:trPr>
          <w:gridAfter w:val="1"/>
          <w:wAfter w:w="11" w:type="dxa"/>
        </w:trPr>
        <w:tc>
          <w:tcPr>
            <w:tcW w:w="1620" w:type="dxa"/>
            <w:vAlign w:val="center"/>
          </w:tcPr>
          <w:p w14:paraId="37354CD2" w14:textId="77777777" w:rsidR="008D2850" w:rsidRPr="00075F37" w:rsidRDefault="008D2850" w:rsidP="00D61C24">
            <w:pPr>
              <w:jc w:val="center"/>
              <w:rPr>
                <w:sz w:val="11"/>
                <w:szCs w:val="11"/>
              </w:rPr>
            </w:pPr>
            <w:r w:rsidRPr="00075F37">
              <w:rPr>
                <w:color w:val="000000"/>
                <w:sz w:val="11"/>
                <w:szCs w:val="11"/>
              </w:rPr>
              <w:t>Lac Lalolalo, 'Uvea, Wallis</w:t>
            </w:r>
          </w:p>
        </w:tc>
        <w:tc>
          <w:tcPr>
            <w:tcW w:w="902" w:type="dxa"/>
            <w:vAlign w:val="center"/>
          </w:tcPr>
          <w:p w14:paraId="12D0DE19" w14:textId="77777777" w:rsidR="008D2850" w:rsidRPr="00075F37" w:rsidRDefault="008D2850" w:rsidP="00D61C24">
            <w:pPr>
              <w:jc w:val="center"/>
              <w:rPr>
                <w:sz w:val="11"/>
                <w:szCs w:val="11"/>
              </w:rPr>
            </w:pPr>
            <w:r w:rsidRPr="00075F37">
              <w:rPr>
                <w:color w:val="000000"/>
                <w:sz w:val="11"/>
                <w:szCs w:val="11"/>
              </w:rPr>
              <w:t>−13.30168</w:t>
            </w:r>
          </w:p>
        </w:tc>
        <w:tc>
          <w:tcPr>
            <w:tcW w:w="810" w:type="dxa"/>
            <w:vAlign w:val="center"/>
          </w:tcPr>
          <w:p w14:paraId="71E51555" w14:textId="77777777" w:rsidR="008D2850" w:rsidRPr="00075F37" w:rsidRDefault="008D2850" w:rsidP="00D61C24">
            <w:pPr>
              <w:jc w:val="center"/>
              <w:rPr>
                <w:sz w:val="11"/>
                <w:szCs w:val="11"/>
              </w:rPr>
            </w:pPr>
            <w:r w:rsidRPr="00075F37">
              <w:rPr>
                <w:color w:val="000000"/>
                <w:sz w:val="11"/>
                <w:szCs w:val="11"/>
              </w:rPr>
              <w:t>183.768039</w:t>
            </w:r>
          </w:p>
        </w:tc>
        <w:tc>
          <w:tcPr>
            <w:tcW w:w="1100" w:type="dxa"/>
            <w:vAlign w:val="center"/>
          </w:tcPr>
          <w:p w14:paraId="7C705D2E" w14:textId="77777777" w:rsidR="008D2850" w:rsidRPr="00075F37" w:rsidRDefault="008D2850" w:rsidP="00D61C24">
            <w:pPr>
              <w:jc w:val="center"/>
              <w:rPr>
                <w:sz w:val="11"/>
                <w:szCs w:val="11"/>
              </w:rPr>
            </w:pPr>
            <w:r w:rsidRPr="00075F37">
              <w:rPr>
                <w:color w:val="000000"/>
                <w:sz w:val="11"/>
                <w:szCs w:val="11"/>
              </w:rPr>
              <w:t>LALOUC24</w:t>
            </w:r>
          </w:p>
        </w:tc>
        <w:tc>
          <w:tcPr>
            <w:tcW w:w="658" w:type="dxa"/>
            <w:vAlign w:val="center"/>
          </w:tcPr>
          <w:p w14:paraId="7DB39EED" w14:textId="77777777" w:rsidR="008D2850" w:rsidRPr="00075F37" w:rsidRDefault="008D2850" w:rsidP="00D61C24">
            <w:pPr>
              <w:jc w:val="center"/>
              <w:rPr>
                <w:sz w:val="11"/>
                <w:szCs w:val="11"/>
              </w:rPr>
            </w:pPr>
            <w:r w:rsidRPr="00075F37">
              <w:rPr>
                <w:color w:val="000000"/>
                <w:sz w:val="11"/>
                <w:szCs w:val="11"/>
              </w:rPr>
              <w:t>24</w:t>
            </w:r>
          </w:p>
        </w:tc>
        <w:tc>
          <w:tcPr>
            <w:tcW w:w="670" w:type="dxa"/>
            <w:vAlign w:val="center"/>
          </w:tcPr>
          <w:p w14:paraId="6EE4D59E" w14:textId="77777777" w:rsidR="008D2850" w:rsidRPr="00075F37" w:rsidRDefault="008D2850" w:rsidP="00D61C24">
            <w:pPr>
              <w:jc w:val="center"/>
              <w:rPr>
                <w:sz w:val="11"/>
                <w:szCs w:val="11"/>
              </w:rPr>
            </w:pPr>
            <w:r w:rsidRPr="00075F37">
              <w:rPr>
                <w:color w:val="000000"/>
                <w:sz w:val="11"/>
                <w:szCs w:val="11"/>
              </w:rPr>
              <w:t>1</w:t>
            </w:r>
          </w:p>
        </w:tc>
        <w:tc>
          <w:tcPr>
            <w:tcW w:w="704" w:type="dxa"/>
            <w:vAlign w:val="center"/>
          </w:tcPr>
          <w:p w14:paraId="5BE40169" w14:textId="77777777" w:rsidR="008D2850" w:rsidRPr="00075F37" w:rsidRDefault="008D2850" w:rsidP="00D61C24">
            <w:pPr>
              <w:jc w:val="center"/>
              <w:rPr>
                <w:sz w:val="11"/>
                <w:szCs w:val="11"/>
              </w:rPr>
            </w:pPr>
            <w:r w:rsidRPr="00075F37">
              <w:rPr>
                <w:color w:val="000000"/>
                <w:sz w:val="11"/>
                <w:szCs w:val="11"/>
              </w:rPr>
              <w:t>−292</w:t>
            </w:r>
          </w:p>
        </w:tc>
        <w:tc>
          <w:tcPr>
            <w:tcW w:w="720" w:type="dxa"/>
            <w:vAlign w:val="center"/>
          </w:tcPr>
          <w:p w14:paraId="55171274" w14:textId="77777777" w:rsidR="008D2850" w:rsidRPr="00075F37" w:rsidRDefault="008D2850" w:rsidP="00D61C24">
            <w:pPr>
              <w:jc w:val="center"/>
              <w:rPr>
                <w:sz w:val="11"/>
                <w:szCs w:val="11"/>
              </w:rPr>
            </w:pPr>
            <w:r w:rsidRPr="00075F37">
              <w:rPr>
                <w:color w:val="000000"/>
                <w:sz w:val="11"/>
                <w:szCs w:val="11"/>
              </w:rPr>
              <w:t>−242</w:t>
            </w:r>
          </w:p>
        </w:tc>
        <w:tc>
          <w:tcPr>
            <w:tcW w:w="360" w:type="dxa"/>
            <w:vAlign w:val="center"/>
          </w:tcPr>
          <w:p w14:paraId="712BC8E6" w14:textId="77777777" w:rsidR="008D2850" w:rsidRPr="00075F37" w:rsidRDefault="008D2850" w:rsidP="00D61C24">
            <w:pPr>
              <w:jc w:val="center"/>
              <w:rPr>
                <w:sz w:val="11"/>
                <w:szCs w:val="11"/>
              </w:rPr>
            </w:pPr>
            <w:r w:rsidRPr="00075F37">
              <w:rPr>
                <w:color w:val="000000"/>
                <w:sz w:val="11"/>
                <w:szCs w:val="11"/>
              </w:rPr>
              <w:t>6</w:t>
            </w:r>
          </w:p>
        </w:tc>
        <w:tc>
          <w:tcPr>
            <w:tcW w:w="720" w:type="dxa"/>
            <w:vAlign w:val="center"/>
          </w:tcPr>
          <w:p w14:paraId="37C71AD0" w14:textId="77777777" w:rsidR="008D2850" w:rsidRPr="00075F37" w:rsidRDefault="008D2850" w:rsidP="00D61C24">
            <w:pPr>
              <w:jc w:val="center"/>
              <w:rPr>
                <w:sz w:val="11"/>
                <w:szCs w:val="11"/>
              </w:rPr>
            </w:pPr>
            <w:r w:rsidRPr="00075F37">
              <w:rPr>
                <w:color w:val="000000"/>
                <w:sz w:val="11"/>
                <w:szCs w:val="11"/>
              </w:rPr>
              <w:t>45</w:t>
            </w:r>
          </w:p>
        </w:tc>
        <w:tc>
          <w:tcPr>
            <w:tcW w:w="900" w:type="dxa"/>
            <w:vAlign w:val="center"/>
          </w:tcPr>
          <w:p w14:paraId="6C5C6FC2" w14:textId="77777777" w:rsidR="008D2850" w:rsidRPr="00075F37" w:rsidRDefault="008D2850" w:rsidP="00D61C24">
            <w:pPr>
              <w:jc w:val="center"/>
              <w:rPr>
                <w:color w:val="000000"/>
                <w:sz w:val="11"/>
                <w:szCs w:val="11"/>
              </w:rPr>
            </w:pPr>
            <w:proofErr w:type="spellStart"/>
            <w:r w:rsidRPr="00075F37">
              <w:rPr>
                <w:i/>
                <w:iCs/>
                <w:sz w:val="11"/>
                <w:szCs w:val="11"/>
              </w:rPr>
              <w:t>n.s</w:t>
            </w:r>
            <w:proofErr w:type="spellEnd"/>
            <w:r w:rsidRPr="00075F37">
              <w:rPr>
                <w:i/>
                <w:iCs/>
                <w:sz w:val="11"/>
                <w:szCs w:val="11"/>
              </w:rPr>
              <w:t>.</w:t>
            </w:r>
          </w:p>
        </w:tc>
        <w:tc>
          <w:tcPr>
            <w:tcW w:w="540" w:type="dxa"/>
            <w:vAlign w:val="center"/>
          </w:tcPr>
          <w:p w14:paraId="31384948" w14:textId="77777777" w:rsidR="008D2850" w:rsidRPr="00075F37" w:rsidRDefault="008D2850" w:rsidP="00D61C24">
            <w:pPr>
              <w:jc w:val="center"/>
              <w:rPr>
                <w:color w:val="000000"/>
                <w:sz w:val="11"/>
                <w:szCs w:val="11"/>
              </w:rPr>
            </w:pPr>
            <w:r w:rsidRPr="00075F37">
              <w:rPr>
                <w:sz w:val="11"/>
                <w:szCs w:val="11"/>
              </w:rPr>
              <w:t>n.d.</w:t>
            </w:r>
          </w:p>
        </w:tc>
        <w:tc>
          <w:tcPr>
            <w:tcW w:w="720" w:type="dxa"/>
            <w:vAlign w:val="center"/>
          </w:tcPr>
          <w:p w14:paraId="576026E5" w14:textId="77777777" w:rsidR="008D2850" w:rsidRPr="00075F37" w:rsidRDefault="008D2850" w:rsidP="00D61C24">
            <w:pPr>
              <w:jc w:val="center"/>
              <w:rPr>
                <w:color w:val="000000"/>
                <w:sz w:val="11"/>
                <w:szCs w:val="11"/>
              </w:rPr>
            </w:pPr>
            <w:r w:rsidRPr="00075F37">
              <w:rPr>
                <w:sz w:val="11"/>
                <w:szCs w:val="11"/>
              </w:rPr>
              <w:t>n.d.</w:t>
            </w:r>
          </w:p>
        </w:tc>
      </w:tr>
      <w:tr w:rsidR="00BA3E78" w14:paraId="349FE456" w14:textId="77777777" w:rsidTr="00BA3E78">
        <w:trPr>
          <w:gridAfter w:val="1"/>
          <w:wAfter w:w="11" w:type="dxa"/>
        </w:trPr>
        <w:tc>
          <w:tcPr>
            <w:tcW w:w="1620" w:type="dxa"/>
            <w:vAlign w:val="center"/>
          </w:tcPr>
          <w:p w14:paraId="70266B26" w14:textId="77777777" w:rsidR="008D2850" w:rsidRPr="00075F37" w:rsidRDefault="008D2850" w:rsidP="00D61C24">
            <w:pPr>
              <w:jc w:val="center"/>
              <w:rPr>
                <w:sz w:val="11"/>
                <w:szCs w:val="11"/>
              </w:rPr>
            </w:pPr>
            <w:r w:rsidRPr="00075F37">
              <w:rPr>
                <w:color w:val="000000"/>
                <w:sz w:val="11"/>
                <w:szCs w:val="11"/>
              </w:rPr>
              <w:t>Lac Lanutavake, 'Uvea, Wallis</w:t>
            </w:r>
          </w:p>
        </w:tc>
        <w:tc>
          <w:tcPr>
            <w:tcW w:w="902" w:type="dxa"/>
            <w:vAlign w:val="center"/>
          </w:tcPr>
          <w:p w14:paraId="0CE97AE8" w14:textId="77777777" w:rsidR="008D2850" w:rsidRPr="00075F37" w:rsidRDefault="008D2850" w:rsidP="00D61C24">
            <w:pPr>
              <w:jc w:val="center"/>
              <w:rPr>
                <w:sz w:val="11"/>
                <w:szCs w:val="11"/>
              </w:rPr>
            </w:pPr>
            <w:r w:rsidRPr="00075F37">
              <w:rPr>
                <w:color w:val="000000"/>
                <w:sz w:val="11"/>
                <w:szCs w:val="11"/>
              </w:rPr>
              <w:t>−13.32118</w:t>
            </w:r>
          </w:p>
        </w:tc>
        <w:tc>
          <w:tcPr>
            <w:tcW w:w="810" w:type="dxa"/>
            <w:vAlign w:val="center"/>
          </w:tcPr>
          <w:p w14:paraId="741CD18C" w14:textId="77777777" w:rsidR="008D2850" w:rsidRPr="00075F37" w:rsidRDefault="008D2850" w:rsidP="00D61C24">
            <w:pPr>
              <w:jc w:val="center"/>
              <w:rPr>
                <w:sz w:val="11"/>
                <w:szCs w:val="11"/>
              </w:rPr>
            </w:pPr>
            <w:r w:rsidRPr="00075F37">
              <w:rPr>
                <w:color w:val="000000"/>
                <w:sz w:val="11"/>
                <w:szCs w:val="11"/>
              </w:rPr>
              <w:t>183.786033</w:t>
            </w:r>
          </w:p>
        </w:tc>
        <w:tc>
          <w:tcPr>
            <w:tcW w:w="1100" w:type="dxa"/>
            <w:vAlign w:val="center"/>
          </w:tcPr>
          <w:p w14:paraId="109FDBB4" w14:textId="77777777" w:rsidR="008D2850" w:rsidRPr="00075F37" w:rsidRDefault="008D2850" w:rsidP="00D61C24">
            <w:pPr>
              <w:jc w:val="center"/>
              <w:rPr>
                <w:sz w:val="11"/>
                <w:szCs w:val="11"/>
              </w:rPr>
            </w:pPr>
            <w:r w:rsidRPr="00075F37">
              <w:rPr>
                <w:color w:val="000000"/>
                <w:sz w:val="11"/>
                <w:szCs w:val="11"/>
              </w:rPr>
              <w:t>LATVKUC1</w:t>
            </w:r>
          </w:p>
        </w:tc>
        <w:tc>
          <w:tcPr>
            <w:tcW w:w="658" w:type="dxa"/>
            <w:vAlign w:val="center"/>
          </w:tcPr>
          <w:p w14:paraId="5FBC34F9" w14:textId="77777777" w:rsidR="008D2850" w:rsidRPr="00075F37" w:rsidRDefault="008D2850" w:rsidP="00D61C24">
            <w:pPr>
              <w:jc w:val="center"/>
              <w:rPr>
                <w:sz w:val="11"/>
                <w:szCs w:val="11"/>
              </w:rPr>
            </w:pPr>
            <w:r w:rsidRPr="00075F37">
              <w:rPr>
                <w:color w:val="000000"/>
                <w:sz w:val="11"/>
                <w:szCs w:val="11"/>
              </w:rPr>
              <w:t>23.3</w:t>
            </w:r>
          </w:p>
        </w:tc>
        <w:tc>
          <w:tcPr>
            <w:tcW w:w="670" w:type="dxa"/>
            <w:vAlign w:val="center"/>
          </w:tcPr>
          <w:p w14:paraId="52491138" w14:textId="77777777" w:rsidR="008D2850" w:rsidRPr="00075F37" w:rsidRDefault="008D2850" w:rsidP="00D61C24">
            <w:pPr>
              <w:jc w:val="center"/>
              <w:rPr>
                <w:sz w:val="11"/>
                <w:szCs w:val="11"/>
              </w:rPr>
            </w:pPr>
            <w:r w:rsidRPr="00075F37">
              <w:rPr>
                <w:color w:val="000000"/>
                <w:sz w:val="11"/>
                <w:szCs w:val="11"/>
              </w:rPr>
              <w:t>13</w:t>
            </w:r>
          </w:p>
        </w:tc>
        <w:tc>
          <w:tcPr>
            <w:tcW w:w="704" w:type="dxa"/>
            <w:vAlign w:val="center"/>
          </w:tcPr>
          <w:p w14:paraId="5826663D" w14:textId="77777777" w:rsidR="008D2850" w:rsidRPr="00075F37" w:rsidRDefault="008D2850" w:rsidP="00D61C24">
            <w:pPr>
              <w:jc w:val="center"/>
              <w:rPr>
                <w:sz w:val="11"/>
                <w:szCs w:val="11"/>
              </w:rPr>
            </w:pPr>
            <w:r w:rsidRPr="00075F37">
              <w:rPr>
                <w:color w:val="000000"/>
                <w:sz w:val="11"/>
                <w:szCs w:val="11"/>
              </w:rPr>
              <w:t>−294</w:t>
            </w:r>
          </w:p>
        </w:tc>
        <w:tc>
          <w:tcPr>
            <w:tcW w:w="720" w:type="dxa"/>
            <w:vAlign w:val="center"/>
          </w:tcPr>
          <w:p w14:paraId="542D0448" w14:textId="77777777" w:rsidR="008D2850" w:rsidRPr="00075F37" w:rsidRDefault="008D2850" w:rsidP="00D61C24">
            <w:pPr>
              <w:jc w:val="center"/>
              <w:rPr>
                <w:sz w:val="11"/>
                <w:szCs w:val="11"/>
              </w:rPr>
            </w:pPr>
            <w:r w:rsidRPr="00075F37">
              <w:rPr>
                <w:color w:val="000000"/>
                <w:sz w:val="11"/>
                <w:szCs w:val="11"/>
              </w:rPr>
              <w:t>−279</w:t>
            </w:r>
          </w:p>
        </w:tc>
        <w:tc>
          <w:tcPr>
            <w:tcW w:w="360" w:type="dxa"/>
            <w:vAlign w:val="center"/>
          </w:tcPr>
          <w:p w14:paraId="5E0A1AFE" w14:textId="77777777" w:rsidR="008D2850" w:rsidRPr="00075F37" w:rsidRDefault="008D2850" w:rsidP="00D61C24">
            <w:pPr>
              <w:jc w:val="center"/>
              <w:rPr>
                <w:sz w:val="11"/>
                <w:szCs w:val="11"/>
              </w:rPr>
            </w:pPr>
            <w:r w:rsidRPr="00075F37">
              <w:rPr>
                <w:color w:val="000000"/>
                <w:sz w:val="11"/>
                <w:szCs w:val="11"/>
              </w:rPr>
              <w:t>24</w:t>
            </w:r>
          </w:p>
        </w:tc>
        <w:tc>
          <w:tcPr>
            <w:tcW w:w="720" w:type="dxa"/>
            <w:vAlign w:val="center"/>
          </w:tcPr>
          <w:p w14:paraId="44BA5E23" w14:textId="77777777" w:rsidR="008D2850" w:rsidRPr="00075F37" w:rsidRDefault="008D2850" w:rsidP="00D61C24">
            <w:pPr>
              <w:jc w:val="center"/>
              <w:rPr>
                <w:sz w:val="11"/>
                <w:szCs w:val="11"/>
              </w:rPr>
            </w:pPr>
            <w:r w:rsidRPr="00075F37">
              <w:rPr>
                <w:color w:val="000000"/>
                <w:sz w:val="11"/>
                <w:szCs w:val="11"/>
              </w:rPr>
              <w:t>16</w:t>
            </w:r>
          </w:p>
        </w:tc>
        <w:tc>
          <w:tcPr>
            <w:tcW w:w="900" w:type="dxa"/>
            <w:vAlign w:val="center"/>
          </w:tcPr>
          <w:p w14:paraId="3CBA32B7" w14:textId="77777777" w:rsidR="008D2850" w:rsidRPr="00075F37" w:rsidRDefault="008D2850" w:rsidP="00D61C24">
            <w:pPr>
              <w:jc w:val="center"/>
              <w:rPr>
                <w:color w:val="000000"/>
                <w:sz w:val="11"/>
                <w:szCs w:val="11"/>
              </w:rPr>
            </w:pPr>
            <w:r w:rsidRPr="00075F37">
              <w:rPr>
                <w:sz w:val="11"/>
                <w:szCs w:val="11"/>
              </w:rPr>
              <w:t>1.2</w:t>
            </w:r>
          </w:p>
        </w:tc>
        <w:tc>
          <w:tcPr>
            <w:tcW w:w="540" w:type="dxa"/>
            <w:vAlign w:val="center"/>
          </w:tcPr>
          <w:p w14:paraId="4E3873B1" w14:textId="77777777" w:rsidR="008D2850" w:rsidRPr="00075F37" w:rsidRDefault="008D2850" w:rsidP="00D61C24">
            <w:pPr>
              <w:jc w:val="center"/>
              <w:rPr>
                <w:color w:val="000000"/>
                <w:sz w:val="11"/>
                <w:szCs w:val="11"/>
              </w:rPr>
            </w:pPr>
            <w:r w:rsidRPr="00075F37">
              <w:rPr>
                <w:rFonts w:ascii="Segoe UI Symbol" w:hAnsi="Segoe UI Symbol" w:cs="Segoe UI Symbol"/>
                <w:sz w:val="11"/>
                <w:szCs w:val="11"/>
              </w:rPr>
              <w:t>✓</w:t>
            </w:r>
          </w:p>
        </w:tc>
        <w:tc>
          <w:tcPr>
            <w:tcW w:w="720" w:type="dxa"/>
            <w:vAlign w:val="center"/>
          </w:tcPr>
          <w:p w14:paraId="66BB25A4" w14:textId="77777777" w:rsidR="008D2850" w:rsidRPr="00075F37" w:rsidRDefault="008D2850" w:rsidP="00D61C24">
            <w:pPr>
              <w:jc w:val="center"/>
              <w:rPr>
                <w:color w:val="000000"/>
                <w:sz w:val="11"/>
                <w:szCs w:val="11"/>
              </w:rPr>
            </w:pPr>
            <w:r w:rsidRPr="00075F37">
              <w:rPr>
                <w:sz w:val="11"/>
                <w:szCs w:val="11"/>
              </w:rPr>
              <w:t>n.d.</w:t>
            </w:r>
          </w:p>
        </w:tc>
      </w:tr>
      <w:tr w:rsidR="00BA3E78" w14:paraId="0CC3A7FB" w14:textId="77777777" w:rsidTr="00BA3E78">
        <w:trPr>
          <w:gridAfter w:val="1"/>
          <w:wAfter w:w="11" w:type="dxa"/>
        </w:trPr>
        <w:tc>
          <w:tcPr>
            <w:tcW w:w="1620" w:type="dxa"/>
            <w:vAlign w:val="center"/>
          </w:tcPr>
          <w:p w14:paraId="75079653" w14:textId="77777777" w:rsidR="008D2850" w:rsidRPr="00075F37" w:rsidRDefault="008D2850" w:rsidP="00D61C24">
            <w:pPr>
              <w:jc w:val="center"/>
              <w:rPr>
                <w:sz w:val="11"/>
                <w:szCs w:val="11"/>
              </w:rPr>
            </w:pPr>
            <w:r w:rsidRPr="00075F37">
              <w:rPr>
                <w:color w:val="000000"/>
                <w:sz w:val="11"/>
                <w:szCs w:val="11"/>
              </w:rPr>
              <w:t>Lac Lanutavake, 'Uvea, Wallis</w:t>
            </w:r>
          </w:p>
        </w:tc>
        <w:tc>
          <w:tcPr>
            <w:tcW w:w="902" w:type="dxa"/>
            <w:vAlign w:val="center"/>
          </w:tcPr>
          <w:p w14:paraId="3F1EDB40" w14:textId="77777777" w:rsidR="008D2850" w:rsidRPr="00075F37" w:rsidRDefault="008D2850" w:rsidP="00D61C24">
            <w:pPr>
              <w:jc w:val="center"/>
              <w:rPr>
                <w:sz w:val="11"/>
                <w:szCs w:val="11"/>
              </w:rPr>
            </w:pPr>
            <w:r w:rsidRPr="00075F37">
              <w:rPr>
                <w:color w:val="000000"/>
                <w:sz w:val="11"/>
                <w:szCs w:val="11"/>
              </w:rPr>
              <w:t>−13.32115</w:t>
            </w:r>
          </w:p>
        </w:tc>
        <w:tc>
          <w:tcPr>
            <w:tcW w:w="810" w:type="dxa"/>
            <w:vAlign w:val="center"/>
          </w:tcPr>
          <w:p w14:paraId="1DCDEBB6" w14:textId="77777777" w:rsidR="008D2850" w:rsidRPr="00075F37" w:rsidRDefault="008D2850" w:rsidP="00D61C24">
            <w:pPr>
              <w:jc w:val="center"/>
              <w:rPr>
                <w:sz w:val="11"/>
                <w:szCs w:val="11"/>
              </w:rPr>
            </w:pPr>
            <w:r w:rsidRPr="00075F37">
              <w:rPr>
                <w:color w:val="000000"/>
                <w:sz w:val="11"/>
                <w:szCs w:val="11"/>
              </w:rPr>
              <w:t>183.786133</w:t>
            </w:r>
          </w:p>
        </w:tc>
        <w:tc>
          <w:tcPr>
            <w:tcW w:w="1100" w:type="dxa"/>
            <w:vAlign w:val="center"/>
          </w:tcPr>
          <w:p w14:paraId="7FD86733" w14:textId="77777777" w:rsidR="008D2850" w:rsidRPr="00075F37" w:rsidRDefault="008D2850" w:rsidP="00D61C24">
            <w:pPr>
              <w:jc w:val="center"/>
              <w:rPr>
                <w:sz w:val="11"/>
                <w:szCs w:val="11"/>
              </w:rPr>
            </w:pPr>
            <w:r w:rsidRPr="00075F37">
              <w:rPr>
                <w:color w:val="000000"/>
                <w:sz w:val="11"/>
                <w:szCs w:val="11"/>
              </w:rPr>
              <w:t>LATVKUC4</w:t>
            </w:r>
          </w:p>
        </w:tc>
        <w:tc>
          <w:tcPr>
            <w:tcW w:w="658" w:type="dxa"/>
            <w:vAlign w:val="center"/>
          </w:tcPr>
          <w:p w14:paraId="2BFC17AC" w14:textId="77777777" w:rsidR="008D2850" w:rsidRPr="00075F37" w:rsidRDefault="008D2850" w:rsidP="00D61C24">
            <w:pPr>
              <w:jc w:val="center"/>
              <w:rPr>
                <w:sz w:val="11"/>
                <w:szCs w:val="11"/>
              </w:rPr>
            </w:pPr>
            <w:r w:rsidRPr="00075F37">
              <w:rPr>
                <w:color w:val="000000"/>
                <w:sz w:val="11"/>
                <w:szCs w:val="11"/>
              </w:rPr>
              <w:t>23.2</w:t>
            </w:r>
          </w:p>
        </w:tc>
        <w:tc>
          <w:tcPr>
            <w:tcW w:w="670" w:type="dxa"/>
            <w:vAlign w:val="center"/>
          </w:tcPr>
          <w:p w14:paraId="0124FCFA" w14:textId="77777777" w:rsidR="008D2850" w:rsidRPr="00075F37" w:rsidRDefault="008D2850" w:rsidP="00D61C24">
            <w:pPr>
              <w:jc w:val="center"/>
              <w:rPr>
                <w:sz w:val="11"/>
                <w:szCs w:val="11"/>
              </w:rPr>
            </w:pPr>
            <w:r w:rsidRPr="00075F37">
              <w:rPr>
                <w:color w:val="000000"/>
                <w:sz w:val="11"/>
                <w:szCs w:val="11"/>
              </w:rPr>
              <w:t>13</w:t>
            </w:r>
          </w:p>
        </w:tc>
        <w:tc>
          <w:tcPr>
            <w:tcW w:w="704" w:type="dxa"/>
            <w:vAlign w:val="center"/>
          </w:tcPr>
          <w:p w14:paraId="0309ADFC" w14:textId="77777777" w:rsidR="008D2850" w:rsidRPr="00075F37" w:rsidRDefault="008D2850" w:rsidP="00D61C24">
            <w:pPr>
              <w:jc w:val="center"/>
              <w:rPr>
                <w:sz w:val="11"/>
                <w:szCs w:val="11"/>
              </w:rPr>
            </w:pPr>
            <w:r w:rsidRPr="00075F37">
              <w:rPr>
                <w:color w:val="000000"/>
                <w:sz w:val="11"/>
                <w:szCs w:val="11"/>
              </w:rPr>
              <w:t>−297</w:t>
            </w:r>
          </w:p>
        </w:tc>
        <w:tc>
          <w:tcPr>
            <w:tcW w:w="720" w:type="dxa"/>
            <w:vAlign w:val="center"/>
          </w:tcPr>
          <w:p w14:paraId="256441A4" w14:textId="77777777" w:rsidR="008D2850" w:rsidRPr="00075F37" w:rsidRDefault="008D2850" w:rsidP="00D61C24">
            <w:pPr>
              <w:jc w:val="center"/>
              <w:rPr>
                <w:sz w:val="11"/>
                <w:szCs w:val="11"/>
              </w:rPr>
            </w:pPr>
            <w:r w:rsidRPr="00075F37">
              <w:rPr>
                <w:color w:val="000000"/>
                <w:sz w:val="11"/>
                <w:szCs w:val="11"/>
              </w:rPr>
              <w:t>−277</w:t>
            </w:r>
          </w:p>
        </w:tc>
        <w:tc>
          <w:tcPr>
            <w:tcW w:w="360" w:type="dxa"/>
            <w:vAlign w:val="center"/>
          </w:tcPr>
          <w:p w14:paraId="1236EC2F" w14:textId="77777777" w:rsidR="008D2850" w:rsidRPr="00075F37" w:rsidRDefault="008D2850" w:rsidP="00D61C24">
            <w:pPr>
              <w:jc w:val="center"/>
              <w:rPr>
                <w:sz w:val="11"/>
                <w:szCs w:val="11"/>
              </w:rPr>
            </w:pPr>
            <w:r w:rsidRPr="00075F37">
              <w:rPr>
                <w:color w:val="000000"/>
                <w:sz w:val="11"/>
                <w:szCs w:val="11"/>
              </w:rPr>
              <w:t>29</w:t>
            </w:r>
          </w:p>
        </w:tc>
        <w:tc>
          <w:tcPr>
            <w:tcW w:w="720" w:type="dxa"/>
            <w:vAlign w:val="center"/>
          </w:tcPr>
          <w:p w14:paraId="600F89B9" w14:textId="77777777" w:rsidR="008D2850" w:rsidRPr="00075F37" w:rsidRDefault="008D2850" w:rsidP="00D61C24">
            <w:pPr>
              <w:jc w:val="center"/>
              <w:rPr>
                <w:sz w:val="11"/>
                <w:szCs w:val="11"/>
              </w:rPr>
            </w:pPr>
            <w:r w:rsidRPr="00075F37">
              <w:rPr>
                <w:color w:val="000000"/>
                <w:sz w:val="11"/>
                <w:szCs w:val="11"/>
              </w:rPr>
              <w:t>20</w:t>
            </w:r>
          </w:p>
        </w:tc>
        <w:tc>
          <w:tcPr>
            <w:tcW w:w="900" w:type="dxa"/>
            <w:vAlign w:val="center"/>
          </w:tcPr>
          <w:p w14:paraId="4F235AB5" w14:textId="77777777" w:rsidR="008D2850" w:rsidRPr="00075F37" w:rsidRDefault="008D2850" w:rsidP="00D61C24">
            <w:pPr>
              <w:jc w:val="center"/>
              <w:rPr>
                <w:color w:val="000000"/>
                <w:sz w:val="11"/>
                <w:szCs w:val="11"/>
              </w:rPr>
            </w:pPr>
            <w:r w:rsidRPr="00075F37">
              <w:rPr>
                <w:sz w:val="11"/>
                <w:szCs w:val="11"/>
              </w:rPr>
              <w:t>1.6</w:t>
            </w:r>
          </w:p>
        </w:tc>
        <w:tc>
          <w:tcPr>
            <w:tcW w:w="540" w:type="dxa"/>
            <w:vAlign w:val="center"/>
          </w:tcPr>
          <w:p w14:paraId="1A5BA17B" w14:textId="77777777" w:rsidR="008D2850" w:rsidRPr="00075F37" w:rsidRDefault="008D2850" w:rsidP="00D61C24">
            <w:pPr>
              <w:jc w:val="center"/>
              <w:rPr>
                <w:color w:val="000000"/>
                <w:sz w:val="11"/>
                <w:szCs w:val="11"/>
              </w:rPr>
            </w:pPr>
            <w:r w:rsidRPr="00075F37">
              <w:rPr>
                <w:rFonts w:ascii="Segoe UI Symbol" w:hAnsi="Segoe UI Symbol" w:cs="Segoe UI Symbol"/>
                <w:sz w:val="11"/>
                <w:szCs w:val="11"/>
              </w:rPr>
              <w:t>✓</w:t>
            </w:r>
          </w:p>
        </w:tc>
        <w:tc>
          <w:tcPr>
            <w:tcW w:w="720" w:type="dxa"/>
            <w:vAlign w:val="center"/>
          </w:tcPr>
          <w:p w14:paraId="484EA959" w14:textId="77777777" w:rsidR="008D2850" w:rsidRPr="00075F37" w:rsidRDefault="008D2850" w:rsidP="00D61C24">
            <w:pPr>
              <w:jc w:val="center"/>
              <w:rPr>
                <w:color w:val="000000"/>
                <w:sz w:val="11"/>
                <w:szCs w:val="11"/>
              </w:rPr>
            </w:pPr>
            <w:r w:rsidRPr="00075F37">
              <w:rPr>
                <w:sz w:val="11"/>
                <w:szCs w:val="11"/>
              </w:rPr>
              <w:t>n.d.</w:t>
            </w:r>
          </w:p>
        </w:tc>
      </w:tr>
      <w:tr w:rsidR="00BA3E78" w14:paraId="4E1D7AC7" w14:textId="77777777" w:rsidTr="00BA3E78">
        <w:trPr>
          <w:gridAfter w:val="1"/>
          <w:wAfter w:w="11" w:type="dxa"/>
        </w:trPr>
        <w:tc>
          <w:tcPr>
            <w:tcW w:w="1620" w:type="dxa"/>
            <w:vAlign w:val="center"/>
          </w:tcPr>
          <w:p w14:paraId="49100A32" w14:textId="77777777" w:rsidR="008D2850" w:rsidRPr="00075F37" w:rsidRDefault="008D2850" w:rsidP="00D61C24">
            <w:pPr>
              <w:jc w:val="center"/>
              <w:rPr>
                <w:sz w:val="11"/>
                <w:szCs w:val="11"/>
              </w:rPr>
            </w:pPr>
            <w:r w:rsidRPr="00075F37">
              <w:rPr>
                <w:color w:val="000000"/>
                <w:sz w:val="11"/>
                <w:szCs w:val="11"/>
              </w:rPr>
              <w:t>Lake Lanoto'o, 'Upolu, Samoa</w:t>
            </w:r>
            <w:r w:rsidRPr="00075F37">
              <w:rPr>
                <w:color w:val="000000"/>
                <w:sz w:val="11"/>
                <w:szCs w:val="11"/>
                <w:vertAlign w:val="superscript"/>
              </w:rPr>
              <w:t>1</w:t>
            </w:r>
          </w:p>
        </w:tc>
        <w:tc>
          <w:tcPr>
            <w:tcW w:w="902" w:type="dxa"/>
            <w:vAlign w:val="center"/>
          </w:tcPr>
          <w:p w14:paraId="0763FAFB" w14:textId="77777777" w:rsidR="008D2850" w:rsidRPr="00075F37" w:rsidRDefault="008D2850" w:rsidP="00D61C24">
            <w:pPr>
              <w:jc w:val="center"/>
              <w:rPr>
                <w:sz w:val="11"/>
                <w:szCs w:val="11"/>
              </w:rPr>
            </w:pPr>
            <w:r w:rsidRPr="00075F37">
              <w:rPr>
                <w:color w:val="000000"/>
                <w:sz w:val="11"/>
                <w:szCs w:val="11"/>
              </w:rPr>
              <w:t>−13.91088</w:t>
            </w:r>
          </w:p>
        </w:tc>
        <w:tc>
          <w:tcPr>
            <w:tcW w:w="810" w:type="dxa"/>
            <w:vAlign w:val="center"/>
          </w:tcPr>
          <w:p w14:paraId="21A0285B" w14:textId="77777777" w:rsidR="008D2850" w:rsidRPr="00075F37" w:rsidRDefault="008D2850" w:rsidP="00D61C24">
            <w:pPr>
              <w:jc w:val="center"/>
              <w:rPr>
                <w:sz w:val="11"/>
                <w:szCs w:val="11"/>
              </w:rPr>
            </w:pPr>
            <w:r w:rsidRPr="00075F37">
              <w:rPr>
                <w:color w:val="000000"/>
                <w:sz w:val="11"/>
                <w:szCs w:val="11"/>
              </w:rPr>
              <w:t>188.172600</w:t>
            </w:r>
          </w:p>
        </w:tc>
        <w:tc>
          <w:tcPr>
            <w:tcW w:w="1100" w:type="dxa"/>
            <w:vAlign w:val="center"/>
          </w:tcPr>
          <w:p w14:paraId="1838F53E" w14:textId="77777777" w:rsidR="008D2850" w:rsidRPr="00075F37" w:rsidRDefault="008D2850" w:rsidP="00D61C24">
            <w:pPr>
              <w:jc w:val="center"/>
              <w:rPr>
                <w:sz w:val="11"/>
                <w:szCs w:val="11"/>
              </w:rPr>
            </w:pPr>
            <w:r w:rsidRPr="00075F37">
              <w:rPr>
                <w:color w:val="000000"/>
                <w:sz w:val="11"/>
                <w:szCs w:val="11"/>
              </w:rPr>
              <w:t>LAN14 U2 + L1-1</w:t>
            </w:r>
          </w:p>
        </w:tc>
        <w:tc>
          <w:tcPr>
            <w:tcW w:w="658" w:type="dxa"/>
            <w:vAlign w:val="center"/>
          </w:tcPr>
          <w:p w14:paraId="5C24F841" w14:textId="77777777" w:rsidR="008D2850" w:rsidRPr="00075F37" w:rsidRDefault="008D2850" w:rsidP="00D61C24">
            <w:pPr>
              <w:jc w:val="center"/>
              <w:rPr>
                <w:sz w:val="11"/>
                <w:szCs w:val="11"/>
              </w:rPr>
            </w:pPr>
            <w:r w:rsidRPr="00075F37">
              <w:rPr>
                <w:color w:val="000000"/>
                <w:sz w:val="11"/>
                <w:szCs w:val="11"/>
              </w:rPr>
              <w:t>16.4</w:t>
            </w:r>
          </w:p>
        </w:tc>
        <w:tc>
          <w:tcPr>
            <w:tcW w:w="670" w:type="dxa"/>
            <w:vAlign w:val="center"/>
          </w:tcPr>
          <w:p w14:paraId="1154C050" w14:textId="77777777" w:rsidR="008D2850" w:rsidRPr="00075F37" w:rsidRDefault="008D2850" w:rsidP="00D61C24">
            <w:pPr>
              <w:jc w:val="center"/>
              <w:rPr>
                <w:sz w:val="11"/>
                <w:szCs w:val="11"/>
              </w:rPr>
            </w:pPr>
            <w:r w:rsidRPr="00075F37">
              <w:rPr>
                <w:color w:val="000000"/>
                <w:sz w:val="11"/>
                <w:szCs w:val="11"/>
              </w:rPr>
              <w:t>760</w:t>
            </w:r>
          </w:p>
        </w:tc>
        <w:tc>
          <w:tcPr>
            <w:tcW w:w="704" w:type="dxa"/>
            <w:vAlign w:val="center"/>
          </w:tcPr>
          <w:p w14:paraId="7B6289B6" w14:textId="77777777" w:rsidR="008D2850" w:rsidRPr="00075F37" w:rsidRDefault="008D2850" w:rsidP="00D61C24">
            <w:pPr>
              <w:jc w:val="center"/>
              <w:rPr>
                <w:sz w:val="11"/>
                <w:szCs w:val="11"/>
              </w:rPr>
            </w:pPr>
            <w:r w:rsidRPr="00075F37">
              <w:rPr>
                <w:color w:val="000000"/>
                <w:sz w:val="11"/>
                <w:szCs w:val="11"/>
              </w:rPr>
              <w:t>−290</w:t>
            </w:r>
          </w:p>
        </w:tc>
        <w:tc>
          <w:tcPr>
            <w:tcW w:w="720" w:type="dxa"/>
            <w:vAlign w:val="center"/>
          </w:tcPr>
          <w:p w14:paraId="0E4A045B" w14:textId="77777777" w:rsidR="008D2850" w:rsidRPr="00075F37" w:rsidRDefault="008D2850" w:rsidP="00D61C24">
            <w:pPr>
              <w:jc w:val="center"/>
              <w:rPr>
                <w:sz w:val="11"/>
                <w:szCs w:val="11"/>
              </w:rPr>
            </w:pPr>
            <w:r w:rsidRPr="00075F37">
              <w:rPr>
                <w:color w:val="000000"/>
                <w:sz w:val="11"/>
                <w:szCs w:val="11"/>
              </w:rPr>
              <w:t>−255</w:t>
            </w:r>
          </w:p>
        </w:tc>
        <w:tc>
          <w:tcPr>
            <w:tcW w:w="360" w:type="dxa"/>
            <w:vAlign w:val="center"/>
          </w:tcPr>
          <w:p w14:paraId="4895C6A3" w14:textId="77777777" w:rsidR="008D2850" w:rsidRPr="00075F37" w:rsidRDefault="008D2850" w:rsidP="00D61C24">
            <w:pPr>
              <w:jc w:val="center"/>
              <w:rPr>
                <w:sz w:val="11"/>
                <w:szCs w:val="11"/>
              </w:rPr>
            </w:pPr>
            <w:r w:rsidRPr="00075F37">
              <w:rPr>
                <w:color w:val="000000"/>
                <w:sz w:val="11"/>
                <w:szCs w:val="11"/>
              </w:rPr>
              <w:t>22</w:t>
            </w:r>
          </w:p>
        </w:tc>
        <w:tc>
          <w:tcPr>
            <w:tcW w:w="720" w:type="dxa"/>
            <w:vAlign w:val="center"/>
          </w:tcPr>
          <w:p w14:paraId="34F2422B" w14:textId="77777777" w:rsidR="008D2850" w:rsidRPr="00075F37" w:rsidRDefault="008D2850" w:rsidP="00D61C24">
            <w:pPr>
              <w:jc w:val="center"/>
              <w:rPr>
                <w:sz w:val="11"/>
                <w:szCs w:val="11"/>
              </w:rPr>
            </w:pPr>
            <w:r w:rsidRPr="00075F37">
              <w:rPr>
                <w:color w:val="000000"/>
                <w:sz w:val="11"/>
                <w:szCs w:val="11"/>
              </w:rPr>
              <w:t>35</w:t>
            </w:r>
          </w:p>
        </w:tc>
        <w:tc>
          <w:tcPr>
            <w:tcW w:w="900" w:type="dxa"/>
            <w:vAlign w:val="center"/>
          </w:tcPr>
          <w:p w14:paraId="4CE13520" w14:textId="77777777" w:rsidR="008D2850" w:rsidRPr="00075F37" w:rsidRDefault="008D2850" w:rsidP="00D61C24">
            <w:pPr>
              <w:jc w:val="center"/>
              <w:rPr>
                <w:color w:val="000000"/>
                <w:sz w:val="11"/>
                <w:szCs w:val="11"/>
              </w:rPr>
            </w:pPr>
            <w:r w:rsidRPr="00075F37">
              <w:rPr>
                <w:color w:val="000000"/>
                <w:sz w:val="11"/>
                <w:szCs w:val="11"/>
              </w:rPr>
              <w:t>2.9</w:t>
            </w:r>
          </w:p>
        </w:tc>
        <w:tc>
          <w:tcPr>
            <w:tcW w:w="540" w:type="dxa"/>
            <w:vAlign w:val="center"/>
          </w:tcPr>
          <w:p w14:paraId="76BFEDBB" w14:textId="77777777" w:rsidR="008D2850" w:rsidRPr="00075F37" w:rsidRDefault="008D2850" w:rsidP="00D61C24">
            <w:pPr>
              <w:jc w:val="center"/>
              <w:rPr>
                <w:color w:val="000000"/>
                <w:sz w:val="11"/>
                <w:szCs w:val="11"/>
              </w:rPr>
            </w:pPr>
            <w:r w:rsidRPr="00075F37">
              <w:rPr>
                <w:rFonts w:ascii="Segoe UI Symbol" w:hAnsi="Segoe UI Symbol" w:cs="Segoe UI Symbol"/>
                <w:color w:val="000000"/>
                <w:sz w:val="11"/>
                <w:szCs w:val="11"/>
              </w:rPr>
              <w:t>✓</w:t>
            </w:r>
          </w:p>
        </w:tc>
        <w:tc>
          <w:tcPr>
            <w:tcW w:w="720" w:type="dxa"/>
            <w:vAlign w:val="center"/>
          </w:tcPr>
          <w:p w14:paraId="3C10085C" w14:textId="77777777" w:rsidR="008D2850" w:rsidRPr="00075F37" w:rsidRDefault="008D2850" w:rsidP="00D61C24">
            <w:pPr>
              <w:jc w:val="center"/>
              <w:rPr>
                <w:color w:val="000000"/>
                <w:sz w:val="11"/>
                <w:szCs w:val="11"/>
              </w:rPr>
            </w:pPr>
            <w:r w:rsidRPr="00075F37">
              <w:rPr>
                <w:rFonts w:ascii="Segoe UI Symbol" w:hAnsi="Segoe UI Symbol" w:cs="Segoe UI Symbol"/>
                <w:color w:val="000000"/>
                <w:sz w:val="11"/>
                <w:szCs w:val="11"/>
              </w:rPr>
              <w:t>✓</w:t>
            </w:r>
          </w:p>
        </w:tc>
      </w:tr>
      <w:tr w:rsidR="00BA3E78" w14:paraId="6B7BCD9B" w14:textId="77777777" w:rsidTr="00BA3E78">
        <w:trPr>
          <w:gridAfter w:val="1"/>
          <w:wAfter w:w="11" w:type="dxa"/>
        </w:trPr>
        <w:tc>
          <w:tcPr>
            <w:tcW w:w="1620" w:type="dxa"/>
            <w:vAlign w:val="center"/>
          </w:tcPr>
          <w:p w14:paraId="5BFBF776" w14:textId="77777777" w:rsidR="008D2850" w:rsidRPr="00075F37" w:rsidRDefault="008D2850" w:rsidP="00D61C24">
            <w:pPr>
              <w:jc w:val="center"/>
              <w:rPr>
                <w:sz w:val="11"/>
                <w:szCs w:val="11"/>
              </w:rPr>
            </w:pPr>
            <w:r w:rsidRPr="00075F37">
              <w:rPr>
                <w:color w:val="000000"/>
                <w:sz w:val="11"/>
                <w:szCs w:val="11"/>
              </w:rPr>
              <w:t>Emaotul Lake, Efate, Vanuatu</w:t>
            </w:r>
            <w:r w:rsidRPr="00075F37">
              <w:rPr>
                <w:color w:val="000000"/>
                <w:sz w:val="11"/>
                <w:szCs w:val="11"/>
                <w:vertAlign w:val="superscript"/>
              </w:rPr>
              <w:t>1</w:t>
            </w:r>
          </w:p>
        </w:tc>
        <w:tc>
          <w:tcPr>
            <w:tcW w:w="902" w:type="dxa"/>
            <w:vAlign w:val="center"/>
          </w:tcPr>
          <w:p w14:paraId="6C515B88" w14:textId="77777777" w:rsidR="008D2850" w:rsidRPr="00075F37" w:rsidRDefault="008D2850" w:rsidP="00D61C24">
            <w:pPr>
              <w:jc w:val="center"/>
              <w:rPr>
                <w:sz w:val="11"/>
                <w:szCs w:val="11"/>
              </w:rPr>
            </w:pPr>
            <w:r w:rsidRPr="00075F37">
              <w:rPr>
                <w:color w:val="000000"/>
                <w:sz w:val="11"/>
                <w:szCs w:val="11"/>
              </w:rPr>
              <w:t>−17.72989</w:t>
            </w:r>
          </w:p>
        </w:tc>
        <w:tc>
          <w:tcPr>
            <w:tcW w:w="810" w:type="dxa"/>
            <w:vAlign w:val="center"/>
          </w:tcPr>
          <w:p w14:paraId="08315F4E" w14:textId="77777777" w:rsidR="008D2850" w:rsidRPr="00075F37" w:rsidRDefault="008D2850" w:rsidP="00D61C24">
            <w:pPr>
              <w:jc w:val="center"/>
              <w:rPr>
                <w:sz w:val="11"/>
                <w:szCs w:val="11"/>
              </w:rPr>
            </w:pPr>
            <w:r w:rsidRPr="00075F37">
              <w:rPr>
                <w:color w:val="000000"/>
                <w:sz w:val="11"/>
                <w:szCs w:val="11"/>
              </w:rPr>
              <w:t>168.415462</w:t>
            </w:r>
          </w:p>
        </w:tc>
        <w:tc>
          <w:tcPr>
            <w:tcW w:w="1100" w:type="dxa"/>
            <w:vAlign w:val="center"/>
          </w:tcPr>
          <w:p w14:paraId="6921E037" w14:textId="77777777" w:rsidR="008D2850" w:rsidRPr="00075F37" w:rsidRDefault="008D2850" w:rsidP="00D61C24">
            <w:pPr>
              <w:jc w:val="center"/>
              <w:rPr>
                <w:sz w:val="11"/>
                <w:szCs w:val="11"/>
              </w:rPr>
            </w:pPr>
            <w:r w:rsidRPr="00075F37">
              <w:rPr>
                <w:color w:val="000000"/>
                <w:sz w:val="11"/>
                <w:szCs w:val="11"/>
              </w:rPr>
              <w:t>VAN</w:t>
            </w:r>
            <w:r w:rsidRPr="00075F37">
              <w:rPr>
                <w:color w:val="000000"/>
                <w:sz w:val="11"/>
                <w:szCs w:val="11"/>
                <w:vertAlign w:val="superscript"/>
              </w:rPr>
              <w:t>2</w:t>
            </w:r>
          </w:p>
        </w:tc>
        <w:tc>
          <w:tcPr>
            <w:tcW w:w="658" w:type="dxa"/>
            <w:vAlign w:val="center"/>
          </w:tcPr>
          <w:p w14:paraId="53A3969D" w14:textId="77777777" w:rsidR="008D2850" w:rsidRPr="00075F37" w:rsidRDefault="008D2850" w:rsidP="00D61C24">
            <w:pPr>
              <w:jc w:val="center"/>
              <w:rPr>
                <w:sz w:val="11"/>
                <w:szCs w:val="11"/>
              </w:rPr>
            </w:pPr>
            <w:r w:rsidRPr="00075F37">
              <w:rPr>
                <w:color w:val="000000"/>
                <w:sz w:val="11"/>
                <w:szCs w:val="11"/>
              </w:rPr>
              <w:t>6</w:t>
            </w:r>
          </w:p>
        </w:tc>
        <w:tc>
          <w:tcPr>
            <w:tcW w:w="670" w:type="dxa"/>
            <w:vAlign w:val="center"/>
          </w:tcPr>
          <w:p w14:paraId="45D5EFCF" w14:textId="77777777" w:rsidR="008D2850" w:rsidRPr="00075F37" w:rsidRDefault="008D2850" w:rsidP="00D61C24">
            <w:pPr>
              <w:jc w:val="center"/>
              <w:rPr>
                <w:sz w:val="11"/>
                <w:szCs w:val="11"/>
              </w:rPr>
            </w:pPr>
            <w:r w:rsidRPr="00075F37">
              <w:rPr>
                <w:color w:val="000000"/>
                <w:sz w:val="11"/>
                <w:szCs w:val="11"/>
              </w:rPr>
              <w:t>119</w:t>
            </w:r>
          </w:p>
        </w:tc>
        <w:tc>
          <w:tcPr>
            <w:tcW w:w="704" w:type="dxa"/>
            <w:vAlign w:val="center"/>
          </w:tcPr>
          <w:p w14:paraId="3B5DABD2" w14:textId="77777777" w:rsidR="008D2850" w:rsidRPr="00075F37" w:rsidRDefault="008D2850" w:rsidP="00D61C24">
            <w:pPr>
              <w:jc w:val="center"/>
              <w:rPr>
                <w:sz w:val="11"/>
                <w:szCs w:val="11"/>
              </w:rPr>
            </w:pPr>
            <w:r w:rsidRPr="00075F37">
              <w:rPr>
                <w:color w:val="000000"/>
                <w:sz w:val="11"/>
                <w:szCs w:val="11"/>
              </w:rPr>
              <w:t>−294</w:t>
            </w:r>
          </w:p>
        </w:tc>
        <w:tc>
          <w:tcPr>
            <w:tcW w:w="720" w:type="dxa"/>
            <w:vAlign w:val="center"/>
          </w:tcPr>
          <w:p w14:paraId="1395660B" w14:textId="77777777" w:rsidR="008D2850" w:rsidRPr="00075F37" w:rsidRDefault="008D2850" w:rsidP="00D61C24">
            <w:pPr>
              <w:jc w:val="center"/>
              <w:rPr>
                <w:sz w:val="11"/>
                <w:szCs w:val="11"/>
              </w:rPr>
            </w:pPr>
            <w:r w:rsidRPr="00075F37">
              <w:rPr>
                <w:color w:val="000000"/>
                <w:sz w:val="11"/>
                <w:szCs w:val="11"/>
              </w:rPr>
              <w:t>−259</w:t>
            </w:r>
          </w:p>
        </w:tc>
        <w:tc>
          <w:tcPr>
            <w:tcW w:w="360" w:type="dxa"/>
            <w:vAlign w:val="center"/>
          </w:tcPr>
          <w:p w14:paraId="657863CC" w14:textId="67235607" w:rsidR="008D2850" w:rsidRPr="00075F37" w:rsidRDefault="00AF19A9" w:rsidP="00D61C24">
            <w:pPr>
              <w:jc w:val="center"/>
              <w:rPr>
                <w:sz w:val="11"/>
                <w:szCs w:val="11"/>
              </w:rPr>
            </w:pPr>
            <w:r w:rsidRPr="00075F37">
              <w:rPr>
                <w:color w:val="000000"/>
                <w:sz w:val="11"/>
                <w:szCs w:val="11"/>
              </w:rPr>
              <w:t>4</w:t>
            </w:r>
            <w:r>
              <w:rPr>
                <w:color w:val="000000"/>
                <w:sz w:val="11"/>
                <w:szCs w:val="11"/>
              </w:rPr>
              <w:t>1</w:t>
            </w:r>
          </w:p>
        </w:tc>
        <w:tc>
          <w:tcPr>
            <w:tcW w:w="720" w:type="dxa"/>
            <w:vAlign w:val="center"/>
          </w:tcPr>
          <w:p w14:paraId="569984F7" w14:textId="77777777" w:rsidR="008D2850" w:rsidRPr="00075F37" w:rsidRDefault="008D2850" w:rsidP="00D61C24">
            <w:pPr>
              <w:jc w:val="center"/>
              <w:rPr>
                <w:sz w:val="11"/>
                <w:szCs w:val="11"/>
              </w:rPr>
            </w:pPr>
            <w:r w:rsidRPr="00075F37">
              <w:rPr>
                <w:color w:val="000000"/>
                <w:sz w:val="11"/>
                <w:szCs w:val="11"/>
              </w:rPr>
              <w:t>35</w:t>
            </w:r>
          </w:p>
        </w:tc>
        <w:tc>
          <w:tcPr>
            <w:tcW w:w="900" w:type="dxa"/>
            <w:vAlign w:val="center"/>
          </w:tcPr>
          <w:p w14:paraId="5A8EDB3C" w14:textId="77777777" w:rsidR="008D2850" w:rsidRPr="00075F37" w:rsidRDefault="008D2850" w:rsidP="00D61C24">
            <w:pPr>
              <w:jc w:val="center"/>
              <w:rPr>
                <w:color w:val="000000"/>
                <w:sz w:val="11"/>
                <w:szCs w:val="11"/>
              </w:rPr>
            </w:pPr>
            <w:r w:rsidRPr="00075F37">
              <w:rPr>
                <w:color w:val="000000"/>
                <w:sz w:val="11"/>
                <w:szCs w:val="11"/>
              </w:rPr>
              <w:t>2.9</w:t>
            </w:r>
          </w:p>
        </w:tc>
        <w:tc>
          <w:tcPr>
            <w:tcW w:w="540" w:type="dxa"/>
            <w:vAlign w:val="center"/>
          </w:tcPr>
          <w:p w14:paraId="357D6F07" w14:textId="77777777" w:rsidR="008D2850" w:rsidRPr="00075F37" w:rsidRDefault="008D2850" w:rsidP="00D61C24">
            <w:pPr>
              <w:jc w:val="center"/>
              <w:rPr>
                <w:color w:val="000000"/>
                <w:sz w:val="11"/>
                <w:szCs w:val="11"/>
              </w:rPr>
            </w:pPr>
            <w:r w:rsidRPr="00075F37">
              <w:rPr>
                <w:rFonts w:ascii="Segoe UI Symbol" w:hAnsi="Segoe UI Symbol" w:cs="Segoe UI Symbol"/>
                <w:sz w:val="11"/>
                <w:szCs w:val="11"/>
              </w:rPr>
              <w:t>✓</w:t>
            </w:r>
          </w:p>
        </w:tc>
        <w:tc>
          <w:tcPr>
            <w:tcW w:w="720" w:type="dxa"/>
            <w:vAlign w:val="center"/>
          </w:tcPr>
          <w:p w14:paraId="28193E67" w14:textId="77777777" w:rsidR="008D2850" w:rsidRPr="00075F37" w:rsidRDefault="008D2850" w:rsidP="00D61C24">
            <w:pPr>
              <w:jc w:val="center"/>
              <w:rPr>
                <w:color w:val="000000"/>
                <w:sz w:val="11"/>
                <w:szCs w:val="11"/>
              </w:rPr>
            </w:pPr>
            <w:r w:rsidRPr="00075F37">
              <w:rPr>
                <w:rFonts w:ascii="Segoe UI Symbol" w:hAnsi="Segoe UI Symbol" w:cs="Segoe UI Symbol"/>
                <w:color w:val="000000"/>
                <w:sz w:val="11"/>
                <w:szCs w:val="11"/>
              </w:rPr>
              <w:t>✓</w:t>
            </w:r>
          </w:p>
        </w:tc>
      </w:tr>
      <w:tr w:rsidR="008D2850" w14:paraId="71BE0D87" w14:textId="77777777" w:rsidTr="00BA3E78">
        <w:tc>
          <w:tcPr>
            <w:tcW w:w="10435" w:type="dxa"/>
            <w:gridSpan w:val="14"/>
            <w:vAlign w:val="center"/>
          </w:tcPr>
          <w:tbl>
            <w:tblPr>
              <w:tblW w:w="9360" w:type="dxa"/>
              <w:tblLayout w:type="fixed"/>
              <w:tblLook w:val="04A0" w:firstRow="1" w:lastRow="0" w:firstColumn="1" w:lastColumn="0" w:noHBand="0" w:noVBand="1"/>
            </w:tblPr>
            <w:tblGrid>
              <w:gridCol w:w="9360"/>
            </w:tblGrid>
            <w:tr w:rsidR="008D2850" w14:paraId="143EE81A" w14:textId="77777777" w:rsidTr="00D61C24">
              <w:trPr>
                <w:trHeight w:val="90"/>
              </w:trPr>
              <w:tc>
                <w:tcPr>
                  <w:tcW w:w="9360" w:type="dxa"/>
                  <w:tcBorders>
                    <w:top w:val="nil"/>
                    <w:left w:val="nil"/>
                    <w:bottom w:val="nil"/>
                    <w:right w:val="nil"/>
                  </w:tcBorders>
                  <w:shd w:val="clear" w:color="auto" w:fill="auto"/>
                  <w:noWrap/>
                  <w:vAlign w:val="bottom"/>
                  <w:hideMark/>
                </w:tcPr>
                <w:p w14:paraId="078BAB7F" w14:textId="77777777" w:rsidR="008D2850" w:rsidRPr="00075F37" w:rsidRDefault="008D2850" w:rsidP="00D61C24">
                  <w:pPr>
                    <w:rPr>
                      <w:color w:val="000000"/>
                      <w:sz w:val="11"/>
                      <w:szCs w:val="11"/>
                    </w:rPr>
                  </w:pPr>
                  <w:r w:rsidRPr="00075F37">
                    <w:rPr>
                      <w:color w:val="000000"/>
                      <w:sz w:val="11"/>
                      <w:szCs w:val="11"/>
                      <w:vertAlign w:val="superscript"/>
                    </w:rPr>
                    <w:t>1</w:t>
                  </w:r>
                  <w:r w:rsidRPr="00075F37">
                    <w:rPr>
                      <w:color w:val="000000"/>
                      <w:sz w:val="11"/>
                      <w:szCs w:val="11"/>
                    </w:rPr>
                    <w:t>Sear et al. 2020, Maloney et al. 2019</w:t>
                  </w:r>
                </w:p>
              </w:tc>
            </w:tr>
            <w:tr w:rsidR="008D2850" w14:paraId="58398F76" w14:textId="77777777" w:rsidTr="00D61C24">
              <w:trPr>
                <w:trHeight w:val="60"/>
              </w:trPr>
              <w:tc>
                <w:tcPr>
                  <w:tcW w:w="9360" w:type="dxa"/>
                  <w:tcBorders>
                    <w:top w:val="nil"/>
                    <w:left w:val="nil"/>
                    <w:bottom w:val="nil"/>
                    <w:right w:val="nil"/>
                  </w:tcBorders>
                  <w:shd w:val="clear" w:color="auto" w:fill="auto"/>
                  <w:noWrap/>
                  <w:vAlign w:val="bottom"/>
                  <w:hideMark/>
                </w:tcPr>
                <w:p w14:paraId="4C5AF36E" w14:textId="77777777" w:rsidR="008D2850" w:rsidRPr="00075F37" w:rsidRDefault="008D2850" w:rsidP="00D61C24">
                  <w:pPr>
                    <w:rPr>
                      <w:color w:val="000000"/>
                      <w:sz w:val="11"/>
                      <w:szCs w:val="11"/>
                    </w:rPr>
                  </w:pPr>
                  <w:r w:rsidRPr="00075F37">
                    <w:rPr>
                      <w:color w:val="000000"/>
                      <w:sz w:val="11"/>
                      <w:szCs w:val="11"/>
                      <w:vertAlign w:val="superscript"/>
                    </w:rPr>
                    <w:t>2</w:t>
                  </w:r>
                  <w:r w:rsidRPr="00075F37">
                    <w:rPr>
                      <w:color w:val="000000"/>
                      <w:sz w:val="11"/>
                      <w:szCs w:val="11"/>
                    </w:rPr>
                    <w:t xml:space="preserve">Cores/sections: G5, G9, L1, L1A, L2, L2A, L3, L3A. </w:t>
                  </w:r>
                  <w:proofErr w:type="spellStart"/>
                  <w:r w:rsidRPr="00075F37">
                    <w:rPr>
                      <w:color w:val="000000"/>
                      <w:sz w:val="11"/>
                      <w:szCs w:val="11"/>
                    </w:rPr>
                    <w:t>Coretop</w:t>
                  </w:r>
                  <w:proofErr w:type="spellEnd"/>
                  <w:r w:rsidRPr="00075F37">
                    <w:rPr>
                      <w:color w:val="000000"/>
                      <w:sz w:val="11"/>
                      <w:szCs w:val="11"/>
                    </w:rPr>
                    <w:t xml:space="preserve"> sample includes G7 (0–2 cm), G5 (0–2 cm), and a 0–1cm section collected in 1995 (Maloney et al. 2019)</w:t>
                  </w:r>
                </w:p>
              </w:tc>
            </w:tr>
            <w:tr w:rsidR="008D2850" w14:paraId="74D1624A" w14:textId="77777777" w:rsidTr="00D61C24">
              <w:trPr>
                <w:trHeight w:val="60"/>
              </w:trPr>
              <w:tc>
                <w:tcPr>
                  <w:tcW w:w="9360" w:type="dxa"/>
                  <w:tcBorders>
                    <w:top w:val="nil"/>
                    <w:left w:val="nil"/>
                    <w:bottom w:val="nil"/>
                    <w:right w:val="nil"/>
                  </w:tcBorders>
                  <w:shd w:val="clear" w:color="auto" w:fill="auto"/>
                  <w:noWrap/>
                  <w:vAlign w:val="bottom"/>
                  <w:hideMark/>
                </w:tcPr>
                <w:p w14:paraId="33418D2A" w14:textId="77777777" w:rsidR="008D2850" w:rsidRPr="00075F37" w:rsidRDefault="008D2850" w:rsidP="00D61C24">
                  <w:pPr>
                    <w:rPr>
                      <w:color w:val="000000"/>
                      <w:sz w:val="11"/>
                      <w:szCs w:val="11"/>
                    </w:rPr>
                  </w:pPr>
                  <w:r w:rsidRPr="00075F37">
                    <w:rPr>
                      <w:color w:val="000000"/>
                      <w:sz w:val="11"/>
                      <w:szCs w:val="11"/>
                      <w:vertAlign w:val="superscript"/>
                    </w:rPr>
                    <w:t>3</w:t>
                  </w:r>
                  <w:r w:rsidRPr="00075F37">
                    <w:rPr>
                      <w:color w:val="000000"/>
                      <w:sz w:val="11"/>
                      <w:szCs w:val="11"/>
                    </w:rPr>
                    <w:t>[P = (δ</w:t>
                  </w:r>
                  <w:r w:rsidRPr="00075F37">
                    <w:rPr>
                      <w:color w:val="000000"/>
                      <w:sz w:val="11"/>
                      <w:szCs w:val="11"/>
                      <w:vertAlign w:val="superscript"/>
                    </w:rPr>
                    <w:t>2</w:t>
                  </w:r>
                  <w:r w:rsidRPr="00075F37">
                    <w:rPr>
                      <w:color w:val="000000"/>
                      <w:sz w:val="11"/>
                      <w:szCs w:val="11"/>
                    </w:rPr>
                    <w:t>H</w:t>
                  </w:r>
                  <w:r w:rsidRPr="00075F37">
                    <w:rPr>
                      <w:color w:val="000000"/>
                      <w:sz w:val="11"/>
                      <w:szCs w:val="11"/>
                      <w:vertAlign w:val="subscript"/>
                    </w:rPr>
                    <w:t>sample</w:t>
                  </w:r>
                  <w:r w:rsidRPr="00075F37">
                    <w:rPr>
                      <w:color w:val="000000"/>
                      <w:sz w:val="11"/>
                      <w:szCs w:val="11"/>
                    </w:rPr>
                    <w:t xml:space="preserve"> + 211</w:t>
                  </w:r>
                  <w:proofErr w:type="gramStart"/>
                  <w:r w:rsidRPr="00075F37">
                    <w:rPr>
                      <w:color w:val="000000"/>
                      <w:sz w:val="11"/>
                      <w:szCs w:val="11"/>
                    </w:rPr>
                    <w:t>)  /</w:t>
                  </w:r>
                  <w:proofErr w:type="gramEnd"/>
                  <w:r w:rsidRPr="00075F37">
                    <w:rPr>
                      <w:color w:val="000000"/>
                      <w:sz w:val="11"/>
                      <w:szCs w:val="11"/>
                    </w:rPr>
                    <w:t xml:space="preserve"> −12.1],  GPCP core top calibration (Maloney et al. 2019)</w:t>
                  </w:r>
                </w:p>
              </w:tc>
            </w:tr>
          </w:tbl>
          <w:p w14:paraId="1FB4AF84" w14:textId="77777777" w:rsidR="008D2850" w:rsidRPr="00075F37" w:rsidRDefault="008D2850" w:rsidP="00D61C24">
            <w:pPr>
              <w:jc w:val="center"/>
              <w:rPr>
                <w:rFonts w:ascii="Segoe UI Symbol" w:hAnsi="Segoe UI Symbol" w:cs="Segoe UI Symbol"/>
                <w:color w:val="000000"/>
                <w:sz w:val="11"/>
                <w:szCs w:val="11"/>
              </w:rPr>
            </w:pPr>
          </w:p>
        </w:tc>
      </w:tr>
    </w:tbl>
    <w:p w14:paraId="544C5FDA" w14:textId="77777777" w:rsidR="00922D00" w:rsidRPr="007210CB" w:rsidRDefault="00922D00" w:rsidP="007210CB">
      <w:pPr>
        <w:spacing w:line="480" w:lineRule="auto"/>
        <w:rPr>
          <w:rFonts w:ascii="Garamond" w:hAnsi="Garamond"/>
          <w:b/>
          <w:bCs/>
        </w:rPr>
      </w:pPr>
    </w:p>
    <w:p w14:paraId="59CC84BA" w14:textId="77777777" w:rsidR="007210CB" w:rsidRPr="009A2E44" w:rsidRDefault="007210CB" w:rsidP="001C47D3">
      <w:pPr>
        <w:spacing w:line="480" w:lineRule="auto"/>
        <w:rPr>
          <w:rFonts w:ascii="Garamond" w:hAnsi="Garamond"/>
        </w:rPr>
      </w:pPr>
    </w:p>
    <w:p w14:paraId="2EB8D3EB" w14:textId="2270B717" w:rsidR="00685BEF" w:rsidRPr="009A2E44" w:rsidRDefault="00685BEF" w:rsidP="001C47D3">
      <w:pPr>
        <w:spacing w:line="480" w:lineRule="auto"/>
        <w:rPr>
          <w:rFonts w:ascii="Garamond" w:hAnsi="Garamond"/>
          <w:b/>
          <w:bCs/>
        </w:rPr>
      </w:pPr>
      <w:r w:rsidRPr="009A2E44">
        <w:rPr>
          <w:rFonts w:ascii="Garamond" w:hAnsi="Garamond"/>
          <w:b/>
          <w:bCs/>
        </w:rPr>
        <w:lastRenderedPageBreak/>
        <w:t>Appendices</w:t>
      </w:r>
    </w:p>
    <w:p w14:paraId="592CBA02" w14:textId="11E71E82" w:rsidR="00685BEF" w:rsidRPr="009A2E44" w:rsidRDefault="00685BEF" w:rsidP="001C47D3">
      <w:pPr>
        <w:spacing w:line="480" w:lineRule="auto"/>
        <w:rPr>
          <w:rFonts w:ascii="Garamond" w:hAnsi="Garamond"/>
        </w:rPr>
      </w:pPr>
      <w:r w:rsidRPr="009A2E44">
        <w:rPr>
          <w:rFonts w:ascii="Garamond" w:hAnsi="Garamond"/>
          <w:b/>
          <w:bCs/>
        </w:rPr>
        <w:t xml:space="preserve">Appendix A – </w:t>
      </w:r>
      <w:r w:rsidRPr="009A2E44">
        <w:rPr>
          <w:rFonts w:ascii="Garamond" w:hAnsi="Garamond"/>
        </w:rPr>
        <w:t xml:space="preserve">PDF </w:t>
      </w:r>
      <w:r w:rsidR="004C4686" w:rsidRPr="009A2E44">
        <w:rPr>
          <w:rFonts w:ascii="Garamond" w:hAnsi="Garamond"/>
          <w:b/>
          <w:bCs/>
        </w:rPr>
        <w:t>T</w:t>
      </w:r>
      <w:r w:rsidR="006F05AE" w:rsidRPr="009A2E44">
        <w:rPr>
          <w:rFonts w:ascii="Garamond" w:hAnsi="Garamond"/>
          <w:b/>
          <w:bCs/>
        </w:rPr>
        <w:t>ables A.1 – A.</w:t>
      </w:r>
      <w:r w:rsidR="00B46625" w:rsidRPr="009A2E44">
        <w:rPr>
          <w:rFonts w:ascii="Garamond" w:hAnsi="Garamond"/>
          <w:b/>
          <w:bCs/>
        </w:rPr>
        <w:t>6</w:t>
      </w:r>
      <w:r w:rsidR="00B46625" w:rsidRPr="009A2E44">
        <w:rPr>
          <w:rFonts w:ascii="Garamond" w:hAnsi="Garamond"/>
        </w:rPr>
        <w:t xml:space="preserve"> </w:t>
      </w:r>
      <w:r w:rsidR="006F05AE" w:rsidRPr="009A2E44">
        <w:rPr>
          <w:rFonts w:ascii="Garamond" w:hAnsi="Garamond"/>
        </w:rPr>
        <w:t>&amp;</w:t>
      </w:r>
      <w:r w:rsidRPr="009A2E44">
        <w:rPr>
          <w:rFonts w:ascii="Garamond" w:hAnsi="Garamond"/>
        </w:rPr>
        <w:t xml:space="preserve"> </w:t>
      </w:r>
      <w:r w:rsidR="004C4686" w:rsidRPr="009A2E44">
        <w:rPr>
          <w:rFonts w:ascii="Garamond" w:hAnsi="Garamond"/>
          <w:b/>
          <w:bCs/>
        </w:rPr>
        <w:t>F</w:t>
      </w:r>
      <w:r w:rsidRPr="009A2E44">
        <w:rPr>
          <w:rFonts w:ascii="Garamond" w:hAnsi="Garamond"/>
          <w:b/>
          <w:bCs/>
        </w:rPr>
        <w:t>igures</w:t>
      </w:r>
      <w:r w:rsidR="006F05AE" w:rsidRPr="009A2E44">
        <w:rPr>
          <w:rFonts w:ascii="Garamond" w:hAnsi="Garamond"/>
          <w:b/>
          <w:bCs/>
        </w:rPr>
        <w:t xml:space="preserve"> A.1 – A.</w:t>
      </w:r>
      <w:r w:rsidR="00207A87">
        <w:rPr>
          <w:rFonts w:ascii="Garamond" w:hAnsi="Garamond"/>
          <w:b/>
          <w:bCs/>
        </w:rPr>
        <w:t>9</w:t>
      </w:r>
    </w:p>
    <w:p w14:paraId="231B2E44" w14:textId="2A28E288" w:rsidR="00685BEF" w:rsidRPr="009A2E44" w:rsidRDefault="00685BEF" w:rsidP="001C47D3">
      <w:pPr>
        <w:spacing w:line="480" w:lineRule="auto"/>
        <w:rPr>
          <w:rFonts w:ascii="Garamond" w:hAnsi="Garamond"/>
          <w:b/>
          <w:bCs/>
        </w:rPr>
      </w:pPr>
      <w:r w:rsidRPr="009A2E44">
        <w:rPr>
          <w:rFonts w:ascii="Garamond" w:hAnsi="Garamond"/>
          <w:b/>
          <w:bCs/>
        </w:rPr>
        <w:t xml:space="preserve">Appendix B – </w:t>
      </w:r>
      <w:r w:rsidRPr="009A2E44">
        <w:rPr>
          <w:rFonts w:ascii="Garamond" w:hAnsi="Garamond"/>
        </w:rPr>
        <w:t xml:space="preserve">Excel file </w:t>
      </w:r>
      <w:r w:rsidR="004C4686" w:rsidRPr="009A2E44">
        <w:rPr>
          <w:rFonts w:ascii="Garamond" w:hAnsi="Garamond"/>
          <w:b/>
          <w:bCs/>
        </w:rPr>
        <w:t>T</w:t>
      </w:r>
      <w:r w:rsidRPr="009A2E44">
        <w:rPr>
          <w:rFonts w:ascii="Garamond" w:hAnsi="Garamond"/>
          <w:b/>
          <w:bCs/>
        </w:rPr>
        <w:t>ables</w:t>
      </w:r>
      <w:r w:rsidR="000D0774" w:rsidRPr="009A2E44">
        <w:rPr>
          <w:rFonts w:ascii="Garamond" w:hAnsi="Garamond"/>
          <w:b/>
          <w:bCs/>
        </w:rPr>
        <w:t xml:space="preserve"> B.1 – B.</w:t>
      </w:r>
      <w:r w:rsidR="009D72CE" w:rsidRPr="009A2E44">
        <w:rPr>
          <w:rFonts w:ascii="Garamond" w:hAnsi="Garamond"/>
          <w:b/>
          <w:bCs/>
        </w:rPr>
        <w:t>16</w:t>
      </w:r>
      <w:r w:rsidR="006F05AE" w:rsidRPr="009A2E44">
        <w:rPr>
          <w:rFonts w:ascii="Garamond" w:hAnsi="Garamond"/>
        </w:rPr>
        <w:t xml:space="preserve"> </w:t>
      </w:r>
    </w:p>
    <w:p w14:paraId="5A56ED8A" w14:textId="77777777" w:rsidR="00685BEF" w:rsidRPr="009A2E44" w:rsidRDefault="00685BEF" w:rsidP="001C47D3">
      <w:pPr>
        <w:spacing w:line="480" w:lineRule="auto"/>
        <w:rPr>
          <w:rFonts w:ascii="Garamond" w:hAnsi="Garamond"/>
          <w:b/>
          <w:bCs/>
        </w:rPr>
      </w:pPr>
    </w:p>
    <w:p w14:paraId="38D7773B" w14:textId="25F11DEE" w:rsidR="00DA1AAB" w:rsidRPr="009A2E44" w:rsidRDefault="00936C8E" w:rsidP="001C47D3">
      <w:pPr>
        <w:spacing w:line="480" w:lineRule="auto"/>
        <w:rPr>
          <w:rFonts w:ascii="Garamond" w:hAnsi="Garamond"/>
          <w:b/>
          <w:bCs/>
        </w:rPr>
      </w:pPr>
      <w:r w:rsidRPr="009A2E44">
        <w:rPr>
          <w:rFonts w:ascii="Garamond" w:hAnsi="Garamond"/>
          <w:b/>
          <w:bCs/>
        </w:rPr>
        <w:t>R</w:t>
      </w:r>
      <w:r w:rsidR="001B4D99" w:rsidRPr="009A2E44">
        <w:rPr>
          <w:rFonts w:ascii="Garamond" w:hAnsi="Garamond"/>
          <w:b/>
          <w:bCs/>
        </w:rPr>
        <w:t>eferences</w:t>
      </w:r>
    </w:p>
    <w:p w14:paraId="19D18F91"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Abram, N.J., Wright, N.M., Ellis, B., Dixon, B.C., </w:t>
      </w:r>
      <w:proofErr w:type="spellStart"/>
      <w:r>
        <w:rPr>
          <w:rFonts w:ascii="Garamond" w:hAnsi="Garamond" w:cs="Garamond"/>
        </w:rPr>
        <w:t>Wurtzel</w:t>
      </w:r>
      <w:proofErr w:type="spellEnd"/>
      <w:r>
        <w:rPr>
          <w:rFonts w:ascii="Garamond" w:hAnsi="Garamond" w:cs="Garamond"/>
        </w:rPr>
        <w:t xml:space="preserve">, J.B., England, M.H., </w:t>
      </w:r>
      <w:proofErr w:type="spellStart"/>
      <w:r>
        <w:rPr>
          <w:rFonts w:ascii="Garamond" w:hAnsi="Garamond" w:cs="Garamond"/>
        </w:rPr>
        <w:t>Ummenhofer</w:t>
      </w:r>
      <w:proofErr w:type="spellEnd"/>
      <w:r>
        <w:rPr>
          <w:rFonts w:ascii="Garamond" w:hAnsi="Garamond" w:cs="Garamond"/>
        </w:rPr>
        <w:t xml:space="preserve">, C.C., Philibosian, B., </w:t>
      </w:r>
      <w:proofErr w:type="spellStart"/>
      <w:r>
        <w:rPr>
          <w:rFonts w:ascii="Garamond" w:hAnsi="Garamond" w:cs="Garamond"/>
        </w:rPr>
        <w:t>Cahyarini</w:t>
      </w:r>
      <w:proofErr w:type="spellEnd"/>
      <w:r>
        <w:rPr>
          <w:rFonts w:ascii="Garamond" w:hAnsi="Garamond" w:cs="Garamond"/>
        </w:rPr>
        <w:t>, S.Y., Yu, T.L., Shen, C.C., Cheng, H., Edwards, R.L., Heslop, D., 2020. Coupling of Indo-Pacific climate variability over the last millennium. Nature 579, 385–392. doi:10.1038/s41586-020-2084-4</w:t>
      </w:r>
    </w:p>
    <w:p w14:paraId="3EFE906F"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Adler, R.F., Gu, G., Huffman, G.J., 2012. Estimating climatological bias errors for the global precipitation climatology project (GPCP). J. Appl. </w:t>
      </w:r>
      <w:proofErr w:type="spellStart"/>
      <w:r>
        <w:rPr>
          <w:rFonts w:ascii="Garamond" w:hAnsi="Garamond" w:cs="Garamond"/>
        </w:rPr>
        <w:t>Meteorol</w:t>
      </w:r>
      <w:proofErr w:type="spellEnd"/>
      <w:r>
        <w:rPr>
          <w:rFonts w:ascii="Garamond" w:hAnsi="Garamond" w:cs="Garamond"/>
        </w:rPr>
        <w:t xml:space="preserve">. </w:t>
      </w:r>
      <w:proofErr w:type="spellStart"/>
      <w:r>
        <w:rPr>
          <w:rFonts w:ascii="Garamond" w:hAnsi="Garamond" w:cs="Garamond"/>
        </w:rPr>
        <w:t>Climatol</w:t>
      </w:r>
      <w:proofErr w:type="spellEnd"/>
      <w:r>
        <w:rPr>
          <w:rFonts w:ascii="Garamond" w:hAnsi="Garamond" w:cs="Garamond"/>
        </w:rPr>
        <w:t>. 51, 84–99. doi:10.1175/JAMC-D-11-052.1</w:t>
      </w:r>
    </w:p>
    <w:p w14:paraId="46F7CB90"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Adler, R.F., Huffman, G.J., Chang, A., Ferraro, R., </w:t>
      </w:r>
      <w:proofErr w:type="spellStart"/>
      <w:r>
        <w:rPr>
          <w:rFonts w:ascii="Garamond" w:hAnsi="Garamond" w:cs="Garamond"/>
        </w:rPr>
        <w:t>Xie</w:t>
      </w:r>
      <w:proofErr w:type="spellEnd"/>
      <w:r>
        <w:rPr>
          <w:rFonts w:ascii="Garamond" w:hAnsi="Garamond" w:cs="Garamond"/>
        </w:rPr>
        <w:t xml:space="preserve">, P.-P., </w:t>
      </w:r>
      <w:proofErr w:type="spellStart"/>
      <w:r>
        <w:rPr>
          <w:rFonts w:ascii="Garamond" w:hAnsi="Garamond" w:cs="Garamond"/>
        </w:rPr>
        <w:t>Janowiak</w:t>
      </w:r>
      <w:proofErr w:type="spellEnd"/>
      <w:r>
        <w:rPr>
          <w:rFonts w:ascii="Garamond" w:hAnsi="Garamond" w:cs="Garamond"/>
        </w:rPr>
        <w:t xml:space="preserve">, J., Rudolf, B., Schneider, U., Curtis, S., </w:t>
      </w:r>
      <w:proofErr w:type="spellStart"/>
      <w:r>
        <w:rPr>
          <w:rFonts w:ascii="Garamond" w:hAnsi="Garamond" w:cs="Garamond"/>
        </w:rPr>
        <w:t>Bolvin</w:t>
      </w:r>
      <w:proofErr w:type="spellEnd"/>
      <w:r>
        <w:rPr>
          <w:rFonts w:ascii="Garamond" w:hAnsi="Garamond" w:cs="Garamond"/>
        </w:rPr>
        <w:t xml:space="preserve">, D., Gruber, A., Susskind, J., Arkin, P., </w:t>
      </w:r>
      <w:proofErr w:type="spellStart"/>
      <w:r>
        <w:rPr>
          <w:rFonts w:ascii="Garamond" w:hAnsi="Garamond" w:cs="Garamond"/>
        </w:rPr>
        <w:t>Nelkin</w:t>
      </w:r>
      <w:proofErr w:type="spellEnd"/>
      <w:r>
        <w:rPr>
          <w:rFonts w:ascii="Garamond" w:hAnsi="Garamond" w:cs="Garamond"/>
        </w:rPr>
        <w:t xml:space="preserve">, E., 2003. The Version-2 Global Precipitation Climatology Project (GPCP) Monthly Precipitation Analysis (1979–Present). J. </w:t>
      </w:r>
      <w:proofErr w:type="spellStart"/>
      <w:r>
        <w:rPr>
          <w:rFonts w:ascii="Garamond" w:hAnsi="Garamond" w:cs="Garamond"/>
        </w:rPr>
        <w:t>Hydrometeorol</w:t>
      </w:r>
      <w:proofErr w:type="spellEnd"/>
      <w:r>
        <w:rPr>
          <w:rFonts w:ascii="Garamond" w:hAnsi="Garamond" w:cs="Garamond"/>
        </w:rPr>
        <w:t>. 4, 1147–1167. doi:10.1175/1525-7541(2003)004&lt;</w:t>
      </w:r>
      <w:proofErr w:type="gramStart"/>
      <w:r>
        <w:rPr>
          <w:rFonts w:ascii="Garamond" w:hAnsi="Garamond" w:cs="Garamond"/>
        </w:rPr>
        <w:t>1147:TVGPCP</w:t>
      </w:r>
      <w:proofErr w:type="gramEnd"/>
      <w:r>
        <w:rPr>
          <w:rFonts w:ascii="Garamond" w:hAnsi="Garamond" w:cs="Garamond"/>
        </w:rPr>
        <w:t>&gt;2.0.CO;2</w:t>
      </w:r>
    </w:p>
    <w:p w14:paraId="2B4939F7" w14:textId="651FCE16"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Adler, R.F., </w:t>
      </w:r>
      <w:proofErr w:type="spellStart"/>
      <w:r>
        <w:rPr>
          <w:rFonts w:ascii="Garamond" w:hAnsi="Garamond" w:cs="Garamond"/>
        </w:rPr>
        <w:t>Sapiano</w:t>
      </w:r>
      <w:proofErr w:type="spellEnd"/>
      <w:r>
        <w:rPr>
          <w:rFonts w:ascii="Garamond" w:hAnsi="Garamond" w:cs="Garamond"/>
        </w:rPr>
        <w:t xml:space="preserve">, M.R.P., Huffman, G.J., Wang, J.J., Gu, G., </w:t>
      </w:r>
      <w:proofErr w:type="spellStart"/>
      <w:r>
        <w:rPr>
          <w:rFonts w:ascii="Garamond" w:hAnsi="Garamond" w:cs="Garamond"/>
        </w:rPr>
        <w:t>Bolvin</w:t>
      </w:r>
      <w:proofErr w:type="spellEnd"/>
      <w:r>
        <w:rPr>
          <w:rFonts w:ascii="Garamond" w:hAnsi="Garamond" w:cs="Garamond"/>
        </w:rPr>
        <w:t xml:space="preserve">, D., Chiu, L., Schneider, U., Becker, A., </w:t>
      </w:r>
      <w:proofErr w:type="spellStart"/>
      <w:r>
        <w:rPr>
          <w:rFonts w:ascii="Garamond" w:hAnsi="Garamond" w:cs="Garamond"/>
        </w:rPr>
        <w:t>Nelkin</w:t>
      </w:r>
      <w:proofErr w:type="spellEnd"/>
      <w:r>
        <w:rPr>
          <w:rFonts w:ascii="Garamond" w:hAnsi="Garamond" w:cs="Garamond"/>
        </w:rPr>
        <w:t xml:space="preserve">, E., </w:t>
      </w:r>
      <w:proofErr w:type="spellStart"/>
      <w:r>
        <w:rPr>
          <w:rFonts w:ascii="Garamond" w:hAnsi="Garamond" w:cs="Garamond"/>
        </w:rPr>
        <w:t>Xie</w:t>
      </w:r>
      <w:proofErr w:type="spellEnd"/>
      <w:r>
        <w:rPr>
          <w:rFonts w:ascii="Garamond" w:hAnsi="Garamond" w:cs="Garamond"/>
        </w:rPr>
        <w:t>, P., Ferraro, R., Shin, D. Bin, 2018. The Global Precipitation Climatology Project (GPCP) monthly analysis (New Version 2.3) and a review of 2017 global precipitation. Atmosphere 9. doi:10.3390/atmos9040138</w:t>
      </w:r>
    </w:p>
    <w:p w14:paraId="394E8477"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Aggarwal, P.K., </w:t>
      </w:r>
      <w:proofErr w:type="spellStart"/>
      <w:r>
        <w:rPr>
          <w:rFonts w:ascii="Garamond" w:hAnsi="Garamond" w:cs="Garamond"/>
        </w:rPr>
        <w:t>Romatschke</w:t>
      </w:r>
      <w:proofErr w:type="spellEnd"/>
      <w:r>
        <w:rPr>
          <w:rFonts w:ascii="Garamond" w:hAnsi="Garamond" w:cs="Garamond"/>
        </w:rPr>
        <w:t xml:space="preserve">, U., </w:t>
      </w:r>
      <w:proofErr w:type="spellStart"/>
      <w:r>
        <w:rPr>
          <w:rFonts w:ascii="Garamond" w:hAnsi="Garamond" w:cs="Garamond"/>
        </w:rPr>
        <w:t>Araguas-Araguas</w:t>
      </w:r>
      <w:proofErr w:type="spellEnd"/>
      <w:r>
        <w:rPr>
          <w:rFonts w:ascii="Garamond" w:hAnsi="Garamond" w:cs="Garamond"/>
        </w:rPr>
        <w:t xml:space="preserve">, L., </w:t>
      </w:r>
      <w:proofErr w:type="spellStart"/>
      <w:r>
        <w:rPr>
          <w:rFonts w:ascii="Garamond" w:hAnsi="Garamond" w:cs="Garamond"/>
        </w:rPr>
        <w:t>Belachew</w:t>
      </w:r>
      <w:proofErr w:type="spellEnd"/>
      <w:r>
        <w:rPr>
          <w:rFonts w:ascii="Garamond" w:hAnsi="Garamond" w:cs="Garamond"/>
        </w:rPr>
        <w:t xml:space="preserve">, D., </w:t>
      </w:r>
      <w:proofErr w:type="spellStart"/>
      <w:r>
        <w:rPr>
          <w:rFonts w:ascii="Garamond" w:hAnsi="Garamond" w:cs="Garamond"/>
        </w:rPr>
        <w:t>Longstaffe</w:t>
      </w:r>
      <w:proofErr w:type="spellEnd"/>
      <w:r>
        <w:rPr>
          <w:rFonts w:ascii="Garamond" w:hAnsi="Garamond" w:cs="Garamond"/>
        </w:rPr>
        <w:t xml:space="preserve">, F.J., Berg, P., Schumacher, C., Funk, A., 2016. Proportions of convective and stratiform precipitation revealed in water isotope ratios. Nat. </w:t>
      </w:r>
      <w:proofErr w:type="spellStart"/>
      <w:r>
        <w:rPr>
          <w:rFonts w:ascii="Garamond" w:hAnsi="Garamond" w:cs="Garamond"/>
        </w:rPr>
        <w:t>Geosci</w:t>
      </w:r>
      <w:proofErr w:type="spellEnd"/>
      <w:r>
        <w:rPr>
          <w:rFonts w:ascii="Garamond" w:hAnsi="Garamond" w:cs="Garamond"/>
        </w:rPr>
        <w:t>. 9, 624–629. doi:10.1038/ngeo2739</w:t>
      </w:r>
    </w:p>
    <w:p w14:paraId="74C086CC"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Alory</w:t>
      </w:r>
      <w:proofErr w:type="spellEnd"/>
      <w:r>
        <w:rPr>
          <w:rFonts w:ascii="Garamond" w:hAnsi="Garamond" w:cs="Garamond"/>
        </w:rPr>
        <w:t xml:space="preserve">, G., Delcroix, T., 1999. Climatic variability in the vicinity of Wallis, Futuna, and Samoa islands (13-15°S, 180°-170°W). </w:t>
      </w:r>
      <w:proofErr w:type="spellStart"/>
      <w:r>
        <w:rPr>
          <w:rFonts w:ascii="Garamond" w:hAnsi="Garamond" w:cs="Garamond"/>
        </w:rPr>
        <w:t>Oceanol</w:t>
      </w:r>
      <w:proofErr w:type="spellEnd"/>
      <w:r>
        <w:rPr>
          <w:rFonts w:ascii="Garamond" w:hAnsi="Garamond" w:cs="Garamond"/>
        </w:rPr>
        <w:t>. Acta 22, 249–263. doi:10.1016/S0399-1784(99)80050-4</w:t>
      </w:r>
    </w:p>
    <w:p w14:paraId="13D58D81"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lastRenderedPageBreak/>
        <w:t xml:space="preserve">Atwood, A.R., Battisti, D.S., Wu, E., Frierson, D.M.W., Sachs, J.P., 2021. Data-Model Comparisons of Tropical Hydroclimate Changes Over the Common Era. </w:t>
      </w:r>
      <w:proofErr w:type="spellStart"/>
      <w:r>
        <w:rPr>
          <w:rFonts w:ascii="Garamond" w:hAnsi="Garamond" w:cs="Garamond"/>
        </w:rPr>
        <w:t>Paleoceanogr</w:t>
      </w:r>
      <w:proofErr w:type="spellEnd"/>
      <w:r>
        <w:rPr>
          <w:rFonts w:ascii="Garamond" w:hAnsi="Garamond" w:cs="Garamond"/>
        </w:rPr>
        <w:t>. Paleoclimatology 36, 1–30. doi:10.1029/2020PA003934</w:t>
      </w:r>
    </w:p>
    <w:p w14:paraId="360CB8B6"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Atwood, A.R., Donohoe, A., Battisti, D.S., Liu, X., </w:t>
      </w:r>
      <w:proofErr w:type="spellStart"/>
      <w:r>
        <w:rPr>
          <w:rFonts w:ascii="Garamond" w:hAnsi="Garamond" w:cs="Garamond"/>
        </w:rPr>
        <w:t>Pausata</w:t>
      </w:r>
      <w:proofErr w:type="spellEnd"/>
      <w:r>
        <w:rPr>
          <w:rFonts w:ascii="Garamond" w:hAnsi="Garamond" w:cs="Garamond"/>
        </w:rPr>
        <w:t xml:space="preserve">, F.S.R., 2020. Robust </w:t>
      </w:r>
      <w:proofErr w:type="gramStart"/>
      <w:r>
        <w:rPr>
          <w:rFonts w:ascii="Garamond" w:hAnsi="Garamond" w:cs="Garamond"/>
        </w:rPr>
        <w:t>longitudinally</w:t>
      </w:r>
      <w:r>
        <w:rPr>
          <w:rFonts w:ascii="Cambria Math" w:hAnsi="Cambria Math" w:cs="Cambria Math"/>
        </w:rPr>
        <w:t>‐</w:t>
      </w:r>
      <w:r>
        <w:rPr>
          <w:rFonts w:ascii="Garamond" w:hAnsi="Garamond" w:cs="Garamond"/>
        </w:rPr>
        <w:t>variable</w:t>
      </w:r>
      <w:proofErr w:type="gramEnd"/>
      <w:r>
        <w:rPr>
          <w:rFonts w:ascii="Garamond" w:hAnsi="Garamond" w:cs="Garamond"/>
        </w:rPr>
        <w:t xml:space="preserve"> responses of the ITCZ to a myriad of climate forcings. </w:t>
      </w:r>
      <w:proofErr w:type="spellStart"/>
      <w:r>
        <w:rPr>
          <w:rFonts w:ascii="Garamond" w:hAnsi="Garamond" w:cs="Garamond"/>
        </w:rPr>
        <w:t>Geophys</w:t>
      </w:r>
      <w:proofErr w:type="spellEnd"/>
      <w:r>
        <w:rPr>
          <w:rFonts w:ascii="Garamond" w:hAnsi="Garamond" w:cs="Garamond"/>
        </w:rPr>
        <w:t>. Res. Lett. 20, 98–99. doi:10.1029/2020GL088833</w:t>
      </w:r>
    </w:p>
    <w:p w14:paraId="2116F6FC"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Atwood, A.R., Sachs, J.P., 2014. Separating ITCZ- and ENSO-related rainfall changes in the Gal</w:t>
      </w:r>
      <w:r>
        <w:rPr>
          <w:rFonts w:ascii="Times" w:hAnsi="Times" w:cs="Times"/>
        </w:rPr>
        <w:t>á</w:t>
      </w:r>
      <w:r>
        <w:rPr>
          <w:rFonts w:ascii="Garamond" w:hAnsi="Garamond" w:cs="Garamond"/>
        </w:rPr>
        <w:t xml:space="preserve">pagos over the last 3 </w:t>
      </w:r>
      <w:proofErr w:type="spellStart"/>
      <w:r>
        <w:rPr>
          <w:rFonts w:ascii="Garamond" w:hAnsi="Garamond" w:cs="Garamond"/>
        </w:rPr>
        <w:t>kyr</w:t>
      </w:r>
      <w:proofErr w:type="spellEnd"/>
      <w:r>
        <w:rPr>
          <w:rFonts w:ascii="Garamond" w:hAnsi="Garamond" w:cs="Garamond"/>
        </w:rPr>
        <w:t xml:space="preserve"> using D/H ratios of multiple lipid biomarkers. Earth Planet. Sci. Lett. 404, 408–419. </w:t>
      </w:r>
      <w:proofErr w:type="spellStart"/>
      <w:proofErr w:type="gramStart"/>
      <w:r>
        <w:rPr>
          <w:rFonts w:ascii="Garamond" w:hAnsi="Garamond" w:cs="Garamond"/>
        </w:rPr>
        <w:t>doi:doi</w:t>
      </w:r>
      <w:proofErr w:type="spellEnd"/>
      <w:proofErr w:type="gramEnd"/>
      <w:r>
        <w:rPr>
          <w:rFonts w:ascii="Garamond" w:hAnsi="Garamond" w:cs="Garamond"/>
        </w:rPr>
        <w:t>: 10.1016/j.epsl.2014.07.038</w:t>
      </w:r>
    </w:p>
    <w:p w14:paraId="090DE55C"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Badré</w:t>
      </w:r>
      <w:proofErr w:type="spellEnd"/>
      <w:r>
        <w:rPr>
          <w:rFonts w:ascii="Garamond" w:hAnsi="Garamond" w:cs="Garamond"/>
        </w:rPr>
        <w:t xml:space="preserve">, F., Hoff, M., 1995. Les </w:t>
      </w:r>
      <w:proofErr w:type="spellStart"/>
      <w:r>
        <w:rPr>
          <w:rFonts w:ascii="Garamond" w:hAnsi="Garamond" w:cs="Garamond"/>
        </w:rPr>
        <w:t>Ptéridophytes</w:t>
      </w:r>
      <w:proofErr w:type="spellEnd"/>
      <w:r>
        <w:rPr>
          <w:rFonts w:ascii="Garamond" w:hAnsi="Garamond" w:cs="Garamond"/>
        </w:rPr>
        <w:t xml:space="preserve"> des Iles Wallis et Futuna (</w:t>
      </w:r>
      <w:proofErr w:type="spellStart"/>
      <w:r>
        <w:rPr>
          <w:rFonts w:ascii="Garamond" w:hAnsi="Garamond" w:cs="Garamond"/>
        </w:rPr>
        <w:t>Pacifique</w:t>
      </w:r>
      <w:proofErr w:type="spellEnd"/>
      <w:r>
        <w:rPr>
          <w:rFonts w:ascii="Garamond" w:hAnsi="Garamond" w:cs="Garamond"/>
        </w:rPr>
        <w:t xml:space="preserve"> Sud</w:t>
      </w:r>
      <w:proofErr w:type="gramStart"/>
      <w:r>
        <w:rPr>
          <w:rFonts w:ascii="Garamond" w:hAnsi="Garamond" w:cs="Garamond"/>
        </w:rPr>
        <w:t>)</w:t>
      </w:r>
      <w:r>
        <w:rPr>
          <w:rFonts w:ascii="Lucida Grande" w:hAnsi="Lucida Grande" w:cs="Lucida Grande"/>
        </w:rPr>
        <w:t> </w:t>
      </w:r>
      <w:r>
        <w:rPr>
          <w:rFonts w:ascii="Garamond" w:hAnsi="Garamond" w:cs="Garamond"/>
        </w:rPr>
        <w:t>:</w:t>
      </w:r>
      <w:proofErr w:type="gramEnd"/>
      <w:r>
        <w:rPr>
          <w:rFonts w:ascii="Garamond" w:hAnsi="Garamond" w:cs="Garamond"/>
        </w:rPr>
        <w:t xml:space="preserve"> </w:t>
      </w:r>
      <w:proofErr w:type="spellStart"/>
      <w:r>
        <w:rPr>
          <w:rFonts w:ascii="Garamond" w:hAnsi="Garamond" w:cs="Garamond"/>
        </w:rPr>
        <w:t>écologie</w:t>
      </w:r>
      <w:proofErr w:type="spellEnd"/>
      <w:r>
        <w:rPr>
          <w:rFonts w:ascii="Garamond" w:hAnsi="Garamond" w:cs="Garamond"/>
        </w:rPr>
        <w:t xml:space="preserve"> et </w:t>
      </w:r>
      <w:proofErr w:type="spellStart"/>
      <w:r>
        <w:rPr>
          <w:rFonts w:ascii="Garamond" w:hAnsi="Garamond" w:cs="Garamond"/>
        </w:rPr>
        <w:t>répartition</w:t>
      </w:r>
      <w:proofErr w:type="spellEnd"/>
      <w:r>
        <w:rPr>
          <w:rFonts w:ascii="Garamond" w:hAnsi="Garamond" w:cs="Garamond"/>
        </w:rPr>
        <w:t xml:space="preserve">. </w:t>
      </w:r>
      <w:proofErr w:type="spellStart"/>
      <w:r>
        <w:rPr>
          <w:rFonts w:ascii="Garamond" w:hAnsi="Garamond" w:cs="Garamond"/>
        </w:rPr>
        <w:t>Feddes</w:t>
      </w:r>
      <w:proofErr w:type="spellEnd"/>
      <w:r>
        <w:rPr>
          <w:rFonts w:ascii="Garamond" w:hAnsi="Garamond" w:cs="Garamond"/>
        </w:rPr>
        <w:t xml:space="preserve"> </w:t>
      </w:r>
      <w:proofErr w:type="spellStart"/>
      <w:r>
        <w:rPr>
          <w:rFonts w:ascii="Garamond" w:hAnsi="Garamond" w:cs="Garamond"/>
        </w:rPr>
        <w:t>Repert</w:t>
      </w:r>
      <w:proofErr w:type="spellEnd"/>
      <w:r>
        <w:rPr>
          <w:rFonts w:ascii="Garamond" w:hAnsi="Garamond" w:cs="Garamond"/>
        </w:rPr>
        <w:t>. 106, 271–290.</w:t>
      </w:r>
    </w:p>
    <w:p w14:paraId="7524BCA8" w14:textId="0E818A3D"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Bareille</w:t>
      </w:r>
      <w:proofErr w:type="spellEnd"/>
      <w:r>
        <w:rPr>
          <w:rFonts w:ascii="Garamond" w:hAnsi="Garamond" w:cs="Garamond"/>
        </w:rPr>
        <w:t xml:space="preserve">, G., </w:t>
      </w:r>
      <w:proofErr w:type="spellStart"/>
      <w:r>
        <w:rPr>
          <w:rFonts w:ascii="Garamond" w:hAnsi="Garamond" w:cs="Garamond"/>
        </w:rPr>
        <w:t>Sasal</w:t>
      </w:r>
      <w:proofErr w:type="spellEnd"/>
      <w:r>
        <w:rPr>
          <w:rFonts w:ascii="Garamond" w:hAnsi="Garamond" w:cs="Garamond"/>
        </w:rPr>
        <w:t xml:space="preserve">, P., Mary, N., Meunier, F.J., Deschamps, M.H., </w:t>
      </w:r>
      <w:proofErr w:type="spellStart"/>
      <w:r>
        <w:rPr>
          <w:rFonts w:ascii="Garamond" w:hAnsi="Garamond" w:cs="Garamond"/>
        </w:rPr>
        <w:t>Berail</w:t>
      </w:r>
      <w:proofErr w:type="spellEnd"/>
      <w:r>
        <w:rPr>
          <w:rFonts w:ascii="Garamond" w:hAnsi="Garamond" w:cs="Garamond"/>
        </w:rPr>
        <w:t xml:space="preserve">, S., </w:t>
      </w:r>
      <w:proofErr w:type="spellStart"/>
      <w:r>
        <w:rPr>
          <w:rFonts w:ascii="Garamond" w:hAnsi="Garamond" w:cs="Garamond"/>
        </w:rPr>
        <w:t>Pecheyran</w:t>
      </w:r>
      <w:proofErr w:type="spellEnd"/>
      <w:r>
        <w:rPr>
          <w:rFonts w:ascii="Garamond" w:hAnsi="Garamond" w:cs="Garamond"/>
        </w:rPr>
        <w:t xml:space="preserve">, C., </w:t>
      </w:r>
      <w:proofErr w:type="spellStart"/>
      <w:r>
        <w:rPr>
          <w:rFonts w:ascii="Garamond" w:hAnsi="Garamond" w:cs="Garamond"/>
        </w:rPr>
        <w:t>Lecomte-Finiger</w:t>
      </w:r>
      <w:proofErr w:type="spellEnd"/>
      <w:r>
        <w:rPr>
          <w:rFonts w:ascii="Garamond" w:hAnsi="Garamond" w:cs="Garamond"/>
        </w:rPr>
        <w:t xml:space="preserve">, R., 2015. Are elemental and strontium isotopic microchemistry of otolith and </w:t>
      </w:r>
      <w:proofErr w:type="spellStart"/>
      <w:r>
        <w:rPr>
          <w:rFonts w:ascii="Garamond" w:hAnsi="Garamond" w:cs="Garamond"/>
        </w:rPr>
        <w:t>histomorphometrical</w:t>
      </w:r>
      <w:proofErr w:type="spellEnd"/>
      <w:r>
        <w:rPr>
          <w:rFonts w:ascii="Garamond" w:hAnsi="Garamond" w:cs="Garamond"/>
        </w:rPr>
        <w:t xml:space="preserve"> characteristics of vertebral bone useful to resolve the eel </w:t>
      </w:r>
      <w:r>
        <w:rPr>
          <w:rFonts w:ascii="Garamond" w:hAnsi="Garamond" w:cs="Garamond"/>
          <w:i/>
          <w:iCs/>
        </w:rPr>
        <w:t>Anguilla obscura</w:t>
      </w:r>
      <w:r>
        <w:rPr>
          <w:rFonts w:ascii="Garamond" w:hAnsi="Garamond" w:cs="Garamond"/>
        </w:rPr>
        <w:t xml:space="preserve"> status in Lalolalo lake in Wallis Island? Vie Milieu 65, 29–39.</w:t>
      </w:r>
    </w:p>
    <w:p w14:paraId="1AA0F9A3" w14:textId="211142C3" w:rsidR="00AA3E75" w:rsidRDefault="00A50750" w:rsidP="00A50750">
      <w:pPr>
        <w:autoSpaceDE w:val="0"/>
        <w:autoSpaceDN w:val="0"/>
        <w:adjustRightInd w:val="0"/>
        <w:spacing w:line="480" w:lineRule="auto"/>
        <w:ind w:left="480" w:right="-720" w:hanging="480"/>
        <w:rPr>
          <w:rFonts w:ascii="Garamond" w:hAnsi="Garamond" w:cs="Garamond"/>
        </w:rPr>
      </w:pPr>
      <w:r>
        <w:rPr>
          <w:rFonts w:ascii="Garamond" w:hAnsi="Garamond" w:cs="Garamond"/>
        </w:rPr>
        <w:t xml:space="preserve">Bhattacharya, T., Byrne, R., </w:t>
      </w:r>
      <w:proofErr w:type="spellStart"/>
      <w:r>
        <w:rPr>
          <w:rFonts w:ascii="Garamond" w:hAnsi="Garamond" w:cs="Garamond"/>
        </w:rPr>
        <w:t>Böhnel</w:t>
      </w:r>
      <w:proofErr w:type="spellEnd"/>
      <w:r>
        <w:rPr>
          <w:rFonts w:ascii="Garamond" w:hAnsi="Garamond" w:cs="Garamond"/>
        </w:rPr>
        <w:t xml:space="preserve">, H., </w:t>
      </w:r>
      <w:proofErr w:type="spellStart"/>
      <w:r>
        <w:rPr>
          <w:rFonts w:ascii="Garamond" w:hAnsi="Garamond" w:cs="Garamond"/>
        </w:rPr>
        <w:t>Wogau</w:t>
      </w:r>
      <w:proofErr w:type="spellEnd"/>
      <w:r>
        <w:rPr>
          <w:rFonts w:ascii="Garamond" w:hAnsi="Garamond" w:cs="Garamond"/>
        </w:rPr>
        <w:t xml:space="preserve">, K., </w:t>
      </w:r>
      <w:proofErr w:type="spellStart"/>
      <w:r>
        <w:rPr>
          <w:rFonts w:ascii="Garamond" w:hAnsi="Garamond" w:cs="Garamond"/>
        </w:rPr>
        <w:t>Kienel</w:t>
      </w:r>
      <w:proofErr w:type="spellEnd"/>
      <w:r>
        <w:rPr>
          <w:rFonts w:ascii="Garamond" w:hAnsi="Garamond" w:cs="Garamond"/>
        </w:rPr>
        <w:t xml:space="preserve">, U., Ingram, B.L., Zimmerman, S., 2015. Cultural implications of late </w:t>
      </w:r>
      <w:proofErr w:type="spellStart"/>
      <w:r>
        <w:rPr>
          <w:rFonts w:ascii="Garamond" w:hAnsi="Garamond" w:cs="Garamond"/>
        </w:rPr>
        <w:t>holocene</w:t>
      </w:r>
      <w:proofErr w:type="spellEnd"/>
      <w:r>
        <w:rPr>
          <w:rFonts w:ascii="Garamond" w:hAnsi="Garamond" w:cs="Garamond"/>
        </w:rPr>
        <w:t xml:space="preserve"> climate change in the Cuenca Oriental, Mexico. Proc. Natl. Acad. Sci. 112, 1693–1698. doi:10.1073/pnas.1405653112</w:t>
      </w:r>
    </w:p>
    <w:p w14:paraId="1D6668C0"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Blaauw</w:t>
      </w:r>
      <w:proofErr w:type="spellEnd"/>
      <w:r>
        <w:rPr>
          <w:rFonts w:ascii="Garamond" w:hAnsi="Garamond" w:cs="Garamond"/>
        </w:rPr>
        <w:t>, M., Christen, J.A., 2011. Flexible paleoclimate age-depth models using an autoregressive gamma process. Bayesian Anal. 6, 457–474. doi:10.1214/11-BA618</w:t>
      </w:r>
    </w:p>
    <w:p w14:paraId="7CCD60FE"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Bowen, G.J., 2010. </w:t>
      </w:r>
      <w:proofErr w:type="spellStart"/>
      <w:r>
        <w:rPr>
          <w:rFonts w:ascii="Garamond" w:hAnsi="Garamond" w:cs="Garamond"/>
        </w:rPr>
        <w:t>Isoscapes</w:t>
      </w:r>
      <w:proofErr w:type="spellEnd"/>
      <w:r>
        <w:rPr>
          <w:rFonts w:ascii="Garamond" w:hAnsi="Garamond" w:cs="Garamond"/>
        </w:rPr>
        <w:t xml:space="preserve">: Spatial Pattern in Isotopic Biogeochemistry. </w:t>
      </w:r>
      <w:proofErr w:type="spellStart"/>
      <w:r>
        <w:rPr>
          <w:rFonts w:ascii="Garamond" w:hAnsi="Garamond" w:cs="Garamond"/>
        </w:rPr>
        <w:t>Annu</w:t>
      </w:r>
      <w:proofErr w:type="spellEnd"/>
      <w:r>
        <w:rPr>
          <w:rFonts w:ascii="Garamond" w:hAnsi="Garamond" w:cs="Garamond"/>
        </w:rPr>
        <w:t>. Rev. Earth Planet. Sci. 38, 161–187. doi:10.1146/annurev-earth-040809-152429</w:t>
      </w:r>
    </w:p>
    <w:p w14:paraId="6E0EE8E8"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lastRenderedPageBreak/>
        <w:t xml:space="preserve">Bowen, G.J., Cai, Z., Fiorella, R.P., Putman, A.L., 2019. Isotopes in the water cycle: Regional- to global-scale patterns and applications. </w:t>
      </w:r>
      <w:proofErr w:type="spellStart"/>
      <w:r>
        <w:rPr>
          <w:rFonts w:ascii="Garamond" w:hAnsi="Garamond" w:cs="Garamond"/>
        </w:rPr>
        <w:t>Annu</w:t>
      </w:r>
      <w:proofErr w:type="spellEnd"/>
      <w:r>
        <w:rPr>
          <w:rFonts w:ascii="Garamond" w:hAnsi="Garamond" w:cs="Garamond"/>
        </w:rPr>
        <w:t>. Rev. Earth Planet. Sci. 47, 453–479. doi:10.1146/annurev-earth-053018-060220</w:t>
      </w:r>
    </w:p>
    <w:p w14:paraId="4D09F734"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Bowen, G.J., </w:t>
      </w:r>
      <w:proofErr w:type="spellStart"/>
      <w:r>
        <w:rPr>
          <w:rFonts w:ascii="Garamond" w:hAnsi="Garamond" w:cs="Garamond"/>
        </w:rPr>
        <w:t>Revenaugh</w:t>
      </w:r>
      <w:proofErr w:type="spellEnd"/>
      <w:r>
        <w:rPr>
          <w:rFonts w:ascii="Garamond" w:hAnsi="Garamond" w:cs="Garamond"/>
        </w:rPr>
        <w:t xml:space="preserve">, J., 2003. Interpolating the isotopic composition of modern meteoric precipitation. Water </w:t>
      </w:r>
      <w:proofErr w:type="spellStart"/>
      <w:r>
        <w:rPr>
          <w:rFonts w:ascii="Garamond" w:hAnsi="Garamond" w:cs="Garamond"/>
        </w:rPr>
        <w:t>Resour</w:t>
      </w:r>
      <w:proofErr w:type="spellEnd"/>
      <w:r>
        <w:rPr>
          <w:rFonts w:ascii="Garamond" w:hAnsi="Garamond" w:cs="Garamond"/>
        </w:rPr>
        <w:t>. Res. 39, 1–13. doi:10.1029/2003WR002086</w:t>
      </w:r>
    </w:p>
    <w:p w14:paraId="125D6786"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Boyle, J.F., </w:t>
      </w:r>
      <w:proofErr w:type="spellStart"/>
      <w:r>
        <w:rPr>
          <w:rFonts w:ascii="Garamond" w:hAnsi="Garamond" w:cs="Garamond"/>
        </w:rPr>
        <w:t>Chiverrell</w:t>
      </w:r>
      <w:proofErr w:type="spellEnd"/>
      <w:r>
        <w:rPr>
          <w:rFonts w:ascii="Garamond" w:hAnsi="Garamond" w:cs="Garamond"/>
        </w:rPr>
        <w:t xml:space="preserve">, R.C., </w:t>
      </w:r>
      <w:proofErr w:type="spellStart"/>
      <w:r>
        <w:rPr>
          <w:rFonts w:ascii="Garamond" w:hAnsi="Garamond" w:cs="Garamond"/>
        </w:rPr>
        <w:t>Schillereff</w:t>
      </w:r>
      <w:proofErr w:type="spellEnd"/>
      <w:r>
        <w:rPr>
          <w:rFonts w:ascii="Garamond" w:hAnsi="Garamond" w:cs="Garamond"/>
        </w:rPr>
        <w:t xml:space="preserve">, D., 2015. Approaches to Water Content Correction and Calibration for µXRF Core Scanning: Comparing X-ray Scattering with Simple Regression of Elemental Concentrations, in: </w:t>
      </w:r>
      <w:proofErr w:type="spellStart"/>
      <w:r>
        <w:rPr>
          <w:rFonts w:ascii="Garamond" w:hAnsi="Garamond" w:cs="Garamond"/>
        </w:rPr>
        <w:t>Croudace</w:t>
      </w:r>
      <w:proofErr w:type="spellEnd"/>
      <w:r>
        <w:rPr>
          <w:rFonts w:ascii="Garamond" w:hAnsi="Garamond" w:cs="Garamond"/>
        </w:rPr>
        <w:t>, I.W., Rothwell, R.G. (Eds.), Micro-XRF Studies of Sediment Cores, Applications of a Non-Destructive Tool for the Environmental Sciences. Springer, Dordrecht, pp. 373–390. doi:10.1007/978-94-017-9849-5_14</w:t>
      </w:r>
    </w:p>
    <w:p w14:paraId="24594D28"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Brock, F., </w:t>
      </w:r>
      <w:proofErr w:type="spellStart"/>
      <w:r>
        <w:rPr>
          <w:rFonts w:ascii="Garamond" w:hAnsi="Garamond" w:cs="Garamond"/>
        </w:rPr>
        <w:t>Higham</w:t>
      </w:r>
      <w:proofErr w:type="spellEnd"/>
      <w:r>
        <w:rPr>
          <w:rFonts w:ascii="Garamond" w:hAnsi="Garamond" w:cs="Garamond"/>
        </w:rPr>
        <w:t xml:space="preserve">, T., </w:t>
      </w:r>
      <w:proofErr w:type="spellStart"/>
      <w:r>
        <w:rPr>
          <w:rFonts w:ascii="Garamond" w:hAnsi="Garamond" w:cs="Garamond"/>
        </w:rPr>
        <w:t>Ditchfield</w:t>
      </w:r>
      <w:proofErr w:type="spellEnd"/>
      <w:r>
        <w:rPr>
          <w:rFonts w:ascii="Garamond" w:hAnsi="Garamond" w:cs="Garamond"/>
        </w:rPr>
        <w:t>, P., Ramsey, C.B., 2010. Current pretreatment methods for AMS radiocarbon dating at the Oxford Radiocarbon Accelerator Unit (ORAU). Radiocarbon 52, 103–112. doi:10.1017/S0033822200045069</w:t>
      </w:r>
    </w:p>
    <w:p w14:paraId="10F1CA55"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Brown, J.R., </w:t>
      </w:r>
      <w:proofErr w:type="spellStart"/>
      <w:r>
        <w:rPr>
          <w:rFonts w:ascii="Garamond" w:hAnsi="Garamond" w:cs="Garamond"/>
        </w:rPr>
        <w:t>Lengaigne</w:t>
      </w:r>
      <w:proofErr w:type="spellEnd"/>
      <w:r>
        <w:rPr>
          <w:rFonts w:ascii="Garamond" w:hAnsi="Garamond" w:cs="Garamond"/>
        </w:rPr>
        <w:t xml:space="preserve">, M., Lintner, B.R., </w:t>
      </w:r>
      <w:proofErr w:type="spellStart"/>
      <w:r>
        <w:rPr>
          <w:rFonts w:ascii="Garamond" w:hAnsi="Garamond" w:cs="Garamond"/>
        </w:rPr>
        <w:t>Widlansky</w:t>
      </w:r>
      <w:proofErr w:type="spellEnd"/>
      <w:r>
        <w:rPr>
          <w:rFonts w:ascii="Garamond" w:hAnsi="Garamond" w:cs="Garamond"/>
        </w:rPr>
        <w:t xml:space="preserve">, M.J., van der </w:t>
      </w:r>
      <w:proofErr w:type="spellStart"/>
      <w:r>
        <w:rPr>
          <w:rFonts w:ascii="Garamond" w:hAnsi="Garamond" w:cs="Garamond"/>
        </w:rPr>
        <w:t>Wiel</w:t>
      </w:r>
      <w:proofErr w:type="spellEnd"/>
      <w:r>
        <w:rPr>
          <w:rFonts w:ascii="Garamond" w:hAnsi="Garamond" w:cs="Garamond"/>
        </w:rPr>
        <w:t xml:space="preserve">, K., </w:t>
      </w:r>
      <w:proofErr w:type="spellStart"/>
      <w:r>
        <w:rPr>
          <w:rFonts w:ascii="Garamond" w:hAnsi="Garamond" w:cs="Garamond"/>
        </w:rPr>
        <w:t>Dutheil</w:t>
      </w:r>
      <w:proofErr w:type="spellEnd"/>
      <w:r>
        <w:rPr>
          <w:rFonts w:ascii="Garamond" w:hAnsi="Garamond" w:cs="Garamond"/>
        </w:rPr>
        <w:t xml:space="preserve">, C., </w:t>
      </w:r>
      <w:proofErr w:type="spellStart"/>
      <w:r>
        <w:rPr>
          <w:rFonts w:ascii="Garamond" w:hAnsi="Garamond" w:cs="Garamond"/>
        </w:rPr>
        <w:t>Linsley</w:t>
      </w:r>
      <w:proofErr w:type="spellEnd"/>
      <w:r>
        <w:rPr>
          <w:rFonts w:ascii="Garamond" w:hAnsi="Garamond" w:cs="Garamond"/>
        </w:rPr>
        <w:t xml:space="preserve">, B.K., Matthews, A.J., Renwick, J., 2020. South Pacific Convergence Zone dynamics, </w:t>
      </w:r>
      <w:proofErr w:type="gramStart"/>
      <w:r>
        <w:rPr>
          <w:rFonts w:ascii="Garamond" w:hAnsi="Garamond" w:cs="Garamond"/>
        </w:rPr>
        <w:t>variability</w:t>
      </w:r>
      <w:proofErr w:type="gramEnd"/>
      <w:r>
        <w:rPr>
          <w:rFonts w:ascii="Garamond" w:hAnsi="Garamond" w:cs="Garamond"/>
        </w:rPr>
        <w:t xml:space="preserve"> and impacts in a changing climate. Nat. Rev. Earth Environ. 1, 530–543. doi:10.1038/s43017-020-0078-2</w:t>
      </w:r>
    </w:p>
    <w:p w14:paraId="26EBC758"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Butterfield, D.A., Roe, K.K., Lilley, M.D., Huber, J.A., </w:t>
      </w:r>
      <w:proofErr w:type="spellStart"/>
      <w:r>
        <w:rPr>
          <w:rFonts w:ascii="Garamond" w:hAnsi="Garamond" w:cs="Garamond"/>
        </w:rPr>
        <w:t>Baross</w:t>
      </w:r>
      <w:proofErr w:type="spellEnd"/>
      <w:r>
        <w:rPr>
          <w:rFonts w:ascii="Garamond" w:hAnsi="Garamond" w:cs="Garamond"/>
        </w:rPr>
        <w:t xml:space="preserve">, J.A., </w:t>
      </w:r>
      <w:proofErr w:type="spellStart"/>
      <w:r>
        <w:rPr>
          <w:rFonts w:ascii="Garamond" w:hAnsi="Garamond" w:cs="Garamond"/>
        </w:rPr>
        <w:t>Embley</w:t>
      </w:r>
      <w:proofErr w:type="spellEnd"/>
      <w:r>
        <w:rPr>
          <w:rFonts w:ascii="Garamond" w:hAnsi="Garamond" w:cs="Garamond"/>
        </w:rPr>
        <w:t xml:space="preserve">, R.W., </w:t>
      </w:r>
      <w:proofErr w:type="spellStart"/>
      <w:r>
        <w:rPr>
          <w:rFonts w:ascii="Garamond" w:hAnsi="Garamond" w:cs="Garamond"/>
        </w:rPr>
        <w:t>Massoth</w:t>
      </w:r>
      <w:proofErr w:type="spellEnd"/>
      <w:r>
        <w:rPr>
          <w:rFonts w:ascii="Garamond" w:hAnsi="Garamond" w:cs="Garamond"/>
        </w:rPr>
        <w:t xml:space="preserve">, G.J., 2004. Mixing, </w:t>
      </w:r>
      <w:proofErr w:type="gramStart"/>
      <w:r>
        <w:rPr>
          <w:rFonts w:ascii="Garamond" w:hAnsi="Garamond" w:cs="Garamond"/>
        </w:rPr>
        <w:t>reaction</w:t>
      </w:r>
      <w:proofErr w:type="gramEnd"/>
      <w:r>
        <w:rPr>
          <w:rFonts w:ascii="Garamond" w:hAnsi="Garamond" w:cs="Garamond"/>
        </w:rPr>
        <w:t xml:space="preserve"> and microbial activity in the sub-seafloor revealed by temporal and spatial variation in diffuse flow vents at axial volcano. </w:t>
      </w:r>
      <w:proofErr w:type="spellStart"/>
      <w:r>
        <w:rPr>
          <w:rFonts w:ascii="Garamond" w:hAnsi="Garamond" w:cs="Garamond"/>
        </w:rPr>
        <w:t>Geophys</w:t>
      </w:r>
      <w:proofErr w:type="spellEnd"/>
      <w:r>
        <w:rPr>
          <w:rFonts w:ascii="Garamond" w:hAnsi="Garamond" w:cs="Garamond"/>
        </w:rPr>
        <w:t xml:space="preserve">. </w:t>
      </w:r>
      <w:proofErr w:type="spellStart"/>
      <w:r>
        <w:rPr>
          <w:rFonts w:ascii="Garamond" w:hAnsi="Garamond" w:cs="Garamond"/>
        </w:rPr>
        <w:t>Monogr</w:t>
      </w:r>
      <w:proofErr w:type="spellEnd"/>
      <w:r>
        <w:rPr>
          <w:rFonts w:ascii="Garamond" w:hAnsi="Garamond" w:cs="Garamond"/>
        </w:rPr>
        <w:t>. Ser. 144, 269–289. doi:10.1029/144GM17</w:t>
      </w:r>
    </w:p>
    <w:p w14:paraId="3E4B31BE" w14:textId="3C06D745"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Conroy, J.L., Cobb, K.M., </w:t>
      </w:r>
      <w:proofErr w:type="spellStart"/>
      <w:r>
        <w:rPr>
          <w:rFonts w:ascii="Garamond" w:hAnsi="Garamond" w:cs="Garamond"/>
        </w:rPr>
        <w:t>Noone</w:t>
      </w:r>
      <w:proofErr w:type="spellEnd"/>
      <w:r>
        <w:rPr>
          <w:rFonts w:ascii="Garamond" w:hAnsi="Garamond" w:cs="Garamond"/>
        </w:rPr>
        <w:t xml:space="preserve">, D., 2013. Comparison of precipitation isotope variability across the tropical Pacific in observations and SWING2 model simulations. J. </w:t>
      </w:r>
      <w:proofErr w:type="spellStart"/>
      <w:r>
        <w:rPr>
          <w:rFonts w:ascii="Garamond" w:hAnsi="Garamond" w:cs="Garamond"/>
        </w:rPr>
        <w:t>Geophys</w:t>
      </w:r>
      <w:proofErr w:type="spellEnd"/>
      <w:r>
        <w:rPr>
          <w:rFonts w:ascii="Garamond" w:hAnsi="Garamond" w:cs="Garamond"/>
        </w:rPr>
        <w:t>. Res. Atmos. 118, 5867–5892. doi:10.1002/jgrd.50412</w:t>
      </w:r>
    </w:p>
    <w:p w14:paraId="6D7D4310" w14:textId="1B3555B5" w:rsidR="00AA3E75" w:rsidRDefault="00AA3E75" w:rsidP="00A50750">
      <w:pPr>
        <w:autoSpaceDE w:val="0"/>
        <w:autoSpaceDN w:val="0"/>
        <w:adjustRightInd w:val="0"/>
        <w:spacing w:line="480" w:lineRule="auto"/>
        <w:ind w:left="480" w:right="-720" w:hanging="480"/>
        <w:rPr>
          <w:rFonts w:ascii="Garamond" w:hAnsi="Garamond" w:cs="Garamond"/>
        </w:rPr>
      </w:pPr>
      <w:r>
        <w:rPr>
          <w:rFonts w:ascii="Garamond" w:hAnsi="Garamond" w:cs="Garamond"/>
        </w:rPr>
        <w:lastRenderedPageBreak/>
        <w:t xml:space="preserve">Conroy, J.L., </w:t>
      </w:r>
      <w:proofErr w:type="spellStart"/>
      <w:r>
        <w:rPr>
          <w:rFonts w:ascii="Garamond" w:hAnsi="Garamond" w:cs="Garamond"/>
        </w:rPr>
        <w:t>Overpeck</w:t>
      </w:r>
      <w:proofErr w:type="spellEnd"/>
      <w:r>
        <w:rPr>
          <w:rFonts w:ascii="Garamond" w:hAnsi="Garamond" w:cs="Garamond"/>
        </w:rPr>
        <w:t xml:space="preserve">, J.T., Cole, J.E., Shanahan, T.M., Steinitz-Kannan, M., 2008. Holocene changes in eastern tropical Pacific climate inferred from a </w:t>
      </w:r>
      <w:proofErr w:type="gramStart"/>
      <w:r>
        <w:rPr>
          <w:rFonts w:ascii="Garamond" w:hAnsi="Garamond" w:cs="Garamond"/>
        </w:rPr>
        <w:t>Galápagos lake</w:t>
      </w:r>
      <w:proofErr w:type="gramEnd"/>
      <w:r>
        <w:rPr>
          <w:rFonts w:ascii="Garamond" w:hAnsi="Garamond" w:cs="Garamond"/>
        </w:rPr>
        <w:t xml:space="preserve"> sediment record. Quat. Sci. Rev. 27, 1166–1180. </w:t>
      </w:r>
      <w:proofErr w:type="gramStart"/>
      <w:r>
        <w:rPr>
          <w:rFonts w:ascii="Garamond" w:hAnsi="Garamond" w:cs="Garamond"/>
        </w:rPr>
        <w:t>doi:10.1016/j.quascirev</w:t>
      </w:r>
      <w:proofErr w:type="gramEnd"/>
      <w:r>
        <w:rPr>
          <w:rFonts w:ascii="Garamond" w:hAnsi="Garamond" w:cs="Garamond"/>
        </w:rPr>
        <w:t>.2008.02.015</w:t>
      </w:r>
    </w:p>
    <w:p w14:paraId="6825B919" w14:textId="7DF36937" w:rsidR="00A50750" w:rsidRDefault="00A50750" w:rsidP="00A50750">
      <w:pPr>
        <w:autoSpaceDE w:val="0"/>
        <w:autoSpaceDN w:val="0"/>
        <w:adjustRightInd w:val="0"/>
        <w:spacing w:line="480" w:lineRule="auto"/>
        <w:ind w:left="480" w:right="-720" w:hanging="480"/>
        <w:rPr>
          <w:rFonts w:ascii="Garamond" w:hAnsi="Garamond" w:cs="Garamond"/>
        </w:rPr>
      </w:pPr>
      <w:r>
        <w:rPr>
          <w:rFonts w:ascii="Garamond" w:hAnsi="Garamond" w:cs="Garamond"/>
        </w:rPr>
        <w:t xml:space="preserve">Curtis, J.H., </w:t>
      </w:r>
      <w:proofErr w:type="spellStart"/>
      <w:r>
        <w:rPr>
          <w:rFonts w:ascii="Garamond" w:hAnsi="Garamond" w:cs="Garamond"/>
        </w:rPr>
        <w:t>Hodell</w:t>
      </w:r>
      <w:proofErr w:type="spellEnd"/>
      <w:r>
        <w:rPr>
          <w:rFonts w:ascii="Garamond" w:hAnsi="Garamond" w:cs="Garamond"/>
        </w:rPr>
        <w:t>, D.A., Brenner, M., 1996. Climate variability on the Yucatan Peninsula (Mexico) during the past 3500 years, and implications for Maya cultural evolution. Quat. Res. 46, 37–47. doi:10.1006/qres.1996.0042</w:t>
      </w:r>
    </w:p>
    <w:p w14:paraId="65C01765"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Croudace</w:t>
      </w:r>
      <w:proofErr w:type="spellEnd"/>
      <w:r>
        <w:rPr>
          <w:rFonts w:ascii="Garamond" w:hAnsi="Garamond" w:cs="Garamond"/>
        </w:rPr>
        <w:t xml:space="preserve">, I.W., </w:t>
      </w:r>
      <w:proofErr w:type="spellStart"/>
      <w:r>
        <w:rPr>
          <w:rFonts w:ascii="Garamond" w:hAnsi="Garamond" w:cs="Garamond"/>
        </w:rPr>
        <w:t>Löwemark</w:t>
      </w:r>
      <w:proofErr w:type="spellEnd"/>
      <w:r>
        <w:rPr>
          <w:rFonts w:ascii="Garamond" w:hAnsi="Garamond" w:cs="Garamond"/>
        </w:rPr>
        <w:t xml:space="preserve">, L., </w:t>
      </w:r>
      <w:proofErr w:type="spellStart"/>
      <w:r>
        <w:rPr>
          <w:rFonts w:ascii="Garamond" w:hAnsi="Garamond" w:cs="Garamond"/>
        </w:rPr>
        <w:t>Tjallingii</w:t>
      </w:r>
      <w:proofErr w:type="spellEnd"/>
      <w:r>
        <w:rPr>
          <w:rFonts w:ascii="Garamond" w:hAnsi="Garamond" w:cs="Garamond"/>
        </w:rPr>
        <w:t xml:space="preserve">, R., </w:t>
      </w:r>
      <w:proofErr w:type="spellStart"/>
      <w:r>
        <w:rPr>
          <w:rFonts w:ascii="Garamond" w:hAnsi="Garamond" w:cs="Garamond"/>
        </w:rPr>
        <w:t>Zolitschka</w:t>
      </w:r>
      <w:proofErr w:type="spellEnd"/>
      <w:r>
        <w:rPr>
          <w:rFonts w:ascii="Garamond" w:hAnsi="Garamond" w:cs="Garamond"/>
        </w:rPr>
        <w:t xml:space="preserve">, B., 2019. Current perspectives on the capabilities of high resolution XRF core scanners. Quat. Int. </w:t>
      </w:r>
      <w:proofErr w:type="gramStart"/>
      <w:r>
        <w:rPr>
          <w:rFonts w:ascii="Garamond" w:hAnsi="Garamond" w:cs="Garamond"/>
        </w:rPr>
        <w:t>doi:10.1016/j.quaint</w:t>
      </w:r>
      <w:proofErr w:type="gramEnd"/>
      <w:r>
        <w:rPr>
          <w:rFonts w:ascii="Garamond" w:hAnsi="Garamond" w:cs="Garamond"/>
        </w:rPr>
        <w:t>.2019.04.002</w:t>
      </w:r>
    </w:p>
    <w:p w14:paraId="154E6193"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Dansgaard</w:t>
      </w:r>
      <w:proofErr w:type="spellEnd"/>
      <w:r>
        <w:rPr>
          <w:rFonts w:ascii="Garamond" w:hAnsi="Garamond" w:cs="Garamond"/>
        </w:rPr>
        <w:t>, W., 1964. Stable isotopes in precipitation. Tellus 16, 436–468.</w:t>
      </w:r>
    </w:p>
    <w:p w14:paraId="7B01FCBF" w14:textId="6D1A780F"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Dassié</w:t>
      </w:r>
      <w:proofErr w:type="spellEnd"/>
      <w:r>
        <w:rPr>
          <w:rFonts w:ascii="Garamond" w:hAnsi="Garamond" w:cs="Garamond"/>
        </w:rPr>
        <w:t xml:space="preserve">, E.P., Hasson, A., </w:t>
      </w:r>
      <w:proofErr w:type="spellStart"/>
      <w:r>
        <w:rPr>
          <w:rFonts w:ascii="Garamond" w:hAnsi="Garamond" w:cs="Garamond"/>
        </w:rPr>
        <w:t>Khodri</w:t>
      </w:r>
      <w:proofErr w:type="spellEnd"/>
      <w:r>
        <w:rPr>
          <w:rFonts w:ascii="Garamond" w:hAnsi="Garamond" w:cs="Garamond"/>
        </w:rPr>
        <w:t xml:space="preserve">, M., </w:t>
      </w:r>
      <w:proofErr w:type="spellStart"/>
      <w:r>
        <w:rPr>
          <w:rFonts w:ascii="Garamond" w:hAnsi="Garamond" w:cs="Garamond"/>
        </w:rPr>
        <w:t>Lebas</w:t>
      </w:r>
      <w:proofErr w:type="spellEnd"/>
      <w:r>
        <w:rPr>
          <w:rFonts w:ascii="Garamond" w:hAnsi="Garamond" w:cs="Garamond"/>
        </w:rPr>
        <w:t xml:space="preserve">, N., </w:t>
      </w:r>
      <w:proofErr w:type="spellStart"/>
      <w:r>
        <w:rPr>
          <w:rFonts w:ascii="Garamond" w:hAnsi="Garamond" w:cs="Garamond"/>
        </w:rPr>
        <w:t>Linsley</w:t>
      </w:r>
      <w:proofErr w:type="spellEnd"/>
      <w:r>
        <w:rPr>
          <w:rFonts w:ascii="Garamond" w:hAnsi="Garamond" w:cs="Garamond"/>
        </w:rPr>
        <w:t xml:space="preserve">, B.K., 2018. Spatiotemporal variability of the South Pacific Convergence Zone fresh pool eastern front from coral-derived surface salinity data. J. </w:t>
      </w:r>
      <w:proofErr w:type="spellStart"/>
      <w:r>
        <w:rPr>
          <w:rFonts w:ascii="Garamond" w:hAnsi="Garamond" w:cs="Garamond"/>
        </w:rPr>
        <w:t>Clim</w:t>
      </w:r>
      <w:proofErr w:type="spellEnd"/>
      <w:r>
        <w:rPr>
          <w:rFonts w:ascii="Garamond" w:hAnsi="Garamond" w:cs="Garamond"/>
        </w:rPr>
        <w:t>. 31, 3265–3288. doi:10.1175/JCLI-D-17-0071.1</w:t>
      </w:r>
    </w:p>
    <w:p w14:paraId="164A1C02"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Dirghangi</w:t>
      </w:r>
      <w:proofErr w:type="spellEnd"/>
      <w:r>
        <w:rPr>
          <w:rFonts w:ascii="Garamond" w:hAnsi="Garamond" w:cs="Garamond"/>
        </w:rPr>
        <w:t xml:space="preserve">, S.S., Pagani, M., 2013. Hydrogen isotope fractionation during lipid biosynthesis by </w:t>
      </w:r>
      <w:proofErr w:type="spellStart"/>
      <w:r w:rsidRPr="007C6E49">
        <w:rPr>
          <w:rFonts w:ascii="Garamond" w:hAnsi="Garamond" w:cs="Garamond"/>
          <w:i/>
          <w:iCs/>
        </w:rPr>
        <w:t>Haloarcula</w:t>
      </w:r>
      <w:proofErr w:type="spellEnd"/>
      <w:r w:rsidRPr="007C6E49">
        <w:rPr>
          <w:rFonts w:ascii="Garamond" w:hAnsi="Garamond" w:cs="Garamond"/>
          <w:i/>
          <w:iCs/>
        </w:rPr>
        <w:t xml:space="preserve"> </w:t>
      </w:r>
      <w:proofErr w:type="spellStart"/>
      <w:r w:rsidRPr="007C6E49">
        <w:rPr>
          <w:rFonts w:ascii="Garamond" w:hAnsi="Garamond" w:cs="Garamond"/>
          <w:i/>
          <w:iCs/>
        </w:rPr>
        <w:t>marismortui</w:t>
      </w:r>
      <w:proofErr w:type="spellEnd"/>
      <w:r>
        <w:rPr>
          <w:rFonts w:ascii="Garamond" w:hAnsi="Garamond" w:cs="Garamond"/>
        </w:rPr>
        <w:t xml:space="preserve">. </w:t>
      </w:r>
      <w:proofErr w:type="spellStart"/>
      <w:r>
        <w:rPr>
          <w:rFonts w:ascii="Garamond" w:hAnsi="Garamond" w:cs="Garamond"/>
        </w:rPr>
        <w:t>Geochim</w:t>
      </w:r>
      <w:proofErr w:type="spellEnd"/>
      <w:r>
        <w:rPr>
          <w:rFonts w:ascii="Garamond" w:hAnsi="Garamond" w:cs="Garamond"/>
        </w:rPr>
        <w:t xml:space="preserve">. </w:t>
      </w:r>
      <w:proofErr w:type="spellStart"/>
      <w:r>
        <w:rPr>
          <w:rFonts w:ascii="Garamond" w:hAnsi="Garamond" w:cs="Garamond"/>
        </w:rPr>
        <w:t>Cosmochim</w:t>
      </w:r>
      <w:proofErr w:type="spellEnd"/>
      <w:r>
        <w:rPr>
          <w:rFonts w:ascii="Garamond" w:hAnsi="Garamond" w:cs="Garamond"/>
        </w:rPr>
        <w:t xml:space="preserve">. Acta 119, 381–390. </w:t>
      </w:r>
      <w:proofErr w:type="gramStart"/>
      <w:r>
        <w:rPr>
          <w:rFonts w:ascii="Garamond" w:hAnsi="Garamond" w:cs="Garamond"/>
        </w:rPr>
        <w:t>doi:10.1016/j.gca</w:t>
      </w:r>
      <w:proofErr w:type="gramEnd"/>
      <w:r>
        <w:rPr>
          <w:rFonts w:ascii="Garamond" w:hAnsi="Garamond" w:cs="Garamond"/>
        </w:rPr>
        <w:t>.2013.05.023</w:t>
      </w:r>
    </w:p>
    <w:p w14:paraId="34212C81"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Englebrecht, A.C., Sachs, J.P., 2005. Determination of sediment provenance at drift sites using hydrogen isotopes and unsaturation ratios in alkenones. </w:t>
      </w:r>
      <w:proofErr w:type="spellStart"/>
      <w:r>
        <w:rPr>
          <w:rFonts w:ascii="Garamond" w:hAnsi="Garamond" w:cs="Garamond"/>
        </w:rPr>
        <w:t>Geochim</w:t>
      </w:r>
      <w:proofErr w:type="spellEnd"/>
      <w:r>
        <w:rPr>
          <w:rFonts w:ascii="Garamond" w:hAnsi="Garamond" w:cs="Garamond"/>
        </w:rPr>
        <w:t xml:space="preserve">. </w:t>
      </w:r>
      <w:proofErr w:type="spellStart"/>
      <w:r>
        <w:rPr>
          <w:rFonts w:ascii="Garamond" w:hAnsi="Garamond" w:cs="Garamond"/>
        </w:rPr>
        <w:t>Cosmochim</w:t>
      </w:r>
      <w:proofErr w:type="spellEnd"/>
      <w:r>
        <w:rPr>
          <w:rFonts w:ascii="Garamond" w:hAnsi="Garamond" w:cs="Garamond"/>
        </w:rPr>
        <w:t xml:space="preserve">. Acta 69, 4253–4265. </w:t>
      </w:r>
      <w:proofErr w:type="gramStart"/>
      <w:r>
        <w:rPr>
          <w:rFonts w:ascii="Garamond" w:hAnsi="Garamond" w:cs="Garamond"/>
        </w:rPr>
        <w:t>doi:10.1016/j.gca</w:t>
      </w:r>
      <w:proofErr w:type="gramEnd"/>
      <w:r>
        <w:rPr>
          <w:rFonts w:ascii="Garamond" w:hAnsi="Garamond" w:cs="Garamond"/>
        </w:rPr>
        <w:t>.2005.04.011</w:t>
      </w:r>
    </w:p>
    <w:p w14:paraId="77B5180B" w14:textId="2DBD5BD0"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Estep, M.F., </w:t>
      </w:r>
      <w:proofErr w:type="spellStart"/>
      <w:r>
        <w:rPr>
          <w:rFonts w:ascii="Garamond" w:hAnsi="Garamond" w:cs="Garamond"/>
        </w:rPr>
        <w:t>Hoering</w:t>
      </w:r>
      <w:proofErr w:type="spellEnd"/>
      <w:r>
        <w:rPr>
          <w:rFonts w:ascii="Garamond" w:hAnsi="Garamond" w:cs="Garamond"/>
        </w:rPr>
        <w:t xml:space="preserve">, T.C., 1981. Stable </w:t>
      </w:r>
      <w:r w:rsidR="005459E1">
        <w:rPr>
          <w:rFonts w:ascii="Garamond" w:hAnsi="Garamond" w:cs="Garamond"/>
        </w:rPr>
        <w:t>h</w:t>
      </w:r>
      <w:r>
        <w:rPr>
          <w:rFonts w:ascii="Garamond" w:hAnsi="Garamond" w:cs="Garamond"/>
        </w:rPr>
        <w:t xml:space="preserve">ydrogen </w:t>
      </w:r>
      <w:r w:rsidR="005459E1">
        <w:rPr>
          <w:rFonts w:ascii="Garamond" w:hAnsi="Garamond" w:cs="Garamond"/>
        </w:rPr>
        <w:t xml:space="preserve">isotope fractionations </w:t>
      </w:r>
      <w:r>
        <w:rPr>
          <w:rFonts w:ascii="Garamond" w:hAnsi="Garamond" w:cs="Garamond"/>
        </w:rPr>
        <w:t xml:space="preserve">during </w:t>
      </w:r>
      <w:r w:rsidR="005459E1">
        <w:rPr>
          <w:rFonts w:ascii="Garamond" w:hAnsi="Garamond" w:cs="Garamond"/>
        </w:rPr>
        <w:t xml:space="preserve">autotrophic </w:t>
      </w:r>
      <w:r>
        <w:rPr>
          <w:rFonts w:ascii="Garamond" w:hAnsi="Garamond" w:cs="Garamond"/>
        </w:rPr>
        <w:t xml:space="preserve">and </w:t>
      </w:r>
      <w:r w:rsidR="005459E1">
        <w:rPr>
          <w:rFonts w:ascii="Garamond" w:hAnsi="Garamond" w:cs="Garamond"/>
        </w:rPr>
        <w:t xml:space="preserve">mixotrophic growth </w:t>
      </w:r>
      <w:r>
        <w:rPr>
          <w:rFonts w:ascii="Garamond" w:hAnsi="Garamond" w:cs="Garamond"/>
        </w:rPr>
        <w:t xml:space="preserve">of </w:t>
      </w:r>
      <w:r w:rsidR="005459E1">
        <w:rPr>
          <w:rFonts w:ascii="Garamond" w:hAnsi="Garamond" w:cs="Garamond"/>
        </w:rPr>
        <w:t>microalgae</w:t>
      </w:r>
      <w:r>
        <w:rPr>
          <w:rFonts w:ascii="Garamond" w:hAnsi="Garamond" w:cs="Garamond"/>
        </w:rPr>
        <w:t>. Plant Physiol. 67, 474–477. doi:10.1104/pp.67.3.474</w:t>
      </w:r>
    </w:p>
    <w:p w14:paraId="79684D43"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Folland</w:t>
      </w:r>
      <w:proofErr w:type="spellEnd"/>
      <w:r>
        <w:rPr>
          <w:rFonts w:ascii="Garamond" w:hAnsi="Garamond" w:cs="Garamond"/>
        </w:rPr>
        <w:t>, C.K., Renwick, J.A., Salinger, M.J., Mullan, A.B., Nin, E., 2002. Relative influences of the Interdecadal Pacific Oscillation and ENSO on the South Pacific Convergence Zone 29, 2–5.</w:t>
      </w:r>
    </w:p>
    <w:p w14:paraId="3168F981"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González-Vega, A., </w:t>
      </w:r>
      <w:proofErr w:type="spellStart"/>
      <w:r>
        <w:rPr>
          <w:rFonts w:ascii="Garamond" w:hAnsi="Garamond" w:cs="Garamond"/>
        </w:rPr>
        <w:t>Fraile-Nuez</w:t>
      </w:r>
      <w:proofErr w:type="spellEnd"/>
      <w:r>
        <w:rPr>
          <w:rFonts w:ascii="Garamond" w:hAnsi="Garamond" w:cs="Garamond"/>
        </w:rPr>
        <w:t>, E., Santana-</w:t>
      </w:r>
      <w:proofErr w:type="spellStart"/>
      <w:r>
        <w:rPr>
          <w:rFonts w:ascii="Garamond" w:hAnsi="Garamond" w:cs="Garamond"/>
        </w:rPr>
        <w:t>Casiano</w:t>
      </w:r>
      <w:proofErr w:type="spellEnd"/>
      <w:r>
        <w:rPr>
          <w:rFonts w:ascii="Garamond" w:hAnsi="Garamond" w:cs="Garamond"/>
        </w:rPr>
        <w:t>, J.M., González-</w:t>
      </w:r>
      <w:proofErr w:type="spellStart"/>
      <w:r>
        <w:rPr>
          <w:rFonts w:ascii="Garamond" w:hAnsi="Garamond" w:cs="Garamond"/>
        </w:rPr>
        <w:t>Dávila</w:t>
      </w:r>
      <w:proofErr w:type="spellEnd"/>
      <w:r>
        <w:rPr>
          <w:rFonts w:ascii="Garamond" w:hAnsi="Garamond" w:cs="Garamond"/>
        </w:rPr>
        <w:t xml:space="preserve">, M., </w:t>
      </w:r>
      <w:proofErr w:type="spellStart"/>
      <w:r>
        <w:rPr>
          <w:rFonts w:ascii="Garamond" w:hAnsi="Garamond" w:cs="Garamond"/>
        </w:rPr>
        <w:t>Escánez</w:t>
      </w:r>
      <w:proofErr w:type="spellEnd"/>
      <w:r>
        <w:rPr>
          <w:rFonts w:ascii="Garamond" w:hAnsi="Garamond" w:cs="Garamond"/>
        </w:rPr>
        <w:t xml:space="preserve">-Pérez, J., Gómez-Ballesteros, M., Tello, O., Arrieta, J.M., 2020. Significant release of dissolved inorganic nutrients from the shallow submarine volcano </w:t>
      </w:r>
      <w:proofErr w:type="spellStart"/>
      <w:r>
        <w:rPr>
          <w:rFonts w:ascii="Garamond" w:hAnsi="Garamond" w:cs="Garamond"/>
        </w:rPr>
        <w:t>Tagoro</w:t>
      </w:r>
      <w:proofErr w:type="spellEnd"/>
      <w:r>
        <w:rPr>
          <w:rFonts w:ascii="Garamond" w:hAnsi="Garamond" w:cs="Garamond"/>
        </w:rPr>
        <w:t xml:space="preserve"> (Canary Islands) based on seven-year monitoring. Front. Mar. Sci. 6, 1–15. doi:10.3389/fmars.2019.00829</w:t>
      </w:r>
    </w:p>
    <w:p w14:paraId="23388E93"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lastRenderedPageBreak/>
        <w:t xml:space="preserve">Gosling, W.D., Sear, D.A., Hassall, J.D., Langdon, P.G., </w:t>
      </w:r>
      <w:proofErr w:type="spellStart"/>
      <w:r>
        <w:rPr>
          <w:rFonts w:ascii="Garamond" w:hAnsi="Garamond" w:cs="Garamond"/>
        </w:rPr>
        <w:t>Bönnen</w:t>
      </w:r>
      <w:proofErr w:type="spellEnd"/>
      <w:r>
        <w:rPr>
          <w:rFonts w:ascii="Garamond" w:hAnsi="Garamond" w:cs="Garamond"/>
        </w:rPr>
        <w:t xml:space="preserve">, M.N.T., Driessen, T.D., van </w:t>
      </w:r>
      <w:proofErr w:type="spellStart"/>
      <w:r>
        <w:rPr>
          <w:rFonts w:ascii="Garamond" w:hAnsi="Garamond" w:cs="Garamond"/>
        </w:rPr>
        <w:t>Kemenade</w:t>
      </w:r>
      <w:proofErr w:type="spellEnd"/>
      <w:r>
        <w:rPr>
          <w:rFonts w:ascii="Garamond" w:hAnsi="Garamond" w:cs="Garamond"/>
        </w:rPr>
        <w:t xml:space="preserve">, Z.R., </w:t>
      </w:r>
      <w:proofErr w:type="spellStart"/>
      <w:r>
        <w:rPr>
          <w:rFonts w:ascii="Garamond" w:hAnsi="Garamond" w:cs="Garamond"/>
        </w:rPr>
        <w:t>Noort</w:t>
      </w:r>
      <w:proofErr w:type="spellEnd"/>
      <w:r>
        <w:rPr>
          <w:rFonts w:ascii="Garamond" w:hAnsi="Garamond" w:cs="Garamond"/>
        </w:rPr>
        <w:t xml:space="preserve">, K., </w:t>
      </w:r>
      <w:proofErr w:type="spellStart"/>
      <w:r>
        <w:rPr>
          <w:rFonts w:ascii="Garamond" w:hAnsi="Garamond" w:cs="Garamond"/>
        </w:rPr>
        <w:t>Leng</w:t>
      </w:r>
      <w:proofErr w:type="spellEnd"/>
      <w:r>
        <w:rPr>
          <w:rFonts w:ascii="Garamond" w:hAnsi="Garamond" w:cs="Garamond"/>
        </w:rPr>
        <w:t xml:space="preserve">, M.J., </w:t>
      </w:r>
      <w:proofErr w:type="spellStart"/>
      <w:r>
        <w:rPr>
          <w:rFonts w:ascii="Garamond" w:hAnsi="Garamond" w:cs="Garamond"/>
        </w:rPr>
        <w:t>Croudace</w:t>
      </w:r>
      <w:proofErr w:type="spellEnd"/>
      <w:r>
        <w:rPr>
          <w:rFonts w:ascii="Garamond" w:hAnsi="Garamond" w:cs="Garamond"/>
        </w:rPr>
        <w:t xml:space="preserve">, I.W., </w:t>
      </w:r>
      <w:proofErr w:type="spellStart"/>
      <w:r>
        <w:rPr>
          <w:rFonts w:ascii="Garamond" w:hAnsi="Garamond" w:cs="Garamond"/>
        </w:rPr>
        <w:t>Bourne</w:t>
      </w:r>
      <w:proofErr w:type="spellEnd"/>
      <w:r>
        <w:rPr>
          <w:rFonts w:ascii="Garamond" w:hAnsi="Garamond" w:cs="Garamond"/>
        </w:rPr>
        <w:t xml:space="preserve">, A.J., </w:t>
      </w:r>
      <w:proofErr w:type="spellStart"/>
      <w:r>
        <w:rPr>
          <w:rFonts w:ascii="Garamond" w:hAnsi="Garamond" w:cs="Garamond"/>
        </w:rPr>
        <w:t>Kemenade</w:t>
      </w:r>
      <w:proofErr w:type="spellEnd"/>
      <w:r>
        <w:rPr>
          <w:rFonts w:ascii="Garamond" w:hAnsi="Garamond" w:cs="Garamond"/>
        </w:rPr>
        <w:t xml:space="preserve">, Z.R. Van, McMichael, C.N.H., 2020. Human occupation and ecosystem change on Upolu (Samoa) during the Holocene. J. </w:t>
      </w:r>
      <w:proofErr w:type="spellStart"/>
      <w:r>
        <w:rPr>
          <w:rFonts w:ascii="Garamond" w:hAnsi="Garamond" w:cs="Garamond"/>
        </w:rPr>
        <w:t>Biogeogr</w:t>
      </w:r>
      <w:proofErr w:type="spellEnd"/>
      <w:r>
        <w:rPr>
          <w:rFonts w:ascii="Garamond" w:hAnsi="Garamond" w:cs="Garamond"/>
        </w:rPr>
        <w:t>. 47, 600–614. doi:10.1111/jbi.13783</w:t>
      </w:r>
    </w:p>
    <w:p w14:paraId="4BC26688"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Griffiths, M.L., Kimbrough, A.K., </w:t>
      </w:r>
      <w:proofErr w:type="spellStart"/>
      <w:r>
        <w:rPr>
          <w:rFonts w:ascii="Garamond" w:hAnsi="Garamond" w:cs="Garamond"/>
        </w:rPr>
        <w:t>Gagan</w:t>
      </w:r>
      <w:proofErr w:type="spellEnd"/>
      <w:r>
        <w:rPr>
          <w:rFonts w:ascii="Garamond" w:hAnsi="Garamond" w:cs="Garamond"/>
        </w:rPr>
        <w:t xml:space="preserve">, M.K., Drysdale, R.N., Cole, J.E., Johnson, K.R., Zhao, J., Cook, B.I., </w:t>
      </w:r>
      <w:proofErr w:type="spellStart"/>
      <w:r>
        <w:rPr>
          <w:rFonts w:ascii="Garamond" w:hAnsi="Garamond" w:cs="Garamond"/>
        </w:rPr>
        <w:t>Hellstrom</w:t>
      </w:r>
      <w:proofErr w:type="spellEnd"/>
      <w:r>
        <w:rPr>
          <w:rFonts w:ascii="Garamond" w:hAnsi="Garamond" w:cs="Garamond"/>
        </w:rPr>
        <w:t xml:space="preserve">, J.C., </w:t>
      </w:r>
      <w:proofErr w:type="spellStart"/>
      <w:r>
        <w:rPr>
          <w:rFonts w:ascii="Garamond" w:hAnsi="Garamond" w:cs="Garamond"/>
        </w:rPr>
        <w:t>Hantoro</w:t>
      </w:r>
      <w:proofErr w:type="spellEnd"/>
      <w:r>
        <w:rPr>
          <w:rFonts w:ascii="Garamond" w:hAnsi="Garamond" w:cs="Garamond"/>
        </w:rPr>
        <w:t xml:space="preserve">, W.S., 2016. Western Pacific hydroclimate linked to global climate variability over the past two millennia. Nat. </w:t>
      </w:r>
      <w:proofErr w:type="spellStart"/>
      <w:r>
        <w:rPr>
          <w:rFonts w:ascii="Garamond" w:hAnsi="Garamond" w:cs="Garamond"/>
        </w:rPr>
        <w:t>Commun</w:t>
      </w:r>
      <w:proofErr w:type="spellEnd"/>
      <w:r>
        <w:rPr>
          <w:rFonts w:ascii="Garamond" w:hAnsi="Garamond" w:cs="Garamond"/>
        </w:rPr>
        <w:t>. 7, 1–9. doi:10.1038/ncomms11719</w:t>
      </w:r>
    </w:p>
    <w:p w14:paraId="7BE45408"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Guiot</w:t>
      </w:r>
      <w:proofErr w:type="spellEnd"/>
      <w:r>
        <w:rPr>
          <w:rFonts w:ascii="Garamond" w:hAnsi="Garamond" w:cs="Garamond"/>
        </w:rPr>
        <w:t xml:space="preserve">, H., 1998. </w:t>
      </w:r>
      <w:proofErr w:type="spellStart"/>
      <w:r>
        <w:rPr>
          <w:rFonts w:ascii="Garamond" w:hAnsi="Garamond" w:cs="Garamond"/>
        </w:rPr>
        <w:t>Forêt</w:t>
      </w:r>
      <w:proofErr w:type="spellEnd"/>
      <w:r>
        <w:rPr>
          <w:rFonts w:ascii="Garamond" w:hAnsi="Garamond" w:cs="Garamond"/>
        </w:rPr>
        <w:t xml:space="preserve"> </w:t>
      </w:r>
      <w:proofErr w:type="spellStart"/>
      <w:r>
        <w:rPr>
          <w:rFonts w:ascii="Garamond" w:hAnsi="Garamond" w:cs="Garamond"/>
        </w:rPr>
        <w:t>taboue</w:t>
      </w:r>
      <w:proofErr w:type="spellEnd"/>
      <w:r>
        <w:rPr>
          <w:rFonts w:ascii="Garamond" w:hAnsi="Garamond" w:cs="Garamond"/>
        </w:rPr>
        <w:t xml:space="preserve"> et </w:t>
      </w:r>
      <w:proofErr w:type="spellStart"/>
      <w:r>
        <w:rPr>
          <w:rFonts w:ascii="Garamond" w:hAnsi="Garamond" w:cs="Garamond"/>
        </w:rPr>
        <w:t>représentations</w:t>
      </w:r>
      <w:proofErr w:type="spellEnd"/>
      <w:r>
        <w:rPr>
          <w:rFonts w:ascii="Garamond" w:hAnsi="Garamond" w:cs="Garamond"/>
        </w:rPr>
        <w:t xml:space="preserve"> de </w:t>
      </w:r>
      <w:proofErr w:type="spellStart"/>
      <w:r>
        <w:rPr>
          <w:rFonts w:ascii="Garamond" w:hAnsi="Garamond" w:cs="Garamond"/>
        </w:rPr>
        <w:t>l’environnement</w:t>
      </w:r>
      <w:proofErr w:type="spellEnd"/>
      <w:r>
        <w:rPr>
          <w:rFonts w:ascii="Garamond" w:hAnsi="Garamond" w:cs="Garamond"/>
        </w:rPr>
        <w:t xml:space="preserve"> à ’Uvea (Wallis). </w:t>
      </w:r>
      <w:proofErr w:type="spellStart"/>
      <w:r>
        <w:rPr>
          <w:rFonts w:ascii="Garamond" w:hAnsi="Garamond" w:cs="Garamond"/>
        </w:rPr>
        <w:t>Approche</w:t>
      </w:r>
      <w:proofErr w:type="spellEnd"/>
      <w:r>
        <w:rPr>
          <w:rFonts w:ascii="Garamond" w:hAnsi="Garamond" w:cs="Garamond"/>
        </w:rPr>
        <w:t xml:space="preserve"> ethno-</w:t>
      </w:r>
      <w:proofErr w:type="spellStart"/>
      <w:r>
        <w:rPr>
          <w:rFonts w:ascii="Garamond" w:hAnsi="Garamond" w:cs="Garamond"/>
        </w:rPr>
        <w:t>archéologique</w:t>
      </w:r>
      <w:proofErr w:type="spellEnd"/>
      <w:r>
        <w:rPr>
          <w:rFonts w:ascii="Garamond" w:hAnsi="Garamond" w:cs="Garamond"/>
        </w:rPr>
        <w:t>. J. Soc. Ocean. 107, 179–198. doi:10.3406/jso.1998.2057</w:t>
      </w:r>
    </w:p>
    <w:p w14:paraId="0178B4F1"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Gunkel-</w:t>
      </w:r>
      <w:proofErr w:type="spellStart"/>
      <w:r>
        <w:rPr>
          <w:rFonts w:ascii="Garamond" w:hAnsi="Garamond" w:cs="Garamond"/>
        </w:rPr>
        <w:t>Grillon</w:t>
      </w:r>
      <w:proofErr w:type="spellEnd"/>
      <w:r>
        <w:rPr>
          <w:rFonts w:ascii="Garamond" w:hAnsi="Garamond" w:cs="Garamond"/>
        </w:rPr>
        <w:t>, P., Roth, E., Laporte-</w:t>
      </w:r>
      <w:proofErr w:type="spellStart"/>
      <w:r>
        <w:rPr>
          <w:rFonts w:ascii="Garamond" w:hAnsi="Garamond" w:cs="Garamond"/>
        </w:rPr>
        <w:t>Magoni</w:t>
      </w:r>
      <w:proofErr w:type="spellEnd"/>
      <w:r>
        <w:rPr>
          <w:rFonts w:ascii="Garamond" w:hAnsi="Garamond" w:cs="Garamond"/>
        </w:rPr>
        <w:t xml:space="preserve">, C., Le Mestre, M., 2015. Effects of </w:t>
      </w:r>
      <w:proofErr w:type="gramStart"/>
      <w:r>
        <w:rPr>
          <w:rFonts w:ascii="Garamond" w:hAnsi="Garamond" w:cs="Garamond"/>
        </w:rPr>
        <w:t>long term</w:t>
      </w:r>
      <w:proofErr w:type="gramEnd"/>
      <w:r>
        <w:rPr>
          <w:rFonts w:ascii="Garamond" w:hAnsi="Garamond" w:cs="Garamond"/>
        </w:rPr>
        <w:t xml:space="preserve"> raw pig slurry inputs on nutrient and metal contamination of tropical volcanogenic soils, </w:t>
      </w:r>
      <w:proofErr w:type="spellStart"/>
      <w:r>
        <w:rPr>
          <w:rFonts w:ascii="Garamond" w:hAnsi="Garamond" w:cs="Garamond"/>
        </w:rPr>
        <w:t>Uvéa</w:t>
      </w:r>
      <w:proofErr w:type="spellEnd"/>
      <w:r>
        <w:rPr>
          <w:rFonts w:ascii="Garamond" w:hAnsi="Garamond" w:cs="Garamond"/>
        </w:rPr>
        <w:t xml:space="preserve"> Island (South Pacific). Sci. Total Environ. 533, 339–346. </w:t>
      </w:r>
      <w:proofErr w:type="gramStart"/>
      <w:r>
        <w:rPr>
          <w:rFonts w:ascii="Garamond" w:hAnsi="Garamond" w:cs="Garamond"/>
        </w:rPr>
        <w:t>doi:10.1016/j.scitotenv</w:t>
      </w:r>
      <w:proofErr w:type="gramEnd"/>
      <w:r>
        <w:rPr>
          <w:rFonts w:ascii="Garamond" w:hAnsi="Garamond" w:cs="Garamond"/>
        </w:rPr>
        <w:t>.2015.06.110</w:t>
      </w:r>
    </w:p>
    <w:p w14:paraId="0EC222BF"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Higgins, P.A., Palmer, J.G., Turney, C.S.M., Andersen, M.S., Cook, E.R., 2020. One thousand three hundred years of variability in the position of the South Pacific Convergence Zone. </w:t>
      </w:r>
      <w:proofErr w:type="spellStart"/>
      <w:r>
        <w:rPr>
          <w:rFonts w:ascii="Garamond" w:hAnsi="Garamond" w:cs="Garamond"/>
        </w:rPr>
        <w:t>Geophys</w:t>
      </w:r>
      <w:proofErr w:type="spellEnd"/>
      <w:r>
        <w:rPr>
          <w:rFonts w:ascii="Garamond" w:hAnsi="Garamond" w:cs="Garamond"/>
        </w:rPr>
        <w:t>. Res. Lett. 47, e2020GL088238. doi:10.1029/2020GL088238</w:t>
      </w:r>
    </w:p>
    <w:p w14:paraId="6592788C"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Higley, M.C., Conroy, J.L., Schmitt, S., 2018. Last millennium meridional shifts in hydroclimate in the central tropical Pacific. </w:t>
      </w:r>
      <w:proofErr w:type="spellStart"/>
      <w:r>
        <w:rPr>
          <w:rFonts w:ascii="Garamond" w:hAnsi="Garamond" w:cs="Garamond"/>
        </w:rPr>
        <w:t>Paleoceanogr</w:t>
      </w:r>
      <w:proofErr w:type="spellEnd"/>
      <w:r>
        <w:rPr>
          <w:rFonts w:ascii="Garamond" w:hAnsi="Garamond" w:cs="Garamond"/>
        </w:rPr>
        <w:t>. Paleoclimatology 33, 354–366. doi:10.1002/2017PA003233</w:t>
      </w:r>
    </w:p>
    <w:p w14:paraId="3F278773"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Hijmans</w:t>
      </w:r>
      <w:proofErr w:type="spellEnd"/>
      <w:r>
        <w:rPr>
          <w:rFonts w:ascii="Garamond" w:hAnsi="Garamond" w:cs="Garamond"/>
        </w:rPr>
        <w:t xml:space="preserve">, R.J., </w:t>
      </w:r>
      <w:proofErr w:type="spellStart"/>
      <w:r>
        <w:rPr>
          <w:rFonts w:ascii="Garamond" w:hAnsi="Garamond" w:cs="Garamond"/>
        </w:rPr>
        <w:t>Etten</w:t>
      </w:r>
      <w:proofErr w:type="spellEnd"/>
      <w:r>
        <w:rPr>
          <w:rFonts w:ascii="Garamond" w:hAnsi="Garamond" w:cs="Garamond"/>
        </w:rPr>
        <w:t xml:space="preserve">, J. van, Cheng, J., Baston, D., Bevan, A., </w:t>
      </w:r>
      <w:proofErr w:type="spellStart"/>
      <w:r>
        <w:rPr>
          <w:rFonts w:ascii="Garamond" w:hAnsi="Garamond" w:cs="Garamond"/>
        </w:rPr>
        <w:t>Bivand</w:t>
      </w:r>
      <w:proofErr w:type="spellEnd"/>
      <w:r>
        <w:rPr>
          <w:rFonts w:ascii="Garamond" w:hAnsi="Garamond" w:cs="Garamond"/>
        </w:rPr>
        <w:t xml:space="preserve">, R., </w:t>
      </w:r>
      <w:proofErr w:type="spellStart"/>
      <w:r>
        <w:rPr>
          <w:rFonts w:ascii="Garamond" w:hAnsi="Garamond" w:cs="Garamond"/>
        </w:rPr>
        <w:t>Busetto</w:t>
      </w:r>
      <w:proofErr w:type="spellEnd"/>
      <w:r>
        <w:rPr>
          <w:rFonts w:ascii="Garamond" w:hAnsi="Garamond" w:cs="Garamond"/>
        </w:rPr>
        <w:t xml:space="preserve">, L., Canty, M., </w:t>
      </w:r>
      <w:proofErr w:type="spellStart"/>
      <w:r>
        <w:rPr>
          <w:rFonts w:ascii="Garamond" w:hAnsi="Garamond" w:cs="Garamond"/>
        </w:rPr>
        <w:t>Fasoli</w:t>
      </w:r>
      <w:proofErr w:type="spellEnd"/>
      <w:r>
        <w:rPr>
          <w:rFonts w:ascii="Garamond" w:hAnsi="Garamond" w:cs="Garamond"/>
        </w:rPr>
        <w:t xml:space="preserve">, B., Forrest, D., Ghosh, A., </w:t>
      </w:r>
      <w:proofErr w:type="spellStart"/>
      <w:r>
        <w:rPr>
          <w:rFonts w:ascii="Garamond" w:hAnsi="Garamond" w:cs="Garamond"/>
        </w:rPr>
        <w:t>Golicher</w:t>
      </w:r>
      <w:proofErr w:type="spellEnd"/>
      <w:r>
        <w:rPr>
          <w:rFonts w:ascii="Garamond" w:hAnsi="Garamond" w:cs="Garamond"/>
        </w:rPr>
        <w:t xml:space="preserve">, D., Gray, J., Greenberg, J.A., </w:t>
      </w:r>
      <w:proofErr w:type="spellStart"/>
      <w:r>
        <w:rPr>
          <w:rFonts w:ascii="Garamond" w:hAnsi="Garamond" w:cs="Garamond"/>
        </w:rPr>
        <w:t>Hiemstra</w:t>
      </w:r>
      <w:proofErr w:type="spellEnd"/>
      <w:r>
        <w:rPr>
          <w:rFonts w:ascii="Garamond" w:hAnsi="Garamond" w:cs="Garamond"/>
        </w:rPr>
        <w:t xml:space="preserve">, P., </w:t>
      </w:r>
      <w:proofErr w:type="spellStart"/>
      <w:r>
        <w:rPr>
          <w:rFonts w:ascii="Garamond" w:hAnsi="Garamond" w:cs="Garamond"/>
        </w:rPr>
        <w:t>Hingee</w:t>
      </w:r>
      <w:proofErr w:type="spellEnd"/>
      <w:r>
        <w:rPr>
          <w:rFonts w:ascii="Garamond" w:hAnsi="Garamond" w:cs="Garamond"/>
        </w:rPr>
        <w:t xml:space="preserve">, K., </w:t>
      </w:r>
      <w:proofErr w:type="spellStart"/>
      <w:r>
        <w:rPr>
          <w:rFonts w:ascii="Garamond" w:hAnsi="Garamond" w:cs="Garamond"/>
        </w:rPr>
        <w:t>KArney</w:t>
      </w:r>
      <w:proofErr w:type="spellEnd"/>
      <w:r>
        <w:rPr>
          <w:rFonts w:ascii="Garamond" w:hAnsi="Garamond" w:cs="Garamond"/>
        </w:rPr>
        <w:t xml:space="preserve">, C., </w:t>
      </w:r>
      <w:proofErr w:type="spellStart"/>
      <w:r>
        <w:rPr>
          <w:rFonts w:ascii="Garamond" w:hAnsi="Garamond" w:cs="Garamond"/>
        </w:rPr>
        <w:t>Mattiuzzi</w:t>
      </w:r>
      <w:proofErr w:type="spellEnd"/>
      <w:r>
        <w:rPr>
          <w:rFonts w:ascii="Garamond" w:hAnsi="Garamond" w:cs="Garamond"/>
        </w:rPr>
        <w:t xml:space="preserve">, M., Mosher, S., </w:t>
      </w:r>
      <w:proofErr w:type="spellStart"/>
      <w:r>
        <w:rPr>
          <w:rFonts w:ascii="Garamond" w:hAnsi="Garamond" w:cs="Garamond"/>
        </w:rPr>
        <w:t>Naimi</w:t>
      </w:r>
      <w:proofErr w:type="spellEnd"/>
      <w:r>
        <w:rPr>
          <w:rFonts w:ascii="Garamond" w:hAnsi="Garamond" w:cs="Garamond"/>
        </w:rPr>
        <w:t xml:space="preserve">, B., </w:t>
      </w:r>
      <w:proofErr w:type="spellStart"/>
      <w:r>
        <w:rPr>
          <w:rFonts w:ascii="Garamond" w:hAnsi="Garamond" w:cs="Garamond"/>
        </w:rPr>
        <w:t>Nowosad</w:t>
      </w:r>
      <w:proofErr w:type="spellEnd"/>
      <w:r>
        <w:rPr>
          <w:rFonts w:ascii="Garamond" w:hAnsi="Garamond" w:cs="Garamond"/>
        </w:rPr>
        <w:t xml:space="preserve">, J., </w:t>
      </w:r>
      <w:proofErr w:type="spellStart"/>
      <w:r>
        <w:rPr>
          <w:rFonts w:ascii="Garamond" w:hAnsi="Garamond" w:cs="Garamond"/>
        </w:rPr>
        <w:t>Pebesma</w:t>
      </w:r>
      <w:proofErr w:type="spellEnd"/>
      <w:r>
        <w:rPr>
          <w:rFonts w:ascii="Garamond" w:hAnsi="Garamond" w:cs="Garamond"/>
        </w:rPr>
        <w:t xml:space="preserve">, E., </w:t>
      </w:r>
      <w:proofErr w:type="spellStart"/>
      <w:r>
        <w:rPr>
          <w:rFonts w:ascii="Garamond" w:hAnsi="Garamond" w:cs="Garamond"/>
        </w:rPr>
        <w:t>Lamigueiro</w:t>
      </w:r>
      <w:proofErr w:type="spellEnd"/>
      <w:r>
        <w:rPr>
          <w:rFonts w:ascii="Garamond" w:hAnsi="Garamond" w:cs="Garamond"/>
        </w:rPr>
        <w:t xml:space="preserve">, O.P., Racine, E.B., </w:t>
      </w:r>
      <w:proofErr w:type="spellStart"/>
      <w:r>
        <w:rPr>
          <w:rFonts w:ascii="Garamond" w:hAnsi="Garamond" w:cs="Garamond"/>
        </w:rPr>
        <w:t>Rowlingson</w:t>
      </w:r>
      <w:proofErr w:type="spellEnd"/>
      <w:r>
        <w:rPr>
          <w:rFonts w:ascii="Garamond" w:hAnsi="Garamond" w:cs="Garamond"/>
        </w:rPr>
        <w:t xml:space="preserve">, B., Shortridge, A., Venables, B., </w:t>
      </w:r>
      <w:proofErr w:type="spellStart"/>
      <w:r>
        <w:rPr>
          <w:rFonts w:ascii="Garamond" w:hAnsi="Garamond" w:cs="Garamond"/>
        </w:rPr>
        <w:t>Wueest</w:t>
      </w:r>
      <w:proofErr w:type="spellEnd"/>
      <w:r>
        <w:rPr>
          <w:rFonts w:ascii="Garamond" w:hAnsi="Garamond" w:cs="Garamond"/>
        </w:rPr>
        <w:t>, R., 2021. raster: Geographic Data Analysis and Modeling. R package version 3.4-10.</w:t>
      </w:r>
    </w:p>
    <w:p w14:paraId="6A841287"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Hinds, V.T., 1969. A fisheries reconnaissance to Wallis Island, South Pacific Commission, </w:t>
      </w:r>
      <w:proofErr w:type="spellStart"/>
      <w:r>
        <w:rPr>
          <w:rFonts w:ascii="Garamond" w:hAnsi="Garamond" w:cs="Garamond"/>
        </w:rPr>
        <w:t>Nouméa</w:t>
      </w:r>
      <w:proofErr w:type="spellEnd"/>
      <w:r>
        <w:rPr>
          <w:rFonts w:ascii="Garamond" w:hAnsi="Garamond" w:cs="Garamond"/>
        </w:rPr>
        <w:t>, New Caledonia.</w:t>
      </w:r>
    </w:p>
    <w:p w14:paraId="67C7B762" w14:textId="7408AD3E"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lastRenderedPageBreak/>
        <w:t>Hodell</w:t>
      </w:r>
      <w:proofErr w:type="spellEnd"/>
      <w:r>
        <w:rPr>
          <w:rFonts w:ascii="Garamond" w:hAnsi="Garamond" w:cs="Garamond"/>
        </w:rPr>
        <w:t xml:space="preserve">, D.A., </w:t>
      </w:r>
      <w:proofErr w:type="spellStart"/>
      <w:r>
        <w:rPr>
          <w:rFonts w:ascii="Garamond" w:hAnsi="Garamond" w:cs="Garamond"/>
        </w:rPr>
        <w:t>Anselmetti</w:t>
      </w:r>
      <w:proofErr w:type="spellEnd"/>
      <w:r>
        <w:rPr>
          <w:rFonts w:ascii="Garamond" w:hAnsi="Garamond" w:cs="Garamond"/>
        </w:rPr>
        <w:t xml:space="preserve">, F.S., </w:t>
      </w:r>
      <w:proofErr w:type="spellStart"/>
      <w:r>
        <w:rPr>
          <w:rFonts w:ascii="Garamond" w:hAnsi="Garamond" w:cs="Garamond"/>
        </w:rPr>
        <w:t>Ariztegui</w:t>
      </w:r>
      <w:proofErr w:type="spellEnd"/>
      <w:r>
        <w:rPr>
          <w:rFonts w:ascii="Garamond" w:hAnsi="Garamond" w:cs="Garamond"/>
        </w:rPr>
        <w:t xml:space="preserve">, D., Brenner, M., Curtis, J.H., </w:t>
      </w:r>
      <w:proofErr w:type="spellStart"/>
      <w:r>
        <w:rPr>
          <w:rFonts w:ascii="Garamond" w:hAnsi="Garamond" w:cs="Garamond"/>
        </w:rPr>
        <w:t>Gilli</w:t>
      </w:r>
      <w:proofErr w:type="spellEnd"/>
      <w:r>
        <w:rPr>
          <w:rFonts w:ascii="Garamond" w:hAnsi="Garamond" w:cs="Garamond"/>
        </w:rPr>
        <w:t xml:space="preserve">, A., </w:t>
      </w:r>
      <w:proofErr w:type="spellStart"/>
      <w:r>
        <w:rPr>
          <w:rFonts w:ascii="Garamond" w:hAnsi="Garamond" w:cs="Garamond"/>
        </w:rPr>
        <w:t>Grzesik</w:t>
      </w:r>
      <w:proofErr w:type="spellEnd"/>
      <w:r>
        <w:rPr>
          <w:rFonts w:ascii="Garamond" w:hAnsi="Garamond" w:cs="Garamond"/>
        </w:rPr>
        <w:t xml:space="preserve">, D.A., </w:t>
      </w:r>
      <w:proofErr w:type="spellStart"/>
      <w:r>
        <w:rPr>
          <w:rFonts w:ascii="Garamond" w:hAnsi="Garamond" w:cs="Garamond"/>
        </w:rPr>
        <w:t>Guilderson</w:t>
      </w:r>
      <w:proofErr w:type="spellEnd"/>
      <w:r>
        <w:rPr>
          <w:rFonts w:ascii="Garamond" w:hAnsi="Garamond" w:cs="Garamond"/>
        </w:rPr>
        <w:t>, T.J., Müller, A.D., Bush, M.B., Correa-</w:t>
      </w:r>
      <w:proofErr w:type="spellStart"/>
      <w:r>
        <w:rPr>
          <w:rFonts w:ascii="Garamond" w:hAnsi="Garamond" w:cs="Garamond"/>
        </w:rPr>
        <w:t>Metrio</w:t>
      </w:r>
      <w:proofErr w:type="spellEnd"/>
      <w:r>
        <w:rPr>
          <w:rFonts w:ascii="Garamond" w:hAnsi="Garamond" w:cs="Garamond"/>
        </w:rPr>
        <w:t xml:space="preserve">, A., Escobar, J., </w:t>
      </w:r>
      <w:proofErr w:type="spellStart"/>
      <w:r>
        <w:rPr>
          <w:rFonts w:ascii="Garamond" w:hAnsi="Garamond" w:cs="Garamond"/>
        </w:rPr>
        <w:t>Kutterolf</w:t>
      </w:r>
      <w:proofErr w:type="spellEnd"/>
      <w:r>
        <w:rPr>
          <w:rFonts w:ascii="Garamond" w:hAnsi="Garamond" w:cs="Garamond"/>
        </w:rPr>
        <w:t xml:space="preserve">, S., 2008. An 85-ka record of climate change in lowland Central America. Quat. Sci. Rev. 27, 1152–1165. </w:t>
      </w:r>
      <w:proofErr w:type="gramStart"/>
      <w:r>
        <w:rPr>
          <w:rFonts w:ascii="Garamond" w:hAnsi="Garamond" w:cs="Garamond"/>
        </w:rPr>
        <w:t>doi:10.1016/j.quascirev</w:t>
      </w:r>
      <w:proofErr w:type="gramEnd"/>
      <w:r>
        <w:rPr>
          <w:rFonts w:ascii="Garamond" w:hAnsi="Garamond" w:cs="Garamond"/>
        </w:rPr>
        <w:t>.2008.02.008</w:t>
      </w:r>
    </w:p>
    <w:p w14:paraId="0BEB26BA" w14:textId="757152D9" w:rsidR="00A50750" w:rsidRDefault="00A50750" w:rsidP="00A50750">
      <w:pPr>
        <w:autoSpaceDE w:val="0"/>
        <w:autoSpaceDN w:val="0"/>
        <w:adjustRightInd w:val="0"/>
        <w:spacing w:line="480" w:lineRule="auto"/>
        <w:ind w:left="480" w:right="-720" w:hanging="480"/>
        <w:rPr>
          <w:rFonts w:ascii="Garamond" w:hAnsi="Garamond" w:cs="Garamond"/>
        </w:rPr>
      </w:pPr>
      <w:proofErr w:type="spellStart"/>
      <w:r>
        <w:rPr>
          <w:rFonts w:ascii="Garamond" w:hAnsi="Garamond" w:cs="Garamond"/>
        </w:rPr>
        <w:t>Hodell</w:t>
      </w:r>
      <w:proofErr w:type="spellEnd"/>
      <w:r>
        <w:rPr>
          <w:rFonts w:ascii="Garamond" w:hAnsi="Garamond" w:cs="Garamond"/>
        </w:rPr>
        <w:t xml:space="preserve">, D.A., Brenner, M., Curtis, J.H., 2005. Terminal Classic drought in the northern Maya lowlands inferred from multiple sediment cores in Lake </w:t>
      </w:r>
      <w:proofErr w:type="spellStart"/>
      <w:r>
        <w:rPr>
          <w:rFonts w:ascii="Garamond" w:hAnsi="Garamond" w:cs="Garamond"/>
        </w:rPr>
        <w:t>Chichancanab</w:t>
      </w:r>
      <w:proofErr w:type="spellEnd"/>
      <w:r>
        <w:rPr>
          <w:rFonts w:ascii="Garamond" w:hAnsi="Garamond" w:cs="Garamond"/>
        </w:rPr>
        <w:t xml:space="preserve"> (Mexico). Quat. Sci. Rev. 24, 1413–1427. </w:t>
      </w:r>
      <w:proofErr w:type="gramStart"/>
      <w:r>
        <w:rPr>
          <w:rFonts w:ascii="Garamond" w:hAnsi="Garamond" w:cs="Garamond"/>
        </w:rPr>
        <w:t>doi:10.1016/j.quascirev</w:t>
      </w:r>
      <w:proofErr w:type="gramEnd"/>
      <w:r>
        <w:rPr>
          <w:rFonts w:ascii="Garamond" w:hAnsi="Garamond" w:cs="Garamond"/>
        </w:rPr>
        <w:t>.2004.10.013</w:t>
      </w:r>
    </w:p>
    <w:p w14:paraId="73D30B7B" w14:textId="5477FE86"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Hogg, A.G., Heaton, T.J., Hua, Q., Palmer, J.G., Turney, C.S.M., </w:t>
      </w:r>
      <w:proofErr w:type="spellStart"/>
      <w:r>
        <w:rPr>
          <w:rFonts w:ascii="Garamond" w:hAnsi="Garamond" w:cs="Garamond"/>
        </w:rPr>
        <w:t>Southon</w:t>
      </w:r>
      <w:proofErr w:type="spellEnd"/>
      <w:r>
        <w:rPr>
          <w:rFonts w:ascii="Garamond" w:hAnsi="Garamond" w:cs="Garamond"/>
        </w:rPr>
        <w:t xml:space="preserve">, J., Bayliss, A., Blackwell, P.G., </w:t>
      </w:r>
      <w:proofErr w:type="spellStart"/>
      <w:r>
        <w:rPr>
          <w:rFonts w:ascii="Garamond" w:hAnsi="Garamond" w:cs="Garamond"/>
        </w:rPr>
        <w:t>Boswijk</w:t>
      </w:r>
      <w:proofErr w:type="spellEnd"/>
      <w:r>
        <w:rPr>
          <w:rFonts w:ascii="Garamond" w:hAnsi="Garamond" w:cs="Garamond"/>
        </w:rPr>
        <w:t xml:space="preserve">, G., </w:t>
      </w:r>
      <w:proofErr w:type="spellStart"/>
      <w:r>
        <w:rPr>
          <w:rFonts w:ascii="Garamond" w:hAnsi="Garamond" w:cs="Garamond"/>
        </w:rPr>
        <w:t>Bronk</w:t>
      </w:r>
      <w:proofErr w:type="spellEnd"/>
      <w:r>
        <w:rPr>
          <w:rFonts w:ascii="Garamond" w:hAnsi="Garamond" w:cs="Garamond"/>
        </w:rPr>
        <w:t xml:space="preserve"> Ramsey, C., Pearson, C., Petchey, F., Reimer, P., Reimer, R., Wacker, L., 2020. SHCal20 </w:t>
      </w:r>
      <w:r w:rsidR="005459E1">
        <w:rPr>
          <w:rFonts w:ascii="Garamond" w:hAnsi="Garamond" w:cs="Garamond"/>
        </w:rPr>
        <w:t xml:space="preserve">Southern Hemisphere </w:t>
      </w:r>
      <w:r>
        <w:rPr>
          <w:rFonts w:ascii="Garamond" w:hAnsi="Garamond" w:cs="Garamond"/>
        </w:rPr>
        <w:t xml:space="preserve">calibration, 0-55,000 </w:t>
      </w:r>
      <w:r w:rsidR="005459E1">
        <w:rPr>
          <w:rFonts w:ascii="Garamond" w:hAnsi="Garamond" w:cs="Garamond"/>
        </w:rPr>
        <w:t xml:space="preserve">years </w:t>
      </w:r>
      <w:proofErr w:type="spellStart"/>
      <w:r>
        <w:rPr>
          <w:rFonts w:ascii="Garamond" w:hAnsi="Garamond" w:cs="Garamond"/>
        </w:rPr>
        <w:t>cal</w:t>
      </w:r>
      <w:proofErr w:type="spellEnd"/>
      <w:r>
        <w:rPr>
          <w:rFonts w:ascii="Garamond" w:hAnsi="Garamond" w:cs="Garamond"/>
        </w:rPr>
        <w:t xml:space="preserve"> BP. Radiocarbon 62, 759–778. doi:10.1017/RDC.2020.59</w:t>
      </w:r>
    </w:p>
    <w:p w14:paraId="026C6892"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Hua, Q., </w:t>
      </w:r>
      <w:proofErr w:type="spellStart"/>
      <w:r>
        <w:rPr>
          <w:rFonts w:ascii="Garamond" w:hAnsi="Garamond" w:cs="Garamond"/>
        </w:rPr>
        <w:t>Barbetti</w:t>
      </w:r>
      <w:proofErr w:type="spellEnd"/>
      <w:r>
        <w:rPr>
          <w:rFonts w:ascii="Garamond" w:hAnsi="Garamond" w:cs="Garamond"/>
        </w:rPr>
        <w:t>, M., Rakowski, A.Z., 2013. Atmospheric radiocarbon for the period 1950-2010. Radiocarbon 55, 2059–2072. doi:10.2458/azu_js_</w:t>
      </w:r>
      <w:proofErr w:type="gramStart"/>
      <w:r>
        <w:rPr>
          <w:rFonts w:ascii="Garamond" w:hAnsi="Garamond" w:cs="Garamond"/>
        </w:rPr>
        <w:t>rc.v</w:t>
      </w:r>
      <w:proofErr w:type="gramEnd"/>
      <w:r>
        <w:rPr>
          <w:rFonts w:ascii="Garamond" w:hAnsi="Garamond" w:cs="Garamond"/>
        </w:rPr>
        <w:t>55i2.16177</w:t>
      </w:r>
    </w:p>
    <w:p w14:paraId="13AB2FFF" w14:textId="77777777" w:rsidR="005459E1" w:rsidRDefault="005459E1" w:rsidP="00A50750">
      <w:pPr>
        <w:autoSpaceDE w:val="0"/>
        <w:autoSpaceDN w:val="0"/>
        <w:adjustRightInd w:val="0"/>
        <w:spacing w:line="480" w:lineRule="auto"/>
        <w:ind w:left="480" w:right="-56" w:hanging="480"/>
        <w:rPr>
          <w:rFonts w:ascii="Garamond" w:hAnsi="Garamond" w:cs="Garamond"/>
        </w:rPr>
      </w:pPr>
      <w:r>
        <w:rPr>
          <w:rFonts w:ascii="Garamond" w:hAnsi="Garamond" w:cs="Garamond"/>
        </w:rPr>
        <w:t>IAEA/WMO, 2021. International Atomic Energy Agency/World Meteorological Organization. Global Network for Isotopes in Precipitation, The GNIP Database. Accessible at: http://www.iaea.org/wiser.</w:t>
      </w:r>
    </w:p>
    <w:p w14:paraId="1FED0CDF"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Karl, D.M., McMurtry, G.M., </w:t>
      </w:r>
      <w:proofErr w:type="spellStart"/>
      <w:r>
        <w:rPr>
          <w:rFonts w:ascii="Garamond" w:hAnsi="Garamond" w:cs="Garamond"/>
        </w:rPr>
        <w:t>Malahoff</w:t>
      </w:r>
      <w:proofErr w:type="spellEnd"/>
      <w:r>
        <w:rPr>
          <w:rFonts w:ascii="Garamond" w:hAnsi="Garamond" w:cs="Garamond"/>
        </w:rPr>
        <w:t xml:space="preserve">, A., Garcia, M.O., 1988. </w:t>
      </w:r>
      <w:proofErr w:type="spellStart"/>
      <w:r>
        <w:rPr>
          <w:rFonts w:ascii="Garamond" w:hAnsi="Garamond" w:cs="Garamond"/>
        </w:rPr>
        <w:t>Loihi</w:t>
      </w:r>
      <w:proofErr w:type="spellEnd"/>
      <w:r>
        <w:rPr>
          <w:rFonts w:ascii="Garamond" w:hAnsi="Garamond" w:cs="Garamond"/>
        </w:rPr>
        <w:t xml:space="preserve"> Seamount, Hawaii: A mid-plate volcano with a distinctive hydrothermal system. Nature 335, 532–535. doi:10.1038/335532a0</w:t>
      </w:r>
    </w:p>
    <w:p w14:paraId="641391A3"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Kirch</w:t>
      </w:r>
      <w:proofErr w:type="spellEnd"/>
      <w:r>
        <w:rPr>
          <w:rFonts w:ascii="Garamond" w:hAnsi="Garamond" w:cs="Garamond"/>
        </w:rPr>
        <w:t>, P.V., 1978. Indigenous agriculture on Uvea (Western Polynesia). Econ. Bot. 32, 157–181. doi:10.1007/BF02866870</w:t>
      </w:r>
    </w:p>
    <w:p w14:paraId="053760B9" w14:textId="77777777" w:rsidR="005459E1" w:rsidRDefault="005459E1" w:rsidP="00A50750">
      <w:pPr>
        <w:autoSpaceDE w:val="0"/>
        <w:autoSpaceDN w:val="0"/>
        <w:adjustRightInd w:val="0"/>
        <w:spacing w:line="480" w:lineRule="auto"/>
        <w:ind w:left="480" w:right="-56" w:hanging="480"/>
        <w:rPr>
          <w:rFonts w:ascii="Garamond" w:hAnsi="Garamond" w:cs="Garamond"/>
        </w:rPr>
      </w:pPr>
      <w:r>
        <w:rPr>
          <w:rFonts w:ascii="Garamond" w:hAnsi="Garamond" w:cs="Garamond"/>
        </w:rPr>
        <w:t>Kodama, Y.M., 1999. Roles of the atmospheric heat sources in maintaining the subtropical convergence zones: an aqua-planet GCM study. J. Atmos. Sci. 56, 4032–4049. doi:10.1175/1520-0469(1999)056&lt;</w:t>
      </w:r>
      <w:proofErr w:type="gramStart"/>
      <w:r>
        <w:rPr>
          <w:rFonts w:ascii="Garamond" w:hAnsi="Garamond" w:cs="Garamond"/>
        </w:rPr>
        <w:t>4032:ROTAHS</w:t>
      </w:r>
      <w:proofErr w:type="gramEnd"/>
      <w:r>
        <w:rPr>
          <w:rFonts w:ascii="Garamond" w:hAnsi="Garamond" w:cs="Garamond"/>
        </w:rPr>
        <w:t>&gt;2.0.CO;2</w:t>
      </w:r>
    </w:p>
    <w:p w14:paraId="39CED23C"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lastRenderedPageBreak/>
        <w:t xml:space="preserve">Konecky, B.L., Russell, J.M., </w:t>
      </w:r>
      <w:proofErr w:type="spellStart"/>
      <w:r>
        <w:rPr>
          <w:rFonts w:ascii="Garamond" w:hAnsi="Garamond" w:cs="Garamond"/>
        </w:rPr>
        <w:t>Rodysill</w:t>
      </w:r>
      <w:proofErr w:type="spellEnd"/>
      <w:r>
        <w:rPr>
          <w:rFonts w:ascii="Garamond" w:hAnsi="Garamond" w:cs="Garamond"/>
        </w:rPr>
        <w:t xml:space="preserve">, J.R., </w:t>
      </w:r>
      <w:proofErr w:type="spellStart"/>
      <w:r>
        <w:rPr>
          <w:rFonts w:ascii="Garamond" w:hAnsi="Garamond" w:cs="Garamond"/>
        </w:rPr>
        <w:t>Vuille</w:t>
      </w:r>
      <w:proofErr w:type="spellEnd"/>
      <w:r>
        <w:rPr>
          <w:rFonts w:ascii="Garamond" w:hAnsi="Garamond" w:cs="Garamond"/>
        </w:rPr>
        <w:t xml:space="preserve">, M., </w:t>
      </w:r>
      <w:proofErr w:type="spellStart"/>
      <w:r>
        <w:rPr>
          <w:rFonts w:ascii="Garamond" w:hAnsi="Garamond" w:cs="Garamond"/>
        </w:rPr>
        <w:t>Bijaksana</w:t>
      </w:r>
      <w:proofErr w:type="spellEnd"/>
      <w:r>
        <w:rPr>
          <w:rFonts w:ascii="Garamond" w:hAnsi="Garamond" w:cs="Garamond"/>
        </w:rPr>
        <w:t xml:space="preserve">, S., Huang, Y., 2013. Intensification of southwestern Indonesian rainfall over the past millennium. </w:t>
      </w:r>
      <w:proofErr w:type="spellStart"/>
      <w:r>
        <w:rPr>
          <w:rFonts w:ascii="Garamond" w:hAnsi="Garamond" w:cs="Garamond"/>
        </w:rPr>
        <w:t>Geophys</w:t>
      </w:r>
      <w:proofErr w:type="spellEnd"/>
      <w:r>
        <w:rPr>
          <w:rFonts w:ascii="Garamond" w:hAnsi="Garamond" w:cs="Garamond"/>
        </w:rPr>
        <w:t>. Res. Lett. 40, 386–391. doi:10.1029/2012GL054331</w:t>
      </w:r>
    </w:p>
    <w:p w14:paraId="437489AE" w14:textId="77777777" w:rsidR="005459E1" w:rsidRDefault="005459E1"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Kurita, N., 2013. Water isotopic variability in response to mesoscale convective system over the tropical ocean. J. </w:t>
      </w:r>
      <w:proofErr w:type="spellStart"/>
      <w:r>
        <w:rPr>
          <w:rFonts w:ascii="Garamond" w:hAnsi="Garamond" w:cs="Garamond"/>
        </w:rPr>
        <w:t>Geophys</w:t>
      </w:r>
      <w:proofErr w:type="spellEnd"/>
      <w:r>
        <w:rPr>
          <w:rFonts w:ascii="Garamond" w:hAnsi="Garamond" w:cs="Garamond"/>
        </w:rPr>
        <w:t>. Res. Atmos. 118, 10,376-10,390. doi:10.1002/jgrd.50754</w:t>
      </w:r>
    </w:p>
    <w:p w14:paraId="70C78EC4"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Ladd, S.N., Maloney, A.E., Nelson, D.B., Prebble, M., </w:t>
      </w:r>
      <w:proofErr w:type="spellStart"/>
      <w:r>
        <w:rPr>
          <w:rFonts w:ascii="Garamond" w:hAnsi="Garamond" w:cs="Garamond"/>
        </w:rPr>
        <w:t>Camperio</w:t>
      </w:r>
      <w:proofErr w:type="spellEnd"/>
      <w:r>
        <w:rPr>
          <w:rFonts w:ascii="Garamond" w:hAnsi="Garamond" w:cs="Garamond"/>
        </w:rPr>
        <w:t xml:space="preserve">, G., Sear, D.A., Hassall, J.D., Langdon, P.G., Sachs, J.P., Dubois, N., 2021. Leaf Wax Hydrogen Isotope s as a Hydroclimate Proxy in the Tropical Pacific. J. </w:t>
      </w:r>
      <w:proofErr w:type="spellStart"/>
      <w:r>
        <w:rPr>
          <w:rFonts w:ascii="Garamond" w:hAnsi="Garamond" w:cs="Garamond"/>
        </w:rPr>
        <w:t>Geophys</w:t>
      </w:r>
      <w:proofErr w:type="spellEnd"/>
      <w:r>
        <w:rPr>
          <w:rFonts w:ascii="Garamond" w:hAnsi="Garamond" w:cs="Garamond"/>
        </w:rPr>
        <w:t>. Res. Biogeosciences 126, e2020JG005891. doi:10.1029/2020jg005891</w:t>
      </w:r>
    </w:p>
    <w:p w14:paraId="32BCE8D2"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Ladd, S.N., Nelson, D.B., Schubert, C.J., Dubois, N., 2018. Lipid compound classes display diverging hydrogen isotope responses in lakes along a nutrient gradient. </w:t>
      </w:r>
      <w:proofErr w:type="spellStart"/>
      <w:r>
        <w:rPr>
          <w:rFonts w:ascii="Garamond" w:hAnsi="Garamond" w:cs="Garamond"/>
        </w:rPr>
        <w:t>Geochim</w:t>
      </w:r>
      <w:proofErr w:type="spellEnd"/>
      <w:r>
        <w:rPr>
          <w:rFonts w:ascii="Garamond" w:hAnsi="Garamond" w:cs="Garamond"/>
        </w:rPr>
        <w:t xml:space="preserve">. </w:t>
      </w:r>
      <w:proofErr w:type="spellStart"/>
      <w:r>
        <w:rPr>
          <w:rFonts w:ascii="Garamond" w:hAnsi="Garamond" w:cs="Garamond"/>
        </w:rPr>
        <w:t>Cosmochim</w:t>
      </w:r>
      <w:proofErr w:type="spellEnd"/>
      <w:r>
        <w:rPr>
          <w:rFonts w:ascii="Garamond" w:hAnsi="Garamond" w:cs="Garamond"/>
        </w:rPr>
        <w:t xml:space="preserve">. Acta 237, 103–119. </w:t>
      </w:r>
      <w:proofErr w:type="gramStart"/>
      <w:r>
        <w:rPr>
          <w:rFonts w:ascii="Garamond" w:hAnsi="Garamond" w:cs="Garamond"/>
        </w:rPr>
        <w:t>doi:10.1016/j.gca</w:t>
      </w:r>
      <w:proofErr w:type="gramEnd"/>
      <w:r>
        <w:rPr>
          <w:rFonts w:ascii="Garamond" w:hAnsi="Garamond" w:cs="Garamond"/>
        </w:rPr>
        <w:t>.2018.06.005</w:t>
      </w:r>
    </w:p>
    <w:p w14:paraId="143C7E42"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Lamarche, G., </w:t>
      </w:r>
      <w:proofErr w:type="spellStart"/>
      <w:r>
        <w:rPr>
          <w:rFonts w:ascii="Garamond" w:hAnsi="Garamond" w:cs="Garamond"/>
        </w:rPr>
        <w:t>Popinet</w:t>
      </w:r>
      <w:proofErr w:type="spellEnd"/>
      <w:r>
        <w:rPr>
          <w:rFonts w:ascii="Garamond" w:hAnsi="Garamond" w:cs="Garamond"/>
        </w:rPr>
        <w:t xml:space="preserve">, S., Pelletier, B., Mountjoy, J., Goff, J., </w:t>
      </w:r>
      <w:proofErr w:type="spellStart"/>
      <w:r>
        <w:rPr>
          <w:rFonts w:ascii="Garamond" w:hAnsi="Garamond" w:cs="Garamond"/>
        </w:rPr>
        <w:t>Delaux</w:t>
      </w:r>
      <w:proofErr w:type="spellEnd"/>
      <w:r>
        <w:rPr>
          <w:rFonts w:ascii="Garamond" w:hAnsi="Garamond" w:cs="Garamond"/>
        </w:rPr>
        <w:t xml:space="preserve">, S., Bind, J., 2015. Scenario-based numerical modelling and the </w:t>
      </w:r>
      <w:proofErr w:type="spellStart"/>
      <w:r>
        <w:rPr>
          <w:rFonts w:ascii="Garamond" w:hAnsi="Garamond" w:cs="Garamond"/>
        </w:rPr>
        <w:t>palaeo</w:t>
      </w:r>
      <w:proofErr w:type="spellEnd"/>
      <w:r>
        <w:rPr>
          <w:rFonts w:ascii="Garamond" w:hAnsi="Garamond" w:cs="Garamond"/>
        </w:rPr>
        <w:t>-historic record of tsunamis in Wallis and Futuna, Southwest Pacific. Nat. Hazards Earth Syst. Sci. 15, 1763–1784. doi:10.5194/nhess-15-1763-2015</w:t>
      </w:r>
    </w:p>
    <w:p w14:paraId="6FC465C4"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Lawman, A.E., Quinn, T.M., Partin, J.W., </w:t>
      </w:r>
      <w:proofErr w:type="spellStart"/>
      <w:r>
        <w:rPr>
          <w:rFonts w:ascii="Garamond" w:hAnsi="Garamond" w:cs="Garamond"/>
        </w:rPr>
        <w:t>Thirumalai</w:t>
      </w:r>
      <w:proofErr w:type="spellEnd"/>
      <w:r>
        <w:rPr>
          <w:rFonts w:ascii="Garamond" w:hAnsi="Garamond" w:cs="Garamond"/>
        </w:rPr>
        <w:t xml:space="preserve">, K., Taylor, F.W., Wu, C.C., Yu, T.L., Gorman, M.K., Shen, C.C., 2020. A Century of Reduced ENSO Variability During the Medieval Climate Anomaly. </w:t>
      </w:r>
      <w:proofErr w:type="spellStart"/>
      <w:r>
        <w:rPr>
          <w:rFonts w:ascii="Garamond" w:hAnsi="Garamond" w:cs="Garamond"/>
        </w:rPr>
        <w:t>Paleoceanogr</w:t>
      </w:r>
      <w:proofErr w:type="spellEnd"/>
      <w:r>
        <w:rPr>
          <w:rFonts w:ascii="Garamond" w:hAnsi="Garamond" w:cs="Garamond"/>
        </w:rPr>
        <w:t>. Paleoclimatology 35, 1–17. doi:10.1029/2019PA003742</w:t>
      </w:r>
    </w:p>
    <w:p w14:paraId="5C810E75"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Li, J., Pang, Z., Kong, Y., Wang, S., Bai, G., Zhao, H., Zhou, D., Sun, F., Yang, Z., 2018. Groundwater isotopes biased toward heavy rainfall events and implications on the local meteoric water line. J. </w:t>
      </w:r>
      <w:proofErr w:type="spellStart"/>
      <w:r>
        <w:rPr>
          <w:rFonts w:ascii="Garamond" w:hAnsi="Garamond" w:cs="Garamond"/>
        </w:rPr>
        <w:t>Geophys</w:t>
      </w:r>
      <w:proofErr w:type="spellEnd"/>
      <w:r>
        <w:rPr>
          <w:rFonts w:ascii="Garamond" w:hAnsi="Garamond" w:cs="Garamond"/>
        </w:rPr>
        <w:t>. Res. Atmos. 123, 6259–6266. doi:10.1029/2018JD028413</w:t>
      </w:r>
    </w:p>
    <w:p w14:paraId="5E147AE4"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Linsley</w:t>
      </w:r>
      <w:proofErr w:type="spellEnd"/>
      <w:r>
        <w:rPr>
          <w:rFonts w:ascii="Garamond" w:hAnsi="Garamond" w:cs="Garamond"/>
        </w:rPr>
        <w:t xml:space="preserve">, B.K., Kaplan, A., </w:t>
      </w:r>
      <w:proofErr w:type="spellStart"/>
      <w:r>
        <w:rPr>
          <w:rFonts w:ascii="Garamond" w:hAnsi="Garamond" w:cs="Garamond"/>
        </w:rPr>
        <w:t>Gouriou</w:t>
      </w:r>
      <w:proofErr w:type="spellEnd"/>
      <w:r>
        <w:rPr>
          <w:rFonts w:ascii="Garamond" w:hAnsi="Garamond" w:cs="Garamond"/>
        </w:rPr>
        <w:t xml:space="preserve">, Y., Salinger, M.J., </w:t>
      </w:r>
      <w:proofErr w:type="spellStart"/>
      <w:r>
        <w:rPr>
          <w:rFonts w:ascii="Garamond" w:hAnsi="Garamond" w:cs="Garamond"/>
        </w:rPr>
        <w:t>DeMenocal</w:t>
      </w:r>
      <w:proofErr w:type="spellEnd"/>
      <w:r>
        <w:rPr>
          <w:rFonts w:ascii="Garamond" w:hAnsi="Garamond" w:cs="Garamond"/>
        </w:rPr>
        <w:t xml:space="preserve">, P.B., Wellington, G.M., Howe, S.S., 2006. Tracking the extent of the South Pacific Convergence Zone since the early 1600s. Geochemistry, </w:t>
      </w:r>
      <w:proofErr w:type="spellStart"/>
      <w:r>
        <w:rPr>
          <w:rFonts w:ascii="Garamond" w:hAnsi="Garamond" w:cs="Garamond"/>
        </w:rPr>
        <w:t>Geophys</w:t>
      </w:r>
      <w:proofErr w:type="spellEnd"/>
      <w:r>
        <w:rPr>
          <w:rFonts w:ascii="Garamond" w:hAnsi="Garamond" w:cs="Garamond"/>
        </w:rPr>
        <w:t>. Geosystems 7, 1–15. doi:10.1029/2005GC001115</w:t>
      </w:r>
    </w:p>
    <w:p w14:paraId="52BB553E"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lastRenderedPageBreak/>
        <w:t>Linsley</w:t>
      </w:r>
      <w:proofErr w:type="spellEnd"/>
      <w:r>
        <w:rPr>
          <w:rFonts w:ascii="Garamond" w:hAnsi="Garamond" w:cs="Garamond"/>
        </w:rPr>
        <w:t xml:space="preserve">, B.K., Wu, H.C., </w:t>
      </w:r>
      <w:proofErr w:type="spellStart"/>
      <w:r>
        <w:rPr>
          <w:rFonts w:ascii="Garamond" w:hAnsi="Garamond" w:cs="Garamond"/>
        </w:rPr>
        <w:t>Rixen</w:t>
      </w:r>
      <w:proofErr w:type="spellEnd"/>
      <w:r>
        <w:rPr>
          <w:rFonts w:ascii="Garamond" w:hAnsi="Garamond" w:cs="Garamond"/>
        </w:rPr>
        <w:t xml:space="preserve">, T., Charles, C.D., Gordon, A.L., Moore, M.D., 2017. SPCZ zonal events and downstream influence on surface ocean conditions in the Indonesian Throughflow region. </w:t>
      </w:r>
      <w:proofErr w:type="spellStart"/>
      <w:r>
        <w:rPr>
          <w:rFonts w:ascii="Garamond" w:hAnsi="Garamond" w:cs="Garamond"/>
        </w:rPr>
        <w:t>Geophys</w:t>
      </w:r>
      <w:proofErr w:type="spellEnd"/>
      <w:r>
        <w:rPr>
          <w:rFonts w:ascii="Garamond" w:hAnsi="Garamond" w:cs="Garamond"/>
        </w:rPr>
        <w:t>. Res. Lett. 44, 293–303. doi:10.1002/2016GL070985</w:t>
      </w:r>
    </w:p>
    <w:p w14:paraId="77C2123F"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Linsley</w:t>
      </w:r>
      <w:proofErr w:type="spellEnd"/>
      <w:r>
        <w:rPr>
          <w:rFonts w:ascii="Garamond" w:hAnsi="Garamond" w:cs="Garamond"/>
        </w:rPr>
        <w:t xml:space="preserve">, B.K., Zhang, P., Kaplan, A., Howe, S.S., Wellington, G.M., 2008. Interdecadal-decadal climate variability from </w:t>
      </w:r>
      <w:proofErr w:type="spellStart"/>
      <w:r>
        <w:rPr>
          <w:rFonts w:ascii="Garamond" w:hAnsi="Garamond" w:cs="Garamond"/>
        </w:rPr>
        <w:t>multicoral</w:t>
      </w:r>
      <w:proofErr w:type="spellEnd"/>
      <w:r>
        <w:rPr>
          <w:rFonts w:ascii="Garamond" w:hAnsi="Garamond" w:cs="Garamond"/>
        </w:rPr>
        <w:t xml:space="preserve"> oxygen isotope records in the South Pacific Convergence Zone region since 1650 A.D. Paleoceanography 23, 1–16. doi:10.1029/2007PA001539</w:t>
      </w:r>
    </w:p>
    <w:p w14:paraId="43CF8738" w14:textId="77777777" w:rsidR="005459E1" w:rsidRDefault="005459E1"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Lintner, B.R., </w:t>
      </w:r>
      <w:proofErr w:type="spellStart"/>
      <w:r>
        <w:rPr>
          <w:rFonts w:ascii="Garamond" w:hAnsi="Garamond" w:cs="Garamond"/>
        </w:rPr>
        <w:t>Neelin</w:t>
      </w:r>
      <w:proofErr w:type="spellEnd"/>
      <w:r>
        <w:rPr>
          <w:rFonts w:ascii="Garamond" w:hAnsi="Garamond" w:cs="Garamond"/>
        </w:rPr>
        <w:t xml:space="preserve">, J.D., 2008. Eastern margin variability of the South Pacific Convergence Zone. </w:t>
      </w:r>
      <w:proofErr w:type="spellStart"/>
      <w:r>
        <w:rPr>
          <w:rFonts w:ascii="Garamond" w:hAnsi="Garamond" w:cs="Garamond"/>
        </w:rPr>
        <w:t>Geophys</w:t>
      </w:r>
      <w:proofErr w:type="spellEnd"/>
      <w:r>
        <w:rPr>
          <w:rFonts w:ascii="Garamond" w:hAnsi="Garamond" w:cs="Garamond"/>
        </w:rPr>
        <w:t>. Res. Lett. 35, L16701. doi:10.1029/2008GL034298</w:t>
      </w:r>
    </w:p>
    <w:p w14:paraId="03D2913E"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Liu, J.B., Chen, F.H., Chen, J.H., Xia, D.S., Xu, Q.H., Wang, Z.L., Li, Y.C., 2011. Humid medieval warm period recorded by magnetic characteristics of sediments from </w:t>
      </w:r>
      <w:proofErr w:type="spellStart"/>
      <w:r>
        <w:rPr>
          <w:rFonts w:ascii="Garamond" w:hAnsi="Garamond" w:cs="Garamond"/>
        </w:rPr>
        <w:t>Gonghai</w:t>
      </w:r>
      <w:proofErr w:type="spellEnd"/>
      <w:r>
        <w:rPr>
          <w:rFonts w:ascii="Garamond" w:hAnsi="Garamond" w:cs="Garamond"/>
        </w:rPr>
        <w:t xml:space="preserve"> Lake, Shanxi, North China. Chinese Sci. Bull. 56, 2464–2474. doi:10.1007/s11434-011-4592-y</w:t>
      </w:r>
    </w:p>
    <w:p w14:paraId="401AA11C"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MacDonald, G., 1945. Petrography of the Wallis Islands. Bull. Geol. Soc. Am. 56, 861–872.</w:t>
      </w:r>
    </w:p>
    <w:p w14:paraId="58A381BE"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Maloney, A.E., Nelson, D.B., Richey, J.N., Prebble, M., Sear, D.A., Hassall, J.D., Langdon, P.G., </w:t>
      </w:r>
      <w:proofErr w:type="spellStart"/>
      <w:r>
        <w:rPr>
          <w:rFonts w:ascii="Garamond" w:hAnsi="Garamond" w:cs="Garamond"/>
        </w:rPr>
        <w:t>Croudace</w:t>
      </w:r>
      <w:proofErr w:type="spellEnd"/>
      <w:r>
        <w:rPr>
          <w:rFonts w:ascii="Garamond" w:hAnsi="Garamond" w:cs="Garamond"/>
        </w:rPr>
        <w:t xml:space="preserve">, I.W., </w:t>
      </w:r>
      <w:proofErr w:type="spellStart"/>
      <w:r>
        <w:rPr>
          <w:rFonts w:ascii="Garamond" w:hAnsi="Garamond" w:cs="Garamond"/>
        </w:rPr>
        <w:t>Zawadzki</w:t>
      </w:r>
      <w:proofErr w:type="spellEnd"/>
      <w:r>
        <w:rPr>
          <w:rFonts w:ascii="Garamond" w:hAnsi="Garamond" w:cs="Garamond"/>
        </w:rPr>
        <w:t xml:space="preserve">, A., Sachs, J.P., 2019. Reconstructing precipitation in the tropical South Pacific from dinosterol 2H/1H ratios in lake sediment. </w:t>
      </w:r>
      <w:proofErr w:type="spellStart"/>
      <w:r>
        <w:rPr>
          <w:rFonts w:ascii="Garamond" w:hAnsi="Garamond" w:cs="Garamond"/>
        </w:rPr>
        <w:t>Geochim</w:t>
      </w:r>
      <w:proofErr w:type="spellEnd"/>
      <w:r>
        <w:rPr>
          <w:rFonts w:ascii="Garamond" w:hAnsi="Garamond" w:cs="Garamond"/>
        </w:rPr>
        <w:t xml:space="preserve">. </w:t>
      </w:r>
      <w:proofErr w:type="spellStart"/>
      <w:r>
        <w:rPr>
          <w:rFonts w:ascii="Garamond" w:hAnsi="Garamond" w:cs="Garamond"/>
        </w:rPr>
        <w:t>Cosmochim</w:t>
      </w:r>
      <w:proofErr w:type="spellEnd"/>
      <w:r>
        <w:rPr>
          <w:rFonts w:ascii="Garamond" w:hAnsi="Garamond" w:cs="Garamond"/>
        </w:rPr>
        <w:t xml:space="preserve">. Acta 245, 190–206. </w:t>
      </w:r>
      <w:proofErr w:type="gramStart"/>
      <w:r>
        <w:rPr>
          <w:rFonts w:ascii="Garamond" w:hAnsi="Garamond" w:cs="Garamond"/>
        </w:rPr>
        <w:t>doi:10.1016/j.gca</w:t>
      </w:r>
      <w:proofErr w:type="gramEnd"/>
      <w:r>
        <w:rPr>
          <w:rFonts w:ascii="Garamond" w:hAnsi="Garamond" w:cs="Garamond"/>
        </w:rPr>
        <w:t>.2018.10.028</w:t>
      </w:r>
    </w:p>
    <w:p w14:paraId="13B5364F"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Masson-</w:t>
      </w:r>
      <w:proofErr w:type="spellStart"/>
      <w:r>
        <w:rPr>
          <w:rFonts w:ascii="Garamond" w:hAnsi="Garamond" w:cs="Garamond"/>
        </w:rPr>
        <w:t>Delmotte</w:t>
      </w:r>
      <w:proofErr w:type="spellEnd"/>
      <w:r>
        <w:rPr>
          <w:rFonts w:ascii="Garamond" w:hAnsi="Garamond" w:cs="Garamond"/>
        </w:rPr>
        <w:t>, V., Schulz, M., Abe-</w:t>
      </w:r>
      <w:proofErr w:type="spellStart"/>
      <w:r>
        <w:rPr>
          <w:rFonts w:ascii="Garamond" w:hAnsi="Garamond" w:cs="Garamond"/>
        </w:rPr>
        <w:t>Ouchi</w:t>
      </w:r>
      <w:proofErr w:type="spellEnd"/>
      <w:r>
        <w:rPr>
          <w:rFonts w:ascii="Garamond" w:hAnsi="Garamond" w:cs="Garamond"/>
        </w:rPr>
        <w:t xml:space="preserve">, A., Beer, J., </w:t>
      </w:r>
      <w:proofErr w:type="spellStart"/>
      <w:r>
        <w:rPr>
          <w:rFonts w:ascii="Garamond" w:hAnsi="Garamond" w:cs="Garamond"/>
        </w:rPr>
        <w:t>Ganopolski</w:t>
      </w:r>
      <w:proofErr w:type="spellEnd"/>
      <w:r>
        <w:rPr>
          <w:rFonts w:ascii="Garamond" w:hAnsi="Garamond" w:cs="Garamond"/>
        </w:rPr>
        <w:t xml:space="preserve">, A., González </w:t>
      </w:r>
      <w:proofErr w:type="spellStart"/>
      <w:r>
        <w:rPr>
          <w:rFonts w:ascii="Garamond" w:hAnsi="Garamond" w:cs="Garamond"/>
        </w:rPr>
        <w:t>Rouco</w:t>
      </w:r>
      <w:proofErr w:type="spellEnd"/>
      <w:r>
        <w:rPr>
          <w:rFonts w:ascii="Garamond" w:hAnsi="Garamond" w:cs="Garamond"/>
        </w:rPr>
        <w:t xml:space="preserve">, J., Jansen, E., </w:t>
      </w:r>
      <w:proofErr w:type="spellStart"/>
      <w:r>
        <w:rPr>
          <w:rFonts w:ascii="Garamond" w:hAnsi="Garamond" w:cs="Garamond"/>
        </w:rPr>
        <w:t>Lambeck</w:t>
      </w:r>
      <w:proofErr w:type="spellEnd"/>
      <w:r>
        <w:rPr>
          <w:rFonts w:ascii="Garamond" w:hAnsi="Garamond" w:cs="Garamond"/>
        </w:rPr>
        <w:t xml:space="preserve">, K., </w:t>
      </w:r>
      <w:proofErr w:type="spellStart"/>
      <w:r>
        <w:rPr>
          <w:rFonts w:ascii="Garamond" w:hAnsi="Garamond" w:cs="Garamond"/>
        </w:rPr>
        <w:t>Luterbacher</w:t>
      </w:r>
      <w:proofErr w:type="spellEnd"/>
      <w:r>
        <w:rPr>
          <w:rFonts w:ascii="Garamond" w:hAnsi="Garamond" w:cs="Garamond"/>
        </w:rPr>
        <w:t xml:space="preserve">, J., </w:t>
      </w:r>
      <w:proofErr w:type="spellStart"/>
      <w:r>
        <w:rPr>
          <w:rFonts w:ascii="Garamond" w:hAnsi="Garamond" w:cs="Garamond"/>
        </w:rPr>
        <w:t>Naish</w:t>
      </w:r>
      <w:proofErr w:type="spellEnd"/>
      <w:r>
        <w:rPr>
          <w:rFonts w:ascii="Garamond" w:hAnsi="Garamond" w:cs="Garamond"/>
        </w:rPr>
        <w:t>, T., Osborn, T., Otto-</w:t>
      </w:r>
      <w:proofErr w:type="spellStart"/>
      <w:r>
        <w:rPr>
          <w:rFonts w:ascii="Garamond" w:hAnsi="Garamond" w:cs="Garamond"/>
        </w:rPr>
        <w:t>Bliesner</w:t>
      </w:r>
      <w:proofErr w:type="spellEnd"/>
      <w:r>
        <w:rPr>
          <w:rFonts w:ascii="Garamond" w:hAnsi="Garamond" w:cs="Garamond"/>
        </w:rPr>
        <w:t xml:space="preserve">, B., Quinn, T., Ramesh, Rojas, M., Shao, X., </w:t>
      </w:r>
      <w:proofErr w:type="spellStart"/>
      <w:r>
        <w:rPr>
          <w:rFonts w:ascii="Garamond" w:hAnsi="Garamond" w:cs="Garamond"/>
        </w:rPr>
        <w:t>Timmermann</w:t>
      </w:r>
      <w:proofErr w:type="spellEnd"/>
      <w:r>
        <w:rPr>
          <w:rFonts w:ascii="Garamond" w:hAnsi="Garamond" w:cs="Garamond"/>
        </w:rPr>
        <w:t xml:space="preserve">, A., 2013. Information from Paleoclimate Archives, in: Stocker, T.F., Qin, D., Plattner, G.-K., </w:t>
      </w:r>
      <w:proofErr w:type="spellStart"/>
      <w:r>
        <w:rPr>
          <w:rFonts w:ascii="Garamond" w:hAnsi="Garamond" w:cs="Garamond"/>
        </w:rPr>
        <w:t>Tignor</w:t>
      </w:r>
      <w:proofErr w:type="spellEnd"/>
      <w:r>
        <w:rPr>
          <w:rFonts w:ascii="Garamond" w:hAnsi="Garamond" w:cs="Garamond"/>
        </w:rPr>
        <w:t xml:space="preserve">, M., Allen, S., </w:t>
      </w:r>
      <w:proofErr w:type="spellStart"/>
      <w:r>
        <w:rPr>
          <w:rFonts w:ascii="Garamond" w:hAnsi="Garamond" w:cs="Garamond"/>
        </w:rPr>
        <w:t>Boschung</w:t>
      </w:r>
      <w:proofErr w:type="spellEnd"/>
      <w:r>
        <w:rPr>
          <w:rFonts w:ascii="Garamond" w:hAnsi="Garamond" w:cs="Garamond"/>
        </w:rPr>
        <w:t xml:space="preserve">, J., </w:t>
      </w:r>
      <w:proofErr w:type="spellStart"/>
      <w:r>
        <w:rPr>
          <w:rFonts w:ascii="Garamond" w:hAnsi="Garamond" w:cs="Garamond"/>
        </w:rPr>
        <w:t>Nauels</w:t>
      </w:r>
      <w:proofErr w:type="spellEnd"/>
      <w:r>
        <w:rPr>
          <w:rFonts w:ascii="Garamond" w:hAnsi="Garamond" w:cs="Garamond"/>
        </w:rPr>
        <w:t xml:space="preserve">, A., Xia, Y., Bex, V., Midgely, P.M. (Eds.), Climate Change 2013 - The Physical Science Basis. Contribution of Working Group 1 to the Fifth Assessment Report of the </w:t>
      </w:r>
      <w:proofErr w:type="spellStart"/>
      <w:r>
        <w:rPr>
          <w:rFonts w:ascii="Garamond" w:hAnsi="Garamond" w:cs="Garamond"/>
        </w:rPr>
        <w:t>Intergovernnmental</w:t>
      </w:r>
      <w:proofErr w:type="spellEnd"/>
      <w:r>
        <w:rPr>
          <w:rFonts w:ascii="Garamond" w:hAnsi="Garamond" w:cs="Garamond"/>
        </w:rPr>
        <w:t xml:space="preserve"> Panel on Climate Change. Cambridge University Press, Cambridge, United Kingdom and New York, NY, USA, pp. 383–464. doi:10.1017/CBO9781107415324.013</w:t>
      </w:r>
    </w:p>
    <w:p w14:paraId="4431D68D" w14:textId="77777777" w:rsidR="005459E1" w:rsidRDefault="005459E1" w:rsidP="00A50750">
      <w:pPr>
        <w:autoSpaceDE w:val="0"/>
        <w:autoSpaceDN w:val="0"/>
        <w:adjustRightInd w:val="0"/>
        <w:spacing w:line="480" w:lineRule="auto"/>
        <w:ind w:left="480" w:right="-56" w:hanging="480"/>
        <w:rPr>
          <w:rFonts w:ascii="Garamond" w:hAnsi="Garamond" w:cs="Garamond"/>
        </w:rPr>
      </w:pPr>
      <w:r>
        <w:rPr>
          <w:rFonts w:ascii="Garamond" w:hAnsi="Garamond" w:cs="Garamond"/>
        </w:rPr>
        <w:lastRenderedPageBreak/>
        <w:t xml:space="preserve">Matthews, A.J., 2012. A multiscale framework for the origin and variability of the South Pacific Convergence Zone. Q. J. R. </w:t>
      </w:r>
      <w:proofErr w:type="spellStart"/>
      <w:r>
        <w:rPr>
          <w:rFonts w:ascii="Garamond" w:hAnsi="Garamond" w:cs="Garamond"/>
        </w:rPr>
        <w:t>Meteorol</w:t>
      </w:r>
      <w:proofErr w:type="spellEnd"/>
      <w:r>
        <w:rPr>
          <w:rFonts w:ascii="Garamond" w:hAnsi="Garamond" w:cs="Garamond"/>
        </w:rPr>
        <w:t>. Soc. 138, 1165–1178. doi:10.1002/qj.1870</w:t>
      </w:r>
    </w:p>
    <w:p w14:paraId="4700B89D" w14:textId="77777777" w:rsidR="005459E1" w:rsidRDefault="005459E1"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Matthews, A.J., Hoskins, B.J., </w:t>
      </w:r>
      <w:proofErr w:type="spellStart"/>
      <w:r>
        <w:rPr>
          <w:rFonts w:ascii="Garamond" w:hAnsi="Garamond" w:cs="Garamond"/>
        </w:rPr>
        <w:t>Slingo</w:t>
      </w:r>
      <w:proofErr w:type="spellEnd"/>
      <w:r>
        <w:rPr>
          <w:rFonts w:ascii="Garamond" w:hAnsi="Garamond" w:cs="Garamond"/>
        </w:rPr>
        <w:t xml:space="preserve">, J.M., Blackburn, M., 1996. Development of convection along the SPCZ within a Madden-Julian oscillation. Q. J. R. </w:t>
      </w:r>
      <w:proofErr w:type="spellStart"/>
      <w:r>
        <w:rPr>
          <w:rFonts w:ascii="Garamond" w:hAnsi="Garamond" w:cs="Garamond"/>
        </w:rPr>
        <w:t>Meteorol</w:t>
      </w:r>
      <w:proofErr w:type="spellEnd"/>
      <w:r>
        <w:rPr>
          <w:rFonts w:ascii="Garamond" w:hAnsi="Garamond" w:cs="Garamond"/>
        </w:rPr>
        <w:t>. Soc. 122, 669–688. doi:10.1256/smsqj.53105</w:t>
      </w:r>
    </w:p>
    <w:p w14:paraId="30E5C45B" w14:textId="3CDCA771"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Maupin, C.R., Partin, J.W., Shen, C.-C., Quinn, T.M., Lin, K., Taylor, F.W., Banner, J.L., </w:t>
      </w:r>
      <w:proofErr w:type="spellStart"/>
      <w:r>
        <w:rPr>
          <w:rFonts w:ascii="Garamond" w:hAnsi="Garamond" w:cs="Garamond"/>
        </w:rPr>
        <w:t>Thirumalai</w:t>
      </w:r>
      <w:proofErr w:type="spellEnd"/>
      <w:r>
        <w:rPr>
          <w:rFonts w:ascii="Garamond" w:hAnsi="Garamond" w:cs="Garamond"/>
        </w:rPr>
        <w:t xml:space="preserve">, K., Sinclair, D.J., 2014. Persistent decadal-scale rainfall variability in the tropical South Pacific Convergence Zone through the past six centuries. </w:t>
      </w:r>
      <w:proofErr w:type="spellStart"/>
      <w:r>
        <w:rPr>
          <w:rFonts w:ascii="Garamond" w:hAnsi="Garamond" w:cs="Garamond"/>
        </w:rPr>
        <w:t>Clim</w:t>
      </w:r>
      <w:proofErr w:type="spellEnd"/>
      <w:r>
        <w:rPr>
          <w:rFonts w:ascii="Garamond" w:hAnsi="Garamond" w:cs="Garamond"/>
        </w:rPr>
        <w:t>. Past 10, 1319–1332. doi:10.5194/cp-10-1319-2014</w:t>
      </w:r>
    </w:p>
    <w:p w14:paraId="781064D3" w14:textId="14A4FC4C" w:rsidR="00A50750" w:rsidRDefault="00A50750" w:rsidP="00A50750">
      <w:pPr>
        <w:autoSpaceDE w:val="0"/>
        <w:autoSpaceDN w:val="0"/>
        <w:adjustRightInd w:val="0"/>
        <w:spacing w:line="480" w:lineRule="auto"/>
        <w:ind w:left="480" w:right="-720" w:hanging="480"/>
        <w:rPr>
          <w:rFonts w:ascii="Garamond" w:hAnsi="Garamond" w:cs="Garamond"/>
        </w:rPr>
      </w:pPr>
      <w:r>
        <w:rPr>
          <w:rFonts w:ascii="Garamond" w:hAnsi="Garamond" w:cs="Garamond"/>
        </w:rPr>
        <w:t xml:space="preserve">Medina-Elizalde, M., Burns, S.J., Lea, D.W., </w:t>
      </w:r>
      <w:proofErr w:type="spellStart"/>
      <w:r>
        <w:rPr>
          <w:rFonts w:ascii="Garamond" w:hAnsi="Garamond" w:cs="Garamond"/>
        </w:rPr>
        <w:t>Asmerom</w:t>
      </w:r>
      <w:proofErr w:type="spellEnd"/>
      <w:r>
        <w:rPr>
          <w:rFonts w:ascii="Garamond" w:hAnsi="Garamond" w:cs="Garamond"/>
        </w:rPr>
        <w:t xml:space="preserve">, Y., von </w:t>
      </w:r>
      <w:proofErr w:type="spellStart"/>
      <w:r>
        <w:rPr>
          <w:rFonts w:ascii="Garamond" w:hAnsi="Garamond" w:cs="Garamond"/>
        </w:rPr>
        <w:t>Gunten</w:t>
      </w:r>
      <w:proofErr w:type="spellEnd"/>
      <w:r>
        <w:rPr>
          <w:rFonts w:ascii="Garamond" w:hAnsi="Garamond" w:cs="Garamond"/>
        </w:rPr>
        <w:t xml:space="preserve">, L., </w:t>
      </w:r>
      <w:proofErr w:type="spellStart"/>
      <w:r>
        <w:rPr>
          <w:rFonts w:ascii="Garamond" w:hAnsi="Garamond" w:cs="Garamond"/>
        </w:rPr>
        <w:t>Polyak</w:t>
      </w:r>
      <w:proofErr w:type="spellEnd"/>
      <w:r>
        <w:rPr>
          <w:rFonts w:ascii="Garamond" w:hAnsi="Garamond" w:cs="Garamond"/>
        </w:rPr>
        <w:t xml:space="preserve">, V., </w:t>
      </w:r>
      <w:proofErr w:type="spellStart"/>
      <w:r>
        <w:rPr>
          <w:rFonts w:ascii="Garamond" w:hAnsi="Garamond" w:cs="Garamond"/>
        </w:rPr>
        <w:t>Vuille</w:t>
      </w:r>
      <w:proofErr w:type="spellEnd"/>
      <w:r>
        <w:rPr>
          <w:rFonts w:ascii="Garamond" w:hAnsi="Garamond" w:cs="Garamond"/>
        </w:rPr>
        <w:t xml:space="preserve">, M., </w:t>
      </w:r>
      <w:proofErr w:type="spellStart"/>
      <w:r>
        <w:rPr>
          <w:rFonts w:ascii="Garamond" w:hAnsi="Garamond" w:cs="Garamond"/>
        </w:rPr>
        <w:t>Karmalkar</w:t>
      </w:r>
      <w:proofErr w:type="spellEnd"/>
      <w:r>
        <w:rPr>
          <w:rFonts w:ascii="Garamond" w:hAnsi="Garamond" w:cs="Garamond"/>
        </w:rPr>
        <w:t xml:space="preserve">, A., 2010. High resolution stalagmite climate record from the Yucatán Peninsula spanning the Maya terminal classic period. Earth Planet. Sci. Lett. 298, 255–262. </w:t>
      </w:r>
      <w:proofErr w:type="gramStart"/>
      <w:r>
        <w:rPr>
          <w:rFonts w:ascii="Garamond" w:hAnsi="Garamond" w:cs="Garamond"/>
        </w:rPr>
        <w:t>doi:10.1016/j.epsl</w:t>
      </w:r>
      <w:proofErr w:type="gramEnd"/>
      <w:r>
        <w:rPr>
          <w:rFonts w:ascii="Garamond" w:hAnsi="Garamond" w:cs="Garamond"/>
        </w:rPr>
        <w:t>.2010.08.016</w:t>
      </w:r>
    </w:p>
    <w:p w14:paraId="79AAA6DB"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Meisch</w:t>
      </w:r>
      <w:proofErr w:type="spellEnd"/>
      <w:r>
        <w:rPr>
          <w:rFonts w:ascii="Garamond" w:hAnsi="Garamond" w:cs="Garamond"/>
        </w:rPr>
        <w:t>, C., Mary-</w:t>
      </w:r>
      <w:proofErr w:type="spellStart"/>
      <w:r>
        <w:rPr>
          <w:rFonts w:ascii="Garamond" w:hAnsi="Garamond" w:cs="Garamond"/>
        </w:rPr>
        <w:t>Sasal</w:t>
      </w:r>
      <w:proofErr w:type="spellEnd"/>
      <w:r>
        <w:rPr>
          <w:rFonts w:ascii="Garamond" w:hAnsi="Garamond" w:cs="Garamond"/>
        </w:rPr>
        <w:t xml:space="preserve">, N.J., Colin, J., </w:t>
      </w:r>
      <w:proofErr w:type="spellStart"/>
      <w:r>
        <w:rPr>
          <w:rFonts w:ascii="Garamond" w:hAnsi="Garamond" w:cs="Garamond"/>
        </w:rPr>
        <w:t>Wouters</w:t>
      </w:r>
      <w:proofErr w:type="spellEnd"/>
      <w:r>
        <w:rPr>
          <w:rFonts w:ascii="Garamond" w:hAnsi="Garamond" w:cs="Garamond"/>
        </w:rPr>
        <w:t xml:space="preserve">, K., 2007. Freshwater Ostracoda (Crustacea) collected from the islands of Futuna and Wallis, Pacific Ocean, with a </w:t>
      </w:r>
      <w:proofErr w:type="gramStart"/>
      <w:r>
        <w:rPr>
          <w:rFonts w:ascii="Garamond" w:hAnsi="Garamond" w:cs="Garamond"/>
        </w:rPr>
        <w:t>check-list</w:t>
      </w:r>
      <w:proofErr w:type="gramEnd"/>
      <w:r>
        <w:rPr>
          <w:rFonts w:ascii="Garamond" w:hAnsi="Garamond" w:cs="Garamond"/>
        </w:rPr>
        <w:t xml:space="preserve"> of the non-marine Ostracoda of the Pacific Islands. Bull. Soc. Nat. </w:t>
      </w:r>
      <w:proofErr w:type="spellStart"/>
      <w:r>
        <w:rPr>
          <w:rFonts w:ascii="Garamond" w:hAnsi="Garamond" w:cs="Garamond"/>
        </w:rPr>
        <w:t>luxemb</w:t>
      </w:r>
      <w:proofErr w:type="spellEnd"/>
      <w:r>
        <w:rPr>
          <w:rFonts w:ascii="Garamond" w:hAnsi="Garamond" w:cs="Garamond"/>
        </w:rPr>
        <w:t>. 108, 89–103.</w:t>
      </w:r>
    </w:p>
    <w:p w14:paraId="22D00A8F" w14:textId="7BA73C4C"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Meyer, J.-Y., 2017. Guide des </w:t>
      </w:r>
      <w:proofErr w:type="spellStart"/>
      <w:r>
        <w:rPr>
          <w:rFonts w:ascii="Garamond" w:hAnsi="Garamond" w:cs="Garamond"/>
        </w:rPr>
        <w:t>plantes</w:t>
      </w:r>
      <w:proofErr w:type="spellEnd"/>
      <w:r>
        <w:rPr>
          <w:rFonts w:ascii="Garamond" w:hAnsi="Garamond" w:cs="Garamond"/>
        </w:rPr>
        <w:t xml:space="preserve"> de Wallis et Futuna. Éditions Au Vent des </w:t>
      </w:r>
      <w:proofErr w:type="spellStart"/>
      <w:r>
        <w:rPr>
          <w:rFonts w:ascii="Garamond" w:hAnsi="Garamond" w:cs="Garamond"/>
        </w:rPr>
        <w:t>Îles</w:t>
      </w:r>
      <w:proofErr w:type="spellEnd"/>
      <w:r>
        <w:rPr>
          <w:rFonts w:ascii="Garamond" w:hAnsi="Garamond" w:cs="Garamond"/>
        </w:rPr>
        <w:t>, Papeete.</w:t>
      </w:r>
    </w:p>
    <w:p w14:paraId="59C128EB" w14:textId="5A2BFDDD" w:rsidR="00A50750" w:rsidRDefault="00A50750" w:rsidP="00A50750">
      <w:pPr>
        <w:autoSpaceDE w:val="0"/>
        <w:autoSpaceDN w:val="0"/>
        <w:adjustRightInd w:val="0"/>
        <w:spacing w:line="480" w:lineRule="auto"/>
        <w:ind w:left="480" w:right="-720" w:hanging="480"/>
        <w:rPr>
          <w:rFonts w:ascii="Garamond" w:hAnsi="Garamond" w:cs="Garamond"/>
        </w:rPr>
      </w:pPr>
      <w:r>
        <w:rPr>
          <w:rFonts w:ascii="Garamond" w:hAnsi="Garamond" w:cs="Garamond"/>
        </w:rPr>
        <w:t xml:space="preserve">Metcalfe, S.E., Jones, M.D., Davies, S.J., </w:t>
      </w:r>
      <w:proofErr w:type="spellStart"/>
      <w:r>
        <w:rPr>
          <w:rFonts w:ascii="Garamond" w:hAnsi="Garamond" w:cs="Garamond"/>
        </w:rPr>
        <w:t>Noren</w:t>
      </w:r>
      <w:proofErr w:type="spellEnd"/>
      <w:r>
        <w:rPr>
          <w:rFonts w:ascii="Garamond" w:hAnsi="Garamond" w:cs="Garamond"/>
        </w:rPr>
        <w:t xml:space="preserve">, A., </w:t>
      </w:r>
      <w:proofErr w:type="spellStart"/>
      <w:r>
        <w:rPr>
          <w:rFonts w:ascii="Garamond" w:hAnsi="Garamond" w:cs="Garamond"/>
        </w:rPr>
        <w:t>MacKenzie</w:t>
      </w:r>
      <w:proofErr w:type="spellEnd"/>
      <w:r>
        <w:rPr>
          <w:rFonts w:ascii="Garamond" w:hAnsi="Garamond" w:cs="Garamond"/>
        </w:rPr>
        <w:t xml:space="preserve">, A., 2010. Climate variability over the last two millennia in the North American Monsoon region, recorded in laminated lake sediments from Laguna de </w:t>
      </w:r>
      <w:proofErr w:type="spellStart"/>
      <w:r>
        <w:rPr>
          <w:rFonts w:ascii="Garamond" w:hAnsi="Garamond" w:cs="Garamond"/>
        </w:rPr>
        <w:t>Juanacatlán</w:t>
      </w:r>
      <w:proofErr w:type="spellEnd"/>
      <w:r>
        <w:rPr>
          <w:rFonts w:ascii="Garamond" w:hAnsi="Garamond" w:cs="Garamond"/>
        </w:rPr>
        <w:t>, Mexico. The Holocene 20, 1195–1206. doi:10.1177/0959683610371994</w:t>
      </w:r>
    </w:p>
    <w:p w14:paraId="2231D21D"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Nelson, D.B., Sachs, J.P., 2016. Galápagos hydroclimate of the Common Era from paired microalgal and mangrove biomarker 2H/1H values. Proc. Natl. Acad. Sci. U. S. A. 113, 3476–3481. doi:10.1073/pnas.1516271113</w:t>
      </w:r>
    </w:p>
    <w:p w14:paraId="6C5664EB"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Nelson, D.B., Sachs, J.P., 2014. The influence of salinity on D/H fractionation in </w:t>
      </w:r>
      <w:proofErr w:type="spellStart"/>
      <w:r>
        <w:rPr>
          <w:rFonts w:ascii="Garamond" w:hAnsi="Garamond" w:cs="Garamond"/>
        </w:rPr>
        <w:t>dinosterol</w:t>
      </w:r>
      <w:proofErr w:type="spellEnd"/>
      <w:r>
        <w:rPr>
          <w:rFonts w:ascii="Garamond" w:hAnsi="Garamond" w:cs="Garamond"/>
        </w:rPr>
        <w:t xml:space="preserve"> and </w:t>
      </w:r>
      <w:proofErr w:type="spellStart"/>
      <w:r>
        <w:rPr>
          <w:rFonts w:ascii="Garamond" w:hAnsi="Garamond" w:cs="Garamond"/>
        </w:rPr>
        <w:t>brassicasterol</w:t>
      </w:r>
      <w:proofErr w:type="spellEnd"/>
      <w:r>
        <w:rPr>
          <w:rFonts w:ascii="Garamond" w:hAnsi="Garamond" w:cs="Garamond"/>
        </w:rPr>
        <w:t xml:space="preserve"> from globally distributed saline and hypersaline lakes. </w:t>
      </w:r>
      <w:proofErr w:type="spellStart"/>
      <w:r>
        <w:rPr>
          <w:rFonts w:ascii="Garamond" w:hAnsi="Garamond" w:cs="Garamond"/>
        </w:rPr>
        <w:t>Geochim</w:t>
      </w:r>
      <w:proofErr w:type="spellEnd"/>
      <w:r>
        <w:rPr>
          <w:rFonts w:ascii="Garamond" w:hAnsi="Garamond" w:cs="Garamond"/>
        </w:rPr>
        <w:t xml:space="preserve">. </w:t>
      </w:r>
      <w:proofErr w:type="spellStart"/>
      <w:r>
        <w:rPr>
          <w:rFonts w:ascii="Garamond" w:hAnsi="Garamond" w:cs="Garamond"/>
        </w:rPr>
        <w:t>Cosmochim</w:t>
      </w:r>
      <w:proofErr w:type="spellEnd"/>
      <w:r>
        <w:rPr>
          <w:rFonts w:ascii="Garamond" w:hAnsi="Garamond" w:cs="Garamond"/>
        </w:rPr>
        <w:t xml:space="preserve">. Acta 133, 325–339. </w:t>
      </w:r>
      <w:proofErr w:type="gramStart"/>
      <w:r>
        <w:rPr>
          <w:rFonts w:ascii="Garamond" w:hAnsi="Garamond" w:cs="Garamond"/>
        </w:rPr>
        <w:t>doi:10.1016/j.gca</w:t>
      </w:r>
      <w:proofErr w:type="gramEnd"/>
      <w:r>
        <w:rPr>
          <w:rFonts w:ascii="Garamond" w:hAnsi="Garamond" w:cs="Garamond"/>
        </w:rPr>
        <w:t>.2014.03.007</w:t>
      </w:r>
    </w:p>
    <w:p w14:paraId="496A8907"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lastRenderedPageBreak/>
        <w:t xml:space="preserve">Nelson, D.B., Sachs, J.P., 2013. Concurrent purification of sterols, </w:t>
      </w:r>
      <w:proofErr w:type="spellStart"/>
      <w:r>
        <w:rPr>
          <w:rFonts w:ascii="Garamond" w:hAnsi="Garamond" w:cs="Garamond"/>
        </w:rPr>
        <w:t>triterpenols</w:t>
      </w:r>
      <w:proofErr w:type="spellEnd"/>
      <w:r>
        <w:rPr>
          <w:rFonts w:ascii="Garamond" w:hAnsi="Garamond" w:cs="Garamond"/>
        </w:rPr>
        <w:t xml:space="preserve"> and alkenones from sediments for hydrogen isotope analysis using high performance liquid chromatography. Org. Geochem. 64, 19–28. </w:t>
      </w:r>
      <w:proofErr w:type="gramStart"/>
      <w:r>
        <w:rPr>
          <w:rFonts w:ascii="Garamond" w:hAnsi="Garamond" w:cs="Garamond"/>
        </w:rPr>
        <w:t>doi:10.1016/j.orggeochem</w:t>
      </w:r>
      <w:proofErr w:type="gramEnd"/>
      <w:r>
        <w:rPr>
          <w:rFonts w:ascii="Garamond" w:hAnsi="Garamond" w:cs="Garamond"/>
        </w:rPr>
        <w:t>.2013.09.005</w:t>
      </w:r>
    </w:p>
    <w:p w14:paraId="58A427BD" w14:textId="1591B338" w:rsidR="00F61F8B" w:rsidRDefault="00F61F8B"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NOAA, 2021. </w:t>
      </w:r>
      <w:r w:rsidR="00E25511">
        <w:rPr>
          <w:rFonts w:ascii="Garamond" w:hAnsi="Garamond" w:cs="Garamond"/>
        </w:rPr>
        <w:t>Cold and Warm Episodes by Season</w:t>
      </w:r>
      <w:r>
        <w:rPr>
          <w:rFonts w:ascii="Garamond" w:hAnsi="Garamond" w:cs="Garamond"/>
        </w:rPr>
        <w:t xml:space="preserve"> [WWW Document]. (National Ocean. Atmos. Adm. URL https://origin.cpc.ncep.noaa.gov/products/analysis_monitoring/ensostuff/ONI_v5.php (accessed 10.11.21)</w:t>
      </w:r>
    </w:p>
    <w:p w14:paraId="7FDD79E0"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Ourbak</w:t>
      </w:r>
      <w:proofErr w:type="spellEnd"/>
      <w:r>
        <w:rPr>
          <w:rFonts w:ascii="Garamond" w:hAnsi="Garamond" w:cs="Garamond"/>
        </w:rPr>
        <w:t xml:space="preserve">, T., </w:t>
      </w:r>
      <w:proofErr w:type="spellStart"/>
      <w:r>
        <w:rPr>
          <w:rFonts w:ascii="Garamond" w:hAnsi="Garamond" w:cs="Garamond"/>
        </w:rPr>
        <w:t>Corrège</w:t>
      </w:r>
      <w:proofErr w:type="spellEnd"/>
      <w:r>
        <w:rPr>
          <w:rFonts w:ascii="Garamond" w:hAnsi="Garamond" w:cs="Garamond"/>
        </w:rPr>
        <w:t xml:space="preserve">, T., </w:t>
      </w:r>
      <w:proofErr w:type="spellStart"/>
      <w:r>
        <w:rPr>
          <w:rFonts w:ascii="Garamond" w:hAnsi="Garamond" w:cs="Garamond"/>
        </w:rPr>
        <w:t>Malaizé</w:t>
      </w:r>
      <w:proofErr w:type="spellEnd"/>
      <w:r>
        <w:rPr>
          <w:rFonts w:ascii="Garamond" w:hAnsi="Garamond" w:cs="Garamond"/>
        </w:rPr>
        <w:t xml:space="preserve">, B., Le </w:t>
      </w:r>
      <w:proofErr w:type="spellStart"/>
      <w:r>
        <w:rPr>
          <w:rFonts w:ascii="Garamond" w:hAnsi="Garamond" w:cs="Garamond"/>
        </w:rPr>
        <w:t>Cornec</w:t>
      </w:r>
      <w:proofErr w:type="spellEnd"/>
      <w:r>
        <w:rPr>
          <w:rFonts w:ascii="Garamond" w:hAnsi="Garamond" w:cs="Garamond"/>
        </w:rPr>
        <w:t xml:space="preserve">, F., </w:t>
      </w:r>
      <w:proofErr w:type="spellStart"/>
      <w:r>
        <w:rPr>
          <w:rFonts w:ascii="Garamond" w:hAnsi="Garamond" w:cs="Garamond"/>
        </w:rPr>
        <w:t>Charlier</w:t>
      </w:r>
      <w:proofErr w:type="spellEnd"/>
      <w:r>
        <w:rPr>
          <w:rFonts w:ascii="Garamond" w:hAnsi="Garamond" w:cs="Garamond"/>
        </w:rPr>
        <w:t xml:space="preserve">, K., </w:t>
      </w:r>
      <w:proofErr w:type="spellStart"/>
      <w:r>
        <w:rPr>
          <w:rFonts w:ascii="Garamond" w:hAnsi="Garamond" w:cs="Garamond"/>
        </w:rPr>
        <w:t>Peypouquet</w:t>
      </w:r>
      <w:proofErr w:type="spellEnd"/>
      <w:r>
        <w:rPr>
          <w:rFonts w:ascii="Garamond" w:hAnsi="Garamond" w:cs="Garamond"/>
        </w:rPr>
        <w:t xml:space="preserve">, J.P., 2006. ENSO and interdecadal climate variability over the last century documented by geochemical records of two coral cores from the </w:t>
      </w:r>
      <w:proofErr w:type="gramStart"/>
      <w:r>
        <w:rPr>
          <w:rFonts w:ascii="Garamond" w:hAnsi="Garamond" w:cs="Garamond"/>
        </w:rPr>
        <w:t>South West</w:t>
      </w:r>
      <w:proofErr w:type="gramEnd"/>
      <w:r>
        <w:rPr>
          <w:rFonts w:ascii="Garamond" w:hAnsi="Garamond" w:cs="Garamond"/>
        </w:rPr>
        <w:t xml:space="preserve"> Pacific. Adv. </w:t>
      </w:r>
      <w:proofErr w:type="spellStart"/>
      <w:r>
        <w:rPr>
          <w:rFonts w:ascii="Garamond" w:hAnsi="Garamond" w:cs="Garamond"/>
        </w:rPr>
        <w:t>Geosci</w:t>
      </w:r>
      <w:proofErr w:type="spellEnd"/>
      <w:r>
        <w:rPr>
          <w:rFonts w:ascii="Garamond" w:hAnsi="Garamond" w:cs="Garamond"/>
        </w:rPr>
        <w:t>. 6, 23–27. doi:10.5194/adgeo-6-23-2006</w:t>
      </w:r>
    </w:p>
    <w:p w14:paraId="6E999077" w14:textId="42B4D4AC"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Papazian, M., Dumont, H.J., Mary-</w:t>
      </w:r>
      <w:proofErr w:type="spellStart"/>
      <w:r>
        <w:rPr>
          <w:rFonts w:ascii="Garamond" w:hAnsi="Garamond" w:cs="Garamond"/>
        </w:rPr>
        <w:t>Sasal</w:t>
      </w:r>
      <w:proofErr w:type="spellEnd"/>
      <w:r>
        <w:rPr>
          <w:rFonts w:ascii="Garamond" w:hAnsi="Garamond" w:cs="Garamond"/>
        </w:rPr>
        <w:t xml:space="preserve">, N.J., 2007. The Odonata of the Pacific Ocean islands of Wallis and Futuna, with special reference to speciation in </w:t>
      </w:r>
      <w:proofErr w:type="spellStart"/>
      <w:r w:rsidRPr="007C6E49">
        <w:rPr>
          <w:rFonts w:ascii="Garamond" w:hAnsi="Garamond" w:cs="Garamond"/>
          <w:i/>
          <w:iCs/>
        </w:rPr>
        <w:t>Ischnura</w:t>
      </w:r>
      <w:proofErr w:type="spellEnd"/>
      <w:r w:rsidRPr="007C6E49">
        <w:rPr>
          <w:rFonts w:ascii="Garamond" w:hAnsi="Garamond" w:cs="Garamond"/>
          <w:i/>
          <w:iCs/>
        </w:rPr>
        <w:t xml:space="preserve"> aurora</w:t>
      </w:r>
      <w:r w:rsidR="00F61F8B">
        <w:rPr>
          <w:rFonts w:ascii="Garamond" w:hAnsi="Garamond" w:cs="Garamond"/>
        </w:rPr>
        <w:t xml:space="preserve"> </w:t>
      </w:r>
      <w:r>
        <w:rPr>
          <w:rFonts w:ascii="Garamond" w:hAnsi="Garamond" w:cs="Garamond"/>
        </w:rPr>
        <w:t>(</w:t>
      </w:r>
      <w:proofErr w:type="spellStart"/>
      <w:r>
        <w:rPr>
          <w:rFonts w:ascii="Garamond" w:hAnsi="Garamond" w:cs="Garamond"/>
        </w:rPr>
        <w:t>Brauer</w:t>
      </w:r>
      <w:proofErr w:type="spellEnd"/>
      <w:r>
        <w:rPr>
          <w:rFonts w:ascii="Garamond" w:hAnsi="Garamond" w:cs="Garamond"/>
        </w:rPr>
        <w:t xml:space="preserve">). </w:t>
      </w:r>
      <w:proofErr w:type="spellStart"/>
      <w:r>
        <w:rPr>
          <w:rFonts w:ascii="Garamond" w:hAnsi="Garamond" w:cs="Garamond"/>
        </w:rPr>
        <w:t>Odonatologica</w:t>
      </w:r>
      <w:proofErr w:type="spellEnd"/>
      <w:r>
        <w:rPr>
          <w:rFonts w:ascii="Garamond" w:hAnsi="Garamond" w:cs="Garamond"/>
        </w:rPr>
        <w:t xml:space="preserve"> 36, 53–62.</w:t>
      </w:r>
    </w:p>
    <w:p w14:paraId="14481C72"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Parkes, A., 1994. Holocene environments and vegetational change on four Polynesian islands. University of Hull.</w:t>
      </w:r>
    </w:p>
    <w:p w14:paraId="2D77F497"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Partin, J.W., Quinn, T.M., Shen, C.-C., Emile-</w:t>
      </w:r>
      <w:proofErr w:type="spellStart"/>
      <w:r>
        <w:rPr>
          <w:rFonts w:ascii="Garamond" w:hAnsi="Garamond" w:cs="Garamond"/>
        </w:rPr>
        <w:t>Geay</w:t>
      </w:r>
      <w:proofErr w:type="spellEnd"/>
      <w:r>
        <w:rPr>
          <w:rFonts w:ascii="Garamond" w:hAnsi="Garamond" w:cs="Garamond"/>
        </w:rPr>
        <w:t>, J., Taylor, F.W., Maupin, C.R., Lin, K., Jackson, C.S., Banner, J.L., Sinclair, D.J., Huh, C.-A., 2013. Multidecadal rainfall variability in South Pacific Convergence Zone as revealed by stalagmite geochemistry. Geology 41, 1143–1146. doi:10.1130/G34718.1</w:t>
      </w:r>
    </w:p>
    <w:p w14:paraId="6DEF2104"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Pierce, A.D., 2019. ncdf4: Interface to </w:t>
      </w:r>
      <w:proofErr w:type="spellStart"/>
      <w:r>
        <w:rPr>
          <w:rFonts w:ascii="Garamond" w:hAnsi="Garamond" w:cs="Garamond"/>
        </w:rPr>
        <w:t>Unidata</w:t>
      </w:r>
      <w:proofErr w:type="spellEnd"/>
      <w:r>
        <w:rPr>
          <w:rFonts w:ascii="Garamond" w:hAnsi="Garamond" w:cs="Garamond"/>
        </w:rPr>
        <w:t xml:space="preserve"> </w:t>
      </w:r>
      <w:proofErr w:type="spellStart"/>
      <w:r>
        <w:rPr>
          <w:rFonts w:ascii="Garamond" w:hAnsi="Garamond" w:cs="Garamond"/>
        </w:rPr>
        <w:t>netCDF</w:t>
      </w:r>
      <w:proofErr w:type="spellEnd"/>
      <w:r>
        <w:rPr>
          <w:rFonts w:ascii="Garamond" w:hAnsi="Garamond" w:cs="Garamond"/>
        </w:rPr>
        <w:t xml:space="preserve"> (Version 4 or Earlier) Format Data Files. R package version 1.17.</w:t>
      </w:r>
    </w:p>
    <w:p w14:paraId="59412A6D" w14:textId="02E6672E" w:rsidR="00F61F8B" w:rsidRDefault="00F61F8B"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Plummer, C.T., Curran, M.A.J., </w:t>
      </w:r>
      <w:proofErr w:type="spellStart"/>
      <w:r>
        <w:rPr>
          <w:rFonts w:ascii="Garamond" w:hAnsi="Garamond" w:cs="Garamond"/>
        </w:rPr>
        <w:t>Ommen</w:t>
      </w:r>
      <w:proofErr w:type="spellEnd"/>
      <w:r>
        <w:rPr>
          <w:rFonts w:ascii="Garamond" w:hAnsi="Garamond" w:cs="Garamond"/>
        </w:rPr>
        <w:t xml:space="preserve">, T.D. Van, Rasmussen, S.O., Moy, A.D., Vance, T.R., </w:t>
      </w:r>
      <w:r w:rsidR="00E25511">
        <w:rPr>
          <w:rFonts w:ascii="Garamond" w:hAnsi="Garamond" w:cs="Garamond"/>
        </w:rPr>
        <w:t xml:space="preserve">Clausen, H.B., </w:t>
      </w:r>
      <w:proofErr w:type="spellStart"/>
      <w:r w:rsidR="00E25511">
        <w:rPr>
          <w:rFonts w:ascii="Garamond" w:hAnsi="Garamond" w:cs="Garamond"/>
        </w:rPr>
        <w:t>Vinther</w:t>
      </w:r>
      <w:proofErr w:type="spellEnd"/>
      <w:r w:rsidR="00E25511">
        <w:rPr>
          <w:rFonts w:ascii="Garamond" w:hAnsi="Garamond" w:cs="Garamond"/>
        </w:rPr>
        <w:t xml:space="preserve">, B.M., </w:t>
      </w:r>
      <w:proofErr w:type="spellStart"/>
      <w:r w:rsidR="00E25511">
        <w:rPr>
          <w:rFonts w:ascii="Garamond" w:hAnsi="Garamond" w:cs="Garamond"/>
        </w:rPr>
        <w:t>Mayewski</w:t>
      </w:r>
      <w:proofErr w:type="spellEnd"/>
      <w:r w:rsidR="00E25511">
        <w:rPr>
          <w:rFonts w:ascii="Garamond" w:hAnsi="Garamond" w:cs="Garamond"/>
        </w:rPr>
        <w:t xml:space="preserve">, P.A., </w:t>
      </w:r>
      <w:r>
        <w:rPr>
          <w:rFonts w:ascii="Garamond" w:hAnsi="Garamond" w:cs="Garamond"/>
        </w:rPr>
        <w:t>2012. An independently dated 2000-yr volcanic record from Law Dome, East Antarctica, including a new perspective on the dating of the 1450s CE eruption of Kuwae, Vanuatu</w:t>
      </w:r>
      <w:r w:rsidR="00E25511">
        <w:rPr>
          <w:rFonts w:ascii="Garamond" w:hAnsi="Garamond" w:cs="Garamond"/>
        </w:rPr>
        <w:t>. Climate of the Past 8,</w:t>
      </w:r>
      <w:r>
        <w:rPr>
          <w:rFonts w:ascii="Garamond" w:hAnsi="Garamond" w:cs="Garamond"/>
        </w:rPr>
        <w:t xml:space="preserve"> 1929–1940. doi:10.5194/cp-8-1929-2012</w:t>
      </w:r>
    </w:p>
    <w:p w14:paraId="6B91E351"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lastRenderedPageBreak/>
        <w:t>Polissar</w:t>
      </w:r>
      <w:proofErr w:type="spellEnd"/>
      <w:r>
        <w:rPr>
          <w:rFonts w:ascii="Garamond" w:hAnsi="Garamond" w:cs="Garamond"/>
        </w:rPr>
        <w:t xml:space="preserve">, P.J., </w:t>
      </w:r>
      <w:proofErr w:type="spellStart"/>
      <w:r>
        <w:rPr>
          <w:rFonts w:ascii="Garamond" w:hAnsi="Garamond" w:cs="Garamond"/>
        </w:rPr>
        <w:t>D’Andrea</w:t>
      </w:r>
      <w:proofErr w:type="spellEnd"/>
      <w:r>
        <w:rPr>
          <w:rFonts w:ascii="Garamond" w:hAnsi="Garamond" w:cs="Garamond"/>
        </w:rPr>
        <w:t xml:space="preserve">, W.J., 2014. Uncertainty in </w:t>
      </w:r>
      <w:proofErr w:type="spellStart"/>
      <w:r>
        <w:rPr>
          <w:rFonts w:ascii="Garamond" w:hAnsi="Garamond" w:cs="Garamond"/>
        </w:rPr>
        <w:t>paleohydrologic</w:t>
      </w:r>
      <w:proofErr w:type="spellEnd"/>
      <w:r>
        <w:rPr>
          <w:rFonts w:ascii="Garamond" w:hAnsi="Garamond" w:cs="Garamond"/>
        </w:rPr>
        <w:t xml:space="preserve"> reconstructions from molecular </w:t>
      </w:r>
      <w:proofErr w:type="spellStart"/>
      <w:r>
        <w:rPr>
          <w:rFonts w:ascii="Times" w:hAnsi="Times" w:cs="Times"/>
        </w:rPr>
        <w:t>δ</w:t>
      </w:r>
      <w:r>
        <w:rPr>
          <w:rFonts w:ascii="Garamond" w:hAnsi="Garamond" w:cs="Garamond"/>
        </w:rPr>
        <w:t>D</w:t>
      </w:r>
      <w:proofErr w:type="spellEnd"/>
      <w:r>
        <w:rPr>
          <w:rFonts w:ascii="Garamond" w:hAnsi="Garamond" w:cs="Garamond"/>
        </w:rPr>
        <w:t xml:space="preserve"> values. </w:t>
      </w:r>
      <w:proofErr w:type="spellStart"/>
      <w:r>
        <w:rPr>
          <w:rFonts w:ascii="Garamond" w:hAnsi="Garamond" w:cs="Garamond"/>
        </w:rPr>
        <w:t>Geochim</w:t>
      </w:r>
      <w:proofErr w:type="spellEnd"/>
      <w:r>
        <w:rPr>
          <w:rFonts w:ascii="Garamond" w:hAnsi="Garamond" w:cs="Garamond"/>
        </w:rPr>
        <w:t xml:space="preserve">. </w:t>
      </w:r>
      <w:proofErr w:type="spellStart"/>
      <w:r>
        <w:rPr>
          <w:rFonts w:ascii="Garamond" w:hAnsi="Garamond" w:cs="Garamond"/>
        </w:rPr>
        <w:t>Cosmochim</w:t>
      </w:r>
      <w:proofErr w:type="spellEnd"/>
      <w:r>
        <w:rPr>
          <w:rFonts w:ascii="Garamond" w:hAnsi="Garamond" w:cs="Garamond"/>
        </w:rPr>
        <w:t xml:space="preserve">. Acta 129, 146–156. </w:t>
      </w:r>
      <w:proofErr w:type="gramStart"/>
      <w:r>
        <w:rPr>
          <w:rFonts w:ascii="Garamond" w:hAnsi="Garamond" w:cs="Garamond"/>
        </w:rPr>
        <w:t>doi:10.1016/j.gca</w:t>
      </w:r>
      <w:proofErr w:type="gramEnd"/>
      <w:r>
        <w:rPr>
          <w:rFonts w:ascii="Garamond" w:hAnsi="Garamond" w:cs="Garamond"/>
        </w:rPr>
        <w:t>.2013.12.021</w:t>
      </w:r>
    </w:p>
    <w:p w14:paraId="56CA7B3B"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Price, R.C., </w:t>
      </w:r>
      <w:proofErr w:type="spellStart"/>
      <w:r>
        <w:rPr>
          <w:rFonts w:ascii="Garamond" w:hAnsi="Garamond" w:cs="Garamond"/>
        </w:rPr>
        <w:t>Maillet</w:t>
      </w:r>
      <w:proofErr w:type="spellEnd"/>
      <w:r>
        <w:rPr>
          <w:rFonts w:ascii="Garamond" w:hAnsi="Garamond" w:cs="Garamond"/>
        </w:rPr>
        <w:t xml:space="preserve">, P., McDougall, I., Dupont, J., 1991. The geochemistry of basalts from the Wallis Islands, northern Melanesian Borderland: Evidence for a lithospheric origin for Samoan-type basaltic magmas? J. </w:t>
      </w:r>
      <w:proofErr w:type="spellStart"/>
      <w:r>
        <w:rPr>
          <w:rFonts w:ascii="Garamond" w:hAnsi="Garamond" w:cs="Garamond"/>
        </w:rPr>
        <w:t>Volcanol</w:t>
      </w:r>
      <w:proofErr w:type="spellEnd"/>
      <w:r>
        <w:rPr>
          <w:rFonts w:ascii="Garamond" w:hAnsi="Garamond" w:cs="Garamond"/>
        </w:rPr>
        <w:t>. Geotherm. Res. 45, 267–288. doi:10.1016/0377-0273(91)90063-6</w:t>
      </w:r>
    </w:p>
    <w:p w14:paraId="30E67A59"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R Core Team, 2021. R: A Language and Environment for Statistical Computing.</w:t>
      </w:r>
    </w:p>
    <w:p w14:paraId="14F08219"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Rayner, N.A., Parker, D.E., Horton, E.B., </w:t>
      </w:r>
      <w:proofErr w:type="spellStart"/>
      <w:r>
        <w:rPr>
          <w:rFonts w:ascii="Garamond" w:hAnsi="Garamond" w:cs="Garamond"/>
        </w:rPr>
        <w:t>Folland</w:t>
      </w:r>
      <w:proofErr w:type="spellEnd"/>
      <w:r>
        <w:rPr>
          <w:rFonts w:ascii="Garamond" w:hAnsi="Garamond" w:cs="Garamond"/>
        </w:rPr>
        <w:t xml:space="preserve">, C.K., Alexander, L. V., Rowell, D.P., Kent, E.C., Kaplan, A., 2003. Global analyses of sea surface temperature, sea ice, and night marine air temperature since the late nineteenth century. J. </w:t>
      </w:r>
      <w:proofErr w:type="spellStart"/>
      <w:r>
        <w:rPr>
          <w:rFonts w:ascii="Garamond" w:hAnsi="Garamond" w:cs="Garamond"/>
        </w:rPr>
        <w:t>Geophys</w:t>
      </w:r>
      <w:proofErr w:type="spellEnd"/>
      <w:r>
        <w:rPr>
          <w:rFonts w:ascii="Garamond" w:hAnsi="Garamond" w:cs="Garamond"/>
        </w:rPr>
        <w:t>. Res. Atmos. 108. doi:10.1029/2002jd002670</w:t>
      </w:r>
    </w:p>
    <w:p w14:paraId="69BBC3C9"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Richey, J.N., Sachs, J.P., 2016. Precipitation changes in the western tropical Pacific over the past millennium. Geology 44, 671–674. doi:10.1130/G37822.1</w:t>
      </w:r>
    </w:p>
    <w:p w14:paraId="6352D387"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Rodysill</w:t>
      </w:r>
      <w:proofErr w:type="spellEnd"/>
      <w:r>
        <w:rPr>
          <w:rFonts w:ascii="Garamond" w:hAnsi="Garamond" w:cs="Garamond"/>
        </w:rPr>
        <w:t xml:space="preserve">, J.R., Russell, J.M., </w:t>
      </w:r>
      <w:proofErr w:type="spellStart"/>
      <w:r>
        <w:rPr>
          <w:rFonts w:ascii="Garamond" w:hAnsi="Garamond" w:cs="Garamond"/>
        </w:rPr>
        <w:t>Bijaksana</w:t>
      </w:r>
      <w:proofErr w:type="spellEnd"/>
      <w:r>
        <w:rPr>
          <w:rFonts w:ascii="Garamond" w:hAnsi="Garamond" w:cs="Garamond"/>
        </w:rPr>
        <w:t xml:space="preserve">, S., Brown, E.T., </w:t>
      </w:r>
      <w:proofErr w:type="spellStart"/>
      <w:r>
        <w:rPr>
          <w:rFonts w:ascii="Garamond" w:hAnsi="Garamond" w:cs="Garamond"/>
        </w:rPr>
        <w:t>Safiuddin</w:t>
      </w:r>
      <w:proofErr w:type="spellEnd"/>
      <w:r>
        <w:rPr>
          <w:rFonts w:ascii="Garamond" w:hAnsi="Garamond" w:cs="Garamond"/>
        </w:rPr>
        <w:t xml:space="preserve">, L.O., </w:t>
      </w:r>
      <w:proofErr w:type="spellStart"/>
      <w:r>
        <w:rPr>
          <w:rFonts w:ascii="Garamond" w:hAnsi="Garamond" w:cs="Garamond"/>
        </w:rPr>
        <w:t>Eggermont</w:t>
      </w:r>
      <w:proofErr w:type="spellEnd"/>
      <w:r>
        <w:rPr>
          <w:rFonts w:ascii="Garamond" w:hAnsi="Garamond" w:cs="Garamond"/>
        </w:rPr>
        <w:t xml:space="preserve">, H., 2012. A paleolimnological record of rainfall and drought from East Java, Indonesia during the last 1,400 years. J. </w:t>
      </w:r>
      <w:proofErr w:type="spellStart"/>
      <w:r>
        <w:rPr>
          <w:rFonts w:ascii="Garamond" w:hAnsi="Garamond" w:cs="Garamond"/>
        </w:rPr>
        <w:t>Paleolimnol</w:t>
      </w:r>
      <w:proofErr w:type="spellEnd"/>
      <w:r>
        <w:rPr>
          <w:rFonts w:ascii="Garamond" w:hAnsi="Garamond" w:cs="Garamond"/>
        </w:rPr>
        <w:t>. 47, 125–139. doi:10.1007/s10933-011-9564-3</w:t>
      </w:r>
    </w:p>
    <w:p w14:paraId="7B89D641"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Rouwet</w:t>
      </w:r>
      <w:proofErr w:type="spellEnd"/>
      <w:r>
        <w:rPr>
          <w:rFonts w:ascii="Garamond" w:hAnsi="Garamond" w:cs="Garamond"/>
        </w:rPr>
        <w:t xml:space="preserve">, D., Christenson, B., </w:t>
      </w:r>
      <w:proofErr w:type="spellStart"/>
      <w:r>
        <w:rPr>
          <w:rFonts w:ascii="Garamond" w:hAnsi="Garamond" w:cs="Garamond"/>
        </w:rPr>
        <w:t>Tassi</w:t>
      </w:r>
      <w:proofErr w:type="spellEnd"/>
      <w:r>
        <w:rPr>
          <w:rFonts w:ascii="Garamond" w:hAnsi="Garamond" w:cs="Garamond"/>
        </w:rPr>
        <w:t xml:space="preserve">, F., </w:t>
      </w:r>
      <w:proofErr w:type="spellStart"/>
      <w:r>
        <w:rPr>
          <w:rFonts w:ascii="Garamond" w:hAnsi="Garamond" w:cs="Garamond"/>
        </w:rPr>
        <w:t>Vandemeulebrouck</w:t>
      </w:r>
      <w:proofErr w:type="spellEnd"/>
      <w:r>
        <w:rPr>
          <w:rFonts w:ascii="Garamond" w:hAnsi="Garamond" w:cs="Garamond"/>
        </w:rPr>
        <w:t>, J., 2015. Volcanic Lakes, Advances in Volcanology, Advances in Volcanology. Springer-Verlag, Berlin Heidelberg. doi:10.1007/978-3-642-36833-2_1</w:t>
      </w:r>
    </w:p>
    <w:p w14:paraId="71ED713F"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RStudio_Team</w:t>
      </w:r>
      <w:proofErr w:type="spellEnd"/>
      <w:r>
        <w:rPr>
          <w:rFonts w:ascii="Garamond" w:hAnsi="Garamond" w:cs="Garamond"/>
        </w:rPr>
        <w:t>, 2021. RStudio: Integrated Development Environment for R.</w:t>
      </w:r>
    </w:p>
    <w:p w14:paraId="3D1E84FC"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Rull</w:t>
      </w:r>
      <w:proofErr w:type="spellEnd"/>
      <w:r>
        <w:rPr>
          <w:rFonts w:ascii="Garamond" w:hAnsi="Garamond" w:cs="Garamond"/>
        </w:rPr>
        <w:t>, V., 2021. Contributions of paleoecology to Easter Island’s prehistory: a thorough review. Quat. Sci. Rev. 252, 106751. doi:10.31223/OSF.IO/NF297</w:t>
      </w:r>
    </w:p>
    <w:p w14:paraId="56E07E34"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Saccocia</w:t>
      </w:r>
      <w:proofErr w:type="spellEnd"/>
      <w:r>
        <w:rPr>
          <w:rFonts w:ascii="Garamond" w:hAnsi="Garamond" w:cs="Garamond"/>
        </w:rPr>
        <w:t xml:space="preserve">, P.J., Seewald, J.S., Shanks, W.C., 1998. Hydrogen and oxygen isotope fractionation between brucite and aqueous NaCl solutions from 250 to 450°C. </w:t>
      </w:r>
      <w:proofErr w:type="spellStart"/>
      <w:r>
        <w:rPr>
          <w:rFonts w:ascii="Garamond" w:hAnsi="Garamond" w:cs="Garamond"/>
        </w:rPr>
        <w:t>Geochim</w:t>
      </w:r>
      <w:proofErr w:type="spellEnd"/>
      <w:r>
        <w:rPr>
          <w:rFonts w:ascii="Garamond" w:hAnsi="Garamond" w:cs="Garamond"/>
        </w:rPr>
        <w:t xml:space="preserve">. </w:t>
      </w:r>
      <w:proofErr w:type="spellStart"/>
      <w:r>
        <w:rPr>
          <w:rFonts w:ascii="Garamond" w:hAnsi="Garamond" w:cs="Garamond"/>
        </w:rPr>
        <w:t>Cosmochim</w:t>
      </w:r>
      <w:proofErr w:type="spellEnd"/>
      <w:r>
        <w:rPr>
          <w:rFonts w:ascii="Garamond" w:hAnsi="Garamond" w:cs="Garamond"/>
        </w:rPr>
        <w:t>. Acta 62, 485–492. doi:10.1016/S0016-7037(97)00346-3</w:t>
      </w:r>
    </w:p>
    <w:p w14:paraId="7D5675BE"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lastRenderedPageBreak/>
        <w:t xml:space="preserve">Sachs, J.P., Blois, J.L., McGee, T., </w:t>
      </w:r>
      <w:proofErr w:type="spellStart"/>
      <w:r>
        <w:rPr>
          <w:rFonts w:ascii="Garamond" w:hAnsi="Garamond" w:cs="Garamond"/>
        </w:rPr>
        <w:t>Wolhowe</w:t>
      </w:r>
      <w:proofErr w:type="spellEnd"/>
      <w:r>
        <w:rPr>
          <w:rFonts w:ascii="Garamond" w:hAnsi="Garamond" w:cs="Garamond"/>
        </w:rPr>
        <w:t xml:space="preserve">, M.D., Haberle, S.G., Clark, G., </w:t>
      </w:r>
      <w:proofErr w:type="spellStart"/>
      <w:r>
        <w:rPr>
          <w:rFonts w:ascii="Garamond" w:hAnsi="Garamond" w:cs="Garamond"/>
        </w:rPr>
        <w:t>Atahan</w:t>
      </w:r>
      <w:proofErr w:type="spellEnd"/>
      <w:r>
        <w:rPr>
          <w:rFonts w:ascii="Garamond" w:hAnsi="Garamond" w:cs="Garamond"/>
        </w:rPr>
        <w:t xml:space="preserve">, P., 2018. Southward shift of the Pacific ITCZ during the Holocene. </w:t>
      </w:r>
      <w:proofErr w:type="spellStart"/>
      <w:r>
        <w:rPr>
          <w:rFonts w:ascii="Garamond" w:hAnsi="Garamond" w:cs="Garamond"/>
        </w:rPr>
        <w:t>Paleoceanogr</w:t>
      </w:r>
      <w:proofErr w:type="spellEnd"/>
      <w:r>
        <w:rPr>
          <w:rFonts w:ascii="Garamond" w:hAnsi="Garamond" w:cs="Garamond"/>
        </w:rPr>
        <w:t>. Paleoclimatology 33, 1–13. doi:10.1029/2018PA003469</w:t>
      </w:r>
    </w:p>
    <w:p w14:paraId="78EFE697"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Sachs, J.P., </w:t>
      </w:r>
      <w:proofErr w:type="spellStart"/>
      <w:r>
        <w:rPr>
          <w:rFonts w:ascii="Garamond" w:hAnsi="Garamond" w:cs="Garamond"/>
        </w:rPr>
        <w:t>Kawka</w:t>
      </w:r>
      <w:proofErr w:type="spellEnd"/>
      <w:r>
        <w:rPr>
          <w:rFonts w:ascii="Garamond" w:hAnsi="Garamond" w:cs="Garamond"/>
        </w:rPr>
        <w:t xml:space="preserve">, O.E., 2015. The influence of growth rate on 2H/1H fractionation in continuous cultures of the coccolithophorid </w:t>
      </w:r>
      <w:r>
        <w:rPr>
          <w:rFonts w:ascii="Garamond" w:hAnsi="Garamond" w:cs="Garamond"/>
          <w:i/>
          <w:iCs/>
        </w:rPr>
        <w:t>Emiliania huxleyi</w:t>
      </w:r>
      <w:r>
        <w:rPr>
          <w:rFonts w:ascii="Garamond" w:hAnsi="Garamond" w:cs="Garamond"/>
        </w:rPr>
        <w:t xml:space="preserve"> and the diatom </w:t>
      </w:r>
      <w:r>
        <w:rPr>
          <w:rFonts w:ascii="Garamond" w:hAnsi="Garamond" w:cs="Garamond"/>
          <w:i/>
          <w:iCs/>
        </w:rPr>
        <w:t>Thalassiosira pseudonana</w:t>
      </w:r>
      <w:r>
        <w:rPr>
          <w:rFonts w:ascii="Garamond" w:hAnsi="Garamond" w:cs="Garamond"/>
        </w:rPr>
        <w:t xml:space="preserve">. </w:t>
      </w:r>
      <w:proofErr w:type="spellStart"/>
      <w:r>
        <w:rPr>
          <w:rFonts w:ascii="Garamond" w:hAnsi="Garamond" w:cs="Garamond"/>
        </w:rPr>
        <w:t>PLoS</w:t>
      </w:r>
      <w:proofErr w:type="spellEnd"/>
      <w:r>
        <w:rPr>
          <w:rFonts w:ascii="Garamond" w:hAnsi="Garamond" w:cs="Garamond"/>
        </w:rPr>
        <w:t xml:space="preserve"> One 10, e0141643. </w:t>
      </w:r>
      <w:proofErr w:type="gramStart"/>
      <w:r>
        <w:rPr>
          <w:rFonts w:ascii="Garamond" w:hAnsi="Garamond" w:cs="Garamond"/>
        </w:rPr>
        <w:t>doi:10.1371/journal.pone</w:t>
      </w:r>
      <w:proofErr w:type="gramEnd"/>
      <w:r>
        <w:rPr>
          <w:rFonts w:ascii="Garamond" w:hAnsi="Garamond" w:cs="Garamond"/>
        </w:rPr>
        <w:t>.0141643</w:t>
      </w:r>
    </w:p>
    <w:p w14:paraId="266E36B4"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Sachs, J.P., Maloney, A.E., </w:t>
      </w:r>
      <w:proofErr w:type="spellStart"/>
      <w:r>
        <w:rPr>
          <w:rFonts w:ascii="Garamond" w:hAnsi="Garamond" w:cs="Garamond"/>
        </w:rPr>
        <w:t>Gregersen</w:t>
      </w:r>
      <w:proofErr w:type="spellEnd"/>
      <w:r>
        <w:rPr>
          <w:rFonts w:ascii="Garamond" w:hAnsi="Garamond" w:cs="Garamond"/>
        </w:rPr>
        <w:t xml:space="preserve">, J., 2017. Effect of light on 2H/1H fractionation in lipids from continuous cultures of the diatom </w:t>
      </w:r>
      <w:r>
        <w:rPr>
          <w:rFonts w:ascii="Garamond" w:hAnsi="Garamond" w:cs="Garamond"/>
          <w:i/>
          <w:iCs/>
        </w:rPr>
        <w:t>Thalassiosira pseudonana</w:t>
      </w:r>
      <w:r>
        <w:rPr>
          <w:rFonts w:ascii="Garamond" w:hAnsi="Garamond" w:cs="Garamond"/>
        </w:rPr>
        <w:t xml:space="preserve">. </w:t>
      </w:r>
      <w:proofErr w:type="spellStart"/>
      <w:r>
        <w:rPr>
          <w:rFonts w:ascii="Garamond" w:hAnsi="Garamond" w:cs="Garamond"/>
        </w:rPr>
        <w:t>Geochim</w:t>
      </w:r>
      <w:proofErr w:type="spellEnd"/>
      <w:r>
        <w:rPr>
          <w:rFonts w:ascii="Garamond" w:hAnsi="Garamond" w:cs="Garamond"/>
        </w:rPr>
        <w:t xml:space="preserve">. </w:t>
      </w:r>
      <w:proofErr w:type="spellStart"/>
      <w:r>
        <w:rPr>
          <w:rFonts w:ascii="Garamond" w:hAnsi="Garamond" w:cs="Garamond"/>
        </w:rPr>
        <w:t>Cosmochim</w:t>
      </w:r>
      <w:proofErr w:type="spellEnd"/>
      <w:r>
        <w:rPr>
          <w:rFonts w:ascii="Garamond" w:hAnsi="Garamond" w:cs="Garamond"/>
        </w:rPr>
        <w:t xml:space="preserve">. Acta 209, 204–215. </w:t>
      </w:r>
      <w:proofErr w:type="gramStart"/>
      <w:r>
        <w:rPr>
          <w:rFonts w:ascii="Garamond" w:hAnsi="Garamond" w:cs="Garamond"/>
        </w:rPr>
        <w:t>doi:10.1016/j.gca</w:t>
      </w:r>
      <w:proofErr w:type="gramEnd"/>
      <w:r>
        <w:rPr>
          <w:rFonts w:ascii="Garamond" w:hAnsi="Garamond" w:cs="Garamond"/>
        </w:rPr>
        <w:t>.2017.04.008</w:t>
      </w:r>
    </w:p>
    <w:p w14:paraId="6D355701"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Sachs, J.P., </w:t>
      </w:r>
      <w:proofErr w:type="spellStart"/>
      <w:r>
        <w:rPr>
          <w:rFonts w:ascii="Garamond" w:hAnsi="Garamond" w:cs="Garamond"/>
        </w:rPr>
        <w:t>Mügler</w:t>
      </w:r>
      <w:proofErr w:type="spellEnd"/>
      <w:r>
        <w:rPr>
          <w:rFonts w:ascii="Garamond" w:hAnsi="Garamond" w:cs="Garamond"/>
        </w:rPr>
        <w:t xml:space="preserve">, I., Sachse, D., Prebble, M., </w:t>
      </w:r>
      <w:proofErr w:type="spellStart"/>
      <w:r>
        <w:rPr>
          <w:rFonts w:ascii="Garamond" w:hAnsi="Garamond" w:cs="Garamond"/>
        </w:rPr>
        <w:t>Wolhowe</w:t>
      </w:r>
      <w:proofErr w:type="spellEnd"/>
      <w:r>
        <w:rPr>
          <w:rFonts w:ascii="Garamond" w:hAnsi="Garamond" w:cs="Garamond"/>
        </w:rPr>
        <w:t xml:space="preserve">, M., 2021. Last millennium hydroclimate in the central equatorial North Pacific (5°N, 160°W). Quat. Sci. Rev. 259, 106906. </w:t>
      </w:r>
      <w:proofErr w:type="gramStart"/>
      <w:r>
        <w:rPr>
          <w:rFonts w:ascii="Garamond" w:hAnsi="Garamond" w:cs="Garamond"/>
        </w:rPr>
        <w:t>doi:10.1016/j.quascirev</w:t>
      </w:r>
      <w:proofErr w:type="gramEnd"/>
      <w:r>
        <w:rPr>
          <w:rFonts w:ascii="Garamond" w:hAnsi="Garamond" w:cs="Garamond"/>
        </w:rPr>
        <w:t>.2021.106906</w:t>
      </w:r>
    </w:p>
    <w:p w14:paraId="3257A35F"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Sachs, J.P., Schwab, V.F., 2011. Hydrogen isotopes in dinosterol from the Chesapeake Bay estuary. </w:t>
      </w:r>
      <w:proofErr w:type="spellStart"/>
      <w:r>
        <w:rPr>
          <w:rFonts w:ascii="Garamond" w:hAnsi="Garamond" w:cs="Garamond"/>
        </w:rPr>
        <w:t>Geochim</w:t>
      </w:r>
      <w:proofErr w:type="spellEnd"/>
      <w:r>
        <w:rPr>
          <w:rFonts w:ascii="Garamond" w:hAnsi="Garamond" w:cs="Garamond"/>
        </w:rPr>
        <w:t xml:space="preserve">. </w:t>
      </w:r>
      <w:proofErr w:type="spellStart"/>
      <w:r>
        <w:rPr>
          <w:rFonts w:ascii="Garamond" w:hAnsi="Garamond" w:cs="Garamond"/>
        </w:rPr>
        <w:t>Cosmochim</w:t>
      </w:r>
      <w:proofErr w:type="spellEnd"/>
      <w:r>
        <w:rPr>
          <w:rFonts w:ascii="Garamond" w:hAnsi="Garamond" w:cs="Garamond"/>
        </w:rPr>
        <w:t xml:space="preserve">. Acta 75, 444–459. </w:t>
      </w:r>
      <w:proofErr w:type="gramStart"/>
      <w:r>
        <w:rPr>
          <w:rFonts w:ascii="Garamond" w:hAnsi="Garamond" w:cs="Garamond"/>
        </w:rPr>
        <w:t>doi:10.1016/j.gca</w:t>
      </w:r>
      <w:proofErr w:type="gramEnd"/>
      <w:r>
        <w:rPr>
          <w:rFonts w:ascii="Garamond" w:hAnsi="Garamond" w:cs="Garamond"/>
        </w:rPr>
        <w:t>.2010.10.013</w:t>
      </w:r>
    </w:p>
    <w:p w14:paraId="751ED4DD" w14:textId="77777777" w:rsidR="00F61F8B" w:rsidRDefault="00F61F8B"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Sachse, D., </w:t>
      </w:r>
      <w:proofErr w:type="spellStart"/>
      <w:r>
        <w:rPr>
          <w:rFonts w:ascii="Garamond" w:hAnsi="Garamond" w:cs="Garamond"/>
        </w:rPr>
        <w:t>Billault</w:t>
      </w:r>
      <w:proofErr w:type="spellEnd"/>
      <w:r>
        <w:rPr>
          <w:rFonts w:ascii="Garamond" w:hAnsi="Garamond" w:cs="Garamond"/>
        </w:rPr>
        <w:t xml:space="preserve">, I., Bowen, G.J., </w:t>
      </w:r>
      <w:proofErr w:type="spellStart"/>
      <w:r>
        <w:rPr>
          <w:rFonts w:ascii="Garamond" w:hAnsi="Garamond" w:cs="Garamond"/>
        </w:rPr>
        <w:t>Chikaraishi</w:t>
      </w:r>
      <w:proofErr w:type="spellEnd"/>
      <w:r>
        <w:rPr>
          <w:rFonts w:ascii="Garamond" w:hAnsi="Garamond" w:cs="Garamond"/>
        </w:rPr>
        <w:t xml:space="preserve">, Y., Dawson, T.E., </w:t>
      </w:r>
      <w:proofErr w:type="spellStart"/>
      <w:r>
        <w:rPr>
          <w:rFonts w:ascii="Garamond" w:hAnsi="Garamond" w:cs="Garamond"/>
        </w:rPr>
        <w:t>Feakins</w:t>
      </w:r>
      <w:proofErr w:type="spellEnd"/>
      <w:r>
        <w:rPr>
          <w:rFonts w:ascii="Garamond" w:hAnsi="Garamond" w:cs="Garamond"/>
        </w:rPr>
        <w:t xml:space="preserve">, S.J., Freeman, K.H., Magill, C.R., </w:t>
      </w:r>
      <w:proofErr w:type="spellStart"/>
      <w:r>
        <w:rPr>
          <w:rFonts w:ascii="Garamond" w:hAnsi="Garamond" w:cs="Garamond"/>
        </w:rPr>
        <w:t>McInerney</w:t>
      </w:r>
      <w:proofErr w:type="spellEnd"/>
      <w:r>
        <w:rPr>
          <w:rFonts w:ascii="Garamond" w:hAnsi="Garamond" w:cs="Garamond"/>
        </w:rPr>
        <w:t xml:space="preserve">, F.A., van der Meer, M.T.J., </w:t>
      </w:r>
      <w:proofErr w:type="spellStart"/>
      <w:r>
        <w:rPr>
          <w:rFonts w:ascii="Garamond" w:hAnsi="Garamond" w:cs="Garamond"/>
        </w:rPr>
        <w:t>Polissar</w:t>
      </w:r>
      <w:proofErr w:type="spellEnd"/>
      <w:r>
        <w:rPr>
          <w:rFonts w:ascii="Garamond" w:hAnsi="Garamond" w:cs="Garamond"/>
        </w:rPr>
        <w:t xml:space="preserve">, P.J., Robins, R.J., Sachs, J.P., Schmidt, H.-L., Sessions, A.L., White, J.W., West, J.B., </w:t>
      </w:r>
      <w:proofErr w:type="spellStart"/>
      <w:r>
        <w:rPr>
          <w:rFonts w:ascii="Garamond" w:hAnsi="Garamond" w:cs="Garamond"/>
        </w:rPr>
        <w:t>Kahmen</w:t>
      </w:r>
      <w:proofErr w:type="spellEnd"/>
      <w:r>
        <w:rPr>
          <w:rFonts w:ascii="Garamond" w:hAnsi="Garamond" w:cs="Garamond"/>
        </w:rPr>
        <w:t xml:space="preserve">, A., 2012. Molecular paleohydrology: Interpreting the hydrogen-isotopic composition of lipid biomarkers from photosynthesizing organisms. </w:t>
      </w:r>
      <w:proofErr w:type="spellStart"/>
      <w:r>
        <w:rPr>
          <w:rFonts w:ascii="Garamond" w:hAnsi="Garamond" w:cs="Garamond"/>
        </w:rPr>
        <w:t>Annu</w:t>
      </w:r>
      <w:proofErr w:type="spellEnd"/>
      <w:r>
        <w:rPr>
          <w:rFonts w:ascii="Garamond" w:hAnsi="Garamond" w:cs="Garamond"/>
        </w:rPr>
        <w:t>. Rev. Earth Planet. Sci. 40, 221–249. doi:10.1146/annurev-earth-042711-105535</w:t>
      </w:r>
    </w:p>
    <w:p w14:paraId="4DF9E2C9"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Salinger, M.J., </w:t>
      </w:r>
      <w:proofErr w:type="spellStart"/>
      <w:r>
        <w:rPr>
          <w:rFonts w:ascii="Garamond" w:hAnsi="Garamond" w:cs="Garamond"/>
        </w:rPr>
        <w:t>McGree</w:t>
      </w:r>
      <w:proofErr w:type="spellEnd"/>
      <w:r>
        <w:rPr>
          <w:rFonts w:ascii="Garamond" w:hAnsi="Garamond" w:cs="Garamond"/>
        </w:rPr>
        <w:t xml:space="preserve">, S., </w:t>
      </w:r>
      <w:proofErr w:type="spellStart"/>
      <w:r>
        <w:rPr>
          <w:rFonts w:ascii="Garamond" w:hAnsi="Garamond" w:cs="Garamond"/>
        </w:rPr>
        <w:t>Beucher</w:t>
      </w:r>
      <w:proofErr w:type="spellEnd"/>
      <w:r>
        <w:rPr>
          <w:rFonts w:ascii="Garamond" w:hAnsi="Garamond" w:cs="Garamond"/>
        </w:rPr>
        <w:t xml:space="preserve">, F., Power, S.B., Delage, F., 2014. A new index for variations in the position of the South Pacific convergence zone 1910/11-2011/2012. </w:t>
      </w:r>
      <w:proofErr w:type="spellStart"/>
      <w:r>
        <w:rPr>
          <w:rFonts w:ascii="Garamond" w:hAnsi="Garamond" w:cs="Garamond"/>
        </w:rPr>
        <w:t>Clim</w:t>
      </w:r>
      <w:proofErr w:type="spellEnd"/>
      <w:r>
        <w:rPr>
          <w:rFonts w:ascii="Garamond" w:hAnsi="Garamond" w:cs="Garamond"/>
        </w:rPr>
        <w:t xml:space="preserve">. </w:t>
      </w:r>
      <w:proofErr w:type="spellStart"/>
      <w:r>
        <w:rPr>
          <w:rFonts w:ascii="Garamond" w:hAnsi="Garamond" w:cs="Garamond"/>
        </w:rPr>
        <w:t>Dyn</w:t>
      </w:r>
      <w:proofErr w:type="spellEnd"/>
      <w:r>
        <w:rPr>
          <w:rFonts w:ascii="Garamond" w:hAnsi="Garamond" w:cs="Garamond"/>
        </w:rPr>
        <w:t>. 43, 881–892. doi:10.1007/s00382-013-2035-y</w:t>
      </w:r>
    </w:p>
    <w:p w14:paraId="067E09B9"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Sand, C., 2000. La </w:t>
      </w:r>
      <w:proofErr w:type="spellStart"/>
      <w:r>
        <w:rPr>
          <w:rFonts w:ascii="Garamond" w:hAnsi="Garamond" w:cs="Garamond"/>
        </w:rPr>
        <w:t>datation</w:t>
      </w:r>
      <w:proofErr w:type="spellEnd"/>
      <w:r>
        <w:rPr>
          <w:rFonts w:ascii="Garamond" w:hAnsi="Garamond" w:cs="Garamond"/>
        </w:rPr>
        <w:t xml:space="preserve"> du premier </w:t>
      </w:r>
      <w:proofErr w:type="spellStart"/>
      <w:r>
        <w:rPr>
          <w:rFonts w:ascii="Garamond" w:hAnsi="Garamond" w:cs="Garamond"/>
        </w:rPr>
        <w:t>peuplement</w:t>
      </w:r>
      <w:proofErr w:type="spellEnd"/>
      <w:r>
        <w:rPr>
          <w:rFonts w:ascii="Garamond" w:hAnsi="Garamond" w:cs="Garamond"/>
        </w:rPr>
        <w:t xml:space="preserve"> de Wallis et </w:t>
      </w:r>
      <w:proofErr w:type="gramStart"/>
      <w:r>
        <w:rPr>
          <w:rFonts w:ascii="Garamond" w:hAnsi="Garamond" w:cs="Garamond"/>
        </w:rPr>
        <w:t>Futuna</w:t>
      </w:r>
      <w:r>
        <w:rPr>
          <w:rFonts w:ascii="Lucida Grande" w:hAnsi="Lucida Grande" w:cs="Lucida Grande"/>
        </w:rPr>
        <w:t> </w:t>
      </w:r>
      <w:r>
        <w:rPr>
          <w:rFonts w:ascii="Garamond" w:hAnsi="Garamond" w:cs="Garamond"/>
        </w:rPr>
        <w:t>:</w:t>
      </w:r>
      <w:proofErr w:type="gramEnd"/>
      <w:r>
        <w:rPr>
          <w:rFonts w:ascii="Garamond" w:hAnsi="Garamond" w:cs="Garamond"/>
        </w:rPr>
        <w:t xml:space="preserve"> contribution à la </w:t>
      </w:r>
      <w:proofErr w:type="spellStart"/>
      <w:r>
        <w:rPr>
          <w:rFonts w:ascii="Garamond" w:hAnsi="Garamond" w:cs="Garamond"/>
        </w:rPr>
        <w:t>définition</w:t>
      </w:r>
      <w:proofErr w:type="spellEnd"/>
      <w:r>
        <w:rPr>
          <w:rFonts w:ascii="Garamond" w:hAnsi="Garamond" w:cs="Garamond"/>
        </w:rPr>
        <w:t xml:space="preserve"> de la </w:t>
      </w:r>
      <w:proofErr w:type="spellStart"/>
      <w:r>
        <w:rPr>
          <w:rFonts w:ascii="Garamond" w:hAnsi="Garamond" w:cs="Garamond"/>
        </w:rPr>
        <w:t>chronologie</w:t>
      </w:r>
      <w:proofErr w:type="spellEnd"/>
      <w:r>
        <w:rPr>
          <w:rFonts w:ascii="Garamond" w:hAnsi="Garamond" w:cs="Garamond"/>
        </w:rPr>
        <w:t xml:space="preserve"> Lapita </w:t>
      </w:r>
      <w:proofErr w:type="spellStart"/>
      <w:r>
        <w:rPr>
          <w:rFonts w:ascii="Garamond" w:hAnsi="Garamond" w:cs="Garamond"/>
        </w:rPr>
        <w:t>en</w:t>
      </w:r>
      <w:proofErr w:type="spellEnd"/>
      <w:r>
        <w:rPr>
          <w:rFonts w:ascii="Garamond" w:hAnsi="Garamond" w:cs="Garamond"/>
        </w:rPr>
        <w:t xml:space="preserve"> </w:t>
      </w:r>
      <w:proofErr w:type="spellStart"/>
      <w:r>
        <w:rPr>
          <w:rFonts w:ascii="Garamond" w:hAnsi="Garamond" w:cs="Garamond"/>
        </w:rPr>
        <w:t>Polynésie</w:t>
      </w:r>
      <w:proofErr w:type="spellEnd"/>
      <w:r>
        <w:rPr>
          <w:rFonts w:ascii="Garamond" w:hAnsi="Garamond" w:cs="Garamond"/>
        </w:rPr>
        <w:t xml:space="preserve"> occidentale. J. Soc. Ocean. 111, 165–172. doi:10.3406/jso.2000.2132</w:t>
      </w:r>
    </w:p>
    <w:p w14:paraId="2C47A35F"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lastRenderedPageBreak/>
        <w:t>Schabetsberger</w:t>
      </w:r>
      <w:proofErr w:type="spellEnd"/>
      <w:r>
        <w:rPr>
          <w:rFonts w:ascii="Garamond" w:hAnsi="Garamond" w:cs="Garamond"/>
        </w:rPr>
        <w:t xml:space="preserve">, R., </w:t>
      </w:r>
      <w:proofErr w:type="spellStart"/>
      <w:r>
        <w:rPr>
          <w:rFonts w:ascii="Garamond" w:hAnsi="Garamond" w:cs="Garamond"/>
        </w:rPr>
        <w:t>Drozdowski</w:t>
      </w:r>
      <w:proofErr w:type="spellEnd"/>
      <w:r>
        <w:rPr>
          <w:rFonts w:ascii="Garamond" w:hAnsi="Garamond" w:cs="Garamond"/>
        </w:rPr>
        <w:t xml:space="preserve">, G., </w:t>
      </w:r>
      <w:proofErr w:type="spellStart"/>
      <w:r>
        <w:rPr>
          <w:rFonts w:ascii="Garamond" w:hAnsi="Garamond" w:cs="Garamond"/>
        </w:rPr>
        <w:t>Rott</w:t>
      </w:r>
      <w:proofErr w:type="spellEnd"/>
      <w:r>
        <w:rPr>
          <w:rFonts w:ascii="Garamond" w:hAnsi="Garamond" w:cs="Garamond"/>
        </w:rPr>
        <w:t xml:space="preserve">, E., </w:t>
      </w:r>
      <w:proofErr w:type="spellStart"/>
      <w:r>
        <w:rPr>
          <w:rFonts w:ascii="Garamond" w:hAnsi="Garamond" w:cs="Garamond"/>
        </w:rPr>
        <w:t>Lenzenweger</w:t>
      </w:r>
      <w:proofErr w:type="spellEnd"/>
      <w:r>
        <w:rPr>
          <w:rFonts w:ascii="Garamond" w:hAnsi="Garamond" w:cs="Garamond"/>
        </w:rPr>
        <w:t xml:space="preserve">, R., </w:t>
      </w:r>
      <w:proofErr w:type="spellStart"/>
      <w:r>
        <w:rPr>
          <w:rFonts w:ascii="Garamond" w:hAnsi="Garamond" w:cs="Garamond"/>
        </w:rPr>
        <w:t>Jersabek</w:t>
      </w:r>
      <w:proofErr w:type="spellEnd"/>
      <w:r>
        <w:rPr>
          <w:rFonts w:ascii="Garamond" w:hAnsi="Garamond" w:cs="Garamond"/>
        </w:rPr>
        <w:t xml:space="preserve">, C.D., </w:t>
      </w:r>
      <w:proofErr w:type="spellStart"/>
      <w:r>
        <w:rPr>
          <w:rFonts w:ascii="Garamond" w:hAnsi="Garamond" w:cs="Garamond"/>
        </w:rPr>
        <w:t>Fiers</w:t>
      </w:r>
      <w:proofErr w:type="spellEnd"/>
      <w:r>
        <w:rPr>
          <w:rFonts w:ascii="Garamond" w:hAnsi="Garamond" w:cs="Garamond"/>
        </w:rPr>
        <w:t xml:space="preserve">, F., </w:t>
      </w:r>
      <w:proofErr w:type="spellStart"/>
      <w:r>
        <w:rPr>
          <w:rFonts w:ascii="Garamond" w:hAnsi="Garamond" w:cs="Garamond"/>
        </w:rPr>
        <w:t>Traunspurger</w:t>
      </w:r>
      <w:proofErr w:type="spellEnd"/>
      <w:r>
        <w:rPr>
          <w:rFonts w:ascii="Garamond" w:hAnsi="Garamond" w:cs="Garamond"/>
        </w:rPr>
        <w:t xml:space="preserve">, W., </w:t>
      </w:r>
      <w:proofErr w:type="spellStart"/>
      <w:r>
        <w:rPr>
          <w:rFonts w:ascii="Garamond" w:hAnsi="Garamond" w:cs="Garamond"/>
        </w:rPr>
        <w:t>Reiff</w:t>
      </w:r>
      <w:proofErr w:type="spellEnd"/>
      <w:r>
        <w:rPr>
          <w:rFonts w:ascii="Garamond" w:hAnsi="Garamond" w:cs="Garamond"/>
        </w:rPr>
        <w:t xml:space="preserve">, N., Stoch, F., </w:t>
      </w:r>
      <w:proofErr w:type="spellStart"/>
      <w:r>
        <w:rPr>
          <w:rFonts w:ascii="Garamond" w:hAnsi="Garamond" w:cs="Garamond"/>
        </w:rPr>
        <w:t>Kotov</w:t>
      </w:r>
      <w:proofErr w:type="spellEnd"/>
      <w:r>
        <w:rPr>
          <w:rFonts w:ascii="Garamond" w:hAnsi="Garamond" w:cs="Garamond"/>
        </w:rPr>
        <w:t>, A. a., Martens, K., Schatz, H., Kaiser, R., 2009. Losing the bounty? Investigating species richness in isolated freshwater ecosystems of Oceania. Pacific Sci. 63, 153–179. doi:10.2984/049.063.0201</w:t>
      </w:r>
    </w:p>
    <w:p w14:paraId="535350F2" w14:textId="259F643D"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Schabetsberger</w:t>
      </w:r>
      <w:proofErr w:type="spellEnd"/>
      <w:r>
        <w:rPr>
          <w:rFonts w:ascii="Garamond" w:hAnsi="Garamond" w:cs="Garamond"/>
        </w:rPr>
        <w:t xml:space="preserve">, R., </w:t>
      </w:r>
      <w:proofErr w:type="spellStart"/>
      <w:r>
        <w:rPr>
          <w:rFonts w:ascii="Garamond" w:hAnsi="Garamond" w:cs="Garamond"/>
        </w:rPr>
        <w:t>Jersabek</w:t>
      </w:r>
      <w:proofErr w:type="spellEnd"/>
      <w:r>
        <w:rPr>
          <w:rFonts w:ascii="Garamond" w:hAnsi="Garamond" w:cs="Garamond"/>
        </w:rPr>
        <w:t xml:space="preserve">, C.D., </w:t>
      </w:r>
      <w:proofErr w:type="spellStart"/>
      <w:r>
        <w:rPr>
          <w:rFonts w:ascii="Garamond" w:hAnsi="Garamond" w:cs="Garamond"/>
        </w:rPr>
        <w:t>Levkov</w:t>
      </w:r>
      <w:proofErr w:type="spellEnd"/>
      <w:r>
        <w:rPr>
          <w:rFonts w:ascii="Garamond" w:hAnsi="Garamond" w:cs="Garamond"/>
        </w:rPr>
        <w:t xml:space="preserve">, Z., </w:t>
      </w:r>
      <w:proofErr w:type="spellStart"/>
      <w:r>
        <w:rPr>
          <w:rFonts w:ascii="Garamond" w:hAnsi="Garamond" w:cs="Garamond"/>
        </w:rPr>
        <w:t>Ehrenfellner</w:t>
      </w:r>
      <w:proofErr w:type="spellEnd"/>
      <w:r>
        <w:rPr>
          <w:rFonts w:ascii="Garamond" w:hAnsi="Garamond" w:cs="Garamond"/>
        </w:rPr>
        <w:t xml:space="preserve">, B., </w:t>
      </w:r>
      <w:proofErr w:type="spellStart"/>
      <w:r>
        <w:rPr>
          <w:rFonts w:ascii="Garamond" w:hAnsi="Garamond" w:cs="Garamond"/>
        </w:rPr>
        <w:t>Enoka</w:t>
      </w:r>
      <w:proofErr w:type="spellEnd"/>
      <w:r>
        <w:rPr>
          <w:rFonts w:ascii="Garamond" w:hAnsi="Garamond" w:cs="Garamond"/>
        </w:rPr>
        <w:t xml:space="preserve">, L.F., </w:t>
      </w:r>
      <w:proofErr w:type="spellStart"/>
      <w:r>
        <w:rPr>
          <w:rFonts w:ascii="Garamond" w:hAnsi="Garamond" w:cs="Garamond"/>
        </w:rPr>
        <w:t>Faiilagi</w:t>
      </w:r>
      <w:proofErr w:type="spellEnd"/>
      <w:r>
        <w:rPr>
          <w:rFonts w:ascii="Garamond" w:hAnsi="Garamond" w:cs="Garamond"/>
        </w:rPr>
        <w:t xml:space="preserve">, S.A., 2021. Limnological </w:t>
      </w:r>
      <w:r w:rsidR="00B766E7">
        <w:rPr>
          <w:rFonts w:ascii="Garamond" w:hAnsi="Garamond" w:cs="Garamond"/>
        </w:rPr>
        <w:t xml:space="preserve">characterization </w:t>
      </w:r>
      <w:r>
        <w:rPr>
          <w:rFonts w:ascii="Garamond" w:hAnsi="Garamond" w:cs="Garamond"/>
        </w:rPr>
        <w:t xml:space="preserve">of </w:t>
      </w:r>
      <w:r w:rsidR="00B766E7">
        <w:rPr>
          <w:rFonts w:ascii="Garamond" w:hAnsi="Garamond" w:cs="Garamond"/>
        </w:rPr>
        <w:t xml:space="preserve">three tropical crater lakes </w:t>
      </w:r>
      <w:r>
        <w:rPr>
          <w:rFonts w:ascii="Garamond" w:hAnsi="Garamond" w:cs="Garamond"/>
        </w:rPr>
        <w:t xml:space="preserve">in the </w:t>
      </w:r>
      <w:r w:rsidR="00B766E7">
        <w:rPr>
          <w:rFonts w:ascii="Garamond" w:hAnsi="Garamond" w:cs="Garamond"/>
        </w:rPr>
        <w:t xml:space="preserve">archipelago </w:t>
      </w:r>
      <w:r>
        <w:rPr>
          <w:rFonts w:ascii="Garamond" w:hAnsi="Garamond" w:cs="Garamond"/>
        </w:rPr>
        <w:t>of Samoa (</w:t>
      </w:r>
      <w:proofErr w:type="spellStart"/>
      <w:proofErr w:type="gramStart"/>
      <w:r>
        <w:rPr>
          <w:rFonts w:ascii="Garamond" w:hAnsi="Garamond" w:cs="Garamond"/>
        </w:rPr>
        <w:t>Lanoto‘</w:t>
      </w:r>
      <w:proofErr w:type="gramEnd"/>
      <w:r>
        <w:rPr>
          <w:rFonts w:ascii="Garamond" w:hAnsi="Garamond" w:cs="Garamond"/>
        </w:rPr>
        <w:t>o</w:t>
      </w:r>
      <w:proofErr w:type="spellEnd"/>
      <w:r>
        <w:rPr>
          <w:rFonts w:ascii="Garamond" w:hAnsi="Garamond" w:cs="Garamond"/>
        </w:rPr>
        <w:t xml:space="preserve">, </w:t>
      </w:r>
      <w:proofErr w:type="spellStart"/>
      <w:r>
        <w:rPr>
          <w:rFonts w:ascii="Garamond" w:hAnsi="Garamond" w:cs="Garamond"/>
        </w:rPr>
        <w:t>Olomaga</w:t>
      </w:r>
      <w:proofErr w:type="spellEnd"/>
      <w:r>
        <w:rPr>
          <w:rFonts w:ascii="Garamond" w:hAnsi="Garamond" w:cs="Garamond"/>
        </w:rPr>
        <w:t xml:space="preserve">, </w:t>
      </w:r>
      <w:proofErr w:type="spellStart"/>
      <w:r>
        <w:rPr>
          <w:rFonts w:ascii="Garamond" w:hAnsi="Garamond" w:cs="Garamond"/>
        </w:rPr>
        <w:t>Mataulano</w:t>
      </w:r>
      <w:proofErr w:type="spellEnd"/>
      <w:r>
        <w:rPr>
          <w:rFonts w:ascii="Garamond" w:hAnsi="Garamond" w:cs="Garamond"/>
        </w:rPr>
        <w:t>). Pacific Sci. 75, 163–174. doi:10.2984/75.1.8</w:t>
      </w:r>
    </w:p>
    <w:p w14:paraId="3E554129"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Schanze, J.J., Schmitt, R.W., Yu, L.L., 2010. The global oceanic freshwater cycle: A state-of-the-art quantification. J. Mar. Res. 68, 569–595. doi:10.1357/002224010794657164</w:t>
      </w:r>
    </w:p>
    <w:p w14:paraId="67B1954A"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Schwab, V.F., </w:t>
      </w:r>
      <w:proofErr w:type="spellStart"/>
      <w:r>
        <w:rPr>
          <w:rFonts w:ascii="Garamond" w:hAnsi="Garamond" w:cs="Garamond"/>
        </w:rPr>
        <w:t>Garcin</w:t>
      </w:r>
      <w:proofErr w:type="spellEnd"/>
      <w:r>
        <w:rPr>
          <w:rFonts w:ascii="Garamond" w:hAnsi="Garamond" w:cs="Garamond"/>
        </w:rPr>
        <w:t xml:space="preserve">, Y., Sachse, D., </w:t>
      </w:r>
      <w:proofErr w:type="spellStart"/>
      <w:r>
        <w:rPr>
          <w:rFonts w:ascii="Garamond" w:hAnsi="Garamond" w:cs="Garamond"/>
        </w:rPr>
        <w:t>Todou</w:t>
      </w:r>
      <w:proofErr w:type="spellEnd"/>
      <w:r>
        <w:rPr>
          <w:rFonts w:ascii="Garamond" w:hAnsi="Garamond" w:cs="Garamond"/>
        </w:rPr>
        <w:t xml:space="preserve">, G., </w:t>
      </w:r>
      <w:proofErr w:type="spellStart"/>
      <w:r>
        <w:rPr>
          <w:rFonts w:ascii="Garamond" w:hAnsi="Garamond" w:cs="Garamond"/>
        </w:rPr>
        <w:t>Séné</w:t>
      </w:r>
      <w:proofErr w:type="spellEnd"/>
      <w:r>
        <w:rPr>
          <w:rFonts w:ascii="Garamond" w:hAnsi="Garamond" w:cs="Garamond"/>
        </w:rPr>
        <w:t xml:space="preserve">, O., </w:t>
      </w:r>
      <w:proofErr w:type="spellStart"/>
      <w:r>
        <w:rPr>
          <w:rFonts w:ascii="Garamond" w:hAnsi="Garamond" w:cs="Garamond"/>
        </w:rPr>
        <w:t>Onana</w:t>
      </w:r>
      <w:proofErr w:type="spellEnd"/>
      <w:r>
        <w:rPr>
          <w:rFonts w:ascii="Garamond" w:hAnsi="Garamond" w:cs="Garamond"/>
        </w:rPr>
        <w:t xml:space="preserve">, J.M., </w:t>
      </w:r>
      <w:proofErr w:type="spellStart"/>
      <w:r>
        <w:rPr>
          <w:rFonts w:ascii="Garamond" w:hAnsi="Garamond" w:cs="Garamond"/>
        </w:rPr>
        <w:t>Achoundong</w:t>
      </w:r>
      <w:proofErr w:type="spellEnd"/>
      <w:r>
        <w:rPr>
          <w:rFonts w:ascii="Garamond" w:hAnsi="Garamond" w:cs="Garamond"/>
        </w:rPr>
        <w:t xml:space="preserve">, G., </w:t>
      </w:r>
      <w:proofErr w:type="spellStart"/>
      <w:r>
        <w:rPr>
          <w:rFonts w:ascii="Garamond" w:hAnsi="Garamond" w:cs="Garamond"/>
        </w:rPr>
        <w:t>Gleixner</w:t>
      </w:r>
      <w:proofErr w:type="spellEnd"/>
      <w:r>
        <w:rPr>
          <w:rFonts w:ascii="Garamond" w:hAnsi="Garamond" w:cs="Garamond"/>
        </w:rPr>
        <w:t xml:space="preserve">, G., 2015. </w:t>
      </w:r>
      <w:proofErr w:type="spellStart"/>
      <w:r>
        <w:rPr>
          <w:rFonts w:ascii="Garamond" w:hAnsi="Garamond" w:cs="Garamond"/>
        </w:rPr>
        <w:t>Dinosterol</w:t>
      </w:r>
      <w:proofErr w:type="spellEnd"/>
      <w:r>
        <w:rPr>
          <w:rFonts w:ascii="Garamond" w:hAnsi="Garamond" w:cs="Garamond"/>
        </w:rPr>
        <w:t xml:space="preserve"> </w:t>
      </w:r>
      <w:proofErr w:type="spellStart"/>
      <w:r>
        <w:rPr>
          <w:rFonts w:ascii="Times" w:hAnsi="Times" w:cs="Times"/>
        </w:rPr>
        <w:t>δ</w:t>
      </w:r>
      <w:r>
        <w:rPr>
          <w:rFonts w:ascii="Garamond" w:hAnsi="Garamond" w:cs="Garamond"/>
        </w:rPr>
        <w:t>D</w:t>
      </w:r>
      <w:proofErr w:type="spellEnd"/>
      <w:r>
        <w:rPr>
          <w:rFonts w:ascii="Garamond" w:hAnsi="Garamond" w:cs="Garamond"/>
        </w:rPr>
        <w:t xml:space="preserve"> values in stratified tropical lakes (Cameroon) are affected by eutrophication. Org. Geochem. 88, 35–49. </w:t>
      </w:r>
      <w:proofErr w:type="gramStart"/>
      <w:r>
        <w:rPr>
          <w:rFonts w:ascii="Garamond" w:hAnsi="Garamond" w:cs="Garamond"/>
        </w:rPr>
        <w:t>doi:10.1016/j.orggeochem</w:t>
      </w:r>
      <w:proofErr w:type="gramEnd"/>
      <w:r>
        <w:rPr>
          <w:rFonts w:ascii="Garamond" w:hAnsi="Garamond" w:cs="Garamond"/>
        </w:rPr>
        <w:t>.2015.08.003</w:t>
      </w:r>
    </w:p>
    <w:p w14:paraId="22B91818" w14:textId="6ED53825"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Sear, D.A., Allen, M.S., Hassall, J.D., Maloney, A.E., Langdon, P.G., Morrison, A.E., Henderson, A.C.G., Mackay, H., </w:t>
      </w:r>
      <w:proofErr w:type="spellStart"/>
      <w:r>
        <w:rPr>
          <w:rFonts w:ascii="Garamond" w:hAnsi="Garamond" w:cs="Garamond"/>
        </w:rPr>
        <w:t>Croudace</w:t>
      </w:r>
      <w:proofErr w:type="spellEnd"/>
      <w:r>
        <w:rPr>
          <w:rFonts w:ascii="Garamond" w:hAnsi="Garamond" w:cs="Garamond"/>
        </w:rPr>
        <w:t xml:space="preserve">, I.W., Clarke, C., Sachs, J.P., Macdonald, G., </w:t>
      </w:r>
      <w:proofErr w:type="spellStart"/>
      <w:r>
        <w:rPr>
          <w:rFonts w:ascii="Garamond" w:hAnsi="Garamond" w:cs="Garamond"/>
        </w:rPr>
        <w:t>Chiverrell</w:t>
      </w:r>
      <w:proofErr w:type="spellEnd"/>
      <w:r>
        <w:rPr>
          <w:rFonts w:ascii="Garamond" w:hAnsi="Garamond" w:cs="Garamond"/>
        </w:rPr>
        <w:t xml:space="preserve">, R.C., </w:t>
      </w:r>
      <w:proofErr w:type="spellStart"/>
      <w:r>
        <w:rPr>
          <w:rFonts w:ascii="Garamond" w:hAnsi="Garamond" w:cs="Garamond"/>
        </w:rPr>
        <w:t>Leng</w:t>
      </w:r>
      <w:proofErr w:type="spellEnd"/>
      <w:r>
        <w:rPr>
          <w:rFonts w:ascii="Garamond" w:hAnsi="Garamond" w:cs="Garamond"/>
        </w:rPr>
        <w:t>, M.J., Cisneros-</w:t>
      </w:r>
      <w:proofErr w:type="spellStart"/>
      <w:r>
        <w:rPr>
          <w:rFonts w:ascii="Garamond" w:hAnsi="Garamond" w:cs="Garamond"/>
        </w:rPr>
        <w:t>Dozal</w:t>
      </w:r>
      <w:proofErr w:type="spellEnd"/>
      <w:r>
        <w:rPr>
          <w:rFonts w:ascii="Garamond" w:hAnsi="Garamond" w:cs="Garamond"/>
        </w:rPr>
        <w:t>, L.M., Fonville, T., 2020. Human settlement of East Polynesia earlier, incremental, and coincident with prolonged South Pacific drought. Proc. Natl. Acad. Sci. 117, 8813–8819. doi:10.1073/pnas.1920975117</w:t>
      </w:r>
    </w:p>
    <w:p w14:paraId="31DE0CE3"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Sessions, A.L., Burgoyne, T.W., </w:t>
      </w:r>
      <w:proofErr w:type="spellStart"/>
      <w:r>
        <w:rPr>
          <w:rFonts w:ascii="Garamond" w:hAnsi="Garamond" w:cs="Garamond"/>
        </w:rPr>
        <w:t>Schimmelmann</w:t>
      </w:r>
      <w:proofErr w:type="spellEnd"/>
      <w:r>
        <w:rPr>
          <w:rFonts w:ascii="Garamond" w:hAnsi="Garamond" w:cs="Garamond"/>
        </w:rPr>
        <w:t>, A., Hayes, J.M., 1999. Fractionation of hydrogen isotopes in lipid biosynthesis. Org. Geochem. 30, 1193–1200. doi:10.1016/S0146-6380(99)00094-7</w:t>
      </w:r>
    </w:p>
    <w:p w14:paraId="2EA134D6"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Shaw, B., </w:t>
      </w:r>
      <w:proofErr w:type="spellStart"/>
      <w:r>
        <w:rPr>
          <w:rFonts w:ascii="Garamond" w:hAnsi="Garamond" w:cs="Garamond"/>
        </w:rPr>
        <w:t>Coxe</w:t>
      </w:r>
      <w:proofErr w:type="spellEnd"/>
      <w:r>
        <w:rPr>
          <w:rFonts w:ascii="Garamond" w:hAnsi="Garamond" w:cs="Garamond"/>
        </w:rPr>
        <w:t xml:space="preserve">, S., </w:t>
      </w:r>
      <w:proofErr w:type="spellStart"/>
      <w:r>
        <w:rPr>
          <w:rFonts w:ascii="Garamond" w:hAnsi="Garamond" w:cs="Garamond"/>
        </w:rPr>
        <w:t>Kewibu</w:t>
      </w:r>
      <w:proofErr w:type="spellEnd"/>
      <w:r>
        <w:rPr>
          <w:rFonts w:ascii="Garamond" w:hAnsi="Garamond" w:cs="Garamond"/>
        </w:rPr>
        <w:t xml:space="preserve">, V., </w:t>
      </w:r>
      <w:proofErr w:type="spellStart"/>
      <w:r>
        <w:rPr>
          <w:rFonts w:ascii="Garamond" w:hAnsi="Garamond" w:cs="Garamond"/>
        </w:rPr>
        <w:t>Haro</w:t>
      </w:r>
      <w:proofErr w:type="spellEnd"/>
      <w:r>
        <w:rPr>
          <w:rFonts w:ascii="Garamond" w:hAnsi="Garamond" w:cs="Garamond"/>
        </w:rPr>
        <w:t xml:space="preserve">, J., Hull, E., Hawkins, S., 2020. 2500-year cultural sequence in the </w:t>
      </w:r>
      <w:proofErr w:type="spellStart"/>
      <w:r>
        <w:rPr>
          <w:rFonts w:ascii="Garamond" w:hAnsi="Garamond" w:cs="Garamond"/>
        </w:rPr>
        <w:t>Massim</w:t>
      </w:r>
      <w:proofErr w:type="spellEnd"/>
      <w:r>
        <w:rPr>
          <w:rFonts w:ascii="Garamond" w:hAnsi="Garamond" w:cs="Garamond"/>
        </w:rPr>
        <w:t xml:space="preserve"> region of eastern Papua New Guinea reflects adaptive strategies to small islands and changing climate regimes since Lapita settlement. Holocene 30, 1075–1090. doi:10.1177/0959683620908641</w:t>
      </w:r>
    </w:p>
    <w:p w14:paraId="7974BD72" w14:textId="39495D3B"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lastRenderedPageBreak/>
        <w:t xml:space="preserve">Shuler, C.K., </w:t>
      </w:r>
      <w:proofErr w:type="spellStart"/>
      <w:r>
        <w:rPr>
          <w:rFonts w:ascii="Garamond" w:hAnsi="Garamond" w:cs="Garamond"/>
        </w:rPr>
        <w:t>Dulai</w:t>
      </w:r>
      <w:proofErr w:type="spellEnd"/>
      <w:r>
        <w:rPr>
          <w:rFonts w:ascii="Garamond" w:hAnsi="Garamond" w:cs="Garamond"/>
        </w:rPr>
        <w:t xml:space="preserve">, H., </w:t>
      </w:r>
      <w:proofErr w:type="spellStart"/>
      <w:r>
        <w:rPr>
          <w:rFonts w:ascii="Garamond" w:hAnsi="Garamond" w:cs="Garamond"/>
        </w:rPr>
        <w:t>DeWees</w:t>
      </w:r>
      <w:proofErr w:type="spellEnd"/>
      <w:r>
        <w:rPr>
          <w:rFonts w:ascii="Garamond" w:hAnsi="Garamond" w:cs="Garamond"/>
        </w:rPr>
        <w:t xml:space="preserve">, R., </w:t>
      </w:r>
      <w:proofErr w:type="spellStart"/>
      <w:r>
        <w:rPr>
          <w:rFonts w:ascii="Garamond" w:hAnsi="Garamond" w:cs="Garamond"/>
        </w:rPr>
        <w:t>Kirs</w:t>
      </w:r>
      <w:proofErr w:type="spellEnd"/>
      <w:r>
        <w:rPr>
          <w:rFonts w:ascii="Garamond" w:hAnsi="Garamond" w:cs="Garamond"/>
        </w:rPr>
        <w:t xml:space="preserve">, M., Glenn, C.R., El-Kadi, A.I., 2019. Isotopes, </w:t>
      </w:r>
      <w:r w:rsidR="00775D02">
        <w:rPr>
          <w:rFonts w:ascii="Garamond" w:hAnsi="Garamond" w:cs="Garamond"/>
        </w:rPr>
        <w:t>microbes</w:t>
      </w:r>
      <w:r>
        <w:rPr>
          <w:rFonts w:ascii="Garamond" w:hAnsi="Garamond" w:cs="Garamond"/>
        </w:rPr>
        <w:t xml:space="preserve">, and </w:t>
      </w:r>
      <w:r w:rsidR="00775D02">
        <w:rPr>
          <w:rFonts w:ascii="Garamond" w:hAnsi="Garamond" w:cs="Garamond"/>
        </w:rPr>
        <w:t>turbidity</w:t>
      </w:r>
      <w:r>
        <w:rPr>
          <w:rFonts w:ascii="Garamond" w:hAnsi="Garamond" w:cs="Garamond"/>
        </w:rPr>
        <w:t xml:space="preserve">: A </w:t>
      </w:r>
      <w:r w:rsidR="00775D02">
        <w:rPr>
          <w:rFonts w:ascii="Garamond" w:hAnsi="Garamond" w:cs="Garamond"/>
        </w:rPr>
        <w:t>multi</w:t>
      </w:r>
      <w:r>
        <w:rPr>
          <w:rFonts w:ascii="Garamond" w:hAnsi="Garamond" w:cs="Garamond"/>
        </w:rPr>
        <w:t>-</w:t>
      </w:r>
      <w:r w:rsidR="00775D02">
        <w:rPr>
          <w:rFonts w:ascii="Garamond" w:hAnsi="Garamond" w:cs="Garamond"/>
        </w:rPr>
        <w:t xml:space="preserve">tracer approach </w:t>
      </w:r>
      <w:r>
        <w:rPr>
          <w:rFonts w:ascii="Garamond" w:hAnsi="Garamond" w:cs="Garamond"/>
        </w:rPr>
        <w:t xml:space="preserve">to </w:t>
      </w:r>
      <w:r w:rsidR="00775D02">
        <w:rPr>
          <w:rFonts w:ascii="Garamond" w:hAnsi="Garamond" w:cs="Garamond"/>
        </w:rPr>
        <w:t xml:space="preserve">understanding recharge dynamics </w:t>
      </w:r>
      <w:r>
        <w:rPr>
          <w:rFonts w:ascii="Garamond" w:hAnsi="Garamond" w:cs="Garamond"/>
        </w:rPr>
        <w:t xml:space="preserve">and </w:t>
      </w:r>
      <w:r w:rsidR="00775D02">
        <w:rPr>
          <w:rFonts w:ascii="Garamond" w:hAnsi="Garamond" w:cs="Garamond"/>
        </w:rPr>
        <w:t xml:space="preserve">groundwater contamination </w:t>
      </w:r>
      <w:r>
        <w:rPr>
          <w:rFonts w:ascii="Garamond" w:hAnsi="Garamond" w:cs="Garamond"/>
        </w:rPr>
        <w:t xml:space="preserve">in a </w:t>
      </w:r>
      <w:r w:rsidR="00775D02">
        <w:rPr>
          <w:rFonts w:ascii="Garamond" w:hAnsi="Garamond" w:cs="Garamond"/>
        </w:rPr>
        <w:t>basaltic island aquifer</w:t>
      </w:r>
      <w:r>
        <w:rPr>
          <w:rFonts w:ascii="Garamond" w:hAnsi="Garamond" w:cs="Garamond"/>
        </w:rPr>
        <w:t xml:space="preserve">. </w:t>
      </w:r>
      <w:proofErr w:type="spellStart"/>
      <w:r>
        <w:rPr>
          <w:rFonts w:ascii="Garamond" w:hAnsi="Garamond" w:cs="Garamond"/>
        </w:rPr>
        <w:t>Groundw</w:t>
      </w:r>
      <w:proofErr w:type="spellEnd"/>
      <w:r>
        <w:rPr>
          <w:rFonts w:ascii="Garamond" w:hAnsi="Garamond" w:cs="Garamond"/>
        </w:rPr>
        <w:t xml:space="preserve">. </w:t>
      </w:r>
      <w:proofErr w:type="spellStart"/>
      <w:r>
        <w:rPr>
          <w:rFonts w:ascii="Garamond" w:hAnsi="Garamond" w:cs="Garamond"/>
        </w:rPr>
        <w:t>Monit</w:t>
      </w:r>
      <w:proofErr w:type="spellEnd"/>
      <w:r>
        <w:rPr>
          <w:rFonts w:ascii="Garamond" w:hAnsi="Garamond" w:cs="Garamond"/>
        </w:rPr>
        <w:t xml:space="preserve">. </w:t>
      </w:r>
      <w:proofErr w:type="spellStart"/>
      <w:r>
        <w:rPr>
          <w:rFonts w:ascii="Garamond" w:hAnsi="Garamond" w:cs="Garamond"/>
        </w:rPr>
        <w:t>Remediat</w:t>
      </w:r>
      <w:proofErr w:type="spellEnd"/>
      <w:r>
        <w:rPr>
          <w:rFonts w:ascii="Garamond" w:hAnsi="Garamond" w:cs="Garamond"/>
        </w:rPr>
        <w:t>. 39, 20–35. doi:10.1111/gwmr.12299</w:t>
      </w:r>
    </w:p>
    <w:p w14:paraId="0E94B81A"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Sichrowsky</w:t>
      </w:r>
      <w:proofErr w:type="spellEnd"/>
      <w:r>
        <w:rPr>
          <w:rFonts w:ascii="Garamond" w:hAnsi="Garamond" w:cs="Garamond"/>
        </w:rPr>
        <w:t xml:space="preserve">, U., </w:t>
      </w:r>
      <w:proofErr w:type="spellStart"/>
      <w:r>
        <w:rPr>
          <w:rFonts w:ascii="Garamond" w:hAnsi="Garamond" w:cs="Garamond"/>
        </w:rPr>
        <w:t>Schabetsberger</w:t>
      </w:r>
      <w:proofErr w:type="spellEnd"/>
      <w:r>
        <w:rPr>
          <w:rFonts w:ascii="Garamond" w:hAnsi="Garamond" w:cs="Garamond"/>
        </w:rPr>
        <w:t xml:space="preserve">, R., Sonntag, B., </w:t>
      </w:r>
      <w:proofErr w:type="spellStart"/>
      <w:r>
        <w:rPr>
          <w:rFonts w:ascii="Garamond" w:hAnsi="Garamond" w:cs="Garamond"/>
        </w:rPr>
        <w:t>Stoyneva</w:t>
      </w:r>
      <w:proofErr w:type="spellEnd"/>
      <w:r>
        <w:rPr>
          <w:rFonts w:ascii="Garamond" w:hAnsi="Garamond" w:cs="Garamond"/>
        </w:rPr>
        <w:t>, M., Maloney, A.E., Nelson, D.B., Richey, J.N., Sachs, J.P., 2014. Limnological characterization of volcanic crater lakes on Uvea Island (Wallis and Futuna, South Pacific). Pacific Sci. 68, 333–343. doi:10.2984/68.3.3</w:t>
      </w:r>
    </w:p>
    <w:p w14:paraId="7A677052"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Smittenberg</w:t>
      </w:r>
      <w:proofErr w:type="spellEnd"/>
      <w:r>
        <w:rPr>
          <w:rFonts w:ascii="Garamond" w:hAnsi="Garamond" w:cs="Garamond"/>
        </w:rPr>
        <w:t xml:space="preserve">, R.H., </w:t>
      </w:r>
      <w:proofErr w:type="spellStart"/>
      <w:r>
        <w:rPr>
          <w:rFonts w:ascii="Garamond" w:hAnsi="Garamond" w:cs="Garamond"/>
        </w:rPr>
        <w:t>Saenger</w:t>
      </w:r>
      <w:proofErr w:type="spellEnd"/>
      <w:r>
        <w:rPr>
          <w:rFonts w:ascii="Garamond" w:hAnsi="Garamond" w:cs="Garamond"/>
        </w:rPr>
        <w:t xml:space="preserve">, C., Dawson, M.N., Sachs, J.P., 2011. Compound-specific D/H ratios of the marine lakes of Palau as proxies for West Pacific Warm Pool hydrologic variability. Quat. Sci. Rev. 30, 921–933. </w:t>
      </w:r>
      <w:proofErr w:type="gramStart"/>
      <w:r>
        <w:rPr>
          <w:rFonts w:ascii="Garamond" w:hAnsi="Garamond" w:cs="Garamond"/>
        </w:rPr>
        <w:t>doi:10.1016/j.quascirev</w:t>
      </w:r>
      <w:proofErr w:type="gramEnd"/>
      <w:r>
        <w:rPr>
          <w:rFonts w:ascii="Garamond" w:hAnsi="Garamond" w:cs="Garamond"/>
        </w:rPr>
        <w:t>.2011.01.012</w:t>
      </w:r>
    </w:p>
    <w:p w14:paraId="6D4CE070"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St. John, H., Smith, A.C., 1971. The vascular plants of the Horne and Wallis Islands. Pacific Sci. 25, 313–348.</w:t>
      </w:r>
    </w:p>
    <w:p w14:paraId="394B2332"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Stearns, H.T., 1945. Geology of the Wallis Islands. Bull. Geol. Soc. Am. 56, 849–860. doi:10.1130/0016-7606(1945)56[</w:t>
      </w:r>
      <w:proofErr w:type="gramStart"/>
      <w:r>
        <w:rPr>
          <w:rFonts w:ascii="Garamond" w:hAnsi="Garamond" w:cs="Garamond"/>
        </w:rPr>
        <w:t>849:GOTWI</w:t>
      </w:r>
      <w:proofErr w:type="gramEnd"/>
      <w:r>
        <w:rPr>
          <w:rFonts w:ascii="Garamond" w:hAnsi="Garamond" w:cs="Garamond"/>
        </w:rPr>
        <w:t>]2.0.CO;2</w:t>
      </w:r>
    </w:p>
    <w:p w14:paraId="12920E68"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Stevens, K., 2018. Wasting coconuts? Consumption versus commerce in colonial Wallis and Futuna. J. Pac. Hist. 53, 478–501. doi:10.1080/00223344.2018.1542294</w:t>
      </w:r>
    </w:p>
    <w:p w14:paraId="6B46649B" w14:textId="77777777" w:rsidR="00F61F8B" w:rsidRDefault="00F61F8B"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Takahashi, K., Battisti, D.S., 2007a. Processes controlling the mean tropical Pacific precipitation pattern. Part II: The SPCZ and the southeast Pacific dry zone. J. </w:t>
      </w:r>
      <w:proofErr w:type="spellStart"/>
      <w:r>
        <w:rPr>
          <w:rFonts w:ascii="Garamond" w:hAnsi="Garamond" w:cs="Garamond"/>
        </w:rPr>
        <w:t>Clim</w:t>
      </w:r>
      <w:proofErr w:type="spellEnd"/>
      <w:r>
        <w:rPr>
          <w:rFonts w:ascii="Garamond" w:hAnsi="Garamond" w:cs="Garamond"/>
        </w:rPr>
        <w:t>. 20, 5696–5706. doi:10.1175/2007JCLI1656.1</w:t>
      </w:r>
    </w:p>
    <w:p w14:paraId="068E8287" w14:textId="77777777" w:rsidR="00F61F8B" w:rsidRDefault="00F61F8B"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Takahashi, K., Battisti, D.S., 2007b. Processes controlling the mean tropical Pacific precipitation pattern. Part I: The Andes and the eastern Pacific ITCZ. J. </w:t>
      </w:r>
      <w:proofErr w:type="spellStart"/>
      <w:r>
        <w:rPr>
          <w:rFonts w:ascii="Garamond" w:hAnsi="Garamond" w:cs="Garamond"/>
        </w:rPr>
        <w:t>Clim</w:t>
      </w:r>
      <w:proofErr w:type="spellEnd"/>
      <w:r>
        <w:rPr>
          <w:rFonts w:ascii="Garamond" w:hAnsi="Garamond" w:cs="Garamond"/>
        </w:rPr>
        <w:t>. 20, 3434–3451. doi:10.1175/JCLI4198.1</w:t>
      </w:r>
    </w:p>
    <w:p w14:paraId="1E30CD00" w14:textId="5C536E62"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Tangri</w:t>
      </w:r>
      <w:proofErr w:type="spellEnd"/>
      <w:r>
        <w:rPr>
          <w:rFonts w:ascii="Garamond" w:hAnsi="Garamond" w:cs="Garamond"/>
        </w:rPr>
        <w:t xml:space="preserve">, N., Dunbar, R.B., </w:t>
      </w:r>
      <w:proofErr w:type="spellStart"/>
      <w:r>
        <w:rPr>
          <w:rFonts w:ascii="Garamond" w:hAnsi="Garamond" w:cs="Garamond"/>
        </w:rPr>
        <w:t>Linsley</w:t>
      </w:r>
      <w:proofErr w:type="spellEnd"/>
      <w:r>
        <w:rPr>
          <w:rFonts w:ascii="Garamond" w:hAnsi="Garamond" w:cs="Garamond"/>
        </w:rPr>
        <w:t xml:space="preserve">, B.K., </w:t>
      </w:r>
      <w:proofErr w:type="spellStart"/>
      <w:r>
        <w:rPr>
          <w:rFonts w:ascii="Garamond" w:hAnsi="Garamond" w:cs="Garamond"/>
        </w:rPr>
        <w:t>Mucciarone</w:t>
      </w:r>
      <w:proofErr w:type="spellEnd"/>
      <w:r>
        <w:rPr>
          <w:rFonts w:ascii="Garamond" w:hAnsi="Garamond" w:cs="Garamond"/>
        </w:rPr>
        <w:t xml:space="preserve">, D.M., 2018. ENSO’s </w:t>
      </w:r>
      <w:r w:rsidR="00775D02">
        <w:rPr>
          <w:rFonts w:ascii="Garamond" w:hAnsi="Garamond" w:cs="Garamond"/>
        </w:rPr>
        <w:t>shrinking 20</w:t>
      </w:r>
      <w:r w:rsidR="00775D02" w:rsidRPr="007C6E49">
        <w:rPr>
          <w:rFonts w:ascii="Garamond" w:hAnsi="Garamond" w:cs="Garamond"/>
          <w:vertAlign w:val="superscript"/>
        </w:rPr>
        <w:t>th</w:t>
      </w:r>
      <w:r w:rsidR="00775D02">
        <w:rPr>
          <w:rFonts w:ascii="Garamond" w:hAnsi="Garamond" w:cs="Garamond"/>
        </w:rPr>
        <w:t xml:space="preserve"> </w:t>
      </w:r>
      <w:r>
        <w:rPr>
          <w:rFonts w:ascii="Garamond" w:hAnsi="Garamond" w:cs="Garamond"/>
        </w:rPr>
        <w:t xml:space="preserve">Century </w:t>
      </w:r>
      <w:r w:rsidR="00775D02">
        <w:rPr>
          <w:rFonts w:ascii="Garamond" w:hAnsi="Garamond" w:cs="Garamond"/>
        </w:rPr>
        <w:t xml:space="preserve">footprint revealed </w:t>
      </w:r>
      <w:r>
        <w:rPr>
          <w:rFonts w:ascii="Garamond" w:hAnsi="Garamond" w:cs="Garamond"/>
        </w:rPr>
        <w:t xml:space="preserve">in a </w:t>
      </w:r>
      <w:r w:rsidR="00775D02">
        <w:rPr>
          <w:rFonts w:ascii="Garamond" w:hAnsi="Garamond" w:cs="Garamond"/>
        </w:rPr>
        <w:t>half</w:t>
      </w:r>
      <w:r>
        <w:rPr>
          <w:rFonts w:ascii="Garamond" w:hAnsi="Garamond" w:cs="Garamond"/>
        </w:rPr>
        <w:t>-</w:t>
      </w:r>
      <w:r w:rsidR="00775D02">
        <w:rPr>
          <w:rFonts w:ascii="Garamond" w:hAnsi="Garamond" w:cs="Garamond"/>
        </w:rPr>
        <w:t xml:space="preserve">millennium coral core from </w:t>
      </w:r>
      <w:r>
        <w:rPr>
          <w:rFonts w:ascii="Garamond" w:hAnsi="Garamond" w:cs="Garamond"/>
        </w:rPr>
        <w:t xml:space="preserve">the South Pacific Convergence Zone. </w:t>
      </w:r>
      <w:proofErr w:type="spellStart"/>
      <w:r>
        <w:rPr>
          <w:rFonts w:ascii="Garamond" w:hAnsi="Garamond" w:cs="Garamond"/>
        </w:rPr>
        <w:t>Paleoceanogr</w:t>
      </w:r>
      <w:proofErr w:type="spellEnd"/>
      <w:r>
        <w:rPr>
          <w:rFonts w:ascii="Garamond" w:hAnsi="Garamond" w:cs="Garamond"/>
        </w:rPr>
        <w:t>. Paleoclimatology 33, 1136–1150. doi:10.1029/2017PA003310</w:t>
      </w:r>
    </w:p>
    <w:p w14:paraId="51353A90"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Thibault, J.-C., </w:t>
      </w:r>
      <w:proofErr w:type="spellStart"/>
      <w:r>
        <w:rPr>
          <w:rFonts w:ascii="Garamond" w:hAnsi="Garamond" w:cs="Garamond"/>
        </w:rPr>
        <w:t>Cibois</w:t>
      </w:r>
      <w:proofErr w:type="spellEnd"/>
      <w:r>
        <w:rPr>
          <w:rFonts w:ascii="Garamond" w:hAnsi="Garamond" w:cs="Garamond"/>
        </w:rPr>
        <w:t>, A., Meyer, J.-Y., 2015. Birds of Uvea (Wallis), Futuna and Alofi islands (South-West Pacific): an update. Notornis 62, 30–37.</w:t>
      </w:r>
    </w:p>
    <w:p w14:paraId="02147DAF"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lastRenderedPageBreak/>
        <w:t xml:space="preserve">Tierney, J.E., Oppo, D.W., Rosenthal, Y., Russell, J.M., </w:t>
      </w:r>
      <w:proofErr w:type="spellStart"/>
      <w:r>
        <w:rPr>
          <w:rFonts w:ascii="Garamond" w:hAnsi="Garamond" w:cs="Garamond"/>
        </w:rPr>
        <w:t>Linsley</w:t>
      </w:r>
      <w:proofErr w:type="spellEnd"/>
      <w:r>
        <w:rPr>
          <w:rFonts w:ascii="Garamond" w:hAnsi="Garamond" w:cs="Garamond"/>
        </w:rPr>
        <w:t>, B.K., 2010. Coordinated hydrological regimes in the Indo-Pacific region during the past two millennia. Paleoceanography 25, 1–7. doi:10.1029/2009PA001871</w:t>
      </w:r>
    </w:p>
    <w:p w14:paraId="67264E1B" w14:textId="07BE971F"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Toner, J.D., Catling, D.C., 2020. A carbonate-rich lake solution to the phosphate problem of the origin of life. Proc. Natl. Acad. Sci. 117, 883–888. doi:10.1073/pnas.1916109117</w:t>
      </w:r>
    </w:p>
    <w:p w14:paraId="438F501B"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Toomey, M.R., Donnelly, J.P., Tierney, J.E., 2016. South Pacific hydrologic and cyclone variability during the last 3000 years. Paleoceanography 31, 491–504. doi:10.1002/2015PA002870</w:t>
      </w:r>
    </w:p>
    <w:p w14:paraId="6C00F4AC"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United Nations, 2019. World Population Prospects 2019 [WWW Document]. Dep. Econ. Soc. </w:t>
      </w:r>
      <w:proofErr w:type="spellStart"/>
      <w:r>
        <w:rPr>
          <w:rFonts w:ascii="Garamond" w:hAnsi="Garamond" w:cs="Garamond"/>
        </w:rPr>
        <w:t>Aff</w:t>
      </w:r>
      <w:proofErr w:type="spellEnd"/>
      <w:r>
        <w:rPr>
          <w:rFonts w:ascii="Garamond" w:hAnsi="Garamond" w:cs="Garamond"/>
        </w:rPr>
        <w:t xml:space="preserve">. </w:t>
      </w:r>
      <w:proofErr w:type="spellStart"/>
      <w:r>
        <w:rPr>
          <w:rFonts w:ascii="Garamond" w:hAnsi="Garamond" w:cs="Garamond"/>
        </w:rPr>
        <w:t>Popul</w:t>
      </w:r>
      <w:proofErr w:type="spellEnd"/>
      <w:r>
        <w:rPr>
          <w:rFonts w:ascii="Garamond" w:hAnsi="Garamond" w:cs="Garamond"/>
        </w:rPr>
        <w:t>. Div. URL https://population.un.org/wpp/DataQuery/ (accessed 3.10.21).</w:t>
      </w:r>
    </w:p>
    <w:p w14:paraId="0D1298B8" w14:textId="77777777" w:rsidR="00F61F8B" w:rsidRDefault="00F61F8B"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van der </w:t>
      </w:r>
      <w:proofErr w:type="spellStart"/>
      <w:r>
        <w:rPr>
          <w:rFonts w:ascii="Garamond" w:hAnsi="Garamond" w:cs="Garamond"/>
        </w:rPr>
        <w:t>Wiel</w:t>
      </w:r>
      <w:proofErr w:type="spellEnd"/>
      <w:r>
        <w:rPr>
          <w:rFonts w:ascii="Garamond" w:hAnsi="Garamond" w:cs="Garamond"/>
        </w:rPr>
        <w:t xml:space="preserve">, K., Matthews, A.J., Joshi, M.M., Stevens, D.P., 2016. Why the South Pacific Convergence Zone is diagonal. </w:t>
      </w:r>
      <w:proofErr w:type="spellStart"/>
      <w:r>
        <w:rPr>
          <w:rFonts w:ascii="Garamond" w:hAnsi="Garamond" w:cs="Garamond"/>
        </w:rPr>
        <w:t>Clim</w:t>
      </w:r>
      <w:proofErr w:type="spellEnd"/>
      <w:r>
        <w:rPr>
          <w:rFonts w:ascii="Garamond" w:hAnsi="Garamond" w:cs="Garamond"/>
        </w:rPr>
        <w:t xml:space="preserve">. </w:t>
      </w:r>
      <w:proofErr w:type="spellStart"/>
      <w:r>
        <w:rPr>
          <w:rFonts w:ascii="Garamond" w:hAnsi="Garamond" w:cs="Garamond"/>
        </w:rPr>
        <w:t>Dyn</w:t>
      </w:r>
      <w:proofErr w:type="spellEnd"/>
      <w:r>
        <w:rPr>
          <w:rFonts w:ascii="Garamond" w:hAnsi="Garamond" w:cs="Garamond"/>
        </w:rPr>
        <w:t>. 46, 1683–1698. doi:10.1007/s00382-015-2668-0</w:t>
      </w:r>
    </w:p>
    <w:p w14:paraId="1D7974E2" w14:textId="77777777" w:rsidR="00F61F8B" w:rsidRDefault="00F61F8B"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van der </w:t>
      </w:r>
      <w:proofErr w:type="spellStart"/>
      <w:r>
        <w:rPr>
          <w:rFonts w:ascii="Garamond" w:hAnsi="Garamond" w:cs="Garamond"/>
        </w:rPr>
        <w:t>Wiel</w:t>
      </w:r>
      <w:proofErr w:type="spellEnd"/>
      <w:r>
        <w:rPr>
          <w:rFonts w:ascii="Garamond" w:hAnsi="Garamond" w:cs="Garamond"/>
        </w:rPr>
        <w:t xml:space="preserve">, K., Matthews, A.J., Stevens, D.P., Joshi, M.M., 2015. A dynamical framework for the origin of the diagonal South Pacific and South Atlantic Convergence Zones. Q. J. R. </w:t>
      </w:r>
      <w:proofErr w:type="spellStart"/>
      <w:r>
        <w:rPr>
          <w:rFonts w:ascii="Garamond" w:hAnsi="Garamond" w:cs="Garamond"/>
        </w:rPr>
        <w:t>Meteorol</w:t>
      </w:r>
      <w:proofErr w:type="spellEnd"/>
      <w:r>
        <w:rPr>
          <w:rFonts w:ascii="Garamond" w:hAnsi="Garamond" w:cs="Garamond"/>
        </w:rPr>
        <w:t>. Soc. 141, 1997–2010. doi:10.1002/qj.2508</w:t>
      </w:r>
    </w:p>
    <w:p w14:paraId="5785B1C1" w14:textId="77777777" w:rsidR="00F61F8B" w:rsidRDefault="00F61F8B"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Vincent, E.M., </w:t>
      </w:r>
      <w:proofErr w:type="spellStart"/>
      <w:r>
        <w:rPr>
          <w:rFonts w:ascii="Garamond" w:hAnsi="Garamond" w:cs="Garamond"/>
        </w:rPr>
        <w:t>Lengaigne</w:t>
      </w:r>
      <w:proofErr w:type="spellEnd"/>
      <w:r>
        <w:rPr>
          <w:rFonts w:ascii="Garamond" w:hAnsi="Garamond" w:cs="Garamond"/>
        </w:rPr>
        <w:t xml:space="preserve">, M., Menkes, C.E., Jourdain, N.C., </w:t>
      </w:r>
      <w:proofErr w:type="spellStart"/>
      <w:r>
        <w:rPr>
          <w:rFonts w:ascii="Garamond" w:hAnsi="Garamond" w:cs="Garamond"/>
        </w:rPr>
        <w:t>Marchesiello</w:t>
      </w:r>
      <w:proofErr w:type="spellEnd"/>
      <w:r>
        <w:rPr>
          <w:rFonts w:ascii="Garamond" w:hAnsi="Garamond" w:cs="Garamond"/>
        </w:rPr>
        <w:t xml:space="preserve">, P., </w:t>
      </w:r>
      <w:proofErr w:type="spellStart"/>
      <w:r>
        <w:rPr>
          <w:rFonts w:ascii="Garamond" w:hAnsi="Garamond" w:cs="Garamond"/>
        </w:rPr>
        <w:t>Madec</w:t>
      </w:r>
      <w:proofErr w:type="spellEnd"/>
      <w:r>
        <w:rPr>
          <w:rFonts w:ascii="Garamond" w:hAnsi="Garamond" w:cs="Garamond"/>
        </w:rPr>
        <w:t xml:space="preserve">, G., 2011. Interannual variability of the South Pacific Convergence Zone and implications for tropical cyclone genesis. </w:t>
      </w:r>
      <w:proofErr w:type="spellStart"/>
      <w:r>
        <w:rPr>
          <w:rFonts w:ascii="Garamond" w:hAnsi="Garamond" w:cs="Garamond"/>
        </w:rPr>
        <w:t>Clim</w:t>
      </w:r>
      <w:proofErr w:type="spellEnd"/>
      <w:r>
        <w:rPr>
          <w:rFonts w:ascii="Garamond" w:hAnsi="Garamond" w:cs="Garamond"/>
        </w:rPr>
        <w:t xml:space="preserve">. </w:t>
      </w:r>
      <w:proofErr w:type="spellStart"/>
      <w:r>
        <w:rPr>
          <w:rFonts w:ascii="Garamond" w:hAnsi="Garamond" w:cs="Garamond"/>
        </w:rPr>
        <w:t>Dyn</w:t>
      </w:r>
      <w:proofErr w:type="spellEnd"/>
      <w:r>
        <w:rPr>
          <w:rFonts w:ascii="Garamond" w:hAnsi="Garamond" w:cs="Garamond"/>
        </w:rPr>
        <w:t>. 36, 1881–1896. doi:10.1007/s00382-009-0716-3</w:t>
      </w:r>
    </w:p>
    <w:p w14:paraId="5FD0FF2F"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Volkman</w:t>
      </w:r>
      <w:proofErr w:type="spellEnd"/>
      <w:r>
        <w:rPr>
          <w:rFonts w:ascii="Garamond" w:hAnsi="Garamond" w:cs="Garamond"/>
        </w:rPr>
        <w:t xml:space="preserve">, J.K., 2005. Sterols and other triterpenoids: source specificity and evolution of biosynthetic pathways. Org. Geochem. 36, 139–159. </w:t>
      </w:r>
      <w:proofErr w:type="gramStart"/>
      <w:r>
        <w:rPr>
          <w:rFonts w:ascii="Garamond" w:hAnsi="Garamond" w:cs="Garamond"/>
        </w:rPr>
        <w:t>doi:10.1016/j.orggeochem</w:t>
      </w:r>
      <w:proofErr w:type="gramEnd"/>
      <w:r>
        <w:rPr>
          <w:rFonts w:ascii="Garamond" w:hAnsi="Garamond" w:cs="Garamond"/>
        </w:rPr>
        <w:t>.2004.06.013</w:t>
      </w:r>
    </w:p>
    <w:p w14:paraId="6FDA9BFE"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Volkman</w:t>
      </w:r>
      <w:proofErr w:type="spellEnd"/>
      <w:r>
        <w:rPr>
          <w:rFonts w:ascii="Garamond" w:hAnsi="Garamond" w:cs="Garamond"/>
        </w:rPr>
        <w:t xml:space="preserve">, J.K., Barrett, S.M., Blackburn, S.I., Mansour, M.P., Sikes, E.L., </w:t>
      </w:r>
      <w:proofErr w:type="spellStart"/>
      <w:r>
        <w:rPr>
          <w:rFonts w:ascii="Garamond" w:hAnsi="Garamond" w:cs="Garamond"/>
        </w:rPr>
        <w:t>Gelin</w:t>
      </w:r>
      <w:proofErr w:type="spellEnd"/>
      <w:r>
        <w:rPr>
          <w:rFonts w:ascii="Garamond" w:hAnsi="Garamond" w:cs="Garamond"/>
        </w:rPr>
        <w:t>, F., 1998. Microalgal biomarkers: A review of recent research developments. Org. Geochem. 29, 1163–1179. doi:10.1016/S0146-6380(98)00062-X</w:t>
      </w:r>
    </w:p>
    <w:p w14:paraId="309F4B06" w14:textId="77777777" w:rsidR="001E124E" w:rsidRDefault="001E124E"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lastRenderedPageBreak/>
        <w:t>Volkman</w:t>
      </w:r>
      <w:proofErr w:type="spellEnd"/>
      <w:r>
        <w:rPr>
          <w:rFonts w:ascii="Garamond" w:hAnsi="Garamond" w:cs="Garamond"/>
        </w:rPr>
        <w:t>, J.K., Barrett, S.M., Dunstan, G.A., Jeffrey, S.W., 1993. Geochemical significance of the occurrence of dinosterol and other 4-methyl sterols in a marine diatom. Org. Geochem. 20, 7–15. doi:10.1016/0146-6380(93)90076-N</w:t>
      </w:r>
    </w:p>
    <w:p w14:paraId="2DC064B7" w14:textId="77777777" w:rsidR="00EA5696" w:rsidRDefault="00EA5696"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Wang, J., Yang, B., </w:t>
      </w:r>
      <w:proofErr w:type="spellStart"/>
      <w:r>
        <w:rPr>
          <w:rFonts w:ascii="Garamond" w:hAnsi="Garamond" w:cs="Garamond"/>
        </w:rPr>
        <w:t>Ljungqvist</w:t>
      </w:r>
      <w:proofErr w:type="spellEnd"/>
      <w:r>
        <w:rPr>
          <w:rFonts w:ascii="Garamond" w:hAnsi="Garamond" w:cs="Garamond"/>
        </w:rPr>
        <w:t xml:space="preserve">, F.C., </w:t>
      </w:r>
      <w:proofErr w:type="spellStart"/>
      <w:r>
        <w:rPr>
          <w:rFonts w:ascii="Garamond" w:hAnsi="Garamond" w:cs="Garamond"/>
        </w:rPr>
        <w:t>Luterbacher</w:t>
      </w:r>
      <w:proofErr w:type="spellEnd"/>
      <w:r>
        <w:rPr>
          <w:rFonts w:ascii="Garamond" w:hAnsi="Garamond" w:cs="Garamond"/>
        </w:rPr>
        <w:t xml:space="preserve">, J., Osborn, T.J., </w:t>
      </w:r>
      <w:proofErr w:type="spellStart"/>
      <w:r>
        <w:rPr>
          <w:rFonts w:ascii="Garamond" w:hAnsi="Garamond" w:cs="Garamond"/>
        </w:rPr>
        <w:t>Briffa</w:t>
      </w:r>
      <w:proofErr w:type="spellEnd"/>
      <w:r>
        <w:rPr>
          <w:rFonts w:ascii="Garamond" w:hAnsi="Garamond" w:cs="Garamond"/>
        </w:rPr>
        <w:t xml:space="preserve">, K.R., </w:t>
      </w:r>
      <w:proofErr w:type="spellStart"/>
      <w:r>
        <w:rPr>
          <w:rFonts w:ascii="Garamond" w:hAnsi="Garamond" w:cs="Garamond"/>
        </w:rPr>
        <w:t>Zorita</w:t>
      </w:r>
      <w:proofErr w:type="spellEnd"/>
      <w:r>
        <w:rPr>
          <w:rFonts w:ascii="Garamond" w:hAnsi="Garamond" w:cs="Garamond"/>
        </w:rPr>
        <w:t xml:space="preserve">, E., 2017. Internal and external forcing of multidecadal Atlantic climate variability over the past 1,200 years. Nat. </w:t>
      </w:r>
      <w:proofErr w:type="spellStart"/>
      <w:r>
        <w:rPr>
          <w:rFonts w:ascii="Garamond" w:hAnsi="Garamond" w:cs="Garamond"/>
        </w:rPr>
        <w:t>Geosci</w:t>
      </w:r>
      <w:proofErr w:type="spellEnd"/>
      <w:r>
        <w:rPr>
          <w:rFonts w:ascii="Garamond" w:hAnsi="Garamond" w:cs="Garamond"/>
        </w:rPr>
        <w:t>. 10, 512–517. doi:10.1038/ngeo2962</w:t>
      </w:r>
    </w:p>
    <w:p w14:paraId="48E49CF1" w14:textId="77777777" w:rsidR="00EA5696" w:rsidRDefault="00EA5696" w:rsidP="00A50750">
      <w:pPr>
        <w:autoSpaceDE w:val="0"/>
        <w:autoSpaceDN w:val="0"/>
        <w:adjustRightInd w:val="0"/>
        <w:spacing w:line="480" w:lineRule="auto"/>
        <w:ind w:left="480" w:right="-56" w:hanging="480"/>
        <w:rPr>
          <w:rFonts w:ascii="Garamond" w:hAnsi="Garamond" w:cs="Garamond"/>
        </w:rPr>
      </w:pPr>
      <w:proofErr w:type="spellStart"/>
      <w:r>
        <w:rPr>
          <w:rFonts w:ascii="Garamond" w:hAnsi="Garamond" w:cs="Garamond"/>
        </w:rPr>
        <w:t>Widlansky</w:t>
      </w:r>
      <w:proofErr w:type="spellEnd"/>
      <w:r>
        <w:rPr>
          <w:rFonts w:ascii="Garamond" w:hAnsi="Garamond" w:cs="Garamond"/>
        </w:rPr>
        <w:t xml:space="preserve">, M.J., Webster, P.J., </w:t>
      </w:r>
      <w:proofErr w:type="spellStart"/>
      <w:r>
        <w:rPr>
          <w:rFonts w:ascii="Garamond" w:hAnsi="Garamond" w:cs="Garamond"/>
        </w:rPr>
        <w:t>Hoyos</w:t>
      </w:r>
      <w:proofErr w:type="spellEnd"/>
      <w:r>
        <w:rPr>
          <w:rFonts w:ascii="Garamond" w:hAnsi="Garamond" w:cs="Garamond"/>
        </w:rPr>
        <w:t xml:space="preserve">, C.D., 2011. On the location and orientation of the South Pacific Convergence Zone. </w:t>
      </w:r>
      <w:proofErr w:type="spellStart"/>
      <w:r>
        <w:rPr>
          <w:rFonts w:ascii="Garamond" w:hAnsi="Garamond" w:cs="Garamond"/>
        </w:rPr>
        <w:t>Clim</w:t>
      </w:r>
      <w:proofErr w:type="spellEnd"/>
      <w:r>
        <w:rPr>
          <w:rFonts w:ascii="Garamond" w:hAnsi="Garamond" w:cs="Garamond"/>
        </w:rPr>
        <w:t xml:space="preserve">. </w:t>
      </w:r>
      <w:proofErr w:type="spellStart"/>
      <w:r>
        <w:rPr>
          <w:rFonts w:ascii="Garamond" w:hAnsi="Garamond" w:cs="Garamond"/>
        </w:rPr>
        <w:t>Dyn</w:t>
      </w:r>
      <w:proofErr w:type="spellEnd"/>
      <w:r>
        <w:rPr>
          <w:rFonts w:ascii="Garamond" w:hAnsi="Garamond" w:cs="Garamond"/>
        </w:rPr>
        <w:t>. 36, 561–578. doi:10.1007/s00382-010-0871-6</w:t>
      </w:r>
    </w:p>
    <w:p w14:paraId="0565A8F0" w14:textId="77777777" w:rsidR="00EA5696" w:rsidRDefault="00EA5696"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Yu, L., </w:t>
      </w:r>
      <w:proofErr w:type="spellStart"/>
      <w:r>
        <w:rPr>
          <w:rFonts w:ascii="Garamond" w:hAnsi="Garamond" w:cs="Garamond"/>
        </w:rPr>
        <w:t>Jin</w:t>
      </w:r>
      <w:proofErr w:type="spellEnd"/>
      <w:r>
        <w:rPr>
          <w:rFonts w:ascii="Garamond" w:hAnsi="Garamond" w:cs="Garamond"/>
        </w:rPr>
        <w:t>, X., Weller, R.A., 2008. Multidecade Global Flux Datasets from the Objectively Analyzed Air-sea Fluxes (</w:t>
      </w:r>
      <w:proofErr w:type="spellStart"/>
      <w:r>
        <w:rPr>
          <w:rFonts w:ascii="Garamond" w:hAnsi="Garamond" w:cs="Garamond"/>
        </w:rPr>
        <w:t>OAFlux</w:t>
      </w:r>
      <w:proofErr w:type="spellEnd"/>
      <w:r>
        <w:rPr>
          <w:rFonts w:ascii="Garamond" w:hAnsi="Garamond" w:cs="Garamond"/>
        </w:rPr>
        <w:t xml:space="preserve">) Project: Latent and sensible heat fluxes, ocean evaporation, and related surface meteorological variables. </w:t>
      </w:r>
      <w:proofErr w:type="spellStart"/>
      <w:r>
        <w:rPr>
          <w:rFonts w:ascii="Garamond" w:hAnsi="Garamond" w:cs="Garamond"/>
        </w:rPr>
        <w:t>OAFlux</w:t>
      </w:r>
      <w:proofErr w:type="spellEnd"/>
      <w:r>
        <w:rPr>
          <w:rFonts w:ascii="Garamond" w:hAnsi="Garamond" w:cs="Garamond"/>
        </w:rPr>
        <w:t xml:space="preserve"> </w:t>
      </w:r>
      <w:proofErr w:type="spellStart"/>
      <w:r>
        <w:rPr>
          <w:rFonts w:ascii="Garamond" w:hAnsi="Garamond" w:cs="Garamond"/>
        </w:rPr>
        <w:t>Proj</w:t>
      </w:r>
      <w:proofErr w:type="spellEnd"/>
      <w:r>
        <w:rPr>
          <w:rFonts w:ascii="Garamond" w:hAnsi="Garamond" w:cs="Garamond"/>
        </w:rPr>
        <w:t xml:space="preserve">. Tech. Rep. OA-2008-01 Woods Hole </w:t>
      </w:r>
      <w:proofErr w:type="spellStart"/>
      <w:r>
        <w:rPr>
          <w:rFonts w:ascii="Garamond" w:hAnsi="Garamond" w:cs="Garamond"/>
        </w:rPr>
        <w:t>Oceanogr</w:t>
      </w:r>
      <w:proofErr w:type="spellEnd"/>
      <w:r>
        <w:rPr>
          <w:rFonts w:ascii="Garamond" w:hAnsi="Garamond" w:cs="Garamond"/>
        </w:rPr>
        <w:t>. Inst. doi:10.1007/s00382-011-1115-0</w:t>
      </w:r>
    </w:p>
    <w:p w14:paraId="280EBB6E" w14:textId="354A54CB" w:rsidR="00EA5696" w:rsidRDefault="00EA5696"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Zhang, R., Sutton, R., </w:t>
      </w:r>
      <w:proofErr w:type="spellStart"/>
      <w:r>
        <w:rPr>
          <w:rFonts w:ascii="Garamond" w:hAnsi="Garamond" w:cs="Garamond"/>
        </w:rPr>
        <w:t>Danabasoglu</w:t>
      </w:r>
      <w:proofErr w:type="spellEnd"/>
      <w:r>
        <w:rPr>
          <w:rFonts w:ascii="Garamond" w:hAnsi="Garamond" w:cs="Garamond"/>
        </w:rPr>
        <w:t xml:space="preserve">, G., Kwon, Y.O., Marsh, R., Yeager, S.G., </w:t>
      </w:r>
      <w:proofErr w:type="spellStart"/>
      <w:r>
        <w:rPr>
          <w:rFonts w:ascii="Garamond" w:hAnsi="Garamond" w:cs="Garamond"/>
        </w:rPr>
        <w:t>Amrhein</w:t>
      </w:r>
      <w:proofErr w:type="spellEnd"/>
      <w:r>
        <w:rPr>
          <w:rFonts w:ascii="Garamond" w:hAnsi="Garamond" w:cs="Garamond"/>
        </w:rPr>
        <w:t xml:space="preserve">, D.E., Little, C.M., 2019. A </w:t>
      </w:r>
      <w:r w:rsidR="00B800CE">
        <w:rPr>
          <w:rFonts w:ascii="Garamond" w:hAnsi="Garamond" w:cs="Garamond"/>
        </w:rPr>
        <w:t>r</w:t>
      </w:r>
      <w:r>
        <w:rPr>
          <w:rFonts w:ascii="Garamond" w:hAnsi="Garamond" w:cs="Garamond"/>
        </w:rPr>
        <w:t xml:space="preserve">eview of the </w:t>
      </w:r>
      <w:r w:rsidR="00B800CE">
        <w:rPr>
          <w:rFonts w:ascii="Garamond" w:hAnsi="Garamond" w:cs="Garamond"/>
        </w:rPr>
        <w:t>r</w:t>
      </w:r>
      <w:r>
        <w:rPr>
          <w:rFonts w:ascii="Garamond" w:hAnsi="Garamond" w:cs="Garamond"/>
        </w:rPr>
        <w:t xml:space="preserve">ole of the Atlantic </w:t>
      </w:r>
      <w:r w:rsidR="00FB7D2E">
        <w:rPr>
          <w:rFonts w:ascii="Garamond" w:hAnsi="Garamond" w:cs="Garamond"/>
        </w:rPr>
        <w:t>m</w:t>
      </w:r>
      <w:r>
        <w:rPr>
          <w:rFonts w:ascii="Garamond" w:hAnsi="Garamond" w:cs="Garamond"/>
        </w:rPr>
        <w:t xml:space="preserve">eridional </w:t>
      </w:r>
      <w:r w:rsidR="00FB7D2E">
        <w:rPr>
          <w:rFonts w:ascii="Garamond" w:hAnsi="Garamond" w:cs="Garamond"/>
        </w:rPr>
        <w:t>o</w:t>
      </w:r>
      <w:r>
        <w:rPr>
          <w:rFonts w:ascii="Garamond" w:hAnsi="Garamond" w:cs="Garamond"/>
        </w:rPr>
        <w:t xml:space="preserve">verturning </w:t>
      </w:r>
      <w:r w:rsidR="00FB7D2E">
        <w:rPr>
          <w:rFonts w:ascii="Garamond" w:hAnsi="Garamond" w:cs="Garamond"/>
        </w:rPr>
        <w:t>c</w:t>
      </w:r>
      <w:r>
        <w:rPr>
          <w:rFonts w:ascii="Garamond" w:hAnsi="Garamond" w:cs="Garamond"/>
        </w:rPr>
        <w:t xml:space="preserve">irculation in Atlantic </w:t>
      </w:r>
      <w:r w:rsidR="00FB7D2E">
        <w:rPr>
          <w:rFonts w:ascii="Garamond" w:hAnsi="Garamond" w:cs="Garamond"/>
        </w:rPr>
        <w:t>m</w:t>
      </w:r>
      <w:r>
        <w:rPr>
          <w:rFonts w:ascii="Garamond" w:hAnsi="Garamond" w:cs="Garamond"/>
        </w:rPr>
        <w:t xml:space="preserve">ultidecadal </w:t>
      </w:r>
      <w:r w:rsidR="00FB7D2E">
        <w:rPr>
          <w:rFonts w:ascii="Garamond" w:hAnsi="Garamond" w:cs="Garamond"/>
        </w:rPr>
        <w:t>v</w:t>
      </w:r>
      <w:r>
        <w:rPr>
          <w:rFonts w:ascii="Garamond" w:hAnsi="Garamond" w:cs="Garamond"/>
        </w:rPr>
        <w:t xml:space="preserve">ariability and </w:t>
      </w:r>
      <w:r w:rsidR="00FB7D2E">
        <w:rPr>
          <w:rFonts w:ascii="Garamond" w:hAnsi="Garamond" w:cs="Garamond"/>
        </w:rPr>
        <w:t>a</w:t>
      </w:r>
      <w:r>
        <w:rPr>
          <w:rFonts w:ascii="Garamond" w:hAnsi="Garamond" w:cs="Garamond"/>
        </w:rPr>
        <w:t xml:space="preserve">ssociated </w:t>
      </w:r>
      <w:r w:rsidR="00FB7D2E">
        <w:rPr>
          <w:rFonts w:ascii="Garamond" w:hAnsi="Garamond" w:cs="Garamond"/>
        </w:rPr>
        <w:t>c</w:t>
      </w:r>
      <w:r>
        <w:rPr>
          <w:rFonts w:ascii="Garamond" w:hAnsi="Garamond" w:cs="Garamond"/>
        </w:rPr>
        <w:t xml:space="preserve">limate </w:t>
      </w:r>
      <w:r w:rsidR="00FB7D2E">
        <w:rPr>
          <w:rFonts w:ascii="Garamond" w:hAnsi="Garamond" w:cs="Garamond"/>
        </w:rPr>
        <w:t>i</w:t>
      </w:r>
      <w:r>
        <w:rPr>
          <w:rFonts w:ascii="Garamond" w:hAnsi="Garamond" w:cs="Garamond"/>
        </w:rPr>
        <w:t xml:space="preserve">mpacts. Rev. </w:t>
      </w:r>
      <w:proofErr w:type="spellStart"/>
      <w:r>
        <w:rPr>
          <w:rFonts w:ascii="Garamond" w:hAnsi="Garamond" w:cs="Garamond"/>
        </w:rPr>
        <w:t>Geophys</w:t>
      </w:r>
      <w:proofErr w:type="spellEnd"/>
      <w:r>
        <w:rPr>
          <w:rFonts w:ascii="Garamond" w:hAnsi="Garamond" w:cs="Garamond"/>
        </w:rPr>
        <w:t>. 57, 316–375. doi:10.1029/2019RG000644</w:t>
      </w:r>
    </w:p>
    <w:p w14:paraId="2225463B"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Zhang, X., Gillespie, A.L., Sessions, A.L., 2009. Large D/H variations in bacterial lipids reflect central metabolic pathways. Proc. Natl. Acad. Sci. U. S. A. 106, 12580–6. doi:10.1073/pnas.0903030106</w:t>
      </w:r>
    </w:p>
    <w:p w14:paraId="0B0416D0"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Zhang, Z., Sachs, J.P., 2007. Hydrogen isotope fractionation in freshwater algae: I. Variations among lipids and species. Org. Geochem. 38, 582–608. </w:t>
      </w:r>
      <w:proofErr w:type="gramStart"/>
      <w:r>
        <w:rPr>
          <w:rFonts w:ascii="Garamond" w:hAnsi="Garamond" w:cs="Garamond"/>
        </w:rPr>
        <w:t>doi:10.1016/j.orggeochem</w:t>
      </w:r>
      <w:proofErr w:type="gramEnd"/>
      <w:r>
        <w:rPr>
          <w:rFonts w:ascii="Garamond" w:hAnsi="Garamond" w:cs="Garamond"/>
        </w:rPr>
        <w:t>.2006.12.004</w:t>
      </w:r>
    </w:p>
    <w:p w14:paraId="36EBD7B8" w14:textId="77777777" w:rsidR="001E124E" w:rsidRDefault="001E124E" w:rsidP="00A50750">
      <w:pPr>
        <w:autoSpaceDE w:val="0"/>
        <w:autoSpaceDN w:val="0"/>
        <w:adjustRightInd w:val="0"/>
        <w:spacing w:line="480" w:lineRule="auto"/>
        <w:ind w:left="480" w:right="-56" w:hanging="480"/>
        <w:rPr>
          <w:rFonts w:ascii="Garamond" w:hAnsi="Garamond" w:cs="Garamond"/>
        </w:rPr>
      </w:pPr>
      <w:r>
        <w:rPr>
          <w:rFonts w:ascii="Garamond" w:hAnsi="Garamond" w:cs="Garamond"/>
        </w:rPr>
        <w:t xml:space="preserve">Zhang, Z., Sachs, J.P., Marchetti, A., 2009. Hydrogen isotope fractionation in freshwater and marine algae: II. Temperature and nitrogen limited growth rate effects. Org. Geochem. 40, 428–439. </w:t>
      </w:r>
      <w:proofErr w:type="gramStart"/>
      <w:r>
        <w:rPr>
          <w:rFonts w:ascii="Garamond" w:hAnsi="Garamond" w:cs="Garamond"/>
        </w:rPr>
        <w:t>doi:10.1016/j.orggeochem</w:t>
      </w:r>
      <w:proofErr w:type="gramEnd"/>
      <w:r>
        <w:rPr>
          <w:rFonts w:ascii="Garamond" w:hAnsi="Garamond" w:cs="Garamond"/>
        </w:rPr>
        <w:t>.2008.11.002</w:t>
      </w:r>
    </w:p>
    <w:p w14:paraId="10BF837D" w14:textId="77777777" w:rsidR="001E124E" w:rsidRDefault="001E124E" w:rsidP="001E124E">
      <w:pPr>
        <w:autoSpaceDE w:val="0"/>
        <w:autoSpaceDN w:val="0"/>
        <w:adjustRightInd w:val="0"/>
        <w:spacing w:line="360" w:lineRule="auto"/>
        <w:ind w:left="480" w:right="-56" w:hanging="480"/>
        <w:rPr>
          <w:rFonts w:ascii="Garamond" w:hAnsi="Garamond" w:cs="Garamond"/>
        </w:rPr>
      </w:pPr>
    </w:p>
    <w:p w14:paraId="376C6E72" w14:textId="08E75266" w:rsidR="00485D36" w:rsidRPr="00EA7478" w:rsidRDefault="00485D36" w:rsidP="00485D36">
      <w:pPr>
        <w:widowControl w:val="0"/>
        <w:autoSpaceDE w:val="0"/>
        <w:autoSpaceDN w:val="0"/>
        <w:adjustRightInd w:val="0"/>
        <w:ind w:left="480" w:hanging="480"/>
        <w:rPr>
          <w:rFonts w:ascii="Calibri" w:hAnsi="Calibri" w:cs="Calibri"/>
          <w:noProof/>
        </w:rPr>
      </w:pPr>
      <w:r>
        <w:fldChar w:fldCharType="begin" w:fldLock="1"/>
      </w:r>
      <w:r>
        <w:instrText xml:space="preserve">ADDIN Mendeley Bibliography CSL_BIBLIOGRAPHY </w:instrText>
      </w:r>
      <w:r>
        <w:fldChar w:fldCharType="separate"/>
      </w:r>
    </w:p>
    <w:p w14:paraId="7A939E12" w14:textId="1E3166F1" w:rsidR="00492C96" w:rsidRDefault="00485D36" w:rsidP="00A50750">
      <w:r>
        <w:fldChar w:fldCharType="end"/>
      </w:r>
    </w:p>
    <w:p w14:paraId="7F7EF54A" w14:textId="77777777" w:rsidR="00492C96" w:rsidRDefault="00492C96">
      <w:r>
        <w:lastRenderedPageBreak/>
        <w:t>Fig 1.</w:t>
      </w:r>
    </w:p>
    <w:p w14:paraId="54A91399" w14:textId="77777777" w:rsidR="00492C96" w:rsidRDefault="00492C96"/>
    <w:p w14:paraId="6846E88A" w14:textId="025150F1" w:rsidR="00492C96" w:rsidRDefault="00185406">
      <w:r>
        <w:rPr>
          <w:noProof/>
        </w:rPr>
        <w:drawing>
          <wp:inline distT="0" distB="0" distL="0" distR="0" wp14:anchorId="049AE680" wp14:editId="2DFB13D3">
            <wp:extent cx="6400800" cy="4946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stretch>
                      <a:fillRect/>
                    </a:stretch>
                  </pic:blipFill>
                  <pic:spPr>
                    <a:xfrm>
                      <a:off x="0" y="0"/>
                      <a:ext cx="6400800" cy="4946015"/>
                    </a:xfrm>
                    <a:prstGeom prst="rect">
                      <a:avLst/>
                    </a:prstGeom>
                  </pic:spPr>
                </pic:pic>
              </a:graphicData>
            </a:graphic>
          </wp:inline>
        </w:drawing>
      </w:r>
      <w:r w:rsidR="00492C96">
        <w:br w:type="page"/>
      </w:r>
    </w:p>
    <w:p w14:paraId="186CBA3D" w14:textId="225A09E7" w:rsidR="00492C96" w:rsidRDefault="00185406" w:rsidP="00A50750">
      <w:r>
        <w:lastRenderedPageBreak/>
        <w:t xml:space="preserve">Fig 2. </w:t>
      </w:r>
    </w:p>
    <w:p w14:paraId="733AB3B0" w14:textId="4ABB1553" w:rsidR="00185406" w:rsidRDefault="00185406" w:rsidP="00A50750"/>
    <w:p w14:paraId="062DDD22" w14:textId="09EB0DF7" w:rsidR="00185406" w:rsidRDefault="00185406" w:rsidP="00A50750">
      <w:r>
        <w:rPr>
          <w:noProof/>
        </w:rPr>
        <w:drawing>
          <wp:inline distT="0" distB="0" distL="0" distR="0" wp14:anchorId="198374DB" wp14:editId="5D776CB5">
            <wp:extent cx="64008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stretch>
                      <a:fillRect/>
                    </a:stretch>
                  </pic:blipFill>
                  <pic:spPr>
                    <a:xfrm>
                      <a:off x="0" y="0"/>
                      <a:ext cx="6400800" cy="4114800"/>
                    </a:xfrm>
                    <a:prstGeom prst="rect">
                      <a:avLst/>
                    </a:prstGeom>
                  </pic:spPr>
                </pic:pic>
              </a:graphicData>
            </a:graphic>
          </wp:inline>
        </w:drawing>
      </w:r>
    </w:p>
    <w:p w14:paraId="3A32366F" w14:textId="77777777" w:rsidR="00492C96" w:rsidRDefault="00492C96">
      <w:r>
        <w:br w:type="page"/>
      </w:r>
    </w:p>
    <w:p w14:paraId="3053CFFB" w14:textId="607A5E92" w:rsidR="00492C96" w:rsidRDefault="00185406" w:rsidP="00A50750">
      <w:r>
        <w:lastRenderedPageBreak/>
        <w:t>Fig 3</w:t>
      </w:r>
    </w:p>
    <w:p w14:paraId="518AFE40" w14:textId="11C50AC5" w:rsidR="00185406" w:rsidRDefault="00185406" w:rsidP="00A50750"/>
    <w:p w14:paraId="4F3AD8B8" w14:textId="7372FA9B" w:rsidR="00185406" w:rsidRDefault="00185406" w:rsidP="00A50750">
      <w:r>
        <w:rPr>
          <w:noProof/>
        </w:rPr>
        <w:drawing>
          <wp:inline distT="0" distB="0" distL="0" distR="0" wp14:anchorId="1D050E50" wp14:editId="0A73C0EB">
            <wp:extent cx="6400800" cy="4946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stretch>
                      <a:fillRect/>
                    </a:stretch>
                  </pic:blipFill>
                  <pic:spPr>
                    <a:xfrm>
                      <a:off x="0" y="0"/>
                      <a:ext cx="6400800" cy="4946015"/>
                    </a:xfrm>
                    <a:prstGeom prst="rect">
                      <a:avLst/>
                    </a:prstGeom>
                  </pic:spPr>
                </pic:pic>
              </a:graphicData>
            </a:graphic>
          </wp:inline>
        </w:drawing>
      </w:r>
    </w:p>
    <w:p w14:paraId="30EC60E1" w14:textId="77777777" w:rsidR="00492C96" w:rsidRDefault="00492C96">
      <w:r>
        <w:br w:type="page"/>
      </w:r>
    </w:p>
    <w:p w14:paraId="056AA0B3" w14:textId="0A435BD7" w:rsidR="00492C96" w:rsidRDefault="00185406" w:rsidP="00A50750">
      <w:r>
        <w:lastRenderedPageBreak/>
        <w:t>Fig 4</w:t>
      </w:r>
    </w:p>
    <w:p w14:paraId="55270AEA" w14:textId="0E103BC9" w:rsidR="00185406" w:rsidRDefault="00185406" w:rsidP="00A50750"/>
    <w:p w14:paraId="1FD2568D" w14:textId="49527773" w:rsidR="00185406" w:rsidRDefault="00185406" w:rsidP="00A50750">
      <w:r>
        <w:rPr>
          <w:noProof/>
        </w:rPr>
        <w:drawing>
          <wp:inline distT="0" distB="0" distL="0" distR="0" wp14:anchorId="7BBD4320" wp14:editId="307299EE">
            <wp:extent cx="6400800" cy="49460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stretch>
                      <a:fillRect/>
                    </a:stretch>
                  </pic:blipFill>
                  <pic:spPr>
                    <a:xfrm>
                      <a:off x="0" y="0"/>
                      <a:ext cx="6400800" cy="4946015"/>
                    </a:xfrm>
                    <a:prstGeom prst="rect">
                      <a:avLst/>
                    </a:prstGeom>
                  </pic:spPr>
                </pic:pic>
              </a:graphicData>
            </a:graphic>
          </wp:inline>
        </w:drawing>
      </w:r>
    </w:p>
    <w:p w14:paraId="0BC6D4C5" w14:textId="77777777" w:rsidR="00492C96" w:rsidRDefault="00492C96">
      <w:r>
        <w:br w:type="page"/>
      </w:r>
    </w:p>
    <w:p w14:paraId="0A711232" w14:textId="24EA3E59" w:rsidR="00492C96" w:rsidRDefault="00185406" w:rsidP="00A50750">
      <w:r>
        <w:lastRenderedPageBreak/>
        <w:t>Fig 5</w:t>
      </w:r>
    </w:p>
    <w:p w14:paraId="4966B0A0" w14:textId="717C7B50" w:rsidR="00185406" w:rsidRDefault="00185406" w:rsidP="00A50750"/>
    <w:p w14:paraId="4F9394A9" w14:textId="42012DB6" w:rsidR="00185406" w:rsidRDefault="00185406" w:rsidP="00A50750">
      <w:r>
        <w:rPr>
          <w:noProof/>
        </w:rPr>
        <w:drawing>
          <wp:inline distT="0" distB="0" distL="0" distR="0" wp14:anchorId="42436FE4" wp14:editId="76DB17D9">
            <wp:extent cx="6400800" cy="4946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stretch>
                      <a:fillRect/>
                    </a:stretch>
                  </pic:blipFill>
                  <pic:spPr>
                    <a:xfrm>
                      <a:off x="0" y="0"/>
                      <a:ext cx="6400800" cy="4946015"/>
                    </a:xfrm>
                    <a:prstGeom prst="rect">
                      <a:avLst/>
                    </a:prstGeom>
                  </pic:spPr>
                </pic:pic>
              </a:graphicData>
            </a:graphic>
          </wp:inline>
        </w:drawing>
      </w:r>
    </w:p>
    <w:p w14:paraId="4162DF94" w14:textId="77777777" w:rsidR="00492C96" w:rsidRDefault="00492C96">
      <w:r>
        <w:br w:type="page"/>
      </w:r>
    </w:p>
    <w:p w14:paraId="06D97A85" w14:textId="147995C0" w:rsidR="00492C96" w:rsidRDefault="00185406" w:rsidP="00A50750">
      <w:r>
        <w:lastRenderedPageBreak/>
        <w:t>Fig 6</w:t>
      </w:r>
    </w:p>
    <w:p w14:paraId="5D6626A2" w14:textId="7DA526A0" w:rsidR="002F7AA2" w:rsidRPr="00A50750" w:rsidRDefault="00185406" w:rsidP="00A50750">
      <w:r>
        <w:rPr>
          <w:noProof/>
        </w:rPr>
        <w:drawing>
          <wp:inline distT="0" distB="0" distL="0" distR="0" wp14:anchorId="4E04AD4B" wp14:editId="4BE8B683">
            <wp:extent cx="5909232" cy="76468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stretch>
                      <a:fillRect/>
                    </a:stretch>
                  </pic:blipFill>
                  <pic:spPr>
                    <a:xfrm>
                      <a:off x="0" y="0"/>
                      <a:ext cx="5911015" cy="7649202"/>
                    </a:xfrm>
                    <a:prstGeom prst="rect">
                      <a:avLst/>
                    </a:prstGeom>
                  </pic:spPr>
                </pic:pic>
              </a:graphicData>
            </a:graphic>
          </wp:inline>
        </w:drawing>
      </w:r>
    </w:p>
    <w:sectPr w:rsidR="002F7AA2" w:rsidRPr="00A50750" w:rsidSect="00707BE2">
      <w:pgSz w:w="12240" w:h="15840"/>
      <w:pgMar w:top="1440" w:right="1080" w:bottom="1440" w:left="108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EE859" w14:textId="77777777" w:rsidR="00DF44DA" w:rsidRDefault="00DF44DA" w:rsidP="00B54749">
      <w:r>
        <w:separator/>
      </w:r>
    </w:p>
  </w:endnote>
  <w:endnote w:type="continuationSeparator" w:id="0">
    <w:p w14:paraId="7B04C7A9" w14:textId="77777777" w:rsidR="00DF44DA" w:rsidRDefault="00DF44DA" w:rsidP="00B54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JansonTextMacron-Regular">
    <w:altName w:val="Cambria"/>
    <w:panose1 w:val="020B0604020202020204"/>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2D443" w14:textId="77777777" w:rsidR="000719DE" w:rsidRDefault="000719DE" w:rsidP="00F800D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CF2032" w14:textId="77777777" w:rsidR="000719DE" w:rsidRDefault="000719DE" w:rsidP="00B547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2290257"/>
      <w:docPartObj>
        <w:docPartGallery w:val="Page Numbers (Bottom of Page)"/>
        <w:docPartUnique/>
      </w:docPartObj>
    </w:sdtPr>
    <w:sdtEndPr>
      <w:rPr>
        <w:rStyle w:val="PageNumber"/>
      </w:rPr>
    </w:sdtEndPr>
    <w:sdtContent>
      <w:p w14:paraId="19A14D8B" w14:textId="1A92F832" w:rsidR="000719DE" w:rsidRDefault="000719DE" w:rsidP="007E54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sdtContent>
  </w:sdt>
  <w:p w14:paraId="5C5DB4D0" w14:textId="77777777" w:rsidR="000719DE" w:rsidRDefault="000719DE" w:rsidP="00B547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A6EFC" w14:textId="77777777" w:rsidR="00DF44DA" w:rsidRDefault="00DF44DA" w:rsidP="00B54749">
      <w:r>
        <w:separator/>
      </w:r>
    </w:p>
  </w:footnote>
  <w:footnote w:type="continuationSeparator" w:id="0">
    <w:p w14:paraId="05B3809E" w14:textId="77777777" w:rsidR="00DF44DA" w:rsidRDefault="00DF44DA" w:rsidP="00B547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2A00"/>
    <w:multiLevelType w:val="hybridMultilevel"/>
    <w:tmpl w:val="E9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760D13"/>
    <w:multiLevelType w:val="hybridMultilevel"/>
    <w:tmpl w:val="C18CBDF0"/>
    <w:lvl w:ilvl="0" w:tplc="F8EAD0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6C45ED6"/>
    <w:multiLevelType w:val="hybridMultilevel"/>
    <w:tmpl w:val="0A5E3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E643208"/>
    <w:multiLevelType w:val="hybridMultilevel"/>
    <w:tmpl w:val="9B54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F77B89"/>
    <w:multiLevelType w:val="hybridMultilevel"/>
    <w:tmpl w:val="B766763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3E6919"/>
    <w:multiLevelType w:val="hybridMultilevel"/>
    <w:tmpl w:val="1D687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E01FC5"/>
    <w:multiLevelType w:val="hybridMultilevel"/>
    <w:tmpl w:val="DEDC1B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181904"/>
    <w:multiLevelType w:val="hybridMultilevel"/>
    <w:tmpl w:val="62D046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D621D20"/>
    <w:multiLevelType w:val="hybridMultilevel"/>
    <w:tmpl w:val="239C7DFE"/>
    <w:lvl w:ilvl="0" w:tplc="042C8DD0">
      <w:start w:val="1"/>
      <w:numFmt w:val="decimal"/>
      <w:lvlText w:val="%1."/>
      <w:lvlJc w:val="left"/>
      <w:pPr>
        <w:tabs>
          <w:tab w:val="num" w:pos="720"/>
        </w:tabs>
        <w:ind w:left="720" w:hanging="360"/>
      </w:pPr>
      <w:rPr>
        <w:rFonts w:ascii="Garamond" w:hAnsi="Garamond" w:cs="Times New Roman" w:hint="default"/>
        <w:b w:val="0"/>
        <w:bCs w:val="0"/>
        <w:i w:val="0"/>
        <w:iCs w:val="0"/>
        <w:sz w:val="20"/>
        <w:szCs w:val="2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7B6A58A6"/>
    <w:multiLevelType w:val="hybridMultilevel"/>
    <w:tmpl w:val="583C697E"/>
    <w:lvl w:ilvl="0" w:tplc="0D689B1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5"/>
  </w:num>
  <w:num w:numId="6">
    <w:abstractNumId w:val="0"/>
  </w:num>
  <w:num w:numId="7">
    <w:abstractNumId w:val="7"/>
  </w:num>
  <w:num w:numId="8">
    <w:abstractNumId w:val="8"/>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4B6"/>
    <w:rsid w:val="00000050"/>
    <w:rsid w:val="00000FC4"/>
    <w:rsid w:val="00002726"/>
    <w:rsid w:val="000028EA"/>
    <w:rsid w:val="00003737"/>
    <w:rsid w:val="000041B1"/>
    <w:rsid w:val="000043A6"/>
    <w:rsid w:val="00004F76"/>
    <w:rsid w:val="000054B0"/>
    <w:rsid w:val="00005AC3"/>
    <w:rsid w:val="000068A6"/>
    <w:rsid w:val="000072A7"/>
    <w:rsid w:val="00007A76"/>
    <w:rsid w:val="00007C2A"/>
    <w:rsid w:val="0001022F"/>
    <w:rsid w:val="00010F5E"/>
    <w:rsid w:val="0001116D"/>
    <w:rsid w:val="00011E71"/>
    <w:rsid w:val="000122AC"/>
    <w:rsid w:val="00012421"/>
    <w:rsid w:val="0001250B"/>
    <w:rsid w:val="00012C3E"/>
    <w:rsid w:val="00012E5A"/>
    <w:rsid w:val="0001327A"/>
    <w:rsid w:val="000133D2"/>
    <w:rsid w:val="000137AE"/>
    <w:rsid w:val="00013C3B"/>
    <w:rsid w:val="00014570"/>
    <w:rsid w:val="0001498F"/>
    <w:rsid w:val="000168B5"/>
    <w:rsid w:val="000169DE"/>
    <w:rsid w:val="00016CC0"/>
    <w:rsid w:val="00016E91"/>
    <w:rsid w:val="000179D8"/>
    <w:rsid w:val="00017A8D"/>
    <w:rsid w:val="00017B6D"/>
    <w:rsid w:val="000203DB"/>
    <w:rsid w:val="00020A26"/>
    <w:rsid w:val="00020FF8"/>
    <w:rsid w:val="00022833"/>
    <w:rsid w:val="000229E7"/>
    <w:rsid w:val="00022E83"/>
    <w:rsid w:val="00023C28"/>
    <w:rsid w:val="0002430A"/>
    <w:rsid w:val="00024396"/>
    <w:rsid w:val="00024EF8"/>
    <w:rsid w:val="0002624F"/>
    <w:rsid w:val="000272E6"/>
    <w:rsid w:val="000304C1"/>
    <w:rsid w:val="000308F0"/>
    <w:rsid w:val="00031842"/>
    <w:rsid w:val="00031CDC"/>
    <w:rsid w:val="00031CEA"/>
    <w:rsid w:val="00032009"/>
    <w:rsid w:val="00034505"/>
    <w:rsid w:val="0003484E"/>
    <w:rsid w:val="00034A1E"/>
    <w:rsid w:val="00034CD3"/>
    <w:rsid w:val="00035AC1"/>
    <w:rsid w:val="00035D3A"/>
    <w:rsid w:val="00037109"/>
    <w:rsid w:val="0003792C"/>
    <w:rsid w:val="00037CD5"/>
    <w:rsid w:val="000404CB"/>
    <w:rsid w:val="00040752"/>
    <w:rsid w:val="0004080A"/>
    <w:rsid w:val="00040ECE"/>
    <w:rsid w:val="0004175C"/>
    <w:rsid w:val="00041BC0"/>
    <w:rsid w:val="00041CFA"/>
    <w:rsid w:val="000428CC"/>
    <w:rsid w:val="0004371C"/>
    <w:rsid w:val="000440E5"/>
    <w:rsid w:val="000443FD"/>
    <w:rsid w:val="00045E9F"/>
    <w:rsid w:val="00046C6C"/>
    <w:rsid w:val="00046FE8"/>
    <w:rsid w:val="00047244"/>
    <w:rsid w:val="0004792D"/>
    <w:rsid w:val="000504A9"/>
    <w:rsid w:val="00051C92"/>
    <w:rsid w:val="00052069"/>
    <w:rsid w:val="000521E3"/>
    <w:rsid w:val="00052271"/>
    <w:rsid w:val="0005292A"/>
    <w:rsid w:val="0005306F"/>
    <w:rsid w:val="000531DD"/>
    <w:rsid w:val="00053934"/>
    <w:rsid w:val="0005395B"/>
    <w:rsid w:val="00053A8B"/>
    <w:rsid w:val="00053B85"/>
    <w:rsid w:val="00053EC6"/>
    <w:rsid w:val="00054734"/>
    <w:rsid w:val="00054EF9"/>
    <w:rsid w:val="00055CB4"/>
    <w:rsid w:val="00055EDD"/>
    <w:rsid w:val="00055F2B"/>
    <w:rsid w:val="00056C75"/>
    <w:rsid w:val="00056F7B"/>
    <w:rsid w:val="0005716C"/>
    <w:rsid w:val="00057330"/>
    <w:rsid w:val="000575EA"/>
    <w:rsid w:val="00060361"/>
    <w:rsid w:val="00060BA3"/>
    <w:rsid w:val="00061009"/>
    <w:rsid w:val="00061A30"/>
    <w:rsid w:val="00061F1A"/>
    <w:rsid w:val="00062366"/>
    <w:rsid w:val="00062F6E"/>
    <w:rsid w:val="00063380"/>
    <w:rsid w:val="000634D9"/>
    <w:rsid w:val="000639B9"/>
    <w:rsid w:val="00063C8F"/>
    <w:rsid w:val="0006410A"/>
    <w:rsid w:val="0006422B"/>
    <w:rsid w:val="00065544"/>
    <w:rsid w:val="000656B2"/>
    <w:rsid w:val="00065855"/>
    <w:rsid w:val="00065F98"/>
    <w:rsid w:val="000666F1"/>
    <w:rsid w:val="0006698D"/>
    <w:rsid w:val="00066CF2"/>
    <w:rsid w:val="0006722E"/>
    <w:rsid w:val="00070928"/>
    <w:rsid w:val="00071037"/>
    <w:rsid w:val="000719DE"/>
    <w:rsid w:val="00071A03"/>
    <w:rsid w:val="00071AC2"/>
    <w:rsid w:val="00072122"/>
    <w:rsid w:val="000721A8"/>
    <w:rsid w:val="0007227F"/>
    <w:rsid w:val="00072C6D"/>
    <w:rsid w:val="00072D4F"/>
    <w:rsid w:val="000737F7"/>
    <w:rsid w:val="00074777"/>
    <w:rsid w:val="00074C11"/>
    <w:rsid w:val="00076935"/>
    <w:rsid w:val="000770F3"/>
    <w:rsid w:val="00077AC2"/>
    <w:rsid w:val="00077E9D"/>
    <w:rsid w:val="00080299"/>
    <w:rsid w:val="0008072A"/>
    <w:rsid w:val="00080B70"/>
    <w:rsid w:val="00080F75"/>
    <w:rsid w:val="0008141B"/>
    <w:rsid w:val="00081514"/>
    <w:rsid w:val="00081FEA"/>
    <w:rsid w:val="00082165"/>
    <w:rsid w:val="000822C0"/>
    <w:rsid w:val="00083028"/>
    <w:rsid w:val="00083101"/>
    <w:rsid w:val="00083968"/>
    <w:rsid w:val="00083CA1"/>
    <w:rsid w:val="000840E0"/>
    <w:rsid w:val="00084353"/>
    <w:rsid w:val="00084D6D"/>
    <w:rsid w:val="0008544B"/>
    <w:rsid w:val="00085831"/>
    <w:rsid w:val="000858A1"/>
    <w:rsid w:val="00085CC1"/>
    <w:rsid w:val="00086C01"/>
    <w:rsid w:val="00087E9E"/>
    <w:rsid w:val="000907B2"/>
    <w:rsid w:val="00091A31"/>
    <w:rsid w:val="00093EBC"/>
    <w:rsid w:val="00093EFA"/>
    <w:rsid w:val="00095F83"/>
    <w:rsid w:val="000960E1"/>
    <w:rsid w:val="000961E9"/>
    <w:rsid w:val="000966A9"/>
    <w:rsid w:val="00096E4A"/>
    <w:rsid w:val="000973F9"/>
    <w:rsid w:val="00097F55"/>
    <w:rsid w:val="000A0557"/>
    <w:rsid w:val="000A0CF9"/>
    <w:rsid w:val="000A1358"/>
    <w:rsid w:val="000A14B6"/>
    <w:rsid w:val="000A14FB"/>
    <w:rsid w:val="000A1C65"/>
    <w:rsid w:val="000A1E20"/>
    <w:rsid w:val="000A268A"/>
    <w:rsid w:val="000A27FD"/>
    <w:rsid w:val="000A2E05"/>
    <w:rsid w:val="000A3227"/>
    <w:rsid w:val="000A4878"/>
    <w:rsid w:val="000A583C"/>
    <w:rsid w:val="000A6F64"/>
    <w:rsid w:val="000B049B"/>
    <w:rsid w:val="000B075D"/>
    <w:rsid w:val="000B08AA"/>
    <w:rsid w:val="000B1E1A"/>
    <w:rsid w:val="000B1F9C"/>
    <w:rsid w:val="000B209F"/>
    <w:rsid w:val="000B2655"/>
    <w:rsid w:val="000B280A"/>
    <w:rsid w:val="000B2EAF"/>
    <w:rsid w:val="000B32AE"/>
    <w:rsid w:val="000B3FAC"/>
    <w:rsid w:val="000B4652"/>
    <w:rsid w:val="000B4806"/>
    <w:rsid w:val="000B511F"/>
    <w:rsid w:val="000B5304"/>
    <w:rsid w:val="000B53AB"/>
    <w:rsid w:val="000B53DB"/>
    <w:rsid w:val="000B5860"/>
    <w:rsid w:val="000B5E0B"/>
    <w:rsid w:val="000B6949"/>
    <w:rsid w:val="000B6E41"/>
    <w:rsid w:val="000B76D6"/>
    <w:rsid w:val="000C0568"/>
    <w:rsid w:val="000C06B2"/>
    <w:rsid w:val="000C0CDE"/>
    <w:rsid w:val="000C170D"/>
    <w:rsid w:val="000C1F23"/>
    <w:rsid w:val="000C21A4"/>
    <w:rsid w:val="000C2316"/>
    <w:rsid w:val="000C26B6"/>
    <w:rsid w:val="000C288E"/>
    <w:rsid w:val="000C2A4D"/>
    <w:rsid w:val="000C316E"/>
    <w:rsid w:val="000C3245"/>
    <w:rsid w:val="000C538A"/>
    <w:rsid w:val="000C5894"/>
    <w:rsid w:val="000C5BF3"/>
    <w:rsid w:val="000C62C4"/>
    <w:rsid w:val="000C676E"/>
    <w:rsid w:val="000C73C1"/>
    <w:rsid w:val="000C7581"/>
    <w:rsid w:val="000C769C"/>
    <w:rsid w:val="000D0043"/>
    <w:rsid w:val="000D0702"/>
    <w:rsid w:val="000D0774"/>
    <w:rsid w:val="000D0AE9"/>
    <w:rsid w:val="000D0B84"/>
    <w:rsid w:val="000D1A9B"/>
    <w:rsid w:val="000D1B7E"/>
    <w:rsid w:val="000D25E3"/>
    <w:rsid w:val="000D31C6"/>
    <w:rsid w:val="000D3DAA"/>
    <w:rsid w:val="000D3F96"/>
    <w:rsid w:val="000D4AAB"/>
    <w:rsid w:val="000D4E44"/>
    <w:rsid w:val="000D52B1"/>
    <w:rsid w:val="000D557A"/>
    <w:rsid w:val="000D59D8"/>
    <w:rsid w:val="000D5A12"/>
    <w:rsid w:val="000D7288"/>
    <w:rsid w:val="000D75F9"/>
    <w:rsid w:val="000D76A4"/>
    <w:rsid w:val="000E0667"/>
    <w:rsid w:val="000E14B9"/>
    <w:rsid w:val="000E1728"/>
    <w:rsid w:val="000E1731"/>
    <w:rsid w:val="000E1739"/>
    <w:rsid w:val="000E2B90"/>
    <w:rsid w:val="000E2EB9"/>
    <w:rsid w:val="000E30F8"/>
    <w:rsid w:val="000E30FF"/>
    <w:rsid w:val="000E385A"/>
    <w:rsid w:val="000E3927"/>
    <w:rsid w:val="000E4ACC"/>
    <w:rsid w:val="000E5A7F"/>
    <w:rsid w:val="000E5F53"/>
    <w:rsid w:val="000E626C"/>
    <w:rsid w:val="000E680F"/>
    <w:rsid w:val="000E6816"/>
    <w:rsid w:val="000E6B1A"/>
    <w:rsid w:val="000E6D53"/>
    <w:rsid w:val="000E76AE"/>
    <w:rsid w:val="000E7F37"/>
    <w:rsid w:val="000F07FC"/>
    <w:rsid w:val="000F09EF"/>
    <w:rsid w:val="000F13EE"/>
    <w:rsid w:val="000F1531"/>
    <w:rsid w:val="000F2314"/>
    <w:rsid w:val="000F2CF7"/>
    <w:rsid w:val="000F35FE"/>
    <w:rsid w:val="000F3D54"/>
    <w:rsid w:val="000F4DE7"/>
    <w:rsid w:val="000F5FB8"/>
    <w:rsid w:val="0010006E"/>
    <w:rsid w:val="00100AC9"/>
    <w:rsid w:val="00100DF4"/>
    <w:rsid w:val="00101D02"/>
    <w:rsid w:val="00102C00"/>
    <w:rsid w:val="00102C17"/>
    <w:rsid w:val="00103609"/>
    <w:rsid w:val="00104B24"/>
    <w:rsid w:val="00104C5F"/>
    <w:rsid w:val="00105A39"/>
    <w:rsid w:val="0010612A"/>
    <w:rsid w:val="00106EB6"/>
    <w:rsid w:val="00107053"/>
    <w:rsid w:val="001078EC"/>
    <w:rsid w:val="00107902"/>
    <w:rsid w:val="00107A5A"/>
    <w:rsid w:val="00107AC6"/>
    <w:rsid w:val="001103E2"/>
    <w:rsid w:val="001125FD"/>
    <w:rsid w:val="001127EA"/>
    <w:rsid w:val="00112C46"/>
    <w:rsid w:val="001131DD"/>
    <w:rsid w:val="001133E2"/>
    <w:rsid w:val="00113551"/>
    <w:rsid w:val="00113C74"/>
    <w:rsid w:val="00113F2F"/>
    <w:rsid w:val="00114356"/>
    <w:rsid w:val="00114473"/>
    <w:rsid w:val="001145DA"/>
    <w:rsid w:val="0011518D"/>
    <w:rsid w:val="00115C06"/>
    <w:rsid w:val="001176D8"/>
    <w:rsid w:val="00117C51"/>
    <w:rsid w:val="00117EA3"/>
    <w:rsid w:val="00117FC7"/>
    <w:rsid w:val="00120534"/>
    <w:rsid w:val="00120CEB"/>
    <w:rsid w:val="00120FDE"/>
    <w:rsid w:val="00122A33"/>
    <w:rsid w:val="00122C0D"/>
    <w:rsid w:val="001233B7"/>
    <w:rsid w:val="00123722"/>
    <w:rsid w:val="00123807"/>
    <w:rsid w:val="00124B6F"/>
    <w:rsid w:val="00124ED3"/>
    <w:rsid w:val="00124F29"/>
    <w:rsid w:val="001251AD"/>
    <w:rsid w:val="00125EDD"/>
    <w:rsid w:val="001264EE"/>
    <w:rsid w:val="00126518"/>
    <w:rsid w:val="00126999"/>
    <w:rsid w:val="00127179"/>
    <w:rsid w:val="001276FD"/>
    <w:rsid w:val="00127BF4"/>
    <w:rsid w:val="00130150"/>
    <w:rsid w:val="00130224"/>
    <w:rsid w:val="001305DF"/>
    <w:rsid w:val="001306A8"/>
    <w:rsid w:val="00130D48"/>
    <w:rsid w:val="00131045"/>
    <w:rsid w:val="00131226"/>
    <w:rsid w:val="00131B37"/>
    <w:rsid w:val="00131C71"/>
    <w:rsid w:val="00131D0B"/>
    <w:rsid w:val="00131D8C"/>
    <w:rsid w:val="00131E63"/>
    <w:rsid w:val="00131FBA"/>
    <w:rsid w:val="001325A2"/>
    <w:rsid w:val="001338E3"/>
    <w:rsid w:val="00133958"/>
    <w:rsid w:val="00133BD2"/>
    <w:rsid w:val="00133D02"/>
    <w:rsid w:val="00133D61"/>
    <w:rsid w:val="00134A6A"/>
    <w:rsid w:val="00134B7F"/>
    <w:rsid w:val="001353F5"/>
    <w:rsid w:val="00136B51"/>
    <w:rsid w:val="00137662"/>
    <w:rsid w:val="00137B4A"/>
    <w:rsid w:val="00140FFC"/>
    <w:rsid w:val="00141747"/>
    <w:rsid w:val="001422C8"/>
    <w:rsid w:val="00143466"/>
    <w:rsid w:val="00144014"/>
    <w:rsid w:val="001446F1"/>
    <w:rsid w:val="0014530D"/>
    <w:rsid w:val="00145DD7"/>
    <w:rsid w:val="00146677"/>
    <w:rsid w:val="00146865"/>
    <w:rsid w:val="00146941"/>
    <w:rsid w:val="00146BF2"/>
    <w:rsid w:val="00146DDB"/>
    <w:rsid w:val="00146F8B"/>
    <w:rsid w:val="001470F0"/>
    <w:rsid w:val="001476D9"/>
    <w:rsid w:val="0015020B"/>
    <w:rsid w:val="0015169F"/>
    <w:rsid w:val="001517C1"/>
    <w:rsid w:val="00151AAE"/>
    <w:rsid w:val="001544A6"/>
    <w:rsid w:val="00154ABC"/>
    <w:rsid w:val="001553A4"/>
    <w:rsid w:val="00155878"/>
    <w:rsid w:val="00155D9F"/>
    <w:rsid w:val="00156656"/>
    <w:rsid w:val="00156BA7"/>
    <w:rsid w:val="0015771A"/>
    <w:rsid w:val="00157C08"/>
    <w:rsid w:val="0016091F"/>
    <w:rsid w:val="00160C56"/>
    <w:rsid w:val="00161230"/>
    <w:rsid w:val="0016127D"/>
    <w:rsid w:val="00161452"/>
    <w:rsid w:val="0016156C"/>
    <w:rsid w:val="00162709"/>
    <w:rsid w:val="00162E12"/>
    <w:rsid w:val="001630A4"/>
    <w:rsid w:val="001637D6"/>
    <w:rsid w:val="00164602"/>
    <w:rsid w:val="001659CE"/>
    <w:rsid w:val="001660C1"/>
    <w:rsid w:val="001674C8"/>
    <w:rsid w:val="001678C1"/>
    <w:rsid w:val="00167935"/>
    <w:rsid w:val="001700AF"/>
    <w:rsid w:val="001714DF"/>
    <w:rsid w:val="00171700"/>
    <w:rsid w:val="0017175A"/>
    <w:rsid w:val="00173470"/>
    <w:rsid w:val="0017376F"/>
    <w:rsid w:val="0017383B"/>
    <w:rsid w:val="00173AB6"/>
    <w:rsid w:val="00173B5B"/>
    <w:rsid w:val="00174C09"/>
    <w:rsid w:val="001751F4"/>
    <w:rsid w:val="00175F83"/>
    <w:rsid w:val="001762C9"/>
    <w:rsid w:val="00176CDB"/>
    <w:rsid w:val="001772C9"/>
    <w:rsid w:val="00177B59"/>
    <w:rsid w:val="00177B5E"/>
    <w:rsid w:val="00177EA4"/>
    <w:rsid w:val="0018262B"/>
    <w:rsid w:val="001826CC"/>
    <w:rsid w:val="00182C48"/>
    <w:rsid w:val="001836CB"/>
    <w:rsid w:val="00183A1D"/>
    <w:rsid w:val="00183BE6"/>
    <w:rsid w:val="00183EC2"/>
    <w:rsid w:val="00184731"/>
    <w:rsid w:val="00184DDE"/>
    <w:rsid w:val="001852F8"/>
    <w:rsid w:val="00185406"/>
    <w:rsid w:val="00185895"/>
    <w:rsid w:val="00186122"/>
    <w:rsid w:val="00186ACC"/>
    <w:rsid w:val="00186B41"/>
    <w:rsid w:val="00187176"/>
    <w:rsid w:val="001878A2"/>
    <w:rsid w:val="00187B96"/>
    <w:rsid w:val="00187BC9"/>
    <w:rsid w:val="00187DA2"/>
    <w:rsid w:val="00187E92"/>
    <w:rsid w:val="00191111"/>
    <w:rsid w:val="0019196A"/>
    <w:rsid w:val="00191F2B"/>
    <w:rsid w:val="00192F28"/>
    <w:rsid w:val="00193743"/>
    <w:rsid w:val="001949BC"/>
    <w:rsid w:val="00194E23"/>
    <w:rsid w:val="00195118"/>
    <w:rsid w:val="00195637"/>
    <w:rsid w:val="00195B52"/>
    <w:rsid w:val="00196119"/>
    <w:rsid w:val="0019653B"/>
    <w:rsid w:val="00196BE2"/>
    <w:rsid w:val="00196F5E"/>
    <w:rsid w:val="001972C2"/>
    <w:rsid w:val="0019730B"/>
    <w:rsid w:val="001A04DF"/>
    <w:rsid w:val="001A05FE"/>
    <w:rsid w:val="001A080F"/>
    <w:rsid w:val="001A1A3B"/>
    <w:rsid w:val="001A1FE4"/>
    <w:rsid w:val="001A2B7B"/>
    <w:rsid w:val="001A2B84"/>
    <w:rsid w:val="001A2F54"/>
    <w:rsid w:val="001A304C"/>
    <w:rsid w:val="001A3E21"/>
    <w:rsid w:val="001A4269"/>
    <w:rsid w:val="001A4333"/>
    <w:rsid w:val="001A4747"/>
    <w:rsid w:val="001A49E2"/>
    <w:rsid w:val="001A4B07"/>
    <w:rsid w:val="001A5111"/>
    <w:rsid w:val="001A6476"/>
    <w:rsid w:val="001A6527"/>
    <w:rsid w:val="001A6BED"/>
    <w:rsid w:val="001A70D0"/>
    <w:rsid w:val="001A7518"/>
    <w:rsid w:val="001A78AD"/>
    <w:rsid w:val="001A7B25"/>
    <w:rsid w:val="001B0396"/>
    <w:rsid w:val="001B081F"/>
    <w:rsid w:val="001B145B"/>
    <w:rsid w:val="001B15F6"/>
    <w:rsid w:val="001B1E08"/>
    <w:rsid w:val="001B1E3A"/>
    <w:rsid w:val="001B1EE4"/>
    <w:rsid w:val="001B203C"/>
    <w:rsid w:val="001B21D1"/>
    <w:rsid w:val="001B228F"/>
    <w:rsid w:val="001B2EA9"/>
    <w:rsid w:val="001B3362"/>
    <w:rsid w:val="001B3AFC"/>
    <w:rsid w:val="001B43FD"/>
    <w:rsid w:val="001B4416"/>
    <w:rsid w:val="001B494B"/>
    <w:rsid w:val="001B4B9C"/>
    <w:rsid w:val="001B4D99"/>
    <w:rsid w:val="001B5500"/>
    <w:rsid w:val="001B5BE3"/>
    <w:rsid w:val="001B65A2"/>
    <w:rsid w:val="001B703B"/>
    <w:rsid w:val="001B7889"/>
    <w:rsid w:val="001B7894"/>
    <w:rsid w:val="001C090A"/>
    <w:rsid w:val="001C0992"/>
    <w:rsid w:val="001C0A13"/>
    <w:rsid w:val="001C0E65"/>
    <w:rsid w:val="001C13DE"/>
    <w:rsid w:val="001C157A"/>
    <w:rsid w:val="001C20A4"/>
    <w:rsid w:val="001C223D"/>
    <w:rsid w:val="001C2281"/>
    <w:rsid w:val="001C2446"/>
    <w:rsid w:val="001C399D"/>
    <w:rsid w:val="001C418B"/>
    <w:rsid w:val="001C452D"/>
    <w:rsid w:val="001C453D"/>
    <w:rsid w:val="001C47D3"/>
    <w:rsid w:val="001C520B"/>
    <w:rsid w:val="001C7633"/>
    <w:rsid w:val="001D00F5"/>
    <w:rsid w:val="001D010D"/>
    <w:rsid w:val="001D06B0"/>
    <w:rsid w:val="001D1004"/>
    <w:rsid w:val="001D10A6"/>
    <w:rsid w:val="001D1E82"/>
    <w:rsid w:val="001D2908"/>
    <w:rsid w:val="001D2B73"/>
    <w:rsid w:val="001D2D76"/>
    <w:rsid w:val="001D3C74"/>
    <w:rsid w:val="001D3C7A"/>
    <w:rsid w:val="001D5120"/>
    <w:rsid w:val="001D5339"/>
    <w:rsid w:val="001D56E6"/>
    <w:rsid w:val="001D7B2C"/>
    <w:rsid w:val="001D7CDC"/>
    <w:rsid w:val="001E0071"/>
    <w:rsid w:val="001E030D"/>
    <w:rsid w:val="001E124E"/>
    <w:rsid w:val="001E2E5F"/>
    <w:rsid w:val="001E2F34"/>
    <w:rsid w:val="001E3107"/>
    <w:rsid w:val="001E334B"/>
    <w:rsid w:val="001E3D8A"/>
    <w:rsid w:val="001E3E5C"/>
    <w:rsid w:val="001E4549"/>
    <w:rsid w:val="001E4907"/>
    <w:rsid w:val="001E4D2A"/>
    <w:rsid w:val="001E5F4F"/>
    <w:rsid w:val="001E5FBF"/>
    <w:rsid w:val="001E623A"/>
    <w:rsid w:val="001E6A8D"/>
    <w:rsid w:val="001E6C97"/>
    <w:rsid w:val="001E6ED6"/>
    <w:rsid w:val="001F0DAA"/>
    <w:rsid w:val="001F10F1"/>
    <w:rsid w:val="001F1861"/>
    <w:rsid w:val="001F2AFD"/>
    <w:rsid w:val="001F4E8A"/>
    <w:rsid w:val="001F53DD"/>
    <w:rsid w:val="001F59AC"/>
    <w:rsid w:val="001F5C93"/>
    <w:rsid w:val="001F6112"/>
    <w:rsid w:val="001F625E"/>
    <w:rsid w:val="001F63D3"/>
    <w:rsid w:val="001F754D"/>
    <w:rsid w:val="001F7D11"/>
    <w:rsid w:val="0020013B"/>
    <w:rsid w:val="002001D8"/>
    <w:rsid w:val="0020077F"/>
    <w:rsid w:val="00200A1E"/>
    <w:rsid w:val="00202598"/>
    <w:rsid w:val="00202DCC"/>
    <w:rsid w:val="00202E61"/>
    <w:rsid w:val="00202F4C"/>
    <w:rsid w:val="002032DE"/>
    <w:rsid w:val="00203B9C"/>
    <w:rsid w:val="00203E53"/>
    <w:rsid w:val="00203E5F"/>
    <w:rsid w:val="00204344"/>
    <w:rsid w:val="00204345"/>
    <w:rsid w:val="00204585"/>
    <w:rsid w:val="00204A1E"/>
    <w:rsid w:val="00204F70"/>
    <w:rsid w:val="00205324"/>
    <w:rsid w:val="002058C8"/>
    <w:rsid w:val="00205B3A"/>
    <w:rsid w:val="0020603C"/>
    <w:rsid w:val="00207A87"/>
    <w:rsid w:val="0021063D"/>
    <w:rsid w:val="002109C9"/>
    <w:rsid w:val="00210B58"/>
    <w:rsid w:val="00211F17"/>
    <w:rsid w:val="0021233F"/>
    <w:rsid w:val="002124F0"/>
    <w:rsid w:val="0021329C"/>
    <w:rsid w:val="002134BE"/>
    <w:rsid w:val="002134D0"/>
    <w:rsid w:val="0021498F"/>
    <w:rsid w:val="00214F7A"/>
    <w:rsid w:val="00214F8B"/>
    <w:rsid w:val="0021510B"/>
    <w:rsid w:val="00215596"/>
    <w:rsid w:val="00215DA5"/>
    <w:rsid w:val="00216896"/>
    <w:rsid w:val="00216A2F"/>
    <w:rsid w:val="00216AC5"/>
    <w:rsid w:val="00217302"/>
    <w:rsid w:val="00221032"/>
    <w:rsid w:val="0022121A"/>
    <w:rsid w:val="00221BDD"/>
    <w:rsid w:val="0022242F"/>
    <w:rsid w:val="00222480"/>
    <w:rsid w:val="002235DD"/>
    <w:rsid w:val="00223915"/>
    <w:rsid w:val="0022502C"/>
    <w:rsid w:val="00225823"/>
    <w:rsid w:val="00225C80"/>
    <w:rsid w:val="00225DCD"/>
    <w:rsid w:val="00225DD7"/>
    <w:rsid w:val="0022634F"/>
    <w:rsid w:val="00226A51"/>
    <w:rsid w:val="00227E8F"/>
    <w:rsid w:val="00227F29"/>
    <w:rsid w:val="00230CB1"/>
    <w:rsid w:val="00230F4B"/>
    <w:rsid w:val="00232582"/>
    <w:rsid w:val="002328E3"/>
    <w:rsid w:val="0023328A"/>
    <w:rsid w:val="002332DB"/>
    <w:rsid w:val="002332E8"/>
    <w:rsid w:val="00233374"/>
    <w:rsid w:val="0023374A"/>
    <w:rsid w:val="00233ABD"/>
    <w:rsid w:val="00234BFF"/>
    <w:rsid w:val="0023564D"/>
    <w:rsid w:val="00235D53"/>
    <w:rsid w:val="00236052"/>
    <w:rsid w:val="0023638A"/>
    <w:rsid w:val="0023698D"/>
    <w:rsid w:val="00236FA3"/>
    <w:rsid w:val="00237A88"/>
    <w:rsid w:val="0024060B"/>
    <w:rsid w:val="00240DCE"/>
    <w:rsid w:val="00240F40"/>
    <w:rsid w:val="002411B6"/>
    <w:rsid w:val="0024161F"/>
    <w:rsid w:val="00241B80"/>
    <w:rsid w:val="00241FBC"/>
    <w:rsid w:val="002422FA"/>
    <w:rsid w:val="00242AF7"/>
    <w:rsid w:val="00242B0A"/>
    <w:rsid w:val="002431C6"/>
    <w:rsid w:val="002432DD"/>
    <w:rsid w:val="002439D7"/>
    <w:rsid w:val="00243A66"/>
    <w:rsid w:val="0024465C"/>
    <w:rsid w:val="00244B66"/>
    <w:rsid w:val="00245774"/>
    <w:rsid w:val="00245EE6"/>
    <w:rsid w:val="0024603B"/>
    <w:rsid w:val="00246170"/>
    <w:rsid w:val="002462B7"/>
    <w:rsid w:val="0024752E"/>
    <w:rsid w:val="0024770E"/>
    <w:rsid w:val="00251E5B"/>
    <w:rsid w:val="00252DB6"/>
    <w:rsid w:val="0025341A"/>
    <w:rsid w:val="00253ED2"/>
    <w:rsid w:val="002557F1"/>
    <w:rsid w:val="00255B04"/>
    <w:rsid w:val="00255FBC"/>
    <w:rsid w:val="002567D5"/>
    <w:rsid w:val="00256ECE"/>
    <w:rsid w:val="002571C6"/>
    <w:rsid w:val="00260049"/>
    <w:rsid w:val="002604BA"/>
    <w:rsid w:val="00260D38"/>
    <w:rsid w:val="0026129F"/>
    <w:rsid w:val="00261711"/>
    <w:rsid w:val="0026292A"/>
    <w:rsid w:val="00262A17"/>
    <w:rsid w:val="00262DC8"/>
    <w:rsid w:val="00262F94"/>
    <w:rsid w:val="002631E6"/>
    <w:rsid w:val="0026352A"/>
    <w:rsid w:val="002635D6"/>
    <w:rsid w:val="0026364E"/>
    <w:rsid w:val="00263F74"/>
    <w:rsid w:val="0026452F"/>
    <w:rsid w:val="002648BA"/>
    <w:rsid w:val="00264974"/>
    <w:rsid w:val="00264D65"/>
    <w:rsid w:val="00265092"/>
    <w:rsid w:val="0026688E"/>
    <w:rsid w:val="00266B6C"/>
    <w:rsid w:val="00266C4F"/>
    <w:rsid w:val="00266EF0"/>
    <w:rsid w:val="00267720"/>
    <w:rsid w:val="00267D78"/>
    <w:rsid w:val="00270253"/>
    <w:rsid w:val="00270CD6"/>
    <w:rsid w:val="00271C47"/>
    <w:rsid w:val="0027205D"/>
    <w:rsid w:val="00272434"/>
    <w:rsid w:val="00274195"/>
    <w:rsid w:val="00274D86"/>
    <w:rsid w:val="00275FF1"/>
    <w:rsid w:val="002762FF"/>
    <w:rsid w:val="00277872"/>
    <w:rsid w:val="00277C41"/>
    <w:rsid w:val="00280968"/>
    <w:rsid w:val="0028189D"/>
    <w:rsid w:val="00282415"/>
    <w:rsid w:val="00283175"/>
    <w:rsid w:val="002839C8"/>
    <w:rsid w:val="0028460A"/>
    <w:rsid w:val="00284DD0"/>
    <w:rsid w:val="0028511A"/>
    <w:rsid w:val="00285566"/>
    <w:rsid w:val="002855D5"/>
    <w:rsid w:val="002863CB"/>
    <w:rsid w:val="00286C2D"/>
    <w:rsid w:val="002870DE"/>
    <w:rsid w:val="00287B9C"/>
    <w:rsid w:val="00291696"/>
    <w:rsid w:val="0029174A"/>
    <w:rsid w:val="00291BE8"/>
    <w:rsid w:val="002922B1"/>
    <w:rsid w:val="0029278C"/>
    <w:rsid w:val="00292DE8"/>
    <w:rsid w:val="00293915"/>
    <w:rsid w:val="00294EC6"/>
    <w:rsid w:val="0029643E"/>
    <w:rsid w:val="00296B19"/>
    <w:rsid w:val="00297225"/>
    <w:rsid w:val="00297600"/>
    <w:rsid w:val="00297B1B"/>
    <w:rsid w:val="002A003E"/>
    <w:rsid w:val="002A0067"/>
    <w:rsid w:val="002A03B2"/>
    <w:rsid w:val="002A04A3"/>
    <w:rsid w:val="002A0C8C"/>
    <w:rsid w:val="002A0F1F"/>
    <w:rsid w:val="002A14E8"/>
    <w:rsid w:val="002A2442"/>
    <w:rsid w:val="002A2582"/>
    <w:rsid w:val="002A368B"/>
    <w:rsid w:val="002A410B"/>
    <w:rsid w:val="002A4C2F"/>
    <w:rsid w:val="002A5145"/>
    <w:rsid w:val="002A51EB"/>
    <w:rsid w:val="002A52FF"/>
    <w:rsid w:val="002A59FB"/>
    <w:rsid w:val="002A5E16"/>
    <w:rsid w:val="002A6785"/>
    <w:rsid w:val="002A7603"/>
    <w:rsid w:val="002B0427"/>
    <w:rsid w:val="002B05F5"/>
    <w:rsid w:val="002B0BAA"/>
    <w:rsid w:val="002B0C44"/>
    <w:rsid w:val="002B0E18"/>
    <w:rsid w:val="002B1D4A"/>
    <w:rsid w:val="002B1DC8"/>
    <w:rsid w:val="002B2D1E"/>
    <w:rsid w:val="002B2E80"/>
    <w:rsid w:val="002B334B"/>
    <w:rsid w:val="002B3BF3"/>
    <w:rsid w:val="002B3FAA"/>
    <w:rsid w:val="002B4BD6"/>
    <w:rsid w:val="002B4C48"/>
    <w:rsid w:val="002B4D2A"/>
    <w:rsid w:val="002B5C75"/>
    <w:rsid w:val="002B5E5C"/>
    <w:rsid w:val="002B6142"/>
    <w:rsid w:val="002B68F5"/>
    <w:rsid w:val="002B79C0"/>
    <w:rsid w:val="002B7DCF"/>
    <w:rsid w:val="002B7EB6"/>
    <w:rsid w:val="002C002F"/>
    <w:rsid w:val="002C0686"/>
    <w:rsid w:val="002C0748"/>
    <w:rsid w:val="002C0EDB"/>
    <w:rsid w:val="002C0EE2"/>
    <w:rsid w:val="002C150A"/>
    <w:rsid w:val="002C1BDA"/>
    <w:rsid w:val="002C259A"/>
    <w:rsid w:val="002C2643"/>
    <w:rsid w:val="002C27EF"/>
    <w:rsid w:val="002C2805"/>
    <w:rsid w:val="002C3088"/>
    <w:rsid w:val="002C3131"/>
    <w:rsid w:val="002C32F6"/>
    <w:rsid w:val="002C4C4B"/>
    <w:rsid w:val="002C5FBF"/>
    <w:rsid w:val="002C69A3"/>
    <w:rsid w:val="002C6DF7"/>
    <w:rsid w:val="002C75DE"/>
    <w:rsid w:val="002C7B32"/>
    <w:rsid w:val="002C7E17"/>
    <w:rsid w:val="002D01A7"/>
    <w:rsid w:val="002D0228"/>
    <w:rsid w:val="002D0333"/>
    <w:rsid w:val="002D0B7C"/>
    <w:rsid w:val="002D108D"/>
    <w:rsid w:val="002D1EB3"/>
    <w:rsid w:val="002D20B9"/>
    <w:rsid w:val="002D24FE"/>
    <w:rsid w:val="002D38E4"/>
    <w:rsid w:val="002D3CB2"/>
    <w:rsid w:val="002D3D07"/>
    <w:rsid w:val="002D42B8"/>
    <w:rsid w:val="002D46CA"/>
    <w:rsid w:val="002D49F4"/>
    <w:rsid w:val="002D4ECD"/>
    <w:rsid w:val="002D522E"/>
    <w:rsid w:val="002D5E78"/>
    <w:rsid w:val="002D6528"/>
    <w:rsid w:val="002D68EB"/>
    <w:rsid w:val="002D74EF"/>
    <w:rsid w:val="002D7CBD"/>
    <w:rsid w:val="002E03C4"/>
    <w:rsid w:val="002E045F"/>
    <w:rsid w:val="002E1111"/>
    <w:rsid w:val="002E17E6"/>
    <w:rsid w:val="002E2871"/>
    <w:rsid w:val="002E29D0"/>
    <w:rsid w:val="002E2D3E"/>
    <w:rsid w:val="002E2EFF"/>
    <w:rsid w:val="002E33A8"/>
    <w:rsid w:val="002E350E"/>
    <w:rsid w:val="002E3AD6"/>
    <w:rsid w:val="002E3CD6"/>
    <w:rsid w:val="002E4DBC"/>
    <w:rsid w:val="002E7AD6"/>
    <w:rsid w:val="002E7D9A"/>
    <w:rsid w:val="002F050D"/>
    <w:rsid w:val="002F31A0"/>
    <w:rsid w:val="002F3611"/>
    <w:rsid w:val="002F59E6"/>
    <w:rsid w:val="002F5BC4"/>
    <w:rsid w:val="002F60D9"/>
    <w:rsid w:val="002F667F"/>
    <w:rsid w:val="002F6DFF"/>
    <w:rsid w:val="002F7596"/>
    <w:rsid w:val="002F7AA2"/>
    <w:rsid w:val="0030023E"/>
    <w:rsid w:val="00300957"/>
    <w:rsid w:val="00300B0F"/>
    <w:rsid w:val="00301261"/>
    <w:rsid w:val="003015E8"/>
    <w:rsid w:val="00301945"/>
    <w:rsid w:val="00301B04"/>
    <w:rsid w:val="003021E9"/>
    <w:rsid w:val="00302534"/>
    <w:rsid w:val="003026A9"/>
    <w:rsid w:val="003026F6"/>
    <w:rsid w:val="00302749"/>
    <w:rsid w:val="00303BF1"/>
    <w:rsid w:val="00304838"/>
    <w:rsid w:val="0030484E"/>
    <w:rsid w:val="00305625"/>
    <w:rsid w:val="0030626F"/>
    <w:rsid w:val="003062D5"/>
    <w:rsid w:val="00306EED"/>
    <w:rsid w:val="00307197"/>
    <w:rsid w:val="003078E1"/>
    <w:rsid w:val="0031033B"/>
    <w:rsid w:val="00310B26"/>
    <w:rsid w:val="00310BA1"/>
    <w:rsid w:val="00310FE2"/>
    <w:rsid w:val="003113B1"/>
    <w:rsid w:val="00312A9C"/>
    <w:rsid w:val="00313214"/>
    <w:rsid w:val="003133D8"/>
    <w:rsid w:val="0031343C"/>
    <w:rsid w:val="003138CF"/>
    <w:rsid w:val="00313938"/>
    <w:rsid w:val="0031395D"/>
    <w:rsid w:val="00313E07"/>
    <w:rsid w:val="003146EE"/>
    <w:rsid w:val="0031477A"/>
    <w:rsid w:val="003147DE"/>
    <w:rsid w:val="003149D0"/>
    <w:rsid w:val="00314D57"/>
    <w:rsid w:val="00315906"/>
    <w:rsid w:val="00315EB2"/>
    <w:rsid w:val="003162E5"/>
    <w:rsid w:val="003177D0"/>
    <w:rsid w:val="00317B37"/>
    <w:rsid w:val="00317C73"/>
    <w:rsid w:val="00317EDB"/>
    <w:rsid w:val="0032048A"/>
    <w:rsid w:val="00320867"/>
    <w:rsid w:val="00320C08"/>
    <w:rsid w:val="00320DE4"/>
    <w:rsid w:val="00321488"/>
    <w:rsid w:val="0032190B"/>
    <w:rsid w:val="00321AE7"/>
    <w:rsid w:val="00321FD9"/>
    <w:rsid w:val="0032222D"/>
    <w:rsid w:val="00325E58"/>
    <w:rsid w:val="00326407"/>
    <w:rsid w:val="0032743E"/>
    <w:rsid w:val="003302FB"/>
    <w:rsid w:val="003304BF"/>
    <w:rsid w:val="00330ACD"/>
    <w:rsid w:val="00330FEB"/>
    <w:rsid w:val="00331A5C"/>
    <w:rsid w:val="003320AE"/>
    <w:rsid w:val="00332C0A"/>
    <w:rsid w:val="00332DD5"/>
    <w:rsid w:val="00332F5B"/>
    <w:rsid w:val="0033315F"/>
    <w:rsid w:val="003339AD"/>
    <w:rsid w:val="00333FB5"/>
    <w:rsid w:val="003341C7"/>
    <w:rsid w:val="00334373"/>
    <w:rsid w:val="00334971"/>
    <w:rsid w:val="00335DBE"/>
    <w:rsid w:val="0033752E"/>
    <w:rsid w:val="00337D5A"/>
    <w:rsid w:val="00337DE2"/>
    <w:rsid w:val="0034089C"/>
    <w:rsid w:val="00341A3F"/>
    <w:rsid w:val="00341EFB"/>
    <w:rsid w:val="003420E3"/>
    <w:rsid w:val="003431A3"/>
    <w:rsid w:val="003433BA"/>
    <w:rsid w:val="00344F08"/>
    <w:rsid w:val="00345145"/>
    <w:rsid w:val="0034534E"/>
    <w:rsid w:val="003458DA"/>
    <w:rsid w:val="00345FC3"/>
    <w:rsid w:val="00346591"/>
    <w:rsid w:val="003468BA"/>
    <w:rsid w:val="0034734E"/>
    <w:rsid w:val="00347FD4"/>
    <w:rsid w:val="00350122"/>
    <w:rsid w:val="003501F0"/>
    <w:rsid w:val="003502EF"/>
    <w:rsid w:val="00350B84"/>
    <w:rsid w:val="00351F42"/>
    <w:rsid w:val="0035247C"/>
    <w:rsid w:val="003528DF"/>
    <w:rsid w:val="00352CC8"/>
    <w:rsid w:val="00353822"/>
    <w:rsid w:val="00353B31"/>
    <w:rsid w:val="003540E5"/>
    <w:rsid w:val="00354FCE"/>
    <w:rsid w:val="0035577D"/>
    <w:rsid w:val="00355933"/>
    <w:rsid w:val="00355D77"/>
    <w:rsid w:val="00355EE0"/>
    <w:rsid w:val="00356C57"/>
    <w:rsid w:val="003571FE"/>
    <w:rsid w:val="00357782"/>
    <w:rsid w:val="00357871"/>
    <w:rsid w:val="00357DBA"/>
    <w:rsid w:val="00357F58"/>
    <w:rsid w:val="00357FA7"/>
    <w:rsid w:val="00360B33"/>
    <w:rsid w:val="00361254"/>
    <w:rsid w:val="00361890"/>
    <w:rsid w:val="00361B9C"/>
    <w:rsid w:val="00361CAE"/>
    <w:rsid w:val="003623A7"/>
    <w:rsid w:val="003625CD"/>
    <w:rsid w:val="00362A2E"/>
    <w:rsid w:val="00363325"/>
    <w:rsid w:val="003633A3"/>
    <w:rsid w:val="003647D5"/>
    <w:rsid w:val="0036514C"/>
    <w:rsid w:val="0036527A"/>
    <w:rsid w:val="003657D0"/>
    <w:rsid w:val="00365834"/>
    <w:rsid w:val="003660EA"/>
    <w:rsid w:val="00366A2C"/>
    <w:rsid w:val="00366A9D"/>
    <w:rsid w:val="00366E16"/>
    <w:rsid w:val="00367168"/>
    <w:rsid w:val="00367361"/>
    <w:rsid w:val="00370B34"/>
    <w:rsid w:val="003710FD"/>
    <w:rsid w:val="00371694"/>
    <w:rsid w:val="00371D27"/>
    <w:rsid w:val="00372BEC"/>
    <w:rsid w:val="00372F18"/>
    <w:rsid w:val="00373673"/>
    <w:rsid w:val="00373EE1"/>
    <w:rsid w:val="003743B8"/>
    <w:rsid w:val="0037565F"/>
    <w:rsid w:val="003758A7"/>
    <w:rsid w:val="00376197"/>
    <w:rsid w:val="003766C9"/>
    <w:rsid w:val="00377D4E"/>
    <w:rsid w:val="00380888"/>
    <w:rsid w:val="0038105F"/>
    <w:rsid w:val="0038175E"/>
    <w:rsid w:val="003824EF"/>
    <w:rsid w:val="00382D8D"/>
    <w:rsid w:val="00382EED"/>
    <w:rsid w:val="00383905"/>
    <w:rsid w:val="00383B9E"/>
    <w:rsid w:val="00383BA3"/>
    <w:rsid w:val="003846DF"/>
    <w:rsid w:val="00384916"/>
    <w:rsid w:val="00384D4A"/>
    <w:rsid w:val="003852F0"/>
    <w:rsid w:val="00385307"/>
    <w:rsid w:val="00386095"/>
    <w:rsid w:val="0038619F"/>
    <w:rsid w:val="00386A45"/>
    <w:rsid w:val="00386AF6"/>
    <w:rsid w:val="00386B24"/>
    <w:rsid w:val="00386BFA"/>
    <w:rsid w:val="00386EB5"/>
    <w:rsid w:val="00386F77"/>
    <w:rsid w:val="003872CB"/>
    <w:rsid w:val="00387D28"/>
    <w:rsid w:val="00387E73"/>
    <w:rsid w:val="0039099B"/>
    <w:rsid w:val="00390BF5"/>
    <w:rsid w:val="0039135D"/>
    <w:rsid w:val="0039199C"/>
    <w:rsid w:val="00392056"/>
    <w:rsid w:val="0039260B"/>
    <w:rsid w:val="0039332E"/>
    <w:rsid w:val="00393657"/>
    <w:rsid w:val="00393E6B"/>
    <w:rsid w:val="003943BE"/>
    <w:rsid w:val="0039455D"/>
    <w:rsid w:val="00394E76"/>
    <w:rsid w:val="00395250"/>
    <w:rsid w:val="003958B1"/>
    <w:rsid w:val="00395948"/>
    <w:rsid w:val="00396057"/>
    <w:rsid w:val="0039614E"/>
    <w:rsid w:val="00397353"/>
    <w:rsid w:val="00397377"/>
    <w:rsid w:val="00397C13"/>
    <w:rsid w:val="003A0592"/>
    <w:rsid w:val="003A1701"/>
    <w:rsid w:val="003A1BC1"/>
    <w:rsid w:val="003A209E"/>
    <w:rsid w:val="003A2467"/>
    <w:rsid w:val="003A28A7"/>
    <w:rsid w:val="003A32E8"/>
    <w:rsid w:val="003A333F"/>
    <w:rsid w:val="003A4258"/>
    <w:rsid w:val="003A4ADD"/>
    <w:rsid w:val="003A4D8F"/>
    <w:rsid w:val="003A537A"/>
    <w:rsid w:val="003A5826"/>
    <w:rsid w:val="003A5BF5"/>
    <w:rsid w:val="003A6905"/>
    <w:rsid w:val="003A6A84"/>
    <w:rsid w:val="003A6F5D"/>
    <w:rsid w:val="003B01DB"/>
    <w:rsid w:val="003B09D2"/>
    <w:rsid w:val="003B151D"/>
    <w:rsid w:val="003B2307"/>
    <w:rsid w:val="003B315A"/>
    <w:rsid w:val="003B3897"/>
    <w:rsid w:val="003B4728"/>
    <w:rsid w:val="003B5260"/>
    <w:rsid w:val="003B52C5"/>
    <w:rsid w:val="003B6310"/>
    <w:rsid w:val="003B6AC3"/>
    <w:rsid w:val="003B6AE1"/>
    <w:rsid w:val="003B6AF1"/>
    <w:rsid w:val="003B7CBE"/>
    <w:rsid w:val="003C013F"/>
    <w:rsid w:val="003C0B9E"/>
    <w:rsid w:val="003C0D4B"/>
    <w:rsid w:val="003C1592"/>
    <w:rsid w:val="003C1855"/>
    <w:rsid w:val="003C20FC"/>
    <w:rsid w:val="003C2A40"/>
    <w:rsid w:val="003C3185"/>
    <w:rsid w:val="003C3410"/>
    <w:rsid w:val="003C3819"/>
    <w:rsid w:val="003C4292"/>
    <w:rsid w:val="003C4C23"/>
    <w:rsid w:val="003C5126"/>
    <w:rsid w:val="003C66A4"/>
    <w:rsid w:val="003C69F7"/>
    <w:rsid w:val="003C711F"/>
    <w:rsid w:val="003C789C"/>
    <w:rsid w:val="003D034F"/>
    <w:rsid w:val="003D141C"/>
    <w:rsid w:val="003D276A"/>
    <w:rsid w:val="003D322F"/>
    <w:rsid w:val="003D39F9"/>
    <w:rsid w:val="003D4012"/>
    <w:rsid w:val="003D45A0"/>
    <w:rsid w:val="003D662A"/>
    <w:rsid w:val="003D77AD"/>
    <w:rsid w:val="003E0061"/>
    <w:rsid w:val="003E00CF"/>
    <w:rsid w:val="003E0A27"/>
    <w:rsid w:val="003E0DD6"/>
    <w:rsid w:val="003E0FC8"/>
    <w:rsid w:val="003E13DC"/>
    <w:rsid w:val="003E1AEA"/>
    <w:rsid w:val="003E2535"/>
    <w:rsid w:val="003E3EF5"/>
    <w:rsid w:val="003E3FC8"/>
    <w:rsid w:val="003E4255"/>
    <w:rsid w:val="003E4F66"/>
    <w:rsid w:val="003E5215"/>
    <w:rsid w:val="003E614E"/>
    <w:rsid w:val="003E65A4"/>
    <w:rsid w:val="003E7A7B"/>
    <w:rsid w:val="003E7BCC"/>
    <w:rsid w:val="003E7CDE"/>
    <w:rsid w:val="003E7EB4"/>
    <w:rsid w:val="003E7FF5"/>
    <w:rsid w:val="003F0575"/>
    <w:rsid w:val="003F072D"/>
    <w:rsid w:val="003F1083"/>
    <w:rsid w:val="003F1E45"/>
    <w:rsid w:val="003F2EBE"/>
    <w:rsid w:val="003F3001"/>
    <w:rsid w:val="003F3642"/>
    <w:rsid w:val="003F4195"/>
    <w:rsid w:val="003F425A"/>
    <w:rsid w:val="003F42C2"/>
    <w:rsid w:val="003F4CB4"/>
    <w:rsid w:val="003F4F8B"/>
    <w:rsid w:val="003F6794"/>
    <w:rsid w:val="003F68F3"/>
    <w:rsid w:val="003F6E08"/>
    <w:rsid w:val="003F7940"/>
    <w:rsid w:val="00401BFF"/>
    <w:rsid w:val="00402802"/>
    <w:rsid w:val="004034AC"/>
    <w:rsid w:val="00404255"/>
    <w:rsid w:val="0040511E"/>
    <w:rsid w:val="0040520A"/>
    <w:rsid w:val="00405EA4"/>
    <w:rsid w:val="004066C1"/>
    <w:rsid w:val="00406C4E"/>
    <w:rsid w:val="00406E95"/>
    <w:rsid w:val="00407132"/>
    <w:rsid w:val="00407645"/>
    <w:rsid w:val="00407FDD"/>
    <w:rsid w:val="00410285"/>
    <w:rsid w:val="0041198D"/>
    <w:rsid w:val="00411BA3"/>
    <w:rsid w:val="004122D4"/>
    <w:rsid w:val="004124EF"/>
    <w:rsid w:val="004124FC"/>
    <w:rsid w:val="0041271A"/>
    <w:rsid w:val="0041299E"/>
    <w:rsid w:val="00412D42"/>
    <w:rsid w:val="00413C09"/>
    <w:rsid w:val="00413DCF"/>
    <w:rsid w:val="00414486"/>
    <w:rsid w:val="00414FA2"/>
    <w:rsid w:val="0041523D"/>
    <w:rsid w:val="00415345"/>
    <w:rsid w:val="0041592A"/>
    <w:rsid w:val="00415DC0"/>
    <w:rsid w:val="004168F9"/>
    <w:rsid w:val="00416AE8"/>
    <w:rsid w:val="004173EE"/>
    <w:rsid w:val="00417805"/>
    <w:rsid w:val="004179B4"/>
    <w:rsid w:val="004203FB"/>
    <w:rsid w:val="00420DE7"/>
    <w:rsid w:val="00420EC4"/>
    <w:rsid w:val="00420FBE"/>
    <w:rsid w:val="004215CC"/>
    <w:rsid w:val="00421ADD"/>
    <w:rsid w:val="004223CD"/>
    <w:rsid w:val="00422775"/>
    <w:rsid w:val="0042302C"/>
    <w:rsid w:val="00423909"/>
    <w:rsid w:val="00423992"/>
    <w:rsid w:val="0042486E"/>
    <w:rsid w:val="00425748"/>
    <w:rsid w:val="00425AE9"/>
    <w:rsid w:val="004265F3"/>
    <w:rsid w:val="00426A09"/>
    <w:rsid w:val="00427FF0"/>
    <w:rsid w:val="004303DD"/>
    <w:rsid w:val="0043045E"/>
    <w:rsid w:val="00430661"/>
    <w:rsid w:val="00430923"/>
    <w:rsid w:val="00430E41"/>
    <w:rsid w:val="00431AAD"/>
    <w:rsid w:val="00432510"/>
    <w:rsid w:val="004325EC"/>
    <w:rsid w:val="00432A14"/>
    <w:rsid w:val="00433354"/>
    <w:rsid w:val="00433516"/>
    <w:rsid w:val="004336B4"/>
    <w:rsid w:val="00434A17"/>
    <w:rsid w:val="004352E2"/>
    <w:rsid w:val="004355CB"/>
    <w:rsid w:val="004357D6"/>
    <w:rsid w:val="00436618"/>
    <w:rsid w:val="00436695"/>
    <w:rsid w:val="00437413"/>
    <w:rsid w:val="004402AF"/>
    <w:rsid w:val="00440406"/>
    <w:rsid w:val="00440C5C"/>
    <w:rsid w:val="0044124F"/>
    <w:rsid w:val="0044184F"/>
    <w:rsid w:val="00441AA7"/>
    <w:rsid w:val="00441AE5"/>
    <w:rsid w:val="00441C73"/>
    <w:rsid w:val="00441EB8"/>
    <w:rsid w:val="004447B3"/>
    <w:rsid w:val="00444AD1"/>
    <w:rsid w:val="00444D28"/>
    <w:rsid w:val="00444FDF"/>
    <w:rsid w:val="0044562D"/>
    <w:rsid w:val="00445CD4"/>
    <w:rsid w:val="004468DD"/>
    <w:rsid w:val="00447451"/>
    <w:rsid w:val="0045002F"/>
    <w:rsid w:val="00451187"/>
    <w:rsid w:val="00451A98"/>
    <w:rsid w:val="0045201C"/>
    <w:rsid w:val="0045354D"/>
    <w:rsid w:val="00453C87"/>
    <w:rsid w:val="00453FA1"/>
    <w:rsid w:val="00454597"/>
    <w:rsid w:val="00454EF2"/>
    <w:rsid w:val="0045649B"/>
    <w:rsid w:val="00456746"/>
    <w:rsid w:val="00456B00"/>
    <w:rsid w:val="004570A4"/>
    <w:rsid w:val="00457553"/>
    <w:rsid w:val="004601E7"/>
    <w:rsid w:val="004615CD"/>
    <w:rsid w:val="00461893"/>
    <w:rsid w:val="00462227"/>
    <w:rsid w:val="00462CCF"/>
    <w:rsid w:val="00462D77"/>
    <w:rsid w:val="004630B8"/>
    <w:rsid w:val="0046329E"/>
    <w:rsid w:val="004633B8"/>
    <w:rsid w:val="00463ED7"/>
    <w:rsid w:val="00464E8F"/>
    <w:rsid w:val="00465088"/>
    <w:rsid w:val="00465B0E"/>
    <w:rsid w:val="00466AD5"/>
    <w:rsid w:val="00467974"/>
    <w:rsid w:val="00467985"/>
    <w:rsid w:val="004679D6"/>
    <w:rsid w:val="00467FDD"/>
    <w:rsid w:val="00471329"/>
    <w:rsid w:val="00471935"/>
    <w:rsid w:val="00471BEE"/>
    <w:rsid w:val="00471C58"/>
    <w:rsid w:val="00471E43"/>
    <w:rsid w:val="00472BD5"/>
    <w:rsid w:val="00473744"/>
    <w:rsid w:val="00473D1F"/>
    <w:rsid w:val="00473DE3"/>
    <w:rsid w:val="00474911"/>
    <w:rsid w:val="00474983"/>
    <w:rsid w:val="00474DA8"/>
    <w:rsid w:val="00474E4A"/>
    <w:rsid w:val="004759C2"/>
    <w:rsid w:val="00475F8F"/>
    <w:rsid w:val="00476F72"/>
    <w:rsid w:val="00480C1F"/>
    <w:rsid w:val="00480C81"/>
    <w:rsid w:val="00481041"/>
    <w:rsid w:val="00481349"/>
    <w:rsid w:val="004815A3"/>
    <w:rsid w:val="00481B45"/>
    <w:rsid w:val="004820E0"/>
    <w:rsid w:val="00482216"/>
    <w:rsid w:val="0048234A"/>
    <w:rsid w:val="00482507"/>
    <w:rsid w:val="00482802"/>
    <w:rsid w:val="004829DF"/>
    <w:rsid w:val="00482DE6"/>
    <w:rsid w:val="0048345E"/>
    <w:rsid w:val="00483861"/>
    <w:rsid w:val="00483887"/>
    <w:rsid w:val="00484126"/>
    <w:rsid w:val="0048477D"/>
    <w:rsid w:val="004855CF"/>
    <w:rsid w:val="00485D36"/>
    <w:rsid w:val="0048699F"/>
    <w:rsid w:val="004870C7"/>
    <w:rsid w:val="004876F0"/>
    <w:rsid w:val="00487DB6"/>
    <w:rsid w:val="00491B2A"/>
    <w:rsid w:val="0049253B"/>
    <w:rsid w:val="00492C96"/>
    <w:rsid w:val="0049318B"/>
    <w:rsid w:val="0049347F"/>
    <w:rsid w:val="00493A1B"/>
    <w:rsid w:val="00494449"/>
    <w:rsid w:val="00494660"/>
    <w:rsid w:val="0049487F"/>
    <w:rsid w:val="00494888"/>
    <w:rsid w:val="00494CBB"/>
    <w:rsid w:val="00494DFF"/>
    <w:rsid w:val="00495CBD"/>
    <w:rsid w:val="00496B17"/>
    <w:rsid w:val="00497A1C"/>
    <w:rsid w:val="004A108B"/>
    <w:rsid w:val="004A113C"/>
    <w:rsid w:val="004A1947"/>
    <w:rsid w:val="004A22DB"/>
    <w:rsid w:val="004A2EFA"/>
    <w:rsid w:val="004A42F9"/>
    <w:rsid w:val="004A4D7D"/>
    <w:rsid w:val="004A537E"/>
    <w:rsid w:val="004A55A1"/>
    <w:rsid w:val="004A569C"/>
    <w:rsid w:val="004A597A"/>
    <w:rsid w:val="004A5BEC"/>
    <w:rsid w:val="004A675D"/>
    <w:rsid w:val="004A684B"/>
    <w:rsid w:val="004A6FB4"/>
    <w:rsid w:val="004A7249"/>
    <w:rsid w:val="004A7991"/>
    <w:rsid w:val="004A7C33"/>
    <w:rsid w:val="004B0195"/>
    <w:rsid w:val="004B0830"/>
    <w:rsid w:val="004B13AF"/>
    <w:rsid w:val="004B1D36"/>
    <w:rsid w:val="004B2240"/>
    <w:rsid w:val="004B22B9"/>
    <w:rsid w:val="004B2E63"/>
    <w:rsid w:val="004B32D4"/>
    <w:rsid w:val="004B34AD"/>
    <w:rsid w:val="004B36F8"/>
    <w:rsid w:val="004B405F"/>
    <w:rsid w:val="004B4427"/>
    <w:rsid w:val="004B4DC3"/>
    <w:rsid w:val="004B50E5"/>
    <w:rsid w:val="004B5B47"/>
    <w:rsid w:val="004B615A"/>
    <w:rsid w:val="004B71BE"/>
    <w:rsid w:val="004B72CA"/>
    <w:rsid w:val="004C01DC"/>
    <w:rsid w:val="004C058E"/>
    <w:rsid w:val="004C09D7"/>
    <w:rsid w:val="004C13A0"/>
    <w:rsid w:val="004C18A5"/>
    <w:rsid w:val="004C1A6A"/>
    <w:rsid w:val="004C276F"/>
    <w:rsid w:val="004C3380"/>
    <w:rsid w:val="004C4152"/>
    <w:rsid w:val="004C4350"/>
    <w:rsid w:val="004C4686"/>
    <w:rsid w:val="004C490B"/>
    <w:rsid w:val="004C4FB0"/>
    <w:rsid w:val="004C514C"/>
    <w:rsid w:val="004C62E9"/>
    <w:rsid w:val="004C6C02"/>
    <w:rsid w:val="004D02E6"/>
    <w:rsid w:val="004D10A3"/>
    <w:rsid w:val="004D2797"/>
    <w:rsid w:val="004D2C3E"/>
    <w:rsid w:val="004D32BB"/>
    <w:rsid w:val="004D33A3"/>
    <w:rsid w:val="004D390A"/>
    <w:rsid w:val="004D410B"/>
    <w:rsid w:val="004D43D0"/>
    <w:rsid w:val="004D51FF"/>
    <w:rsid w:val="004D52CC"/>
    <w:rsid w:val="004D692C"/>
    <w:rsid w:val="004D69FA"/>
    <w:rsid w:val="004D718A"/>
    <w:rsid w:val="004D740A"/>
    <w:rsid w:val="004E0E5A"/>
    <w:rsid w:val="004E0F09"/>
    <w:rsid w:val="004E0FAA"/>
    <w:rsid w:val="004E20AA"/>
    <w:rsid w:val="004E20DE"/>
    <w:rsid w:val="004E2C44"/>
    <w:rsid w:val="004E38D9"/>
    <w:rsid w:val="004E3C6E"/>
    <w:rsid w:val="004E3D5E"/>
    <w:rsid w:val="004E4494"/>
    <w:rsid w:val="004E452F"/>
    <w:rsid w:val="004E4DF8"/>
    <w:rsid w:val="004E5C69"/>
    <w:rsid w:val="004E5CBF"/>
    <w:rsid w:val="004E5FB9"/>
    <w:rsid w:val="004E6007"/>
    <w:rsid w:val="004E652A"/>
    <w:rsid w:val="004E680A"/>
    <w:rsid w:val="004E6937"/>
    <w:rsid w:val="004E6A67"/>
    <w:rsid w:val="004E6B26"/>
    <w:rsid w:val="004E7792"/>
    <w:rsid w:val="004E794E"/>
    <w:rsid w:val="004E7B73"/>
    <w:rsid w:val="004E7DE3"/>
    <w:rsid w:val="004F057B"/>
    <w:rsid w:val="004F05BD"/>
    <w:rsid w:val="004F1695"/>
    <w:rsid w:val="004F16D9"/>
    <w:rsid w:val="004F24BC"/>
    <w:rsid w:val="004F2AD8"/>
    <w:rsid w:val="004F328C"/>
    <w:rsid w:val="004F347A"/>
    <w:rsid w:val="004F38E7"/>
    <w:rsid w:val="004F4127"/>
    <w:rsid w:val="004F51AE"/>
    <w:rsid w:val="004F5A3A"/>
    <w:rsid w:val="004F5D57"/>
    <w:rsid w:val="004F5ECD"/>
    <w:rsid w:val="004F63EE"/>
    <w:rsid w:val="004F69FD"/>
    <w:rsid w:val="004F6ED7"/>
    <w:rsid w:val="004F6F37"/>
    <w:rsid w:val="004F7551"/>
    <w:rsid w:val="004F7ACB"/>
    <w:rsid w:val="00500174"/>
    <w:rsid w:val="00500279"/>
    <w:rsid w:val="0050029E"/>
    <w:rsid w:val="0050050B"/>
    <w:rsid w:val="00500653"/>
    <w:rsid w:val="00500741"/>
    <w:rsid w:val="00500811"/>
    <w:rsid w:val="00500930"/>
    <w:rsid w:val="00500ECA"/>
    <w:rsid w:val="005015EF"/>
    <w:rsid w:val="00501F05"/>
    <w:rsid w:val="00501F30"/>
    <w:rsid w:val="00502099"/>
    <w:rsid w:val="005026D5"/>
    <w:rsid w:val="00502E95"/>
    <w:rsid w:val="0050300D"/>
    <w:rsid w:val="00503688"/>
    <w:rsid w:val="00504053"/>
    <w:rsid w:val="0050425D"/>
    <w:rsid w:val="005049AD"/>
    <w:rsid w:val="005052EA"/>
    <w:rsid w:val="00505397"/>
    <w:rsid w:val="00505465"/>
    <w:rsid w:val="005070AE"/>
    <w:rsid w:val="00507180"/>
    <w:rsid w:val="00507C18"/>
    <w:rsid w:val="00507DFD"/>
    <w:rsid w:val="0051088B"/>
    <w:rsid w:val="00511CD5"/>
    <w:rsid w:val="00511CF6"/>
    <w:rsid w:val="005129FD"/>
    <w:rsid w:val="00513067"/>
    <w:rsid w:val="0051327F"/>
    <w:rsid w:val="0051407B"/>
    <w:rsid w:val="005147D8"/>
    <w:rsid w:val="00514B7E"/>
    <w:rsid w:val="00515531"/>
    <w:rsid w:val="00515871"/>
    <w:rsid w:val="00515A2E"/>
    <w:rsid w:val="00516306"/>
    <w:rsid w:val="00516FB3"/>
    <w:rsid w:val="005171A4"/>
    <w:rsid w:val="0052040F"/>
    <w:rsid w:val="00520E4D"/>
    <w:rsid w:val="00522644"/>
    <w:rsid w:val="005227FC"/>
    <w:rsid w:val="0052297B"/>
    <w:rsid w:val="0052309A"/>
    <w:rsid w:val="00523899"/>
    <w:rsid w:val="005239EA"/>
    <w:rsid w:val="00523CA8"/>
    <w:rsid w:val="00524137"/>
    <w:rsid w:val="00524864"/>
    <w:rsid w:val="0052575C"/>
    <w:rsid w:val="00525865"/>
    <w:rsid w:val="00525A21"/>
    <w:rsid w:val="00526422"/>
    <w:rsid w:val="00526752"/>
    <w:rsid w:val="00526CE1"/>
    <w:rsid w:val="00526D3C"/>
    <w:rsid w:val="00526F8E"/>
    <w:rsid w:val="00527561"/>
    <w:rsid w:val="005305A9"/>
    <w:rsid w:val="00530B99"/>
    <w:rsid w:val="00531676"/>
    <w:rsid w:val="00533261"/>
    <w:rsid w:val="00533B01"/>
    <w:rsid w:val="00533D40"/>
    <w:rsid w:val="00533D52"/>
    <w:rsid w:val="005344F9"/>
    <w:rsid w:val="00534985"/>
    <w:rsid w:val="00535638"/>
    <w:rsid w:val="00535BD3"/>
    <w:rsid w:val="00535CBA"/>
    <w:rsid w:val="005367A1"/>
    <w:rsid w:val="00536C48"/>
    <w:rsid w:val="00540272"/>
    <w:rsid w:val="0054039F"/>
    <w:rsid w:val="005405C1"/>
    <w:rsid w:val="005422B5"/>
    <w:rsid w:val="00542435"/>
    <w:rsid w:val="00542E73"/>
    <w:rsid w:val="00542F7D"/>
    <w:rsid w:val="005432F1"/>
    <w:rsid w:val="005435D9"/>
    <w:rsid w:val="00543739"/>
    <w:rsid w:val="00543C8F"/>
    <w:rsid w:val="00544037"/>
    <w:rsid w:val="005442A2"/>
    <w:rsid w:val="00544809"/>
    <w:rsid w:val="00544F3A"/>
    <w:rsid w:val="0054512C"/>
    <w:rsid w:val="005457B9"/>
    <w:rsid w:val="0054587A"/>
    <w:rsid w:val="005459E1"/>
    <w:rsid w:val="00545C7A"/>
    <w:rsid w:val="00545CB1"/>
    <w:rsid w:val="00545D7D"/>
    <w:rsid w:val="00546186"/>
    <w:rsid w:val="005466E1"/>
    <w:rsid w:val="00546A50"/>
    <w:rsid w:val="0054774B"/>
    <w:rsid w:val="005477E1"/>
    <w:rsid w:val="00550965"/>
    <w:rsid w:val="00550B47"/>
    <w:rsid w:val="00551AED"/>
    <w:rsid w:val="00551CEC"/>
    <w:rsid w:val="00551D3C"/>
    <w:rsid w:val="00552157"/>
    <w:rsid w:val="005523DB"/>
    <w:rsid w:val="00552959"/>
    <w:rsid w:val="005529DE"/>
    <w:rsid w:val="0055308E"/>
    <w:rsid w:val="00553D22"/>
    <w:rsid w:val="00553FB3"/>
    <w:rsid w:val="00554355"/>
    <w:rsid w:val="00556AF6"/>
    <w:rsid w:val="00556B8C"/>
    <w:rsid w:val="005576D7"/>
    <w:rsid w:val="00557883"/>
    <w:rsid w:val="00557EB3"/>
    <w:rsid w:val="00560131"/>
    <w:rsid w:val="00560182"/>
    <w:rsid w:val="005603F4"/>
    <w:rsid w:val="00560CD0"/>
    <w:rsid w:val="00561F77"/>
    <w:rsid w:val="00562191"/>
    <w:rsid w:val="005623A2"/>
    <w:rsid w:val="00562C3D"/>
    <w:rsid w:val="00562EF3"/>
    <w:rsid w:val="005639B7"/>
    <w:rsid w:val="00563A9D"/>
    <w:rsid w:val="00563D65"/>
    <w:rsid w:val="0056483E"/>
    <w:rsid w:val="0056483F"/>
    <w:rsid w:val="0056488E"/>
    <w:rsid w:val="005655C8"/>
    <w:rsid w:val="00565877"/>
    <w:rsid w:val="00565CC0"/>
    <w:rsid w:val="00566F46"/>
    <w:rsid w:val="005670EE"/>
    <w:rsid w:val="0056746D"/>
    <w:rsid w:val="005676BE"/>
    <w:rsid w:val="00570627"/>
    <w:rsid w:val="00570990"/>
    <w:rsid w:val="00570A23"/>
    <w:rsid w:val="00570CA5"/>
    <w:rsid w:val="00570CDF"/>
    <w:rsid w:val="00570CFE"/>
    <w:rsid w:val="00571A9E"/>
    <w:rsid w:val="00571AA0"/>
    <w:rsid w:val="00571CC9"/>
    <w:rsid w:val="00571D14"/>
    <w:rsid w:val="0057203F"/>
    <w:rsid w:val="00572C99"/>
    <w:rsid w:val="00573628"/>
    <w:rsid w:val="00573ED2"/>
    <w:rsid w:val="00574DB7"/>
    <w:rsid w:val="00575424"/>
    <w:rsid w:val="00575FDD"/>
    <w:rsid w:val="0057604F"/>
    <w:rsid w:val="00576CF5"/>
    <w:rsid w:val="00576ED6"/>
    <w:rsid w:val="005771BC"/>
    <w:rsid w:val="005773B1"/>
    <w:rsid w:val="005774B8"/>
    <w:rsid w:val="00577533"/>
    <w:rsid w:val="00577545"/>
    <w:rsid w:val="00577D29"/>
    <w:rsid w:val="00580060"/>
    <w:rsid w:val="005800CB"/>
    <w:rsid w:val="00580559"/>
    <w:rsid w:val="0058122C"/>
    <w:rsid w:val="0058265D"/>
    <w:rsid w:val="0058387F"/>
    <w:rsid w:val="0058498C"/>
    <w:rsid w:val="0058560C"/>
    <w:rsid w:val="00585CDD"/>
    <w:rsid w:val="00586269"/>
    <w:rsid w:val="0058647A"/>
    <w:rsid w:val="005868B9"/>
    <w:rsid w:val="00586A88"/>
    <w:rsid w:val="00587368"/>
    <w:rsid w:val="005875AB"/>
    <w:rsid w:val="005900C9"/>
    <w:rsid w:val="00590115"/>
    <w:rsid w:val="00590DF1"/>
    <w:rsid w:val="00590FF2"/>
    <w:rsid w:val="005911FD"/>
    <w:rsid w:val="00591486"/>
    <w:rsid w:val="00591741"/>
    <w:rsid w:val="005918A4"/>
    <w:rsid w:val="00591A1F"/>
    <w:rsid w:val="00591BF4"/>
    <w:rsid w:val="0059243B"/>
    <w:rsid w:val="00592516"/>
    <w:rsid w:val="00593641"/>
    <w:rsid w:val="005936E8"/>
    <w:rsid w:val="005941B2"/>
    <w:rsid w:val="00594DC7"/>
    <w:rsid w:val="00594E8A"/>
    <w:rsid w:val="0059569D"/>
    <w:rsid w:val="005957A4"/>
    <w:rsid w:val="0059584F"/>
    <w:rsid w:val="005966CE"/>
    <w:rsid w:val="005966F2"/>
    <w:rsid w:val="0059696A"/>
    <w:rsid w:val="00596FB2"/>
    <w:rsid w:val="005971FF"/>
    <w:rsid w:val="0059783F"/>
    <w:rsid w:val="00597BBF"/>
    <w:rsid w:val="005A0211"/>
    <w:rsid w:val="005A2795"/>
    <w:rsid w:val="005A3258"/>
    <w:rsid w:val="005A369A"/>
    <w:rsid w:val="005A38BB"/>
    <w:rsid w:val="005A394B"/>
    <w:rsid w:val="005A45C6"/>
    <w:rsid w:val="005A53D0"/>
    <w:rsid w:val="005A5BF1"/>
    <w:rsid w:val="005A6B62"/>
    <w:rsid w:val="005A6E59"/>
    <w:rsid w:val="005A7100"/>
    <w:rsid w:val="005A7136"/>
    <w:rsid w:val="005A7697"/>
    <w:rsid w:val="005A7F95"/>
    <w:rsid w:val="005B0292"/>
    <w:rsid w:val="005B05AA"/>
    <w:rsid w:val="005B073A"/>
    <w:rsid w:val="005B0BB8"/>
    <w:rsid w:val="005B0C5E"/>
    <w:rsid w:val="005B1265"/>
    <w:rsid w:val="005B12C2"/>
    <w:rsid w:val="005B15CB"/>
    <w:rsid w:val="005B1682"/>
    <w:rsid w:val="005B1E54"/>
    <w:rsid w:val="005B1EA1"/>
    <w:rsid w:val="005B1EDB"/>
    <w:rsid w:val="005B216C"/>
    <w:rsid w:val="005B2CB8"/>
    <w:rsid w:val="005B328B"/>
    <w:rsid w:val="005B3BFD"/>
    <w:rsid w:val="005B462F"/>
    <w:rsid w:val="005B4B7C"/>
    <w:rsid w:val="005B4D94"/>
    <w:rsid w:val="005B5805"/>
    <w:rsid w:val="005B5823"/>
    <w:rsid w:val="005B595A"/>
    <w:rsid w:val="005B6133"/>
    <w:rsid w:val="005B6325"/>
    <w:rsid w:val="005B65E9"/>
    <w:rsid w:val="005B6C31"/>
    <w:rsid w:val="005B706D"/>
    <w:rsid w:val="005B773F"/>
    <w:rsid w:val="005B7B83"/>
    <w:rsid w:val="005B7BFE"/>
    <w:rsid w:val="005C0AE6"/>
    <w:rsid w:val="005C11E9"/>
    <w:rsid w:val="005C1E1F"/>
    <w:rsid w:val="005C3257"/>
    <w:rsid w:val="005C48C6"/>
    <w:rsid w:val="005C4A43"/>
    <w:rsid w:val="005C4BFF"/>
    <w:rsid w:val="005C50E0"/>
    <w:rsid w:val="005C57C3"/>
    <w:rsid w:val="005C5AEF"/>
    <w:rsid w:val="005C6A3C"/>
    <w:rsid w:val="005C6A53"/>
    <w:rsid w:val="005C78F6"/>
    <w:rsid w:val="005C7C35"/>
    <w:rsid w:val="005C7D68"/>
    <w:rsid w:val="005C7FBF"/>
    <w:rsid w:val="005D0A3F"/>
    <w:rsid w:val="005D0A94"/>
    <w:rsid w:val="005D11DA"/>
    <w:rsid w:val="005D1964"/>
    <w:rsid w:val="005D2A5D"/>
    <w:rsid w:val="005D2E25"/>
    <w:rsid w:val="005D34FF"/>
    <w:rsid w:val="005D3672"/>
    <w:rsid w:val="005D39F4"/>
    <w:rsid w:val="005D3D60"/>
    <w:rsid w:val="005D3E72"/>
    <w:rsid w:val="005D45CE"/>
    <w:rsid w:val="005D491F"/>
    <w:rsid w:val="005D4BD4"/>
    <w:rsid w:val="005D5375"/>
    <w:rsid w:val="005D54C9"/>
    <w:rsid w:val="005D6529"/>
    <w:rsid w:val="005D65D3"/>
    <w:rsid w:val="005D661B"/>
    <w:rsid w:val="005D6D43"/>
    <w:rsid w:val="005D757D"/>
    <w:rsid w:val="005E041C"/>
    <w:rsid w:val="005E1100"/>
    <w:rsid w:val="005E165B"/>
    <w:rsid w:val="005E2609"/>
    <w:rsid w:val="005E2AFE"/>
    <w:rsid w:val="005E33FF"/>
    <w:rsid w:val="005E4291"/>
    <w:rsid w:val="005E5B7F"/>
    <w:rsid w:val="005E68CE"/>
    <w:rsid w:val="005E7120"/>
    <w:rsid w:val="005E7789"/>
    <w:rsid w:val="005E78C0"/>
    <w:rsid w:val="005F0452"/>
    <w:rsid w:val="005F046A"/>
    <w:rsid w:val="005F0F9F"/>
    <w:rsid w:val="005F1512"/>
    <w:rsid w:val="005F1787"/>
    <w:rsid w:val="005F1C45"/>
    <w:rsid w:val="005F3337"/>
    <w:rsid w:val="005F33A4"/>
    <w:rsid w:val="005F3DB5"/>
    <w:rsid w:val="005F3F08"/>
    <w:rsid w:val="005F4581"/>
    <w:rsid w:val="005F4CC6"/>
    <w:rsid w:val="005F4F7E"/>
    <w:rsid w:val="005F5585"/>
    <w:rsid w:val="005F6178"/>
    <w:rsid w:val="005F669A"/>
    <w:rsid w:val="005F71C0"/>
    <w:rsid w:val="005F7B87"/>
    <w:rsid w:val="005F7CAA"/>
    <w:rsid w:val="005F7E5E"/>
    <w:rsid w:val="006002DA"/>
    <w:rsid w:val="006009F3"/>
    <w:rsid w:val="006011A3"/>
    <w:rsid w:val="006013FD"/>
    <w:rsid w:val="0060151C"/>
    <w:rsid w:val="006015C5"/>
    <w:rsid w:val="0060177A"/>
    <w:rsid w:val="0060224F"/>
    <w:rsid w:val="00603717"/>
    <w:rsid w:val="0060403B"/>
    <w:rsid w:val="0060469A"/>
    <w:rsid w:val="00604D75"/>
    <w:rsid w:val="00604F71"/>
    <w:rsid w:val="00605B4D"/>
    <w:rsid w:val="00605DB2"/>
    <w:rsid w:val="006062E0"/>
    <w:rsid w:val="00607035"/>
    <w:rsid w:val="00610771"/>
    <w:rsid w:val="006107F1"/>
    <w:rsid w:val="00610EB3"/>
    <w:rsid w:val="006113BB"/>
    <w:rsid w:val="006120E2"/>
    <w:rsid w:val="00612EE9"/>
    <w:rsid w:val="006136D7"/>
    <w:rsid w:val="00613DB8"/>
    <w:rsid w:val="006155A6"/>
    <w:rsid w:val="006166D0"/>
    <w:rsid w:val="0061751D"/>
    <w:rsid w:val="006175E1"/>
    <w:rsid w:val="00617A3C"/>
    <w:rsid w:val="006204FE"/>
    <w:rsid w:val="00620DE7"/>
    <w:rsid w:val="006217AD"/>
    <w:rsid w:val="006219EE"/>
    <w:rsid w:val="00621E91"/>
    <w:rsid w:val="0062251E"/>
    <w:rsid w:val="00622E79"/>
    <w:rsid w:val="00623832"/>
    <w:rsid w:val="00625541"/>
    <w:rsid w:val="00625EAE"/>
    <w:rsid w:val="00626967"/>
    <w:rsid w:val="00626C81"/>
    <w:rsid w:val="006270BF"/>
    <w:rsid w:val="0062724C"/>
    <w:rsid w:val="006273D4"/>
    <w:rsid w:val="006276E2"/>
    <w:rsid w:val="0062784B"/>
    <w:rsid w:val="00627A17"/>
    <w:rsid w:val="00627E98"/>
    <w:rsid w:val="00630B4F"/>
    <w:rsid w:val="00631745"/>
    <w:rsid w:val="00631A55"/>
    <w:rsid w:val="00631CF0"/>
    <w:rsid w:val="00632A28"/>
    <w:rsid w:val="00632F44"/>
    <w:rsid w:val="0063328D"/>
    <w:rsid w:val="006335DD"/>
    <w:rsid w:val="006338DC"/>
    <w:rsid w:val="006338EC"/>
    <w:rsid w:val="00633DDA"/>
    <w:rsid w:val="0063430C"/>
    <w:rsid w:val="00634690"/>
    <w:rsid w:val="006346B4"/>
    <w:rsid w:val="00634C19"/>
    <w:rsid w:val="00634DA1"/>
    <w:rsid w:val="006353B3"/>
    <w:rsid w:val="006353D4"/>
    <w:rsid w:val="00635B11"/>
    <w:rsid w:val="006360EA"/>
    <w:rsid w:val="00636646"/>
    <w:rsid w:val="00636DF2"/>
    <w:rsid w:val="00637345"/>
    <w:rsid w:val="006400C6"/>
    <w:rsid w:val="006401E2"/>
    <w:rsid w:val="00640939"/>
    <w:rsid w:val="00641292"/>
    <w:rsid w:val="006413B9"/>
    <w:rsid w:val="0064171B"/>
    <w:rsid w:val="006437D5"/>
    <w:rsid w:val="006441BC"/>
    <w:rsid w:val="0064740A"/>
    <w:rsid w:val="006477A4"/>
    <w:rsid w:val="00647898"/>
    <w:rsid w:val="0065090D"/>
    <w:rsid w:val="00650C6C"/>
    <w:rsid w:val="00650D6C"/>
    <w:rsid w:val="00650E57"/>
    <w:rsid w:val="006519A8"/>
    <w:rsid w:val="00651BE3"/>
    <w:rsid w:val="006523F1"/>
    <w:rsid w:val="00652697"/>
    <w:rsid w:val="0065286A"/>
    <w:rsid w:val="00652EDA"/>
    <w:rsid w:val="00653158"/>
    <w:rsid w:val="00653DEC"/>
    <w:rsid w:val="00653F3D"/>
    <w:rsid w:val="006544D6"/>
    <w:rsid w:val="00654613"/>
    <w:rsid w:val="00654E8F"/>
    <w:rsid w:val="00655BB4"/>
    <w:rsid w:val="00656657"/>
    <w:rsid w:val="0065685B"/>
    <w:rsid w:val="00657A61"/>
    <w:rsid w:val="00657C1D"/>
    <w:rsid w:val="00660C7C"/>
    <w:rsid w:val="00660EE8"/>
    <w:rsid w:val="00661ADD"/>
    <w:rsid w:val="00661F82"/>
    <w:rsid w:val="006624F0"/>
    <w:rsid w:val="0066314A"/>
    <w:rsid w:val="00663A00"/>
    <w:rsid w:val="006643CA"/>
    <w:rsid w:val="006655BE"/>
    <w:rsid w:val="006658F6"/>
    <w:rsid w:val="00665E78"/>
    <w:rsid w:val="00666A1E"/>
    <w:rsid w:val="0066734E"/>
    <w:rsid w:val="0066741A"/>
    <w:rsid w:val="0067075E"/>
    <w:rsid w:val="00670E7C"/>
    <w:rsid w:val="00672525"/>
    <w:rsid w:val="00672BCE"/>
    <w:rsid w:val="006749B2"/>
    <w:rsid w:val="00674A8A"/>
    <w:rsid w:val="00675162"/>
    <w:rsid w:val="006756CD"/>
    <w:rsid w:val="00675836"/>
    <w:rsid w:val="00675D3F"/>
    <w:rsid w:val="00676377"/>
    <w:rsid w:val="00677188"/>
    <w:rsid w:val="006779E8"/>
    <w:rsid w:val="00680136"/>
    <w:rsid w:val="0068076A"/>
    <w:rsid w:val="006807E2"/>
    <w:rsid w:val="00680D60"/>
    <w:rsid w:val="006818E0"/>
    <w:rsid w:val="00681C3F"/>
    <w:rsid w:val="00681F14"/>
    <w:rsid w:val="006822FB"/>
    <w:rsid w:val="0068259E"/>
    <w:rsid w:val="006832AE"/>
    <w:rsid w:val="00683591"/>
    <w:rsid w:val="006835B9"/>
    <w:rsid w:val="0068389A"/>
    <w:rsid w:val="00683C3F"/>
    <w:rsid w:val="00684309"/>
    <w:rsid w:val="0068574A"/>
    <w:rsid w:val="00685BEF"/>
    <w:rsid w:val="00685E8B"/>
    <w:rsid w:val="00687F2C"/>
    <w:rsid w:val="006912AA"/>
    <w:rsid w:val="0069257D"/>
    <w:rsid w:val="006925C0"/>
    <w:rsid w:val="00692AA2"/>
    <w:rsid w:val="00692C24"/>
    <w:rsid w:val="006932A0"/>
    <w:rsid w:val="00694308"/>
    <w:rsid w:val="00695150"/>
    <w:rsid w:val="00695539"/>
    <w:rsid w:val="006955B6"/>
    <w:rsid w:val="00695C33"/>
    <w:rsid w:val="0069727B"/>
    <w:rsid w:val="006975E7"/>
    <w:rsid w:val="00697DFF"/>
    <w:rsid w:val="006A0021"/>
    <w:rsid w:val="006A0895"/>
    <w:rsid w:val="006A1686"/>
    <w:rsid w:val="006A1694"/>
    <w:rsid w:val="006A16AE"/>
    <w:rsid w:val="006A185F"/>
    <w:rsid w:val="006A2D46"/>
    <w:rsid w:val="006A3D40"/>
    <w:rsid w:val="006A42BA"/>
    <w:rsid w:val="006A442D"/>
    <w:rsid w:val="006A4786"/>
    <w:rsid w:val="006A6123"/>
    <w:rsid w:val="006A6380"/>
    <w:rsid w:val="006A69CF"/>
    <w:rsid w:val="006A74E5"/>
    <w:rsid w:val="006A74FF"/>
    <w:rsid w:val="006B00DF"/>
    <w:rsid w:val="006B1664"/>
    <w:rsid w:val="006B1C49"/>
    <w:rsid w:val="006B1CD5"/>
    <w:rsid w:val="006B3E83"/>
    <w:rsid w:val="006B4510"/>
    <w:rsid w:val="006B4623"/>
    <w:rsid w:val="006B463D"/>
    <w:rsid w:val="006B4703"/>
    <w:rsid w:val="006B5439"/>
    <w:rsid w:val="006B57F7"/>
    <w:rsid w:val="006B7258"/>
    <w:rsid w:val="006B760F"/>
    <w:rsid w:val="006C001E"/>
    <w:rsid w:val="006C01BD"/>
    <w:rsid w:val="006C0209"/>
    <w:rsid w:val="006C0C37"/>
    <w:rsid w:val="006C1166"/>
    <w:rsid w:val="006C1934"/>
    <w:rsid w:val="006C1F4F"/>
    <w:rsid w:val="006C2880"/>
    <w:rsid w:val="006C366C"/>
    <w:rsid w:val="006C554B"/>
    <w:rsid w:val="006C5980"/>
    <w:rsid w:val="006C5B95"/>
    <w:rsid w:val="006C5BF4"/>
    <w:rsid w:val="006C7C80"/>
    <w:rsid w:val="006C7FC3"/>
    <w:rsid w:val="006D1071"/>
    <w:rsid w:val="006D16E4"/>
    <w:rsid w:val="006D1A9F"/>
    <w:rsid w:val="006D20DD"/>
    <w:rsid w:val="006D20E1"/>
    <w:rsid w:val="006D29BF"/>
    <w:rsid w:val="006D2FF6"/>
    <w:rsid w:val="006D3184"/>
    <w:rsid w:val="006D318A"/>
    <w:rsid w:val="006D49E7"/>
    <w:rsid w:val="006D4E80"/>
    <w:rsid w:val="006D5CF4"/>
    <w:rsid w:val="006D5DD1"/>
    <w:rsid w:val="006D6C50"/>
    <w:rsid w:val="006D6DAD"/>
    <w:rsid w:val="006D7ACA"/>
    <w:rsid w:val="006D7D1C"/>
    <w:rsid w:val="006E0358"/>
    <w:rsid w:val="006E04AC"/>
    <w:rsid w:val="006E0946"/>
    <w:rsid w:val="006E1067"/>
    <w:rsid w:val="006E1E62"/>
    <w:rsid w:val="006E2DC7"/>
    <w:rsid w:val="006E2DD4"/>
    <w:rsid w:val="006E2E16"/>
    <w:rsid w:val="006E308F"/>
    <w:rsid w:val="006E31C3"/>
    <w:rsid w:val="006E37F8"/>
    <w:rsid w:val="006E3C36"/>
    <w:rsid w:val="006E3EDE"/>
    <w:rsid w:val="006E41D6"/>
    <w:rsid w:val="006E429B"/>
    <w:rsid w:val="006E4F98"/>
    <w:rsid w:val="006E4FAD"/>
    <w:rsid w:val="006E5047"/>
    <w:rsid w:val="006E5129"/>
    <w:rsid w:val="006E514B"/>
    <w:rsid w:val="006E57DD"/>
    <w:rsid w:val="006E5B72"/>
    <w:rsid w:val="006E6056"/>
    <w:rsid w:val="006E64ED"/>
    <w:rsid w:val="006E6CB8"/>
    <w:rsid w:val="006E6EA7"/>
    <w:rsid w:val="006E7231"/>
    <w:rsid w:val="006E7324"/>
    <w:rsid w:val="006E78C0"/>
    <w:rsid w:val="006F032D"/>
    <w:rsid w:val="006F03D7"/>
    <w:rsid w:val="006F05AE"/>
    <w:rsid w:val="006F160F"/>
    <w:rsid w:val="006F1695"/>
    <w:rsid w:val="006F16A6"/>
    <w:rsid w:val="006F2D70"/>
    <w:rsid w:val="006F2E40"/>
    <w:rsid w:val="006F3124"/>
    <w:rsid w:val="006F339C"/>
    <w:rsid w:val="006F35FA"/>
    <w:rsid w:val="006F3C73"/>
    <w:rsid w:val="006F3DFE"/>
    <w:rsid w:val="006F3E78"/>
    <w:rsid w:val="006F3E96"/>
    <w:rsid w:val="006F4AA3"/>
    <w:rsid w:val="006F4C73"/>
    <w:rsid w:val="006F5E7B"/>
    <w:rsid w:val="006F5FA3"/>
    <w:rsid w:val="006F6B70"/>
    <w:rsid w:val="006F6FDB"/>
    <w:rsid w:val="006F71DB"/>
    <w:rsid w:val="006F7354"/>
    <w:rsid w:val="006F7569"/>
    <w:rsid w:val="006F7E8B"/>
    <w:rsid w:val="00700453"/>
    <w:rsid w:val="00700BB5"/>
    <w:rsid w:val="00700F1A"/>
    <w:rsid w:val="00701537"/>
    <w:rsid w:val="007021B8"/>
    <w:rsid w:val="007029BC"/>
    <w:rsid w:val="00702C2F"/>
    <w:rsid w:val="00702F2F"/>
    <w:rsid w:val="00703105"/>
    <w:rsid w:val="0070331B"/>
    <w:rsid w:val="0070332F"/>
    <w:rsid w:val="00703A75"/>
    <w:rsid w:val="00703D49"/>
    <w:rsid w:val="00703DA6"/>
    <w:rsid w:val="00704266"/>
    <w:rsid w:val="007047FA"/>
    <w:rsid w:val="0070591E"/>
    <w:rsid w:val="0070691E"/>
    <w:rsid w:val="00707BDB"/>
    <w:rsid w:val="00707BE2"/>
    <w:rsid w:val="00707FFB"/>
    <w:rsid w:val="007120C2"/>
    <w:rsid w:val="007120CA"/>
    <w:rsid w:val="0071224D"/>
    <w:rsid w:val="00712D2E"/>
    <w:rsid w:val="00714CF5"/>
    <w:rsid w:val="00715200"/>
    <w:rsid w:val="00715ADE"/>
    <w:rsid w:val="00715D73"/>
    <w:rsid w:val="007160DC"/>
    <w:rsid w:val="00716FC6"/>
    <w:rsid w:val="0071724B"/>
    <w:rsid w:val="00717D41"/>
    <w:rsid w:val="00717DBA"/>
    <w:rsid w:val="00720DEF"/>
    <w:rsid w:val="007210CB"/>
    <w:rsid w:val="00721B3F"/>
    <w:rsid w:val="00722898"/>
    <w:rsid w:val="007241CB"/>
    <w:rsid w:val="007242F6"/>
    <w:rsid w:val="0072465A"/>
    <w:rsid w:val="00724A07"/>
    <w:rsid w:val="00725079"/>
    <w:rsid w:val="00725D96"/>
    <w:rsid w:val="007275E6"/>
    <w:rsid w:val="00727656"/>
    <w:rsid w:val="00727936"/>
    <w:rsid w:val="00730147"/>
    <w:rsid w:val="00730777"/>
    <w:rsid w:val="00731F80"/>
    <w:rsid w:val="007326CE"/>
    <w:rsid w:val="00733D76"/>
    <w:rsid w:val="007351DB"/>
    <w:rsid w:val="00736865"/>
    <w:rsid w:val="00737921"/>
    <w:rsid w:val="0074044B"/>
    <w:rsid w:val="00741B75"/>
    <w:rsid w:val="0074232F"/>
    <w:rsid w:val="00742657"/>
    <w:rsid w:val="00742688"/>
    <w:rsid w:val="00746131"/>
    <w:rsid w:val="00746BC5"/>
    <w:rsid w:val="00746E57"/>
    <w:rsid w:val="007470AF"/>
    <w:rsid w:val="00747347"/>
    <w:rsid w:val="00750104"/>
    <w:rsid w:val="007502B1"/>
    <w:rsid w:val="007505EF"/>
    <w:rsid w:val="00750FEB"/>
    <w:rsid w:val="007519B1"/>
    <w:rsid w:val="00751DBD"/>
    <w:rsid w:val="007524E9"/>
    <w:rsid w:val="0075262C"/>
    <w:rsid w:val="00753204"/>
    <w:rsid w:val="007535A9"/>
    <w:rsid w:val="0075386F"/>
    <w:rsid w:val="007539A8"/>
    <w:rsid w:val="00753C36"/>
    <w:rsid w:val="00753D76"/>
    <w:rsid w:val="00754FD6"/>
    <w:rsid w:val="007554FF"/>
    <w:rsid w:val="00755958"/>
    <w:rsid w:val="00755A26"/>
    <w:rsid w:val="00756103"/>
    <w:rsid w:val="00757075"/>
    <w:rsid w:val="007576CD"/>
    <w:rsid w:val="00757B9B"/>
    <w:rsid w:val="00757DDC"/>
    <w:rsid w:val="0076017E"/>
    <w:rsid w:val="0076026C"/>
    <w:rsid w:val="00760426"/>
    <w:rsid w:val="00760B0F"/>
    <w:rsid w:val="00760C59"/>
    <w:rsid w:val="0076173E"/>
    <w:rsid w:val="00761B95"/>
    <w:rsid w:val="0076234E"/>
    <w:rsid w:val="0076251E"/>
    <w:rsid w:val="00762689"/>
    <w:rsid w:val="00762E30"/>
    <w:rsid w:val="0076331E"/>
    <w:rsid w:val="00763685"/>
    <w:rsid w:val="0076399B"/>
    <w:rsid w:val="00764DF5"/>
    <w:rsid w:val="0076523D"/>
    <w:rsid w:val="007656BC"/>
    <w:rsid w:val="00765BA3"/>
    <w:rsid w:val="0076647C"/>
    <w:rsid w:val="007664EE"/>
    <w:rsid w:val="00766A09"/>
    <w:rsid w:val="0076744D"/>
    <w:rsid w:val="0077042C"/>
    <w:rsid w:val="00770B15"/>
    <w:rsid w:val="00771289"/>
    <w:rsid w:val="007719C1"/>
    <w:rsid w:val="00771FD3"/>
    <w:rsid w:val="007720CE"/>
    <w:rsid w:val="00772BD8"/>
    <w:rsid w:val="00772F54"/>
    <w:rsid w:val="00773CCF"/>
    <w:rsid w:val="00774A60"/>
    <w:rsid w:val="00774E43"/>
    <w:rsid w:val="00775D02"/>
    <w:rsid w:val="00775D5F"/>
    <w:rsid w:val="00776A13"/>
    <w:rsid w:val="0077739F"/>
    <w:rsid w:val="00777C7C"/>
    <w:rsid w:val="00780A8D"/>
    <w:rsid w:val="0078101F"/>
    <w:rsid w:val="00781148"/>
    <w:rsid w:val="00781C6A"/>
    <w:rsid w:val="00782038"/>
    <w:rsid w:val="00782735"/>
    <w:rsid w:val="00782D5E"/>
    <w:rsid w:val="00783B82"/>
    <w:rsid w:val="00783EB6"/>
    <w:rsid w:val="00783F31"/>
    <w:rsid w:val="007858F9"/>
    <w:rsid w:val="00785BEC"/>
    <w:rsid w:val="00786131"/>
    <w:rsid w:val="007862E3"/>
    <w:rsid w:val="007864AD"/>
    <w:rsid w:val="00786653"/>
    <w:rsid w:val="00786AE7"/>
    <w:rsid w:val="00786BB8"/>
    <w:rsid w:val="007875E5"/>
    <w:rsid w:val="007878B8"/>
    <w:rsid w:val="00787A2A"/>
    <w:rsid w:val="00790E6C"/>
    <w:rsid w:val="00791399"/>
    <w:rsid w:val="0079194A"/>
    <w:rsid w:val="007919AD"/>
    <w:rsid w:val="00791ACD"/>
    <w:rsid w:val="00792B9F"/>
    <w:rsid w:val="007935FA"/>
    <w:rsid w:val="007937B9"/>
    <w:rsid w:val="00794510"/>
    <w:rsid w:val="00795207"/>
    <w:rsid w:val="007954FC"/>
    <w:rsid w:val="007957FC"/>
    <w:rsid w:val="00795D2B"/>
    <w:rsid w:val="00797857"/>
    <w:rsid w:val="007A0BB7"/>
    <w:rsid w:val="007A0C3C"/>
    <w:rsid w:val="007A0C4C"/>
    <w:rsid w:val="007A0C80"/>
    <w:rsid w:val="007A1353"/>
    <w:rsid w:val="007A15B8"/>
    <w:rsid w:val="007A1A0E"/>
    <w:rsid w:val="007A1A70"/>
    <w:rsid w:val="007A1BCD"/>
    <w:rsid w:val="007A1C6E"/>
    <w:rsid w:val="007A2C7B"/>
    <w:rsid w:val="007A3314"/>
    <w:rsid w:val="007A38F3"/>
    <w:rsid w:val="007A3A7E"/>
    <w:rsid w:val="007A3F3C"/>
    <w:rsid w:val="007A43F6"/>
    <w:rsid w:val="007A5636"/>
    <w:rsid w:val="007A56A2"/>
    <w:rsid w:val="007A5B5D"/>
    <w:rsid w:val="007A5BAA"/>
    <w:rsid w:val="007A5D37"/>
    <w:rsid w:val="007A6493"/>
    <w:rsid w:val="007A6563"/>
    <w:rsid w:val="007A709F"/>
    <w:rsid w:val="007A731E"/>
    <w:rsid w:val="007B0860"/>
    <w:rsid w:val="007B09DB"/>
    <w:rsid w:val="007B11CA"/>
    <w:rsid w:val="007B11CB"/>
    <w:rsid w:val="007B1511"/>
    <w:rsid w:val="007B200A"/>
    <w:rsid w:val="007B25B3"/>
    <w:rsid w:val="007B297F"/>
    <w:rsid w:val="007B3688"/>
    <w:rsid w:val="007B401A"/>
    <w:rsid w:val="007B4AFD"/>
    <w:rsid w:val="007B53FA"/>
    <w:rsid w:val="007B5446"/>
    <w:rsid w:val="007B5D7A"/>
    <w:rsid w:val="007B5E1C"/>
    <w:rsid w:val="007B6165"/>
    <w:rsid w:val="007B64FB"/>
    <w:rsid w:val="007B692A"/>
    <w:rsid w:val="007B6A66"/>
    <w:rsid w:val="007B6FB4"/>
    <w:rsid w:val="007B78DC"/>
    <w:rsid w:val="007B7975"/>
    <w:rsid w:val="007C0176"/>
    <w:rsid w:val="007C049E"/>
    <w:rsid w:val="007C1245"/>
    <w:rsid w:val="007C1646"/>
    <w:rsid w:val="007C1AC3"/>
    <w:rsid w:val="007C1B94"/>
    <w:rsid w:val="007C23A5"/>
    <w:rsid w:val="007C297A"/>
    <w:rsid w:val="007C2CD0"/>
    <w:rsid w:val="007C3040"/>
    <w:rsid w:val="007C35BB"/>
    <w:rsid w:val="007C419C"/>
    <w:rsid w:val="007C46C9"/>
    <w:rsid w:val="007C4E23"/>
    <w:rsid w:val="007C5038"/>
    <w:rsid w:val="007C6373"/>
    <w:rsid w:val="007C66F3"/>
    <w:rsid w:val="007C670F"/>
    <w:rsid w:val="007C6E3C"/>
    <w:rsid w:val="007C6E49"/>
    <w:rsid w:val="007C7166"/>
    <w:rsid w:val="007D017F"/>
    <w:rsid w:val="007D041B"/>
    <w:rsid w:val="007D0437"/>
    <w:rsid w:val="007D0C6F"/>
    <w:rsid w:val="007D2544"/>
    <w:rsid w:val="007D2B30"/>
    <w:rsid w:val="007D31C9"/>
    <w:rsid w:val="007D37DB"/>
    <w:rsid w:val="007D3952"/>
    <w:rsid w:val="007D3F35"/>
    <w:rsid w:val="007D431E"/>
    <w:rsid w:val="007D471B"/>
    <w:rsid w:val="007D4C01"/>
    <w:rsid w:val="007D5730"/>
    <w:rsid w:val="007D5E6C"/>
    <w:rsid w:val="007D6498"/>
    <w:rsid w:val="007D6ED2"/>
    <w:rsid w:val="007D70C1"/>
    <w:rsid w:val="007E01C8"/>
    <w:rsid w:val="007E04DE"/>
    <w:rsid w:val="007E21BB"/>
    <w:rsid w:val="007E24AE"/>
    <w:rsid w:val="007E3416"/>
    <w:rsid w:val="007E3C3E"/>
    <w:rsid w:val="007E5301"/>
    <w:rsid w:val="007E547B"/>
    <w:rsid w:val="007E54C7"/>
    <w:rsid w:val="007E54E1"/>
    <w:rsid w:val="007E5C7D"/>
    <w:rsid w:val="007F0AF0"/>
    <w:rsid w:val="007F1C71"/>
    <w:rsid w:val="007F1DDC"/>
    <w:rsid w:val="007F2061"/>
    <w:rsid w:val="007F2076"/>
    <w:rsid w:val="007F2BE3"/>
    <w:rsid w:val="007F2D3E"/>
    <w:rsid w:val="007F2D5D"/>
    <w:rsid w:val="007F3E60"/>
    <w:rsid w:val="007F459C"/>
    <w:rsid w:val="007F4850"/>
    <w:rsid w:val="007F59A0"/>
    <w:rsid w:val="007F59B3"/>
    <w:rsid w:val="007F66DC"/>
    <w:rsid w:val="007F6A17"/>
    <w:rsid w:val="007F6BD8"/>
    <w:rsid w:val="007F7454"/>
    <w:rsid w:val="007F7698"/>
    <w:rsid w:val="007F7F62"/>
    <w:rsid w:val="008003B8"/>
    <w:rsid w:val="00800601"/>
    <w:rsid w:val="00800739"/>
    <w:rsid w:val="00801131"/>
    <w:rsid w:val="008013C2"/>
    <w:rsid w:val="008018C8"/>
    <w:rsid w:val="00802040"/>
    <w:rsid w:val="00802ADB"/>
    <w:rsid w:val="00802E49"/>
    <w:rsid w:val="00803590"/>
    <w:rsid w:val="00804143"/>
    <w:rsid w:val="00804179"/>
    <w:rsid w:val="00804F89"/>
    <w:rsid w:val="008051CE"/>
    <w:rsid w:val="00805861"/>
    <w:rsid w:val="008059D7"/>
    <w:rsid w:val="00805ABB"/>
    <w:rsid w:val="00805B03"/>
    <w:rsid w:val="00805B66"/>
    <w:rsid w:val="008062B4"/>
    <w:rsid w:val="00806FB6"/>
    <w:rsid w:val="00807F11"/>
    <w:rsid w:val="008105DB"/>
    <w:rsid w:val="00810D2B"/>
    <w:rsid w:val="008119C9"/>
    <w:rsid w:val="00812253"/>
    <w:rsid w:val="008126A6"/>
    <w:rsid w:val="00812F18"/>
    <w:rsid w:val="008137F0"/>
    <w:rsid w:val="008141E0"/>
    <w:rsid w:val="00815095"/>
    <w:rsid w:val="0081544C"/>
    <w:rsid w:val="00815AE1"/>
    <w:rsid w:val="008163B9"/>
    <w:rsid w:val="00816F3F"/>
    <w:rsid w:val="00817C0C"/>
    <w:rsid w:val="0082060C"/>
    <w:rsid w:val="00820675"/>
    <w:rsid w:val="00820910"/>
    <w:rsid w:val="00820DB4"/>
    <w:rsid w:val="008221EB"/>
    <w:rsid w:val="0082314F"/>
    <w:rsid w:val="0082342C"/>
    <w:rsid w:val="0082388C"/>
    <w:rsid w:val="00824D08"/>
    <w:rsid w:val="00824DD7"/>
    <w:rsid w:val="008252DE"/>
    <w:rsid w:val="00825B2E"/>
    <w:rsid w:val="00825DF7"/>
    <w:rsid w:val="00826234"/>
    <w:rsid w:val="00826BD3"/>
    <w:rsid w:val="00826D24"/>
    <w:rsid w:val="00826E0E"/>
    <w:rsid w:val="008274E0"/>
    <w:rsid w:val="00827C4F"/>
    <w:rsid w:val="00830504"/>
    <w:rsid w:val="0083088A"/>
    <w:rsid w:val="00830A0D"/>
    <w:rsid w:val="00831164"/>
    <w:rsid w:val="00831AC0"/>
    <w:rsid w:val="00831C13"/>
    <w:rsid w:val="0083204A"/>
    <w:rsid w:val="00832F8C"/>
    <w:rsid w:val="0083300C"/>
    <w:rsid w:val="00833158"/>
    <w:rsid w:val="008342CE"/>
    <w:rsid w:val="00834809"/>
    <w:rsid w:val="008348E8"/>
    <w:rsid w:val="008349C9"/>
    <w:rsid w:val="00837577"/>
    <w:rsid w:val="008400A6"/>
    <w:rsid w:val="00840BE6"/>
    <w:rsid w:val="00840E47"/>
    <w:rsid w:val="00840F3C"/>
    <w:rsid w:val="008414DC"/>
    <w:rsid w:val="00841F0B"/>
    <w:rsid w:val="0084233D"/>
    <w:rsid w:val="008439A1"/>
    <w:rsid w:val="00843F45"/>
    <w:rsid w:val="0084435F"/>
    <w:rsid w:val="00845238"/>
    <w:rsid w:val="00845E88"/>
    <w:rsid w:val="00846C2C"/>
    <w:rsid w:val="00847317"/>
    <w:rsid w:val="0084746C"/>
    <w:rsid w:val="00847BC1"/>
    <w:rsid w:val="00850251"/>
    <w:rsid w:val="0085032B"/>
    <w:rsid w:val="00850842"/>
    <w:rsid w:val="00851075"/>
    <w:rsid w:val="00851EE8"/>
    <w:rsid w:val="00851F03"/>
    <w:rsid w:val="00852556"/>
    <w:rsid w:val="00852B80"/>
    <w:rsid w:val="008537FE"/>
    <w:rsid w:val="008538B5"/>
    <w:rsid w:val="00855025"/>
    <w:rsid w:val="00856220"/>
    <w:rsid w:val="00856ABF"/>
    <w:rsid w:val="00856BD4"/>
    <w:rsid w:val="00856D15"/>
    <w:rsid w:val="00857669"/>
    <w:rsid w:val="00857ACF"/>
    <w:rsid w:val="00857B1E"/>
    <w:rsid w:val="008603DB"/>
    <w:rsid w:val="00861493"/>
    <w:rsid w:val="00861A04"/>
    <w:rsid w:val="008624BA"/>
    <w:rsid w:val="00862686"/>
    <w:rsid w:val="008627DB"/>
    <w:rsid w:val="00863D22"/>
    <w:rsid w:val="00863D8F"/>
    <w:rsid w:val="00864B4A"/>
    <w:rsid w:val="008651E5"/>
    <w:rsid w:val="00865274"/>
    <w:rsid w:val="00865BC3"/>
    <w:rsid w:val="0086672D"/>
    <w:rsid w:val="008669AF"/>
    <w:rsid w:val="00866D55"/>
    <w:rsid w:val="00867170"/>
    <w:rsid w:val="008671AD"/>
    <w:rsid w:val="0086760C"/>
    <w:rsid w:val="00870A5C"/>
    <w:rsid w:val="00870BA6"/>
    <w:rsid w:val="00870D12"/>
    <w:rsid w:val="00871BD1"/>
    <w:rsid w:val="00871E73"/>
    <w:rsid w:val="00871EEB"/>
    <w:rsid w:val="00871F97"/>
    <w:rsid w:val="00872EDA"/>
    <w:rsid w:val="0087315C"/>
    <w:rsid w:val="00874AAD"/>
    <w:rsid w:val="00874D55"/>
    <w:rsid w:val="00875B59"/>
    <w:rsid w:val="008765DF"/>
    <w:rsid w:val="00876804"/>
    <w:rsid w:val="008773D4"/>
    <w:rsid w:val="008802A2"/>
    <w:rsid w:val="00880892"/>
    <w:rsid w:val="0088093A"/>
    <w:rsid w:val="00881C10"/>
    <w:rsid w:val="00881EF3"/>
    <w:rsid w:val="00882F89"/>
    <w:rsid w:val="0088329E"/>
    <w:rsid w:val="008834E1"/>
    <w:rsid w:val="008836E8"/>
    <w:rsid w:val="0088373F"/>
    <w:rsid w:val="008842F8"/>
    <w:rsid w:val="008844A2"/>
    <w:rsid w:val="008844AE"/>
    <w:rsid w:val="00885602"/>
    <w:rsid w:val="00885B24"/>
    <w:rsid w:val="00885E64"/>
    <w:rsid w:val="00886A13"/>
    <w:rsid w:val="00886B93"/>
    <w:rsid w:val="00886E91"/>
    <w:rsid w:val="0088738A"/>
    <w:rsid w:val="00887EDF"/>
    <w:rsid w:val="00890E1B"/>
    <w:rsid w:val="008923FD"/>
    <w:rsid w:val="008924D9"/>
    <w:rsid w:val="008924EF"/>
    <w:rsid w:val="00893E16"/>
    <w:rsid w:val="00894724"/>
    <w:rsid w:val="008953A9"/>
    <w:rsid w:val="00895BEA"/>
    <w:rsid w:val="008962C4"/>
    <w:rsid w:val="00896880"/>
    <w:rsid w:val="008971E4"/>
    <w:rsid w:val="008978FE"/>
    <w:rsid w:val="00897CA3"/>
    <w:rsid w:val="00897D10"/>
    <w:rsid w:val="00897E79"/>
    <w:rsid w:val="008A0585"/>
    <w:rsid w:val="008A0880"/>
    <w:rsid w:val="008A1636"/>
    <w:rsid w:val="008A1C9D"/>
    <w:rsid w:val="008A1DC4"/>
    <w:rsid w:val="008A2084"/>
    <w:rsid w:val="008A2597"/>
    <w:rsid w:val="008A274D"/>
    <w:rsid w:val="008A30BA"/>
    <w:rsid w:val="008A318F"/>
    <w:rsid w:val="008A3A14"/>
    <w:rsid w:val="008A3B97"/>
    <w:rsid w:val="008A3C26"/>
    <w:rsid w:val="008A44B4"/>
    <w:rsid w:val="008A4AF7"/>
    <w:rsid w:val="008A53D2"/>
    <w:rsid w:val="008A5DC4"/>
    <w:rsid w:val="008A626C"/>
    <w:rsid w:val="008A65F5"/>
    <w:rsid w:val="008A691C"/>
    <w:rsid w:val="008A7203"/>
    <w:rsid w:val="008A7BA2"/>
    <w:rsid w:val="008B110B"/>
    <w:rsid w:val="008B16AE"/>
    <w:rsid w:val="008B2726"/>
    <w:rsid w:val="008B31A9"/>
    <w:rsid w:val="008B33B4"/>
    <w:rsid w:val="008B34E1"/>
    <w:rsid w:val="008B38DB"/>
    <w:rsid w:val="008B3B10"/>
    <w:rsid w:val="008B40E1"/>
    <w:rsid w:val="008B49C4"/>
    <w:rsid w:val="008B5005"/>
    <w:rsid w:val="008B512D"/>
    <w:rsid w:val="008B544E"/>
    <w:rsid w:val="008B6DBD"/>
    <w:rsid w:val="008B6F9E"/>
    <w:rsid w:val="008B7686"/>
    <w:rsid w:val="008B77AA"/>
    <w:rsid w:val="008B7928"/>
    <w:rsid w:val="008C0A2C"/>
    <w:rsid w:val="008C2353"/>
    <w:rsid w:val="008C2698"/>
    <w:rsid w:val="008C2B46"/>
    <w:rsid w:val="008C2BB1"/>
    <w:rsid w:val="008C2D6D"/>
    <w:rsid w:val="008C32FE"/>
    <w:rsid w:val="008C38A2"/>
    <w:rsid w:val="008C4621"/>
    <w:rsid w:val="008C4885"/>
    <w:rsid w:val="008C4A63"/>
    <w:rsid w:val="008C4C6E"/>
    <w:rsid w:val="008C4CF7"/>
    <w:rsid w:val="008C4FEF"/>
    <w:rsid w:val="008C6407"/>
    <w:rsid w:val="008C6453"/>
    <w:rsid w:val="008C68E9"/>
    <w:rsid w:val="008C76B0"/>
    <w:rsid w:val="008C7B49"/>
    <w:rsid w:val="008C7C55"/>
    <w:rsid w:val="008C7D49"/>
    <w:rsid w:val="008D0F2C"/>
    <w:rsid w:val="008D10F5"/>
    <w:rsid w:val="008D1939"/>
    <w:rsid w:val="008D1E5E"/>
    <w:rsid w:val="008D2138"/>
    <w:rsid w:val="008D219A"/>
    <w:rsid w:val="008D2224"/>
    <w:rsid w:val="008D2798"/>
    <w:rsid w:val="008D2850"/>
    <w:rsid w:val="008D2B14"/>
    <w:rsid w:val="008D2C67"/>
    <w:rsid w:val="008D2FBB"/>
    <w:rsid w:val="008D30B3"/>
    <w:rsid w:val="008D4042"/>
    <w:rsid w:val="008D4375"/>
    <w:rsid w:val="008D4681"/>
    <w:rsid w:val="008D4A8A"/>
    <w:rsid w:val="008D4B6D"/>
    <w:rsid w:val="008D4B98"/>
    <w:rsid w:val="008D5D41"/>
    <w:rsid w:val="008D5F2B"/>
    <w:rsid w:val="008D62E0"/>
    <w:rsid w:val="008D792E"/>
    <w:rsid w:val="008D7D32"/>
    <w:rsid w:val="008D7F2C"/>
    <w:rsid w:val="008E08C3"/>
    <w:rsid w:val="008E0DD1"/>
    <w:rsid w:val="008E1578"/>
    <w:rsid w:val="008E1D5F"/>
    <w:rsid w:val="008E24D1"/>
    <w:rsid w:val="008E2F6F"/>
    <w:rsid w:val="008E37E6"/>
    <w:rsid w:val="008E3BFF"/>
    <w:rsid w:val="008E4995"/>
    <w:rsid w:val="008E4D13"/>
    <w:rsid w:val="008E4F30"/>
    <w:rsid w:val="008E585C"/>
    <w:rsid w:val="008E6276"/>
    <w:rsid w:val="008E6556"/>
    <w:rsid w:val="008E66C6"/>
    <w:rsid w:val="008E68FD"/>
    <w:rsid w:val="008E6A6C"/>
    <w:rsid w:val="008E6B27"/>
    <w:rsid w:val="008E6F04"/>
    <w:rsid w:val="008E7FE1"/>
    <w:rsid w:val="008F02FA"/>
    <w:rsid w:val="008F069D"/>
    <w:rsid w:val="008F147D"/>
    <w:rsid w:val="008F14BE"/>
    <w:rsid w:val="008F3560"/>
    <w:rsid w:val="008F3C41"/>
    <w:rsid w:val="008F53E5"/>
    <w:rsid w:val="008F5696"/>
    <w:rsid w:val="008F5A51"/>
    <w:rsid w:val="008F5A8A"/>
    <w:rsid w:val="008F606B"/>
    <w:rsid w:val="008F6D6F"/>
    <w:rsid w:val="008F73F6"/>
    <w:rsid w:val="008F7646"/>
    <w:rsid w:val="00900DCC"/>
    <w:rsid w:val="00900F8B"/>
    <w:rsid w:val="00902085"/>
    <w:rsid w:val="009021D8"/>
    <w:rsid w:val="0090237E"/>
    <w:rsid w:val="00902497"/>
    <w:rsid w:val="00902D58"/>
    <w:rsid w:val="009030A5"/>
    <w:rsid w:val="009035A4"/>
    <w:rsid w:val="009035E5"/>
    <w:rsid w:val="00903816"/>
    <w:rsid w:val="009046DD"/>
    <w:rsid w:val="00904C16"/>
    <w:rsid w:val="00905EC9"/>
    <w:rsid w:val="009060EC"/>
    <w:rsid w:val="0090716F"/>
    <w:rsid w:val="0090784C"/>
    <w:rsid w:val="00910478"/>
    <w:rsid w:val="00910541"/>
    <w:rsid w:val="00910A63"/>
    <w:rsid w:val="00910EDF"/>
    <w:rsid w:val="00912069"/>
    <w:rsid w:val="00912CEE"/>
    <w:rsid w:val="00912F12"/>
    <w:rsid w:val="00913D3F"/>
    <w:rsid w:val="009145D8"/>
    <w:rsid w:val="0091545E"/>
    <w:rsid w:val="00915D9D"/>
    <w:rsid w:val="00915F9D"/>
    <w:rsid w:val="00916095"/>
    <w:rsid w:val="00917328"/>
    <w:rsid w:val="0091797B"/>
    <w:rsid w:val="00920171"/>
    <w:rsid w:val="00920473"/>
    <w:rsid w:val="0092069E"/>
    <w:rsid w:val="00920DE8"/>
    <w:rsid w:val="009212A9"/>
    <w:rsid w:val="009226FD"/>
    <w:rsid w:val="009229AC"/>
    <w:rsid w:val="00922D00"/>
    <w:rsid w:val="0092467B"/>
    <w:rsid w:val="00925284"/>
    <w:rsid w:val="00925E38"/>
    <w:rsid w:val="00925F1C"/>
    <w:rsid w:val="00926442"/>
    <w:rsid w:val="00926C54"/>
    <w:rsid w:val="00926D90"/>
    <w:rsid w:val="00927004"/>
    <w:rsid w:val="0092706B"/>
    <w:rsid w:val="009273DF"/>
    <w:rsid w:val="00927B01"/>
    <w:rsid w:val="00927C55"/>
    <w:rsid w:val="00930AD1"/>
    <w:rsid w:val="00930FB0"/>
    <w:rsid w:val="00931DA9"/>
    <w:rsid w:val="00932F7A"/>
    <w:rsid w:val="009330A2"/>
    <w:rsid w:val="009334F3"/>
    <w:rsid w:val="00933B8E"/>
    <w:rsid w:val="00935AF9"/>
    <w:rsid w:val="00936657"/>
    <w:rsid w:val="00936914"/>
    <w:rsid w:val="00936A85"/>
    <w:rsid w:val="00936C8E"/>
    <w:rsid w:val="00936E49"/>
    <w:rsid w:val="009379A3"/>
    <w:rsid w:val="00937A20"/>
    <w:rsid w:val="00940200"/>
    <w:rsid w:val="009403A9"/>
    <w:rsid w:val="00941B72"/>
    <w:rsid w:val="00941B74"/>
    <w:rsid w:val="00941F0B"/>
    <w:rsid w:val="0094285F"/>
    <w:rsid w:val="0094363E"/>
    <w:rsid w:val="0094456F"/>
    <w:rsid w:val="0094491C"/>
    <w:rsid w:val="0094491D"/>
    <w:rsid w:val="00945541"/>
    <w:rsid w:val="0094568F"/>
    <w:rsid w:val="009458D2"/>
    <w:rsid w:val="009469B7"/>
    <w:rsid w:val="00946A1C"/>
    <w:rsid w:val="00947208"/>
    <w:rsid w:val="009500E9"/>
    <w:rsid w:val="00950620"/>
    <w:rsid w:val="009507AD"/>
    <w:rsid w:val="00950A30"/>
    <w:rsid w:val="0095122B"/>
    <w:rsid w:val="009512F9"/>
    <w:rsid w:val="009523A3"/>
    <w:rsid w:val="0095267D"/>
    <w:rsid w:val="00952CFC"/>
    <w:rsid w:val="0095304D"/>
    <w:rsid w:val="00953413"/>
    <w:rsid w:val="00953A32"/>
    <w:rsid w:val="00953E54"/>
    <w:rsid w:val="0095458A"/>
    <w:rsid w:val="009551D9"/>
    <w:rsid w:val="0095523D"/>
    <w:rsid w:val="0095545D"/>
    <w:rsid w:val="00955A5E"/>
    <w:rsid w:val="00955B37"/>
    <w:rsid w:val="00955DA2"/>
    <w:rsid w:val="00956E06"/>
    <w:rsid w:val="00956E78"/>
    <w:rsid w:val="00957790"/>
    <w:rsid w:val="0095790A"/>
    <w:rsid w:val="00957E06"/>
    <w:rsid w:val="009602D2"/>
    <w:rsid w:val="009605FE"/>
    <w:rsid w:val="0096075D"/>
    <w:rsid w:val="009609ED"/>
    <w:rsid w:val="00960E19"/>
    <w:rsid w:val="0096102F"/>
    <w:rsid w:val="00963A24"/>
    <w:rsid w:val="00963AF4"/>
    <w:rsid w:val="00964601"/>
    <w:rsid w:val="009647F8"/>
    <w:rsid w:val="00964BC1"/>
    <w:rsid w:val="00965814"/>
    <w:rsid w:val="0096673A"/>
    <w:rsid w:val="0097001B"/>
    <w:rsid w:val="0097036A"/>
    <w:rsid w:val="00970FEC"/>
    <w:rsid w:val="00971324"/>
    <w:rsid w:val="00971A47"/>
    <w:rsid w:val="009732A1"/>
    <w:rsid w:val="0097439F"/>
    <w:rsid w:val="00975489"/>
    <w:rsid w:val="009755DC"/>
    <w:rsid w:val="00975959"/>
    <w:rsid w:val="00976402"/>
    <w:rsid w:val="00977049"/>
    <w:rsid w:val="0097729C"/>
    <w:rsid w:val="009773C7"/>
    <w:rsid w:val="00977585"/>
    <w:rsid w:val="00980BAC"/>
    <w:rsid w:val="00980F82"/>
    <w:rsid w:val="0098192D"/>
    <w:rsid w:val="00981B63"/>
    <w:rsid w:val="0098206B"/>
    <w:rsid w:val="00982821"/>
    <w:rsid w:val="00982C82"/>
    <w:rsid w:val="009833E4"/>
    <w:rsid w:val="00984097"/>
    <w:rsid w:val="009843E7"/>
    <w:rsid w:val="00984902"/>
    <w:rsid w:val="00985EFA"/>
    <w:rsid w:val="00986413"/>
    <w:rsid w:val="009869E8"/>
    <w:rsid w:val="00986BE7"/>
    <w:rsid w:val="00987D5F"/>
    <w:rsid w:val="00987E0C"/>
    <w:rsid w:val="00987ED9"/>
    <w:rsid w:val="00991166"/>
    <w:rsid w:val="00991E5E"/>
    <w:rsid w:val="00992958"/>
    <w:rsid w:val="00992A96"/>
    <w:rsid w:val="00992C48"/>
    <w:rsid w:val="00992DDA"/>
    <w:rsid w:val="009936BF"/>
    <w:rsid w:val="0099449E"/>
    <w:rsid w:val="00994BAF"/>
    <w:rsid w:val="00995321"/>
    <w:rsid w:val="009954DF"/>
    <w:rsid w:val="0099618E"/>
    <w:rsid w:val="0099656F"/>
    <w:rsid w:val="00996881"/>
    <w:rsid w:val="00996C9C"/>
    <w:rsid w:val="00996CDD"/>
    <w:rsid w:val="00997A4A"/>
    <w:rsid w:val="00997B80"/>
    <w:rsid w:val="00997EF1"/>
    <w:rsid w:val="009A0E54"/>
    <w:rsid w:val="009A1410"/>
    <w:rsid w:val="009A2931"/>
    <w:rsid w:val="009A2E44"/>
    <w:rsid w:val="009A2E78"/>
    <w:rsid w:val="009A3634"/>
    <w:rsid w:val="009A3DF7"/>
    <w:rsid w:val="009A5BAB"/>
    <w:rsid w:val="009A6499"/>
    <w:rsid w:val="009A6740"/>
    <w:rsid w:val="009A69A5"/>
    <w:rsid w:val="009A6B32"/>
    <w:rsid w:val="009A7125"/>
    <w:rsid w:val="009A7464"/>
    <w:rsid w:val="009A77E3"/>
    <w:rsid w:val="009A7B4F"/>
    <w:rsid w:val="009A7D8C"/>
    <w:rsid w:val="009B0E35"/>
    <w:rsid w:val="009B0FA6"/>
    <w:rsid w:val="009B151D"/>
    <w:rsid w:val="009B1CD2"/>
    <w:rsid w:val="009B35CB"/>
    <w:rsid w:val="009B3700"/>
    <w:rsid w:val="009B3FFE"/>
    <w:rsid w:val="009B4F0C"/>
    <w:rsid w:val="009B6320"/>
    <w:rsid w:val="009B64A7"/>
    <w:rsid w:val="009B71C8"/>
    <w:rsid w:val="009B7643"/>
    <w:rsid w:val="009B7893"/>
    <w:rsid w:val="009B78D4"/>
    <w:rsid w:val="009B7CD4"/>
    <w:rsid w:val="009C02ED"/>
    <w:rsid w:val="009C122A"/>
    <w:rsid w:val="009C129D"/>
    <w:rsid w:val="009C14A6"/>
    <w:rsid w:val="009C2454"/>
    <w:rsid w:val="009C284C"/>
    <w:rsid w:val="009C2D7E"/>
    <w:rsid w:val="009C3CCA"/>
    <w:rsid w:val="009C4593"/>
    <w:rsid w:val="009C4A96"/>
    <w:rsid w:val="009C4B23"/>
    <w:rsid w:val="009C526B"/>
    <w:rsid w:val="009C5AB0"/>
    <w:rsid w:val="009C607A"/>
    <w:rsid w:val="009C7243"/>
    <w:rsid w:val="009C73D7"/>
    <w:rsid w:val="009C76DD"/>
    <w:rsid w:val="009D014E"/>
    <w:rsid w:val="009D0E40"/>
    <w:rsid w:val="009D1595"/>
    <w:rsid w:val="009D27B4"/>
    <w:rsid w:val="009D285F"/>
    <w:rsid w:val="009D2F6C"/>
    <w:rsid w:val="009D36D9"/>
    <w:rsid w:val="009D45BD"/>
    <w:rsid w:val="009D4EFA"/>
    <w:rsid w:val="009D5FA5"/>
    <w:rsid w:val="009D660F"/>
    <w:rsid w:val="009D6DB7"/>
    <w:rsid w:val="009D72CE"/>
    <w:rsid w:val="009D7EA2"/>
    <w:rsid w:val="009E1A03"/>
    <w:rsid w:val="009E1D0E"/>
    <w:rsid w:val="009E250A"/>
    <w:rsid w:val="009E26B5"/>
    <w:rsid w:val="009E2728"/>
    <w:rsid w:val="009E2872"/>
    <w:rsid w:val="009E2DF3"/>
    <w:rsid w:val="009E335E"/>
    <w:rsid w:val="009E4F22"/>
    <w:rsid w:val="009E4FA5"/>
    <w:rsid w:val="009E554F"/>
    <w:rsid w:val="009E59CE"/>
    <w:rsid w:val="009E5B16"/>
    <w:rsid w:val="009E5B5E"/>
    <w:rsid w:val="009E637B"/>
    <w:rsid w:val="009E64EA"/>
    <w:rsid w:val="009E65D4"/>
    <w:rsid w:val="009E6815"/>
    <w:rsid w:val="009E6BD3"/>
    <w:rsid w:val="009E6D0A"/>
    <w:rsid w:val="009E7BBC"/>
    <w:rsid w:val="009E7CE4"/>
    <w:rsid w:val="009F05D5"/>
    <w:rsid w:val="009F11E9"/>
    <w:rsid w:val="009F147B"/>
    <w:rsid w:val="009F1940"/>
    <w:rsid w:val="009F21FB"/>
    <w:rsid w:val="009F2A1B"/>
    <w:rsid w:val="009F2C1F"/>
    <w:rsid w:val="009F2DC5"/>
    <w:rsid w:val="009F2F3A"/>
    <w:rsid w:val="009F34DC"/>
    <w:rsid w:val="009F3969"/>
    <w:rsid w:val="009F4357"/>
    <w:rsid w:val="009F44EF"/>
    <w:rsid w:val="009F4EF1"/>
    <w:rsid w:val="009F50D6"/>
    <w:rsid w:val="009F540A"/>
    <w:rsid w:val="009F5850"/>
    <w:rsid w:val="009F5F7D"/>
    <w:rsid w:val="009F6363"/>
    <w:rsid w:val="009F6714"/>
    <w:rsid w:val="009F73D5"/>
    <w:rsid w:val="009F7A60"/>
    <w:rsid w:val="009F7C4E"/>
    <w:rsid w:val="00A00353"/>
    <w:rsid w:val="00A00629"/>
    <w:rsid w:val="00A0073A"/>
    <w:rsid w:val="00A016DF"/>
    <w:rsid w:val="00A026B1"/>
    <w:rsid w:val="00A02FB8"/>
    <w:rsid w:val="00A0394F"/>
    <w:rsid w:val="00A03E2A"/>
    <w:rsid w:val="00A0410F"/>
    <w:rsid w:val="00A0422A"/>
    <w:rsid w:val="00A042D6"/>
    <w:rsid w:val="00A043DA"/>
    <w:rsid w:val="00A04C27"/>
    <w:rsid w:val="00A04C35"/>
    <w:rsid w:val="00A05299"/>
    <w:rsid w:val="00A055F9"/>
    <w:rsid w:val="00A06972"/>
    <w:rsid w:val="00A07227"/>
    <w:rsid w:val="00A07BC2"/>
    <w:rsid w:val="00A07ED8"/>
    <w:rsid w:val="00A11046"/>
    <w:rsid w:val="00A11707"/>
    <w:rsid w:val="00A11FA7"/>
    <w:rsid w:val="00A1234B"/>
    <w:rsid w:val="00A123DA"/>
    <w:rsid w:val="00A12E01"/>
    <w:rsid w:val="00A130EB"/>
    <w:rsid w:val="00A134C8"/>
    <w:rsid w:val="00A13920"/>
    <w:rsid w:val="00A14B17"/>
    <w:rsid w:val="00A14CD9"/>
    <w:rsid w:val="00A151F8"/>
    <w:rsid w:val="00A1530D"/>
    <w:rsid w:val="00A1542B"/>
    <w:rsid w:val="00A157F3"/>
    <w:rsid w:val="00A15F94"/>
    <w:rsid w:val="00A1625F"/>
    <w:rsid w:val="00A17445"/>
    <w:rsid w:val="00A20498"/>
    <w:rsid w:val="00A20D38"/>
    <w:rsid w:val="00A21381"/>
    <w:rsid w:val="00A214DA"/>
    <w:rsid w:val="00A21DFF"/>
    <w:rsid w:val="00A21F0E"/>
    <w:rsid w:val="00A21F9C"/>
    <w:rsid w:val="00A2271D"/>
    <w:rsid w:val="00A229EF"/>
    <w:rsid w:val="00A22A2D"/>
    <w:rsid w:val="00A22DAC"/>
    <w:rsid w:val="00A23563"/>
    <w:rsid w:val="00A247BD"/>
    <w:rsid w:val="00A253F6"/>
    <w:rsid w:val="00A266BC"/>
    <w:rsid w:val="00A26880"/>
    <w:rsid w:val="00A27914"/>
    <w:rsid w:val="00A27DB1"/>
    <w:rsid w:val="00A27E85"/>
    <w:rsid w:val="00A27FB6"/>
    <w:rsid w:val="00A30A40"/>
    <w:rsid w:val="00A3130C"/>
    <w:rsid w:val="00A316DF"/>
    <w:rsid w:val="00A3198A"/>
    <w:rsid w:val="00A31C6A"/>
    <w:rsid w:val="00A32254"/>
    <w:rsid w:val="00A32B42"/>
    <w:rsid w:val="00A3317E"/>
    <w:rsid w:val="00A331B8"/>
    <w:rsid w:val="00A34566"/>
    <w:rsid w:val="00A34A74"/>
    <w:rsid w:val="00A34F8D"/>
    <w:rsid w:val="00A356FA"/>
    <w:rsid w:val="00A36B03"/>
    <w:rsid w:val="00A36E7C"/>
    <w:rsid w:val="00A3784C"/>
    <w:rsid w:val="00A3787D"/>
    <w:rsid w:val="00A37EE7"/>
    <w:rsid w:val="00A40836"/>
    <w:rsid w:val="00A416CF"/>
    <w:rsid w:val="00A4176C"/>
    <w:rsid w:val="00A42103"/>
    <w:rsid w:val="00A42AD4"/>
    <w:rsid w:val="00A43036"/>
    <w:rsid w:val="00A430D8"/>
    <w:rsid w:val="00A4340A"/>
    <w:rsid w:val="00A43649"/>
    <w:rsid w:val="00A43D08"/>
    <w:rsid w:val="00A43E00"/>
    <w:rsid w:val="00A448E7"/>
    <w:rsid w:val="00A44935"/>
    <w:rsid w:val="00A44ED7"/>
    <w:rsid w:val="00A44FD2"/>
    <w:rsid w:val="00A455D8"/>
    <w:rsid w:val="00A45A8D"/>
    <w:rsid w:val="00A45E3D"/>
    <w:rsid w:val="00A46059"/>
    <w:rsid w:val="00A46ED9"/>
    <w:rsid w:val="00A4776F"/>
    <w:rsid w:val="00A50750"/>
    <w:rsid w:val="00A51A74"/>
    <w:rsid w:val="00A52E2A"/>
    <w:rsid w:val="00A5312B"/>
    <w:rsid w:val="00A53A3A"/>
    <w:rsid w:val="00A54FC4"/>
    <w:rsid w:val="00A55360"/>
    <w:rsid w:val="00A55804"/>
    <w:rsid w:val="00A55C38"/>
    <w:rsid w:val="00A576B7"/>
    <w:rsid w:val="00A60011"/>
    <w:rsid w:val="00A60391"/>
    <w:rsid w:val="00A603AB"/>
    <w:rsid w:val="00A6056E"/>
    <w:rsid w:val="00A60671"/>
    <w:rsid w:val="00A607F3"/>
    <w:rsid w:val="00A60C11"/>
    <w:rsid w:val="00A61317"/>
    <w:rsid w:val="00A61B1F"/>
    <w:rsid w:val="00A61C61"/>
    <w:rsid w:val="00A61C94"/>
    <w:rsid w:val="00A6245B"/>
    <w:rsid w:val="00A62A2E"/>
    <w:rsid w:val="00A636CA"/>
    <w:rsid w:val="00A64537"/>
    <w:rsid w:val="00A65426"/>
    <w:rsid w:val="00A66BF4"/>
    <w:rsid w:val="00A70667"/>
    <w:rsid w:val="00A7083A"/>
    <w:rsid w:val="00A7083E"/>
    <w:rsid w:val="00A71143"/>
    <w:rsid w:val="00A714C5"/>
    <w:rsid w:val="00A71ACF"/>
    <w:rsid w:val="00A72A10"/>
    <w:rsid w:val="00A7367D"/>
    <w:rsid w:val="00A7442A"/>
    <w:rsid w:val="00A746B6"/>
    <w:rsid w:val="00A7477C"/>
    <w:rsid w:val="00A75070"/>
    <w:rsid w:val="00A75DAB"/>
    <w:rsid w:val="00A7624F"/>
    <w:rsid w:val="00A76B45"/>
    <w:rsid w:val="00A77A74"/>
    <w:rsid w:val="00A77CB9"/>
    <w:rsid w:val="00A8022D"/>
    <w:rsid w:val="00A81CED"/>
    <w:rsid w:val="00A822FE"/>
    <w:rsid w:val="00A82328"/>
    <w:rsid w:val="00A82514"/>
    <w:rsid w:val="00A82534"/>
    <w:rsid w:val="00A82B4C"/>
    <w:rsid w:val="00A82BD3"/>
    <w:rsid w:val="00A82EB1"/>
    <w:rsid w:val="00A837D0"/>
    <w:rsid w:val="00A85682"/>
    <w:rsid w:val="00A8697A"/>
    <w:rsid w:val="00A877C3"/>
    <w:rsid w:val="00A87E5A"/>
    <w:rsid w:val="00A87FC4"/>
    <w:rsid w:val="00A90E1C"/>
    <w:rsid w:val="00A91684"/>
    <w:rsid w:val="00A92008"/>
    <w:rsid w:val="00A927EA"/>
    <w:rsid w:val="00A9353B"/>
    <w:rsid w:val="00A94026"/>
    <w:rsid w:val="00A9503B"/>
    <w:rsid w:val="00A95182"/>
    <w:rsid w:val="00A9597D"/>
    <w:rsid w:val="00A95B91"/>
    <w:rsid w:val="00A95F4B"/>
    <w:rsid w:val="00A965D4"/>
    <w:rsid w:val="00AA059C"/>
    <w:rsid w:val="00AA0672"/>
    <w:rsid w:val="00AA1497"/>
    <w:rsid w:val="00AA1C26"/>
    <w:rsid w:val="00AA2A06"/>
    <w:rsid w:val="00AA2A73"/>
    <w:rsid w:val="00AA376E"/>
    <w:rsid w:val="00AA3A07"/>
    <w:rsid w:val="00AA3A47"/>
    <w:rsid w:val="00AA3E75"/>
    <w:rsid w:val="00AA432D"/>
    <w:rsid w:val="00AA437F"/>
    <w:rsid w:val="00AA4734"/>
    <w:rsid w:val="00AA4814"/>
    <w:rsid w:val="00AA4D8F"/>
    <w:rsid w:val="00AA520A"/>
    <w:rsid w:val="00AA69D9"/>
    <w:rsid w:val="00AA6C57"/>
    <w:rsid w:val="00AA72F3"/>
    <w:rsid w:val="00AA7967"/>
    <w:rsid w:val="00AB0985"/>
    <w:rsid w:val="00AB14B6"/>
    <w:rsid w:val="00AB1A30"/>
    <w:rsid w:val="00AB1C40"/>
    <w:rsid w:val="00AB1FA6"/>
    <w:rsid w:val="00AB2723"/>
    <w:rsid w:val="00AB2801"/>
    <w:rsid w:val="00AB3F97"/>
    <w:rsid w:val="00AB3F98"/>
    <w:rsid w:val="00AB6B5F"/>
    <w:rsid w:val="00AB6D5D"/>
    <w:rsid w:val="00AC05A3"/>
    <w:rsid w:val="00AC0722"/>
    <w:rsid w:val="00AC1802"/>
    <w:rsid w:val="00AC2156"/>
    <w:rsid w:val="00AC22B6"/>
    <w:rsid w:val="00AC3371"/>
    <w:rsid w:val="00AC3A66"/>
    <w:rsid w:val="00AC3E88"/>
    <w:rsid w:val="00AC4FC2"/>
    <w:rsid w:val="00AC5BA2"/>
    <w:rsid w:val="00AC717C"/>
    <w:rsid w:val="00AC7DD9"/>
    <w:rsid w:val="00AD090C"/>
    <w:rsid w:val="00AD15F2"/>
    <w:rsid w:val="00AD1F5E"/>
    <w:rsid w:val="00AD20A4"/>
    <w:rsid w:val="00AD212B"/>
    <w:rsid w:val="00AD2523"/>
    <w:rsid w:val="00AD2C66"/>
    <w:rsid w:val="00AD2CC2"/>
    <w:rsid w:val="00AD320D"/>
    <w:rsid w:val="00AD342B"/>
    <w:rsid w:val="00AD3E6D"/>
    <w:rsid w:val="00AD51E6"/>
    <w:rsid w:val="00AD5910"/>
    <w:rsid w:val="00AD59D1"/>
    <w:rsid w:val="00AD6F62"/>
    <w:rsid w:val="00AD722C"/>
    <w:rsid w:val="00AD789C"/>
    <w:rsid w:val="00AE111D"/>
    <w:rsid w:val="00AE1402"/>
    <w:rsid w:val="00AE173C"/>
    <w:rsid w:val="00AE1D0E"/>
    <w:rsid w:val="00AE1D82"/>
    <w:rsid w:val="00AE2731"/>
    <w:rsid w:val="00AE3409"/>
    <w:rsid w:val="00AE3432"/>
    <w:rsid w:val="00AE3A6D"/>
    <w:rsid w:val="00AE49D2"/>
    <w:rsid w:val="00AE4DA4"/>
    <w:rsid w:val="00AE5982"/>
    <w:rsid w:val="00AE5A81"/>
    <w:rsid w:val="00AE6C79"/>
    <w:rsid w:val="00AE7352"/>
    <w:rsid w:val="00AE7626"/>
    <w:rsid w:val="00AF014E"/>
    <w:rsid w:val="00AF046A"/>
    <w:rsid w:val="00AF06A3"/>
    <w:rsid w:val="00AF19A9"/>
    <w:rsid w:val="00AF1A57"/>
    <w:rsid w:val="00AF1ABC"/>
    <w:rsid w:val="00AF3292"/>
    <w:rsid w:val="00AF32AF"/>
    <w:rsid w:val="00AF3407"/>
    <w:rsid w:val="00AF4D2E"/>
    <w:rsid w:val="00AF72A6"/>
    <w:rsid w:val="00AF753C"/>
    <w:rsid w:val="00AF77C7"/>
    <w:rsid w:val="00B0060C"/>
    <w:rsid w:val="00B02200"/>
    <w:rsid w:val="00B0355A"/>
    <w:rsid w:val="00B0391B"/>
    <w:rsid w:val="00B03AE6"/>
    <w:rsid w:val="00B03EBC"/>
    <w:rsid w:val="00B04E06"/>
    <w:rsid w:val="00B05291"/>
    <w:rsid w:val="00B05C30"/>
    <w:rsid w:val="00B060EC"/>
    <w:rsid w:val="00B06F41"/>
    <w:rsid w:val="00B0789E"/>
    <w:rsid w:val="00B108B9"/>
    <w:rsid w:val="00B127B0"/>
    <w:rsid w:val="00B13291"/>
    <w:rsid w:val="00B13828"/>
    <w:rsid w:val="00B13F5E"/>
    <w:rsid w:val="00B14335"/>
    <w:rsid w:val="00B15EE7"/>
    <w:rsid w:val="00B1679E"/>
    <w:rsid w:val="00B16D2E"/>
    <w:rsid w:val="00B17116"/>
    <w:rsid w:val="00B17EAE"/>
    <w:rsid w:val="00B201E6"/>
    <w:rsid w:val="00B2026A"/>
    <w:rsid w:val="00B204EB"/>
    <w:rsid w:val="00B20902"/>
    <w:rsid w:val="00B20C4E"/>
    <w:rsid w:val="00B20D01"/>
    <w:rsid w:val="00B20E30"/>
    <w:rsid w:val="00B215AC"/>
    <w:rsid w:val="00B2220D"/>
    <w:rsid w:val="00B22D82"/>
    <w:rsid w:val="00B2308C"/>
    <w:rsid w:val="00B2349D"/>
    <w:rsid w:val="00B2453B"/>
    <w:rsid w:val="00B24D7B"/>
    <w:rsid w:val="00B252C9"/>
    <w:rsid w:val="00B279B1"/>
    <w:rsid w:val="00B27B95"/>
    <w:rsid w:val="00B27F08"/>
    <w:rsid w:val="00B3066F"/>
    <w:rsid w:val="00B30CED"/>
    <w:rsid w:val="00B30E72"/>
    <w:rsid w:val="00B317CB"/>
    <w:rsid w:val="00B318C8"/>
    <w:rsid w:val="00B318D5"/>
    <w:rsid w:val="00B32DB3"/>
    <w:rsid w:val="00B3344A"/>
    <w:rsid w:val="00B340F9"/>
    <w:rsid w:val="00B362CF"/>
    <w:rsid w:val="00B3644C"/>
    <w:rsid w:val="00B36F09"/>
    <w:rsid w:val="00B3756A"/>
    <w:rsid w:val="00B37F60"/>
    <w:rsid w:val="00B37FAD"/>
    <w:rsid w:val="00B407EC"/>
    <w:rsid w:val="00B40E8D"/>
    <w:rsid w:val="00B4128C"/>
    <w:rsid w:val="00B4195F"/>
    <w:rsid w:val="00B426CC"/>
    <w:rsid w:val="00B427D8"/>
    <w:rsid w:val="00B42E97"/>
    <w:rsid w:val="00B4308C"/>
    <w:rsid w:val="00B43656"/>
    <w:rsid w:val="00B438F9"/>
    <w:rsid w:val="00B43ACE"/>
    <w:rsid w:val="00B43DF2"/>
    <w:rsid w:val="00B45D55"/>
    <w:rsid w:val="00B45D5B"/>
    <w:rsid w:val="00B45F4A"/>
    <w:rsid w:val="00B4630A"/>
    <w:rsid w:val="00B465A6"/>
    <w:rsid w:val="00B46625"/>
    <w:rsid w:val="00B46B23"/>
    <w:rsid w:val="00B46ED3"/>
    <w:rsid w:val="00B47A3A"/>
    <w:rsid w:val="00B47C44"/>
    <w:rsid w:val="00B50346"/>
    <w:rsid w:val="00B513AA"/>
    <w:rsid w:val="00B51879"/>
    <w:rsid w:val="00B525D6"/>
    <w:rsid w:val="00B52BE9"/>
    <w:rsid w:val="00B533CE"/>
    <w:rsid w:val="00B539D1"/>
    <w:rsid w:val="00B5422D"/>
    <w:rsid w:val="00B543FA"/>
    <w:rsid w:val="00B54749"/>
    <w:rsid w:val="00B54F3D"/>
    <w:rsid w:val="00B55581"/>
    <w:rsid w:val="00B55AD6"/>
    <w:rsid w:val="00B55C2A"/>
    <w:rsid w:val="00B560D7"/>
    <w:rsid w:val="00B56210"/>
    <w:rsid w:val="00B5664A"/>
    <w:rsid w:val="00B5765E"/>
    <w:rsid w:val="00B61A69"/>
    <w:rsid w:val="00B6213F"/>
    <w:rsid w:val="00B6259C"/>
    <w:rsid w:val="00B6284C"/>
    <w:rsid w:val="00B62CB0"/>
    <w:rsid w:val="00B63487"/>
    <w:rsid w:val="00B653F9"/>
    <w:rsid w:val="00B6554B"/>
    <w:rsid w:val="00B65620"/>
    <w:rsid w:val="00B657C6"/>
    <w:rsid w:val="00B65936"/>
    <w:rsid w:val="00B65FAE"/>
    <w:rsid w:val="00B670D6"/>
    <w:rsid w:val="00B6760C"/>
    <w:rsid w:val="00B70E18"/>
    <w:rsid w:val="00B71105"/>
    <w:rsid w:val="00B71973"/>
    <w:rsid w:val="00B7237A"/>
    <w:rsid w:val="00B72682"/>
    <w:rsid w:val="00B72974"/>
    <w:rsid w:val="00B72A6E"/>
    <w:rsid w:val="00B73F9D"/>
    <w:rsid w:val="00B74BCE"/>
    <w:rsid w:val="00B74FD6"/>
    <w:rsid w:val="00B75B31"/>
    <w:rsid w:val="00B75F59"/>
    <w:rsid w:val="00B766E7"/>
    <w:rsid w:val="00B77E6D"/>
    <w:rsid w:val="00B800CE"/>
    <w:rsid w:val="00B8010E"/>
    <w:rsid w:val="00B8064A"/>
    <w:rsid w:val="00B81320"/>
    <w:rsid w:val="00B8164F"/>
    <w:rsid w:val="00B824EF"/>
    <w:rsid w:val="00B826B5"/>
    <w:rsid w:val="00B83014"/>
    <w:rsid w:val="00B833E6"/>
    <w:rsid w:val="00B83ED0"/>
    <w:rsid w:val="00B845CD"/>
    <w:rsid w:val="00B84D52"/>
    <w:rsid w:val="00B8528F"/>
    <w:rsid w:val="00B86137"/>
    <w:rsid w:val="00B86158"/>
    <w:rsid w:val="00B87F01"/>
    <w:rsid w:val="00B90FB5"/>
    <w:rsid w:val="00B911E3"/>
    <w:rsid w:val="00B91561"/>
    <w:rsid w:val="00B9201B"/>
    <w:rsid w:val="00B921B0"/>
    <w:rsid w:val="00B926FC"/>
    <w:rsid w:val="00B9296A"/>
    <w:rsid w:val="00B92E91"/>
    <w:rsid w:val="00B93452"/>
    <w:rsid w:val="00B936F5"/>
    <w:rsid w:val="00B93C34"/>
    <w:rsid w:val="00B94558"/>
    <w:rsid w:val="00B9463C"/>
    <w:rsid w:val="00B94C2D"/>
    <w:rsid w:val="00B954CC"/>
    <w:rsid w:val="00B95566"/>
    <w:rsid w:val="00B9593D"/>
    <w:rsid w:val="00B95990"/>
    <w:rsid w:val="00B95FC4"/>
    <w:rsid w:val="00B9639E"/>
    <w:rsid w:val="00B966B9"/>
    <w:rsid w:val="00B977FC"/>
    <w:rsid w:val="00B97950"/>
    <w:rsid w:val="00BA062C"/>
    <w:rsid w:val="00BA0DFC"/>
    <w:rsid w:val="00BA1636"/>
    <w:rsid w:val="00BA1AC7"/>
    <w:rsid w:val="00BA25BB"/>
    <w:rsid w:val="00BA2F58"/>
    <w:rsid w:val="00BA3422"/>
    <w:rsid w:val="00BA3E18"/>
    <w:rsid w:val="00BA3E78"/>
    <w:rsid w:val="00BA3F99"/>
    <w:rsid w:val="00BA42EE"/>
    <w:rsid w:val="00BA545F"/>
    <w:rsid w:val="00BA5FE4"/>
    <w:rsid w:val="00BA6BF0"/>
    <w:rsid w:val="00BB065C"/>
    <w:rsid w:val="00BB0C2C"/>
    <w:rsid w:val="00BB1307"/>
    <w:rsid w:val="00BB3D02"/>
    <w:rsid w:val="00BB4020"/>
    <w:rsid w:val="00BB40A1"/>
    <w:rsid w:val="00BB4CA9"/>
    <w:rsid w:val="00BB500C"/>
    <w:rsid w:val="00BB5591"/>
    <w:rsid w:val="00BB5658"/>
    <w:rsid w:val="00BB5C06"/>
    <w:rsid w:val="00BB5EE5"/>
    <w:rsid w:val="00BB7458"/>
    <w:rsid w:val="00BB7553"/>
    <w:rsid w:val="00BB7A28"/>
    <w:rsid w:val="00BC0124"/>
    <w:rsid w:val="00BC073D"/>
    <w:rsid w:val="00BC1DE5"/>
    <w:rsid w:val="00BC25D7"/>
    <w:rsid w:val="00BC28E0"/>
    <w:rsid w:val="00BC31DF"/>
    <w:rsid w:val="00BC3269"/>
    <w:rsid w:val="00BC3412"/>
    <w:rsid w:val="00BC3F2F"/>
    <w:rsid w:val="00BC4BD4"/>
    <w:rsid w:val="00BC628F"/>
    <w:rsid w:val="00BC668B"/>
    <w:rsid w:val="00BC6854"/>
    <w:rsid w:val="00BC6DB9"/>
    <w:rsid w:val="00BC702B"/>
    <w:rsid w:val="00BC7B8A"/>
    <w:rsid w:val="00BD01E6"/>
    <w:rsid w:val="00BD1106"/>
    <w:rsid w:val="00BD23C4"/>
    <w:rsid w:val="00BD2D74"/>
    <w:rsid w:val="00BD39F4"/>
    <w:rsid w:val="00BD4414"/>
    <w:rsid w:val="00BD4C5F"/>
    <w:rsid w:val="00BD4FBD"/>
    <w:rsid w:val="00BD52A7"/>
    <w:rsid w:val="00BD53D9"/>
    <w:rsid w:val="00BD619B"/>
    <w:rsid w:val="00BD7145"/>
    <w:rsid w:val="00BD71A2"/>
    <w:rsid w:val="00BD72A7"/>
    <w:rsid w:val="00BE054E"/>
    <w:rsid w:val="00BE12F0"/>
    <w:rsid w:val="00BE1565"/>
    <w:rsid w:val="00BE1C09"/>
    <w:rsid w:val="00BE1D8E"/>
    <w:rsid w:val="00BE1E38"/>
    <w:rsid w:val="00BE23FA"/>
    <w:rsid w:val="00BE2608"/>
    <w:rsid w:val="00BE28FD"/>
    <w:rsid w:val="00BE2F07"/>
    <w:rsid w:val="00BE3C14"/>
    <w:rsid w:val="00BE3D66"/>
    <w:rsid w:val="00BE414F"/>
    <w:rsid w:val="00BE41CD"/>
    <w:rsid w:val="00BE460E"/>
    <w:rsid w:val="00BE5119"/>
    <w:rsid w:val="00BE5536"/>
    <w:rsid w:val="00BE5E4D"/>
    <w:rsid w:val="00BE6570"/>
    <w:rsid w:val="00BE69B9"/>
    <w:rsid w:val="00BE75FF"/>
    <w:rsid w:val="00BE7DFF"/>
    <w:rsid w:val="00BF1C62"/>
    <w:rsid w:val="00BF2BE3"/>
    <w:rsid w:val="00BF2C7C"/>
    <w:rsid w:val="00BF2E78"/>
    <w:rsid w:val="00BF3AB1"/>
    <w:rsid w:val="00BF4307"/>
    <w:rsid w:val="00BF6754"/>
    <w:rsid w:val="00BF7106"/>
    <w:rsid w:val="00BF7589"/>
    <w:rsid w:val="00BF7B7B"/>
    <w:rsid w:val="00BF7C7D"/>
    <w:rsid w:val="00C00056"/>
    <w:rsid w:val="00C00264"/>
    <w:rsid w:val="00C002DF"/>
    <w:rsid w:val="00C0061B"/>
    <w:rsid w:val="00C00917"/>
    <w:rsid w:val="00C00A74"/>
    <w:rsid w:val="00C00A9B"/>
    <w:rsid w:val="00C0240B"/>
    <w:rsid w:val="00C0253D"/>
    <w:rsid w:val="00C02602"/>
    <w:rsid w:val="00C03416"/>
    <w:rsid w:val="00C03771"/>
    <w:rsid w:val="00C03A23"/>
    <w:rsid w:val="00C042F6"/>
    <w:rsid w:val="00C04FB8"/>
    <w:rsid w:val="00C0561A"/>
    <w:rsid w:val="00C059B4"/>
    <w:rsid w:val="00C05A2C"/>
    <w:rsid w:val="00C0732C"/>
    <w:rsid w:val="00C079D0"/>
    <w:rsid w:val="00C100B0"/>
    <w:rsid w:val="00C10749"/>
    <w:rsid w:val="00C10E59"/>
    <w:rsid w:val="00C10F68"/>
    <w:rsid w:val="00C1270D"/>
    <w:rsid w:val="00C136A6"/>
    <w:rsid w:val="00C13850"/>
    <w:rsid w:val="00C13933"/>
    <w:rsid w:val="00C14284"/>
    <w:rsid w:val="00C1432F"/>
    <w:rsid w:val="00C143EE"/>
    <w:rsid w:val="00C146A6"/>
    <w:rsid w:val="00C152BD"/>
    <w:rsid w:val="00C15E23"/>
    <w:rsid w:val="00C16019"/>
    <w:rsid w:val="00C160EF"/>
    <w:rsid w:val="00C16DC5"/>
    <w:rsid w:val="00C1767C"/>
    <w:rsid w:val="00C177A5"/>
    <w:rsid w:val="00C178FB"/>
    <w:rsid w:val="00C17DBC"/>
    <w:rsid w:val="00C206D0"/>
    <w:rsid w:val="00C2079D"/>
    <w:rsid w:val="00C20A34"/>
    <w:rsid w:val="00C20A58"/>
    <w:rsid w:val="00C20E33"/>
    <w:rsid w:val="00C21329"/>
    <w:rsid w:val="00C2145A"/>
    <w:rsid w:val="00C21FFC"/>
    <w:rsid w:val="00C225C5"/>
    <w:rsid w:val="00C2261B"/>
    <w:rsid w:val="00C22630"/>
    <w:rsid w:val="00C22631"/>
    <w:rsid w:val="00C22702"/>
    <w:rsid w:val="00C23758"/>
    <w:rsid w:val="00C23919"/>
    <w:rsid w:val="00C23D3E"/>
    <w:rsid w:val="00C24B67"/>
    <w:rsid w:val="00C24E63"/>
    <w:rsid w:val="00C25818"/>
    <w:rsid w:val="00C2593F"/>
    <w:rsid w:val="00C25B2B"/>
    <w:rsid w:val="00C25D75"/>
    <w:rsid w:val="00C269BB"/>
    <w:rsid w:val="00C2797F"/>
    <w:rsid w:val="00C30BCF"/>
    <w:rsid w:val="00C30FF3"/>
    <w:rsid w:val="00C31249"/>
    <w:rsid w:val="00C3152F"/>
    <w:rsid w:val="00C32357"/>
    <w:rsid w:val="00C324E5"/>
    <w:rsid w:val="00C3307B"/>
    <w:rsid w:val="00C33194"/>
    <w:rsid w:val="00C33652"/>
    <w:rsid w:val="00C34591"/>
    <w:rsid w:val="00C347C6"/>
    <w:rsid w:val="00C35195"/>
    <w:rsid w:val="00C3559B"/>
    <w:rsid w:val="00C3561D"/>
    <w:rsid w:val="00C3563D"/>
    <w:rsid w:val="00C356B6"/>
    <w:rsid w:val="00C36264"/>
    <w:rsid w:val="00C368B3"/>
    <w:rsid w:val="00C36D89"/>
    <w:rsid w:val="00C374B3"/>
    <w:rsid w:val="00C378CF"/>
    <w:rsid w:val="00C4016F"/>
    <w:rsid w:val="00C40E50"/>
    <w:rsid w:val="00C41DE2"/>
    <w:rsid w:val="00C422B6"/>
    <w:rsid w:val="00C424F0"/>
    <w:rsid w:val="00C42928"/>
    <w:rsid w:val="00C437D2"/>
    <w:rsid w:val="00C439E2"/>
    <w:rsid w:val="00C43CF0"/>
    <w:rsid w:val="00C43DCC"/>
    <w:rsid w:val="00C43F61"/>
    <w:rsid w:val="00C44512"/>
    <w:rsid w:val="00C447AF"/>
    <w:rsid w:val="00C44A37"/>
    <w:rsid w:val="00C44F3F"/>
    <w:rsid w:val="00C45772"/>
    <w:rsid w:val="00C46011"/>
    <w:rsid w:val="00C46AA1"/>
    <w:rsid w:val="00C46DBA"/>
    <w:rsid w:val="00C47E1D"/>
    <w:rsid w:val="00C5015D"/>
    <w:rsid w:val="00C50262"/>
    <w:rsid w:val="00C5106B"/>
    <w:rsid w:val="00C51249"/>
    <w:rsid w:val="00C517A5"/>
    <w:rsid w:val="00C519D5"/>
    <w:rsid w:val="00C51AA8"/>
    <w:rsid w:val="00C51F32"/>
    <w:rsid w:val="00C51F3B"/>
    <w:rsid w:val="00C523DB"/>
    <w:rsid w:val="00C529FA"/>
    <w:rsid w:val="00C5350A"/>
    <w:rsid w:val="00C5366B"/>
    <w:rsid w:val="00C5386A"/>
    <w:rsid w:val="00C53924"/>
    <w:rsid w:val="00C54090"/>
    <w:rsid w:val="00C54613"/>
    <w:rsid w:val="00C564B5"/>
    <w:rsid w:val="00C56AD5"/>
    <w:rsid w:val="00C57DCF"/>
    <w:rsid w:val="00C60A3E"/>
    <w:rsid w:val="00C61343"/>
    <w:rsid w:val="00C623E7"/>
    <w:rsid w:val="00C623E9"/>
    <w:rsid w:val="00C62C4A"/>
    <w:rsid w:val="00C63DD3"/>
    <w:rsid w:val="00C6580D"/>
    <w:rsid w:val="00C659A2"/>
    <w:rsid w:val="00C666F0"/>
    <w:rsid w:val="00C66716"/>
    <w:rsid w:val="00C673D1"/>
    <w:rsid w:val="00C67811"/>
    <w:rsid w:val="00C67FFD"/>
    <w:rsid w:val="00C70168"/>
    <w:rsid w:val="00C7033E"/>
    <w:rsid w:val="00C7059B"/>
    <w:rsid w:val="00C70FCE"/>
    <w:rsid w:val="00C71597"/>
    <w:rsid w:val="00C72055"/>
    <w:rsid w:val="00C72075"/>
    <w:rsid w:val="00C72914"/>
    <w:rsid w:val="00C72FF6"/>
    <w:rsid w:val="00C73017"/>
    <w:rsid w:val="00C73876"/>
    <w:rsid w:val="00C73C0D"/>
    <w:rsid w:val="00C73E6E"/>
    <w:rsid w:val="00C743EC"/>
    <w:rsid w:val="00C749B5"/>
    <w:rsid w:val="00C766A1"/>
    <w:rsid w:val="00C76792"/>
    <w:rsid w:val="00C77BA8"/>
    <w:rsid w:val="00C8014B"/>
    <w:rsid w:val="00C80AFF"/>
    <w:rsid w:val="00C80F7B"/>
    <w:rsid w:val="00C819A0"/>
    <w:rsid w:val="00C81BA6"/>
    <w:rsid w:val="00C82652"/>
    <w:rsid w:val="00C84365"/>
    <w:rsid w:val="00C8490F"/>
    <w:rsid w:val="00C84A7E"/>
    <w:rsid w:val="00C84B43"/>
    <w:rsid w:val="00C8533F"/>
    <w:rsid w:val="00C8575C"/>
    <w:rsid w:val="00C858A7"/>
    <w:rsid w:val="00C858FC"/>
    <w:rsid w:val="00C85EC6"/>
    <w:rsid w:val="00C87468"/>
    <w:rsid w:val="00C8761B"/>
    <w:rsid w:val="00C87979"/>
    <w:rsid w:val="00C87E6D"/>
    <w:rsid w:val="00C90796"/>
    <w:rsid w:val="00C90D9E"/>
    <w:rsid w:val="00C90DFC"/>
    <w:rsid w:val="00C91265"/>
    <w:rsid w:val="00C933F4"/>
    <w:rsid w:val="00C93B2A"/>
    <w:rsid w:val="00C93C43"/>
    <w:rsid w:val="00C95107"/>
    <w:rsid w:val="00C951B2"/>
    <w:rsid w:val="00C956C8"/>
    <w:rsid w:val="00C959CB"/>
    <w:rsid w:val="00C962C4"/>
    <w:rsid w:val="00C96450"/>
    <w:rsid w:val="00C964EA"/>
    <w:rsid w:val="00C966CB"/>
    <w:rsid w:val="00C96C68"/>
    <w:rsid w:val="00C96CF9"/>
    <w:rsid w:val="00C97018"/>
    <w:rsid w:val="00C97046"/>
    <w:rsid w:val="00C9716A"/>
    <w:rsid w:val="00C97371"/>
    <w:rsid w:val="00C97626"/>
    <w:rsid w:val="00C97B1B"/>
    <w:rsid w:val="00C97D24"/>
    <w:rsid w:val="00CA0847"/>
    <w:rsid w:val="00CA090E"/>
    <w:rsid w:val="00CA0C36"/>
    <w:rsid w:val="00CA0D2A"/>
    <w:rsid w:val="00CA1194"/>
    <w:rsid w:val="00CA19E6"/>
    <w:rsid w:val="00CA250B"/>
    <w:rsid w:val="00CA2686"/>
    <w:rsid w:val="00CA285F"/>
    <w:rsid w:val="00CA2FA5"/>
    <w:rsid w:val="00CA3150"/>
    <w:rsid w:val="00CA3755"/>
    <w:rsid w:val="00CA3C83"/>
    <w:rsid w:val="00CA433B"/>
    <w:rsid w:val="00CA4C2B"/>
    <w:rsid w:val="00CA4C67"/>
    <w:rsid w:val="00CA5ABB"/>
    <w:rsid w:val="00CA620B"/>
    <w:rsid w:val="00CA6D23"/>
    <w:rsid w:val="00CA76F6"/>
    <w:rsid w:val="00CA7A86"/>
    <w:rsid w:val="00CB0105"/>
    <w:rsid w:val="00CB1615"/>
    <w:rsid w:val="00CB1675"/>
    <w:rsid w:val="00CB1888"/>
    <w:rsid w:val="00CB1D61"/>
    <w:rsid w:val="00CB290C"/>
    <w:rsid w:val="00CB2B5C"/>
    <w:rsid w:val="00CB2D3F"/>
    <w:rsid w:val="00CB3A8D"/>
    <w:rsid w:val="00CB3F03"/>
    <w:rsid w:val="00CB40AB"/>
    <w:rsid w:val="00CB4976"/>
    <w:rsid w:val="00CB4B38"/>
    <w:rsid w:val="00CB5DEB"/>
    <w:rsid w:val="00CB5E30"/>
    <w:rsid w:val="00CB6058"/>
    <w:rsid w:val="00CB799E"/>
    <w:rsid w:val="00CC0EE8"/>
    <w:rsid w:val="00CC115B"/>
    <w:rsid w:val="00CC1A6A"/>
    <w:rsid w:val="00CC24D1"/>
    <w:rsid w:val="00CC25A1"/>
    <w:rsid w:val="00CC298A"/>
    <w:rsid w:val="00CC2A3F"/>
    <w:rsid w:val="00CC375F"/>
    <w:rsid w:val="00CC39FF"/>
    <w:rsid w:val="00CC44F0"/>
    <w:rsid w:val="00CC52AF"/>
    <w:rsid w:val="00CC6A49"/>
    <w:rsid w:val="00CC74B9"/>
    <w:rsid w:val="00CC7734"/>
    <w:rsid w:val="00CC7E33"/>
    <w:rsid w:val="00CD0043"/>
    <w:rsid w:val="00CD0282"/>
    <w:rsid w:val="00CD0F49"/>
    <w:rsid w:val="00CD16D6"/>
    <w:rsid w:val="00CD17E2"/>
    <w:rsid w:val="00CD2856"/>
    <w:rsid w:val="00CD2E36"/>
    <w:rsid w:val="00CD3F75"/>
    <w:rsid w:val="00CD45BB"/>
    <w:rsid w:val="00CD4B66"/>
    <w:rsid w:val="00CD5407"/>
    <w:rsid w:val="00CD547C"/>
    <w:rsid w:val="00CD6B44"/>
    <w:rsid w:val="00CD714B"/>
    <w:rsid w:val="00CE1A94"/>
    <w:rsid w:val="00CE1EC5"/>
    <w:rsid w:val="00CE22C3"/>
    <w:rsid w:val="00CE29A0"/>
    <w:rsid w:val="00CE2B7C"/>
    <w:rsid w:val="00CE3F26"/>
    <w:rsid w:val="00CE4BBA"/>
    <w:rsid w:val="00CE539D"/>
    <w:rsid w:val="00CE5A53"/>
    <w:rsid w:val="00CE5DC9"/>
    <w:rsid w:val="00CE63D3"/>
    <w:rsid w:val="00CE707A"/>
    <w:rsid w:val="00CE78A6"/>
    <w:rsid w:val="00CE792E"/>
    <w:rsid w:val="00CE7972"/>
    <w:rsid w:val="00CF0EEC"/>
    <w:rsid w:val="00CF0FCF"/>
    <w:rsid w:val="00CF189C"/>
    <w:rsid w:val="00CF1964"/>
    <w:rsid w:val="00CF19E9"/>
    <w:rsid w:val="00CF218E"/>
    <w:rsid w:val="00CF221A"/>
    <w:rsid w:val="00CF266B"/>
    <w:rsid w:val="00CF2785"/>
    <w:rsid w:val="00CF2820"/>
    <w:rsid w:val="00CF36A6"/>
    <w:rsid w:val="00CF38F3"/>
    <w:rsid w:val="00CF399D"/>
    <w:rsid w:val="00CF3AE6"/>
    <w:rsid w:val="00CF47A3"/>
    <w:rsid w:val="00CF5E94"/>
    <w:rsid w:val="00CF5EFA"/>
    <w:rsid w:val="00CF6076"/>
    <w:rsid w:val="00CF6DD4"/>
    <w:rsid w:val="00CF75A1"/>
    <w:rsid w:val="00CF78A9"/>
    <w:rsid w:val="00D00091"/>
    <w:rsid w:val="00D001BE"/>
    <w:rsid w:val="00D00615"/>
    <w:rsid w:val="00D00EB1"/>
    <w:rsid w:val="00D02895"/>
    <w:rsid w:val="00D028E4"/>
    <w:rsid w:val="00D0290B"/>
    <w:rsid w:val="00D02A09"/>
    <w:rsid w:val="00D02D4D"/>
    <w:rsid w:val="00D035B2"/>
    <w:rsid w:val="00D039F6"/>
    <w:rsid w:val="00D04FB8"/>
    <w:rsid w:val="00D05222"/>
    <w:rsid w:val="00D0534B"/>
    <w:rsid w:val="00D055FC"/>
    <w:rsid w:val="00D0595F"/>
    <w:rsid w:val="00D06361"/>
    <w:rsid w:val="00D06C04"/>
    <w:rsid w:val="00D07D9D"/>
    <w:rsid w:val="00D1005D"/>
    <w:rsid w:val="00D1091C"/>
    <w:rsid w:val="00D115DC"/>
    <w:rsid w:val="00D11875"/>
    <w:rsid w:val="00D11B29"/>
    <w:rsid w:val="00D12256"/>
    <w:rsid w:val="00D139ED"/>
    <w:rsid w:val="00D13AC4"/>
    <w:rsid w:val="00D13EDD"/>
    <w:rsid w:val="00D14C01"/>
    <w:rsid w:val="00D15112"/>
    <w:rsid w:val="00D1513B"/>
    <w:rsid w:val="00D157B3"/>
    <w:rsid w:val="00D1591E"/>
    <w:rsid w:val="00D163E0"/>
    <w:rsid w:val="00D1680B"/>
    <w:rsid w:val="00D1689A"/>
    <w:rsid w:val="00D176F1"/>
    <w:rsid w:val="00D17C4A"/>
    <w:rsid w:val="00D200C7"/>
    <w:rsid w:val="00D20CE0"/>
    <w:rsid w:val="00D20E61"/>
    <w:rsid w:val="00D2169A"/>
    <w:rsid w:val="00D21A48"/>
    <w:rsid w:val="00D21F36"/>
    <w:rsid w:val="00D221D4"/>
    <w:rsid w:val="00D22A4E"/>
    <w:rsid w:val="00D23977"/>
    <w:rsid w:val="00D2502F"/>
    <w:rsid w:val="00D2560D"/>
    <w:rsid w:val="00D264D2"/>
    <w:rsid w:val="00D277A0"/>
    <w:rsid w:val="00D27E89"/>
    <w:rsid w:val="00D27FD4"/>
    <w:rsid w:val="00D301C6"/>
    <w:rsid w:val="00D31475"/>
    <w:rsid w:val="00D3152A"/>
    <w:rsid w:val="00D31A0D"/>
    <w:rsid w:val="00D32972"/>
    <w:rsid w:val="00D32A40"/>
    <w:rsid w:val="00D335DC"/>
    <w:rsid w:val="00D33735"/>
    <w:rsid w:val="00D35659"/>
    <w:rsid w:val="00D35A69"/>
    <w:rsid w:val="00D35DCF"/>
    <w:rsid w:val="00D361A6"/>
    <w:rsid w:val="00D3660F"/>
    <w:rsid w:val="00D36E14"/>
    <w:rsid w:val="00D36F8B"/>
    <w:rsid w:val="00D3709D"/>
    <w:rsid w:val="00D37246"/>
    <w:rsid w:val="00D37839"/>
    <w:rsid w:val="00D40BC0"/>
    <w:rsid w:val="00D41391"/>
    <w:rsid w:val="00D41890"/>
    <w:rsid w:val="00D4379A"/>
    <w:rsid w:val="00D440AF"/>
    <w:rsid w:val="00D442A7"/>
    <w:rsid w:val="00D45194"/>
    <w:rsid w:val="00D461E6"/>
    <w:rsid w:val="00D46415"/>
    <w:rsid w:val="00D46792"/>
    <w:rsid w:val="00D46E76"/>
    <w:rsid w:val="00D4743A"/>
    <w:rsid w:val="00D47E23"/>
    <w:rsid w:val="00D50B29"/>
    <w:rsid w:val="00D513AB"/>
    <w:rsid w:val="00D51A43"/>
    <w:rsid w:val="00D5205C"/>
    <w:rsid w:val="00D5226C"/>
    <w:rsid w:val="00D52A21"/>
    <w:rsid w:val="00D533A4"/>
    <w:rsid w:val="00D53445"/>
    <w:rsid w:val="00D539DF"/>
    <w:rsid w:val="00D54968"/>
    <w:rsid w:val="00D55CB5"/>
    <w:rsid w:val="00D56355"/>
    <w:rsid w:val="00D572DA"/>
    <w:rsid w:val="00D57670"/>
    <w:rsid w:val="00D60A8D"/>
    <w:rsid w:val="00D61520"/>
    <w:rsid w:val="00D6172A"/>
    <w:rsid w:val="00D61C24"/>
    <w:rsid w:val="00D62106"/>
    <w:rsid w:val="00D62635"/>
    <w:rsid w:val="00D62BAB"/>
    <w:rsid w:val="00D62CF7"/>
    <w:rsid w:val="00D634D4"/>
    <w:rsid w:val="00D64177"/>
    <w:rsid w:val="00D6477E"/>
    <w:rsid w:val="00D64A19"/>
    <w:rsid w:val="00D6545C"/>
    <w:rsid w:val="00D6558A"/>
    <w:rsid w:val="00D65A91"/>
    <w:rsid w:val="00D66464"/>
    <w:rsid w:val="00D676AC"/>
    <w:rsid w:val="00D67916"/>
    <w:rsid w:val="00D679BE"/>
    <w:rsid w:val="00D67BAD"/>
    <w:rsid w:val="00D67C1D"/>
    <w:rsid w:val="00D67FE3"/>
    <w:rsid w:val="00D70C11"/>
    <w:rsid w:val="00D70C93"/>
    <w:rsid w:val="00D71837"/>
    <w:rsid w:val="00D729DC"/>
    <w:rsid w:val="00D72A88"/>
    <w:rsid w:val="00D72BCF"/>
    <w:rsid w:val="00D72EAE"/>
    <w:rsid w:val="00D745A4"/>
    <w:rsid w:val="00D74BF8"/>
    <w:rsid w:val="00D753A7"/>
    <w:rsid w:val="00D761C9"/>
    <w:rsid w:val="00D772E7"/>
    <w:rsid w:val="00D77879"/>
    <w:rsid w:val="00D80343"/>
    <w:rsid w:val="00D80D00"/>
    <w:rsid w:val="00D80E1B"/>
    <w:rsid w:val="00D81003"/>
    <w:rsid w:val="00D8116F"/>
    <w:rsid w:val="00D826E7"/>
    <w:rsid w:val="00D838E9"/>
    <w:rsid w:val="00D84DB9"/>
    <w:rsid w:val="00D850A2"/>
    <w:rsid w:val="00D85198"/>
    <w:rsid w:val="00D85BBA"/>
    <w:rsid w:val="00D85E36"/>
    <w:rsid w:val="00D86144"/>
    <w:rsid w:val="00D863B1"/>
    <w:rsid w:val="00D866AB"/>
    <w:rsid w:val="00D86979"/>
    <w:rsid w:val="00D8744D"/>
    <w:rsid w:val="00D900A5"/>
    <w:rsid w:val="00D90300"/>
    <w:rsid w:val="00D90B2B"/>
    <w:rsid w:val="00D919D6"/>
    <w:rsid w:val="00D91DD5"/>
    <w:rsid w:val="00D91E96"/>
    <w:rsid w:val="00D91F7D"/>
    <w:rsid w:val="00D920B9"/>
    <w:rsid w:val="00D923B0"/>
    <w:rsid w:val="00D93068"/>
    <w:rsid w:val="00D93385"/>
    <w:rsid w:val="00D93C0D"/>
    <w:rsid w:val="00D942E5"/>
    <w:rsid w:val="00D944CA"/>
    <w:rsid w:val="00D94EBE"/>
    <w:rsid w:val="00D950B9"/>
    <w:rsid w:val="00D95571"/>
    <w:rsid w:val="00D95ACD"/>
    <w:rsid w:val="00D96335"/>
    <w:rsid w:val="00D965AD"/>
    <w:rsid w:val="00D9666B"/>
    <w:rsid w:val="00D96B19"/>
    <w:rsid w:val="00D97EB9"/>
    <w:rsid w:val="00DA0052"/>
    <w:rsid w:val="00DA0145"/>
    <w:rsid w:val="00DA19EC"/>
    <w:rsid w:val="00DA1AAB"/>
    <w:rsid w:val="00DA2568"/>
    <w:rsid w:val="00DA2C37"/>
    <w:rsid w:val="00DA2D28"/>
    <w:rsid w:val="00DA2E16"/>
    <w:rsid w:val="00DA2E54"/>
    <w:rsid w:val="00DA2FB6"/>
    <w:rsid w:val="00DA37D0"/>
    <w:rsid w:val="00DA69D3"/>
    <w:rsid w:val="00DA6E4A"/>
    <w:rsid w:val="00DA70C6"/>
    <w:rsid w:val="00DA72EA"/>
    <w:rsid w:val="00DA749D"/>
    <w:rsid w:val="00DB06F6"/>
    <w:rsid w:val="00DB09E6"/>
    <w:rsid w:val="00DB0B42"/>
    <w:rsid w:val="00DB0CCA"/>
    <w:rsid w:val="00DB1CB7"/>
    <w:rsid w:val="00DB1F89"/>
    <w:rsid w:val="00DB2099"/>
    <w:rsid w:val="00DB2233"/>
    <w:rsid w:val="00DB2484"/>
    <w:rsid w:val="00DB249E"/>
    <w:rsid w:val="00DB2F69"/>
    <w:rsid w:val="00DB385D"/>
    <w:rsid w:val="00DB3F08"/>
    <w:rsid w:val="00DB45AA"/>
    <w:rsid w:val="00DB4B10"/>
    <w:rsid w:val="00DB5869"/>
    <w:rsid w:val="00DB5C0D"/>
    <w:rsid w:val="00DB78A4"/>
    <w:rsid w:val="00DB7CCE"/>
    <w:rsid w:val="00DC0420"/>
    <w:rsid w:val="00DC0440"/>
    <w:rsid w:val="00DC0C10"/>
    <w:rsid w:val="00DC132E"/>
    <w:rsid w:val="00DC1E5F"/>
    <w:rsid w:val="00DC2839"/>
    <w:rsid w:val="00DC3E22"/>
    <w:rsid w:val="00DC4562"/>
    <w:rsid w:val="00DC46C9"/>
    <w:rsid w:val="00DC51D1"/>
    <w:rsid w:val="00DC5EAC"/>
    <w:rsid w:val="00DC6162"/>
    <w:rsid w:val="00DC6389"/>
    <w:rsid w:val="00DC63A5"/>
    <w:rsid w:val="00DC758D"/>
    <w:rsid w:val="00DD00B7"/>
    <w:rsid w:val="00DD0B42"/>
    <w:rsid w:val="00DD0D7D"/>
    <w:rsid w:val="00DD1312"/>
    <w:rsid w:val="00DD1EF1"/>
    <w:rsid w:val="00DD2CD2"/>
    <w:rsid w:val="00DD3364"/>
    <w:rsid w:val="00DD39FE"/>
    <w:rsid w:val="00DD43D1"/>
    <w:rsid w:val="00DD44F0"/>
    <w:rsid w:val="00DD475A"/>
    <w:rsid w:val="00DD5547"/>
    <w:rsid w:val="00DD622F"/>
    <w:rsid w:val="00DD6A93"/>
    <w:rsid w:val="00DD70EC"/>
    <w:rsid w:val="00DD7280"/>
    <w:rsid w:val="00DD74DD"/>
    <w:rsid w:val="00DE14A8"/>
    <w:rsid w:val="00DE18F4"/>
    <w:rsid w:val="00DE22C9"/>
    <w:rsid w:val="00DE2528"/>
    <w:rsid w:val="00DE2CE8"/>
    <w:rsid w:val="00DE2E7D"/>
    <w:rsid w:val="00DE2E9B"/>
    <w:rsid w:val="00DE307C"/>
    <w:rsid w:val="00DE313B"/>
    <w:rsid w:val="00DE3374"/>
    <w:rsid w:val="00DE3DBA"/>
    <w:rsid w:val="00DE48BF"/>
    <w:rsid w:val="00DE6956"/>
    <w:rsid w:val="00DE6B62"/>
    <w:rsid w:val="00DE6B95"/>
    <w:rsid w:val="00DE706C"/>
    <w:rsid w:val="00DE71DF"/>
    <w:rsid w:val="00DE729C"/>
    <w:rsid w:val="00DF0168"/>
    <w:rsid w:val="00DF02BD"/>
    <w:rsid w:val="00DF03F6"/>
    <w:rsid w:val="00DF0EBF"/>
    <w:rsid w:val="00DF0F60"/>
    <w:rsid w:val="00DF17E3"/>
    <w:rsid w:val="00DF1BA0"/>
    <w:rsid w:val="00DF1E46"/>
    <w:rsid w:val="00DF2387"/>
    <w:rsid w:val="00DF2A70"/>
    <w:rsid w:val="00DF2C82"/>
    <w:rsid w:val="00DF3924"/>
    <w:rsid w:val="00DF44DA"/>
    <w:rsid w:val="00DF5255"/>
    <w:rsid w:val="00DF6360"/>
    <w:rsid w:val="00DF642F"/>
    <w:rsid w:val="00DF7859"/>
    <w:rsid w:val="00DF7B7B"/>
    <w:rsid w:val="00E005D2"/>
    <w:rsid w:val="00E00EA2"/>
    <w:rsid w:val="00E00EBB"/>
    <w:rsid w:val="00E01043"/>
    <w:rsid w:val="00E02291"/>
    <w:rsid w:val="00E0229C"/>
    <w:rsid w:val="00E028B0"/>
    <w:rsid w:val="00E029C1"/>
    <w:rsid w:val="00E02F98"/>
    <w:rsid w:val="00E03B50"/>
    <w:rsid w:val="00E04943"/>
    <w:rsid w:val="00E04DF5"/>
    <w:rsid w:val="00E05135"/>
    <w:rsid w:val="00E0524F"/>
    <w:rsid w:val="00E052D7"/>
    <w:rsid w:val="00E0576C"/>
    <w:rsid w:val="00E05C67"/>
    <w:rsid w:val="00E05DA4"/>
    <w:rsid w:val="00E06FBB"/>
    <w:rsid w:val="00E070B3"/>
    <w:rsid w:val="00E07945"/>
    <w:rsid w:val="00E07B7E"/>
    <w:rsid w:val="00E07E8D"/>
    <w:rsid w:val="00E103B4"/>
    <w:rsid w:val="00E1043E"/>
    <w:rsid w:val="00E10C21"/>
    <w:rsid w:val="00E1120F"/>
    <w:rsid w:val="00E119AD"/>
    <w:rsid w:val="00E12359"/>
    <w:rsid w:val="00E126E0"/>
    <w:rsid w:val="00E12B04"/>
    <w:rsid w:val="00E12D57"/>
    <w:rsid w:val="00E12D79"/>
    <w:rsid w:val="00E1394A"/>
    <w:rsid w:val="00E13A74"/>
    <w:rsid w:val="00E13D47"/>
    <w:rsid w:val="00E13E79"/>
    <w:rsid w:val="00E1454F"/>
    <w:rsid w:val="00E1480E"/>
    <w:rsid w:val="00E14F26"/>
    <w:rsid w:val="00E1508A"/>
    <w:rsid w:val="00E15BF6"/>
    <w:rsid w:val="00E15CDD"/>
    <w:rsid w:val="00E15DE3"/>
    <w:rsid w:val="00E1623F"/>
    <w:rsid w:val="00E16A83"/>
    <w:rsid w:val="00E16D35"/>
    <w:rsid w:val="00E17119"/>
    <w:rsid w:val="00E172DC"/>
    <w:rsid w:val="00E20329"/>
    <w:rsid w:val="00E22163"/>
    <w:rsid w:val="00E22330"/>
    <w:rsid w:val="00E22D41"/>
    <w:rsid w:val="00E2357F"/>
    <w:rsid w:val="00E23A90"/>
    <w:rsid w:val="00E2422B"/>
    <w:rsid w:val="00E24893"/>
    <w:rsid w:val="00E24976"/>
    <w:rsid w:val="00E249B4"/>
    <w:rsid w:val="00E24EDF"/>
    <w:rsid w:val="00E25511"/>
    <w:rsid w:val="00E25FEE"/>
    <w:rsid w:val="00E26513"/>
    <w:rsid w:val="00E27491"/>
    <w:rsid w:val="00E30C9F"/>
    <w:rsid w:val="00E30CE5"/>
    <w:rsid w:val="00E333B6"/>
    <w:rsid w:val="00E33DBB"/>
    <w:rsid w:val="00E34279"/>
    <w:rsid w:val="00E34CF7"/>
    <w:rsid w:val="00E34DB4"/>
    <w:rsid w:val="00E35993"/>
    <w:rsid w:val="00E362C8"/>
    <w:rsid w:val="00E36956"/>
    <w:rsid w:val="00E372F4"/>
    <w:rsid w:val="00E37B5E"/>
    <w:rsid w:val="00E400E2"/>
    <w:rsid w:val="00E40D3B"/>
    <w:rsid w:val="00E41BF6"/>
    <w:rsid w:val="00E42362"/>
    <w:rsid w:val="00E426CC"/>
    <w:rsid w:val="00E42B3C"/>
    <w:rsid w:val="00E42C91"/>
    <w:rsid w:val="00E42D96"/>
    <w:rsid w:val="00E43201"/>
    <w:rsid w:val="00E43B91"/>
    <w:rsid w:val="00E443A8"/>
    <w:rsid w:val="00E44513"/>
    <w:rsid w:val="00E448E5"/>
    <w:rsid w:val="00E45B9C"/>
    <w:rsid w:val="00E463DB"/>
    <w:rsid w:val="00E467AB"/>
    <w:rsid w:val="00E46D53"/>
    <w:rsid w:val="00E476AB"/>
    <w:rsid w:val="00E47F14"/>
    <w:rsid w:val="00E503D9"/>
    <w:rsid w:val="00E505A3"/>
    <w:rsid w:val="00E50FB4"/>
    <w:rsid w:val="00E510E1"/>
    <w:rsid w:val="00E511EB"/>
    <w:rsid w:val="00E5193E"/>
    <w:rsid w:val="00E51CCC"/>
    <w:rsid w:val="00E526E5"/>
    <w:rsid w:val="00E52B69"/>
    <w:rsid w:val="00E532CC"/>
    <w:rsid w:val="00E5331B"/>
    <w:rsid w:val="00E53476"/>
    <w:rsid w:val="00E5379A"/>
    <w:rsid w:val="00E54A1B"/>
    <w:rsid w:val="00E54E5B"/>
    <w:rsid w:val="00E5544F"/>
    <w:rsid w:val="00E5584C"/>
    <w:rsid w:val="00E55AF0"/>
    <w:rsid w:val="00E5641D"/>
    <w:rsid w:val="00E56A50"/>
    <w:rsid w:val="00E57645"/>
    <w:rsid w:val="00E602DE"/>
    <w:rsid w:val="00E610AA"/>
    <w:rsid w:val="00E611AE"/>
    <w:rsid w:val="00E611FF"/>
    <w:rsid w:val="00E619A1"/>
    <w:rsid w:val="00E61BDA"/>
    <w:rsid w:val="00E624D5"/>
    <w:rsid w:val="00E631D9"/>
    <w:rsid w:val="00E63A8F"/>
    <w:rsid w:val="00E647D5"/>
    <w:rsid w:val="00E6636A"/>
    <w:rsid w:val="00E663E2"/>
    <w:rsid w:val="00E66688"/>
    <w:rsid w:val="00E667AC"/>
    <w:rsid w:val="00E667E3"/>
    <w:rsid w:val="00E67281"/>
    <w:rsid w:val="00E67B9C"/>
    <w:rsid w:val="00E67F5D"/>
    <w:rsid w:val="00E70788"/>
    <w:rsid w:val="00E70A8C"/>
    <w:rsid w:val="00E70D15"/>
    <w:rsid w:val="00E70E93"/>
    <w:rsid w:val="00E70F0E"/>
    <w:rsid w:val="00E71AFF"/>
    <w:rsid w:val="00E7230E"/>
    <w:rsid w:val="00E7240D"/>
    <w:rsid w:val="00E7253B"/>
    <w:rsid w:val="00E72805"/>
    <w:rsid w:val="00E72FA7"/>
    <w:rsid w:val="00E73563"/>
    <w:rsid w:val="00E7391F"/>
    <w:rsid w:val="00E73928"/>
    <w:rsid w:val="00E7417A"/>
    <w:rsid w:val="00E74C4A"/>
    <w:rsid w:val="00E74EB6"/>
    <w:rsid w:val="00E755B9"/>
    <w:rsid w:val="00E757E6"/>
    <w:rsid w:val="00E75986"/>
    <w:rsid w:val="00E75A8C"/>
    <w:rsid w:val="00E75AD0"/>
    <w:rsid w:val="00E75EFA"/>
    <w:rsid w:val="00E75F7E"/>
    <w:rsid w:val="00E76530"/>
    <w:rsid w:val="00E765DB"/>
    <w:rsid w:val="00E766ED"/>
    <w:rsid w:val="00E77009"/>
    <w:rsid w:val="00E77046"/>
    <w:rsid w:val="00E770DE"/>
    <w:rsid w:val="00E772EC"/>
    <w:rsid w:val="00E77801"/>
    <w:rsid w:val="00E77809"/>
    <w:rsid w:val="00E77A64"/>
    <w:rsid w:val="00E80299"/>
    <w:rsid w:val="00E80795"/>
    <w:rsid w:val="00E80B4C"/>
    <w:rsid w:val="00E80BD4"/>
    <w:rsid w:val="00E810A0"/>
    <w:rsid w:val="00E816EA"/>
    <w:rsid w:val="00E81FE9"/>
    <w:rsid w:val="00E820B1"/>
    <w:rsid w:val="00E8214E"/>
    <w:rsid w:val="00E828D3"/>
    <w:rsid w:val="00E82BC1"/>
    <w:rsid w:val="00E8385A"/>
    <w:rsid w:val="00E8392D"/>
    <w:rsid w:val="00E846D4"/>
    <w:rsid w:val="00E85079"/>
    <w:rsid w:val="00E85630"/>
    <w:rsid w:val="00E85D08"/>
    <w:rsid w:val="00E860C8"/>
    <w:rsid w:val="00E86364"/>
    <w:rsid w:val="00E8704B"/>
    <w:rsid w:val="00E87891"/>
    <w:rsid w:val="00E87B7D"/>
    <w:rsid w:val="00E90049"/>
    <w:rsid w:val="00E90ECF"/>
    <w:rsid w:val="00E9111C"/>
    <w:rsid w:val="00E911C6"/>
    <w:rsid w:val="00E91C21"/>
    <w:rsid w:val="00E923B0"/>
    <w:rsid w:val="00E9260C"/>
    <w:rsid w:val="00E93CAE"/>
    <w:rsid w:val="00E93FF8"/>
    <w:rsid w:val="00E94100"/>
    <w:rsid w:val="00E9547E"/>
    <w:rsid w:val="00E9590E"/>
    <w:rsid w:val="00E970F4"/>
    <w:rsid w:val="00E9733D"/>
    <w:rsid w:val="00E97571"/>
    <w:rsid w:val="00E978B6"/>
    <w:rsid w:val="00EA01D6"/>
    <w:rsid w:val="00EA0321"/>
    <w:rsid w:val="00EA1296"/>
    <w:rsid w:val="00EA2AF4"/>
    <w:rsid w:val="00EA399F"/>
    <w:rsid w:val="00EA3AE5"/>
    <w:rsid w:val="00EA4343"/>
    <w:rsid w:val="00EA518A"/>
    <w:rsid w:val="00EA52F8"/>
    <w:rsid w:val="00EA5696"/>
    <w:rsid w:val="00EA56D8"/>
    <w:rsid w:val="00EA5CA9"/>
    <w:rsid w:val="00EA607C"/>
    <w:rsid w:val="00EA6E77"/>
    <w:rsid w:val="00EA7718"/>
    <w:rsid w:val="00EA7B78"/>
    <w:rsid w:val="00EB00CD"/>
    <w:rsid w:val="00EB0123"/>
    <w:rsid w:val="00EB0588"/>
    <w:rsid w:val="00EB0F78"/>
    <w:rsid w:val="00EB1609"/>
    <w:rsid w:val="00EB1853"/>
    <w:rsid w:val="00EB1874"/>
    <w:rsid w:val="00EB1D55"/>
    <w:rsid w:val="00EB2684"/>
    <w:rsid w:val="00EB32BB"/>
    <w:rsid w:val="00EB392A"/>
    <w:rsid w:val="00EB481D"/>
    <w:rsid w:val="00EB50D6"/>
    <w:rsid w:val="00EB59D5"/>
    <w:rsid w:val="00EB5A92"/>
    <w:rsid w:val="00EB5E48"/>
    <w:rsid w:val="00EB69AD"/>
    <w:rsid w:val="00EB6DE3"/>
    <w:rsid w:val="00EB7095"/>
    <w:rsid w:val="00EB7727"/>
    <w:rsid w:val="00EC099B"/>
    <w:rsid w:val="00EC15CE"/>
    <w:rsid w:val="00EC181F"/>
    <w:rsid w:val="00EC199A"/>
    <w:rsid w:val="00EC1A0B"/>
    <w:rsid w:val="00EC1B45"/>
    <w:rsid w:val="00EC21A3"/>
    <w:rsid w:val="00EC2426"/>
    <w:rsid w:val="00EC34A8"/>
    <w:rsid w:val="00EC3835"/>
    <w:rsid w:val="00EC3AD9"/>
    <w:rsid w:val="00EC407F"/>
    <w:rsid w:val="00EC4D35"/>
    <w:rsid w:val="00EC5234"/>
    <w:rsid w:val="00EC57C6"/>
    <w:rsid w:val="00EC59A8"/>
    <w:rsid w:val="00EC6032"/>
    <w:rsid w:val="00EC73B2"/>
    <w:rsid w:val="00EC7E22"/>
    <w:rsid w:val="00EC7FF5"/>
    <w:rsid w:val="00ED1E42"/>
    <w:rsid w:val="00ED207F"/>
    <w:rsid w:val="00ED2CA8"/>
    <w:rsid w:val="00ED2ED3"/>
    <w:rsid w:val="00ED3791"/>
    <w:rsid w:val="00ED40CF"/>
    <w:rsid w:val="00ED4450"/>
    <w:rsid w:val="00ED450D"/>
    <w:rsid w:val="00ED4DA8"/>
    <w:rsid w:val="00ED5045"/>
    <w:rsid w:val="00ED5192"/>
    <w:rsid w:val="00ED5776"/>
    <w:rsid w:val="00ED5F59"/>
    <w:rsid w:val="00ED6B3E"/>
    <w:rsid w:val="00ED7007"/>
    <w:rsid w:val="00ED72BC"/>
    <w:rsid w:val="00ED7C9F"/>
    <w:rsid w:val="00EE1233"/>
    <w:rsid w:val="00EE1C99"/>
    <w:rsid w:val="00EE23DF"/>
    <w:rsid w:val="00EE27CD"/>
    <w:rsid w:val="00EE2E5C"/>
    <w:rsid w:val="00EE2F36"/>
    <w:rsid w:val="00EE2F40"/>
    <w:rsid w:val="00EE3511"/>
    <w:rsid w:val="00EE37F1"/>
    <w:rsid w:val="00EE3FB2"/>
    <w:rsid w:val="00EE3FBD"/>
    <w:rsid w:val="00EE436C"/>
    <w:rsid w:val="00EE5821"/>
    <w:rsid w:val="00EE6A7B"/>
    <w:rsid w:val="00EE72B8"/>
    <w:rsid w:val="00EE72F5"/>
    <w:rsid w:val="00EE731E"/>
    <w:rsid w:val="00EE734D"/>
    <w:rsid w:val="00EE755B"/>
    <w:rsid w:val="00EE7F5E"/>
    <w:rsid w:val="00EF054D"/>
    <w:rsid w:val="00EF0C09"/>
    <w:rsid w:val="00EF1906"/>
    <w:rsid w:val="00EF19F2"/>
    <w:rsid w:val="00EF2AB2"/>
    <w:rsid w:val="00EF2CBE"/>
    <w:rsid w:val="00EF2D55"/>
    <w:rsid w:val="00EF2D6A"/>
    <w:rsid w:val="00EF2D87"/>
    <w:rsid w:val="00EF4690"/>
    <w:rsid w:val="00EF4F16"/>
    <w:rsid w:val="00EF6323"/>
    <w:rsid w:val="00EF6727"/>
    <w:rsid w:val="00EF6ECA"/>
    <w:rsid w:val="00EF6EDE"/>
    <w:rsid w:val="00EF6F4F"/>
    <w:rsid w:val="00EF70E4"/>
    <w:rsid w:val="00F0017B"/>
    <w:rsid w:val="00F001FD"/>
    <w:rsid w:val="00F013E7"/>
    <w:rsid w:val="00F015A5"/>
    <w:rsid w:val="00F01E03"/>
    <w:rsid w:val="00F02FE1"/>
    <w:rsid w:val="00F030FB"/>
    <w:rsid w:val="00F043AC"/>
    <w:rsid w:val="00F049A5"/>
    <w:rsid w:val="00F04C76"/>
    <w:rsid w:val="00F04CEA"/>
    <w:rsid w:val="00F04D39"/>
    <w:rsid w:val="00F04DA6"/>
    <w:rsid w:val="00F05F05"/>
    <w:rsid w:val="00F067C1"/>
    <w:rsid w:val="00F068CB"/>
    <w:rsid w:val="00F076AC"/>
    <w:rsid w:val="00F07E10"/>
    <w:rsid w:val="00F11268"/>
    <w:rsid w:val="00F11629"/>
    <w:rsid w:val="00F11D6F"/>
    <w:rsid w:val="00F1258D"/>
    <w:rsid w:val="00F128C4"/>
    <w:rsid w:val="00F13419"/>
    <w:rsid w:val="00F13ABA"/>
    <w:rsid w:val="00F13F12"/>
    <w:rsid w:val="00F15662"/>
    <w:rsid w:val="00F15709"/>
    <w:rsid w:val="00F15864"/>
    <w:rsid w:val="00F1591C"/>
    <w:rsid w:val="00F159F0"/>
    <w:rsid w:val="00F15D89"/>
    <w:rsid w:val="00F15FC5"/>
    <w:rsid w:val="00F16218"/>
    <w:rsid w:val="00F1664B"/>
    <w:rsid w:val="00F16C58"/>
    <w:rsid w:val="00F17019"/>
    <w:rsid w:val="00F17148"/>
    <w:rsid w:val="00F17419"/>
    <w:rsid w:val="00F17C6E"/>
    <w:rsid w:val="00F20697"/>
    <w:rsid w:val="00F20B55"/>
    <w:rsid w:val="00F20C0F"/>
    <w:rsid w:val="00F222FB"/>
    <w:rsid w:val="00F2303F"/>
    <w:rsid w:val="00F2322D"/>
    <w:rsid w:val="00F2341D"/>
    <w:rsid w:val="00F23D1A"/>
    <w:rsid w:val="00F24270"/>
    <w:rsid w:val="00F252EA"/>
    <w:rsid w:val="00F25AE9"/>
    <w:rsid w:val="00F25F49"/>
    <w:rsid w:val="00F26885"/>
    <w:rsid w:val="00F2694D"/>
    <w:rsid w:val="00F26B4B"/>
    <w:rsid w:val="00F27587"/>
    <w:rsid w:val="00F27DC2"/>
    <w:rsid w:val="00F31294"/>
    <w:rsid w:val="00F3142D"/>
    <w:rsid w:val="00F31A78"/>
    <w:rsid w:val="00F31D66"/>
    <w:rsid w:val="00F32A8B"/>
    <w:rsid w:val="00F33D32"/>
    <w:rsid w:val="00F34D46"/>
    <w:rsid w:val="00F355A8"/>
    <w:rsid w:val="00F35655"/>
    <w:rsid w:val="00F35682"/>
    <w:rsid w:val="00F35D9C"/>
    <w:rsid w:val="00F361C3"/>
    <w:rsid w:val="00F36B1D"/>
    <w:rsid w:val="00F373F9"/>
    <w:rsid w:val="00F375F8"/>
    <w:rsid w:val="00F376C1"/>
    <w:rsid w:val="00F37FC8"/>
    <w:rsid w:val="00F40171"/>
    <w:rsid w:val="00F405F7"/>
    <w:rsid w:val="00F40680"/>
    <w:rsid w:val="00F40D22"/>
    <w:rsid w:val="00F40DC7"/>
    <w:rsid w:val="00F411A8"/>
    <w:rsid w:val="00F4128A"/>
    <w:rsid w:val="00F412C7"/>
    <w:rsid w:val="00F420C4"/>
    <w:rsid w:val="00F423F8"/>
    <w:rsid w:val="00F427DB"/>
    <w:rsid w:val="00F42C49"/>
    <w:rsid w:val="00F42D61"/>
    <w:rsid w:val="00F42DFD"/>
    <w:rsid w:val="00F4422A"/>
    <w:rsid w:val="00F44DFE"/>
    <w:rsid w:val="00F45961"/>
    <w:rsid w:val="00F45BBE"/>
    <w:rsid w:val="00F46069"/>
    <w:rsid w:val="00F461AE"/>
    <w:rsid w:val="00F46F1C"/>
    <w:rsid w:val="00F47DEE"/>
    <w:rsid w:val="00F50525"/>
    <w:rsid w:val="00F51346"/>
    <w:rsid w:val="00F516D6"/>
    <w:rsid w:val="00F51E2D"/>
    <w:rsid w:val="00F5231A"/>
    <w:rsid w:val="00F52888"/>
    <w:rsid w:val="00F52B61"/>
    <w:rsid w:val="00F5376E"/>
    <w:rsid w:val="00F54498"/>
    <w:rsid w:val="00F54B23"/>
    <w:rsid w:val="00F54BF5"/>
    <w:rsid w:val="00F54C2D"/>
    <w:rsid w:val="00F5575E"/>
    <w:rsid w:val="00F55E7C"/>
    <w:rsid w:val="00F561AD"/>
    <w:rsid w:val="00F5620A"/>
    <w:rsid w:val="00F570AC"/>
    <w:rsid w:val="00F5736A"/>
    <w:rsid w:val="00F57461"/>
    <w:rsid w:val="00F577C5"/>
    <w:rsid w:val="00F57A3B"/>
    <w:rsid w:val="00F60225"/>
    <w:rsid w:val="00F604BA"/>
    <w:rsid w:val="00F60D35"/>
    <w:rsid w:val="00F60EB2"/>
    <w:rsid w:val="00F60EF0"/>
    <w:rsid w:val="00F61824"/>
    <w:rsid w:val="00F61E52"/>
    <w:rsid w:val="00F61F8B"/>
    <w:rsid w:val="00F62090"/>
    <w:rsid w:val="00F62BE5"/>
    <w:rsid w:val="00F62DF0"/>
    <w:rsid w:val="00F63436"/>
    <w:rsid w:val="00F63C59"/>
    <w:rsid w:val="00F63D36"/>
    <w:rsid w:val="00F64053"/>
    <w:rsid w:val="00F6458D"/>
    <w:rsid w:val="00F647EB"/>
    <w:rsid w:val="00F64A68"/>
    <w:rsid w:val="00F64D9D"/>
    <w:rsid w:val="00F657F5"/>
    <w:rsid w:val="00F65E1C"/>
    <w:rsid w:val="00F6625D"/>
    <w:rsid w:val="00F66BC7"/>
    <w:rsid w:val="00F66C83"/>
    <w:rsid w:val="00F7002B"/>
    <w:rsid w:val="00F70314"/>
    <w:rsid w:val="00F704E9"/>
    <w:rsid w:val="00F70F1D"/>
    <w:rsid w:val="00F71787"/>
    <w:rsid w:val="00F71E98"/>
    <w:rsid w:val="00F720A0"/>
    <w:rsid w:val="00F72BF4"/>
    <w:rsid w:val="00F73093"/>
    <w:rsid w:val="00F7362E"/>
    <w:rsid w:val="00F740AB"/>
    <w:rsid w:val="00F74328"/>
    <w:rsid w:val="00F74EF1"/>
    <w:rsid w:val="00F759BA"/>
    <w:rsid w:val="00F75A49"/>
    <w:rsid w:val="00F75B98"/>
    <w:rsid w:val="00F765A0"/>
    <w:rsid w:val="00F76708"/>
    <w:rsid w:val="00F76B52"/>
    <w:rsid w:val="00F76DE4"/>
    <w:rsid w:val="00F7735F"/>
    <w:rsid w:val="00F800D6"/>
    <w:rsid w:val="00F801AA"/>
    <w:rsid w:val="00F8021A"/>
    <w:rsid w:val="00F80DF6"/>
    <w:rsid w:val="00F814F6"/>
    <w:rsid w:val="00F82BFC"/>
    <w:rsid w:val="00F82FA4"/>
    <w:rsid w:val="00F84432"/>
    <w:rsid w:val="00F846D7"/>
    <w:rsid w:val="00F84EDE"/>
    <w:rsid w:val="00F854EB"/>
    <w:rsid w:val="00F86249"/>
    <w:rsid w:val="00F867E6"/>
    <w:rsid w:val="00F8698E"/>
    <w:rsid w:val="00F87605"/>
    <w:rsid w:val="00F87925"/>
    <w:rsid w:val="00F87DD9"/>
    <w:rsid w:val="00F900E5"/>
    <w:rsid w:val="00F9100D"/>
    <w:rsid w:val="00F91098"/>
    <w:rsid w:val="00F91B8D"/>
    <w:rsid w:val="00F9277A"/>
    <w:rsid w:val="00F92B96"/>
    <w:rsid w:val="00F92D7F"/>
    <w:rsid w:val="00F9414F"/>
    <w:rsid w:val="00F944F8"/>
    <w:rsid w:val="00F948EF"/>
    <w:rsid w:val="00F94A6C"/>
    <w:rsid w:val="00F94AFA"/>
    <w:rsid w:val="00F94C8F"/>
    <w:rsid w:val="00F952D4"/>
    <w:rsid w:val="00F957A9"/>
    <w:rsid w:val="00F9601E"/>
    <w:rsid w:val="00F9636F"/>
    <w:rsid w:val="00F96A15"/>
    <w:rsid w:val="00F96C8F"/>
    <w:rsid w:val="00F97265"/>
    <w:rsid w:val="00F97781"/>
    <w:rsid w:val="00F97999"/>
    <w:rsid w:val="00FA01B5"/>
    <w:rsid w:val="00FA1078"/>
    <w:rsid w:val="00FA126C"/>
    <w:rsid w:val="00FA18E7"/>
    <w:rsid w:val="00FA1996"/>
    <w:rsid w:val="00FA27DC"/>
    <w:rsid w:val="00FA3023"/>
    <w:rsid w:val="00FA3483"/>
    <w:rsid w:val="00FA3689"/>
    <w:rsid w:val="00FA3ABC"/>
    <w:rsid w:val="00FA4339"/>
    <w:rsid w:val="00FA4C4D"/>
    <w:rsid w:val="00FA57AA"/>
    <w:rsid w:val="00FA589A"/>
    <w:rsid w:val="00FA5981"/>
    <w:rsid w:val="00FA5B0A"/>
    <w:rsid w:val="00FA5BB3"/>
    <w:rsid w:val="00FA5C9A"/>
    <w:rsid w:val="00FA5D5B"/>
    <w:rsid w:val="00FA6307"/>
    <w:rsid w:val="00FA7064"/>
    <w:rsid w:val="00FB0850"/>
    <w:rsid w:val="00FB09B7"/>
    <w:rsid w:val="00FB0ADE"/>
    <w:rsid w:val="00FB1613"/>
    <w:rsid w:val="00FB1AE9"/>
    <w:rsid w:val="00FB25FF"/>
    <w:rsid w:val="00FB2E9B"/>
    <w:rsid w:val="00FB4456"/>
    <w:rsid w:val="00FB46F9"/>
    <w:rsid w:val="00FB498F"/>
    <w:rsid w:val="00FB4E7D"/>
    <w:rsid w:val="00FB5CE6"/>
    <w:rsid w:val="00FB60DE"/>
    <w:rsid w:val="00FB6A72"/>
    <w:rsid w:val="00FB70B2"/>
    <w:rsid w:val="00FB7D2E"/>
    <w:rsid w:val="00FC0451"/>
    <w:rsid w:val="00FC047B"/>
    <w:rsid w:val="00FC1010"/>
    <w:rsid w:val="00FC2905"/>
    <w:rsid w:val="00FC29A0"/>
    <w:rsid w:val="00FC2A4C"/>
    <w:rsid w:val="00FC2F1A"/>
    <w:rsid w:val="00FC3BD2"/>
    <w:rsid w:val="00FC4EF6"/>
    <w:rsid w:val="00FC51B3"/>
    <w:rsid w:val="00FC5283"/>
    <w:rsid w:val="00FC5712"/>
    <w:rsid w:val="00FC6810"/>
    <w:rsid w:val="00FC6AE8"/>
    <w:rsid w:val="00FC7CC8"/>
    <w:rsid w:val="00FD0A66"/>
    <w:rsid w:val="00FD131A"/>
    <w:rsid w:val="00FD1452"/>
    <w:rsid w:val="00FD3072"/>
    <w:rsid w:val="00FD37E3"/>
    <w:rsid w:val="00FD3ADF"/>
    <w:rsid w:val="00FD3B8B"/>
    <w:rsid w:val="00FD3C2D"/>
    <w:rsid w:val="00FD4021"/>
    <w:rsid w:val="00FD43F8"/>
    <w:rsid w:val="00FD5256"/>
    <w:rsid w:val="00FD5AF0"/>
    <w:rsid w:val="00FD5E58"/>
    <w:rsid w:val="00FD61E6"/>
    <w:rsid w:val="00FD6679"/>
    <w:rsid w:val="00FD6806"/>
    <w:rsid w:val="00FD7323"/>
    <w:rsid w:val="00FD7882"/>
    <w:rsid w:val="00FD7D52"/>
    <w:rsid w:val="00FD7FD6"/>
    <w:rsid w:val="00FD7FD8"/>
    <w:rsid w:val="00FE0290"/>
    <w:rsid w:val="00FE0923"/>
    <w:rsid w:val="00FE09D1"/>
    <w:rsid w:val="00FE1722"/>
    <w:rsid w:val="00FE19E3"/>
    <w:rsid w:val="00FE1AC5"/>
    <w:rsid w:val="00FE200D"/>
    <w:rsid w:val="00FE2304"/>
    <w:rsid w:val="00FE2820"/>
    <w:rsid w:val="00FE2A43"/>
    <w:rsid w:val="00FE2D2B"/>
    <w:rsid w:val="00FE2D94"/>
    <w:rsid w:val="00FE31C6"/>
    <w:rsid w:val="00FE389B"/>
    <w:rsid w:val="00FE4B6D"/>
    <w:rsid w:val="00FE4DA1"/>
    <w:rsid w:val="00FE4EEA"/>
    <w:rsid w:val="00FE5AD7"/>
    <w:rsid w:val="00FE65BD"/>
    <w:rsid w:val="00FE74D5"/>
    <w:rsid w:val="00FE78CF"/>
    <w:rsid w:val="00FF119F"/>
    <w:rsid w:val="00FF1BEF"/>
    <w:rsid w:val="00FF1CB5"/>
    <w:rsid w:val="00FF1F25"/>
    <w:rsid w:val="00FF1FE7"/>
    <w:rsid w:val="00FF2D4A"/>
    <w:rsid w:val="00FF2DC6"/>
    <w:rsid w:val="00FF338B"/>
    <w:rsid w:val="00FF36C6"/>
    <w:rsid w:val="00FF3707"/>
    <w:rsid w:val="00FF3E43"/>
    <w:rsid w:val="00FF5BD6"/>
    <w:rsid w:val="00FF5F72"/>
    <w:rsid w:val="00FF6EEC"/>
    <w:rsid w:val="00FF7640"/>
    <w:rsid w:val="00FF7899"/>
    <w:rsid w:val="00FF7C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377A1E"/>
  <w15:docId w15:val="{835EB098-3617-FC49-8879-FE955E5B8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CB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C2839"/>
    <w:rPr>
      <w:sz w:val="18"/>
      <w:szCs w:val="18"/>
    </w:rPr>
  </w:style>
  <w:style w:type="paragraph" w:styleId="CommentText">
    <w:name w:val="annotation text"/>
    <w:basedOn w:val="Normal"/>
    <w:link w:val="CommentTextChar"/>
    <w:uiPriority w:val="99"/>
    <w:unhideWhenUsed/>
    <w:rsid w:val="00DC2839"/>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DC2839"/>
  </w:style>
  <w:style w:type="paragraph" w:styleId="CommentSubject">
    <w:name w:val="annotation subject"/>
    <w:basedOn w:val="CommentText"/>
    <w:next w:val="CommentText"/>
    <w:link w:val="CommentSubjectChar"/>
    <w:uiPriority w:val="99"/>
    <w:semiHidden/>
    <w:unhideWhenUsed/>
    <w:rsid w:val="00DC2839"/>
    <w:rPr>
      <w:b/>
      <w:bCs/>
      <w:sz w:val="20"/>
      <w:szCs w:val="20"/>
    </w:rPr>
  </w:style>
  <w:style w:type="character" w:customStyle="1" w:styleId="CommentSubjectChar">
    <w:name w:val="Comment Subject Char"/>
    <w:basedOn w:val="CommentTextChar"/>
    <w:link w:val="CommentSubject"/>
    <w:uiPriority w:val="99"/>
    <w:semiHidden/>
    <w:rsid w:val="00DC2839"/>
    <w:rPr>
      <w:b/>
      <w:bCs/>
      <w:sz w:val="20"/>
      <w:szCs w:val="20"/>
    </w:rPr>
  </w:style>
  <w:style w:type="paragraph" w:styleId="BalloonText">
    <w:name w:val="Balloon Text"/>
    <w:basedOn w:val="Normal"/>
    <w:link w:val="BalloonTextChar"/>
    <w:uiPriority w:val="99"/>
    <w:semiHidden/>
    <w:unhideWhenUsed/>
    <w:rsid w:val="00DC2839"/>
    <w:rPr>
      <w:rFonts w:eastAsiaTheme="minorHAnsi"/>
      <w:sz w:val="18"/>
      <w:szCs w:val="18"/>
    </w:rPr>
  </w:style>
  <w:style w:type="character" w:customStyle="1" w:styleId="BalloonTextChar">
    <w:name w:val="Balloon Text Char"/>
    <w:basedOn w:val="DefaultParagraphFont"/>
    <w:link w:val="BalloonText"/>
    <w:uiPriority w:val="99"/>
    <w:semiHidden/>
    <w:rsid w:val="00DC2839"/>
    <w:rPr>
      <w:rFonts w:ascii="Times New Roman" w:hAnsi="Times New Roman" w:cs="Times New Roman"/>
      <w:sz w:val="18"/>
      <w:szCs w:val="18"/>
    </w:rPr>
  </w:style>
  <w:style w:type="paragraph" w:styleId="Footer">
    <w:name w:val="footer"/>
    <w:basedOn w:val="Normal"/>
    <w:link w:val="FooterChar"/>
    <w:uiPriority w:val="99"/>
    <w:unhideWhenUsed/>
    <w:rsid w:val="00B54749"/>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54749"/>
  </w:style>
  <w:style w:type="character" w:styleId="PageNumber">
    <w:name w:val="page number"/>
    <w:basedOn w:val="DefaultParagraphFont"/>
    <w:uiPriority w:val="99"/>
    <w:semiHidden/>
    <w:unhideWhenUsed/>
    <w:rsid w:val="00B54749"/>
  </w:style>
  <w:style w:type="character" w:styleId="Hyperlink">
    <w:name w:val="Hyperlink"/>
    <w:basedOn w:val="DefaultParagraphFont"/>
    <w:uiPriority w:val="99"/>
    <w:unhideWhenUsed/>
    <w:rsid w:val="00982C82"/>
    <w:rPr>
      <w:color w:val="0563C1" w:themeColor="hyperlink"/>
      <w:u w:val="single"/>
    </w:rPr>
  </w:style>
  <w:style w:type="paragraph" w:styleId="FootnoteText">
    <w:name w:val="footnote text"/>
    <w:basedOn w:val="Normal"/>
    <w:link w:val="FootnoteTextChar"/>
    <w:uiPriority w:val="99"/>
    <w:unhideWhenUsed/>
    <w:rsid w:val="002A003E"/>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2A003E"/>
  </w:style>
  <w:style w:type="character" w:styleId="FootnoteReference">
    <w:name w:val="footnote reference"/>
    <w:basedOn w:val="DefaultParagraphFont"/>
    <w:uiPriority w:val="99"/>
    <w:unhideWhenUsed/>
    <w:rsid w:val="002A003E"/>
    <w:rPr>
      <w:vertAlign w:val="superscript"/>
    </w:rPr>
  </w:style>
  <w:style w:type="character" w:styleId="LineNumber">
    <w:name w:val="line number"/>
    <w:basedOn w:val="DefaultParagraphFont"/>
    <w:uiPriority w:val="99"/>
    <w:semiHidden/>
    <w:unhideWhenUsed/>
    <w:rsid w:val="00F800D6"/>
  </w:style>
  <w:style w:type="character" w:customStyle="1" w:styleId="UnresolvedMention1">
    <w:name w:val="Unresolved Mention1"/>
    <w:basedOn w:val="DefaultParagraphFont"/>
    <w:uiPriority w:val="99"/>
    <w:rsid w:val="00B826B5"/>
    <w:rPr>
      <w:color w:val="605E5C"/>
      <w:shd w:val="clear" w:color="auto" w:fill="E1DFDD"/>
    </w:rPr>
  </w:style>
  <w:style w:type="paragraph" w:styleId="Header">
    <w:name w:val="header"/>
    <w:basedOn w:val="Normal"/>
    <w:link w:val="HeaderChar"/>
    <w:uiPriority w:val="99"/>
    <w:unhideWhenUsed/>
    <w:rsid w:val="00D35DCF"/>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D35DCF"/>
  </w:style>
  <w:style w:type="paragraph" w:styleId="NormalWeb">
    <w:name w:val="Normal (Web)"/>
    <w:basedOn w:val="Normal"/>
    <w:uiPriority w:val="99"/>
    <w:unhideWhenUsed/>
    <w:rsid w:val="00216AC5"/>
    <w:pPr>
      <w:spacing w:before="100" w:beforeAutospacing="1" w:after="100" w:afterAutospacing="1"/>
    </w:pPr>
  </w:style>
  <w:style w:type="paragraph" w:styleId="ListParagraph">
    <w:name w:val="List Paragraph"/>
    <w:basedOn w:val="Normal"/>
    <w:uiPriority w:val="34"/>
    <w:qFormat/>
    <w:rsid w:val="00520E4D"/>
    <w:pPr>
      <w:ind w:left="720"/>
      <w:contextualSpacing/>
    </w:pPr>
    <w:rPr>
      <w:rFonts w:asciiTheme="minorHAnsi" w:eastAsiaTheme="minorHAnsi" w:hAnsiTheme="minorHAnsi" w:cstheme="minorBidi"/>
    </w:rPr>
  </w:style>
  <w:style w:type="paragraph" w:styleId="Revision">
    <w:name w:val="Revision"/>
    <w:hidden/>
    <w:uiPriority w:val="99"/>
    <w:semiHidden/>
    <w:rsid w:val="0021510B"/>
  </w:style>
  <w:style w:type="character" w:styleId="FollowedHyperlink">
    <w:name w:val="FollowedHyperlink"/>
    <w:basedOn w:val="DefaultParagraphFont"/>
    <w:uiPriority w:val="99"/>
    <w:semiHidden/>
    <w:unhideWhenUsed/>
    <w:rsid w:val="00173B5B"/>
    <w:rPr>
      <w:color w:val="954F72" w:themeColor="followedHyperlink"/>
      <w:u w:val="single"/>
    </w:rPr>
  </w:style>
  <w:style w:type="character" w:customStyle="1" w:styleId="apple-converted-space">
    <w:name w:val="apple-converted-space"/>
    <w:basedOn w:val="DefaultParagraphFont"/>
    <w:rsid w:val="00681F14"/>
  </w:style>
  <w:style w:type="character" w:styleId="UnresolvedMention">
    <w:name w:val="Unresolved Mention"/>
    <w:basedOn w:val="DefaultParagraphFont"/>
    <w:uiPriority w:val="99"/>
    <w:semiHidden/>
    <w:unhideWhenUsed/>
    <w:rsid w:val="00420EC4"/>
    <w:rPr>
      <w:color w:val="605E5C"/>
      <w:shd w:val="clear" w:color="auto" w:fill="E1DFDD"/>
    </w:rPr>
  </w:style>
  <w:style w:type="table" w:styleId="TableGrid">
    <w:name w:val="Table Grid"/>
    <w:basedOn w:val="TableNormal"/>
    <w:uiPriority w:val="39"/>
    <w:rsid w:val="009C72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6121">
      <w:bodyDiv w:val="1"/>
      <w:marLeft w:val="0"/>
      <w:marRight w:val="0"/>
      <w:marTop w:val="0"/>
      <w:marBottom w:val="0"/>
      <w:divBdr>
        <w:top w:val="none" w:sz="0" w:space="0" w:color="auto"/>
        <w:left w:val="none" w:sz="0" w:space="0" w:color="auto"/>
        <w:bottom w:val="none" w:sz="0" w:space="0" w:color="auto"/>
        <w:right w:val="none" w:sz="0" w:space="0" w:color="auto"/>
      </w:divBdr>
    </w:div>
    <w:div w:id="52045683">
      <w:bodyDiv w:val="1"/>
      <w:marLeft w:val="0"/>
      <w:marRight w:val="0"/>
      <w:marTop w:val="0"/>
      <w:marBottom w:val="0"/>
      <w:divBdr>
        <w:top w:val="none" w:sz="0" w:space="0" w:color="auto"/>
        <w:left w:val="none" w:sz="0" w:space="0" w:color="auto"/>
        <w:bottom w:val="none" w:sz="0" w:space="0" w:color="auto"/>
        <w:right w:val="none" w:sz="0" w:space="0" w:color="auto"/>
      </w:divBdr>
    </w:div>
    <w:div w:id="105663580">
      <w:bodyDiv w:val="1"/>
      <w:marLeft w:val="0"/>
      <w:marRight w:val="0"/>
      <w:marTop w:val="0"/>
      <w:marBottom w:val="0"/>
      <w:divBdr>
        <w:top w:val="none" w:sz="0" w:space="0" w:color="auto"/>
        <w:left w:val="none" w:sz="0" w:space="0" w:color="auto"/>
        <w:bottom w:val="none" w:sz="0" w:space="0" w:color="auto"/>
        <w:right w:val="none" w:sz="0" w:space="0" w:color="auto"/>
      </w:divBdr>
      <w:divsChild>
        <w:div w:id="1871338112">
          <w:marLeft w:val="0"/>
          <w:marRight w:val="0"/>
          <w:marTop w:val="0"/>
          <w:marBottom w:val="0"/>
          <w:divBdr>
            <w:top w:val="none" w:sz="0" w:space="0" w:color="auto"/>
            <w:left w:val="none" w:sz="0" w:space="0" w:color="auto"/>
            <w:bottom w:val="none" w:sz="0" w:space="0" w:color="auto"/>
            <w:right w:val="none" w:sz="0" w:space="0" w:color="auto"/>
          </w:divBdr>
          <w:divsChild>
            <w:div w:id="1650161095">
              <w:marLeft w:val="0"/>
              <w:marRight w:val="0"/>
              <w:marTop w:val="0"/>
              <w:marBottom w:val="0"/>
              <w:divBdr>
                <w:top w:val="none" w:sz="0" w:space="0" w:color="auto"/>
                <w:left w:val="none" w:sz="0" w:space="0" w:color="auto"/>
                <w:bottom w:val="none" w:sz="0" w:space="0" w:color="auto"/>
                <w:right w:val="none" w:sz="0" w:space="0" w:color="auto"/>
              </w:divBdr>
              <w:divsChild>
                <w:div w:id="17088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6305">
      <w:bodyDiv w:val="1"/>
      <w:marLeft w:val="0"/>
      <w:marRight w:val="0"/>
      <w:marTop w:val="0"/>
      <w:marBottom w:val="0"/>
      <w:divBdr>
        <w:top w:val="none" w:sz="0" w:space="0" w:color="auto"/>
        <w:left w:val="none" w:sz="0" w:space="0" w:color="auto"/>
        <w:bottom w:val="none" w:sz="0" w:space="0" w:color="auto"/>
        <w:right w:val="none" w:sz="0" w:space="0" w:color="auto"/>
      </w:divBdr>
    </w:div>
    <w:div w:id="121727351">
      <w:bodyDiv w:val="1"/>
      <w:marLeft w:val="0"/>
      <w:marRight w:val="0"/>
      <w:marTop w:val="0"/>
      <w:marBottom w:val="0"/>
      <w:divBdr>
        <w:top w:val="none" w:sz="0" w:space="0" w:color="auto"/>
        <w:left w:val="none" w:sz="0" w:space="0" w:color="auto"/>
        <w:bottom w:val="none" w:sz="0" w:space="0" w:color="auto"/>
        <w:right w:val="none" w:sz="0" w:space="0" w:color="auto"/>
      </w:divBdr>
      <w:divsChild>
        <w:div w:id="836656979">
          <w:marLeft w:val="0"/>
          <w:marRight w:val="0"/>
          <w:marTop w:val="0"/>
          <w:marBottom w:val="0"/>
          <w:divBdr>
            <w:top w:val="none" w:sz="0" w:space="0" w:color="auto"/>
            <w:left w:val="none" w:sz="0" w:space="0" w:color="auto"/>
            <w:bottom w:val="none" w:sz="0" w:space="0" w:color="auto"/>
            <w:right w:val="none" w:sz="0" w:space="0" w:color="auto"/>
          </w:divBdr>
          <w:divsChild>
            <w:div w:id="1502430191">
              <w:marLeft w:val="0"/>
              <w:marRight w:val="0"/>
              <w:marTop w:val="0"/>
              <w:marBottom w:val="0"/>
              <w:divBdr>
                <w:top w:val="none" w:sz="0" w:space="0" w:color="auto"/>
                <w:left w:val="none" w:sz="0" w:space="0" w:color="auto"/>
                <w:bottom w:val="none" w:sz="0" w:space="0" w:color="auto"/>
                <w:right w:val="none" w:sz="0" w:space="0" w:color="auto"/>
              </w:divBdr>
              <w:divsChild>
                <w:div w:id="41628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6979">
      <w:bodyDiv w:val="1"/>
      <w:marLeft w:val="0"/>
      <w:marRight w:val="0"/>
      <w:marTop w:val="0"/>
      <w:marBottom w:val="0"/>
      <w:divBdr>
        <w:top w:val="none" w:sz="0" w:space="0" w:color="auto"/>
        <w:left w:val="none" w:sz="0" w:space="0" w:color="auto"/>
        <w:bottom w:val="none" w:sz="0" w:space="0" w:color="auto"/>
        <w:right w:val="none" w:sz="0" w:space="0" w:color="auto"/>
      </w:divBdr>
    </w:div>
    <w:div w:id="187568871">
      <w:bodyDiv w:val="1"/>
      <w:marLeft w:val="0"/>
      <w:marRight w:val="0"/>
      <w:marTop w:val="0"/>
      <w:marBottom w:val="0"/>
      <w:divBdr>
        <w:top w:val="none" w:sz="0" w:space="0" w:color="auto"/>
        <w:left w:val="none" w:sz="0" w:space="0" w:color="auto"/>
        <w:bottom w:val="none" w:sz="0" w:space="0" w:color="auto"/>
        <w:right w:val="none" w:sz="0" w:space="0" w:color="auto"/>
      </w:divBdr>
    </w:div>
    <w:div w:id="191461730">
      <w:bodyDiv w:val="1"/>
      <w:marLeft w:val="0"/>
      <w:marRight w:val="0"/>
      <w:marTop w:val="0"/>
      <w:marBottom w:val="0"/>
      <w:divBdr>
        <w:top w:val="none" w:sz="0" w:space="0" w:color="auto"/>
        <w:left w:val="none" w:sz="0" w:space="0" w:color="auto"/>
        <w:bottom w:val="none" w:sz="0" w:space="0" w:color="auto"/>
        <w:right w:val="none" w:sz="0" w:space="0" w:color="auto"/>
      </w:divBdr>
      <w:divsChild>
        <w:div w:id="1476484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0798733">
              <w:marLeft w:val="0"/>
              <w:marRight w:val="0"/>
              <w:marTop w:val="0"/>
              <w:marBottom w:val="0"/>
              <w:divBdr>
                <w:top w:val="none" w:sz="0" w:space="0" w:color="auto"/>
                <w:left w:val="none" w:sz="0" w:space="0" w:color="auto"/>
                <w:bottom w:val="none" w:sz="0" w:space="0" w:color="auto"/>
                <w:right w:val="none" w:sz="0" w:space="0" w:color="auto"/>
              </w:divBdr>
            </w:div>
            <w:div w:id="191236325">
              <w:marLeft w:val="0"/>
              <w:marRight w:val="0"/>
              <w:marTop w:val="0"/>
              <w:marBottom w:val="0"/>
              <w:divBdr>
                <w:top w:val="none" w:sz="0" w:space="0" w:color="auto"/>
                <w:left w:val="none" w:sz="0" w:space="0" w:color="auto"/>
                <w:bottom w:val="none" w:sz="0" w:space="0" w:color="auto"/>
                <w:right w:val="none" w:sz="0" w:space="0" w:color="auto"/>
              </w:divBdr>
            </w:div>
            <w:div w:id="1047417924">
              <w:marLeft w:val="0"/>
              <w:marRight w:val="0"/>
              <w:marTop w:val="0"/>
              <w:marBottom w:val="0"/>
              <w:divBdr>
                <w:top w:val="none" w:sz="0" w:space="0" w:color="auto"/>
                <w:left w:val="none" w:sz="0" w:space="0" w:color="auto"/>
                <w:bottom w:val="none" w:sz="0" w:space="0" w:color="auto"/>
                <w:right w:val="none" w:sz="0" w:space="0" w:color="auto"/>
              </w:divBdr>
            </w:div>
            <w:div w:id="15534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5933">
      <w:bodyDiv w:val="1"/>
      <w:marLeft w:val="0"/>
      <w:marRight w:val="0"/>
      <w:marTop w:val="0"/>
      <w:marBottom w:val="0"/>
      <w:divBdr>
        <w:top w:val="none" w:sz="0" w:space="0" w:color="auto"/>
        <w:left w:val="none" w:sz="0" w:space="0" w:color="auto"/>
        <w:bottom w:val="none" w:sz="0" w:space="0" w:color="auto"/>
        <w:right w:val="none" w:sz="0" w:space="0" w:color="auto"/>
      </w:divBdr>
    </w:div>
    <w:div w:id="274169339">
      <w:bodyDiv w:val="1"/>
      <w:marLeft w:val="0"/>
      <w:marRight w:val="0"/>
      <w:marTop w:val="0"/>
      <w:marBottom w:val="0"/>
      <w:divBdr>
        <w:top w:val="none" w:sz="0" w:space="0" w:color="auto"/>
        <w:left w:val="none" w:sz="0" w:space="0" w:color="auto"/>
        <w:bottom w:val="none" w:sz="0" w:space="0" w:color="auto"/>
        <w:right w:val="none" w:sz="0" w:space="0" w:color="auto"/>
      </w:divBdr>
    </w:div>
    <w:div w:id="381632731">
      <w:bodyDiv w:val="1"/>
      <w:marLeft w:val="0"/>
      <w:marRight w:val="0"/>
      <w:marTop w:val="0"/>
      <w:marBottom w:val="0"/>
      <w:divBdr>
        <w:top w:val="none" w:sz="0" w:space="0" w:color="auto"/>
        <w:left w:val="none" w:sz="0" w:space="0" w:color="auto"/>
        <w:bottom w:val="none" w:sz="0" w:space="0" w:color="auto"/>
        <w:right w:val="none" w:sz="0" w:space="0" w:color="auto"/>
      </w:divBdr>
    </w:div>
    <w:div w:id="404306600">
      <w:bodyDiv w:val="1"/>
      <w:marLeft w:val="0"/>
      <w:marRight w:val="0"/>
      <w:marTop w:val="0"/>
      <w:marBottom w:val="0"/>
      <w:divBdr>
        <w:top w:val="none" w:sz="0" w:space="0" w:color="auto"/>
        <w:left w:val="none" w:sz="0" w:space="0" w:color="auto"/>
        <w:bottom w:val="none" w:sz="0" w:space="0" w:color="auto"/>
        <w:right w:val="none" w:sz="0" w:space="0" w:color="auto"/>
      </w:divBdr>
    </w:div>
    <w:div w:id="623583318">
      <w:bodyDiv w:val="1"/>
      <w:marLeft w:val="0"/>
      <w:marRight w:val="0"/>
      <w:marTop w:val="0"/>
      <w:marBottom w:val="0"/>
      <w:divBdr>
        <w:top w:val="none" w:sz="0" w:space="0" w:color="auto"/>
        <w:left w:val="none" w:sz="0" w:space="0" w:color="auto"/>
        <w:bottom w:val="none" w:sz="0" w:space="0" w:color="auto"/>
        <w:right w:val="none" w:sz="0" w:space="0" w:color="auto"/>
      </w:divBdr>
      <w:divsChild>
        <w:div w:id="2043044091">
          <w:marLeft w:val="0"/>
          <w:marRight w:val="0"/>
          <w:marTop w:val="0"/>
          <w:marBottom w:val="0"/>
          <w:divBdr>
            <w:top w:val="none" w:sz="0" w:space="0" w:color="auto"/>
            <w:left w:val="none" w:sz="0" w:space="0" w:color="auto"/>
            <w:bottom w:val="none" w:sz="0" w:space="0" w:color="auto"/>
            <w:right w:val="none" w:sz="0" w:space="0" w:color="auto"/>
          </w:divBdr>
          <w:divsChild>
            <w:div w:id="1003976175">
              <w:marLeft w:val="0"/>
              <w:marRight w:val="0"/>
              <w:marTop w:val="0"/>
              <w:marBottom w:val="0"/>
              <w:divBdr>
                <w:top w:val="none" w:sz="0" w:space="0" w:color="auto"/>
                <w:left w:val="none" w:sz="0" w:space="0" w:color="auto"/>
                <w:bottom w:val="none" w:sz="0" w:space="0" w:color="auto"/>
                <w:right w:val="none" w:sz="0" w:space="0" w:color="auto"/>
              </w:divBdr>
              <w:divsChild>
                <w:div w:id="14703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253003">
      <w:bodyDiv w:val="1"/>
      <w:marLeft w:val="0"/>
      <w:marRight w:val="0"/>
      <w:marTop w:val="0"/>
      <w:marBottom w:val="0"/>
      <w:divBdr>
        <w:top w:val="none" w:sz="0" w:space="0" w:color="auto"/>
        <w:left w:val="none" w:sz="0" w:space="0" w:color="auto"/>
        <w:bottom w:val="none" w:sz="0" w:space="0" w:color="auto"/>
        <w:right w:val="none" w:sz="0" w:space="0" w:color="auto"/>
      </w:divBdr>
    </w:div>
    <w:div w:id="751437740">
      <w:bodyDiv w:val="1"/>
      <w:marLeft w:val="0"/>
      <w:marRight w:val="0"/>
      <w:marTop w:val="0"/>
      <w:marBottom w:val="0"/>
      <w:divBdr>
        <w:top w:val="none" w:sz="0" w:space="0" w:color="auto"/>
        <w:left w:val="none" w:sz="0" w:space="0" w:color="auto"/>
        <w:bottom w:val="none" w:sz="0" w:space="0" w:color="auto"/>
        <w:right w:val="none" w:sz="0" w:space="0" w:color="auto"/>
      </w:divBdr>
    </w:div>
    <w:div w:id="758211158">
      <w:bodyDiv w:val="1"/>
      <w:marLeft w:val="0"/>
      <w:marRight w:val="0"/>
      <w:marTop w:val="0"/>
      <w:marBottom w:val="0"/>
      <w:divBdr>
        <w:top w:val="none" w:sz="0" w:space="0" w:color="auto"/>
        <w:left w:val="none" w:sz="0" w:space="0" w:color="auto"/>
        <w:bottom w:val="none" w:sz="0" w:space="0" w:color="auto"/>
        <w:right w:val="none" w:sz="0" w:space="0" w:color="auto"/>
      </w:divBdr>
      <w:divsChild>
        <w:div w:id="263879249">
          <w:marLeft w:val="0"/>
          <w:marRight w:val="0"/>
          <w:marTop w:val="0"/>
          <w:marBottom w:val="0"/>
          <w:divBdr>
            <w:top w:val="none" w:sz="0" w:space="0" w:color="auto"/>
            <w:left w:val="none" w:sz="0" w:space="0" w:color="auto"/>
            <w:bottom w:val="none" w:sz="0" w:space="0" w:color="auto"/>
            <w:right w:val="none" w:sz="0" w:space="0" w:color="auto"/>
          </w:divBdr>
          <w:divsChild>
            <w:div w:id="1277180729">
              <w:marLeft w:val="0"/>
              <w:marRight w:val="0"/>
              <w:marTop w:val="0"/>
              <w:marBottom w:val="0"/>
              <w:divBdr>
                <w:top w:val="none" w:sz="0" w:space="0" w:color="auto"/>
                <w:left w:val="none" w:sz="0" w:space="0" w:color="auto"/>
                <w:bottom w:val="none" w:sz="0" w:space="0" w:color="auto"/>
                <w:right w:val="none" w:sz="0" w:space="0" w:color="auto"/>
              </w:divBdr>
              <w:divsChild>
                <w:div w:id="102035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47703">
      <w:bodyDiv w:val="1"/>
      <w:marLeft w:val="0"/>
      <w:marRight w:val="0"/>
      <w:marTop w:val="0"/>
      <w:marBottom w:val="0"/>
      <w:divBdr>
        <w:top w:val="none" w:sz="0" w:space="0" w:color="auto"/>
        <w:left w:val="none" w:sz="0" w:space="0" w:color="auto"/>
        <w:bottom w:val="none" w:sz="0" w:space="0" w:color="auto"/>
        <w:right w:val="none" w:sz="0" w:space="0" w:color="auto"/>
      </w:divBdr>
    </w:div>
    <w:div w:id="966200706">
      <w:bodyDiv w:val="1"/>
      <w:marLeft w:val="0"/>
      <w:marRight w:val="0"/>
      <w:marTop w:val="0"/>
      <w:marBottom w:val="0"/>
      <w:divBdr>
        <w:top w:val="none" w:sz="0" w:space="0" w:color="auto"/>
        <w:left w:val="none" w:sz="0" w:space="0" w:color="auto"/>
        <w:bottom w:val="none" w:sz="0" w:space="0" w:color="auto"/>
        <w:right w:val="none" w:sz="0" w:space="0" w:color="auto"/>
      </w:divBdr>
    </w:div>
    <w:div w:id="976300958">
      <w:bodyDiv w:val="1"/>
      <w:marLeft w:val="0"/>
      <w:marRight w:val="0"/>
      <w:marTop w:val="0"/>
      <w:marBottom w:val="0"/>
      <w:divBdr>
        <w:top w:val="none" w:sz="0" w:space="0" w:color="auto"/>
        <w:left w:val="none" w:sz="0" w:space="0" w:color="auto"/>
        <w:bottom w:val="none" w:sz="0" w:space="0" w:color="auto"/>
        <w:right w:val="none" w:sz="0" w:space="0" w:color="auto"/>
      </w:divBdr>
    </w:div>
    <w:div w:id="1086730229">
      <w:bodyDiv w:val="1"/>
      <w:marLeft w:val="0"/>
      <w:marRight w:val="0"/>
      <w:marTop w:val="0"/>
      <w:marBottom w:val="0"/>
      <w:divBdr>
        <w:top w:val="none" w:sz="0" w:space="0" w:color="auto"/>
        <w:left w:val="none" w:sz="0" w:space="0" w:color="auto"/>
        <w:bottom w:val="none" w:sz="0" w:space="0" w:color="auto"/>
        <w:right w:val="none" w:sz="0" w:space="0" w:color="auto"/>
      </w:divBdr>
    </w:div>
    <w:div w:id="1164666097">
      <w:bodyDiv w:val="1"/>
      <w:marLeft w:val="0"/>
      <w:marRight w:val="0"/>
      <w:marTop w:val="0"/>
      <w:marBottom w:val="0"/>
      <w:divBdr>
        <w:top w:val="none" w:sz="0" w:space="0" w:color="auto"/>
        <w:left w:val="none" w:sz="0" w:space="0" w:color="auto"/>
        <w:bottom w:val="none" w:sz="0" w:space="0" w:color="auto"/>
        <w:right w:val="none" w:sz="0" w:space="0" w:color="auto"/>
      </w:divBdr>
    </w:div>
    <w:div w:id="1166440602">
      <w:bodyDiv w:val="1"/>
      <w:marLeft w:val="0"/>
      <w:marRight w:val="0"/>
      <w:marTop w:val="0"/>
      <w:marBottom w:val="0"/>
      <w:divBdr>
        <w:top w:val="none" w:sz="0" w:space="0" w:color="auto"/>
        <w:left w:val="none" w:sz="0" w:space="0" w:color="auto"/>
        <w:bottom w:val="none" w:sz="0" w:space="0" w:color="auto"/>
        <w:right w:val="none" w:sz="0" w:space="0" w:color="auto"/>
      </w:divBdr>
      <w:divsChild>
        <w:div w:id="21294252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106893">
              <w:marLeft w:val="0"/>
              <w:marRight w:val="0"/>
              <w:marTop w:val="0"/>
              <w:marBottom w:val="0"/>
              <w:divBdr>
                <w:top w:val="none" w:sz="0" w:space="0" w:color="auto"/>
                <w:left w:val="none" w:sz="0" w:space="0" w:color="auto"/>
                <w:bottom w:val="none" w:sz="0" w:space="0" w:color="auto"/>
                <w:right w:val="none" w:sz="0" w:space="0" w:color="auto"/>
              </w:divBdr>
            </w:div>
            <w:div w:id="1429501489">
              <w:marLeft w:val="0"/>
              <w:marRight w:val="0"/>
              <w:marTop w:val="0"/>
              <w:marBottom w:val="0"/>
              <w:divBdr>
                <w:top w:val="none" w:sz="0" w:space="0" w:color="auto"/>
                <w:left w:val="none" w:sz="0" w:space="0" w:color="auto"/>
                <w:bottom w:val="none" w:sz="0" w:space="0" w:color="auto"/>
                <w:right w:val="none" w:sz="0" w:space="0" w:color="auto"/>
              </w:divBdr>
            </w:div>
            <w:div w:id="1833175298">
              <w:marLeft w:val="0"/>
              <w:marRight w:val="0"/>
              <w:marTop w:val="0"/>
              <w:marBottom w:val="0"/>
              <w:divBdr>
                <w:top w:val="none" w:sz="0" w:space="0" w:color="auto"/>
                <w:left w:val="none" w:sz="0" w:space="0" w:color="auto"/>
                <w:bottom w:val="none" w:sz="0" w:space="0" w:color="auto"/>
                <w:right w:val="none" w:sz="0" w:space="0" w:color="auto"/>
              </w:divBdr>
            </w:div>
            <w:div w:id="72988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37944">
      <w:bodyDiv w:val="1"/>
      <w:marLeft w:val="0"/>
      <w:marRight w:val="0"/>
      <w:marTop w:val="0"/>
      <w:marBottom w:val="0"/>
      <w:divBdr>
        <w:top w:val="none" w:sz="0" w:space="0" w:color="auto"/>
        <w:left w:val="none" w:sz="0" w:space="0" w:color="auto"/>
        <w:bottom w:val="none" w:sz="0" w:space="0" w:color="auto"/>
        <w:right w:val="none" w:sz="0" w:space="0" w:color="auto"/>
      </w:divBdr>
    </w:div>
    <w:div w:id="1333289925">
      <w:bodyDiv w:val="1"/>
      <w:marLeft w:val="0"/>
      <w:marRight w:val="0"/>
      <w:marTop w:val="0"/>
      <w:marBottom w:val="0"/>
      <w:divBdr>
        <w:top w:val="none" w:sz="0" w:space="0" w:color="auto"/>
        <w:left w:val="none" w:sz="0" w:space="0" w:color="auto"/>
        <w:bottom w:val="none" w:sz="0" w:space="0" w:color="auto"/>
        <w:right w:val="none" w:sz="0" w:space="0" w:color="auto"/>
      </w:divBdr>
    </w:div>
    <w:div w:id="1335957883">
      <w:bodyDiv w:val="1"/>
      <w:marLeft w:val="0"/>
      <w:marRight w:val="0"/>
      <w:marTop w:val="0"/>
      <w:marBottom w:val="0"/>
      <w:divBdr>
        <w:top w:val="none" w:sz="0" w:space="0" w:color="auto"/>
        <w:left w:val="none" w:sz="0" w:space="0" w:color="auto"/>
        <w:bottom w:val="none" w:sz="0" w:space="0" w:color="auto"/>
        <w:right w:val="none" w:sz="0" w:space="0" w:color="auto"/>
      </w:divBdr>
      <w:divsChild>
        <w:div w:id="2047366806">
          <w:marLeft w:val="0"/>
          <w:marRight w:val="0"/>
          <w:marTop w:val="0"/>
          <w:marBottom w:val="0"/>
          <w:divBdr>
            <w:top w:val="none" w:sz="0" w:space="0" w:color="auto"/>
            <w:left w:val="none" w:sz="0" w:space="0" w:color="auto"/>
            <w:bottom w:val="none" w:sz="0" w:space="0" w:color="auto"/>
            <w:right w:val="none" w:sz="0" w:space="0" w:color="auto"/>
          </w:divBdr>
          <w:divsChild>
            <w:div w:id="1164778691">
              <w:marLeft w:val="0"/>
              <w:marRight w:val="0"/>
              <w:marTop w:val="0"/>
              <w:marBottom w:val="0"/>
              <w:divBdr>
                <w:top w:val="none" w:sz="0" w:space="0" w:color="auto"/>
                <w:left w:val="none" w:sz="0" w:space="0" w:color="auto"/>
                <w:bottom w:val="none" w:sz="0" w:space="0" w:color="auto"/>
                <w:right w:val="none" w:sz="0" w:space="0" w:color="auto"/>
              </w:divBdr>
              <w:divsChild>
                <w:div w:id="54172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79583">
      <w:bodyDiv w:val="1"/>
      <w:marLeft w:val="0"/>
      <w:marRight w:val="0"/>
      <w:marTop w:val="0"/>
      <w:marBottom w:val="0"/>
      <w:divBdr>
        <w:top w:val="none" w:sz="0" w:space="0" w:color="auto"/>
        <w:left w:val="none" w:sz="0" w:space="0" w:color="auto"/>
        <w:bottom w:val="none" w:sz="0" w:space="0" w:color="auto"/>
        <w:right w:val="none" w:sz="0" w:space="0" w:color="auto"/>
      </w:divBdr>
    </w:div>
    <w:div w:id="1445273547">
      <w:bodyDiv w:val="1"/>
      <w:marLeft w:val="0"/>
      <w:marRight w:val="0"/>
      <w:marTop w:val="0"/>
      <w:marBottom w:val="0"/>
      <w:divBdr>
        <w:top w:val="none" w:sz="0" w:space="0" w:color="auto"/>
        <w:left w:val="none" w:sz="0" w:space="0" w:color="auto"/>
        <w:bottom w:val="none" w:sz="0" w:space="0" w:color="auto"/>
        <w:right w:val="none" w:sz="0" w:space="0" w:color="auto"/>
      </w:divBdr>
    </w:div>
    <w:div w:id="1508715361">
      <w:bodyDiv w:val="1"/>
      <w:marLeft w:val="0"/>
      <w:marRight w:val="0"/>
      <w:marTop w:val="0"/>
      <w:marBottom w:val="0"/>
      <w:divBdr>
        <w:top w:val="none" w:sz="0" w:space="0" w:color="auto"/>
        <w:left w:val="none" w:sz="0" w:space="0" w:color="auto"/>
        <w:bottom w:val="none" w:sz="0" w:space="0" w:color="auto"/>
        <w:right w:val="none" w:sz="0" w:space="0" w:color="auto"/>
      </w:divBdr>
    </w:div>
    <w:div w:id="1549144444">
      <w:bodyDiv w:val="1"/>
      <w:marLeft w:val="0"/>
      <w:marRight w:val="0"/>
      <w:marTop w:val="0"/>
      <w:marBottom w:val="0"/>
      <w:divBdr>
        <w:top w:val="none" w:sz="0" w:space="0" w:color="auto"/>
        <w:left w:val="none" w:sz="0" w:space="0" w:color="auto"/>
        <w:bottom w:val="none" w:sz="0" w:space="0" w:color="auto"/>
        <w:right w:val="none" w:sz="0" w:space="0" w:color="auto"/>
      </w:divBdr>
      <w:divsChild>
        <w:div w:id="1641957063">
          <w:marLeft w:val="0"/>
          <w:marRight w:val="0"/>
          <w:marTop w:val="0"/>
          <w:marBottom w:val="0"/>
          <w:divBdr>
            <w:top w:val="none" w:sz="0" w:space="0" w:color="auto"/>
            <w:left w:val="none" w:sz="0" w:space="0" w:color="auto"/>
            <w:bottom w:val="none" w:sz="0" w:space="0" w:color="auto"/>
            <w:right w:val="none" w:sz="0" w:space="0" w:color="auto"/>
          </w:divBdr>
          <w:divsChild>
            <w:div w:id="1962954673">
              <w:marLeft w:val="0"/>
              <w:marRight w:val="0"/>
              <w:marTop w:val="0"/>
              <w:marBottom w:val="0"/>
              <w:divBdr>
                <w:top w:val="none" w:sz="0" w:space="0" w:color="auto"/>
                <w:left w:val="none" w:sz="0" w:space="0" w:color="auto"/>
                <w:bottom w:val="none" w:sz="0" w:space="0" w:color="auto"/>
                <w:right w:val="none" w:sz="0" w:space="0" w:color="auto"/>
              </w:divBdr>
              <w:divsChild>
                <w:div w:id="5278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622632">
      <w:bodyDiv w:val="1"/>
      <w:marLeft w:val="0"/>
      <w:marRight w:val="0"/>
      <w:marTop w:val="0"/>
      <w:marBottom w:val="0"/>
      <w:divBdr>
        <w:top w:val="none" w:sz="0" w:space="0" w:color="auto"/>
        <w:left w:val="none" w:sz="0" w:space="0" w:color="auto"/>
        <w:bottom w:val="none" w:sz="0" w:space="0" w:color="auto"/>
        <w:right w:val="none" w:sz="0" w:space="0" w:color="auto"/>
      </w:divBdr>
    </w:div>
    <w:div w:id="1652565825">
      <w:bodyDiv w:val="1"/>
      <w:marLeft w:val="0"/>
      <w:marRight w:val="0"/>
      <w:marTop w:val="0"/>
      <w:marBottom w:val="0"/>
      <w:divBdr>
        <w:top w:val="none" w:sz="0" w:space="0" w:color="auto"/>
        <w:left w:val="none" w:sz="0" w:space="0" w:color="auto"/>
        <w:bottom w:val="none" w:sz="0" w:space="0" w:color="auto"/>
        <w:right w:val="none" w:sz="0" w:space="0" w:color="auto"/>
      </w:divBdr>
      <w:divsChild>
        <w:div w:id="197014988">
          <w:marLeft w:val="0"/>
          <w:marRight w:val="0"/>
          <w:marTop w:val="0"/>
          <w:marBottom w:val="0"/>
          <w:divBdr>
            <w:top w:val="none" w:sz="0" w:space="0" w:color="auto"/>
            <w:left w:val="none" w:sz="0" w:space="0" w:color="auto"/>
            <w:bottom w:val="none" w:sz="0" w:space="0" w:color="auto"/>
            <w:right w:val="none" w:sz="0" w:space="0" w:color="auto"/>
          </w:divBdr>
          <w:divsChild>
            <w:div w:id="320234817">
              <w:marLeft w:val="0"/>
              <w:marRight w:val="0"/>
              <w:marTop w:val="0"/>
              <w:marBottom w:val="0"/>
              <w:divBdr>
                <w:top w:val="none" w:sz="0" w:space="0" w:color="auto"/>
                <w:left w:val="none" w:sz="0" w:space="0" w:color="auto"/>
                <w:bottom w:val="none" w:sz="0" w:space="0" w:color="auto"/>
                <w:right w:val="none" w:sz="0" w:space="0" w:color="auto"/>
              </w:divBdr>
              <w:divsChild>
                <w:div w:id="7779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343094">
      <w:bodyDiv w:val="1"/>
      <w:marLeft w:val="0"/>
      <w:marRight w:val="0"/>
      <w:marTop w:val="0"/>
      <w:marBottom w:val="0"/>
      <w:divBdr>
        <w:top w:val="none" w:sz="0" w:space="0" w:color="auto"/>
        <w:left w:val="none" w:sz="0" w:space="0" w:color="auto"/>
        <w:bottom w:val="none" w:sz="0" w:space="0" w:color="auto"/>
        <w:right w:val="none" w:sz="0" w:space="0" w:color="auto"/>
      </w:divBdr>
    </w:div>
    <w:div w:id="1748069731">
      <w:bodyDiv w:val="1"/>
      <w:marLeft w:val="0"/>
      <w:marRight w:val="0"/>
      <w:marTop w:val="0"/>
      <w:marBottom w:val="0"/>
      <w:divBdr>
        <w:top w:val="none" w:sz="0" w:space="0" w:color="auto"/>
        <w:left w:val="none" w:sz="0" w:space="0" w:color="auto"/>
        <w:bottom w:val="none" w:sz="0" w:space="0" w:color="auto"/>
        <w:right w:val="none" w:sz="0" w:space="0" w:color="auto"/>
      </w:divBdr>
      <w:divsChild>
        <w:div w:id="1290935888">
          <w:marLeft w:val="0"/>
          <w:marRight w:val="0"/>
          <w:marTop w:val="0"/>
          <w:marBottom w:val="0"/>
          <w:divBdr>
            <w:top w:val="none" w:sz="0" w:space="0" w:color="auto"/>
            <w:left w:val="none" w:sz="0" w:space="0" w:color="auto"/>
            <w:bottom w:val="none" w:sz="0" w:space="0" w:color="auto"/>
            <w:right w:val="none" w:sz="0" w:space="0" w:color="auto"/>
          </w:divBdr>
          <w:divsChild>
            <w:div w:id="1808234800">
              <w:marLeft w:val="0"/>
              <w:marRight w:val="0"/>
              <w:marTop w:val="0"/>
              <w:marBottom w:val="0"/>
              <w:divBdr>
                <w:top w:val="none" w:sz="0" w:space="0" w:color="auto"/>
                <w:left w:val="none" w:sz="0" w:space="0" w:color="auto"/>
                <w:bottom w:val="none" w:sz="0" w:space="0" w:color="auto"/>
                <w:right w:val="none" w:sz="0" w:space="0" w:color="auto"/>
              </w:divBdr>
              <w:divsChild>
                <w:div w:id="9664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2347">
      <w:bodyDiv w:val="1"/>
      <w:marLeft w:val="0"/>
      <w:marRight w:val="0"/>
      <w:marTop w:val="0"/>
      <w:marBottom w:val="0"/>
      <w:divBdr>
        <w:top w:val="none" w:sz="0" w:space="0" w:color="auto"/>
        <w:left w:val="none" w:sz="0" w:space="0" w:color="auto"/>
        <w:bottom w:val="none" w:sz="0" w:space="0" w:color="auto"/>
        <w:right w:val="none" w:sz="0" w:space="0" w:color="auto"/>
      </w:divBdr>
    </w:div>
    <w:div w:id="1866213281">
      <w:bodyDiv w:val="1"/>
      <w:marLeft w:val="0"/>
      <w:marRight w:val="0"/>
      <w:marTop w:val="0"/>
      <w:marBottom w:val="0"/>
      <w:divBdr>
        <w:top w:val="none" w:sz="0" w:space="0" w:color="auto"/>
        <w:left w:val="none" w:sz="0" w:space="0" w:color="auto"/>
        <w:bottom w:val="none" w:sz="0" w:space="0" w:color="auto"/>
        <w:right w:val="none" w:sz="0" w:space="0" w:color="auto"/>
      </w:divBdr>
      <w:divsChild>
        <w:div w:id="1898975413">
          <w:marLeft w:val="0"/>
          <w:marRight w:val="0"/>
          <w:marTop w:val="0"/>
          <w:marBottom w:val="0"/>
          <w:divBdr>
            <w:top w:val="none" w:sz="0" w:space="0" w:color="auto"/>
            <w:left w:val="none" w:sz="0" w:space="0" w:color="auto"/>
            <w:bottom w:val="none" w:sz="0" w:space="0" w:color="auto"/>
            <w:right w:val="none" w:sz="0" w:space="0" w:color="auto"/>
          </w:divBdr>
          <w:divsChild>
            <w:div w:id="334501692">
              <w:marLeft w:val="0"/>
              <w:marRight w:val="0"/>
              <w:marTop w:val="0"/>
              <w:marBottom w:val="0"/>
              <w:divBdr>
                <w:top w:val="none" w:sz="0" w:space="0" w:color="auto"/>
                <w:left w:val="none" w:sz="0" w:space="0" w:color="auto"/>
                <w:bottom w:val="none" w:sz="0" w:space="0" w:color="auto"/>
                <w:right w:val="none" w:sz="0" w:space="0" w:color="auto"/>
              </w:divBdr>
              <w:divsChild>
                <w:div w:id="1712269635">
                  <w:marLeft w:val="0"/>
                  <w:marRight w:val="0"/>
                  <w:marTop w:val="0"/>
                  <w:marBottom w:val="0"/>
                  <w:divBdr>
                    <w:top w:val="none" w:sz="0" w:space="0" w:color="auto"/>
                    <w:left w:val="none" w:sz="0" w:space="0" w:color="auto"/>
                    <w:bottom w:val="none" w:sz="0" w:space="0" w:color="auto"/>
                    <w:right w:val="none" w:sz="0" w:space="0" w:color="auto"/>
                  </w:divBdr>
                  <w:divsChild>
                    <w:div w:id="8391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737325">
      <w:bodyDiv w:val="1"/>
      <w:marLeft w:val="0"/>
      <w:marRight w:val="0"/>
      <w:marTop w:val="0"/>
      <w:marBottom w:val="0"/>
      <w:divBdr>
        <w:top w:val="none" w:sz="0" w:space="0" w:color="auto"/>
        <w:left w:val="none" w:sz="0" w:space="0" w:color="auto"/>
        <w:bottom w:val="none" w:sz="0" w:space="0" w:color="auto"/>
        <w:right w:val="none" w:sz="0" w:space="0" w:color="auto"/>
      </w:divBdr>
    </w:div>
    <w:div w:id="1899122527">
      <w:bodyDiv w:val="1"/>
      <w:marLeft w:val="0"/>
      <w:marRight w:val="0"/>
      <w:marTop w:val="0"/>
      <w:marBottom w:val="0"/>
      <w:divBdr>
        <w:top w:val="none" w:sz="0" w:space="0" w:color="auto"/>
        <w:left w:val="none" w:sz="0" w:space="0" w:color="auto"/>
        <w:bottom w:val="none" w:sz="0" w:space="0" w:color="auto"/>
        <w:right w:val="none" w:sz="0" w:space="0" w:color="auto"/>
      </w:divBdr>
      <w:divsChild>
        <w:div w:id="2035571715">
          <w:marLeft w:val="0"/>
          <w:marRight w:val="0"/>
          <w:marTop w:val="0"/>
          <w:marBottom w:val="0"/>
          <w:divBdr>
            <w:top w:val="none" w:sz="0" w:space="0" w:color="auto"/>
            <w:left w:val="none" w:sz="0" w:space="0" w:color="auto"/>
            <w:bottom w:val="none" w:sz="0" w:space="0" w:color="auto"/>
            <w:right w:val="none" w:sz="0" w:space="0" w:color="auto"/>
          </w:divBdr>
          <w:divsChild>
            <w:div w:id="1344742572">
              <w:marLeft w:val="0"/>
              <w:marRight w:val="0"/>
              <w:marTop w:val="0"/>
              <w:marBottom w:val="0"/>
              <w:divBdr>
                <w:top w:val="none" w:sz="0" w:space="0" w:color="auto"/>
                <w:left w:val="none" w:sz="0" w:space="0" w:color="auto"/>
                <w:bottom w:val="none" w:sz="0" w:space="0" w:color="auto"/>
                <w:right w:val="none" w:sz="0" w:space="0" w:color="auto"/>
              </w:divBdr>
              <w:divsChild>
                <w:div w:id="7406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2852">
      <w:bodyDiv w:val="1"/>
      <w:marLeft w:val="0"/>
      <w:marRight w:val="0"/>
      <w:marTop w:val="0"/>
      <w:marBottom w:val="0"/>
      <w:divBdr>
        <w:top w:val="none" w:sz="0" w:space="0" w:color="auto"/>
        <w:left w:val="none" w:sz="0" w:space="0" w:color="auto"/>
        <w:bottom w:val="none" w:sz="0" w:space="0" w:color="auto"/>
        <w:right w:val="none" w:sz="0" w:space="0" w:color="auto"/>
      </w:divBdr>
    </w:div>
    <w:div w:id="1989632106">
      <w:bodyDiv w:val="1"/>
      <w:marLeft w:val="0"/>
      <w:marRight w:val="0"/>
      <w:marTop w:val="0"/>
      <w:marBottom w:val="0"/>
      <w:divBdr>
        <w:top w:val="none" w:sz="0" w:space="0" w:color="auto"/>
        <w:left w:val="none" w:sz="0" w:space="0" w:color="auto"/>
        <w:bottom w:val="none" w:sz="0" w:space="0" w:color="auto"/>
        <w:right w:val="none" w:sz="0" w:space="0" w:color="auto"/>
      </w:divBdr>
      <w:divsChild>
        <w:div w:id="1553417621">
          <w:marLeft w:val="0"/>
          <w:marRight w:val="0"/>
          <w:marTop w:val="0"/>
          <w:marBottom w:val="0"/>
          <w:divBdr>
            <w:top w:val="none" w:sz="0" w:space="0" w:color="auto"/>
            <w:left w:val="none" w:sz="0" w:space="0" w:color="auto"/>
            <w:bottom w:val="none" w:sz="0" w:space="0" w:color="auto"/>
            <w:right w:val="none" w:sz="0" w:space="0" w:color="auto"/>
          </w:divBdr>
        </w:div>
        <w:div w:id="39868823">
          <w:marLeft w:val="0"/>
          <w:marRight w:val="0"/>
          <w:marTop w:val="0"/>
          <w:marBottom w:val="0"/>
          <w:divBdr>
            <w:top w:val="none" w:sz="0" w:space="0" w:color="auto"/>
            <w:left w:val="none" w:sz="0" w:space="0" w:color="auto"/>
            <w:bottom w:val="none" w:sz="0" w:space="0" w:color="auto"/>
            <w:right w:val="none" w:sz="0" w:space="0" w:color="auto"/>
          </w:divBdr>
        </w:div>
        <w:div w:id="582181463">
          <w:marLeft w:val="0"/>
          <w:marRight w:val="0"/>
          <w:marTop w:val="0"/>
          <w:marBottom w:val="0"/>
          <w:divBdr>
            <w:top w:val="none" w:sz="0" w:space="0" w:color="auto"/>
            <w:left w:val="none" w:sz="0" w:space="0" w:color="auto"/>
            <w:bottom w:val="none" w:sz="0" w:space="0" w:color="auto"/>
            <w:right w:val="none" w:sz="0" w:space="0" w:color="auto"/>
          </w:divBdr>
        </w:div>
        <w:div w:id="1525751383">
          <w:marLeft w:val="0"/>
          <w:marRight w:val="0"/>
          <w:marTop w:val="0"/>
          <w:marBottom w:val="0"/>
          <w:divBdr>
            <w:top w:val="none" w:sz="0" w:space="0" w:color="auto"/>
            <w:left w:val="none" w:sz="0" w:space="0" w:color="auto"/>
            <w:bottom w:val="none" w:sz="0" w:space="0" w:color="auto"/>
            <w:right w:val="none" w:sz="0" w:space="0" w:color="auto"/>
          </w:divBdr>
        </w:div>
        <w:div w:id="1909880093">
          <w:marLeft w:val="0"/>
          <w:marRight w:val="0"/>
          <w:marTop w:val="0"/>
          <w:marBottom w:val="0"/>
          <w:divBdr>
            <w:top w:val="none" w:sz="0" w:space="0" w:color="auto"/>
            <w:left w:val="none" w:sz="0" w:space="0" w:color="auto"/>
            <w:bottom w:val="none" w:sz="0" w:space="0" w:color="auto"/>
            <w:right w:val="none" w:sz="0" w:space="0" w:color="auto"/>
          </w:divBdr>
        </w:div>
        <w:div w:id="238489703">
          <w:marLeft w:val="0"/>
          <w:marRight w:val="0"/>
          <w:marTop w:val="0"/>
          <w:marBottom w:val="0"/>
          <w:divBdr>
            <w:top w:val="none" w:sz="0" w:space="0" w:color="auto"/>
            <w:left w:val="none" w:sz="0" w:space="0" w:color="auto"/>
            <w:bottom w:val="none" w:sz="0" w:space="0" w:color="auto"/>
            <w:right w:val="none" w:sz="0" w:space="0" w:color="auto"/>
          </w:divBdr>
        </w:div>
        <w:div w:id="1103719422">
          <w:marLeft w:val="0"/>
          <w:marRight w:val="0"/>
          <w:marTop w:val="0"/>
          <w:marBottom w:val="0"/>
          <w:divBdr>
            <w:top w:val="none" w:sz="0" w:space="0" w:color="auto"/>
            <w:left w:val="none" w:sz="0" w:space="0" w:color="auto"/>
            <w:bottom w:val="none" w:sz="0" w:space="0" w:color="auto"/>
            <w:right w:val="none" w:sz="0" w:space="0" w:color="auto"/>
          </w:divBdr>
        </w:div>
        <w:div w:id="1495603622">
          <w:marLeft w:val="0"/>
          <w:marRight w:val="0"/>
          <w:marTop w:val="0"/>
          <w:marBottom w:val="0"/>
          <w:divBdr>
            <w:top w:val="none" w:sz="0" w:space="0" w:color="auto"/>
            <w:left w:val="none" w:sz="0" w:space="0" w:color="auto"/>
            <w:bottom w:val="none" w:sz="0" w:space="0" w:color="auto"/>
            <w:right w:val="none" w:sz="0" w:space="0" w:color="auto"/>
          </w:divBdr>
          <w:divsChild>
            <w:div w:id="83764715">
              <w:marLeft w:val="0"/>
              <w:marRight w:val="0"/>
              <w:marTop w:val="0"/>
              <w:marBottom w:val="0"/>
              <w:divBdr>
                <w:top w:val="none" w:sz="0" w:space="0" w:color="auto"/>
                <w:left w:val="none" w:sz="0" w:space="0" w:color="auto"/>
                <w:bottom w:val="none" w:sz="0" w:space="0" w:color="auto"/>
                <w:right w:val="none" w:sz="0" w:space="0" w:color="auto"/>
              </w:divBdr>
            </w:div>
            <w:div w:id="921840325">
              <w:marLeft w:val="0"/>
              <w:marRight w:val="0"/>
              <w:marTop w:val="0"/>
              <w:marBottom w:val="0"/>
              <w:divBdr>
                <w:top w:val="none" w:sz="0" w:space="0" w:color="auto"/>
                <w:left w:val="none" w:sz="0" w:space="0" w:color="auto"/>
                <w:bottom w:val="none" w:sz="0" w:space="0" w:color="auto"/>
                <w:right w:val="none" w:sz="0" w:space="0" w:color="auto"/>
              </w:divBdr>
            </w:div>
            <w:div w:id="1243565991">
              <w:marLeft w:val="0"/>
              <w:marRight w:val="0"/>
              <w:marTop w:val="0"/>
              <w:marBottom w:val="0"/>
              <w:divBdr>
                <w:top w:val="none" w:sz="0" w:space="0" w:color="auto"/>
                <w:left w:val="none" w:sz="0" w:space="0" w:color="auto"/>
                <w:bottom w:val="none" w:sz="0" w:space="0" w:color="auto"/>
                <w:right w:val="none" w:sz="0" w:space="0" w:color="auto"/>
              </w:divBdr>
              <w:divsChild>
                <w:div w:id="1336684329">
                  <w:marLeft w:val="0"/>
                  <w:marRight w:val="0"/>
                  <w:marTop w:val="0"/>
                  <w:marBottom w:val="0"/>
                  <w:divBdr>
                    <w:top w:val="none" w:sz="0" w:space="0" w:color="auto"/>
                    <w:left w:val="none" w:sz="0" w:space="0" w:color="auto"/>
                    <w:bottom w:val="none" w:sz="0" w:space="0" w:color="auto"/>
                    <w:right w:val="none" w:sz="0" w:space="0" w:color="auto"/>
                  </w:divBdr>
                </w:div>
                <w:div w:id="1627857353">
                  <w:marLeft w:val="0"/>
                  <w:marRight w:val="0"/>
                  <w:marTop w:val="0"/>
                  <w:marBottom w:val="0"/>
                  <w:divBdr>
                    <w:top w:val="none" w:sz="0" w:space="0" w:color="auto"/>
                    <w:left w:val="none" w:sz="0" w:space="0" w:color="auto"/>
                    <w:bottom w:val="none" w:sz="0" w:space="0" w:color="auto"/>
                    <w:right w:val="none" w:sz="0" w:space="0" w:color="auto"/>
                  </w:divBdr>
                </w:div>
                <w:div w:id="455222540">
                  <w:marLeft w:val="0"/>
                  <w:marRight w:val="0"/>
                  <w:marTop w:val="0"/>
                  <w:marBottom w:val="0"/>
                  <w:divBdr>
                    <w:top w:val="none" w:sz="0" w:space="0" w:color="auto"/>
                    <w:left w:val="none" w:sz="0" w:space="0" w:color="auto"/>
                    <w:bottom w:val="none" w:sz="0" w:space="0" w:color="auto"/>
                    <w:right w:val="none" w:sz="0" w:space="0" w:color="auto"/>
                  </w:divBdr>
                </w:div>
                <w:div w:id="132088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35873">
      <w:bodyDiv w:val="1"/>
      <w:marLeft w:val="0"/>
      <w:marRight w:val="0"/>
      <w:marTop w:val="0"/>
      <w:marBottom w:val="0"/>
      <w:divBdr>
        <w:top w:val="none" w:sz="0" w:space="0" w:color="auto"/>
        <w:left w:val="none" w:sz="0" w:space="0" w:color="auto"/>
        <w:bottom w:val="none" w:sz="0" w:space="0" w:color="auto"/>
        <w:right w:val="none" w:sz="0" w:space="0" w:color="auto"/>
      </w:divBdr>
    </w:div>
    <w:div w:id="2081907379">
      <w:bodyDiv w:val="1"/>
      <w:marLeft w:val="0"/>
      <w:marRight w:val="0"/>
      <w:marTop w:val="0"/>
      <w:marBottom w:val="0"/>
      <w:divBdr>
        <w:top w:val="none" w:sz="0" w:space="0" w:color="auto"/>
        <w:left w:val="none" w:sz="0" w:space="0" w:color="auto"/>
        <w:bottom w:val="none" w:sz="0" w:space="0" w:color="auto"/>
        <w:right w:val="none" w:sz="0" w:space="0" w:color="auto"/>
      </w:divBdr>
      <w:divsChild>
        <w:div w:id="1260139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388113">
              <w:marLeft w:val="0"/>
              <w:marRight w:val="0"/>
              <w:marTop w:val="0"/>
              <w:marBottom w:val="0"/>
              <w:divBdr>
                <w:top w:val="none" w:sz="0" w:space="0" w:color="auto"/>
                <w:left w:val="none" w:sz="0" w:space="0" w:color="auto"/>
                <w:bottom w:val="none" w:sz="0" w:space="0" w:color="auto"/>
                <w:right w:val="none" w:sz="0" w:space="0" w:color="auto"/>
              </w:divBdr>
            </w:div>
            <w:div w:id="949434892">
              <w:marLeft w:val="0"/>
              <w:marRight w:val="0"/>
              <w:marTop w:val="0"/>
              <w:marBottom w:val="0"/>
              <w:divBdr>
                <w:top w:val="none" w:sz="0" w:space="0" w:color="auto"/>
                <w:left w:val="none" w:sz="0" w:space="0" w:color="auto"/>
                <w:bottom w:val="none" w:sz="0" w:space="0" w:color="auto"/>
                <w:right w:val="none" w:sz="0" w:space="0" w:color="auto"/>
              </w:divBdr>
            </w:div>
            <w:div w:id="1721125022">
              <w:marLeft w:val="0"/>
              <w:marRight w:val="0"/>
              <w:marTop w:val="0"/>
              <w:marBottom w:val="0"/>
              <w:divBdr>
                <w:top w:val="none" w:sz="0" w:space="0" w:color="auto"/>
                <w:left w:val="none" w:sz="0" w:space="0" w:color="auto"/>
                <w:bottom w:val="none" w:sz="0" w:space="0" w:color="auto"/>
                <w:right w:val="none" w:sz="0" w:space="0" w:color="auto"/>
              </w:divBdr>
            </w:div>
            <w:div w:id="17361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069441">
      <w:bodyDiv w:val="1"/>
      <w:marLeft w:val="0"/>
      <w:marRight w:val="0"/>
      <w:marTop w:val="0"/>
      <w:marBottom w:val="0"/>
      <w:divBdr>
        <w:top w:val="none" w:sz="0" w:space="0" w:color="auto"/>
        <w:left w:val="none" w:sz="0" w:space="0" w:color="auto"/>
        <w:bottom w:val="none" w:sz="0" w:space="0" w:color="auto"/>
        <w:right w:val="none" w:sz="0" w:space="0" w:color="auto"/>
      </w:divBdr>
    </w:div>
    <w:div w:id="2137871144">
      <w:bodyDiv w:val="1"/>
      <w:marLeft w:val="0"/>
      <w:marRight w:val="0"/>
      <w:marTop w:val="0"/>
      <w:marBottom w:val="0"/>
      <w:divBdr>
        <w:top w:val="none" w:sz="0" w:space="0" w:color="auto"/>
        <w:left w:val="none" w:sz="0" w:space="0" w:color="auto"/>
        <w:bottom w:val="none" w:sz="0" w:space="0" w:color="auto"/>
        <w:right w:val="none" w:sz="0" w:space="0" w:color="auto"/>
      </w:divBdr>
      <w:divsChild>
        <w:div w:id="1166363963">
          <w:marLeft w:val="0"/>
          <w:marRight w:val="0"/>
          <w:marTop w:val="0"/>
          <w:marBottom w:val="0"/>
          <w:divBdr>
            <w:top w:val="none" w:sz="0" w:space="0" w:color="auto"/>
            <w:left w:val="none" w:sz="0" w:space="0" w:color="auto"/>
            <w:bottom w:val="none" w:sz="0" w:space="0" w:color="auto"/>
            <w:right w:val="none" w:sz="0" w:space="0" w:color="auto"/>
          </w:divBdr>
          <w:divsChild>
            <w:div w:id="1058868987">
              <w:marLeft w:val="0"/>
              <w:marRight w:val="0"/>
              <w:marTop w:val="0"/>
              <w:marBottom w:val="0"/>
              <w:divBdr>
                <w:top w:val="none" w:sz="0" w:space="0" w:color="auto"/>
                <w:left w:val="none" w:sz="0" w:space="0" w:color="auto"/>
                <w:bottom w:val="none" w:sz="0" w:space="0" w:color="auto"/>
                <w:right w:val="none" w:sz="0" w:space="0" w:color="auto"/>
              </w:divBdr>
              <w:divsChild>
                <w:div w:id="4587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aloney@princeton.edu" TargetMode="External"/><Relationship Id="rId13" Type="http://schemas.openxmlformats.org/officeDocument/2006/relationships/hyperlink" Target="http://cola.gmu.edu/c20c/IPO_Aug2017_NZ_UPDATED_FOR_C20C+.pdf"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sl.noaa.gov/gcos_wgsp/Timeseries/Nino34/"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rl.noaa.gov/psd/"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footer" Target="foot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ateriso.utah.edu/waterisotopes/pages/data_access/oipc.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16CE8BB-F3BC-5042-A4CB-5B0560A46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60</Pages>
  <Words>96931</Words>
  <Characters>552512</Characters>
  <Application>Microsoft Office Word</Application>
  <DocSecurity>0</DocSecurity>
  <Lines>4604</Lines>
  <Paragraphs>1296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Maloney</dc:creator>
  <cp:keywords/>
  <dc:description/>
  <cp:lastModifiedBy>Pete Langdon</cp:lastModifiedBy>
  <cp:revision>3</cp:revision>
  <cp:lastPrinted>2022-02-06T17:11:00Z</cp:lastPrinted>
  <dcterms:created xsi:type="dcterms:W3CDTF">2022-03-01T15:31:00Z</dcterms:created>
  <dcterms:modified xsi:type="dcterms:W3CDTF">2022-03-01T15:33:00Z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http://csl.mendeley.com/styles/15662763/american-geophysical-union-AEM</vt:lpwstr>
  </property>
  <property fmtid="{D5CDD505-2E9C-101B-9397-08002B2CF9AE}" pid="3" name="Mendeley Recent Style Name 0_1">
    <vt:lpwstr>American Geophysical Union - Ashley Maloney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http://www.zotero.org/styles/cell</vt:lpwstr>
  </property>
  <property fmtid="{D5CDD505-2E9C-101B-9397-08002B2CF9AE}" pid="13" name="Mendeley Recent Style Name 5_1">
    <vt:lpwstr>Cell</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http://www.zotero.org/styles/current-opinion-in-microbiology</vt:lpwstr>
  </property>
  <property fmtid="{D5CDD505-2E9C-101B-9397-08002B2CF9AE}" pid="17" name="Mendeley Recent Style Name 7_1">
    <vt:lpwstr>Current Opinion in Microbiology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http://www.zotero.org/styles/quaternary-science-reviews</vt:lpwstr>
  </property>
  <property fmtid="{D5CDD505-2E9C-101B-9397-08002B2CF9AE}" pid="21" name="Mendeley Recent Style Name 9_1">
    <vt:lpwstr>Quaternary Science Reviews</vt:lpwstr>
  </property>
  <property fmtid="{D5CDD505-2E9C-101B-9397-08002B2CF9AE}" pid="22" name="Mendeley Document_1">
    <vt:lpwstr>True</vt:lpwstr>
  </property>
  <property fmtid="{D5CDD505-2E9C-101B-9397-08002B2CF9AE}" pid="23" name="Mendeley Unique User Id_1">
    <vt:lpwstr>75e75ab9-25e5-380e-80e5-f5ee15c284b6</vt:lpwstr>
  </property>
  <property fmtid="{D5CDD505-2E9C-101B-9397-08002B2CF9AE}" pid="24" name="Mendeley Citation Style_1">
    <vt:lpwstr>http://www.zotero.org/styles/quaternary-science-reviews</vt:lpwstr>
  </property>
</Properties>
</file>