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E2D6FB" w14:textId="305800A5" w:rsidR="00BB1A8C" w:rsidRPr="00DB1B92" w:rsidRDefault="001A75DA" w:rsidP="00001BF6">
      <w:pPr>
        <w:jc w:val="center"/>
        <w:rPr>
          <w:rFonts w:ascii="Times New Roman" w:hAnsi="Times New Roman" w:cs="Times New Roman"/>
          <w:b/>
          <w:bCs/>
          <w:color w:val="000000" w:themeColor="text1"/>
          <w:sz w:val="24"/>
          <w:szCs w:val="24"/>
          <w:lang w:val="pt-PT"/>
        </w:rPr>
      </w:pPr>
      <w:bookmarkStart w:id="0" w:name="_Hlk90279040"/>
      <w:r w:rsidRPr="00DB1B92">
        <w:rPr>
          <w:rFonts w:ascii="Times New Roman" w:hAnsi="Times New Roman" w:cs="Times New Roman"/>
          <w:b/>
          <w:bCs/>
          <w:color w:val="000000" w:themeColor="text1"/>
          <w:sz w:val="24"/>
          <w:szCs w:val="24"/>
          <w:lang w:val="pt-PT"/>
        </w:rPr>
        <w:t>COVID-19 VACCINES: BIOETHICAL CONSIDERATION</w:t>
      </w:r>
    </w:p>
    <w:bookmarkEnd w:id="0"/>
    <w:p w14:paraId="3B1D9907" w14:textId="0B097031" w:rsidR="00001BF6" w:rsidRPr="00DB1B92" w:rsidRDefault="00DB1B92" w:rsidP="00DB1B92">
      <w:pPr>
        <w:jc w:val="center"/>
        <w:rPr>
          <w:rFonts w:ascii="Times New Roman" w:hAnsi="Times New Roman" w:cs="Times New Roman"/>
          <w:b/>
          <w:bCs/>
          <w:color w:val="000000" w:themeColor="text1"/>
          <w:sz w:val="24"/>
          <w:szCs w:val="24"/>
          <w:lang w:val="pt-PT"/>
        </w:rPr>
      </w:pPr>
      <w:r w:rsidRPr="00DB1B92">
        <w:rPr>
          <w:rFonts w:ascii="Times New Roman" w:hAnsi="Times New Roman" w:cs="Times New Roman"/>
          <w:b/>
          <w:bCs/>
          <w:color w:val="000000" w:themeColor="text1"/>
          <w:sz w:val="24"/>
          <w:szCs w:val="24"/>
        </w:rPr>
        <w:t>Estimados Sérgio Araújo Andrade, Patrícia Alves da Costa Andrade, Daniel Vaz Andrade, Regina Consolação dos Santos, Fernando de Pilla Varotti, Bashir A</w:t>
      </w:r>
      <w:r>
        <w:rPr>
          <w:rFonts w:ascii="Times New Roman" w:hAnsi="Times New Roman" w:cs="Times New Roman"/>
          <w:b/>
          <w:bCs/>
          <w:color w:val="000000" w:themeColor="text1"/>
          <w:sz w:val="24"/>
          <w:szCs w:val="24"/>
        </w:rPr>
        <w:t>.</w:t>
      </w:r>
      <w:r w:rsidRPr="00DB1B92">
        <w:rPr>
          <w:rFonts w:ascii="Times New Roman" w:hAnsi="Times New Roman" w:cs="Times New Roman"/>
          <w:b/>
          <w:bCs/>
          <w:color w:val="000000" w:themeColor="text1"/>
          <w:sz w:val="24"/>
          <w:szCs w:val="24"/>
        </w:rPr>
        <w:t xml:space="preserve"> Lwaleed</w:t>
      </w:r>
    </w:p>
    <w:p w14:paraId="499775F1" w14:textId="77777777" w:rsidR="00D07861" w:rsidRPr="00DB1B92" w:rsidRDefault="00D07861" w:rsidP="00001BF6">
      <w:pPr>
        <w:jc w:val="center"/>
        <w:rPr>
          <w:rFonts w:ascii="Times New Roman" w:hAnsi="Times New Roman" w:cs="Times New Roman"/>
          <w:b/>
          <w:bCs/>
          <w:color w:val="000000" w:themeColor="text1"/>
          <w:sz w:val="24"/>
          <w:szCs w:val="24"/>
          <w:lang w:val="pt-PT"/>
        </w:rPr>
      </w:pPr>
    </w:p>
    <w:p w14:paraId="1ECD2DCC" w14:textId="3D09615A" w:rsidR="00BB1A8C" w:rsidRDefault="000D0864" w:rsidP="00BB1A8C">
      <w:pPr>
        <w:rPr>
          <w:rFonts w:ascii="Times New Roman" w:hAnsi="Times New Roman" w:cs="Times New Roman"/>
          <w:b/>
          <w:bCs/>
          <w:sz w:val="24"/>
          <w:szCs w:val="24"/>
          <w:lang w:val="en-US"/>
        </w:rPr>
      </w:pPr>
      <w:bookmarkStart w:id="1" w:name="_Hlk90724311"/>
      <w:r w:rsidRPr="00C33556">
        <w:rPr>
          <w:rFonts w:ascii="Times New Roman" w:hAnsi="Times New Roman" w:cs="Times New Roman"/>
          <w:b/>
          <w:bCs/>
          <w:sz w:val="24"/>
          <w:szCs w:val="24"/>
          <w:lang w:val="en-US"/>
        </w:rPr>
        <w:t>ABSTRACT:</w:t>
      </w:r>
    </w:p>
    <w:bookmarkEnd w:id="1"/>
    <w:p w14:paraId="2BE883BA" w14:textId="12123BBB" w:rsidR="00A20D25" w:rsidRDefault="00A20D25" w:rsidP="00BB1A8C">
      <w:pPr>
        <w:rPr>
          <w:rFonts w:ascii="Times New Roman" w:hAnsi="Times New Roman" w:cs="Times New Roman"/>
          <w:b/>
          <w:bCs/>
          <w:sz w:val="24"/>
          <w:szCs w:val="24"/>
          <w:lang w:val="en-US"/>
        </w:rPr>
      </w:pPr>
    </w:p>
    <w:p w14:paraId="430BB128" w14:textId="21C2F378" w:rsidR="00A20D25" w:rsidRDefault="00A20D25" w:rsidP="00C313D1">
      <w:pPr>
        <w:spacing w:line="480" w:lineRule="auto"/>
        <w:jc w:val="both"/>
        <w:rPr>
          <w:rFonts w:ascii="Times New Roman" w:hAnsi="Times New Roman" w:cs="Times New Roman"/>
          <w:sz w:val="24"/>
          <w:szCs w:val="24"/>
          <w:lang w:val="en-US"/>
        </w:rPr>
      </w:pPr>
      <w:r w:rsidRPr="007C577C">
        <w:rPr>
          <w:rFonts w:ascii="Times New Roman" w:hAnsi="Times New Roman" w:cs="Times New Roman"/>
          <w:sz w:val="24"/>
          <w:szCs w:val="24"/>
          <w:lang w:val="en-US"/>
        </w:rPr>
        <w:t xml:space="preserve">The COVID-19 pandemic generated immeasurable impacts on the economy, education, socialization and the loss of millions of lives. Thus, there has been an acceleration in the development of an unprecedented number of COVID-19 vaccine candidates to control the pandemic. In turn, the implementation of the authorization for emergency use by the World Health Organization allowed the start of immunization of the population through COVID-19 vaccines, which are still clinical trials. Herein, we present a perspective of the bioethical precepts of autonomy, non-maleficence, beneficence and justice in the context of the emergency use of COVID-19 vaccines. Furthermore, the importance of surveillance at all stages of vaccine development in order to detect adverse effects and ensure compliance with bioethical precepts is </w:t>
      </w:r>
      <w:r w:rsidR="007C577C" w:rsidRPr="007C577C">
        <w:rPr>
          <w:rFonts w:ascii="Times New Roman" w:hAnsi="Times New Roman" w:cs="Times New Roman"/>
          <w:sz w:val="24"/>
          <w:szCs w:val="24"/>
          <w:lang w:val="en-US"/>
        </w:rPr>
        <w:t>emphasized.</w:t>
      </w:r>
    </w:p>
    <w:p w14:paraId="4F030714" w14:textId="77777777" w:rsidR="002C6763" w:rsidRPr="007C577C" w:rsidRDefault="002C6763" w:rsidP="00C313D1">
      <w:pPr>
        <w:spacing w:line="480" w:lineRule="auto"/>
        <w:jc w:val="both"/>
        <w:rPr>
          <w:rFonts w:ascii="Times New Roman" w:hAnsi="Times New Roman" w:cs="Times New Roman"/>
          <w:sz w:val="24"/>
          <w:szCs w:val="24"/>
          <w:lang w:val="en-US"/>
        </w:rPr>
      </w:pPr>
    </w:p>
    <w:p w14:paraId="40629FE5" w14:textId="19E9F944" w:rsidR="0001504A" w:rsidRDefault="0001504A" w:rsidP="00274D41">
      <w:pPr>
        <w:spacing w:line="480" w:lineRule="auto"/>
        <w:jc w:val="both"/>
        <w:rPr>
          <w:rFonts w:ascii="Times New Roman" w:hAnsi="Times New Roman" w:cs="Times New Roman"/>
          <w:sz w:val="24"/>
          <w:szCs w:val="24"/>
          <w:lang w:val="en-US"/>
        </w:rPr>
      </w:pPr>
      <w:r w:rsidRPr="001C332A">
        <w:rPr>
          <w:rFonts w:ascii="Times New Roman" w:hAnsi="Times New Roman" w:cs="Times New Roman"/>
          <w:b/>
          <w:bCs/>
          <w:sz w:val="24"/>
          <w:szCs w:val="24"/>
          <w:lang w:val="en-US"/>
        </w:rPr>
        <w:t>KEYWORDS:</w:t>
      </w:r>
      <w:r w:rsidRPr="001C332A">
        <w:rPr>
          <w:rFonts w:ascii="Times New Roman" w:hAnsi="Times New Roman" w:cs="Times New Roman"/>
          <w:sz w:val="24"/>
          <w:szCs w:val="24"/>
          <w:lang w:val="en-US"/>
        </w:rPr>
        <w:t xml:space="preserve"> COVID</w:t>
      </w:r>
      <w:r w:rsidR="00CF3297">
        <w:rPr>
          <w:rFonts w:ascii="Times New Roman" w:hAnsi="Times New Roman" w:cs="Times New Roman"/>
          <w:sz w:val="24"/>
          <w:szCs w:val="24"/>
          <w:lang w:val="en-US"/>
        </w:rPr>
        <w:t>-</w:t>
      </w:r>
      <w:r w:rsidRPr="001C332A">
        <w:rPr>
          <w:rFonts w:ascii="Times New Roman" w:hAnsi="Times New Roman" w:cs="Times New Roman"/>
          <w:sz w:val="24"/>
          <w:szCs w:val="24"/>
          <w:lang w:val="en-US"/>
        </w:rPr>
        <w:t>19</w:t>
      </w:r>
      <w:r w:rsidR="003D05CC" w:rsidRPr="001C332A">
        <w:rPr>
          <w:rFonts w:ascii="Times New Roman" w:hAnsi="Times New Roman" w:cs="Times New Roman"/>
          <w:sz w:val="24"/>
          <w:szCs w:val="24"/>
          <w:lang w:val="en-US"/>
        </w:rPr>
        <w:t>;</w:t>
      </w:r>
      <w:r w:rsidRPr="001C332A">
        <w:rPr>
          <w:rFonts w:ascii="Times New Roman" w:hAnsi="Times New Roman" w:cs="Times New Roman"/>
          <w:sz w:val="24"/>
          <w:szCs w:val="24"/>
          <w:lang w:val="en-US"/>
        </w:rPr>
        <w:t xml:space="preserve"> Vaccines; </w:t>
      </w:r>
      <w:r w:rsidR="003E0099" w:rsidRPr="001C332A">
        <w:rPr>
          <w:rFonts w:ascii="Times New Roman" w:hAnsi="Times New Roman" w:cs="Times New Roman"/>
          <w:sz w:val="24"/>
          <w:szCs w:val="24"/>
          <w:lang w:val="en-US"/>
        </w:rPr>
        <w:t>Bioethic</w:t>
      </w:r>
      <w:r w:rsidR="00446242" w:rsidRPr="001C332A">
        <w:rPr>
          <w:rFonts w:ascii="Times New Roman" w:hAnsi="Times New Roman" w:cs="Times New Roman"/>
          <w:sz w:val="24"/>
          <w:szCs w:val="24"/>
          <w:lang w:val="en-US"/>
        </w:rPr>
        <w:t>al</w:t>
      </w:r>
      <w:r w:rsidR="003E0099" w:rsidRPr="001C332A">
        <w:rPr>
          <w:rFonts w:ascii="Times New Roman" w:hAnsi="Times New Roman" w:cs="Times New Roman"/>
          <w:sz w:val="24"/>
          <w:szCs w:val="24"/>
          <w:lang w:val="en-US"/>
        </w:rPr>
        <w:t>,</w:t>
      </w:r>
      <w:r w:rsidRPr="001C332A">
        <w:rPr>
          <w:rFonts w:ascii="Times New Roman" w:hAnsi="Times New Roman" w:cs="Times New Roman"/>
          <w:sz w:val="24"/>
          <w:szCs w:val="24"/>
          <w:lang w:val="en-US"/>
        </w:rPr>
        <w:t xml:space="preserve"> World Health Organization</w:t>
      </w:r>
      <w:r w:rsidR="00A02E81" w:rsidRPr="001C332A">
        <w:rPr>
          <w:rFonts w:ascii="Times New Roman" w:hAnsi="Times New Roman" w:cs="Times New Roman"/>
          <w:sz w:val="24"/>
          <w:szCs w:val="24"/>
          <w:lang w:val="en-US"/>
        </w:rPr>
        <w:t>; Immunization;</w:t>
      </w:r>
      <w:r w:rsidR="00396EC0" w:rsidRPr="001C332A">
        <w:rPr>
          <w:rFonts w:ascii="Times New Roman" w:hAnsi="Times New Roman" w:cs="Times New Roman"/>
          <w:sz w:val="24"/>
          <w:szCs w:val="24"/>
          <w:lang w:val="en-US"/>
        </w:rPr>
        <w:t xml:space="preserve"> Adverse effects</w:t>
      </w:r>
      <w:r w:rsidR="00F974F5">
        <w:rPr>
          <w:rFonts w:ascii="Times New Roman" w:hAnsi="Times New Roman" w:cs="Times New Roman"/>
          <w:sz w:val="24"/>
          <w:szCs w:val="24"/>
          <w:lang w:val="en-US"/>
        </w:rPr>
        <w:t>.</w:t>
      </w:r>
    </w:p>
    <w:p w14:paraId="400C73B4" w14:textId="38BF9D9A" w:rsidR="002C6763" w:rsidRDefault="002C6763" w:rsidP="00274D41">
      <w:pPr>
        <w:spacing w:line="480" w:lineRule="auto"/>
        <w:jc w:val="both"/>
        <w:rPr>
          <w:rFonts w:ascii="Times New Roman" w:hAnsi="Times New Roman" w:cs="Times New Roman"/>
          <w:sz w:val="24"/>
          <w:szCs w:val="24"/>
          <w:lang w:val="en-US"/>
        </w:rPr>
      </w:pPr>
    </w:p>
    <w:p w14:paraId="2A0DF54A" w14:textId="7487D146" w:rsidR="002C6763" w:rsidRDefault="002C6763" w:rsidP="00274D41">
      <w:pPr>
        <w:spacing w:line="480" w:lineRule="auto"/>
        <w:jc w:val="both"/>
        <w:rPr>
          <w:rFonts w:ascii="Times New Roman" w:hAnsi="Times New Roman" w:cs="Times New Roman"/>
          <w:sz w:val="24"/>
          <w:szCs w:val="24"/>
          <w:lang w:val="en-US"/>
        </w:rPr>
      </w:pPr>
    </w:p>
    <w:p w14:paraId="19746FE1" w14:textId="22F4D18C" w:rsidR="002C6763" w:rsidRDefault="002C6763" w:rsidP="00274D41">
      <w:pPr>
        <w:spacing w:line="480" w:lineRule="auto"/>
        <w:jc w:val="both"/>
        <w:rPr>
          <w:rFonts w:ascii="Times New Roman" w:hAnsi="Times New Roman" w:cs="Times New Roman"/>
          <w:sz w:val="24"/>
          <w:szCs w:val="24"/>
          <w:lang w:val="en-US"/>
        </w:rPr>
      </w:pPr>
    </w:p>
    <w:p w14:paraId="2517B44A" w14:textId="196C38DA" w:rsidR="002C6763" w:rsidRDefault="002C6763" w:rsidP="00274D41">
      <w:pPr>
        <w:spacing w:line="480" w:lineRule="auto"/>
        <w:jc w:val="both"/>
        <w:rPr>
          <w:rFonts w:ascii="Times New Roman" w:hAnsi="Times New Roman" w:cs="Times New Roman"/>
          <w:sz w:val="24"/>
          <w:szCs w:val="24"/>
          <w:lang w:val="en-US"/>
        </w:rPr>
      </w:pPr>
    </w:p>
    <w:p w14:paraId="396794D8" w14:textId="06DCC4DB" w:rsidR="00254A15" w:rsidRPr="00DB1B92" w:rsidRDefault="001C332A" w:rsidP="00644D3D">
      <w:pPr>
        <w:spacing w:line="480" w:lineRule="auto"/>
        <w:jc w:val="both"/>
        <w:rPr>
          <w:rFonts w:ascii="Times New Roman" w:hAnsi="Times New Roman" w:cs="Times New Roman"/>
          <w:b/>
          <w:bCs/>
          <w:sz w:val="24"/>
          <w:szCs w:val="24"/>
          <w:lang w:val="es-ES"/>
        </w:rPr>
      </w:pPr>
      <w:r w:rsidRPr="00DB1B92">
        <w:rPr>
          <w:rFonts w:ascii="Times New Roman" w:hAnsi="Times New Roman" w:cs="Times New Roman"/>
          <w:b/>
          <w:bCs/>
          <w:sz w:val="24"/>
          <w:szCs w:val="24"/>
          <w:lang w:val="es-ES"/>
        </w:rPr>
        <w:lastRenderedPageBreak/>
        <w:t>RESUMEN</w:t>
      </w:r>
    </w:p>
    <w:p w14:paraId="554BA5CF" w14:textId="423364DB" w:rsidR="001C332A" w:rsidRPr="00DB1B92" w:rsidRDefault="00274D41" w:rsidP="00644D3D">
      <w:pPr>
        <w:spacing w:line="480" w:lineRule="auto"/>
        <w:jc w:val="both"/>
        <w:rPr>
          <w:rFonts w:ascii="Times New Roman" w:hAnsi="Times New Roman" w:cs="Times New Roman"/>
          <w:sz w:val="24"/>
          <w:szCs w:val="24"/>
          <w:lang w:val="es-ES"/>
        </w:rPr>
      </w:pPr>
      <w:r w:rsidRPr="00DB1B92">
        <w:rPr>
          <w:rFonts w:ascii="Times New Roman" w:hAnsi="Times New Roman" w:cs="Times New Roman"/>
          <w:sz w:val="24"/>
          <w:szCs w:val="24"/>
          <w:lang w:val="es-ES"/>
        </w:rPr>
        <w:t xml:space="preserve">La pandemia de COVID-19 ha tenido impactos inconmensurables en la economía, la educación, la socialización y la pérdida de millones de vidas. </w:t>
      </w:r>
      <w:r w:rsidR="00C313D1" w:rsidRPr="00DB1B92">
        <w:rPr>
          <w:rFonts w:ascii="Times New Roman" w:hAnsi="Times New Roman" w:cs="Times New Roman"/>
          <w:sz w:val="24"/>
          <w:szCs w:val="24"/>
          <w:lang w:val="es-ES"/>
        </w:rPr>
        <w:t>Por lo tanto, se ha acelerado el desarrollo de un número sin precedentes de candidatos a vacunas COVID-19 para controlar la pandemia. A su vez, la implementación de la autorización para uso de emergencia por parte de la Organización Mundial de la Salud permitió el inicio de la inmunización de la población a través de las vacunas COVID-19, las cuales aún se encuentran en ensayos clínicos.</w:t>
      </w:r>
      <w:r w:rsidR="00CF3297" w:rsidRPr="00DB1B92">
        <w:rPr>
          <w:rFonts w:ascii="Times New Roman" w:hAnsi="Times New Roman" w:cs="Times New Roman"/>
          <w:sz w:val="24"/>
          <w:szCs w:val="24"/>
          <w:lang w:val="es-ES"/>
        </w:rPr>
        <w:t xml:space="preserve"> Aquí presentamos una perspectiva de los preceptos bioéticos de autonomía, no maleficencia, beneficencia y justicia en el contexto del uso de emergencia de vacunas contra COVID-19. Además, enfatiza la importancia de la vigilancia en todas las etapas del desarrollo de la vacuna, con el fin de detectar efectos adversos y asegurar el cumplimiento de los preceptos bioéticos.</w:t>
      </w:r>
    </w:p>
    <w:p w14:paraId="48B0F030" w14:textId="77777777" w:rsidR="002C6763" w:rsidRPr="00DB1B92" w:rsidRDefault="002C6763" w:rsidP="00644D3D">
      <w:pPr>
        <w:spacing w:line="480" w:lineRule="auto"/>
        <w:jc w:val="both"/>
        <w:rPr>
          <w:rFonts w:ascii="Times New Roman" w:hAnsi="Times New Roman" w:cs="Times New Roman"/>
          <w:sz w:val="24"/>
          <w:szCs w:val="24"/>
          <w:lang w:val="es-ES"/>
        </w:rPr>
      </w:pPr>
    </w:p>
    <w:p w14:paraId="67A13140" w14:textId="13D7E5CE" w:rsidR="00001BF6" w:rsidRPr="00DB1B92" w:rsidRDefault="00CF3297" w:rsidP="00644D3D">
      <w:pPr>
        <w:spacing w:line="480" w:lineRule="auto"/>
        <w:jc w:val="both"/>
        <w:rPr>
          <w:rFonts w:ascii="Times New Roman" w:hAnsi="Times New Roman" w:cs="Times New Roman"/>
          <w:b/>
          <w:bCs/>
          <w:sz w:val="24"/>
          <w:szCs w:val="24"/>
          <w:lang w:val="es-ES"/>
        </w:rPr>
      </w:pPr>
      <w:r w:rsidRPr="00DB1B92">
        <w:rPr>
          <w:rFonts w:ascii="Times New Roman" w:hAnsi="Times New Roman" w:cs="Times New Roman"/>
          <w:b/>
          <w:bCs/>
          <w:sz w:val="24"/>
          <w:szCs w:val="24"/>
          <w:lang w:val="es-ES"/>
        </w:rPr>
        <w:t xml:space="preserve">PALABRAS- CLAVE: </w:t>
      </w:r>
      <w:r w:rsidR="00F974F5" w:rsidRPr="00DB1B92">
        <w:rPr>
          <w:rFonts w:ascii="Times New Roman" w:hAnsi="Times New Roman" w:cs="Times New Roman"/>
          <w:sz w:val="24"/>
          <w:szCs w:val="24"/>
          <w:lang w:val="es-ES"/>
        </w:rPr>
        <w:t xml:space="preserve">COVID-19; Vacunas; Bioética; Organización Mundial de la Salud; Inmunización; </w:t>
      </w:r>
      <w:r w:rsidR="002C6763" w:rsidRPr="00DB1B92">
        <w:rPr>
          <w:rFonts w:ascii="Times New Roman" w:hAnsi="Times New Roman" w:cs="Times New Roman"/>
          <w:sz w:val="24"/>
          <w:szCs w:val="24"/>
          <w:lang w:val="es-ES"/>
        </w:rPr>
        <w:t>Efectos Adversos.</w:t>
      </w:r>
    </w:p>
    <w:p w14:paraId="36ED30AE" w14:textId="4CE224CC" w:rsidR="00001BF6" w:rsidRPr="00DB1B92" w:rsidRDefault="00001BF6" w:rsidP="00644D3D">
      <w:pPr>
        <w:spacing w:line="480" w:lineRule="auto"/>
        <w:jc w:val="both"/>
        <w:rPr>
          <w:rFonts w:ascii="Times New Roman" w:hAnsi="Times New Roman" w:cs="Times New Roman"/>
          <w:sz w:val="24"/>
          <w:szCs w:val="24"/>
          <w:lang w:val="es-ES"/>
        </w:rPr>
      </w:pPr>
    </w:p>
    <w:p w14:paraId="68E5C338" w14:textId="5C97DE96" w:rsidR="00001BF6" w:rsidRPr="00DB1B92" w:rsidRDefault="00001BF6" w:rsidP="00644D3D">
      <w:pPr>
        <w:spacing w:line="480" w:lineRule="auto"/>
        <w:jc w:val="both"/>
        <w:rPr>
          <w:rFonts w:ascii="Times New Roman" w:hAnsi="Times New Roman" w:cs="Times New Roman"/>
          <w:sz w:val="24"/>
          <w:szCs w:val="24"/>
          <w:lang w:val="es-ES"/>
        </w:rPr>
      </w:pPr>
    </w:p>
    <w:p w14:paraId="4942F6A9" w14:textId="28FD86E4" w:rsidR="002C6763" w:rsidRPr="00DB1B92" w:rsidRDefault="002C6763" w:rsidP="00644D3D">
      <w:pPr>
        <w:spacing w:line="480" w:lineRule="auto"/>
        <w:jc w:val="both"/>
        <w:rPr>
          <w:rFonts w:ascii="Times New Roman" w:hAnsi="Times New Roman" w:cs="Times New Roman"/>
          <w:sz w:val="24"/>
          <w:szCs w:val="24"/>
          <w:lang w:val="es-ES"/>
        </w:rPr>
      </w:pPr>
    </w:p>
    <w:p w14:paraId="212C95F9" w14:textId="46822D53" w:rsidR="002C6763" w:rsidRDefault="002C6763" w:rsidP="00644D3D">
      <w:pPr>
        <w:spacing w:line="480" w:lineRule="auto"/>
        <w:jc w:val="both"/>
        <w:rPr>
          <w:rFonts w:ascii="Times New Roman" w:hAnsi="Times New Roman" w:cs="Times New Roman"/>
          <w:sz w:val="24"/>
          <w:szCs w:val="24"/>
          <w:lang w:val="es-ES"/>
        </w:rPr>
      </w:pPr>
    </w:p>
    <w:p w14:paraId="32447328" w14:textId="77777777" w:rsidR="00DB1B92" w:rsidRPr="00DB1B92" w:rsidRDefault="00DB1B92" w:rsidP="00644D3D">
      <w:pPr>
        <w:spacing w:line="480" w:lineRule="auto"/>
        <w:jc w:val="both"/>
        <w:rPr>
          <w:rFonts w:ascii="Times New Roman" w:hAnsi="Times New Roman" w:cs="Times New Roman"/>
          <w:sz w:val="24"/>
          <w:szCs w:val="24"/>
          <w:lang w:val="es-ES"/>
        </w:rPr>
      </w:pPr>
    </w:p>
    <w:p w14:paraId="08860E94" w14:textId="77777777" w:rsidR="002C6763" w:rsidRPr="00DB1B92" w:rsidRDefault="002C6763" w:rsidP="00644D3D">
      <w:pPr>
        <w:spacing w:line="480" w:lineRule="auto"/>
        <w:jc w:val="both"/>
        <w:rPr>
          <w:rFonts w:ascii="Times New Roman" w:hAnsi="Times New Roman" w:cs="Times New Roman"/>
          <w:sz w:val="24"/>
          <w:szCs w:val="24"/>
          <w:lang w:val="es-ES"/>
        </w:rPr>
      </w:pPr>
    </w:p>
    <w:p w14:paraId="23CF9E04" w14:textId="6D6ED548" w:rsidR="00254A15" w:rsidRPr="00C33556" w:rsidRDefault="0001504A" w:rsidP="004D1408">
      <w:pPr>
        <w:spacing w:line="480" w:lineRule="auto"/>
        <w:ind w:firstLine="708"/>
        <w:jc w:val="both"/>
        <w:rPr>
          <w:rFonts w:ascii="Times New Roman" w:hAnsi="Times New Roman" w:cs="Times New Roman"/>
          <w:b/>
          <w:bCs/>
          <w:sz w:val="24"/>
          <w:szCs w:val="24"/>
          <w:lang w:val="en-US"/>
        </w:rPr>
      </w:pPr>
      <w:r w:rsidRPr="00C33556">
        <w:rPr>
          <w:rFonts w:ascii="Times New Roman" w:hAnsi="Times New Roman" w:cs="Times New Roman"/>
          <w:b/>
          <w:bCs/>
          <w:sz w:val="24"/>
          <w:szCs w:val="24"/>
          <w:lang w:val="en-US"/>
        </w:rPr>
        <w:lastRenderedPageBreak/>
        <w:t xml:space="preserve">1 </w:t>
      </w:r>
      <w:r w:rsidR="00254A15" w:rsidRPr="00C33556">
        <w:rPr>
          <w:rFonts w:ascii="Times New Roman" w:hAnsi="Times New Roman" w:cs="Times New Roman"/>
          <w:b/>
          <w:bCs/>
          <w:sz w:val="24"/>
          <w:szCs w:val="24"/>
          <w:lang w:val="en-US"/>
        </w:rPr>
        <w:t>INTRODUCTION</w:t>
      </w:r>
    </w:p>
    <w:p w14:paraId="1DB90466" w14:textId="708CB41F" w:rsidR="00132911" w:rsidRPr="00C33556" w:rsidRDefault="00EE255A" w:rsidP="00F54495">
      <w:pPr>
        <w:spacing w:line="480" w:lineRule="auto"/>
        <w:ind w:firstLine="708"/>
        <w:jc w:val="both"/>
        <w:rPr>
          <w:rFonts w:ascii="Times New Roman" w:hAnsi="Times New Roman" w:cs="Times New Roman"/>
          <w:sz w:val="24"/>
          <w:szCs w:val="24"/>
          <w:lang w:val="en-US"/>
        </w:rPr>
      </w:pPr>
      <w:r w:rsidRPr="00C33556">
        <w:rPr>
          <w:rFonts w:ascii="Times New Roman" w:hAnsi="Times New Roman" w:cs="Times New Roman"/>
          <w:sz w:val="24"/>
          <w:szCs w:val="24"/>
          <w:lang w:val="en-US"/>
        </w:rPr>
        <w:t xml:space="preserve">The impacts of the COVID-19 pandemic, whether on the economy, education, socialization and, mainly, that represented by the loss of millions of lives, are immeasurable </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{"citationItems":[{"id":"ITEM-1","itemData":{"URL":"https://covid19.who.int/","abstract":"Estadísticas COVID-19 de la OMS","accessed":{"date-parts":[["2021","5","14"]]},"author":[{"dropping-particle":"","family":"WHO","given":"","non-dropping-particle":"","parse-names":false,"suffix":""}],"container-title":"Who","id":"ITEM-1","issued":{"date-parts":[["2021"]]},"page":"1-5","title":"WHO Coronavirus (COVID-19) Dashboard. WHO Coronavirus (COVID-19) Dashboard With Vaccination Data","type":"webpage"},"uris":["http://www.mendeley.com/documents/?uuid=ea917b85-ebe7-3797-8acd-50024a404881"]},{"id":"ITEM-2","itemData":{"DOI":"10.1111/cei.13517","ISSN":"1365-2249","PMID":"32935331","abstract":"Since the emergence of COVID-19, caused by the SARS-CoV-2 virus at the end of 2019, there has been an explosion of vaccine development. By 24 September 2020, a staggering number of vaccines (more than 200) had started preclinical development, of which 43 had entered clinical trials, including some approaches that have not previously been licensed for human vaccines. Vaccines have been widely considered as part of the exit strategy to enable the return to previous patterns of working, schooling and socializing. Importantly, to effectively control the COVID-19 pandemic, production needs to be scaled-up from a small number of preclinical doses to enough filled vials to immunize the world's population, which requires close engagement with manufacturers and regulators. It will require a global effort to control the virus, necessitating equitable access for all countries to effective vaccines. This review explores the immune responses required to protect against SARS-CoV-2 and the potential for vaccine-induced immunopathology. We describe the profile of the different platforms and the advantages and disadvantages of each approach. The review also addresses the critical steps between promising preclinical leads and manufacturing at scale. The issues faced during this pandemic and the platforms being developed to address it will be invaluable for future outbreak control. Nine months after the outbreak began we are at a point where preclinical and early clinical data are being generated for the vaccines; an overview of this important area will help our understanding of the next phases.","author":[{"dropping-particle":"","family":"Tregoning","given":"J. S.","non-dropping-particle":"","parse-names":false,"suffix":""},{"dropping-particle":"","family":"Brown","given":"E. S.","non-dropping-particle":"","parse-names":false,"suffix":""},{"dropping-particle":"","family":"Cheeseman","given":"H. M.","non-dropping-particle":"","parse-names":false,"suffix":""},{"dropping-particle":"","family":"Flight","given":"K. E.","non-dropping-particle":"","parse-names":false,"suffix":""},{"dropping-particle":"","family":"Higham","given":"S. L.","non-dropping-particle":"","parse-names":false,"suffix":""},{"dropping-particle":"","family":"Lemm","given":"N.‐M.","non-dropping-particle":"","parse-names":false,"suffix":""},{"dropping-particle":"","family":"Pierce","given":"B. F.","non-dropping-particle":"","parse-names":false,"suffix":""},{"dropping-particle":"","family":"Stirling","given":"D. C.","non-dropping-particle":"","parse-names":false,"suffix":""},{"dropping-particle":"","family":"Wang","given":"Z.","non-dropping-particle":"","parse-names":false,"suffix":""},{"dropping-particle":"","family":"Pollock","given":"K. M.","non-dropping-particle":"","parse-names":false,"suffix":""}],"container-title":"Clinical and experimental immunology","id":"ITEM-2","issue":"2","issued":{"date-parts":[["2020","11","18"]]},"page":"162-192","title":"Vaccines for COVID-19.","type":"article-journal","volume":"202"},"uris":["http://www.mendeley.com/documents/?uuid=441e3caf-462a-4f08-b563-eb0156bf9f54"]},{"id":"ITEM-3","itemData":{"DOI":"10.1016/S0140-6736(21)00306-8","ISSN":"1474-547X","PMID":"33587887","abstract":"The COVID-19 pandemic is unlikely to end until there is global roll-out of vaccines that protect against severe disease and preferably drive herd immunity. Regulators in numerous countries have authorised or approved COVID-19 vaccines for human use, with more expected to be licensed in 2021. Yet having licensed vaccines is not enough to achieve global control of COVID-19: they also need to be produced at scale, priced affordably, allocated globally so that they are available where needed, and widely deployed in local communities. In this Health Policy paper, we review potential challenges to success in each of these dimensions and discuss policy implications. To guide our review, we developed a dashboard to highlight key characteristics of 26 leading vaccine candidates, including efficacy levels, dosing regimens, storage requirements, prices, production capacities in 2021, and stocks reserved for low-income and middle-income countries. We use a traffic-light system to signal the potential contributions of each candidate to achieving global vaccine immunity, highlighting important trade-offs that policy makers need to consider when developing and implementing vaccination programmes. Although specific datapoints are subject to change as the pandemic response progresses, the dashboard will continue to provide a useful lens through which to analyse the key issues affecting the use of COVID-19 vaccines. We also present original data from a 32-country survey (n=26 758) on potential acceptance of COVID-19 vaccines, conducted from October to December, 2020. Vaccine acceptance was highest in Vietnam (98%), India (91%), China (91%), Denmark (87%), and South Korea (87%), and lowest in Serbia (38%), Croatia (41%), France (44%), Lebanon (44%), and Paraguay (51%).","author":[{"dropping-particle":"","family":"Wouters","given":"Olivier J","non-dropping-particle":"","parse-names":false,"suffix":""},{"dropping-particle":"","family":"Shadlen","given":"Kenneth C","non-dropping-particle":"","parse-names":false,"suffix":""},{"dropping-particle":"","family":"Salcher-Konrad","given":"Maximilian","non-dropping-particle":"","parse-names":false,"suffix":""},{"dropping-particle":"","family":"Pollard","given":"Andrew J","non-dropping-particle":"","parse-names":false,"suffix":""},{"dropping-particle":"","family":"Larson","given":"Heidi J","non-dropping-particle":"","parse-names":false,"suffix":""},{"dropping-particle":"","family":"Teerawattananon","given":"Yot","non-dropping-particle":"","parse-names":false,"suffix":""},{"dropping-particle":"","family":"Jit","given":"Mark","non-dropping-particle":"","parse-names":false,"suffix":""}],"container-title":"Lancet (London, England)","id":"ITEM-3","issue":"10278","issued":{"date-parts":[["2021","3","13"]]},"page":"1023-1034","title":"Challenges in ensuring global access to COVID-19 vaccines: production, affordability, allocation, and deployment.","type":"article-journal","volume":"397"},"uris":["http://www.mendeley.com/documents/?uuid=c0d3ec35-ea0d-4e5b-ac8c-021a97845266"]}],"mendeley":{"formattedCitation":"(1–3)","plainTextFormattedCitation":"(1–3)","previouslyFormattedCitation":"(WHO 2021b; Tregoning et al. 2020; Wouters et al. 2021)"},"properties":{"noteIndex":0},"schema":"https://github.com/citation-style-language/schema/raw/master/csl-citation.json"}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noProof/>
          <w:sz w:val="24"/>
          <w:szCs w:val="24"/>
          <w:lang w:val="en-US"/>
        </w:rPr>
        <w:t>(1–3)</w:t>
      </w:r>
      <w:r w:rsidR="00331BD5">
        <w:rPr>
          <w:rStyle w:val="FootnoteReference"/>
          <w:rFonts w:ascii="Times New Roman" w:hAnsi="Times New Roman" w:cs="Times New Roman"/>
          <w:sz w:val="24"/>
          <w:szCs w:val="24"/>
        </w:rPr>
        <w:fldChar w:fldCharType="end"/>
      </w:r>
      <w:r w:rsidR="00C50E15" w:rsidRPr="00C33556">
        <w:rPr>
          <w:rFonts w:ascii="Times New Roman" w:hAnsi="Times New Roman" w:cs="Times New Roman"/>
          <w:sz w:val="24"/>
          <w:szCs w:val="24"/>
          <w:lang w:val="en-US"/>
        </w:rPr>
        <w:t xml:space="preserve"> </w:t>
      </w:r>
      <w:r w:rsidR="00257F75" w:rsidRPr="00C33556">
        <w:rPr>
          <w:rFonts w:ascii="Times New Roman" w:hAnsi="Times New Roman" w:cs="Times New Roman"/>
          <w:sz w:val="24"/>
          <w:szCs w:val="24"/>
          <w:lang w:val="en-US"/>
        </w:rPr>
        <w:t xml:space="preserve"> </w:t>
      </w:r>
      <w:r w:rsidR="00C55099" w:rsidRPr="00C33556">
        <w:rPr>
          <w:rFonts w:ascii="Times New Roman" w:hAnsi="Times New Roman" w:cs="Times New Roman"/>
          <w:sz w:val="24"/>
          <w:szCs w:val="24"/>
          <w:lang w:val="en-US"/>
        </w:rPr>
        <w:t xml:space="preserve">Thus, in order to contain the spread of the virus, measures such as the use of facemasks by the population, social distancing, use of tests for tracking patients and even lockdowns have been implemented in different parts of the world. </w:t>
      </w:r>
      <w:r w:rsidR="000334C2" w:rsidRPr="00C33556">
        <w:rPr>
          <w:rFonts w:ascii="Times New Roman" w:hAnsi="Times New Roman" w:cs="Times New Roman"/>
          <w:sz w:val="24"/>
          <w:szCs w:val="24"/>
          <w:lang w:val="en-US"/>
        </w:rPr>
        <w:t>Furthermore, a race was started to develop drugs for the treatment of patients with COVID-19 and, above all, vaccines that can interrupt viral transmission through collective immunity, avoid the occurrence of moderate to severe forms of the disease, reducing morbimortality</w:t>
      </w:r>
      <w:r w:rsidR="00565645" w:rsidRPr="00C33556">
        <w:rPr>
          <w:rFonts w:ascii="Times New Roman" w:hAnsi="Times New Roman" w:cs="Times New Roman"/>
          <w:sz w:val="24"/>
          <w:szCs w:val="24"/>
          <w:lang w:val="en-US"/>
        </w:rPr>
        <w:t>.</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{"citationItems":[{"id":"ITEM-1","itemData":{"DOI":"10.1016/S0140-6736(21)00306-8","ISSN":"1474-547X","PMID":"33587887","abstract":"The COVID-19 pandemic is unlikely to end until there is global roll-out of vaccines that protect against severe disease and preferably drive herd immunity. Regulators in numerous countries have authorised or approved COVID-19 vaccines for human use, with more expected to be licensed in 2021. Yet having licensed vaccines is not enough to achieve global control of COVID-19: they also need to be produced at scale, priced affordably, allocated globally so that they are available where needed, and widely deployed in local communities. In this Health Policy paper, we review potential challenges to success in each of these dimensions and discuss policy implications. To guide our review, we developed a dashboard to highlight key characteristics of 26 leading vaccine candidates, including efficacy levels, dosing regimens, storage requirements, prices, production capacities in 2021, and stocks reserved for low-income and middle-income countries. We use a traffic-light system to signal the potential contributions of each candidate to achieving global vaccine immunity, highlighting important trade-offs that policy makers need to consider when developing and implementing vaccination programmes. Although specific datapoints are subject to change as the pandemic response progresses, the dashboard will continue to provide a useful lens through which to analyse the key issues affecting the use of COVID-19 vaccines. We also present original data from a 32-country survey (n=26 758) on potential acceptance of COVID-19 vaccines, conducted from October to December, 2020. Vaccine acceptance was highest in Vietnam (98%), India (91%), China (91%), Denmark (87%), and South Korea (87%), and lowest in Serbia (38%), Croatia (41%), France (44%), Lebanon (44%), and Paraguay (51%).","author":[{"dropping-particle":"","family":"Wouters","given":"Olivier J","non-dropping-particle":"","parse-names":false,"suffix":""},{"dropping-particle":"","family":"Shadlen","given":"Kenneth C","non-dropping-particle":"","parse-names":false,"suffix":""},{"dropping-particle":"","family":"Salcher-Konrad","given":"Maximilian","non-dropping-particle":"","parse-names":false,"suffix":""},{"dropping-particle":"","family":"Pollard","given":"Andrew J","non-dropping-particle":"","parse-names":false,"suffix":""},{"dropping-particle":"","family":"Larson","given":"Heidi J","non-dropping-particle":"","parse-names":false,"suffix":""},{"dropping-particle":"","family":"Teerawattananon","given":"Yot","non-dropping-particle":"","parse-names":false,"suffix":""},{"dropping-particle":"","family":"Jit","given":"Mark","non-dropping-particle":"","parse-names":false,"suffix":""}],"container-title":"Lancet (London, England)","id":"ITEM-1","issue":"10278","issued":{"date-parts":[["2021","3","13"]]},"page":"1023-1034","title":"Challenges in ensuring global access to COVID-19 vaccines: production, affordability, allocation, and deployment.","type":"article-journal","volume":"397"},"uris":["http://www.mendeley.com/documents/?uuid=c0d3ec35-ea0d-4e5b-ac8c-021a97845266"]},{"id":"ITEM-2","itemData":{"DOI":"10.3389/fimmu.2020.579250","ISSN":"1664-3224","PMID":"33123165","abstract":"There are currently around 200 SARS-CoV-2 candidate vaccines in preclinical and clinical trials throughout the world. The various candidates employ a range of vaccine strategies including some novel approaches. Currently, the goal is to prove that they are safe and immunogenic in humans (phase 1/2 studies) with several now advancing into phase 2 and 3 trials to demonstrate efficacy and gather comprehensive data on safety. It is highly likely that many vaccines will be shown to stimulate antibody and T cell responses in healthy individuals and have an acceptable safety profile, but the key will be to confirm that they protect against COVID-19. There is much hope that SARS-CoV-2 vaccines will be rolled out to the entire world to contain the pandemic and avert its most damaging impacts. However, in all likelihood this will initially require a targeted approach toward key vulnerable groups. Collaborative efforts are underway to ensure manufacturing can occur at the unprecedented scale and speed required to immunize billions of people. Ensuring deployment also occurs equitably across the globe will be critical. Careful evaluation and ongoing surveillance for safety will be required to address theoretical concerns regarding immune enhancement seen in previous contexts. Herein, we review the current knowledge about the immune response to this novel virus as it pertains to the design of effective and safe SARS-CoV-2 vaccines and the range of novel and established approaches to vaccine development being taken. We provide details of some of the frontrunner vaccines and discuss potential issues including adverse effects, scale-up and delivery.","author":[{"dropping-particle":"","family":"Flanagan","given":"Katie L.","non-dropping-particle":"","parse-names":false,"suffix":""},{"dropping-particle":"","family":"Best","given":"Emma","non-dropping-particle":"","parse-names":false,"suffix":""},{"dropping-particle":"","family":"Crawford","given":"Nigel W.","non-dropping-particle":"","parse-names":false,"suffix":""},{"dropping-particle":"","family":"Giles","given":"Michelle","non-dropping-particle":"","parse-names":false,"suffix":""},{"dropping-particle":"","family":"Koirala","given":"Archana","non-dropping-particle":"","parse-names":false,"suffix":""},{"dropping-particle":"","family":"Macartney","given":"Kristine","non-dropping-particle":"","parse-names":false,"suffix":""},{"dropping-particle":"","family":"Russell","given":"Fiona","non-dropping-particle":"","parse-names":false,"suffix":""},{"dropping-particle":"","family":"Teh","given":"Benjamin W.","non-dropping-particle":"","parse-names":false,"suffix":""},{"dropping-particle":"","family":"Wen","given":"Sophie CH","non-dropping-particle":"","parse-names":false,"suffix":""}],"container-title":"Frontiers in immunology","id":"ITEM-2","issued":{"date-parts":[["2020","10","2"]]},"page":"579250","title":"Progress and Pitfalls in the Quest for Effective SARS-CoV-2 (COVID-19) Vaccines.","type":"article-journal","volume":"11"},"uris":["http://www.mendeley.com/documents/?uuid=8c109a71-66ba-4b2b-a936-71e1321b8461"]},{"id":"ITEM-3","itemData":{"DOI":"10.1007/978-3-319-09483-0_432","author":[{"dropping-particle":"","family":"Afolabi","given":"Michael O. S.","non-dropping-particle":"","parse-names":false,"suffix":""}],"container-title":"Encyclopedia of Global Bioethics","id":"ITEM-3","issued":{"date-parts":[["2016"]]},"page":"2911-2918","publisher":"Springer International Publishing","publisher-place":"Cham","title":"Vaccination","type":"chapter"},"uris":["http://www.mendeley.com/documents/?uuid=57c3f4e6-ab5b-411e-a0a5-f4da9072ac1b"]},{"id":"ITEM-4","itemData":{"DOI":"10.20529/IJME.2020.122","ISSN":"09748466","abstract":"Large-scale vaccination with a safe and effective vaccine against Covid-19 is the only way to conquer the ongoing lethal pandemic that has led to extraordinary social and economic upheaval globally. Fortunately, the world is on the verge of developing Covid-19 vaccines in an unprecedentedly short time. More than forty vaccines are in different stages of clinical trials, and a few are in the crucial phase III studies stage. A new demand for emergency use authorisation and rapid deployment of these vaccines before scrutinising phase III trial data is raging in different quarters. Can advancement of the deployment of these vaccines by even a few weeks give us rich public health dividends? Would it be ethical to deploy these novel vaccines based only on the safety and immunogenicity data generated by the phase-I and II clinical trials? Would it be ethical to deny vaccination of vulnerable populations against an untreatable infectious disease despite the availability of reasonably safe and efficacious vaccines for the want of phase III trial data? The answer is not straightforward, as there are many complexities involved. This commentary attempts to discuss some ethical issues involved in a decision to deploy Covid-19 vaccination before phase III trial results are declared.","author":[{"dropping-particle":"","family":"Vashishtha","given":"Vipin M","non-dropping-particle":"","parse-names":false,"suffix":""},{"dropping-particle":"","family":"Kumar","given":"Puneet","non-dropping-particle":"","parse-names":false,"suffix":""}],"container-title":"Indian Journal of Medical Ethics","id":"ITEM-4","issue":"01","issued":{"date-parts":[["2021","2","16"]]},"page":"20-22","title":"Emergency use authorisation of Covid-19 vaccines:An ethical conundrum","type":"article-journal","volume":"06"},"uris":["http://www.mendeley.com/documents/?uuid=10303d8a-0b69-4e8c-8e89-fc9778bcd606"]},{"id":"ITEM-5","itemData":{"DOI":"10.7759/cureus.10530","ISSN":"2168-8184","PMID":"33101792","abstract":"Introduction In the last 18 years, on three occasions, coronavirus has represented a challenge for global health. Between 2002 and 2003 with Severe Acute Respiratory Syndrome, in 2012 with Middle East Respiratory Syndrome, and since the end of 2019 with severe acute respiratory syndrome coronavirus 2 (SARS-CoV-2) causing the coronavirus disease 2019 (COVID-19) pandemic, which has challenged health care models and the way of doing research, placing bioethics at the center of discussion. Methods On August 19, 2020, a webinar organized by the Research Institute of Medical Science (IICIMED, for its acronym in Spanish), entitled 'Bioethical Implications in Vaccine Development, a COVID-19 Challenge' took place. Three experts spoke about the importance of bioethics in the race to develop a COVID-19 vaccine, the risk involved in shortening the terms of the clinical trial phases, and how the associated risks can be minimized, in order to expedite research results. Conclusion With the novel SARS-CoV-2 coronavirus, critical challenges have been posed not only for public health but for research and the scientific community. A safe and effective vaccine is urgently needed to prevent COVID-19 transmission, complications, and deaths; the adherence to ethical principles required by clinical research is mandatory and closer supervision is also essential.","author":[{"dropping-particle":"","family":"Ospina Henao","given":"Sebastián","non-dropping-particle":"","parse-names":false,"suffix":""},{"dropping-particle":"","family":"Marín Mora","given":"Alejandro","non-dropping-particle":"","parse-names":false,"suffix":""},{"dropping-particle":"","family":"Chan Solano","given":"Fanny","non-dropping-particle":"","parse-names":false,"suffix":""},{"dropping-particle":"","family":"Ávila-Aguero","given":"María L","non-dropping-particle":"","parse-names":false,"suffix":""}],"container-title":"Cureus","id":"ITEM-5","issue":"9","issued":{"date-parts":[["2020","9","18"]]},"page":"e10530","title":"Bioethical Implications in Vaccine Development, a COVID-19 Challenge.","type":"article-journal","volume":"12"},"uris":["http://www.mendeley.com/documents/?uuid=8e3753a9-2689-4749-a678-2e57dc25fc8c"]}],"mendeley":{"formattedCitation":"(3–7)","plainTextFormattedCitation":"(3–7)","previouslyFormattedCitation":"(Wouters et al. 2021; Flanagan et al. 2020; Afolabi 2016; Vashishtha and Kumar 2021; Ospina Henao et al. 2020)"},"properties":{"noteIndex":0},"schema":"https://github.com/citation-style-language/schema/raw/master/csl-citation.json"}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(3–7)</w:t>
      </w:r>
      <w:r w:rsidR="00331BD5">
        <w:rPr>
          <w:rStyle w:val="FootnoteReference"/>
          <w:rFonts w:ascii="Times New Roman" w:hAnsi="Times New Roman" w:cs="Times New Roman"/>
          <w:sz w:val="24"/>
          <w:szCs w:val="24"/>
        </w:rPr>
        <w:fldChar w:fldCharType="end"/>
      </w:r>
    </w:p>
    <w:p w14:paraId="402913C9" w14:textId="5C5D200F" w:rsidR="00C019FF" w:rsidRDefault="000334C2" w:rsidP="00331BD5">
      <w:pPr>
        <w:spacing w:line="480" w:lineRule="auto"/>
        <w:ind w:firstLine="708"/>
        <w:jc w:val="both"/>
        <w:rPr>
          <w:rFonts w:ascii="Times New Roman" w:hAnsi="Times New Roman" w:cs="Times New Roman"/>
          <w:sz w:val="24"/>
          <w:szCs w:val="24"/>
          <w:lang w:val="en-US"/>
        </w:rPr>
      </w:pPr>
      <w:r w:rsidRPr="00C33556">
        <w:rPr>
          <w:rFonts w:ascii="Times New Roman" w:hAnsi="Times New Roman" w:cs="Times New Roman"/>
          <w:sz w:val="24"/>
          <w:szCs w:val="24"/>
          <w:lang w:val="en-US"/>
        </w:rPr>
        <w:t>In fact</w:t>
      </w:r>
      <w:r w:rsidR="00132911" w:rsidRPr="00C33556">
        <w:rPr>
          <w:rFonts w:ascii="Times New Roman" w:hAnsi="Times New Roman" w:cs="Times New Roman"/>
          <w:sz w:val="24"/>
          <w:szCs w:val="24"/>
          <w:lang w:val="en-US"/>
        </w:rPr>
        <w:t xml:space="preserve">, </w:t>
      </w:r>
      <w:r w:rsidR="00565645" w:rsidRPr="00C33556">
        <w:rPr>
          <w:rFonts w:ascii="Times New Roman" w:hAnsi="Times New Roman" w:cs="Times New Roman"/>
          <w:sz w:val="24"/>
          <w:szCs w:val="24"/>
          <w:lang w:val="en-US"/>
        </w:rPr>
        <w:t xml:space="preserve"> </w:t>
      </w:r>
      <w:r w:rsidR="009E7D5F" w:rsidRPr="00C33556">
        <w:rPr>
          <w:rFonts w:ascii="Times New Roman" w:hAnsi="Times New Roman" w:cs="Times New Roman"/>
          <w:sz w:val="24"/>
          <w:szCs w:val="24"/>
          <w:lang w:val="en-US"/>
        </w:rPr>
        <w:t>v</w:t>
      </w:r>
      <w:r w:rsidR="00C2715A" w:rsidRPr="00C33556">
        <w:rPr>
          <w:rFonts w:ascii="Times New Roman" w:hAnsi="Times New Roman" w:cs="Times New Roman"/>
          <w:sz w:val="24"/>
          <w:szCs w:val="24"/>
          <w:lang w:val="en-US"/>
        </w:rPr>
        <w:t xml:space="preserve">accines have </w:t>
      </w:r>
      <w:r w:rsidR="0084006A" w:rsidRPr="00C33556">
        <w:rPr>
          <w:rFonts w:ascii="Times New Roman" w:hAnsi="Times New Roman" w:cs="Times New Roman"/>
          <w:sz w:val="24"/>
          <w:szCs w:val="24"/>
          <w:lang w:val="en-US"/>
        </w:rPr>
        <w:t>unquestionable value in health promotion and disease prevention.</w:t>
      </w:r>
      <w:r w:rsidR="00331BD5">
        <w:rPr>
          <w:rStyle w:val="FootnoteReference"/>
          <w:rFonts w:ascii="Times New Roman" w:hAnsi="Times New Roman" w:cs="Times New Roman"/>
          <w:sz w:val="24"/>
          <w:szCs w:val="24"/>
          <w:lang w:val="en-US"/>
        </w:rPr>
        <w:fldChar w:fldCharType="begin" w:fldLock="1"/>
      </w:r>
      <w:r w:rsidR="0036604F">
        <w:rPr>
          <w:rFonts w:ascii="Times New Roman" w:hAnsi="Times New Roman" w:cs="Times New Roman"/>
          <w:sz w:val="24"/>
          <w:szCs w:val="24"/>
          <w:lang w:val="en-US"/>
        </w:rPr>
        <w:instrText>ADDIN CSL_CITATION {"citationItems":[{"id":"ITEM-1","itemData":{"DOI":"10.1007/978-3-319-09483-0_432","author":[{"dropping-particle":"","family":"Afolabi","given":"Michael O. S.","non-dropping-particle":"","parse-names":false,"suffix":""}],"container-title":"Encyclopedia of Global Bioethics","id":"ITEM-1","issued":{"date-parts":[["2016"]]},"page":"2911-2918","publisher":"Springer International Publishing","publisher-place":"Cham","title":"Vaccination","type":"chapter"},"uris":["http://www.mendeley.com/documents/?uuid=57c3f4e6-ab5b-411e-a0a5-f4da9072ac1b"]},{"id":"ITEM-2","itemData":{"DOI":"10.1056/NEJMp2031373","ISSN":"0028-4793","author":[{"dropping-particle":"","family":"Krause","given":"Philip R.","non-dropping-particle":"","parse-names":false,"suffix":""},{"dropping-particle":"","family":"Gruber","given":"Marion F.","non-dropping-particle":"","parse-names":false,"suffix":""}],"container-title":"New England Journal of Medicine","id":"ITEM-2","issue":"19","issued":{"date-parts":[["2020","11","5"]]},"page":"e107","title":"Emergency Use Authorization of Covid Vaccines — Safety and Efficacy Follow-up Considerations","type":"article-journal","volume":"383"},"uris":["http://www.mendeley.com/documents/?uuid=9a8df981-e6f4-4a38-ada2-3b75b17d4a6c"]}],"mendeley":{"formattedCitation":"(5,8)","plainTextFormattedCitation":"(5,8)","previouslyFormattedCitation":"(Afolabi 2016; Krause and Gruber 2020)"},"properties":{"noteIndex":0},"schema":"https://github.com/citation-style-language/schema/raw/master/csl-citation.json"}</w:instrText>
      </w:r>
      <w:r w:rsidR="00331BD5">
        <w:rPr>
          <w:rStyle w:val="FootnoteReference"/>
          <w:rFonts w:ascii="Times New Roman" w:hAnsi="Times New Roman" w:cs="Times New Roman"/>
          <w:sz w:val="24"/>
          <w:szCs w:val="24"/>
          <w:lang w:val="en-US"/>
        </w:rPr>
        <w:fldChar w:fldCharType="separate"/>
      </w:r>
      <w:r w:rsidR="0036604F" w:rsidRPr="0036604F">
        <w:rPr>
          <w:rFonts w:ascii="Times New Roman" w:hAnsi="Times New Roman" w:cs="Times New Roman"/>
          <w:bCs/>
          <w:noProof/>
          <w:sz w:val="24"/>
          <w:szCs w:val="24"/>
          <w:lang w:val="en-US"/>
        </w:rPr>
        <w:t>(5,8)</w:t>
      </w:r>
      <w:r w:rsidR="00331BD5">
        <w:rPr>
          <w:rStyle w:val="FootnoteReference"/>
          <w:rFonts w:ascii="Times New Roman" w:hAnsi="Times New Roman" w:cs="Times New Roman"/>
          <w:sz w:val="24"/>
          <w:szCs w:val="24"/>
          <w:lang w:val="en-US"/>
        </w:rPr>
        <w:fldChar w:fldCharType="end"/>
      </w:r>
      <w:r w:rsidR="00120B0C" w:rsidRPr="00C33556">
        <w:rPr>
          <w:rFonts w:ascii="Times New Roman" w:hAnsi="Times New Roman" w:cs="Times New Roman"/>
          <w:sz w:val="24"/>
          <w:szCs w:val="24"/>
          <w:lang w:val="en-US"/>
        </w:rPr>
        <w:t xml:space="preserve"> </w:t>
      </w:r>
      <w:r w:rsidR="00442ECC" w:rsidRPr="00C33556">
        <w:rPr>
          <w:rFonts w:ascii="Times New Roman" w:hAnsi="Times New Roman" w:cs="Times New Roman"/>
          <w:sz w:val="24"/>
          <w:szCs w:val="24"/>
          <w:lang w:val="en-US"/>
        </w:rPr>
        <w:t>However, vaccine</w:t>
      </w:r>
      <w:r w:rsidR="00D82F71">
        <w:rPr>
          <w:rFonts w:ascii="Times New Roman" w:hAnsi="Times New Roman" w:cs="Times New Roman"/>
          <w:sz w:val="24"/>
          <w:szCs w:val="24"/>
          <w:lang w:val="en-US"/>
        </w:rPr>
        <w:t>s</w:t>
      </w:r>
      <w:r w:rsidR="00442ECC" w:rsidRPr="00C33556">
        <w:rPr>
          <w:rFonts w:ascii="Times New Roman" w:hAnsi="Times New Roman" w:cs="Times New Roman"/>
          <w:sz w:val="24"/>
          <w:szCs w:val="24"/>
          <w:lang w:val="en-US"/>
        </w:rPr>
        <w:t xml:space="preserve"> development is a process characterized by both low public investment and a 10 to 30</w:t>
      </w:r>
      <w:r w:rsidR="00D82F71">
        <w:rPr>
          <w:rFonts w:ascii="Times New Roman" w:hAnsi="Times New Roman" w:cs="Times New Roman"/>
          <w:sz w:val="24"/>
          <w:szCs w:val="24"/>
          <w:lang w:val="en-US"/>
        </w:rPr>
        <w:t>-</w:t>
      </w:r>
      <w:r w:rsidR="00442ECC" w:rsidRPr="00C33556">
        <w:rPr>
          <w:rFonts w:ascii="Times New Roman" w:hAnsi="Times New Roman" w:cs="Times New Roman"/>
          <w:sz w:val="24"/>
          <w:szCs w:val="24"/>
          <w:lang w:val="en-US"/>
        </w:rPr>
        <w:t>year long process for pre</w:t>
      </w:r>
      <w:r w:rsidR="00D82F71">
        <w:rPr>
          <w:rFonts w:ascii="Times New Roman" w:hAnsi="Times New Roman" w:cs="Times New Roman"/>
          <w:sz w:val="24"/>
          <w:szCs w:val="24"/>
          <w:lang w:val="en-US"/>
        </w:rPr>
        <w:t>-</w:t>
      </w:r>
      <w:r w:rsidR="00442ECC" w:rsidRPr="00C33556">
        <w:rPr>
          <w:rFonts w:ascii="Times New Roman" w:hAnsi="Times New Roman" w:cs="Times New Roman"/>
          <w:sz w:val="24"/>
          <w:szCs w:val="24"/>
          <w:lang w:val="en-US"/>
        </w:rPr>
        <w:t>clinical stages, clinical tests, until it reaches large-scale production after approval and licensing.</w:t>
      </w:r>
      <w:r w:rsidR="00671A14" w:rsidRPr="00C33556">
        <w:rPr>
          <w:rFonts w:ascii="Times New Roman" w:hAnsi="Times New Roman" w:cs="Times New Roman"/>
          <w:sz w:val="24"/>
          <w:szCs w:val="24"/>
          <w:lang w:val="en-US"/>
        </w:rPr>
        <w:t>.</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{"citationItems":[{"id":"ITEM-1","itemData":{"DOI":"10.7759/cureus.10530","ISSN":"2168-8184","PMID":"33101792","abstract":"Introduction In the last 18 years, on three occasions, coronavirus has represented a challenge for global health. Between 2002 and 2003 with Severe Acute Respiratory Syndrome, in 2012 with Middle East Respiratory Syndrome, and since the end of 2019 with severe acute respiratory syndrome coronavirus 2 (SARS-CoV-2) causing the coronavirus disease 2019 (COVID-19) pandemic, which has challenged health care models and the way of doing research, placing bioethics at the center of discussion. Methods On August 19, 2020, a webinar organized by the Research Institute of Medical Science (IICIMED, for its acronym in Spanish), entitled 'Bioethical Implications in Vaccine Development, a COVID-19 Challenge' took place. Three experts spoke about the importance of bioethics in the race to develop a COVID-19 vaccine, the risk involved in shortening the terms of the clinical trial phases, and how the associated risks can be minimized, in order to expedite research results. Conclusion With the novel SARS-CoV-2 coronavirus, critical challenges have been posed not only for public health but for research and the scientific community. A safe and effective vaccine is urgently needed to prevent COVID-19 transmission, complications, and deaths; the adherence to ethical principles required by clinical research is mandatory and closer supervision is also essential.","author":[{"dropping-particle":"","family":"Ospina Henao","given":"Sebastián","non-dropping-particle":"","parse-names":false,"suffix":""},{"dropping-particle":"","family":"Marín Mora","given":"Alejandro","non-dropping-particle":"","parse-names":false,"suffix":""},{"dropping-particle":"","family":"Chan Solano","given":"Fanny","non-dropping-particle":"","parse-names":false,"suffix":""},{"dropping-particle":"","family":"Ávila-Aguero","given":"María L","non-dropping-particle":"","parse-names":false,"suffix":""}],"container-title":"Cureus","id":"ITEM-1","issue":"9","issued":{"date-parts":[["2020","9","18"]]},"page":"e10530","title":"Bioethical Implications in Vaccine Development, a COVID-19 Challenge.","type":"article-journal","volume":"12"},"uris":["http://www.mendeley.com/documents/?uuid=8e3753a9-2689-4749-a678-2e57dc25fc8c"]},{"id":"ITEM-2","itemData":{"DOI":"10.1016/j.anai.2020.01.025","ISSN":"1534-4436","PMID":"32044451","abstract":"OBJECTIVE The goal of a vaccine is to prime the immune response so the immune memory can facilitate a rapid response to adequately control the pathogen on natural infection and prevent disease manifestation. This article reviews the main elements that provide for the development of safe and effective vaccines. DATA SOURCES Literature covering target pathogen epidemiology, the key aspects of the functioning immune response underwriting target antigen selection, optimal vaccine formulation, preclinical and clinical trial studies necessary to deliver safe and efficacious immunization. STUDY SELECTIONS Whole live, inactivated, attenuated, or partial fractionated organism-based vaccines are discussed in respect of the balance of reactogenicity and immunogenicity. The use of adjuvants to compensate for reduced immunogenicity is described. The requirements from preclinical studies, including establishing a proof of principle in animal models, the design of clinical trials with healthy volunteers that lead to licensure and beyond are reviewed. RESULTS The 3 vaccine development phases, preclinical, clinical, and post-licensure, integrate the requirements to ensure safety, immunogenicity, and efficacy in the final licensed product. Continuing monitoring of efficacy and safety in the immunized populations is essential to sustain confidence in vaccination programs. CONCLUSION In an era of increasing vaccine hesitancy, the need for a better and widespread understanding of how immunization acts to counteract the continuing and changing risks from the pathogenic world is required. This demands a societal responsibility for obligate education on the benefits of vaccination, which as a medical intervention has saved more lives than any other procedure.","author":[{"dropping-particle":"","family":"Stern","given":"Peter L.","non-dropping-particle":"","parse-names":false,"suffix":""}],"container-title":"Annals of allergy, asthma &amp; immunology : official publication of the American College of Allergy, Asthma, &amp; Immunology","id":"ITEM-2","issue":"1","issued":{"date-parts":[["2020","7"]]},"page":"17-27","title":"Key steps in vaccine development.","type":"article-journal","volume":"125"},"uris":["http://www.mendeley.com/documents/?uuid=d1ed4a78-70bc-4540-8bac-27e8aff75088"]},{"id":"ITEM-3","itemData":{"DOI":"10.1016/S0140-6736(21)00306-8","ISSN":"1474-547X","PMID":"33587887","abstract":"The COVID-19 pandemic is unlikely to end until there is global roll-out of vaccines that protect against severe disease and preferably drive herd immunity. Regulators in numerous countries have authorised or approved COVID-19 vaccines for human use, with more expected to be licensed in 2021. Yet having licensed vaccines is not enough to achieve global control of COVID-19: they also need to be produced at scale, priced affordably, allocated globally so that they are available where needed, and widely deployed in local communities. In this Health Policy paper, we review potential challenges to success in each of these dimensions and discuss policy implications. To guide our review, we developed a dashboard to highlight key characteristics of 26 leading vaccine candidates, including efficacy levels, dosing regimens, storage requirements, prices, production capacities in 2021, and stocks reserved for low-income and middle-income countries. We use a traffic-light system to signal the potential contributions of each candidate to achieving global vaccine immunity, highlighting important trade-offs that policy makers need to consider when developing and implementing vaccination programmes. Although specific datapoints are subject to change as the pandemic response progresses, the dashboard will continue to provide a useful lens through which to analyse the key issues affecting the use of COVID-19 vaccines. We also present original data from a 32-country survey (n=26 758) on potential acceptance of COVID-19 vaccines, conducted from October to December, 2020. Vaccine acceptance was highest in Vietnam (98%), India (91%), China (91%), Denmark (87%), and South Korea (87%), and lowest in Serbia (38%), Croatia (41%), France (44%), Lebanon (44%), and Paraguay (51%).","author":[{"dropping-particle":"","family":"Wouters","given":"Olivier J","non-dropping-particle":"","parse-names":false,"suffix":""},{"dropping-particle":"","family":"Shadlen","given":"Kenneth C","non-dropping-particle":"","parse-names":false,"suffix":""},{"dropping-particle":"","family":"Salcher-Konrad","given":"Maximilian","non-dropping-particle":"","parse-names":false,"suffix":""},{"dropping-particle":"","family":"Pollard","given":"Andrew J","non-dropping-particle":"","parse-names":false,"suffix":""},{"dropping-particle":"","family":"Larson","given":"Heidi J","non-dropping-particle":"","parse-names":false,"suffix":""},{"dropping-particle":"","family":"Teerawattananon","given":"Yot","non-dropping-particle":"","parse-names":false,"suffix":""},{"dropping-particle":"","family":"Jit","given":"Mark","non-dropping-particle":"","parse-names":false,"suffix":""}],"container-title":"Lancet (London, England)","id":"ITEM-3","issue":"10278","issued":{"date-parts":[["2021","3","13"]]},"page":"1023-1034","title":"Challenges in ensuring global access to COVID-19 vaccines: production, affordability, allocation, and deployment.","type":"article-journal","volume":"397"},"uris":["http://www.mendeley.com/documents/?uuid=c0d3ec35-ea0d-4e5b-ac8c-021a97845266"]},{"id":"ITEM-4","itemData":{"DOI":"10.1111/cei.13517","ISSN":"1365-2249","PMID":"32935331","abstract":"Since the emergence of COVID-19, caused by the SARS-CoV-2 virus at the end of 2019, there has been an explosion of vaccine development. By 24 September 2020, a staggering number of vaccines (more than 200) had started preclinical development, of which 43 had entered clinical trials, including some approaches that have not previously been licensed for human vaccines. Vaccines have been widely considered as part of the exit strategy to enable the return to previous patterns of working, schooling and socializing. Importantly, to effectively control the COVID-19 pandemic, production needs to be scaled-up from a small number of preclinical doses to enough filled vials to immunize the world's population, which requires close engagement with manufacturers and regulators. It will require a global effort to control the virus, necessitating equitable access for all countries to effective vaccines. This review explores the immune responses required to protect against SARS-CoV-2 and the potential for vaccine-induced immunopathology. We describe the profile of the different platforms and the advantages and disadvantages of each approach. The review also addresses the critical steps between promising preclinical leads and manufacturing at scale. The issues faced during this pandemic and the platforms being developed to address it will be invaluable for future outbreak control. Nine months after the outbreak began we are at a point where preclinical and early clinical data are being generated for the vaccines; an overview of this important area will help our understanding of the next phases.","author":[{"dropping-particle":"","family":"Tregoning","given":"J. S.","non-dropping-particle":"","parse-names":false,"suffix":""},{"dropping-particle":"","family":"Brown","given":"E. S.","non-dropping-particle":"","parse-names":false,"suffix":""},{"dropping-particle":"","family":"Cheeseman","given":"H. M.","non-dropping-particle":"","parse-names":false,"suffix":""},{"dropping-particle":"","family":"Flight","given":"K. E.","non-dropping-particle":"","parse-names":false,"suffix":""},{"dropping-particle":"","family":"Higham","given":"S. L.","non-dropping-particle":"","parse-names":false,"suffix":""},{"dropping-particle":"","family":"Lemm","given":"N.‐M.","non-dropping-particle":"","parse-names":false,"suffix":""},{"dropping-particle":"","family":"Pierce","given":"B. F.","non-dropping-particle":"","parse-names":false,"suffix":""},{"dropping-particle":"","family":"Stirling","given":"D. C.","non-dropping-particle":"","parse-names":false,"suffix":""},{"dropping-particle":"","family":"Wang","given":"Z.","non-dropping-particle":"","parse-names":false,"suffix":""},{"dropping-particle":"","family":"Pollock","given":"K. M.","non-dropping-particle":"","parse-names":false,"suffix":""}],"container-title":"Clinical and experimental immunology","id":"ITEM-4","issue":"2","issued":{"date-parts":[["2020","11","18"]]},"page":"162-192","title":"Vaccines for COVID-19.","type":"article-journal","volume":"202"},"uris":["http://www.mendeley.com/documents/?uuid=441e3caf-462a-4f08-b563-eb0156bf9f54"]}],"mendeley":{"formattedCitation":"(2,3,7,9)","plainTextFormattedCitation":"(2,3,7,9)","previouslyFormattedCitation":"(Ospina Henao et al. 2020; Stern 2020; Wouters et al. 2021; Tregoning et al. 2020)"},"properties":{"noteIndex":0},"schema":"https://github.com/citation-style-language/schema/raw/master/csl-citation.json"}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(2,3,7,9)</w:t>
      </w:r>
      <w:r w:rsidR="00331BD5">
        <w:rPr>
          <w:rStyle w:val="FootnoteReference"/>
          <w:rFonts w:ascii="Times New Roman" w:hAnsi="Times New Roman" w:cs="Times New Roman"/>
          <w:sz w:val="24"/>
          <w:szCs w:val="24"/>
        </w:rPr>
        <w:fldChar w:fldCharType="end"/>
      </w:r>
      <w:r w:rsidR="00671A14" w:rsidRPr="00C33556">
        <w:rPr>
          <w:rFonts w:ascii="Times New Roman" w:hAnsi="Times New Roman" w:cs="Times New Roman"/>
          <w:sz w:val="24"/>
          <w:szCs w:val="24"/>
          <w:lang w:val="en-US"/>
        </w:rPr>
        <w:t xml:space="preserve"> </w:t>
      </w:r>
      <w:r w:rsidR="00205EDE" w:rsidRPr="00C33556">
        <w:rPr>
          <w:rFonts w:ascii="Times New Roman" w:hAnsi="Times New Roman" w:cs="Times New Roman"/>
          <w:sz w:val="24"/>
          <w:szCs w:val="24"/>
          <w:lang w:val="en-US"/>
        </w:rPr>
        <w:t>In contrast, the development of COVID-19 vaccines has been characterized by great public funding, a speed and number of candidates for COVID-19 vaccines, until then, unimaginable.</w:t>
      </w:r>
      <w:r w:rsidR="009C792F" w:rsidRPr="00C33556">
        <w:rPr>
          <w:rFonts w:ascii="Times New Roman" w:hAnsi="Times New Roman" w:cs="Times New Roman"/>
          <w:sz w:val="24"/>
          <w:szCs w:val="24"/>
          <w:lang w:val="en-US"/>
        </w:rPr>
        <w:t xml:space="preserve"> </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{"citationItems":[{"id":"ITEM-1","itemData":{"DOI":"10.1056/NEJMp2031373","ISSN":"0028-4793","author":[{"dropping-particle":"","family":"Krause","given":"Philip R.","non-dropping-particle":"","parse-names":false,"suffix":""},{"dropping-particle":"","family":"Gruber","given":"Marion F.","non-dropping-particle":"","parse-names":false,"suffix":""}],"container-title":"New England Journal of Medicine","id":"ITEM-1","issue":"19","issued":{"date-parts":[["2020","11","5"]]},"page":"e107","title":"Emergency Use Authorization of Covid Vaccines — Safety and Efficacy Follow-up Considerations","type":"article-journal","volume":"383"},"uris":["http://www.mendeley.com/documents/?uuid=9a8df981-e6f4-4a38-ada2-3b75b17d4a6c"]},{"id":"ITEM-2","itemData":{"DOI":"10.1016/S0140-6736(21)00306-8","ISSN":"1474-547X","PMID":"33587887","abstract":"The COVID-19 pandemic is unlikely to end until there is global roll-out of vaccines that protect against severe disease and preferably drive herd immunity. Regulators in numerous countries have authorised or approved COVID-19 vaccines for human use, with more expected to be licensed in 2021. Yet having licensed vaccines is not enough to achieve global control of COVID-19: they also need to be produced at scale, priced affordably, allocated globally so that they are available where needed, and widely deployed in local communities. In this Health Policy paper, we review potential challenges to success in each of these dimensions and discuss policy implications. To guide our review, we developed a dashboard to highlight key characteristics of 26 leading vaccine candidates, including efficacy levels, dosing regimens, storage requirements, prices, production capacities in 2021, and stocks reserved for low-income and middle-income countries. We use a traffic-light system to signal the potential contributions of each candidate to achieving global vaccine immunity, highlighting important trade-offs that policy makers need to consider when developing and implementing vaccination programmes. Although specific datapoints are subject to change as the pandemic response progresses, the dashboard will continue to provide a useful lens through which to analyse the key issues affecting the use of COVID-19 vaccines. We also present original data from a 32-country survey (n=26 758) on potential acceptance of COVID-19 vaccines, conducted from October to December, 2020. Vaccine acceptance was highest in Vietnam (98%), India (91%), China (91%), Denmark (87%), and South Korea (87%), and lowest in Serbia (38%), Croatia (41%), France (44%), Lebanon (44%), and Paraguay (51%).","author":[{"dropping-particle":"","family":"Wouters","given":"Olivier J","non-dropping-particle":"","parse-names":false,"suffix":""},{"dropping-particle":"","family":"Shadlen","given":"Kenneth C","non-dropping-particle":"","parse-names":false,"suffix":""},{"dropping-particle":"","family":"Salcher-Konrad","given":"Maximilian","non-dropping-particle":"","parse-names":false,"suffix":""},{"dropping-particle":"","family":"Pollard","given":"Andrew J","non-dropping-particle":"","parse-names":false,"suffix":""},{"dropping-particle":"","family":"Larson","given":"Heidi J","non-dropping-particle":"","parse-names":false,"suffix":""},{"dropping-particle":"","family":"Teerawattananon","given":"Yot","non-dropping-particle":"","parse-names":false,"suffix":""},{"dropping-particle":"","family":"Jit","given":"Mark","non-dropping-particle":"","parse-names":false,"suffix":""}],"container-title":"Lancet (London, England)","id":"ITEM-2","issue":"10278","issued":{"date-parts":[["2021","3","13"]]},"page":"1023-1034","title":"Challenges in ensuring global access to COVID-19 vaccines: production, affordability, allocation, and deployment.","type":"article-journal","volume":"397"},"uris":["http://www.mendeley.com/documents/?uuid=c0d3ec35-ea0d-4e5b-ac8c-021a97845266"]}],"mendeley":{"formattedCitation":"(3,8)","plainTextFormattedCitation":"(3,8)","previouslyFormattedCitation":"(Krause and Gruber 2020; Wouters et al. 2021)"},"properties":{"noteIndex":0},"schema":"https://github.com/citation-style-language/schema/raw/master/csl-citation.json"}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(3,8)</w:t>
      </w:r>
      <w:r w:rsidR="00331BD5">
        <w:rPr>
          <w:rStyle w:val="FootnoteReference"/>
          <w:rFonts w:ascii="Times New Roman" w:hAnsi="Times New Roman" w:cs="Times New Roman"/>
          <w:sz w:val="24"/>
          <w:szCs w:val="24"/>
        </w:rPr>
        <w:fldChar w:fldCharType="end"/>
      </w:r>
      <w:r w:rsidR="001A155D" w:rsidRPr="00C33556">
        <w:rPr>
          <w:rFonts w:ascii="Times New Roman" w:hAnsi="Times New Roman" w:cs="Times New Roman"/>
          <w:sz w:val="24"/>
          <w:szCs w:val="24"/>
          <w:lang w:val="en-US"/>
        </w:rPr>
        <w:t xml:space="preserve"> </w:t>
      </w:r>
      <w:r w:rsidR="00B2723E" w:rsidRPr="00C33556">
        <w:rPr>
          <w:rFonts w:ascii="Times New Roman" w:hAnsi="Times New Roman" w:cs="Times New Roman"/>
          <w:sz w:val="24"/>
          <w:szCs w:val="24"/>
          <w:lang w:val="en-US"/>
        </w:rPr>
        <w:t xml:space="preserve"> </w:t>
      </w:r>
      <w:r w:rsidR="00205EDE" w:rsidRPr="00C33556">
        <w:rPr>
          <w:rFonts w:ascii="Times New Roman" w:hAnsi="Times New Roman" w:cs="Times New Roman"/>
          <w:sz w:val="24"/>
          <w:szCs w:val="24"/>
          <w:lang w:val="en-US"/>
        </w:rPr>
        <w:t>Thus, a comparison of the time flow, steps and investment required for traditional vaccine development versus the current flow of vaccines against COVID-19 is shown in Figure 1.</w:t>
      </w:r>
      <w:r w:rsidR="00331BD5">
        <w:rPr>
          <w:rStyle w:val="FootnoteReference"/>
          <w:rFonts w:ascii="Times New Roman" w:hAnsi="Times New Roman" w:cs="Times New Roman"/>
          <w:sz w:val="24"/>
          <w:szCs w:val="24"/>
          <w:lang w:val="en-US"/>
        </w:rPr>
        <w:fldChar w:fldCharType="begin" w:fldLock="1"/>
      </w:r>
      <w:r w:rsidR="0036604F">
        <w:rPr>
          <w:rFonts w:ascii="Times New Roman" w:hAnsi="Times New Roman" w:cs="Times New Roman"/>
          <w:sz w:val="24"/>
          <w:szCs w:val="24"/>
          <w:lang w:val="en-US"/>
        </w:rPr>
        <w:instrText>ADDIN CSL_CITATION {"citationItems":[{"id":"ITEM-1","itemData":{"DOI":"10.1016/s2214-109x(21)00043-7","ISSN":"2214109X","PMID":"33667404","abstract":"The past year has seen the rapid global spread of SARS-CoV-2—the virus responsible for the ongoing COVID-19 pandemic. While non-pharmaceutical inter ventions have been the mainstay of epidemic control to date, vaccination is likely to constitute the definitive, long …","author":[{"dropping-particle":"","family":"Shrotri","given":"Madhumita","non-dropping-particle":"","parse-names":false,"suffix":""},{"dropping-particle":"","family":"Swinnen","given":"Tui","non-dropping-particle":"","parse-names":false,"suffix":""},{"dropping-particle":"","family":"Kampmann","given":"Beate","non-dropping-particle":"","parse-names":false,"suffix":""},{"dropping-particle":"","family":"Parker","given":"Edward P K","non-dropping-particle":"","parse-names":false,"suffix":""}],"container-title":"The Lancet Global Health","id":"ITEM-1","issue":"5","issued":{"date-parts":[["2021"]]},"page":"e590-e592","title":"An interactive website tracking COVID-19 vaccine development","type":"article-journal","volume":"9"},"uris":["http://www.mendeley.com/documents/?uuid=c655f4d9-279f-4111-a32e-26c6cb77bcd9"]},{"id":"ITEM-2","itemData":{"URL":"https://www.cdc.gov/vaccines/basics/test-approve.html","accessed":{"date-parts":[["2021","5","14"]]},"author":[{"dropping-particle":"","family":"CDC","given":"","non-dropping-particle":"","parse-names":false,"suffix":""}],"container-title":"Vaccines and Immunizations","id":"ITEM-2","issued":{"date-parts":[["2016"]]},"title":"Vaccine Testing and Approval Process | CDC","type":"webpage"},"uris":["http://www.mendeley.com/documents/?uuid=298793fd-f8c3-363f-8594-24eeeb1d083b"]},{"id":"ITEM-3","itemData":{"DOI":"10.1111/cei.13517","ISSN":"1365-2249","PMID":"32935331","abstract":"Since the emergence of COVID-19, caused by the SARS-CoV-2 virus at the end of 2019, there has been an explosion of vaccine development. By 24 September 2020, a staggering number of vaccines (more than 200) had started preclinical development, of which 43 had entered clinical trials, including some approaches that have not previously been licensed for human vaccines. Vaccines have been widely considered as part of the exit strategy to enable the return to previous patterns of working, schooling and socializing. Importantly, to effectively control the COVID-19 pandemic, production needs to be scaled-up from a small number of preclinical doses to enough filled vials to immunize the world's population, which requires close engagement with manufacturers and regulators. It will require a global effort to control the virus, necessitating equitable access for all countries to effective vaccines. This review explores the immune responses required to protect against SARS-CoV-2 and the potential for vaccine-induced immunopathology. We describe the profile of the different platforms and the advantages and disadvantages of each approach. The review also addresses the critical steps between promising preclinical leads and manufacturing at scale. The issues faced during this pandemic and the platforms being developed to address it will be invaluable for future outbreak control. Nine months after the outbreak began we are at a point where preclinical and early clinical data are being generated for the vaccines; an overview of this important area will help our understanding of the next phases.","author":[{"dropping-particle":"","family":"Tregoning","given":"J. S.","non-dropping-particle":"","parse-names":false,"suffix":""},{"dropping-particle":"","family":"Brown","given":"E. S.","non-dropping-particle":"","parse-names":false,"suffix":""},{"dropping-particle":"","family":"Cheeseman","given":"H. M.","non-dropping-particle":"","parse-names":false,"suffix":""},{"dropping-particle":"","family":"Flight","given":"K. E.","non-dropping-particle":"","parse-names":false,"suffix":""},{"dropping-particle":"","family":"Higham","given":"S. L.","non-dropping-particle":"","parse-names":false,"suffix":""},{"dropping-particle":"","family":"Lemm","given":"N.‐M.","non-dropping-particle":"","parse-names":false,"suffix":""},{"dropping-particle":"","family":"Pierce","given":"B. F.","non-dropping-particle":"","parse-names":false,"suffix":""},{"dropping-particle":"","family":"Stirling","given":"D. C.","non-dropping-particle":"","parse-names":false,"suffix":""},{"dropping-particle":"","family":"Wang","given":"Z.","non-dropping-particle":"","parse-names":false,"suffix":""},{"dropping-particle":"","family":"Pollock","given":"K. M.","non-dropping-particle":"","parse-names":false,"suffix":""}],"container-title":"Clinical and experimental immunology","id":"ITEM-3","issue":"2","issued":{"date-parts":[["2020","11","18"]]},"page":"162-192","title":"Vaccines for COVID-19.","type":"article-journal","volume":"202"},"uris":["http://www.mendeley.com/documents/?uuid=441e3caf-462a-4f08-b563-eb0156bf9f54"]},{"id":"ITEM-4","itemData":{"URL":"https://www.historyofvaccines.org/content/articles/vaccine-development-testing-and-regulation%0Ahttps://www.historyofvaccines.org/content/articles/vaccine-development-testing-and-regulation%0Ahttps://www.historyofvaccines.org/content/articles/vaccine-deve","accessed":{"date-parts":[["2021","5","16"]]},"author":[{"dropping-particle":"","family":"Bowman","given":"Jacqui","non-dropping-particle":"","parse-names":false,"suffix":""}],"container-title":"The college of Physicians of Philadelphia","id":"ITEM-4","issued":{"date-parts":[["2016"]]},"title":"Vaccine Development, Testing, and Regulation | History of Vaccines","type":"webpage"},"uris":["http://www.mendeley.com/documents/?uuid=7d789f08-b8b7-31b8-acc4-cfb5e1390584"]},{"id":"ITEM-5","itemData":{"DOI":"10.7759/cureus.10530","ISSN":"2168-8184","PMID":"33101792","abstract":"Introduction In the last 18 years, on three occasions, coronavirus has represented a challenge for global health. Between 2002 and 2003 with Severe Acute Respiratory Syndrome, in 2012 with Middle East Respiratory Syndrome, and since the end of 2019 with severe acute respiratory syndrome coronavirus 2 (SARS-CoV-2) causing the coronavirus disease 2019 (COVID-19) pandemic, which has challenged health care models and the way of doing research, placing bioethics at the center of discussion. Methods On August 19, 2020, a webinar organized by the Research Institute of Medical Science (IICIMED, for its acronym in Spanish), entitled 'Bioethical Implications in Vaccine Development, a COVID-19 Challenge' took place. Three experts spoke about the importance of bioethics in the race to develop a COVID-19 vaccine, the risk involved in shortening the terms of the clinical trial phases, and how the associated risks can be minimized, in order to expedite research results. Conclusion With the novel SARS-CoV-2 coronavirus, critical challenges have been posed not only for public health but for research and the scientific community. A safe and effective vaccine is urgently needed to prevent COVID-19 transmission, complications, and deaths; the adherence to ethical principles required by clinical research is mandatory and closer supervision is also essential.","author":[{"dropping-particle":"","family":"Ospina Henao","given":"Sebastián","non-dropping-particle":"","parse-names":false,"suffix":""},{"dropping-particle":"","family":"Marín Mora","given":"Alejandro","non-dropping-particle":"","parse-names":false,"suffix":""},{"dropping-particle":"","family":"Chan Solano","given":"Fanny","non-dropping-particle":"","parse-names":false,"suffix":""},{"dropping-particle":"","family":"Ávila-Aguero","given":"María L","non-dropping-particle":"","parse-names":false,"suffix":""}],"container-title":"Cureus","id":"ITEM-5","issue":"9","issued":{"date-parts":[["2020","9","18"]]},"page":"e10530","title":"Bioethical Implications in Vaccine Development, a COVID-19 Challenge.","type":"article-journal","volume":"12"},"uris":["http://www.mendeley.com/documents/?uuid=8e3753a9-2689-4749-a678-2e57dc25fc8c"]}],"mendeley":{"formattedCitation":"(2,7,10–12)","plainTextFormattedCitation":"(2,7,10–12)","previouslyFormattedCitation":"(Shrotri et al. 2021; CDC 2016; Tregoning et al. 2020; Bowman 2016; Ospina Henao et al. 2020)"},"properties":{"noteIndex":0},"schema":"https://github.com/citation-style-language/schema/raw/master/csl-citation.json"}</w:instrText>
      </w:r>
      <w:r w:rsidR="00331BD5">
        <w:rPr>
          <w:rStyle w:val="FootnoteReference"/>
          <w:rFonts w:ascii="Times New Roman" w:hAnsi="Times New Roman" w:cs="Times New Roman"/>
          <w:sz w:val="24"/>
          <w:szCs w:val="24"/>
          <w:lang w:val="en-US"/>
        </w:rPr>
        <w:fldChar w:fldCharType="separate"/>
      </w:r>
      <w:r w:rsidR="0036604F" w:rsidRPr="0036604F">
        <w:rPr>
          <w:rFonts w:ascii="Times New Roman" w:hAnsi="Times New Roman" w:cs="Times New Roman"/>
          <w:bCs/>
          <w:noProof/>
          <w:sz w:val="24"/>
          <w:szCs w:val="24"/>
          <w:lang w:val="en-US"/>
        </w:rPr>
        <w:t>(2,7,10–12)</w:t>
      </w:r>
      <w:r w:rsidR="00331BD5">
        <w:rPr>
          <w:rStyle w:val="FootnoteReference"/>
          <w:rFonts w:ascii="Times New Roman" w:hAnsi="Times New Roman" w:cs="Times New Roman"/>
          <w:sz w:val="24"/>
          <w:szCs w:val="24"/>
          <w:lang w:val="en-US"/>
        </w:rPr>
        <w:fldChar w:fldCharType="end"/>
      </w:r>
    </w:p>
    <w:p w14:paraId="7BA3D156" w14:textId="56A2D40A" w:rsidR="001D3E1B" w:rsidRDefault="001D3E1B" w:rsidP="00331BD5">
      <w:pPr>
        <w:spacing w:line="480" w:lineRule="auto"/>
        <w:ind w:firstLine="708"/>
        <w:jc w:val="both"/>
        <w:rPr>
          <w:rFonts w:ascii="Times New Roman" w:hAnsi="Times New Roman" w:cs="Times New Roman"/>
          <w:sz w:val="24"/>
          <w:szCs w:val="24"/>
          <w:lang w:val="en-US"/>
        </w:rPr>
      </w:pPr>
    </w:p>
    <w:p w14:paraId="3FAD70F4" w14:textId="7BD31B00" w:rsidR="001D3E1B" w:rsidRDefault="001D3E1B" w:rsidP="00331BD5">
      <w:pPr>
        <w:spacing w:line="480" w:lineRule="auto"/>
        <w:ind w:firstLine="708"/>
        <w:jc w:val="both"/>
        <w:rPr>
          <w:rFonts w:ascii="Times New Roman" w:hAnsi="Times New Roman" w:cs="Times New Roman"/>
          <w:sz w:val="24"/>
          <w:szCs w:val="24"/>
          <w:lang w:val="en-US"/>
        </w:rPr>
      </w:pPr>
    </w:p>
    <w:p w14:paraId="6CBFD173" w14:textId="5AFCAB34" w:rsidR="001D3E1B" w:rsidRDefault="001D3E1B" w:rsidP="001D3E1B">
      <w:pPr>
        <w:spacing w:line="480" w:lineRule="auto"/>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en-GB" w:eastAsia="zh-TW"/>
        </w:rPr>
        <w:lastRenderedPageBreak/>
        <w:drawing>
          <wp:inline distT="0" distB="0" distL="0" distR="0" wp14:anchorId="3E5F174A" wp14:editId="0C67C5A5">
            <wp:extent cx="5145405" cy="7431405"/>
            <wp:effectExtent l="0" t="0" r="571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5405" cy="7431405"/>
                    </a:xfrm>
                    <a:prstGeom prst="rect">
                      <a:avLst/>
                    </a:prstGeom>
                    <a:noFill/>
                  </pic:spPr>
                </pic:pic>
              </a:graphicData>
            </a:graphic>
          </wp:inline>
        </w:drawing>
      </w:r>
    </w:p>
    <w:p w14:paraId="2A40CD52" w14:textId="6105B724" w:rsidR="001D3E1B" w:rsidRPr="001D3E1B" w:rsidRDefault="001D3E1B" w:rsidP="001D3E1B">
      <w:pPr>
        <w:pStyle w:val="Caption"/>
        <w:jc w:val="both"/>
        <w:rPr>
          <w:rFonts w:ascii="Times New Roman" w:hAnsi="Times New Roman" w:cs="Times New Roman"/>
          <w:b/>
          <w:bCs/>
          <w:i w:val="0"/>
          <w:iCs w:val="0"/>
          <w:color w:val="auto"/>
          <w:sz w:val="24"/>
          <w:szCs w:val="24"/>
          <w:lang w:val="en-US"/>
        </w:rPr>
      </w:pPr>
      <w:r w:rsidRPr="00C33556">
        <w:rPr>
          <w:rFonts w:ascii="Times New Roman" w:hAnsi="Times New Roman" w:cs="Times New Roman"/>
          <w:b/>
          <w:bCs/>
          <w:i w:val="0"/>
          <w:iCs w:val="0"/>
          <w:color w:val="auto"/>
          <w:sz w:val="24"/>
          <w:szCs w:val="24"/>
          <w:lang w:val="en-US"/>
        </w:rPr>
        <w:t xml:space="preserve">Figure </w:t>
      </w:r>
      <w:r w:rsidRPr="00C33556">
        <w:rPr>
          <w:rFonts w:ascii="Times New Roman" w:hAnsi="Times New Roman" w:cs="Times New Roman"/>
          <w:b/>
          <w:bCs/>
          <w:i w:val="0"/>
          <w:iCs w:val="0"/>
          <w:color w:val="auto"/>
          <w:sz w:val="24"/>
          <w:szCs w:val="24"/>
        </w:rPr>
        <w:fldChar w:fldCharType="begin"/>
      </w:r>
      <w:r w:rsidRPr="00C33556">
        <w:rPr>
          <w:rFonts w:ascii="Times New Roman" w:hAnsi="Times New Roman" w:cs="Times New Roman"/>
          <w:b/>
          <w:bCs/>
          <w:i w:val="0"/>
          <w:iCs w:val="0"/>
          <w:color w:val="auto"/>
          <w:sz w:val="24"/>
          <w:szCs w:val="24"/>
          <w:lang w:val="en-US"/>
        </w:rPr>
        <w:instrText xml:space="preserve"> SEQ Figura \* ARABIC </w:instrText>
      </w:r>
      <w:r w:rsidRPr="00C33556">
        <w:rPr>
          <w:rFonts w:ascii="Times New Roman" w:hAnsi="Times New Roman" w:cs="Times New Roman"/>
          <w:b/>
          <w:bCs/>
          <w:i w:val="0"/>
          <w:iCs w:val="0"/>
          <w:color w:val="auto"/>
          <w:sz w:val="24"/>
          <w:szCs w:val="24"/>
        </w:rPr>
        <w:fldChar w:fldCharType="separate"/>
      </w:r>
      <w:r w:rsidRPr="00C33556">
        <w:rPr>
          <w:rFonts w:ascii="Times New Roman" w:hAnsi="Times New Roman" w:cs="Times New Roman"/>
          <w:b/>
          <w:bCs/>
          <w:i w:val="0"/>
          <w:iCs w:val="0"/>
          <w:noProof/>
          <w:color w:val="auto"/>
          <w:sz w:val="24"/>
          <w:szCs w:val="24"/>
          <w:lang w:val="en-US"/>
        </w:rPr>
        <w:t>1</w:t>
      </w:r>
      <w:r w:rsidRPr="00C33556">
        <w:rPr>
          <w:rFonts w:ascii="Times New Roman" w:hAnsi="Times New Roman" w:cs="Times New Roman"/>
          <w:b/>
          <w:bCs/>
          <w:i w:val="0"/>
          <w:iCs w:val="0"/>
          <w:color w:val="auto"/>
          <w:sz w:val="24"/>
          <w:szCs w:val="24"/>
        </w:rPr>
        <w:fldChar w:fldCharType="end"/>
      </w:r>
      <w:r w:rsidRPr="00C33556">
        <w:rPr>
          <w:rFonts w:ascii="Times New Roman" w:hAnsi="Times New Roman" w:cs="Times New Roman"/>
          <w:b/>
          <w:bCs/>
          <w:i w:val="0"/>
          <w:iCs w:val="0"/>
          <w:color w:val="auto"/>
          <w:sz w:val="24"/>
          <w:szCs w:val="24"/>
          <w:lang w:val="en-US"/>
        </w:rPr>
        <w:t>. Comparison between the pathway of traditional vaccine development versus the pathway of COVID-19 vaccines.</w:t>
      </w:r>
    </w:p>
    <w:p w14:paraId="4B74D657" w14:textId="04841DE5" w:rsidR="00C23F26" w:rsidRPr="00C33556" w:rsidRDefault="00463E28" w:rsidP="00C23F26">
      <w:pPr>
        <w:spacing w:line="480" w:lineRule="auto"/>
        <w:ind w:firstLine="708"/>
        <w:jc w:val="both"/>
        <w:rPr>
          <w:rFonts w:ascii="Times New Roman" w:hAnsi="Times New Roman" w:cs="Times New Roman"/>
          <w:sz w:val="24"/>
          <w:szCs w:val="24"/>
          <w:lang w:val="en-US"/>
        </w:rPr>
      </w:pPr>
      <w:r w:rsidRPr="00C33556">
        <w:rPr>
          <w:rFonts w:ascii="Times New Roman" w:hAnsi="Times New Roman" w:cs="Times New Roman"/>
          <w:sz w:val="24"/>
          <w:szCs w:val="24"/>
          <w:lang w:val="en-US"/>
        </w:rPr>
        <w:lastRenderedPageBreak/>
        <w:t xml:space="preserve">Figure 1, shows that there was an acceleration in the process of developing vaccines against COVID-19 with a shortening of the time of up to 20 years to reach vaccination in a commercial model to about 9 months for the first person in the world to be vaccinated against COVID-19 in the United Kingdom, </w:t>
      </w:r>
      <w:r w:rsidR="00684A9C" w:rsidRPr="00C33556">
        <w:rPr>
          <w:rFonts w:ascii="Times New Roman" w:hAnsi="Times New Roman" w:cs="Times New Roman"/>
          <w:sz w:val="24"/>
          <w:szCs w:val="24"/>
          <w:lang w:val="en-US"/>
        </w:rPr>
        <w:t>although its stage of development was still clinical trials</w:t>
      </w:r>
      <w:r w:rsidRPr="00C33556">
        <w:rPr>
          <w:rFonts w:ascii="Times New Roman" w:hAnsi="Times New Roman" w:cs="Times New Roman"/>
          <w:sz w:val="24"/>
          <w:szCs w:val="24"/>
          <w:lang w:val="en-US"/>
        </w:rPr>
        <w:t>.</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{"citationItems":[{"id":"ITEM-1","itemData":{"DOI":"10.1016/S0140-6736(20)30183-5","ISSN":"1474-547X","PMID":"31986264","abstract":"BACKGROUND A recent cluster of pneumonia cases in Wuhan, China, was caused by a novel betacoronavirus, the 2019 novel coronavirus (2019-nCoV). We report the epidemiological, clinical, laboratory, and radiological characteristics and treatment and clinical outcomes of these patients. METHODS All patients with suspected 2019-nCoV were admitted to a designated hospital in Wuhan. We prospectively collected and analysed data on patients with laboratory-confirmed 2019-nCoV infection by real-time RT-PCR and next-generation sequencing. Data were obtained with standardised data collection forms shared by WHO and the International Severe Acute Respiratory and Emerging Infection Consortium from electronic medical records. Researchers also directly communicated with patients or their families to ascertain epidemiological and symptom data. Outcomes were also compared between patients who had been admitted to the intensive care unit (ICU) and those who had not. FINDINGS By Jan 2, 2020, 41 admitted hospital patients had been identified as having laboratory-confirmed 2019-nCoV infection. Most of the infected patients were men (30 [73%] of 41); less than half had underlying diseases (13 [32%]), including diabetes (eight [20%]), hypertension (six [15%]), and cardiovascular disease (six [15%]). Median age was 49·0 years (IQR 41·0-58·0). 27 (66%) of 41 patients had been exposed to Huanan seafood market. One family cluster was found. Common symptoms at onset of illness were fever (40 [98%] of 41 patients), cough (31 [76%]), and myalgia or fatigue (18 [44%]); less common symptoms were sputum production (11 [28%] of 39), headache (three [8%] of 38), haemoptysis (two [5%] of 39), and diarrhoea (one [3%] of 38). Dyspnoea developed in 22 (55%) of 40 patients (median time from illness onset to dyspnoea 8·0 days [IQR 5·0-13·0]). 26 (63%) of 41 patients had lymphopenia. All 41 patients had pneumonia with abnormal findings on chest CT. Complications included acute respiratory distress syndrome (12 [29%]), RNAaemia (six [15%]), acute cardiac injury (five [12%]) and secondary infection (four [10%]). 13 (32%) patients were admitted to an ICU and six (15%) died. Compared with non-ICU patients, ICU patients had higher plasma levels of IL2, IL7, IL10, GSCF, IP10, MCP1, MIP1A, and TNFα. INTERPRETATION The 2019-nCoV infection caused clusters of severe respiratory illness similar to severe acute respiratory syndrome coronavirus and was associated with ICU admission and high mortality. Major …","author":[{"dropping-particle":"","family":"Huang","given":"Chaolin","non-dropping-particle":"","parse-names":false,"suffix":""},{"dropping-particle":"","family":"Wang","given":"Yeming","non-dropping-particle":"","parse-names":false,"suffix":""},{"dropping-particle":"","family":"Li","given":"Xingwang","non-dropping-particle":"","parse-names":false,"suffix":""},{"dropping-particle":"","family":"Ren","given":"Lili","non-dropping-particle":"","parse-names":false,"suffix":""},{"dropping-particle":"","family":"Zhao","given":"Jianping","non-dropping-particle":"","parse-names":false,"suffix":""},{"dropping-particle":"","family":"Hu","given":"Yi","non-dropping-particle":"","parse-names":false,"suffix":""},{"dropping-particle":"","family":"Zhang","given":"Li","non-dropping-particle":"","parse-names":false,"suffix":""},{"dropping-particle":"","family":"Fan","given":"Guohui","non-dropping-particle":"","parse-names":false,"suffix":""},{"dropping-particle":"","family":"Xu","given":"Jiuyang","non-dropping-particle":"","parse-names":false,"suffix":""},{"dropping-particle":"","family":"Gu","given":"Xiaoying","non-dropping-particle":"","parse-names":false,"suffix":""},{"dropping-particle":"","family":"Cheng","given":"Zhenshun","non-dropping-particle":"","parse-names":false,"suffix":""},{"dropping-particle":"","family":"Yu","given":"Ting","non-dropping-particle":"","parse-names":false,"suffix":""},{"dropping-particle":"","family":"Xia","given":"Jiaan","non-dropping-particle":"","parse-names":false,"suffix":""},{"dropping-particle":"","family":"Wei","given":"Yuan","non-dropping-particle":"","parse-names":false,"suffix":""},{"dropping-particle":"","family":"Wu","given":"Wenjuan","non-dropping-particle":"","parse-names":false,"suffix":""},{"dropping-particle":"","family":"Xie","given":"Xuelei","non-dropping-particle":"","parse-names":false,"suffix":""},{"dropping-particle":"","family":"Yin","given":"Wen","non-dropping-particle":"","parse-names":false,"suffix":""},{"dropping-particle":"","family":"Li","given":"Hui","non-dropping-particle":"","parse-names":false,"suffix":""},{"dropping-particle":"","family":"Liu","given":"Min","non-dropping-particle":"","parse-names":false,"suffix":""},{"dropping-particle":"","family":"Xiao","given":"Yan","non-dropping-particle":"","parse-names":false,"suffix":""},{"dropping-particle":"","family":"Gao","given":"Hong","non-dropping-particle":"","parse-names":false,"suffix":""},{"dropping-particle":"","family":"Guo","given":"Li","non-dropping-particle":"","parse-names":false,"suffix":""},{"dropping-particle":"","family":"Xie","given":"Jungang","non-dropping-particle":"","parse-names":false,"suffix":""},{"dropping-particle":"","family":"Wang","given":"Guangfa","non-dropping-particle":"","parse-names":false,"suffix":""},{"dropping-particle":"","family":"Jiang","given":"Rongmeng","non-dropping-particle":"","parse-names":false,"suffix":""},{"dropping-particle":"","family":"Gao","given":"Zhancheng","non-dropping-particle":"","parse-names":false,"suffix":""},{"dropping-particle":"","family":"Jin","given":"Qi","non-dropping-particle":"","parse-names":false,"suffix":""},{"dropping-particle":"","family":"Wang","given":"Jianwei","non-dropping-particle":"","parse-names":false,"suffix":""},{"dropping-particle":"","family":"Cao","given":"Bin","non-dropping-particle":"","parse-names":false,"suffix":""}],"container-title":"Lancet (London, England)","id":"ITEM-1","issue":"10223","issued":{"date-parts":[["2020"]]},"page":"497-506","title":"Clinical features of patients infected with 2019 novel coronavirus in Wuhan, China.","type":"article-journal","volume":"395"},"uris":["http://www.mendeley.com/documents/?uuid=3e004dbb-a8cb-4844-995e-b9e43eb82bc3"]},{"id":"ITEM-2","itemData":{"DOI":"10.1016/s2214-109x(21)00043-7","ISSN":"2214109X","PMID":"33667404","abstract":"The past year has seen the rapid global spread of SARS-CoV-2—the virus responsible for the ongoing COVID-19 pandemic. While non-pharmaceutical inter ventions have been the mainstay of epidemic control to date, vaccination is likely to constitute the definitive, long …","author":[{"dropping-particle":"","family":"Shrotri","given":"Madhumita","non-dropping-particle":"","parse-names":false,"suffix":""},{"dropping-particle":"","family":"Swinnen","given":"Tui","non-dropping-particle":"","parse-names":false,"suffix":""},{"dropping-particle":"","family":"Kampmann","given":"Beate","non-dropping-particle":"","parse-names":false,"suffix":""},{"dropping-particle":"","family":"Parker","given":"Edward P K","non-dropping-particle":"","parse-names":false,"suffix":""}],"container-title":"The Lancet Global Health","id":"ITEM-2","issue":"5","issued":{"date-parts":[["2021"]]},"page":"e590-e592","title":"An interactive website tracking COVID-19 vaccine development","type":"article-journal","volume":"9"},"uris":["http://www.mendeley.com/documents/?uuid=c655f4d9-279f-4111-a32e-26c6cb77bcd9"]},{"id":"ITEM-3","itemData":{"DOI":"10.7774/cevr.2015.4.1.46","ISSN":"2287-3651","PMID":"25648742","abstract":"Vaccination is regarded as one of the biggest triumphs in the history of medicine. We are living in the most successful period of vaccine development. The accumulation of multidisciplinary knowledge and the investment of massive funding have enabled the development of vaccines against many infectious diseases as well as other diseases including malignant tumors. The paradigm of clinical vaccine evaluation and licensure has also been modernized based on scientific improvements and historical experience. However, there remain a number of hurdles to overcome. Continuous efforts are focused on increasing the efficacy and reducing the risks related to vaccine use. Cutting-edge knowledge about immunology and microbiology is being rapidly translated to vaccine development. Thus, physicians and others involved in the clinical development of vaccines should have sufficient understanding of the recent developmental trends in vaccination and the diseases of interest.","author":[{"dropping-particle":"","family":"Han","given":"Seunghoon","non-dropping-particle":"","parse-names":false,"suffix":""}],"container-title":"Clinical and experimental vaccine research","id":"ITEM-3","issue":"1","issued":{"date-parts":[["2015","1"]]},"page":"46-53","title":"Clinical vaccine development.","type":"article-journal","volume":"4"},"uris":["http://www.mendeley.com/documents/?uuid=70fc285a-3f6e-49fa-8e3c-c1ecad30e521"]},{"id":"ITEM-4","itemData":{"URL":"https://www.cdc.gov/vaccines/basics/test-approve.html","accessed":{"date-parts":[["2021","5","14"]]},"author":[{"dropping-particle":"","family":"CDC","given":"","non-dropping-particle":"","parse-names":false,"suffix":""}],"container-title":"Vaccines and Immunizations","id":"ITEM-4","issued":{"date-parts":[["2016"]]},"title":"Vaccine Testing and Approval Process | CDC","type":"webpage"},"uris":["http://www.mendeley.com/documents/?uuid=298793fd-f8c3-363f-8594-24eeeb1d083b"]},{"id":"ITEM-5","itemData":{"DOI":"10.1111/cei.13517","ISSN":"1365-2249","PMID":"32935331","abstract":"Since the emergence of COVID-19, caused by the SARS-CoV-2 virus at the end of 2019, there has been an explosion of vaccine development. By 24 September 2020, a staggering number of vaccines (more than 200) had started preclinical development, of which 43 had entered clinical trials, including some approaches that have not previously been licensed for human vaccines. Vaccines have been widely considered as part of the exit strategy to enable the return to previous patterns of working, schooling and socializing. Importantly, to effectively control the COVID-19 pandemic, production needs to be scaled-up from a small number of preclinical doses to enough filled vials to immunize the world's population, which requires close engagement with manufacturers and regulators. It will require a global effort to control the virus, necessitating equitable access for all countries to effective vaccines. This review explores the immune responses required to protect against SARS-CoV-2 and the potential for vaccine-induced immunopathology. We describe the profile of the different platforms and the advantages and disadvantages of each approach. The review also addresses the critical steps between promising preclinical leads and manufacturing at scale. The issues faced during this pandemic and the platforms being developed to address it will be invaluable for future outbreak control. Nine months after the outbreak began we are at a point where preclinical and early clinical data are being generated for the vaccines; an overview of this important area will help our understanding of the next phases.","author":[{"dropping-particle":"","family":"Tregoning","given":"J. S.","non-dropping-particle":"","parse-names":false,"suffix":""},{"dropping-particle":"","family":"Brown","given":"E. S.","non-dropping-particle":"","parse-names":false,"suffix":""},{"dropping-particle":"","family":"Cheeseman","given":"H. M.","non-dropping-particle":"","parse-names":false,"suffix":""},{"dropping-particle":"","family":"Flight","given":"K. E.","non-dropping-particle":"","parse-names":false,"suffix":""},{"dropping-particle":"","family":"Higham","given":"S. L.","non-dropping-particle":"","parse-names":false,"suffix":""},{"dropping-particle":"","family":"Lemm","given":"N.‐M.","non-dropping-particle":"","parse-names":false,"suffix":""},{"dropping-particle":"","family":"Pierce","given":"B. F.","non-dropping-particle":"","parse-names":false,"suffix":""},{"dropping-particle":"","family":"Stirling","given":"D. C.","non-dropping-particle":"","parse-names":false,"suffix":""},{"dropping-particle":"","family":"Wang","given":"Z.","non-dropping-particle":"","parse-names":false,"suffix":""},{"dropping-particle":"","family":"Pollock","given":"K. M.","non-dropping-particle":"","parse-names":false,"suffix":""}],"container-title":"Clinical and experimental immunology","id":"ITEM-5","issue":"2","issued":{"date-parts":[["2020","11","18"]]},"page":"162-192","title":"Vaccines for COVID-19.","type":"article-journal","volume":"202"},"uris":["http://www.mendeley.com/documents/?uuid=441e3caf-462a-4f08-b563-eb0156bf9f54"]},{"id":"ITEM-6","itemData":{"DOI":"10.7759/cureus.10530","ISSN":"2168-8184","PMID":"33101792","abstract":"Introduction In the last 18 years, on three occasions, coronavirus has represented a challenge for global health. Between 2002 and 2003 with Severe Acute Respiratory Syndrome, in 2012 with Middle East Respiratory Syndrome, and since the end of 2019 with severe acute respiratory syndrome coronavirus 2 (SARS-CoV-2) causing the coronavirus disease 2019 (COVID-19) pandemic, which has challenged health care models and the way of doing research, placing bioethics at the center of discussion. Methods On August 19, 2020, a webinar organized by the Research Institute of Medical Science (IICIMED, for its acronym in Spanish), entitled 'Bioethical Implications in Vaccine Development, a COVID-19 Challenge' took place. Three experts spoke about the importance of bioethics in the race to develop a COVID-19 vaccine, the risk involved in shortening the terms of the clinical trial phases, and how the associated risks can be minimized, in order to expedite research results. Conclusion With the novel SARS-CoV-2 coronavirus, critical challenges have been posed not only for public health but for research and the scientific community. A safe and effective vaccine is urgently needed to prevent COVID-19 transmission, complications, and deaths; the adherence to ethical principles required by clinical research is mandatory and closer supervision is also essential.","author":[{"dropping-particle":"","family":"Ospina Henao","given":"Sebastián","non-dropping-particle":"","parse-names":false,"suffix":""},{"dropping-particle":"","family":"Marín Mora","given":"Alejandro","non-dropping-particle":"","parse-names":false,"suffix":""},{"dropping-particle":"","family":"Chan Solano","given":"Fanny","non-dropping-particle":"","parse-names":false,"suffix":""},{"dropping-particle":"","family":"Ávila-Aguero","given":"María L","non-dropping-particle":"","parse-names":false,"suffix":""}],"container-title":"Cureus","id":"ITEM-6","issue":"9","issued":{"date-parts":[["2020","9","18"]]},"page":"e10530","title":"Bioethical Implications in Vaccine Development, a COVID-19 Challenge.","type":"article-journal","volume":"12"},"uris":["http://www.mendeley.com/documents/?uuid=8e3753a9-2689-4749-a678-2e57dc25fc8c"]}],"mendeley":{"formattedCitation":"(2,7,10,11,13,14)","plainTextFormattedCitation":"(2,7,10,11,13,14)","previouslyFormattedCitation":"(Huang et al. 2020; Shrotri et al. 2021; Han 2015; CDC 2016; Tregoning et al. 2020; Ospina Henao et al. 2020)"},"properties":{"noteIndex":0},"schema":"https://github.com/citation-style-language/schema/raw/master/csl-citation.json"}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(2,7,10,11,13,14)</w:t>
      </w:r>
      <w:r w:rsidR="00331BD5">
        <w:rPr>
          <w:rStyle w:val="FootnoteReference"/>
          <w:rFonts w:ascii="Times New Roman" w:hAnsi="Times New Roman" w:cs="Times New Roman"/>
          <w:sz w:val="24"/>
          <w:szCs w:val="24"/>
        </w:rPr>
        <w:fldChar w:fldCharType="end"/>
      </w:r>
      <w:r w:rsidR="00C43D46" w:rsidRPr="00C33556">
        <w:rPr>
          <w:rFonts w:ascii="Times New Roman" w:hAnsi="Times New Roman" w:cs="Times New Roman"/>
          <w:sz w:val="24"/>
          <w:szCs w:val="24"/>
          <w:lang w:val="en-US"/>
        </w:rPr>
        <w:t xml:space="preserve"> It is noteworthy that the traditional vaccine development process is characterized by stages that have well-defined objectives, as shown in Table 1.</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URL":"https://www.cdc.gov/vaccines/basics/test-approve.html","accessed":{"date-parts":[["2021","5","14"]]},"author":[{"dropping-particle":"","family":"CDC","given":"","non-dropping-particle":"","parse-names":false,"suffix":""}],"container-title":"Vaccines and Immunizations","id":"ITEM-1","issued":{"date-parts":[["2016"]]},"title":"Vaccine Testing and Approval Process | CDC","type":"webpage"},"uris":["http://www.mendeley.com/documents/?uuid=298793fd-f8c3-363f-8594-24eeeb1d083b"]},{"id":"ITEM-2","itemData":{"DOI":"10.1016/s2214-109x(21)00043-7","ISSN":"2214109X","PMID":"33667404","abstract":"The past year has seen the rapid global spread of SARS-CoV-2—the virus responsible for the ongoing COVID-19 pandemic. While non-pharmaceutical inter ventions have been the mainstay of epidemic control to date, vaccination is likely to constitute the definitive, long …","author":[{"dropping-particle":"","family":"Shrotri","given":"Madhumita","non-dropping-particle":"","parse-names":false,"suffix":""},{"dropping-particle":"","family":"Swinnen","given":"Tui","non-dropping-particle":"","parse-names":false,"suffix":""},{"dropping-particle":"","family":"Kampmann","given":"Beate","non-dropping-particle":"","parse-names":false,"suffix":""},{"dropping-particle":"","family":"Parker","given":"Edward P K","non-dropping-particle":"","parse-names":false,"suffix":""}],"container-title":"The Lancet Global Health","id":"ITEM-2","issue":"5","issued":{"date-parts":[["2021"]]},"page":"e590-e592","title":"An interactive website tracking COVID-19 vaccine development","type":"article-journal","volume":"9"},"uris":["http://www.mendeley.com/documents/?uuid=c655f4d9-279f-4111-a32e-26c6cb77bcd9"]},{"id":"ITEM-3","itemData":{"DOI":"10.1111/cei.13517","ISSN":"1365-2249","PMID":"32935331","abstract":"Since the emergence of COVID-19, caused by the SARS-CoV-2 virus at the end of 2019, there has been an explosion of vaccine development. By 24 September 2020, a staggering number of vaccines (more than 200) had started preclinical development, of which 43 had entered clinical trials, including some approaches that have not previously been licensed for human vaccines. Vaccines have been widely considered as part of the exit strategy to enable the return to previous patterns of working, schooling and socializing. Importantly, to effectively control the COVID-19 pandemic, production needs to be scaled-up from a small number of preclinical doses to enough filled vials to immunize the world's population, which requires close engagement with manufacturers and regulators. It will require a global effort to control the virus, necessitating equitable access for all countries to effective vaccines. This review explores the immune responses required to protect against SARS-CoV-2 and the potential for vaccine-induced immunopathology. We describe the profile of the different platforms and the advantages and disadvantages of each approach. The review also addresses the critical steps between promising preclinical leads and manufacturing at scale. The issues faced during this pandemic and the platforms being developed to address it will be invaluable for future outbreak control. Nine months after the outbreak began we are at a point where preclinical and early clinical data are being generated for the vaccines; an overview of this important area will help our understanding of the next phases.","author":[{"dropping-particle":"","family":"Tregoning","given":"J. S.","non-dropping-particle":"","parse-names":false,"suffix":""},{"dropping-particle":"","family":"Brown","given":"E. S.","non-dropping-particle":"","parse-names":false,"suffix":""},{"dropping-particle":"","family":"Cheeseman","given":"H. M.","non-dropping-particle":"","parse-names":false,"suffix":""},{"dropping-particle":"","family":"Flight","given":"K. E.","non-dropping-particle":"","parse-names":false,"suffix":""},{"dropping-particle":"","family":"Higham","given":"S. L.","non-dropping-particle":"","parse-names":false,"suffix":""},{"dropping-particle":"","family":"Lemm","given":"N.‐M.","non-dropping-particle":"","parse-names":false,"suffix":""},{"dropping-particle":"","family":"Pierce","given":"B. F.","non-dropping-particle":"","parse-names":false,"suffix":""},{"dropping-particle":"","family":"Stirling","given":"D. C.","non-dropping-particle":"","parse-names":false,"suffix":""},{"dropping-particle":"","family":"Wang","given":"Z.","non-dropping-particle":"","parse-names":false,"suffix":""},{"dropping-particle":"","family":"Pollock","given":"K. M.","non-dropping-particle":"","parse-names":false,"suffix":""}],"container-title":"Clinical and experimental immunology","id":"ITEM-3","issue":"2","issued":{"date-parts":[["2020","11","18"]]},"page":"162-192","title":"Vaccines for COVID-19.","type":"article-journal","volume":"202"},"uris":["http://www.mendeley.com/documents/?uuid=441e3caf-462a-4f08-b563-eb0156bf9f54"]},{"id":"ITEM-4","itemData":{"URL":"https://www.historyofvaccines.org/content/articles/vaccine-development-testing-and-regulation%0Ahttps://www.historyofvaccines.org/content/articles/vaccine-development-testing-and-regulation%0Ahttps://www.historyofvaccines.org/content/articles/vaccine-deve","accessed":{"date-parts":[["2021","5","16"]]},"author":[{"dropping-particle":"","family":"Bowman","given":"Jacqui","non-dropping-particle":"","parse-names":false,"suffix":""}],"container-title":"The college of Physicians of Philadelphia","id":"ITEM-4","issued":{"date-parts":[["2016"]]},"title":"Vaccine Development, Testing, and Regulation | History of Vaccines","type":"webpage"},"uris":["http://www.mendeley.com/documents/?uuid=7d789f08-b8b7-31b8-acc4-cfb5e1390584"]}],"mendeley":{"formattedCitation":"(2,10–12)","plainTextFormattedCitation":"(2,10–12)","previouslyFormattedCitation":"(CDC 2016; Shrotri et al. 2021; Tregoning et al. 2020; Bowman 2016)"},"properties":{"noteIndex":0},"schema":"https://github.com/citation-style-language/schema/raw/master/csl-citation.json"}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(2,10–12)</w:t>
      </w:r>
      <w:r w:rsidR="00331BD5">
        <w:rPr>
          <w:rStyle w:val="FootnoteReference"/>
          <w:rFonts w:ascii="Times New Roman" w:hAnsi="Times New Roman" w:cs="Times New Roman"/>
          <w:sz w:val="24"/>
          <w:szCs w:val="24"/>
        </w:rPr>
        <w:fldChar w:fldCharType="end"/>
      </w:r>
    </w:p>
    <w:p w14:paraId="53D81647" w14:textId="4A4133ED" w:rsidR="00060746" w:rsidRPr="00C33556" w:rsidRDefault="00060746" w:rsidP="00060746">
      <w:pPr>
        <w:pStyle w:val="Caption"/>
        <w:keepNext/>
        <w:jc w:val="both"/>
        <w:rPr>
          <w:rFonts w:ascii="Times New Roman" w:hAnsi="Times New Roman" w:cs="Times New Roman"/>
          <w:b/>
          <w:bCs/>
          <w:i w:val="0"/>
          <w:iCs w:val="0"/>
          <w:color w:val="auto"/>
          <w:sz w:val="24"/>
          <w:szCs w:val="24"/>
          <w:lang w:val="en-US"/>
        </w:rPr>
      </w:pPr>
      <w:r w:rsidRPr="00C33556">
        <w:rPr>
          <w:rFonts w:ascii="Times New Roman" w:hAnsi="Times New Roman" w:cs="Times New Roman"/>
          <w:b/>
          <w:bCs/>
          <w:i w:val="0"/>
          <w:iCs w:val="0"/>
          <w:color w:val="auto"/>
          <w:sz w:val="24"/>
          <w:szCs w:val="24"/>
          <w:lang w:val="en-US"/>
        </w:rPr>
        <w:t>Table 1. Steps and respective objectives of the traditional vaccine development process</w:t>
      </w:r>
    </w:p>
    <w:tbl>
      <w:tblPr>
        <w:tblStyle w:val="TableGrid"/>
        <w:tblW w:w="0" w:type="auto"/>
        <w:tblLook w:val="04A0" w:firstRow="1" w:lastRow="0" w:firstColumn="1" w:lastColumn="0" w:noHBand="0" w:noVBand="1"/>
      </w:tblPr>
      <w:tblGrid>
        <w:gridCol w:w="2695"/>
        <w:gridCol w:w="1080"/>
        <w:gridCol w:w="4719"/>
      </w:tblGrid>
      <w:tr w:rsidR="00C33556" w:rsidRPr="00DB1B92" w14:paraId="1F95FDB1" w14:textId="77777777" w:rsidTr="00F96C1D">
        <w:trPr>
          <w:trHeight w:val="350"/>
        </w:trPr>
        <w:tc>
          <w:tcPr>
            <w:tcW w:w="2695" w:type="dxa"/>
            <w:tcBorders>
              <w:left w:val="single" w:sz="4" w:space="0" w:color="FFFFFF" w:themeColor="background1"/>
            </w:tcBorders>
          </w:tcPr>
          <w:p w14:paraId="7955B377" w14:textId="38135052" w:rsidR="003E405A" w:rsidRPr="00C33556" w:rsidRDefault="003E405A" w:rsidP="00D335A1">
            <w:pPr>
              <w:spacing w:line="480" w:lineRule="auto"/>
              <w:rPr>
                <w:rFonts w:ascii="Times New Roman" w:hAnsi="Times New Roman" w:cs="Times New Roman"/>
                <w:b/>
                <w:bCs/>
                <w:sz w:val="20"/>
                <w:szCs w:val="20"/>
                <w:lang w:val="en-US"/>
              </w:rPr>
            </w:pPr>
            <w:r w:rsidRPr="00C33556">
              <w:rPr>
                <w:rFonts w:ascii="Times New Roman" w:hAnsi="Times New Roman" w:cs="Times New Roman"/>
                <w:b/>
                <w:bCs/>
                <w:sz w:val="20"/>
                <w:szCs w:val="20"/>
                <w:lang w:val="en-US"/>
              </w:rPr>
              <w:t>Vaccine development stage</w:t>
            </w:r>
          </w:p>
        </w:tc>
        <w:tc>
          <w:tcPr>
            <w:tcW w:w="5799" w:type="dxa"/>
            <w:gridSpan w:val="2"/>
            <w:tcBorders>
              <w:right w:val="single" w:sz="4" w:space="0" w:color="FFFFFF" w:themeColor="background1"/>
            </w:tcBorders>
          </w:tcPr>
          <w:p w14:paraId="67D2DDDB" w14:textId="4280B2F9" w:rsidR="003E405A" w:rsidRPr="00C33556" w:rsidRDefault="00A914E2" w:rsidP="003E405A">
            <w:pPr>
              <w:spacing w:line="480" w:lineRule="auto"/>
              <w:jc w:val="center"/>
              <w:rPr>
                <w:rFonts w:ascii="Times New Roman" w:hAnsi="Times New Roman" w:cs="Times New Roman"/>
                <w:b/>
                <w:bCs/>
                <w:sz w:val="20"/>
                <w:szCs w:val="20"/>
                <w:lang w:val="en-US"/>
              </w:rPr>
            </w:pPr>
            <w:r w:rsidRPr="00C33556">
              <w:rPr>
                <w:rFonts w:ascii="Times New Roman" w:hAnsi="Times New Roman" w:cs="Times New Roman"/>
                <w:b/>
                <w:bCs/>
                <w:sz w:val="20"/>
                <w:szCs w:val="20"/>
                <w:lang w:val="en-US"/>
              </w:rPr>
              <w:t>Objectives</w:t>
            </w:r>
          </w:p>
        </w:tc>
      </w:tr>
      <w:tr w:rsidR="00C33556" w:rsidRPr="00DB1B92" w14:paraId="6C138ABC" w14:textId="77777777" w:rsidTr="00F96C1D">
        <w:tc>
          <w:tcPr>
            <w:tcW w:w="2695" w:type="dxa"/>
            <w:tcBorders>
              <w:left w:val="single" w:sz="4" w:space="0" w:color="FFFFFF" w:themeColor="background1"/>
            </w:tcBorders>
            <w:vAlign w:val="center"/>
          </w:tcPr>
          <w:p w14:paraId="58322EB0" w14:textId="2A794323" w:rsidR="003E405A" w:rsidRPr="00C33556" w:rsidRDefault="00D335A1" w:rsidP="009E7D41">
            <w:pPr>
              <w:spacing w:line="480" w:lineRule="auto"/>
              <w:jc w:val="center"/>
              <w:rPr>
                <w:rFonts w:ascii="Times New Roman" w:hAnsi="Times New Roman" w:cs="Times New Roman"/>
                <w:sz w:val="20"/>
                <w:szCs w:val="20"/>
                <w:lang w:val="en-US"/>
              </w:rPr>
            </w:pPr>
            <w:r w:rsidRPr="00C33556">
              <w:rPr>
                <w:rFonts w:ascii="Times New Roman" w:hAnsi="Times New Roman" w:cs="Times New Roman"/>
                <w:sz w:val="20"/>
                <w:szCs w:val="20"/>
                <w:lang w:val="en-US"/>
              </w:rPr>
              <w:t>Exploratory</w:t>
            </w:r>
          </w:p>
        </w:tc>
        <w:tc>
          <w:tcPr>
            <w:tcW w:w="5799" w:type="dxa"/>
            <w:gridSpan w:val="2"/>
            <w:tcBorders>
              <w:right w:val="single" w:sz="4" w:space="0" w:color="FFFFFF" w:themeColor="background1"/>
            </w:tcBorders>
          </w:tcPr>
          <w:p w14:paraId="78C904BF" w14:textId="77777777" w:rsidR="00C23F26" w:rsidRPr="00C33556" w:rsidRDefault="00C23F26" w:rsidP="00735038">
            <w:pPr>
              <w:jc w:val="both"/>
              <w:rPr>
                <w:rFonts w:ascii="Times New Roman" w:hAnsi="Times New Roman" w:cs="Times New Roman"/>
                <w:sz w:val="20"/>
                <w:szCs w:val="20"/>
                <w:lang w:val="en-US"/>
              </w:rPr>
            </w:pPr>
            <w:r w:rsidRPr="00C33556">
              <w:rPr>
                <w:rFonts w:ascii="Times New Roman" w:hAnsi="Times New Roman" w:cs="Times New Roman"/>
                <w:sz w:val="20"/>
                <w:szCs w:val="20"/>
                <w:lang w:val="en-US"/>
              </w:rPr>
              <w:t>To study pathology both from the viewpoint of biological structure, genetic sequencing of the pathogen and its pathogenic mechanism, as well as the course and clinical characteristics including possible drugs with some therapeutic action and epidemiology.</w:t>
            </w:r>
          </w:p>
          <w:p w14:paraId="18360968" w14:textId="2D26F5C5" w:rsidR="009E7D41" w:rsidRPr="00C33556" w:rsidRDefault="00C23F26" w:rsidP="00735038">
            <w:pPr>
              <w:jc w:val="both"/>
              <w:rPr>
                <w:rFonts w:ascii="Times New Roman" w:hAnsi="Times New Roman" w:cs="Times New Roman"/>
                <w:sz w:val="20"/>
                <w:szCs w:val="20"/>
                <w:lang w:val="en-US"/>
              </w:rPr>
            </w:pPr>
            <w:r w:rsidRPr="00C33556">
              <w:rPr>
                <w:rFonts w:ascii="Times New Roman" w:hAnsi="Times New Roman" w:cs="Times New Roman"/>
                <w:sz w:val="20"/>
                <w:szCs w:val="20"/>
                <w:lang w:val="en-US"/>
              </w:rPr>
              <w:t>Identify possible antigens.</w:t>
            </w:r>
          </w:p>
        </w:tc>
      </w:tr>
      <w:tr w:rsidR="00C33556" w:rsidRPr="00DB1B92" w14:paraId="7718B93A" w14:textId="77777777" w:rsidTr="001E2F7F">
        <w:trPr>
          <w:trHeight w:val="1590"/>
        </w:trPr>
        <w:tc>
          <w:tcPr>
            <w:tcW w:w="2695" w:type="dxa"/>
            <w:tcBorders>
              <w:left w:val="single" w:sz="4" w:space="0" w:color="FFFFFF" w:themeColor="background1"/>
            </w:tcBorders>
            <w:vAlign w:val="center"/>
          </w:tcPr>
          <w:p w14:paraId="44BE31BA" w14:textId="1029CD4F" w:rsidR="003E405A" w:rsidRPr="00C33556" w:rsidRDefault="00D335A1" w:rsidP="009E7D41">
            <w:pPr>
              <w:spacing w:line="480" w:lineRule="auto"/>
              <w:jc w:val="center"/>
              <w:rPr>
                <w:rFonts w:ascii="Times New Roman" w:hAnsi="Times New Roman" w:cs="Times New Roman"/>
                <w:sz w:val="20"/>
                <w:szCs w:val="20"/>
                <w:lang w:val="en-US"/>
              </w:rPr>
            </w:pPr>
            <w:r w:rsidRPr="00C33556">
              <w:rPr>
                <w:rFonts w:ascii="Times New Roman" w:hAnsi="Times New Roman" w:cs="Times New Roman"/>
                <w:sz w:val="20"/>
                <w:szCs w:val="20"/>
                <w:lang w:val="en-US"/>
              </w:rPr>
              <w:t>Pre-clinical</w:t>
            </w:r>
          </w:p>
        </w:tc>
        <w:tc>
          <w:tcPr>
            <w:tcW w:w="5799" w:type="dxa"/>
            <w:gridSpan w:val="2"/>
            <w:tcBorders>
              <w:right w:val="single" w:sz="4" w:space="0" w:color="FFFFFF" w:themeColor="background1"/>
            </w:tcBorders>
          </w:tcPr>
          <w:p w14:paraId="2E32E28F" w14:textId="6328918F" w:rsidR="00D64084" w:rsidRPr="00C33556" w:rsidRDefault="001E2F7F" w:rsidP="001064AF">
            <w:pPr>
              <w:jc w:val="both"/>
              <w:rPr>
                <w:rFonts w:ascii="Times New Roman" w:hAnsi="Times New Roman" w:cs="Times New Roman"/>
                <w:sz w:val="20"/>
                <w:szCs w:val="20"/>
                <w:lang w:val="en-US"/>
              </w:rPr>
            </w:pPr>
            <w:r w:rsidRPr="00C33556">
              <w:rPr>
                <w:rFonts w:ascii="Times New Roman" w:hAnsi="Times New Roman" w:cs="Times New Roman"/>
                <w:sz w:val="20"/>
                <w:szCs w:val="20"/>
                <w:lang w:val="en-US"/>
              </w:rPr>
              <w:t>Assess</w:t>
            </w:r>
            <w:r w:rsidR="00C23F26" w:rsidRPr="00C33556">
              <w:rPr>
                <w:rFonts w:ascii="Times New Roman" w:hAnsi="Times New Roman" w:cs="Times New Roman"/>
                <w:sz w:val="20"/>
                <w:szCs w:val="20"/>
                <w:lang w:val="en-US"/>
              </w:rPr>
              <w:t xml:space="preserve"> the capacity to induce an immune response (immunogenicity) and safety, through the use of cell culture and animal tests</w:t>
            </w:r>
            <w:r w:rsidR="00D64084" w:rsidRPr="00C33556">
              <w:rPr>
                <w:rFonts w:ascii="Times New Roman" w:hAnsi="Times New Roman" w:cs="Times New Roman"/>
                <w:sz w:val="20"/>
                <w:szCs w:val="20"/>
                <w:lang w:val="en-US"/>
              </w:rPr>
              <w:t>.</w:t>
            </w:r>
          </w:p>
          <w:p w14:paraId="37B8E125" w14:textId="77777777" w:rsidR="00D64084" w:rsidRPr="00C33556" w:rsidRDefault="00D64084" w:rsidP="001064AF">
            <w:pPr>
              <w:jc w:val="both"/>
              <w:rPr>
                <w:rFonts w:ascii="Times New Roman" w:hAnsi="Times New Roman" w:cs="Times New Roman"/>
                <w:sz w:val="20"/>
                <w:szCs w:val="20"/>
                <w:lang w:val="en-US"/>
              </w:rPr>
            </w:pPr>
            <w:r w:rsidRPr="00C33556">
              <w:rPr>
                <w:rFonts w:ascii="Times New Roman" w:hAnsi="Times New Roman" w:cs="Times New Roman"/>
                <w:sz w:val="20"/>
                <w:szCs w:val="20"/>
                <w:lang w:val="en-US"/>
              </w:rPr>
              <w:t>Assess the appropriate route of administration, adjust the dose and determine "Good Manufacturing Practices" for the production of the batches for the phase II tests.</w:t>
            </w:r>
          </w:p>
          <w:p w14:paraId="10BFB786" w14:textId="25F049FA" w:rsidR="00D64084" w:rsidRPr="00C33556" w:rsidRDefault="00D64084" w:rsidP="001064AF">
            <w:pPr>
              <w:jc w:val="both"/>
              <w:rPr>
                <w:rFonts w:ascii="Times New Roman" w:hAnsi="Times New Roman" w:cs="Times New Roman"/>
                <w:sz w:val="20"/>
                <w:szCs w:val="20"/>
                <w:lang w:val="en-US"/>
              </w:rPr>
            </w:pPr>
            <w:r w:rsidRPr="00C33556">
              <w:rPr>
                <w:rFonts w:ascii="Times New Roman" w:hAnsi="Times New Roman" w:cs="Times New Roman"/>
                <w:sz w:val="20"/>
                <w:szCs w:val="20"/>
                <w:lang w:val="en-US"/>
              </w:rPr>
              <w:t>Characterize the antigen and assess toxicity.</w:t>
            </w:r>
          </w:p>
          <w:p w14:paraId="4F8687E8" w14:textId="70D68FB0" w:rsidR="00540115" w:rsidRPr="00C33556" w:rsidRDefault="00D305E8" w:rsidP="001064AF">
            <w:pPr>
              <w:jc w:val="both"/>
              <w:rPr>
                <w:rFonts w:ascii="Times New Roman" w:hAnsi="Times New Roman" w:cs="Times New Roman"/>
                <w:sz w:val="20"/>
                <w:szCs w:val="20"/>
                <w:lang w:val="en-US"/>
              </w:rPr>
            </w:pPr>
            <w:r w:rsidRPr="00C33556">
              <w:rPr>
                <w:rFonts w:ascii="Times New Roman" w:hAnsi="Times New Roman" w:cs="Times New Roman"/>
                <w:sz w:val="20"/>
                <w:szCs w:val="20"/>
                <w:lang w:val="en-US"/>
              </w:rPr>
              <w:t>Investigate cellular response and possible mechanisms of immunity.</w:t>
            </w:r>
          </w:p>
        </w:tc>
      </w:tr>
      <w:tr w:rsidR="00C33556" w:rsidRPr="00DB1B92" w14:paraId="0B6FFCAD" w14:textId="27CFC0C8" w:rsidTr="00F96C1D">
        <w:trPr>
          <w:trHeight w:val="711"/>
        </w:trPr>
        <w:tc>
          <w:tcPr>
            <w:tcW w:w="2695" w:type="dxa"/>
            <w:vMerge w:val="restart"/>
            <w:tcBorders>
              <w:left w:val="single" w:sz="4" w:space="0" w:color="FFFFFF" w:themeColor="background1"/>
            </w:tcBorders>
            <w:vAlign w:val="center"/>
          </w:tcPr>
          <w:p w14:paraId="0A86E022" w14:textId="36FEA844" w:rsidR="00037FB3" w:rsidRPr="00C33556" w:rsidRDefault="00037FB3" w:rsidP="00363BC6">
            <w:pPr>
              <w:spacing w:line="480" w:lineRule="auto"/>
              <w:jc w:val="center"/>
              <w:rPr>
                <w:rFonts w:ascii="Times New Roman" w:hAnsi="Times New Roman" w:cs="Times New Roman"/>
                <w:sz w:val="20"/>
                <w:szCs w:val="20"/>
                <w:lang w:val="en-US"/>
              </w:rPr>
            </w:pPr>
            <w:r w:rsidRPr="00C33556">
              <w:rPr>
                <w:rFonts w:ascii="Times New Roman" w:hAnsi="Times New Roman" w:cs="Times New Roman"/>
                <w:sz w:val="20"/>
                <w:szCs w:val="20"/>
                <w:lang w:val="en-US"/>
              </w:rPr>
              <w:t>Clinical Trials</w:t>
            </w:r>
          </w:p>
        </w:tc>
        <w:tc>
          <w:tcPr>
            <w:tcW w:w="1080" w:type="dxa"/>
            <w:tcBorders>
              <w:right w:val="single" w:sz="4" w:space="0" w:color="FFFFFF" w:themeColor="background1"/>
            </w:tcBorders>
            <w:vAlign w:val="center"/>
          </w:tcPr>
          <w:p w14:paraId="735127C7" w14:textId="3C7233E2" w:rsidR="00037FB3" w:rsidRPr="00C33556" w:rsidRDefault="000F53EC" w:rsidP="00363BC6">
            <w:pPr>
              <w:spacing w:line="480" w:lineRule="auto"/>
              <w:jc w:val="center"/>
              <w:rPr>
                <w:rFonts w:ascii="Times New Roman" w:hAnsi="Times New Roman" w:cs="Times New Roman"/>
                <w:sz w:val="20"/>
                <w:szCs w:val="20"/>
                <w:lang w:val="en-US"/>
              </w:rPr>
            </w:pPr>
            <w:r w:rsidRPr="00C33556">
              <w:rPr>
                <w:rFonts w:ascii="Times New Roman" w:hAnsi="Times New Roman" w:cs="Times New Roman"/>
                <w:sz w:val="20"/>
                <w:szCs w:val="20"/>
                <w:lang w:val="en-US"/>
              </w:rPr>
              <w:t>Phase</w:t>
            </w:r>
            <w:r w:rsidR="00037FB3" w:rsidRPr="00C33556">
              <w:rPr>
                <w:rFonts w:ascii="Times New Roman" w:hAnsi="Times New Roman" w:cs="Times New Roman"/>
                <w:sz w:val="20"/>
                <w:szCs w:val="20"/>
                <w:lang w:val="en-US"/>
              </w:rPr>
              <w:t xml:space="preserve"> I</w:t>
            </w:r>
          </w:p>
        </w:tc>
        <w:tc>
          <w:tcPr>
            <w:tcW w:w="4719" w:type="dxa"/>
            <w:tcBorders>
              <w:right w:val="single" w:sz="4" w:space="0" w:color="FFFFFF" w:themeColor="background1"/>
            </w:tcBorders>
          </w:tcPr>
          <w:p w14:paraId="68239351" w14:textId="29A3BCAF" w:rsidR="00037FB3" w:rsidRPr="00C33556" w:rsidRDefault="001E2F7F" w:rsidP="00DA301D">
            <w:pPr>
              <w:jc w:val="both"/>
              <w:rPr>
                <w:rFonts w:ascii="Times New Roman" w:hAnsi="Times New Roman" w:cs="Times New Roman"/>
                <w:sz w:val="20"/>
                <w:szCs w:val="20"/>
                <w:lang w:val="en-US"/>
              </w:rPr>
            </w:pPr>
            <w:r w:rsidRPr="00C33556">
              <w:rPr>
                <w:rFonts w:ascii="Times New Roman" w:hAnsi="Times New Roman" w:cs="Times New Roman"/>
                <w:sz w:val="20"/>
                <w:szCs w:val="20"/>
                <w:lang w:val="en-US"/>
              </w:rPr>
              <w:t>Assess</w:t>
            </w:r>
            <w:r w:rsidR="00D305E8" w:rsidRPr="00C33556">
              <w:rPr>
                <w:rFonts w:ascii="Times New Roman" w:hAnsi="Times New Roman" w:cs="Times New Roman"/>
                <w:sz w:val="20"/>
                <w:szCs w:val="20"/>
                <w:lang w:val="en-US"/>
              </w:rPr>
              <w:t xml:space="preserve"> in a small group of adult individuals: safety, dosage variations and immunogenicity, including the extent and type of the immune response.</w:t>
            </w:r>
          </w:p>
        </w:tc>
      </w:tr>
      <w:tr w:rsidR="00C33556" w:rsidRPr="00DB1B92" w14:paraId="054A1539" w14:textId="77777777" w:rsidTr="00F96C1D">
        <w:trPr>
          <w:trHeight w:val="1075"/>
        </w:trPr>
        <w:tc>
          <w:tcPr>
            <w:tcW w:w="2695" w:type="dxa"/>
            <w:vMerge/>
            <w:tcBorders>
              <w:left w:val="single" w:sz="4" w:space="0" w:color="FFFFFF" w:themeColor="background1"/>
            </w:tcBorders>
            <w:vAlign w:val="center"/>
          </w:tcPr>
          <w:p w14:paraId="3FB3D81D" w14:textId="77777777" w:rsidR="00037FB3" w:rsidRPr="00C33556" w:rsidRDefault="00037FB3" w:rsidP="009E7D41">
            <w:pPr>
              <w:spacing w:line="480" w:lineRule="auto"/>
              <w:jc w:val="center"/>
              <w:rPr>
                <w:rFonts w:ascii="Times New Roman" w:hAnsi="Times New Roman" w:cs="Times New Roman"/>
                <w:sz w:val="20"/>
                <w:szCs w:val="20"/>
                <w:lang w:val="en-US"/>
              </w:rPr>
            </w:pPr>
          </w:p>
        </w:tc>
        <w:tc>
          <w:tcPr>
            <w:tcW w:w="1080" w:type="dxa"/>
            <w:tcBorders>
              <w:right w:val="single" w:sz="4" w:space="0" w:color="FFFFFF" w:themeColor="background1"/>
            </w:tcBorders>
            <w:vAlign w:val="center"/>
          </w:tcPr>
          <w:p w14:paraId="7176AF3E" w14:textId="7AE56EC1" w:rsidR="00037FB3" w:rsidRPr="00C33556" w:rsidRDefault="00F96C1D" w:rsidP="00363BC6">
            <w:pPr>
              <w:spacing w:line="480" w:lineRule="auto"/>
              <w:jc w:val="center"/>
              <w:rPr>
                <w:rFonts w:ascii="Times New Roman" w:hAnsi="Times New Roman" w:cs="Times New Roman"/>
                <w:sz w:val="20"/>
                <w:szCs w:val="20"/>
                <w:lang w:val="en-US"/>
              </w:rPr>
            </w:pPr>
            <w:r w:rsidRPr="00C33556">
              <w:rPr>
                <w:rFonts w:ascii="Times New Roman" w:hAnsi="Times New Roman" w:cs="Times New Roman"/>
                <w:sz w:val="20"/>
                <w:szCs w:val="20"/>
                <w:lang w:val="en-US"/>
              </w:rPr>
              <w:t xml:space="preserve">Phase </w:t>
            </w:r>
            <w:r w:rsidR="00DA301D" w:rsidRPr="00C33556">
              <w:rPr>
                <w:rFonts w:ascii="Times New Roman" w:hAnsi="Times New Roman" w:cs="Times New Roman"/>
                <w:sz w:val="20"/>
                <w:szCs w:val="20"/>
                <w:lang w:val="en-US"/>
              </w:rPr>
              <w:t>II</w:t>
            </w:r>
          </w:p>
        </w:tc>
        <w:tc>
          <w:tcPr>
            <w:tcW w:w="4719" w:type="dxa"/>
            <w:tcBorders>
              <w:right w:val="single" w:sz="4" w:space="0" w:color="FFFFFF" w:themeColor="background1"/>
            </w:tcBorders>
          </w:tcPr>
          <w:p w14:paraId="712DCE23" w14:textId="7971BE75" w:rsidR="00037FB3" w:rsidRPr="00C33556" w:rsidRDefault="001E2F7F" w:rsidP="00AC5037">
            <w:pPr>
              <w:jc w:val="both"/>
              <w:rPr>
                <w:rFonts w:ascii="Times New Roman" w:hAnsi="Times New Roman" w:cs="Times New Roman"/>
                <w:sz w:val="20"/>
                <w:szCs w:val="20"/>
                <w:lang w:val="en-US"/>
              </w:rPr>
            </w:pPr>
            <w:r w:rsidRPr="00C33556">
              <w:rPr>
                <w:rFonts w:ascii="Times New Roman" w:hAnsi="Times New Roman" w:cs="Times New Roman"/>
                <w:sz w:val="20"/>
                <w:szCs w:val="20"/>
                <w:lang w:val="en-US"/>
              </w:rPr>
              <w:t>Assess</w:t>
            </w:r>
            <w:r w:rsidR="00D959CE" w:rsidRPr="00C33556">
              <w:rPr>
                <w:rFonts w:ascii="Times New Roman" w:hAnsi="Times New Roman" w:cs="Times New Roman"/>
                <w:sz w:val="20"/>
                <w:szCs w:val="20"/>
                <w:lang w:val="en-US"/>
              </w:rPr>
              <w:t xml:space="preserve"> in a group of hundreds of individuals, which</w:t>
            </w:r>
            <w:r w:rsidRPr="00C33556">
              <w:rPr>
                <w:rFonts w:ascii="Times New Roman" w:hAnsi="Times New Roman" w:cs="Times New Roman"/>
                <w:sz w:val="20"/>
                <w:szCs w:val="20"/>
                <w:lang w:val="en-US"/>
              </w:rPr>
              <w:t>,</w:t>
            </w:r>
            <w:r w:rsidR="00D959CE" w:rsidRPr="00C33556">
              <w:rPr>
                <w:rFonts w:ascii="Times New Roman" w:hAnsi="Times New Roman" w:cs="Times New Roman"/>
                <w:sz w:val="20"/>
                <w:szCs w:val="20"/>
                <w:lang w:val="en-US"/>
              </w:rPr>
              <w:t xml:space="preserve"> may include individuals fro</w:t>
            </w:r>
            <w:r w:rsidRPr="00C33556">
              <w:rPr>
                <w:rFonts w:ascii="Times New Roman" w:hAnsi="Times New Roman" w:cs="Times New Roman"/>
                <w:sz w:val="20"/>
                <w:szCs w:val="20"/>
                <w:lang w:val="en-US"/>
              </w:rPr>
              <w:t>m</w:t>
            </w:r>
            <w:r w:rsidR="00D959CE" w:rsidRPr="00C33556">
              <w:rPr>
                <w:rFonts w:ascii="Times New Roman" w:hAnsi="Times New Roman" w:cs="Times New Roman"/>
                <w:sz w:val="20"/>
                <w:szCs w:val="20"/>
                <w:lang w:val="en-US"/>
              </w:rPr>
              <w:t xml:space="preserve"> risk group to acquire the pathology: immunogenicity, safety, with variation in dosage, efficacy and variations in the immunization schedule.</w:t>
            </w:r>
          </w:p>
        </w:tc>
      </w:tr>
      <w:tr w:rsidR="00C33556" w:rsidRPr="00DB1B92" w14:paraId="78E99D3B" w14:textId="77777777" w:rsidTr="00F96C1D">
        <w:trPr>
          <w:trHeight w:val="799"/>
        </w:trPr>
        <w:tc>
          <w:tcPr>
            <w:tcW w:w="2695" w:type="dxa"/>
            <w:vMerge/>
            <w:tcBorders>
              <w:left w:val="single" w:sz="4" w:space="0" w:color="FFFFFF" w:themeColor="background1"/>
            </w:tcBorders>
            <w:vAlign w:val="center"/>
          </w:tcPr>
          <w:p w14:paraId="061CCC9B" w14:textId="77777777" w:rsidR="00037FB3" w:rsidRPr="00C33556" w:rsidRDefault="00037FB3" w:rsidP="009E7D41">
            <w:pPr>
              <w:spacing w:line="480" w:lineRule="auto"/>
              <w:jc w:val="center"/>
              <w:rPr>
                <w:rFonts w:ascii="Times New Roman" w:hAnsi="Times New Roman" w:cs="Times New Roman"/>
                <w:sz w:val="20"/>
                <w:szCs w:val="20"/>
                <w:lang w:val="en-US"/>
              </w:rPr>
            </w:pPr>
          </w:p>
        </w:tc>
        <w:tc>
          <w:tcPr>
            <w:tcW w:w="1080" w:type="dxa"/>
            <w:tcBorders>
              <w:right w:val="single" w:sz="4" w:space="0" w:color="FFFFFF" w:themeColor="background1"/>
            </w:tcBorders>
            <w:vAlign w:val="center"/>
          </w:tcPr>
          <w:p w14:paraId="19E1FFD2" w14:textId="7958749F" w:rsidR="00037FB3" w:rsidRPr="00C33556" w:rsidRDefault="00F96C1D" w:rsidP="00AC5037">
            <w:pPr>
              <w:spacing w:line="480" w:lineRule="auto"/>
              <w:jc w:val="center"/>
              <w:rPr>
                <w:rFonts w:ascii="Times New Roman" w:hAnsi="Times New Roman" w:cs="Times New Roman"/>
                <w:sz w:val="20"/>
                <w:szCs w:val="20"/>
                <w:lang w:val="en-US"/>
              </w:rPr>
            </w:pPr>
            <w:r w:rsidRPr="00C33556">
              <w:rPr>
                <w:rFonts w:ascii="Times New Roman" w:hAnsi="Times New Roman" w:cs="Times New Roman"/>
                <w:sz w:val="20"/>
                <w:szCs w:val="20"/>
                <w:lang w:val="en-US"/>
              </w:rPr>
              <w:t>Phase</w:t>
            </w:r>
            <w:r w:rsidR="00AC5037" w:rsidRPr="00C33556">
              <w:rPr>
                <w:rFonts w:ascii="Times New Roman" w:hAnsi="Times New Roman" w:cs="Times New Roman"/>
                <w:sz w:val="20"/>
                <w:szCs w:val="20"/>
                <w:lang w:val="en-US"/>
              </w:rPr>
              <w:t xml:space="preserve"> III</w:t>
            </w:r>
          </w:p>
        </w:tc>
        <w:tc>
          <w:tcPr>
            <w:tcW w:w="4719" w:type="dxa"/>
            <w:tcBorders>
              <w:right w:val="single" w:sz="4" w:space="0" w:color="FFFFFF" w:themeColor="background1"/>
            </w:tcBorders>
            <w:vAlign w:val="center"/>
          </w:tcPr>
          <w:p w14:paraId="0E1FE6E5" w14:textId="5C6C6756" w:rsidR="00037FB3" w:rsidRPr="00C33556" w:rsidRDefault="001E2F7F" w:rsidP="00781C69">
            <w:pPr>
              <w:jc w:val="both"/>
              <w:rPr>
                <w:rFonts w:ascii="Times New Roman" w:hAnsi="Times New Roman" w:cs="Times New Roman"/>
                <w:sz w:val="20"/>
                <w:szCs w:val="20"/>
                <w:lang w:val="en-US"/>
              </w:rPr>
            </w:pPr>
            <w:r w:rsidRPr="00C33556">
              <w:rPr>
                <w:rFonts w:ascii="Times New Roman" w:hAnsi="Times New Roman" w:cs="Times New Roman"/>
                <w:sz w:val="20"/>
                <w:szCs w:val="20"/>
                <w:lang w:val="en-US"/>
              </w:rPr>
              <w:t>Assess</w:t>
            </w:r>
            <w:r w:rsidR="00D959CE" w:rsidRPr="00C33556">
              <w:rPr>
                <w:rFonts w:ascii="Times New Roman" w:hAnsi="Times New Roman" w:cs="Times New Roman"/>
                <w:sz w:val="20"/>
                <w:szCs w:val="20"/>
                <w:lang w:val="en-US"/>
              </w:rPr>
              <w:t xml:space="preserve"> in a large group of individuals, preferably in a multicenter study: immunogenicity, efficacy and safety, mainly regarding rare adverse events.</w:t>
            </w:r>
          </w:p>
        </w:tc>
      </w:tr>
      <w:tr w:rsidR="00C33556" w:rsidRPr="00C33556" w14:paraId="4CCDF4DA" w14:textId="77777777" w:rsidTr="00F96C1D">
        <w:trPr>
          <w:trHeight w:val="2147"/>
        </w:trPr>
        <w:tc>
          <w:tcPr>
            <w:tcW w:w="2695" w:type="dxa"/>
            <w:vMerge w:val="restart"/>
            <w:tcBorders>
              <w:left w:val="single" w:sz="4" w:space="0" w:color="FFFFFF" w:themeColor="background1"/>
            </w:tcBorders>
            <w:vAlign w:val="center"/>
          </w:tcPr>
          <w:p w14:paraId="623D243B" w14:textId="20765DD4" w:rsidR="0047799A" w:rsidRPr="00C33556" w:rsidRDefault="0047799A" w:rsidP="009E7D41">
            <w:pPr>
              <w:spacing w:line="480" w:lineRule="auto"/>
              <w:jc w:val="center"/>
              <w:rPr>
                <w:rFonts w:ascii="Times New Roman" w:hAnsi="Times New Roman" w:cs="Times New Roman"/>
                <w:sz w:val="20"/>
                <w:szCs w:val="20"/>
                <w:lang w:val="en-US"/>
              </w:rPr>
            </w:pPr>
            <w:r w:rsidRPr="00C33556">
              <w:rPr>
                <w:rFonts w:ascii="Times New Roman" w:hAnsi="Times New Roman" w:cs="Times New Roman"/>
                <w:sz w:val="20"/>
                <w:szCs w:val="20"/>
                <w:lang w:val="en-US"/>
              </w:rPr>
              <w:t xml:space="preserve">Filing, </w:t>
            </w:r>
            <w:r w:rsidR="00A72E34" w:rsidRPr="00C33556">
              <w:rPr>
                <w:rFonts w:ascii="Times New Roman" w:hAnsi="Times New Roman" w:cs="Times New Roman"/>
                <w:sz w:val="20"/>
                <w:szCs w:val="20"/>
                <w:lang w:val="en-US"/>
              </w:rPr>
              <w:t>Approval</w:t>
            </w:r>
            <w:r w:rsidRPr="00C33556">
              <w:rPr>
                <w:rFonts w:ascii="Times New Roman" w:hAnsi="Times New Roman" w:cs="Times New Roman"/>
                <w:sz w:val="20"/>
                <w:szCs w:val="20"/>
                <w:lang w:val="en-US"/>
              </w:rPr>
              <w:t xml:space="preserve"> and Licensing</w:t>
            </w:r>
          </w:p>
        </w:tc>
        <w:tc>
          <w:tcPr>
            <w:tcW w:w="5799" w:type="dxa"/>
            <w:gridSpan w:val="2"/>
            <w:tcBorders>
              <w:right w:val="single" w:sz="4" w:space="0" w:color="FFFFFF" w:themeColor="background1"/>
            </w:tcBorders>
          </w:tcPr>
          <w:p w14:paraId="005B802F" w14:textId="77777777" w:rsidR="000F53EC" w:rsidRPr="00C33556" w:rsidRDefault="000F53EC" w:rsidP="00934F81">
            <w:pPr>
              <w:jc w:val="both"/>
              <w:rPr>
                <w:rFonts w:ascii="Times New Roman" w:hAnsi="Times New Roman" w:cs="Times New Roman"/>
                <w:sz w:val="20"/>
                <w:szCs w:val="20"/>
                <w:lang w:val="en-US"/>
              </w:rPr>
            </w:pPr>
            <w:r w:rsidRPr="00C33556">
              <w:rPr>
                <w:rFonts w:ascii="Times New Roman" w:hAnsi="Times New Roman" w:cs="Times New Roman"/>
                <w:sz w:val="20"/>
                <w:szCs w:val="20"/>
                <w:lang w:val="en-US"/>
              </w:rPr>
              <w:t>If preliminary tests are successful, the vaccine manufacturer will apply for a license from the regulatory health agency, which will inspect the manufacturing facilities.</w:t>
            </w:r>
          </w:p>
          <w:p w14:paraId="2E470E99" w14:textId="0F954F03" w:rsidR="00F96C1D" w:rsidRPr="00C33556" w:rsidRDefault="00F96C1D" w:rsidP="00934F81">
            <w:pPr>
              <w:jc w:val="both"/>
              <w:rPr>
                <w:rFonts w:ascii="Times New Roman" w:hAnsi="Times New Roman" w:cs="Times New Roman"/>
                <w:sz w:val="20"/>
                <w:szCs w:val="20"/>
                <w:lang w:val="en-US"/>
              </w:rPr>
            </w:pPr>
            <w:r w:rsidRPr="00C33556">
              <w:rPr>
                <w:rFonts w:ascii="Times New Roman" w:hAnsi="Times New Roman" w:cs="Times New Roman"/>
                <w:sz w:val="20"/>
                <w:szCs w:val="20"/>
                <w:lang w:val="en-US"/>
              </w:rPr>
              <w:t xml:space="preserve">Assess </w:t>
            </w:r>
            <w:r w:rsidR="00E6019E">
              <w:rPr>
                <w:rFonts w:ascii="Times New Roman" w:hAnsi="Times New Roman" w:cs="Times New Roman"/>
                <w:sz w:val="20"/>
                <w:szCs w:val="20"/>
                <w:lang w:val="en-US"/>
              </w:rPr>
              <w:t xml:space="preserve">the </w:t>
            </w:r>
            <w:r w:rsidRPr="00C33556">
              <w:rPr>
                <w:rFonts w:ascii="Times New Roman" w:hAnsi="Times New Roman" w:cs="Times New Roman"/>
                <w:sz w:val="20"/>
                <w:szCs w:val="20"/>
                <w:lang w:val="en-US"/>
              </w:rPr>
              <w:t>cost-benefit of the immunizer and its possibility of implementation.</w:t>
            </w:r>
          </w:p>
          <w:p w14:paraId="5EA3CBCA" w14:textId="44CAAC76" w:rsidR="0047799A" w:rsidRPr="00C33556" w:rsidRDefault="000F53EC" w:rsidP="00934F81">
            <w:pPr>
              <w:jc w:val="both"/>
              <w:rPr>
                <w:rFonts w:ascii="Times New Roman" w:hAnsi="Times New Roman" w:cs="Times New Roman"/>
                <w:sz w:val="20"/>
                <w:szCs w:val="20"/>
                <w:lang w:val="en-US"/>
              </w:rPr>
            </w:pPr>
            <w:r w:rsidRPr="00C33556">
              <w:rPr>
                <w:rFonts w:ascii="Times New Roman" w:hAnsi="Times New Roman" w:cs="Times New Roman"/>
                <w:sz w:val="20"/>
                <w:szCs w:val="20"/>
                <w:lang w:val="en-US"/>
              </w:rPr>
              <w:t>If the licensing is approved, the manufacturer continues to undergo inspections, test reviews and analyzes of vaccine batches by health regulatory agencies periodically, which may include Phase IV tests. (Pharmacovigilance Measures)</w:t>
            </w:r>
          </w:p>
        </w:tc>
      </w:tr>
      <w:tr w:rsidR="00C33556" w:rsidRPr="00DB1B92" w14:paraId="6C8CDDC4" w14:textId="7BEF3829" w:rsidTr="001E2F7F">
        <w:trPr>
          <w:trHeight w:val="509"/>
        </w:trPr>
        <w:tc>
          <w:tcPr>
            <w:tcW w:w="2695" w:type="dxa"/>
            <w:vMerge/>
            <w:tcBorders>
              <w:left w:val="single" w:sz="4" w:space="0" w:color="FFFFFF" w:themeColor="background1"/>
            </w:tcBorders>
            <w:vAlign w:val="center"/>
          </w:tcPr>
          <w:p w14:paraId="0A825B63" w14:textId="77777777" w:rsidR="0047799A" w:rsidRPr="00C33556" w:rsidRDefault="0047799A" w:rsidP="009E7D41">
            <w:pPr>
              <w:spacing w:line="480" w:lineRule="auto"/>
              <w:jc w:val="center"/>
              <w:rPr>
                <w:rFonts w:ascii="Times New Roman" w:hAnsi="Times New Roman" w:cs="Times New Roman"/>
                <w:sz w:val="20"/>
                <w:szCs w:val="20"/>
                <w:lang w:val="en-US"/>
              </w:rPr>
            </w:pPr>
          </w:p>
        </w:tc>
        <w:tc>
          <w:tcPr>
            <w:tcW w:w="1080" w:type="dxa"/>
            <w:tcBorders>
              <w:right w:val="single" w:sz="4" w:space="0" w:color="FFFFFF" w:themeColor="background1"/>
            </w:tcBorders>
            <w:vAlign w:val="center"/>
          </w:tcPr>
          <w:p w14:paraId="45F89585" w14:textId="759EC951" w:rsidR="0047799A" w:rsidRPr="00C33556" w:rsidRDefault="00F96C1D" w:rsidP="0047799A">
            <w:pPr>
              <w:jc w:val="center"/>
              <w:rPr>
                <w:rFonts w:ascii="Times New Roman" w:hAnsi="Times New Roman" w:cs="Times New Roman"/>
                <w:sz w:val="20"/>
                <w:szCs w:val="20"/>
              </w:rPr>
            </w:pPr>
            <w:r w:rsidRPr="00C33556">
              <w:rPr>
                <w:rFonts w:ascii="Times New Roman" w:hAnsi="Times New Roman" w:cs="Times New Roman"/>
                <w:sz w:val="20"/>
                <w:szCs w:val="20"/>
              </w:rPr>
              <w:t>Phase</w:t>
            </w:r>
            <w:r w:rsidR="00A914E2">
              <w:rPr>
                <w:rFonts w:ascii="Times New Roman" w:hAnsi="Times New Roman" w:cs="Times New Roman"/>
                <w:sz w:val="20"/>
                <w:szCs w:val="20"/>
              </w:rPr>
              <w:t xml:space="preserve"> </w:t>
            </w:r>
            <w:r w:rsidR="0047799A" w:rsidRPr="00C33556">
              <w:rPr>
                <w:rFonts w:ascii="Times New Roman" w:hAnsi="Times New Roman" w:cs="Times New Roman"/>
                <w:sz w:val="20"/>
                <w:szCs w:val="20"/>
              </w:rPr>
              <w:t>IV</w:t>
            </w:r>
          </w:p>
        </w:tc>
        <w:tc>
          <w:tcPr>
            <w:tcW w:w="4719" w:type="dxa"/>
            <w:tcBorders>
              <w:right w:val="single" w:sz="4" w:space="0" w:color="FFFFFF" w:themeColor="background1"/>
            </w:tcBorders>
          </w:tcPr>
          <w:p w14:paraId="234A7599" w14:textId="26CB5341" w:rsidR="0047799A" w:rsidRPr="00C33556" w:rsidRDefault="00BB2298" w:rsidP="0047799A">
            <w:pPr>
              <w:jc w:val="both"/>
              <w:rPr>
                <w:rFonts w:ascii="Times New Roman" w:hAnsi="Times New Roman" w:cs="Times New Roman"/>
                <w:sz w:val="20"/>
                <w:szCs w:val="20"/>
                <w:lang w:val="en-US"/>
              </w:rPr>
            </w:pPr>
            <w:r w:rsidRPr="00C33556">
              <w:rPr>
                <w:rFonts w:ascii="Times New Roman" w:hAnsi="Times New Roman" w:cs="Times New Roman"/>
                <w:sz w:val="20"/>
                <w:szCs w:val="20"/>
                <w:lang w:val="en-US"/>
              </w:rPr>
              <w:t xml:space="preserve"> </w:t>
            </w:r>
            <w:r w:rsidR="00F96C1D" w:rsidRPr="00C33556">
              <w:rPr>
                <w:rFonts w:ascii="Times New Roman" w:hAnsi="Times New Roman" w:cs="Times New Roman"/>
                <w:sz w:val="20"/>
                <w:szCs w:val="20"/>
                <w:lang w:val="en-US"/>
              </w:rPr>
              <w:t>Monitoring of safety, efficacy and other possibilities of use, incorporating pharmacovigilance measures.</w:t>
            </w:r>
          </w:p>
        </w:tc>
      </w:tr>
      <w:tr w:rsidR="00C33556" w:rsidRPr="00DB1B92" w14:paraId="64D0B7F2" w14:textId="77777777" w:rsidTr="001E2F7F">
        <w:trPr>
          <w:trHeight w:val="366"/>
        </w:trPr>
        <w:tc>
          <w:tcPr>
            <w:tcW w:w="2695" w:type="dxa"/>
            <w:tcBorders>
              <w:left w:val="single" w:sz="4" w:space="0" w:color="FFFFFF" w:themeColor="background1"/>
            </w:tcBorders>
            <w:vAlign w:val="center"/>
          </w:tcPr>
          <w:p w14:paraId="14371B53" w14:textId="12AA168F" w:rsidR="003E405A" w:rsidRPr="00C33556" w:rsidRDefault="00D335A1" w:rsidP="009E7D41">
            <w:pPr>
              <w:spacing w:line="480" w:lineRule="auto"/>
              <w:jc w:val="center"/>
              <w:rPr>
                <w:rFonts w:ascii="Times New Roman" w:hAnsi="Times New Roman" w:cs="Times New Roman"/>
                <w:sz w:val="20"/>
                <w:szCs w:val="20"/>
              </w:rPr>
            </w:pPr>
            <w:r w:rsidRPr="00C33556">
              <w:rPr>
                <w:rFonts w:ascii="Times New Roman" w:hAnsi="Times New Roman" w:cs="Times New Roman"/>
                <w:sz w:val="20"/>
                <w:szCs w:val="20"/>
              </w:rPr>
              <w:lastRenderedPageBreak/>
              <w:t>Surveillance</w:t>
            </w:r>
          </w:p>
        </w:tc>
        <w:tc>
          <w:tcPr>
            <w:tcW w:w="5799" w:type="dxa"/>
            <w:gridSpan w:val="2"/>
            <w:tcBorders>
              <w:right w:val="single" w:sz="4" w:space="0" w:color="FFFFFF" w:themeColor="background1"/>
            </w:tcBorders>
          </w:tcPr>
          <w:p w14:paraId="2120079C" w14:textId="387952E1" w:rsidR="00C957CF" w:rsidRPr="00C33556" w:rsidRDefault="001E2F7F" w:rsidP="0009534A">
            <w:pPr>
              <w:jc w:val="both"/>
              <w:rPr>
                <w:rFonts w:ascii="Times New Roman" w:hAnsi="Times New Roman" w:cs="Times New Roman"/>
                <w:sz w:val="20"/>
                <w:szCs w:val="20"/>
                <w:lang w:val="en-US"/>
              </w:rPr>
            </w:pPr>
            <w:r w:rsidRPr="00C33556">
              <w:rPr>
                <w:rFonts w:ascii="Times New Roman" w:hAnsi="Times New Roman" w:cs="Times New Roman"/>
                <w:sz w:val="20"/>
                <w:szCs w:val="20"/>
                <w:lang w:val="en-US"/>
              </w:rPr>
              <w:t>Assess, notify, monitor and implement a database regarding the occurrence of adverse events in the use of vaccines.</w:t>
            </w:r>
          </w:p>
        </w:tc>
      </w:tr>
    </w:tbl>
    <w:p w14:paraId="07C1E75F" w14:textId="77777777" w:rsidR="00E4399A" w:rsidRDefault="00E4399A" w:rsidP="00001BF6">
      <w:pPr>
        <w:spacing w:line="480" w:lineRule="auto"/>
        <w:jc w:val="both"/>
        <w:rPr>
          <w:rFonts w:ascii="Times New Roman" w:hAnsi="Times New Roman" w:cs="Times New Roman"/>
          <w:sz w:val="24"/>
          <w:szCs w:val="24"/>
          <w:lang w:val="en-US"/>
        </w:rPr>
      </w:pPr>
    </w:p>
    <w:p w14:paraId="17AD54F8" w14:textId="5DA0A394" w:rsidR="00C915E7" w:rsidRPr="00C33556" w:rsidRDefault="006837A5" w:rsidP="000930AB">
      <w:pPr>
        <w:spacing w:line="480" w:lineRule="auto"/>
        <w:ind w:firstLine="708"/>
        <w:jc w:val="both"/>
        <w:rPr>
          <w:rFonts w:ascii="Times New Roman" w:hAnsi="Times New Roman" w:cs="Times New Roman"/>
          <w:sz w:val="24"/>
          <w:szCs w:val="24"/>
          <w:lang w:val="en-US"/>
        </w:rPr>
      </w:pPr>
      <w:r w:rsidRPr="00C33556">
        <w:rPr>
          <w:rFonts w:ascii="Times New Roman" w:hAnsi="Times New Roman" w:cs="Times New Roman"/>
          <w:sz w:val="24"/>
          <w:szCs w:val="24"/>
          <w:lang w:val="en-US"/>
        </w:rPr>
        <w:t xml:space="preserve">In this </w:t>
      </w:r>
      <w:r w:rsidR="005B3838" w:rsidRPr="005B3838">
        <w:rPr>
          <w:rFonts w:ascii="Times New Roman" w:hAnsi="Times New Roman" w:cs="Times New Roman"/>
          <w:sz w:val="24"/>
          <w:szCs w:val="24"/>
          <w:lang w:val="en-US"/>
        </w:rPr>
        <w:t>context,</w:t>
      </w:r>
      <w:r w:rsidRPr="00C33556">
        <w:rPr>
          <w:rFonts w:ascii="Times New Roman" w:hAnsi="Times New Roman" w:cs="Times New Roman"/>
          <w:sz w:val="24"/>
          <w:szCs w:val="24"/>
          <w:lang w:val="en-US"/>
        </w:rPr>
        <w:t>, the acceleration in the development process of COVID-19 vaccines, which, has allowed the rapid implementation of immunization plans, can be explained in part by the huge investment of public and non-profit institutions in companies with candidate vaccines and in the employment of emergency authorization use, such as that issued by the World Health Organization (WHO)</w:t>
      </w:r>
      <w:r w:rsidR="004E1BBA" w:rsidRPr="00C33556">
        <w:rPr>
          <w:rFonts w:ascii="Times New Roman" w:hAnsi="Times New Roman" w:cs="Times New Roman"/>
          <w:sz w:val="24"/>
          <w:szCs w:val="24"/>
          <w:lang w:val="en-US"/>
        </w:rPr>
        <w:t>.</w:t>
      </w:r>
      <w:r w:rsidR="00331BD5">
        <w:rPr>
          <w:rStyle w:val="FootnoteReference"/>
          <w:rFonts w:ascii="Times New Roman" w:hAnsi="Times New Roman" w:cs="Times New Roman"/>
          <w:sz w:val="24"/>
          <w:szCs w:val="24"/>
          <w:lang w:val="en-US"/>
        </w:rPr>
        <w:fldChar w:fldCharType="begin" w:fldLock="1"/>
      </w:r>
      <w:r w:rsidR="0036604F">
        <w:rPr>
          <w:rFonts w:ascii="Times New Roman" w:hAnsi="Times New Roman" w:cs="Times New Roman"/>
          <w:sz w:val="24"/>
          <w:szCs w:val="24"/>
          <w:lang w:val="en-US"/>
        </w:rPr>
        <w:instrText>ADDIN CSL_CITATION {"citationItems":[{"id":"ITEM-1","itemData":{"DOI":"10.3389/fimmu.2020.579250","ISSN":"1664-3224","PMID":"33123165","abstract":"There are currently around 200 SARS-CoV-2 candidate vaccines in preclinical and clinical trials throughout the world. The various candidates employ a range of vaccine strategies including some novel approaches. Currently, the goal is to prove that they are safe and immunogenic in humans (phase 1/2 studies) with several now advancing into phase 2 and 3 trials to demonstrate efficacy and gather comprehensive data on safety. It is highly likely that many vaccines will be shown to stimulate antibody and T cell responses in healthy individuals and have an acceptable safety profile, but the key will be to confirm that they protect against COVID-19. There is much hope that SARS-CoV-2 vaccines will be rolled out to the entire world to contain the pandemic and avert its most damaging impacts. However, in all likelihood this will initially require a targeted approach toward key vulnerable groups. Collaborative efforts are underway to ensure manufacturing can occur at the unprecedented scale and speed required to immunize billions of people. Ensuring deployment also occurs equitably across the globe will be critical. Careful evaluation and ongoing surveillance for safety will be required to address theoretical concerns regarding immune enhancement seen in previous contexts. Herein, we review the current knowledge about the immune response to this novel virus as it pertains to the design of effective and safe SARS-CoV-2 vaccines and the range of novel and established approaches to vaccine development being taken. We provide details of some of the frontrunner vaccines and discuss potential issues including adverse effects, scale-up and delivery.","author":[{"dropping-particle":"","family":"Flanagan","given":"Katie L.","non-dropping-particle":"","parse-names":false,"suffix":""},{"dropping-particle":"","family":"Best","given":"Emma","non-dropping-particle":"","parse-names":false,"suffix":""},{"dropping-particle":"","family":"Crawford","given":"Nigel W.","non-dropping-particle":"","parse-names":false,"suffix":""},{"dropping-particle":"","family":"Giles","given":"Michelle","non-dropping-particle":"","parse-names":false,"suffix":""},{"dropping-particle":"","family":"Koirala","given":"Archana","non-dropping-particle":"","parse-names":false,"suffix":""},{"dropping-particle":"","family":"Macartney","given":"Kristine","non-dropping-particle":"","parse-names":false,"suffix":""},{"dropping-particle":"","family":"Russell","given":"Fiona","non-dropping-particle":"","parse-names":false,"suffix":""},{"dropping-particle":"","family":"Teh","given":"Benjamin W.","non-dropping-particle":"","parse-names":false,"suffix":""},{"dropping-particle":"","family":"Wen","given":"Sophie CH","non-dropping-particle":"","parse-names":false,"suffix":""}],"container-title":"Frontiers in immunology","id":"ITEM-1","issued":{"date-parts":[["2020","10","2"]]},"page":"579250","title":"Progress and Pitfalls in the Quest for Effective SARS-CoV-2 (COVID-19) Vaccines.","type":"article-journal","volume":"11"},"uris":["http://www.mendeley.com/documents/?uuid=8c109a71-66ba-4b2b-a936-71e1321b8461"]},{"id":"ITEM-2","itemData":{"DOI":"10.1016/S0140-6736(21)00306-8","ISSN":"1474-547X","PMID":"33587887","abstract":"The COVID-19 pandemic is unlikely to end until there is global roll-out of vaccines that protect against severe disease and preferably drive herd immunity. Regulators in numerous countries have authorised or approved COVID-19 vaccines for human use, with more expected to be licensed in 2021. Yet having licensed vaccines is not enough to achieve global control of COVID-19: they also need to be produced at scale, priced affordably, allocated globally so that they are available where needed, and widely deployed in local communities. In this Health Policy paper, we review potential challenges to success in each of these dimensions and discuss policy implications. To guide our review, we developed a dashboard to highlight key characteristics of 26 leading vaccine candidates, including efficacy levels, dosing regimens, storage requirements, prices, production capacities in 2021, and stocks reserved for low-income and middle-income countries. We use a traffic-light system to signal the potential contributions of each candidate to achieving global vaccine immunity, highlighting important trade-offs that policy makers need to consider when developing and implementing vaccination programmes. Although specific datapoints are subject to change as the pandemic response progresses, the dashboard will continue to provide a useful lens through which to analyse the key issues affecting the use of COVID-19 vaccines. We also present original data from a 32-country survey (n=26 758) on potential acceptance of COVID-19 vaccines, conducted from October to December, 2020. Vaccine acceptance was highest in Vietnam (98%), India (91%), China (91%), Denmark (87%), and South Korea (87%), and lowest in Serbia (38%), Croatia (41%), France (44%), Lebanon (44%), and Paraguay (51%).","author":[{"dropping-particle":"","family":"Wouters","given":"Olivier J","non-dropping-particle":"","parse-names":false,"suffix":""},{"dropping-particle":"","family":"Shadlen","given":"Kenneth C","non-dropping-particle":"","parse-names":false,"suffix":""},{"dropping-particle":"","family":"Salcher-Konrad","given":"Maximilian","non-dropping-particle":"","parse-names":false,"suffix":""},{"dropping-particle":"","family":"Pollard","given":"Andrew J","non-dropping-particle":"","parse-names":false,"suffix":""},{"dropping-particle":"","family":"Larson","given":"Heidi J","non-dropping-particle":"","parse-names":false,"suffix":""},{"dropping-particle":"","family":"Teerawattananon","given":"Yot","non-dropping-particle":"","parse-names":false,"suffix":""},{"dropping-particle":"","family":"Jit","given":"Mark","non-dropping-particle":"","parse-names":false,"suffix":""}],"container-title":"Lancet (London, England)","id":"ITEM-2","issue":"10278","issued":{"date-parts":[["2021","3","13"]]},"page":"1023-1034","title":"Challenges in ensuring global access to COVID-19 vaccines: production, affordability, allocation, and deployment.","type":"article-journal","volume":"397"},"uris":["http://www.mendeley.com/documents/?uuid=c0d3ec35-ea0d-4e5b-ac8c-021a97845266"]}],"mendeley":{"formattedCitation":"(3,4)","plainTextFormattedCitation":"(3,4)","previouslyFormattedCitation":"(Flanagan et al. 2020; Wouters et al. 2021)"},"properties":{"noteIndex":0},"schema":"https://github.com/citation-style-language/schema/raw/master/csl-citation.json"}</w:instrText>
      </w:r>
      <w:r w:rsidR="00331BD5">
        <w:rPr>
          <w:rStyle w:val="FootnoteReference"/>
          <w:rFonts w:ascii="Times New Roman" w:hAnsi="Times New Roman" w:cs="Times New Roman"/>
          <w:sz w:val="24"/>
          <w:szCs w:val="24"/>
          <w:lang w:val="en-US"/>
        </w:rPr>
        <w:fldChar w:fldCharType="separate"/>
      </w:r>
      <w:r w:rsidR="0036604F" w:rsidRPr="0036604F">
        <w:rPr>
          <w:rFonts w:ascii="Times New Roman" w:hAnsi="Times New Roman" w:cs="Times New Roman"/>
          <w:bCs/>
          <w:noProof/>
          <w:sz w:val="24"/>
          <w:szCs w:val="24"/>
          <w:lang w:val="en-US"/>
        </w:rPr>
        <w:t>(3,4)</w:t>
      </w:r>
      <w:r w:rsidR="00331BD5">
        <w:rPr>
          <w:rStyle w:val="FootnoteReference"/>
          <w:rFonts w:ascii="Times New Roman" w:hAnsi="Times New Roman" w:cs="Times New Roman"/>
          <w:sz w:val="24"/>
          <w:szCs w:val="24"/>
          <w:lang w:val="en-US"/>
        </w:rPr>
        <w:fldChar w:fldCharType="end"/>
      </w:r>
      <w:r w:rsidRPr="00C33556">
        <w:rPr>
          <w:rFonts w:ascii="Times New Roman" w:hAnsi="Times New Roman" w:cs="Times New Roman"/>
          <w:sz w:val="24"/>
          <w:szCs w:val="24"/>
          <w:lang w:val="en-US"/>
        </w:rPr>
        <w:t xml:space="preserve"> </w:t>
      </w:r>
      <w:r w:rsidR="00C915E7" w:rsidRPr="00C33556">
        <w:rPr>
          <w:rFonts w:ascii="Times New Roman" w:hAnsi="Times New Roman" w:cs="Times New Roman"/>
          <w:sz w:val="24"/>
          <w:szCs w:val="24"/>
          <w:lang w:val="en-US"/>
        </w:rPr>
        <w:t xml:space="preserve">Thus, </w:t>
      </w:r>
      <w:r w:rsidR="00FB5185">
        <w:rPr>
          <w:rFonts w:ascii="Times New Roman" w:hAnsi="Times New Roman" w:cs="Times New Roman"/>
          <w:sz w:val="24"/>
          <w:szCs w:val="24"/>
          <w:lang w:val="en-US"/>
        </w:rPr>
        <w:t>i</w:t>
      </w:r>
      <w:r w:rsidR="00C915E7" w:rsidRPr="00C33556">
        <w:rPr>
          <w:rFonts w:ascii="Times New Roman" w:hAnsi="Times New Roman" w:cs="Times New Roman"/>
          <w:sz w:val="24"/>
          <w:szCs w:val="24"/>
          <w:lang w:val="en-US"/>
        </w:rPr>
        <w:t xml:space="preserve">n </w:t>
      </w:r>
      <w:r w:rsidR="00E4399A">
        <w:rPr>
          <w:rFonts w:ascii="Times New Roman" w:hAnsi="Times New Roman" w:cs="Times New Roman"/>
          <w:sz w:val="24"/>
          <w:szCs w:val="24"/>
          <w:lang w:val="en-US"/>
        </w:rPr>
        <w:t>November</w:t>
      </w:r>
      <w:r w:rsidR="00C915E7" w:rsidRPr="00C33556">
        <w:rPr>
          <w:rFonts w:ascii="Times New Roman" w:hAnsi="Times New Roman" w:cs="Times New Roman"/>
          <w:sz w:val="24"/>
          <w:szCs w:val="24"/>
          <w:lang w:val="en-US"/>
        </w:rPr>
        <w:t xml:space="preserve"> 2021, </w:t>
      </w:r>
      <w:r w:rsidR="00FB5185" w:rsidRPr="00FB5185">
        <w:rPr>
          <w:rFonts w:ascii="Times New Roman" w:hAnsi="Times New Roman" w:cs="Times New Roman"/>
          <w:sz w:val="24"/>
          <w:szCs w:val="24"/>
          <w:lang w:val="en-US"/>
        </w:rPr>
        <w:t>20 months after the WHO characterized COVID-19 as a pandemic,  situation for the development of COVID-19 vaccines was:</w:t>
      </w:r>
      <w:r w:rsidR="00C915E7" w:rsidRPr="00C33556">
        <w:rPr>
          <w:rFonts w:ascii="Times New Roman" w:hAnsi="Times New Roman" w:cs="Times New Roman"/>
          <w:sz w:val="24"/>
          <w:szCs w:val="24"/>
          <w:lang w:val="en-US"/>
        </w:rPr>
        <w:t xml:space="preserve">: </w:t>
      </w:r>
      <w:r w:rsidR="001B4050" w:rsidRPr="00C33556">
        <w:rPr>
          <w:rFonts w:ascii="Times New Roman" w:hAnsi="Times New Roman" w:cs="Times New Roman"/>
          <w:sz w:val="24"/>
          <w:szCs w:val="24"/>
          <w:lang w:val="en-US"/>
        </w:rPr>
        <w:t>32</w:t>
      </w:r>
      <w:r w:rsidR="00E4399A">
        <w:rPr>
          <w:rFonts w:ascii="Times New Roman" w:hAnsi="Times New Roman" w:cs="Times New Roman"/>
          <w:sz w:val="24"/>
          <w:szCs w:val="24"/>
          <w:lang w:val="en-US"/>
        </w:rPr>
        <w:t>9</w:t>
      </w:r>
      <w:r w:rsidR="001B4050" w:rsidRPr="00C33556">
        <w:rPr>
          <w:rFonts w:ascii="Times New Roman" w:hAnsi="Times New Roman" w:cs="Times New Roman"/>
          <w:sz w:val="24"/>
          <w:szCs w:val="24"/>
          <w:lang w:val="en-US"/>
        </w:rPr>
        <w:t xml:space="preserve"> </w:t>
      </w:r>
      <w:r w:rsidR="00C915E7" w:rsidRPr="00C33556">
        <w:rPr>
          <w:rFonts w:ascii="Times New Roman" w:hAnsi="Times New Roman" w:cs="Times New Roman"/>
          <w:sz w:val="24"/>
          <w:szCs w:val="24"/>
          <w:lang w:val="en-US"/>
        </w:rPr>
        <w:t xml:space="preserve">vaccine candidates, of which </w:t>
      </w:r>
      <w:r w:rsidR="00E4399A">
        <w:rPr>
          <w:rFonts w:ascii="Times New Roman" w:hAnsi="Times New Roman" w:cs="Times New Roman"/>
          <w:sz w:val="24"/>
          <w:szCs w:val="24"/>
          <w:lang w:val="en-US"/>
        </w:rPr>
        <w:t>111</w:t>
      </w:r>
      <w:r w:rsidR="00C915E7" w:rsidRPr="00C33556">
        <w:rPr>
          <w:rFonts w:ascii="Times New Roman" w:hAnsi="Times New Roman" w:cs="Times New Roman"/>
          <w:sz w:val="24"/>
          <w:szCs w:val="24"/>
          <w:lang w:val="en-US"/>
        </w:rPr>
        <w:t xml:space="preserve"> were in clinical testing, </w:t>
      </w:r>
      <w:r w:rsidR="00E4399A">
        <w:rPr>
          <w:rFonts w:ascii="Times New Roman" w:hAnsi="Times New Roman" w:cs="Times New Roman"/>
          <w:sz w:val="24"/>
          <w:szCs w:val="24"/>
          <w:lang w:val="en-US"/>
        </w:rPr>
        <w:t>23</w:t>
      </w:r>
      <w:r w:rsidR="00C915E7" w:rsidRPr="00C33556">
        <w:rPr>
          <w:rFonts w:ascii="Times New Roman" w:hAnsi="Times New Roman" w:cs="Times New Roman"/>
          <w:sz w:val="24"/>
          <w:szCs w:val="24"/>
          <w:lang w:val="en-US"/>
        </w:rPr>
        <w:t xml:space="preserve"> in use and </w:t>
      </w:r>
      <w:r w:rsidR="003435A6" w:rsidRPr="00C33556">
        <w:rPr>
          <w:rFonts w:ascii="Times New Roman" w:hAnsi="Times New Roman" w:cs="Times New Roman"/>
          <w:sz w:val="24"/>
          <w:szCs w:val="24"/>
          <w:lang w:val="en-US"/>
        </w:rPr>
        <w:t>7</w:t>
      </w:r>
      <w:r w:rsidR="00C915E7" w:rsidRPr="00C33556">
        <w:rPr>
          <w:rFonts w:ascii="Times New Roman" w:hAnsi="Times New Roman" w:cs="Times New Roman"/>
          <w:sz w:val="24"/>
          <w:szCs w:val="24"/>
          <w:lang w:val="en-US"/>
        </w:rPr>
        <w:t xml:space="preserve"> vaccines</w:t>
      </w:r>
      <w:r w:rsidR="00413592">
        <w:rPr>
          <w:rFonts w:ascii="Times New Roman" w:hAnsi="Times New Roman" w:cs="Times New Roman"/>
          <w:sz w:val="24"/>
          <w:szCs w:val="24"/>
          <w:lang w:val="en-US"/>
        </w:rPr>
        <w:t xml:space="preserve"> </w:t>
      </w:r>
      <w:r w:rsidR="00C915E7" w:rsidRPr="00C33556">
        <w:rPr>
          <w:rFonts w:ascii="Times New Roman" w:hAnsi="Times New Roman" w:cs="Times New Roman"/>
          <w:sz w:val="24"/>
          <w:szCs w:val="24"/>
          <w:lang w:val="en-US"/>
        </w:rPr>
        <w:t>had already received WHO emergency authorization use, which , are still undergoing clinical trials</w:t>
      </w:r>
      <w:r w:rsidR="00BA1992" w:rsidRPr="00C33556">
        <w:rPr>
          <w:rFonts w:ascii="Times New Roman" w:hAnsi="Times New Roman" w:cs="Times New Roman"/>
          <w:sz w:val="24"/>
          <w:szCs w:val="24"/>
          <w:lang w:val="en-US"/>
        </w:rPr>
        <w:t>.</w:t>
      </w:r>
      <w:r w:rsidR="00BA1992" w:rsidRPr="00C33556">
        <w:rPr>
          <w:lang w:val="en-US"/>
        </w:rPr>
        <w:t xml:space="preserve"> </w:t>
      </w:r>
      <w:r w:rsidR="00413592">
        <w:rPr>
          <w:rStyle w:val="FootnoteReference"/>
          <w:rFonts w:ascii="Times New Roman" w:hAnsi="Times New Roman" w:cs="Times New Roman"/>
          <w:sz w:val="24"/>
          <w:szCs w:val="24"/>
          <w:lang w:val="en-US"/>
        </w:rPr>
        <w:fldChar w:fldCharType="begin" w:fldLock="1"/>
      </w:r>
      <w:r w:rsidR="0036604F">
        <w:rPr>
          <w:rFonts w:ascii="Times New Roman" w:hAnsi="Times New Roman" w:cs="Times New Roman"/>
          <w:sz w:val="24"/>
          <w:szCs w:val="24"/>
          <w:lang w:val="en-US"/>
        </w:rPr>
        <w:instrText>ADDIN CSL_CITATION {"citationItems":[{"id":"ITEM-1","itemData":{"DOI":"10.1016/s2214-109x(21)00043-7","ISSN":"2214109X","PMID":"33667404","abstract":"The past year has seen the rapid global spread of SARS-CoV-2—the virus responsible for the ongoing COVID-19 pandemic. While non-pharmaceutical inter ventions have been the mainstay of epidemic control to date, vaccination is likely to constitute the definitive, long …","author":[{"dropping-particle":"","family":"Shrotri","given":"Madhumita","non-dropping-particle":"","parse-names":false,"suffix":""},{"dropping-particle":"","family":"Swinnen","given":"Tui","non-dropping-particle":"","parse-names":false,"suffix":""},{"dropping-particle":"","family":"Kampmann","given":"Beate","non-dropping-particle":"","parse-names":false,"suffix":""},{"dropping-particle":"","family":"Parker","given":"Edward P K","non-dropping-particle":"","parse-names":false,"suffix":""}],"container-title":"The Lancet Global Health","id":"ITEM-1","issue":"5","issued":{"date-parts":[["2021"]]},"page":"e590-e592","title":"An interactive website tracking COVID-19 vaccine development","type":"article-journal","volume":"9"},"uris":["http://www.mendeley.com/documents/?uuid=c655f4d9-279f-4111-a32e-26c6cb77bcd9"]},{"id":"ITEM-2","itemData":{"URL":"https://www.cdc.gov/vaccines/basics/test-approve.html","accessed":{"date-parts":[["2021","5","14"]]},"author":[{"dropping-particle":"","family":"CDC","given":"","non-dropping-particle":"","parse-names":false,"suffix":""}],"container-title":"Vaccines and Immunizations","id":"ITEM-2","issued":{"date-parts":[["2016"]]},"title":"Vaccine Testing and Approval Process | CDC","type":"webpage"},"uris":["http://www.mendeley.com/documents/?uuid=298793fd-f8c3-363f-8594-24eeeb1d083b"]},{"id":"ITEM-3","itemData":{"URL":"https://extranet.who.int/pqweb/vaccines/vaccinescovid-19-vaccine-eul-issued","accessed":{"date-parts":[["2021","11","13"]]},"author":[{"dropping-particle":"","family":"World Health Organization Ethics and COVID-19 Working Group","given":"","non-dropping-particle":"","parse-names":false,"suffix":""}],"id":"ITEM-3","issued":{"date-parts":[["2021"]]},"title":"Vaccines/COVID-19 vaccine EUL issued | WHO - Prequalification of Medical Products (IVDs, Medicines, Vaccines and Immunization Devices, Vector Control)","type":"webpage"},"uris":["http://www.mendeley.com/documents/?uuid=fd8976da-b840-375f-bdd4-4ceb76f818d7"]}],"mendeley":{"formattedCitation":"(10,11,15)","plainTextFormattedCitation":"(10,11,15)","previouslyFormattedCitation":"(Shrotri et al. 2021; CDC 2016; World Health Organization Ethics and COVID-19 Working Group 2021b)"},"properties":{"noteIndex":0},"schema":"https://github.com/citation-style-language/schema/raw/master/csl-citation.json"}</w:instrText>
      </w:r>
      <w:r w:rsidR="00413592">
        <w:rPr>
          <w:rStyle w:val="FootnoteReference"/>
          <w:rFonts w:ascii="Times New Roman" w:hAnsi="Times New Roman" w:cs="Times New Roman"/>
          <w:sz w:val="24"/>
          <w:szCs w:val="24"/>
          <w:lang w:val="en-US"/>
        </w:rPr>
        <w:fldChar w:fldCharType="separate"/>
      </w:r>
      <w:r w:rsidR="0036604F" w:rsidRPr="0036604F">
        <w:rPr>
          <w:rFonts w:ascii="Times New Roman" w:hAnsi="Times New Roman" w:cs="Times New Roman"/>
          <w:noProof/>
          <w:sz w:val="24"/>
          <w:szCs w:val="24"/>
          <w:lang w:val="en-US"/>
        </w:rPr>
        <w:t>(10,11,15)</w:t>
      </w:r>
      <w:r w:rsidR="00413592">
        <w:rPr>
          <w:rStyle w:val="FootnoteReference"/>
          <w:rFonts w:ascii="Times New Roman" w:hAnsi="Times New Roman" w:cs="Times New Roman"/>
          <w:sz w:val="24"/>
          <w:szCs w:val="24"/>
          <w:lang w:val="en-US"/>
        </w:rPr>
        <w:fldChar w:fldCharType="end"/>
      </w:r>
      <w:r w:rsidR="00E44D52" w:rsidRPr="00C33556">
        <w:rPr>
          <w:rFonts w:ascii="Times New Roman" w:hAnsi="Times New Roman" w:cs="Times New Roman"/>
          <w:sz w:val="24"/>
          <w:szCs w:val="24"/>
          <w:lang w:val="en-US"/>
        </w:rPr>
        <w:t xml:space="preserve"> </w:t>
      </w:r>
      <w:r w:rsidR="00C915E7" w:rsidRPr="00C33556">
        <w:rPr>
          <w:rFonts w:ascii="Times New Roman" w:hAnsi="Times New Roman" w:cs="Times New Roman"/>
          <w:sz w:val="24"/>
          <w:szCs w:val="24"/>
          <w:lang w:val="en-US"/>
        </w:rPr>
        <w:t>Furthermore, it is clear that in addition to WHO, countries also have the autonomy to issue an emergency authorization use for vaccines internally in their domains regardless of whether or not they are authorized by WHO</w:t>
      </w:r>
      <w:r w:rsidR="00FF69B1">
        <w:rPr>
          <w:rFonts w:ascii="Times New Roman" w:hAnsi="Times New Roman" w:cs="Times New Roman"/>
          <w:sz w:val="24"/>
          <w:szCs w:val="24"/>
          <w:lang w:val="en-US"/>
        </w:rPr>
        <w:t>,</w:t>
      </w:r>
      <w:r w:rsidR="00DE190A" w:rsidRPr="00C33556">
        <w:rPr>
          <w:rFonts w:ascii="Times New Roman" w:hAnsi="Times New Roman" w:cs="Times New Roman"/>
          <w:sz w:val="24"/>
          <w:szCs w:val="24"/>
          <w:lang w:val="en-US"/>
        </w:rPr>
        <w:t xml:space="preserve"> </w:t>
      </w:r>
      <w:r w:rsidR="00FF69B1">
        <w:rPr>
          <w:rFonts w:ascii="Times New Roman" w:hAnsi="Times New Roman" w:cs="Times New Roman"/>
          <w:sz w:val="24"/>
          <w:szCs w:val="24"/>
          <w:lang w:val="en-US"/>
        </w:rPr>
        <w:t>c</w:t>
      </w:r>
      <w:r w:rsidR="00FF69B1" w:rsidRPr="00FF69B1">
        <w:rPr>
          <w:rFonts w:ascii="Times New Roman" w:hAnsi="Times New Roman" w:cs="Times New Roman"/>
          <w:sz w:val="24"/>
          <w:szCs w:val="24"/>
          <w:lang w:val="en-US"/>
        </w:rPr>
        <w:t>onsequently</w:t>
      </w:r>
      <w:r w:rsidR="00FF69B1">
        <w:rPr>
          <w:rFonts w:ascii="Times New Roman" w:hAnsi="Times New Roman" w:cs="Times New Roman"/>
          <w:sz w:val="24"/>
          <w:szCs w:val="24"/>
          <w:lang w:val="en-US"/>
        </w:rPr>
        <w:t xml:space="preserve">, </w:t>
      </w:r>
      <w:r w:rsidR="00C915E7" w:rsidRPr="00C33556">
        <w:rPr>
          <w:rFonts w:ascii="Times New Roman" w:hAnsi="Times New Roman" w:cs="Times New Roman"/>
          <w:sz w:val="24"/>
          <w:szCs w:val="24"/>
          <w:lang w:val="en-US"/>
        </w:rPr>
        <w:t>the number of vaccines currently in use</w:t>
      </w:r>
      <w:r w:rsidR="00FF69B1" w:rsidRPr="004557A8">
        <w:rPr>
          <w:lang w:val="en-US"/>
        </w:rPr>
        <w:t xml:space="preserve"> </w:t>
      </w:r>
      <w:r w:rsidR="00FF69B1" w:rsidRPr="00FF69B1">
        <w:rPr>
          <w:rFonts w:ascii="Times New Roman" w:hAnsi="Times New Roman" w:cs="Times New Roman"/>
          <w:sz w:val="24"/>
          <w:szCs w:val="24"/>
          <w:lang w:val="en-US"/>
        </w:rPr>
        <w:t>in the world</w:t>
      </w:r>
      <w:r w:rsidR="00C915E7" w:rsidRPr="00C33556">
        <w:rPr>
          <w:rFonts w:ascii="Times New Roman" w:hAnsi="Times New Roman" w:cs="Times New Roman"/>
          <w:sz w:val="24"/>
          <w:szCs w:val="24"/>
          <w:lang w:val="en-US"/>
        </w:rPr>
        <w:t xml:space="preserve"> is greater than the number of vaccines with emergency use authorization issued by WHO.</w:t>
      </w:r>
      <w:r w:rsidR="00413592">
        <w:rPr>
          <w:rStyle w:val="FootnoteReference"/>
          <w:rFonts w:ascii="Times New Roman" w:hAnsi="Times New Roman" w:cs="Times New Roman"/>
          <w:sz w:val="24"/>
          <w:szCs w:val="24"/>
          <w:lang w:val="en-US"/>
        </w:rPr>
        <w:fldChar w:fldCharType="begin" w:fldLock="1"/>
      </w:r>
      <w:r w:rsidR="0036604F">
        <w:rPr>
          <w:rFonts w:ascii="Times New Roman" w:hAnsi="Times New Roman" w:cs="Times New Roman"/>
          <w:sz w:val="24"/>
          <w:szCs w:val="24"/>
          <w:lang w:val="en-US"/>
        </w:rPr>
        <w:instrText>ADDIN CSL_CITATION {"citationItems":[{"id":"ITEM-1","itemData":{"DOI":"10.1016/s2214-109x(21)00043-7","ISSN":"2214109X","PMID":"33667404","abstract":"The past year has seen the rapid global spread of SARS-CoV-2—the virus responsible for the ongoing COVID-19 pandemic. While non-pharmaceutical inter ventions have been the mainstay of epidemic control to date, vaccination is likely to constitute the definitive, long …","author":[{"dropping-particle":"","family":"Shrotri","given":"Madhumita","non-dropping-particle":"","parse-names":false,"suffix":""},{"dropping-particle":"","family":"Swinnen","given":"Tui","non-dropping-particle":"","parse-names":false,"suffix":""},{"dropping-particle":"","family":"Kampmann","given":"Beate","non-dropping-particle":"","parse-names":false,"suffix":""},{"dropping-particle":"","family":"Parker","given":"Edward P K","non-dropping-particle":"","parse-names":false,"suffix":""}],"container-title":"The Lancet Global Health","id":"ITEM-1","issue":"5","issued":{"date-parts":[["2021"]]},"page":"e590-e592","title":"An interactive website tracking COVID-19 vaccine development","type":"article-journal","volume":"9"},"uris":["http://www.mendeley.com/documents/?uuid=c655f4d9-279f-4111-a32e-26c6cb77bcd9"]},{"id":"ITEM-2","itemData":{"URL":"https://extranet.who.int/pqweb/vaccines/vaccinescovid-19-vaccine-eul-issued","accessed":{"date-parts":[["2021","11","13"]]},"author":[{"dropping-particle":"","family":"World Health Organization Ethics and COVID-19 Working Group","given":"","non-dropping-particle":"","parse-names":false,"suffix":""}],"id":"ITEM-2","issued":{"date-parts":[["2021"]]},"title":"Vaccines/COVID-19 vaccine EUL issued | WHO - Prequalification of Medical Products (IVDs, Medicines, Vaccines and Immunization Devices, Vector Control)","type":"webpage"},"uris":["http://www.mendeley.com/documents/?uuid=fd8976da-b840-375f-bdd4-4ceb76f818d7"]}],"mendeley":{"formattedCitation":"(10,15)","plainTextFormattedCitation":"(10,15)","previouslyFormattedCitation":"(Shrotri et al. 2021; World Health Organization Ethics and COVID-19 Working Group 2021b)"},"properties":{"noteIndex":0},"schema":"https://github.com/citation-style-language/schema/raw/master/csl-citation.json"}</w:instrText>
      </w:r>
      <w:r w:rsidR="00413592">
        <w:rPr>
          <w:rStyle w:val="FootnoteReference"/>
          <w:rFonts w:ascii="Times New Roman" w:hAnsi="Times New Roman" w:cs="Times New Roman"/>
          <w:sz w:val="24"/>
          <w:szCs w:val="24"/>
          <w:lang w:val="en-US"/>
        </w:rPr>
        <w:fldChar w:fldCharType="separate"/>
      </w:r>
      <w:r w:rsidR="0036604F" w:rsidRPr="0036604F">
        <w:rPr>
          <w:rFonts w:ascii="Times New Roman" w:hAnsi="Times New Roman" w:cs="Times New Roman"/>
          <w:noProof/>
          <w:sz w:val="24"/>
          <w:szCs w:val="24"/>
          <w:lang w:val="en-US"/>
        </w:rPr>
        <w:t>(10,15)</w:t>
      </w:r>
      <w:r w:rsidR="00413592">
        <w:rPr>
          <w:rStyle w:val="FootnoteReference"/>
          <w:rFonts w:ascii="Times New Roman" w:hAnsi="Times New Roman" w:cs="Times New Roman"/>
          <w:sz w:val="24"/>
          <w:szCs w:val="24"/>
          <w:lang w:val="en-US"/>
        </w:rPr>
        <w:fldChar w:fldCharType="end"/>
      </w:r>
    </w:p>
    <w:p w14:paraId="57DA732B" w14:textId="77777777" w:rsidR="00C313CF" w:rsidRPr="00C33556" w:rsidRDefault="00C313CF" w:rsidP="00E44D52">
      <w:pPr>
        <w:spacing w:line="480" w:lineRule="auto"/>
        <w:ind w:firstLine="708"/>
        <w:jc w:val="both"/>
        <w:rPr>
          <w:rFonts w:ascii="Times New Roman" w:hAnsi="Times New Roman" w:cs="Times New Roman"/>
          <w:sz w:val="24"/>
          <w:szCs w:val="24"/>
          <w:lang w:val="en-US"/>
        </w:rPr>
      </w:pPr>
    </w:p>
    <w:p w14:paraId="6C7AD803" w14:textId="1815CEDB" w:rsidR="00E44D52" w:rsidRPr="00C33556" w:rsidRDefault="00E44D52" w:rsidP="00E44D52">
      <w:pPr>
        <w:spacing w:line="480" w:lineRule="auto"/>
        <w:ind w:firstLine="708"/>
        <w:jc w:val="both"/>
        <w:rPr>
          <w:rFonts w:ascii="Times New Roman" w:hAnsi="Times New Roman" w:cs="Times New Roman"/>
          <w:b/>
          <w:bCs/>
          <w:sz w:val="24"/>
          <w:szCs w:val="24"/>
          <w:lang w:val="en-US"/>
        </w:rPr>
      </w:pPr>
      <w:r w:rsidRPr="00C33556">
        <w:rPr>
          <w:rFonts w:ascii="Times New Roman" w:hAnsi="Times New Roman" w:cs="Times New Roman"/>
          <w:b/>
          <w:bCs/>
          <w:sz w:val="24"/>
          <w:szCs w:val="24"/>
          <w:lang w:val="en-US"/>
        </w:rPr>
        <w:t>2 EMERGENCY USE AUTHORIZATION IN PUBLIC HEALTH</w:t>
      </w:r>
    </w:p>
    <w:p w14:paraId="3FBDCD3F" w14:textId="720C52B4" w:rsidR="00E44D52" w:rsidRPr="00C33556" w:rsidRDefault="00E44D52" w:rsidP="00E44D52">
      <w:pPr>
        <w:spacing w:line="480" w:lineRule="auto"/>
        <w:ind w:firstLine="708"/>
        <w:jc w:val="both"/>
        <w:rPr>
          <w:rFonts w:ascii="Times New Roman" w:hAnsi="Times New Roman" w:cs="Times New Roman"/>
          <w:sz w:val="24"/>
          <w:szCs w:val="24"/>
          <w:lang w:val="en-US"/>
        </w:rPr>
      </w:pPr>
      <w:r w:rsidRPr="00C33556">
        <w:rPr>
          <w:rFonts w:ascii="Times New Roman" w:hAnsi="Times New Roman" w:cs="Times New Roman"/>
          <w:sz w:val="24"/>
          <w:szCs w:val="24"/>
          <w:lang w:val="en-US"/>
        </w:rPr>
        <w:t>An emergency use authorization can be defined as an action by a health policy regulatory agency whether national, group of countries or worldwide, which aims to allow the employment of unapproved medical products, including vaccines, during public health emergencies.</w:t>
      </w:r>
      <w:r w:rsidR="00331BD5">
        <w:rPr>
          <w:rStyle w:val="FootnoteReference"/>
          <w:rFonts w:ascii="Times New Roman" w:hAnsi="Times New Roman" w:cs="Times New Roman"/>
          <w:sz w:val="24"/>
          <w:szCs w:val="24"/>
          <w:lang w:val="en-US"/>
        </w:rPr>
        <w:fldChar w:fldCharType="begin" w:fldLock="1"/>
      </w:r>
      <w:r w:rsidR="0036604F">
        <w:rPr>
          <w:rFonts w:ascii="Times New Roman" w:hAnsi="Times New Roman" w:cs="Times New Roman"/>
          <w:sz w:val="24"/>
          <w:szCs w:val="24"/>
          <w:lang w:val="en-US"/>
        </w:rPr>
        <w:instrText>ADDIN CSL_CITATION {"citationItems":[{"id":"ITEM-1","itemData":{"URL":"https://www.fda.gov/vaccines-blood-biologics/vaccines/emergency-use-authorization-vaccines-explained","accessed":{"date-parts":[["2021","2","14"]]},"author":[{"dropping-particle":"","family":"U.S. Food and Drug Administration (FDA)","given":"","non-dropping-particle":"","parse-names":false,"suffix":""}],"id":"ITEM-1","issued":{"date-parts":[["2020"]]},"title":"Emergency Use Authorization for Vaccines Explained","type":"webpage"},"uris":["http://www.mendeley.com/documents/?uuid=bbcc0986-330d-3a64-aab1-971d934465a2"]},{"id":"ITEM-2","itemData":{"DOI":"10.1056/NEJMp2031373","ISSN":"0028-4793","author":[{"dropping-particle":"","family":"Krause","given":"Philip R.","non-dropping-particle":"","parse-names":false,"suffix":""},{"dropping-particle":"","family":"Gruber","given":"Marion F.","non-dropping-particle":"","parse-names":false,"suffix":""}],"container-title":"New England Journal of Medicine","id":"ITEM-2","issue":"19","issued":{"date-parts":[["2020","11","5"]]},"page":"e107","title":"Emergency Use Authorization of Covid Vaccines — Safety and Efficacy Follow-up Considerations","type":"article-journal","volume":"383"},"uris":["http://www.mendeley.com/documents/?uuid=9a8df981-e6f4-4a38-ada2-3b75b17d4a6c"]}],"mendeley":{"formattedCitation":"(8,16)","plainTextFormattedCitation":"(8,16)","previouslyFormattedCitation":"(U.S. Food and Drug Administration (FDA) 2020; Krause and Gruber 2020)"},"properties":{"noteIndex":0},"schema":"https://github.com/citation-style-language/schema/raw/master/csl-citation.json"}</w:instrText>
      </w:r>
      <w:r w:rsidR="00331BD5">
        <w:rPr>
          <w:rStyle w:val="FootnoteReference"/>
          <w:rFonts w:ascii="Times New Roman" w:hAnsi="Times New Roman" w:cs="Times New Roman"/>
          <w:sz w:val="24"/>
          <w:szCs w:val="24"/>
          <w:lang w:val="en-US"/>
        </w:rPr>
        <w:fldChar w:fldCharType="separate"/>
      </w:r>
      <w:r w:rsidR="0036604F" w:rsidRPr="0036604F">
        <w:rPr>
          <w:rFonts w:ascii="Times New Roman" w:hAnsi="Times New Roman" w:cs="Times New Roman"/>
          <w:bCs/>
          <w:noProof/>
          <w:sz w:val="24"/>
          <w:szCs w:val="24"/>
          <w:lang w:val="en-US"/>
        </w:rPr>
        <w:t>(8,16)</w:t>
      </w:r>
      <w:r w:rsidR="00331BD5">
        <w:rPr>
          <w:rStyle w:val="FootnoteReference"/>
          <w:rFonts w:ascii="Times New Roman" w:hAnsi="Times New Roman" w:cs="Times New Roman"/>
          <w:sz w:val="24"/>
          <w:szCs w:val="24"/>
          <w:lang w:val="en-US"/>
        </w:rPr>
        <w:fldChar w:fldCharType="end"/>
      </w:r>
      <w:r w:rsidRPr="00C33556">
        <w:rPr>
          <w:rFonts w:ascii="Times New Roman" w:hAnsi="Times New Roman" w:cs="Times New Roman"/>
          <w:sz w:val="24"/>
          <w:szCs w:val="24"/>
          <w:lang w:val="en-US"/>
        </w:rPr>
        <w:t xml:space="preserve">  However, for an emergency use authorization to be deliberate, it is necessary that for a given public health emergency, there are no other suitable and safe alternatives, be it diagnosis or treatment, which. are already available and approved by the </w:t>
      </w:r>
      <w:r w:rsidRPr="00C33556">
        <w:rPr>
          <w:rFonts w:ascii="Times New Roman" w:hAnsi="Times New Roman" w:cs="Times New Roman"/>
          <w:sz w:val="24"/>
          <w:szCs w:val="24"/>
          <w:lang w:val="en-US"/>
        </w:rPr>
        <w:lastRenderedPageBreak/>
        <w:t>public health regulatory agency.</w:t>
      </w:r>
      <w:r w:rsidR="00331BD5">
        <w:rPr>
          <w:rStyle w:val="FootnoteReference"/>
          <w:rFonts w:ascii="Times New Roman" w:hAnsi="Times New Roman" w:cs="Times New Roman"/>
          <w:sz w:val="24"/>
          <w:szCs w:val="24"/>
          <w:lang w:val="en-US"/>
        </w:rPr>
        <w:fldChar w:fldCharType="begin" w:fldLock="1"/>
      </w:r>
      <w:r w:rsidR="0036604F">
        <w:rPr>
          <w:rFonts w:ascii="Times New Roman" w:hAnsi="Times New Roman" w:cs="Times New Roman"/>
          <w:sz w:val="24"/>
          <w:szCs w:val="24"/>
          <w:lang w:val="en-US"/>
        </w:rPr>
        <w:instrText>ADDIN CSL_CITATION {"citationItems":[{"id":"ITEM-1","itemData":{"URL":"https://www.fda.gov/vaccines-blood-biologics/vaccines/emergency-use-authorization-vaccines-explained","accessed":{"date-parts":[["2021","2","14"]]},"author":[{"dropping-particle":"","family":"U.S. Food and Drug Administration (FDA)","given":"","non-dropping-particle":"","parse-names":false,"suffix":""}],"id":"ITEM-1","issued":{"date-parts":[["2020"]]},"title":"Emergency Use Authorization for Vaccines Explained","type":"webpage"},"uris":["http://www.mendeley.com/documents/?uuid=bbcc0986-330d-3a64-aab1-971d934465a2"]},{"id":"ITEM-2","itemData":{"DOI":"10.1056/NEJMp2031373","ISSN":"0028-4793","author":[{"dropping-particle":"","family":"Krause","given":"Philip R.","non-dropping-particle":"","parse-names":false,"suffix":""},{"dropping-particle":"","family":"Gruber","given":"Marion F.","non-dropping-particle":"","parse-names":false,"suffix":""}],"container-title":"New England Journal of Medicine","id":"ITEM-2","issue":"19","issued":{"date-parts":[["2020","11","5"]]},"page":"e107","title":"Emergency Use Authorization of Covid Vaccines — Safety and Efficacy Follow-up Considerations","type":"article-journal","volume":"383"},"uris":["http://www.mendeley.com/documents/?uuid=9a8df981-e6f4-4a38-ada2-3b75b17d4a6c"]}],"mendeley":{"formattedCitation":"(8,16)","plainTextFormattedCitation":"(8,16)","previouslyFormattedCitation":"(U.S. Food and Drug Administration (FDA) 2020; Krause and Gruber 2020)"},"properties":{"noteIndex":0},"schema":"https://github.com/citation-style-language/schema/raw/master/csl-citation.json"}</w:instrText>
      </w:r>
      <w:r w:rsidR="00331BD5">
        <w:rPr>
          <w:rStyle w:val="FootnoteReference"/>
          <w:rFonts w:ascii="Times New Roman" w:hAnsi="Times New Roman" w:cs="Times New Roman"/>
          <w:sz w:val="24"/>
          <w:szCs w:val="24"/>
          <w:lang w:val="en-US"/>
        </w:rPr>
        <w:fldChar w:fldCharType="separate"/>
      </w:r>
      <w:r w:rsidR="0036604F" w:rsidRPr="0036604F">
        <w:rPr>
          <w:rFonts w:ascii="Times New Roman" w:hAnsi="Times New Roman" w:cs="Times New Roman"/>
          <w:bCs/>
          <w:noProof/>
          <w:sz w:val="24"/>
          <w:szCs w:val="24"/>
          <w:lang w:val="en-US"/>
        </w:rPr>
        <w:t>(8,16)</w:t>
      </w:r>
      <w:r w:rsidR="00331BD5">
        <w:rPr>
          <w:rStyle w:val="FootnoteReference"/>
          <w:rFonts w:ascii="Times New Roman" w:hAnsi="Times New Roman" w:cs="Times New Roman"/>
          <w:sz w:val="24"/>
          <w:szCs w:val="24"/>
          <w:lang w:val="en-US"/>
        </w:rPr>
        <w:fldChar w:fldCharType="end"/>
      </w:r>
      <w:r w:rsidRPr="00C33556">
        <w:rPr>
          <w:rFonts w:ascii="Times New Roman" w:hAnsi="Times New Roman" w:cs="Times New Roman"/>
          <w:sz w:val="24"/>
          <w:szCs w:val="24"/>
          <w:lang w:val="en-US"/>
        </w:rPr>
        <w:t xml:space="preserve"> Once these requirements are met, it is still necessary for the company interested in making the health product available for emergency use, submit it to the regulatory agency for health policies.</w:t>
      </w:r>
      <w:r w:rsidR="00331BD5">
        <w:rPr>
          <w:rStyle w:val="FootnoteReference"/>
          <w:rFonts w:ascii="Times New Roman" w:hAnsi="Times New Roman" w:cs="Times New Roman"/>
          <w:sz w:val="24"/>
          <w:szCs w:val="24"/>
          <w:lang w:val="en-US"/>
        </w:rPr>
        <w:fldChar w:fldCharType="begin" w:fldLock="1"/>
      </w:r>
      <w:r w:rsidR="0036604F">
        <w:rPr>
          <w:rFonts w:ascii="Times New Roman" w:hAnsi="Times New Roman" w:cs="Times New Roman"/>
          <w:sz w:val="24"/>
          <w:szCs w:val="24"/>
          <w:lang w:val="en-US"/>
        </w:rPr>
        <w:instrText>ADDIN CSL_CITATION {"citationItems":[{"id":"ITEM-1","itemData":{"URL":"https://www.fda.gov/vaccines-blood-biologics/vaccines/emergency-use-authorization-vaccines-explained","accessed":{"date-parts":[["2021","2","14"]]},"author":[{"dropping-particle":"","family":"U.S. Food and Drug Administration (FDA)","given":"","non-dropping-particle":"","parse-names":false,"suffix":""}],"id":"ITEM-1","issued":{"date-parts":[["2020"]]},"title":"Emergency Use Authorization for Vaccines Explained","type":"webpage"},"uris":["http://www.mendeley.com/documents/?uuid=bbcc0986-330d-3a64-aab1-971d934465a2"]},{"id":"ITEM-2","itemData":{"DOI":"10.1056/NEJMp2031373","ISSN":"0028-4793","author":[{"dropping-particle":"","family":"Krause","given":"Philip R.","non-dropping-particle":"","parse-names":false,"suffix":""},{"dropping-particle":"","family":"Gruber","given":"Marion F.","non-dropping-particle":"","parse-names":false,"suffix":""}],"container-title":"New England Journal of Medicine","id":"ITEM-2","issue":"19","issued":{"date-parts":[["2020","11","5"]]},"page":"e107","title":"Emergency Use Authorization of Covid Vaccines — Safety and Efficacy Follow-up Considerations","type":"article-journal","volume":"383"},"uris":["http://www.mendeley.com/documents/?uuid=9a8df981-e6f4-4a38-ada2-3b75b17d4a6c"]}],"mendeley":{"formattedCitation":"(8,16)","plainTextFormattedCitation":"(8,16)","previouslyFormattedCitation":"(U.S. Food and Drug Administration (FDA) 2020; Krause and Gruber 2020)"},"properties":{"noteIndex":0},"schema":"https://github.com/citation-style-language/schema/raw/master/csl-citation.json"}</w:instrText>
      </w:r>
      <w:r w:rsidR="00331BD5">
        <w:rPr>
          <w:rStyle w:val="FootnoteReference"/>
          <w:rFonts w:ascii="Times New Roman" w:hAnsi="Times New Roman" w:cs="Times New Roman"/>
          <w:sz w:val="24"/>
          <w:szCs w:val="24"/>
          <w:lang w:val="en-US"/>
        </w:rPr>
        <w:fldChar w:fldCharType="separate"/>
      </w:r>
      <w:r w:rsidR="0036604F" w:rsidRPr="0036604F">
        <w:rPr>
          <w:rFonts w:ascii="Times New Roman" w:hAnsi="Times New Roman" w:cs="Times New Roman"/>
          <w:bCs/>
          <w:noProof/>
          <w:sz w:val="24"/>
          <w:szCs w:val="24"/>
          <w:lang w:val="en-US"/>
        </w:rPr>
        <w:t>(8,16)</w:t>
      </w:r>
      <w:r w:rsidR="00331BD5">
        <w:rPr>
          <w:rStyle w:val="FootnoteReference"/>
          <w:rFonts w:ascii="Times New Roman" w:hAnsi="Times New Roman" w:cs="Times New Roman"/>
          <w:sz w:val="24"/>
          <w:szCs w:val="24"/>
          <w:lang w:val="en-US"/>
        </w:rPr>
        <w:fldChar w:fldCharType="end"/>
      </w:r>
      <w:r w:rsidRPr="00C33556">
        <w:rPr>
          <w:rFonts w:ascii="Times New Roman" w:hAnsi="Times New Roman" w:cs="Times New Roman"/>
          <w:sz w:val="24"/>
          <w:szCs w:val="24"/>
          <w:lang w:val="en-US"/>
        </w:rPr>
        <w:t xml:space="preserve"> Subsequently, the regulatory agency may, according to its internal requirements, determine whether the health product can be approved for emergency use or not.</w:t>
      </w:r>
      <w:r w:rsidR="00331BD5">
        <w:rPr>
          <w:rStyle w:val="FootnoteReference"/>
          <w:rFonts w:ascii="Times New Roman" w:hAnsi="Times New Roman" w:cs="Times New Roman"/>
          <w:sz w:val="24"/>
          <w:szCs w:val="24"/>
          <w:lang w:val="en-US"/>
        </w:rPr>
        <w:fldChar w:fldCharType="begin" w:fldLock="1"/>
      </w:r>
      <w:r w:rsidR="0036604F">
        <w:rPr>
          <w:rFonts w:ascii="Times New Roman" w:hAnsi="Times New Roman" w:cs="Times New Roman"/>
          <w:sz w:val="24"/>
          <w:szCs w:val="24"/>
          <w:lang w:val="en-US"/>
        </w:rPr>
        <w:instrText>ADDIN CSL_CITATION {"citationItems":[{"id":"ITEM-1","itemData":{"URL":"https://www.fda.gov/vaccines-blood-biologics/vaccines/emergency-use-authorization-vaccines-explained","accessed":{"date-parts":[["2021","2","14"]]},"author":[{"dropping-particle":"","family":"U.S. Food and Drug Administration (FDA)","given":"","non-dropping-particle":"","parse-names":false,"suffix":""}],"id":"ITEM-1","issued":{"date-parts":[["2020"]]},"title":"Emergency Use Authorization for Vaccines Explained","type":"webpage"},"uris":["http://www.mendeley.com/documents/?uuid=bbcc0986-330d-3a64-aab1-971d934465a2"]},{"id":"ITEM-2","itemData":{"DOI":"10.1056/NEJMp2031373","ISSN":"0028-4793","author":[{"dropping-particle":"","family":"Krause","given":"Philip R.","non-dropping-particle":"","parse-names":false,"suffix":""},{"dropping-particle":"","family":"Gruber","given":"Marion F.","non-dropping-particle":"","parse-names":false,"suffix":""}],"container-title":"New England Journal of Medicine","id":"ITEM-2","issue":"19","issued":{"date-parts":[["2020","11","5"]]},"page":"e107","title":"Emergency Use Authorization of Covid Vaccines — Safety and Efficacy Follow-up Considerations","type":"article-journal","volume":"383"},"uris":["http://www.mendeley.com/documents/?uuid=9a8df981-e6f4-4a38-ada2-3b75b17d4a6c"]}],"mendeley":{"formattedCitation":"(8,16)","plainTextFormattedCitation":"(8,16)","previouslyFormattedCitation":"(U.S. Food and Drug Administration (FDA) 2020; Krause and Gruber 2020)"},"properties":{"noteIndex":0},"schema":"https://github.com/citation-style-language/schema/raw/master/csl-citation.json"}</w:instrText>
      </w:r>
      <w:r w:rsidR="00331BD5">
        <w:rPr>
          <w:rStyle w:val="FootnoteReference"/>
          <w:rFonts w:ascii="Times New Roman" w:hAnsi="Times New Roman" w:cs="Times New Roman"/>
          <w:sz w:val="24"/>
          <w:szCs w:val="24"/>
          <w:lang w:val="en-US"/>
        </w:rPr>
        <w:fldChar w:fldCharType="separate"/>
      </w:r>
      <w:r w:rsidR="0036604F" w:rsidRPr="0036604F">
        <w:rPr>
          <w:rFonts w:ascii="Times New Roman" w:hAnsi="Times New Roman" w:cs="Times New Roman"/>
          <w:bCs/>
          <w:noProof/>
          <w:sz w:val="24"/>
          <w:szCs w:val="24"/>
          <w:lang w:val="en-US"/>
        </w:rPr>
        <w:t>(8,16)</w:t>
      </w:r>
      <w:r w:rsidR="00331BD5">
        <w:rPr>
          <w:rStyle w:val="FootnoteReference"/>
          <w:rFonts w:ascii="Times New Roman" w:hAnsi="Times New Roman" w:cs="Times New Roman"/>
          <w:sz w:val="24"/>
          <w:szCs w:val="24"/>
          <w:lang w:val="en-US"/>
        </w:rPr>
        <w:fldChar w:fldCharType="end"/>
      </w:r>
    </w:p>
    <w:p w14:paraId="6F77C1ED" w14:textId="77777777" w:rsidR="00E44D52" w:rsidRPr="00C33556" w:rsidRDefault="00E44D52" w:rsidP="00E44D52">
      <w:pPr>
        <w:spacing w:line="480" w:lineRule="auto"/>
        <w:ind w:firstLine="708"/>
        <w:jc w:val="both"/>
        <w:rPr>
          <w:rFonts w:ascii="Times New Roman" w:hAnsi="Times New Roman" w:cs="Times New Roman"/>
          <w:sz w:val="24"/>
          <w:szCs w:val="24"/>
          <w:lang w:val="en-US"/>
        </w:rPr>
      </w:pPr>
      <w:r w:rsidRPr="00C33556">
        <w:rPr>
          <w:rFonts w:ascii="Times New Roman" w:hAnsi="Times New Roman" w:cs="Times New Roman"/>
          <w:sz w:val="24"/>
          <w:szCs w:val="24"/>
          <w:lang w:val="en-US"/>
        </w:rPr>
        <w:t>Similarly, the entire context mentioned above applies to an emergency authorization of COVID-19 vaccines, since the COVID-19 pandemic is configured as a public health emergency, where there is no approved and adequate health product for its prevention and treatment.</w:t>
      </w:r>
    </w:p>
    <w:p w14:paraId="13672346" w14:textId="600272CA" w:rsidR="0083237D" w:rsidRPr="00C33556" w:rsidRDefault="00BD5AF9" w:rsidP="00B14EEC">
      <w:pPr>
        <w:spacing w:line="480" w:lineRule="auto"/>
        <w:ind w:firstLine="708"/>
        <w:jc w:val="both"/>
        <w:rPr>
          <w:rFonts w:ascii="Times New Roman" w:hAnsi="Times New Roman" w:cs="Times New Roman"/>
          <w:sz w:val="24"/>
          <w:szCs w:val="24"/>
          <w:lang w:val="en-US"/>
        </w:rPr>
      </w:pPr>
      <w:r w:rsidRPr="00C33556">
        <w:rPr>
          <w:rFonts w:ascii="Times New Roman" w:hAnsi="Times New Roman" w:cs="Times New Roman"/>
          <w:sz w:val="24"/>
          <w:szCs w:val="24"/>
          <w:lang w:val="en-US"/>
        </w:rPr>
        <w:t>Thus, the WHO emergency use authorization for COVID-19 vaccines is a risk-based procedure that assesses vaccine candidates in order to allow both United Nations agencies responsible for purchasing vaccines and their member countries to purchase vaccines, which were previously approved by WHO on criteria related to safety, quality, performance and efficacy.</w:t>
      </w:r>
      <w:r w:rsidR="00331BD5">
        <w:rPr>
          <w:rStyle w:val="FootnoteReference"/>
          <w:rFonts w:ascii="Times New Roman" w:hAnsi="Times New Roman" w:cs="Times New Roman"/>
          <w:sz w:val="24"/>
          <w:szCs w:val="24"/>
          <w:lang w:val="en-US"/>
        </w:rPr>
        <w:fldChar w:fldCharType="begin" w:fldLock="1"/>
      </w:r>
      <w:r w:rsidR="0036604F">
        <w:rPr>
          <w:rFonts w:ascii="Times New Roman" w:hAnsi="Times New Roman" w:cs="Times New Roman"/>
          <w:sz w:val="24"/>
          <w:szCs w:val="24"/>
          <w:lang w:val="en-US"/>
        </w:rPr>
        <w:instrText>ADDIN CSL_CITATION {"citationItems":[{"id":"ITEM-1","itemData":{"URL":"https://www.who.int/teams/regulation-prequalification/eul/","accessed":{"date-parts":[["2021","5","14"]]},"author":[{"dropping-particle":"","family":"WHO","given":"","non-dropping-particle":"","parse-names":false,"suffix":""}],"container-title":"World Health Organisation (WHO)","id":"ITEM-1","issued":{"date-parts":[["2021"]]},"title":"Regulation and Prequalification","type":"webpage"},"uris":["http://www.mendeley.com/documents/?uuid=8579385a-c9bb-38bb-88b5-8135d5b5aaaa"]},{"id":"ITEM-2","itemData":{"URL":"https://www.who.int/news-room/q-a-detail/coronavirus-disease-use-of-emergency-use-listing-procedure-forvaccines-against-covid-19","accessed":{"date-parts":[["2021","5","15"]]},"author":[{"dropping-particle":"","family":"World Health Organization (WHO)","given":"","non-dropping-particle":"","parse-names":false,"suffix":""}],"id":"ITEM-2","issued":{"date-parts":[["2021"]]},"title":"Coronavirus disease (COVID-19): Use of Emergency Use Listing procedure for vaccines against COVID-19","type":"webpage"},"uris":["http://www.mendeley.com/documents/?uuid=ac9eb2e4-52d0-315d-8db2-011f9a6e12fe"]}],"mendeley":{"formattedCitation":"(17,18)","plainTextFormattedCitation":"(17,18)","previouslyFormattedCitation":"(WHO 2021a; World Health Organization (WHO) 2021a)"},"properties":{"noteIndex":0},"schema":"https://github.com/citation-style-language/schema/raw/master/csl-citation.json"}</w:instrText>
      </w:r>
      <w:r w:rsidR="00331BD5">
        <w:rPr>
          <w:rStyle w:val="FootnoteReference"/>
          <w:rFonts w:ascii="Times New Roman" w:hAnsi="Times New Roman" w:cs="Times New Roman"/>
          <w:sz w:val="24"/>
          <w:szCs w:val="24"/>
          <w:lang w:val="en-US"/>
        </w:rPr>
        <w:fldChar w:fldCharType="separate"/>
      </w:r>
      <w:r w:rsidR="0036604F" w:rsidRPr="0036604F">
        <w:rPr>
          <w:rFonts w:ascii="Times New Roman" w:hAnsi="Times New Roman" w:cs="Times New Roman"/>
          <w:noProof/>
          <w:sz w:val="24"/>
          <w:szCs w:val="24"/>
          <w:lang w:val="en-US"/>
        </w:rPr>
        <w:t>(17,18)</w:t>
      </w:r>
      <w:r w:rsidR="00331BD5">
        <w:rPr>
          <w:rStyle w:val="FootnoteReference"/>
          <w:rFonts w:ascii="Times New Roman" w:hAnsi="Times New Roman" w:cs="Times New Roman"/>
          <w:sz w:val="24"/>
          <w:szCs w:val="24"/>
          <w:lang w:val="en-US"/>
        </w:rPr>
        <w:fldChar w:fldCharType="end"/>
      </w:r>
      <w:r w:rsidRPr="00C33556">
        <w:rPr>
          <w:rFonts w:ascii="Times New Roman" w:hAnsi="Times New Roman" w:cs="Times New Roman"/>
          <w:sz w:val="24"/>
          <w:szCs w:val="24"/>
          <w:lang w:val="en-US"/>
        </w:rPr>
        <w:t xml:space="preserve"> </w:t>
      </w:r>
      <w:r w:rsidR="00AC7B8E" w:rsidRPr="00C33556">
        <w:rPr>
          <w:rFonts w:ascii="Times New Roman" w:hAnsi="Times New Roman" w:cs="Times New Roman"/>
          <w:sz w:val="24"/>
          <w:szCs w:val="24"/>
          <w:lang w:val="en-US"/>
        </w:rPr>
        <w:t>Furthermore, the manufacturers of COVID-19 vaccines are under constant surveillance to commit themselves to standards of excellence in the manufacture and distribution of vaccines</w:t>
      </w:r>
      <w:r w:rsidR="003A5DF6" w:rsidRPr="00C33556">
        <w:rPr>
          <w:rFonts w:ascii="Times New Roman" w:hAnsi="Times New Roman" w:cs="Times New Roman"/>
          <w:sz w:val="24"/>
          <w:szCs w:val="24"/>
          <w:lang w:val="en-US"/>
        </w:rPr>
        <w:t>.</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{"citationItems":[{"id":"ITEM-1","itemData":{"URL":"https://www.who.int/news-room/q-a-detail/coronavirus-disease-(covid-19)-vaccines","accessed":{"date-parts":[["2021","6","23"]]},"author":[{"dropping-particle":"","family":"World Health Organization (WHO)","given":"","non-dropping-particle":"","parse-names":false,"suffix":""}],"id":"ITEM-1","issued":{"date-parts":[["2021"]]},"title":"Coronavirus disease (COVID-19): Vaccines","type":"webpage"},"uris":["http://www.mendeley.com/documents/?uuid=b1cd4567-16c5-394c-9f14-5702752f89d6"]},{"id":"ITEM-2","itemData":{"URL":"https://www.who.int/teams/regulation-prequalification/eul/","accessed":{"date-parts":[["2021","5","14"]]},"author":[{"dropping-particle":"","family":"WHO","given":"","non-dropping-particle":"","parse-names":false,"suffix":""}],"container-title":"World Health Organisation (WHO)","id":"ITEM-2","issued":{"date-parts":[["2021"]]},"title":"Regulation and Prequalification","type":"webpage"},"uris":["http://www.mendeley.com/documents/?uuid=8579385a-c9bb-38bb-88b5-8135d5b5aaaa"]}],"mendeley":{"formattedCitation":"(17,19)","plainTextFormattedCitation":"(17,19)","previouslyFormattedCitation":"(World Health Organization (WHO) 2021b; WHO 2021a)"},"properties":{"noteIndex":0},"schema":"https://github.com/citation-style-language/schema/raw/master/csl-citation.json"}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(17,19)</w:t>
      </w:r>
      <w:r w:rsidR="00331BD5">
        <w:rPr>
          <w:rStyle w:val="FootnoteReference"/>
          <w:rFonts w:ascii="Times New Roman" w:hAnsi="Times New Roman" w:cs="Times New Roman"/>
          <w:sz w:val="24"/>
          <w:szCs w:val="24"/>
        </w:rPr>
        <w:fldChar w:fldCharType="end"/>
      </w:r>
      <w:r w:rsidR="000E21D8" w:rsidRPr="00C33556">
        <w:rPr>
          <w:rFonts w:ascii="Times New Roman" w:hAnsi="Times New Roman" w:cs="Times New Roman"/>
          <w:sz w:val="24"/>
          <w:szCs w:val="24"/>
          <w:lang w:val="en-US"/>
        </w:rPr>
        <w:t xml:space="preserve"> </w:t>
      </w:r>
      <w:r w:rsidR="000C0132" w:rsidRPr="00C33556">
        <w:rPr>
          <w:rFonts w:ascii="Times New Roman" w:hAnsi="Times New Roman" w:cs="Times New Roman"/>
          <w:sz w:val="24"/>
          <w:szCs w:val="24"/>
          <w:lang w:val="en-US"/>
        </w:rPr>
        <w:t>Thus, the main objective of WHO emergency use authorization for COVID-19 vaccines is to accelerate the availability of vaccines for immediate use in immunization plans</w:t>
      </w:r>
      <w:r w:rsidR="000E21D8" w:rsidRPr="00C33556">
        <w:rPr>
          <w:rFonts w:ascii="Times New Roman" w:hAnsi="Times New Roman" w:cs="Times New Roman"/>
          <w:sz w:val="24"/>
          <w:szCs w:val="24"/>
          <w:lang w:val="en-US"/>
        </w:rPr>
        <w:t>.</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{"citationItems":[{"id":"ITEM-1","itemData":{"URL":"https://www.who.int/news-room/q-a-detail/coronavirus-disease-use-of-emergency-use-listing-procedure-forvaccines-against-covid-19","accessed":{"date-parts":[["2021","5","15"]]},"author":[{"dropping-particle":"","family":"World Health Organization (WHO)","given":"","non-dropping-particle":"","parse-names":false,"suffix":""}],"id":"ITEM-1","issued":{"date-parts":[["2021"]]},"title":"Coronavirus disease (COVID-19): Use of Emergency Use Listing procedure for vaccines against COVID-19","type":"webpage"},"uris":["http://www.mendeley.com/documents/?uuid=ac9eb2e4-52d0-315d-8db2-011f9a6e12fe"]}],"mendeley":{"formattedCitation":"(18)","plainTextFormattedCitation":"(18)","previouslyFormattedCitation":"(World Health Organization (WHO) 2021a)"},"properties":{"noteIndex":0},"schema":"https://github.com/citation-style-language/schema/raw/master/csl-citation.json"}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(18)</w:t>
      </w:r>
      <w:r w:rsidR="00331BD5">
        <w:rPr>
          <w:rStyle w:val="FootnoteReference"/>
          <w:rFonts w:ascii="Times New Roman" w:hAnsi="Times New Roman" w:cs="Times New Roman"/>
          <w:sz w:val="24"/>
          <w:szCs w:val="24"/>
        </w:rPr>
        <w:fldChar w:fldCharType="end"/>
      </w:r>
      <w:r w:rsidR="000E21D8" w:rsidRPr="00C33556">
        <w:rPr>
          <w:rFonts w:ascii="Times New Roman" w:hAnsi="Times New Roman" w:cs="Times New Roman"/>
          <w:sz w:val="24"/>
          <w:szCs w:val="24"/>
          <w:lang w:val="en-US"/>
        </w:rPr>
        <w:t xml:space="preserve"> </w:t>
      </w:r>
      <w:r w:rsidR="004F5326" w:rsidRPr="00C33556">
        <w:rPr>
          <w:rFonts w:ascii="Times New Roman" w:hAnsi="Times New Roman" w:cs="Times New Roman"/>
          <w:sz w:val="24"/>
          <w:szCs w:val="24"/>
          <w:lang w:val="en-US"/>
        </w:rPr>
        <w:t xml:space="preserve"> </w:t>
      </w:r>
      <w:r w:rsidR="000C0132" w:rsidRPr="00C33556">
        <w:rPr>
          <w:rFonts w:ascii="Times New Roman" w:hAnsi="Times New Roman" w:cs="Times New Roman"/>
          <w:sz w:val="24"/>
          <w:szCs w:val="24"/>
          <w:lang w:val="en-US"/>
        </w:rPr>
        <w:t>In this sense, Table 2 presents the eligibility criteria, analyzed aspects and</w:t>
      </w:r>
      <w:r w:rsidR="00E45D9A">
        <w:rPr>
          <w:rFonts w:ascii="Times New Roman" w:hAnsi="Times New Roman" w:cs="Times New Roman"/>
          <w:sz w:val="24"/>
          <w:szCs w:val="24"/>
          <w:lang w:val="en-US"/>
        </w:rPr>
        <w:t>,</w:t>
      </w:r>
      <w:r w:rsidR="000C0132" w:rsidRPr="00C33556">
        <w:rPr>
          <w:rFonts w:ascii="Times New Roman" w:hAnsi="Times New Roman" w:cs="Times New Roman"/>
          <w:sz w:val="24"/>
          <w:szCs w:val="24"/>
          <w:lang w:val="en-US"/>
        </w:rPr>
        <w:t xml:space="preserve"> post-authorization guidelines that a vaccine candidate must comply with until obtaining its emergency use authorization from WHO</w:t>
      </w:r>
      <w:r w:rsidR="004F5326" w:rsidRPr="00C33556">
        <w:rPr>
          <w:rFonts w:ascii="Times New Roman" w:hAnsi="Times New Roman" w:cs="Times New Roman"/>
          <w:sz w:val="24"/>
          <w:szCs w:val="24"/>
          <w:lang w:val="en-US"/>
        </w:rPr>
        <w:t>.</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URL":"https://www.who.int/teams/regulation-prequalification/eul/","accessed":{"date-parts":[["2021","5","14"]]},"author":[{"dropping-particle":"","family":"WHO","given":"","non-dropping-particle":"","parse-names":false,"suffix":""}],"container-title":"World Health Organisation (WHO)","id":"ITEM-1","issued":{"date-parts":[["2021"]]},"title":"Regulation and Prequalification","type":"webpage"},"uris":["http://www.mendeley.com/documents/?uuid=8579385a-c9bb-38bb-88b5-8135d5b5aaaa"]},{"id":"ITEM-2","itemData":{"URL":"https://www.who.int/news-room/q-a-detail/coronavirus-disease-use-of-emergency-use-listing-procedure-forvaccines-against-covid-19","accessed":{"date-parts":[["2021","5","15"]]},"author":[{"dropping-particle":"","family":"World Health Organization (WHO)","given":"","non-dropping-particle":"","parse-names":false,"suffix":""}],"id":"ITEM-2","issued":{"date-parts":[["2021"]]},"title":"Coronavirus disease (COVID-19): Use of Emergency Use Listing procedure for vaccines against COVID-19","type":"webpage"},"uris":["http://www.mendeley.com/documents/?uuid=ac9eb2e4-52d0-315d-8db2-011f9a6e12fe"]}],"mendeley":{"formattedCitation":"(17,18)","plainTextFormattedCitation":"(17,18)","previouslyFormattedCitation":"(WHO 2021a; World Health Organization (WHO) 2021a)"},"properties":{"noteIndex":0},"schema":"https://github.com/citation-style-language/schema/raw/master/csl-citation.json"}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(17,18)</w:t>
      </w:r>
      <w:r w:rsidR="00331BD5">
        <w:rPr>
          <w:rStyle w:val="FootnoteReference"/>
          <w:rFonts w:ascii="Times New Roman" w:hAnsi="Times New Roman" w:cs="Times New Roman"/>
          <w:sz w:val="24"/>
          <w:szCs w:val="24"/>
        </w:rPr>
        <w:fldChar w:fldCharType="end"/>
      </w:r>
    </w:p>
    <w:p w14:paraId="06BA46F8" w14:textId="5B0A9776" w:rsidR="002D3F20" w:rsidRPr="00C33556" w:rsidRDefault="002D3F20" w:rsidP="002D3F20">
      <w:pPr>
        <w:pStyle w:val="Caption"/>
        <w:keepNext/>
        <w:rPr>
          <w:rFonts w:ascii="Times New Roman" w:hAnsi="Times New Roman" w:cs="Times New Roman"/>
          <w:b/>
          <w:bCs/>
          <w:i w:val="0"/>
          <w:iCs w:val="0"/>
          <w:color w:val="auto"/>
          <w:sz w:val="24"/>
          <w:szCs w:val="24"/>
          <w:lang w:val="en-US"/>
        </w:rPr>
      </w:pPr>
      <w:r w:rsidRPr="00C33556">
        <w:rPr>
          <w:rFonts w:ascii="Times New Roman" w:hAnsi="Times New Roman" w:cs="Times New Roman"/>
          <w:b/>
          <w:bCs/>
          <w:i w:val="0"/>
          <w:iCs w:val="0"/>
          <w:color w:val="auto"/>
          <w:sz w:val="24"/>
          <w:szCs w:val="24"/>
          <w:lang w:val="en-US"/>
        </w:rPr>
        <w:lastRenderedPageBreak/>
        <w:t xml:space="preserve">Table 2. </w:t>
      </w:r>
      <w:r w:rsidR="0083237D" w:rsidRPr="00C33556">
        <w:rPr>
          <w:rFonts w:ascii="Times New Roman" w:hAnsi="Times New Roman" w:cs="Times New Roman"/>
          <w:b/>
          <w:bCs/>
          <w:i w:val="0"/>
          <w:iCs w:val="0"/>
          <w:color w:val="auto"/>
          <w:sz w:val="24"/>
          <w:szCs w:val="24"/>
          <w:lang w:val="en-US"/>
        </w:rPr>
        <w:t>Eligibility criteria, assessed aspects and post-authorization guidelines in the WHO emergency use authorization for COVID-19 vaccines</w:t>
      </w:r>
    </w:p>
    <w:tbl>
      <w:tblPr>
        <w:tblStyle w:val="TableGrid"/>
        <w:tblW w:w="0" w:type="auto"/>
        <w:tblLook w:val="04A0" w:firstRow="1" w:lastRow="0" w:firstColumn="1" w:lastColumn="0" w:noHBand="0" w:noVBand="1"/>
      </w:tblPr>
      <w:tblGrid>
        <w:gridCol w:w="1975"/>
        <w:gridCol w:w="6519"/>
      </w:tblGrid>
      <w:tr w:rsidR="00C33556" w:rsidRPr="00DB1B92" w14:paraId="1DE29296" w14:textId="77777777" w:rsidTr="00F9416E">
        <w:trPr>
          <w:trHeight w:val="2285"/>
        </w:trPr>
        <w:tc>
          <w:tcPr>
            <w:tcW w:w="1975" w:type="dxa"/>
            <w:tcBorders>
              <w:left w:val="single" w:sz="4" w:space="0" w:color="FFFFFF" w:themeColor="background1"/>
            </w:tcBorders>
            <w:vAlign w:val="center"/>
          </w:tcPr>
          <w:p w14:paraId="2D8BAC46" w14:textId="1A321BCF" w:rsidR="00865CF9" w:rsidRPr="00C33556" w:rsidRDefault="0083237D" w:rsidP="00204DD0">
            <w:pPr>
              <w:jc w:val="both"/>
              <w:rPr>
                <w:rFonts w:ascii="Times New Roman" w:hAnsi="Times New Roman" w:cs="Times New Roman"/>
                <w:sz w:val="20"/>
                <w:szCs w:val="20"/>
                <w:lang w:val="en-US"/>
              </w:rPr>
            </w:pPr>
            <w:r w:rsidRPr="00C33556">
              <w:rPr>
                <w:rFonts w:ascii="Times New Roman" w:hAnsi="Times New Roman" w:cs="Times New Roman"/>
                <w:sz w:val="20"/>
                <w:szCs w:val="20"/>
                <w:lang w:val="en-US"/>
              </w:rPr>
              <w:t xml:space="preserve">Eligibility criteria for </w:t>
            </w:r>
            <w:r w:rsidR="00E6214A" w:rsidRPr="00C33556">
              <w:rPr>
                <w:rFonts w:ascii="Times New Roman" w:hAnsi="Times New Roman" w:cs="Times New Roman"/>
                <w:sz w:val="20"/>
                <w:szCs w:val="20"/>
                <w:lang w:val="en-US"/>
              </w:rPr>
              <w:t>WHO emergency use authorization for COVID-19 vaccines</w:t>
            </w:r>
          </w:p>
        </w:tc>
        <w:tc>
          <w:tcPr>
            <w:tcW w:w="6519" w:type="dxa"/>
            <w:tcBorders>
              <w:right w:val="single" w:sz="4" w:space="0" w:color="FFFFFF" w:themeColor="background1"/>
            </w:tcBorders>
          </w:tcPr>
          <w:p w14:paraId="7026AA04" w14:textId="77777777" w:rsidR="0083237D" w:rsidRPr="00C33556" w:rsidRDefault="0083237D" w:rsidP="0083237D">
            <w:pPr>
              <w:pStyle w:val="ListParagraph"/>
              <w:numPr>
                <w:ilvl w:val="0"/>
                <w:numId w:val="8"/>
              </w:numPr>
              <w:ind w:left="616"/>
              <w:jc w:val="both"/>
              <w:rPr>
                <w:rFonts w:ascii="Times New Roman" w:hAnsi="Times New Roman" w:cs="Times New Roman"/>
                <w:sz w:val="20"/>
                <w:szCs w:val="20"/>
                <w:lang w:val="en-US"/>
              </w:rPr>
            </w:pPr>
            <w:r w:rsidRPr="00C33556">
              <w:rPr>
                <w:rFonts w:ascii="Times New Roman" w:hAnsi="Times New Roman" w:cs="Times New Roman"/>
                <w:sz w:val="20"/>
                <w:szCs w:val="20"/>
                <w:lang w:val="en-US"/>
              </w:rPr>
              <w:t xml:space="preserve">Emergency use authorization applies to cases in which there is a serious illness, which implies an immediate risk of life. </w:t>
            </w:r>
          </w:p>
          <w:p w14:paraId="6FE317E4" w14:textId="77777777" w:rsidR="00E6214A" w:rsidRPr="00C33556" w:rsidRDefault="00E6214A" w:rsidP="0083237D">
            <w:pPr>
              <w:pStyle w:val="ListParagraph"/>
              <w:numPr>
                <w:ilvl w:val="0"/>
                <w:numId w:val="8"/>
              </w:numPr>
              <w:ind w:left="616"/>
              <w:jc w:val="both"/>
              <w:rPr>
                <w:rFonts w:ascii="Times New Roman" w:hAnsi="Times New Roman" w:cs="Times New Roman"/>
                <w:sz w:val="20"/>
                <w:szCs w:val="20"/>
                <w:lang w:val="en-US"/>
              </w:rPr>
            </w:pPr>
            <w:r w:rsidRPr="00C33556">
              <w:rPr>
                <w:rFonts w:ascii="Times New Roman" w:hAnsi="Times New Roman" w:cs="Times New Roman"/>
                <w:sz w:val="20"/>
                <w:szCs w:val="20"/>
                <w:lang w:val="en-US"/>
              </w:rPr>
              <w:t>The disease must have the potential to cause an outbreak, epidemic or pandemic, with no licensed products for indication or, existing vaccines and drugs were unable to eradicate the disease or prevent outbreaks.</w:t>
            </w:r>
          </w:p>
          <w:p w14:paraId="116A5C78" w14:textId="77777777" w:rsidR="00E6214A" w:rsidRPr="00C33556" w:rsidRDefault="00E6214A" w:rsidP="0083237D">
            <w:pPr>
              <w:pStyle w:val="ListParagraph"/>
              <w:numPr>
                <w:ilvl w:val="0"/>
                <w:numId w:val="8"/>
              </w:numPr>
              <w:ind w:left="616"/>
              <w:jc w:val="both"/>
              <w:rPr>
                <w:rFonts w:ascii="Times New Roman" w:hAnsi="Times New Roman" w:cs="Times New Roman"/>
                <w:sz w:val="20"/>
                <w:szCs w:val="20"/>
                <w:lang w:val="en-US"/>
              </w:rPr>
            </w:pPr>
            <w:r w:rsidRPr="00C33556">
              <w:rPr>
                <w:rFonts w:ascii="Times New Roman" w:hAnsi="Times New Roman" w:cs="Times New Roman"/>
                <w:sz w:val="20"/>
                <w:szCs w:val="20"/>
                <w:lang w:val="en-US"/>
              </w:rPr>
              <w:t>The vaccine must be manufactured in accordance with the guidelines for current Good Manufacturing Practices.</w:t>
            </w:r>
          </w:p>
          <w:p w14:paraId="625CD19E" w14:textId="3E4DA3F3" w:rsidR="00CF2218" w:rsidRPr="00C33556" w:rsidRDefault="00E6214A" w:rsidP="0083237D">
            <w:pPr>
              <w:pStyle w:val="ListParagraph"/>
              <w:numPr>
                <w:ilvl w:val="0"/>
                <w:numId w:val="8"/>
              </w:numPr>
              <w:ind w:left="616"/>
              <w:jc w:val="both"/>
              <w:rPr>
                <w:rFonts w:ascii="Times New Roman" w:hAnsi="Times New Roman" w:cs="Times New Roman"/>
                <w:sz w:val="20"/>
                <w:szCs w:val="20"/>
                <w:lang w:val="en-US"/>
              </w:rPr>
            </w:pPr>
            <w:r w:rsidRPr="00C33556">
              <w:rPr>
                <w:rFonts w:ascii="Times New Roman" w:hAnsi="Times New Roman" w:cs="Times New Roman"/>
                <w:sz w:val="20"/>
                <w:szCs w:val="20"/>
                <w:lang w:val="en-US"/>
              </w:rPr>
              <w:t>The requesting company must commit to completing product development and require prequalification by WHO as soon as the vaccine is licensed.</w:t>
            </w:r>
          </w:p>
        </w:tc>
      </w:tr>
      <w:tr w:rsidR="00C33556" w:rsidRPr="00DB1B92" w14:paraId="386B0AEA" w14:textId="77777777" w:rsidTr="00F9416E">
        <w:trPr>
          <w:trHeight w:val="1608"/>
        </w:trPr>
        <w:tc>
          <w:tcPr>
            <w:tcW w:w="1975" w:type="dxa"/>
            <w:tcBorders>
              <w:left w:val="single" w:sz="4" w:space="0" w:color="FFFFFF" w:themeColor="background1"/>
            </w:tcBorders>
            <w:vAlign w:val="center"/>
          </w:tcPr>
          <w:p w14:paraId="181E4575" w14:textId="102FF5E7" w:rsidR="00865CF9" w:rsidRPr="00C33556" w:rsidRDefault="00E6214A" w:rsidP="00204DD0">
            <w:pPr>
              <w:jc w:val="both"/>
              <w:rPr>
                <w:rFonts w:ascii="Times New Roman" w:hAnsi="Times New Roman" w:cs="Times New Roman"/>
                <w:sz w:val="20"/>
                <w:szCs w:val="20"/>
              </w:rPr>
            </w:pPr>
            <w:r w:rsidRPr="00C33556">
              <w:rPr>
                <w:rFonts w:ascii="Times New Roman" w:hAnsi="Times New Roman" w:cs="Times New Roman"/>
                <w:sz w:val="20"/>
                <w:szCs w:val="20"/>
              </w:rPr>
              <w:t>Aspects assessed by WHO</w:t>
            </w:r>
          </w:p>
        </w:tc>
        <w:tc>
          <w:tcPr>
            <w:tcW w:w="6519" w:type="dxa"/>
            <w:tcBorders>
              <w:right w:val="single" w:sz="4" w:space="0" w:color="FFFFFF" w:themeColor="background1"/>
            </w:tcBorders>
          </w:tcPr>
          <w:p w14:paraId="04E28564" w14:textId="77777777" w:rsidR="00E6214A" w:rsidRPr="00C33556" w:rsidRDefault="00E6214A" w:rsidP="00E6214A">
            <w:pPr>
              <w:pStyle w:val="ListParagraph"/>
              <w:numPr>
                <w:ilvl w:val="0"/>
                <w:numId w:val="9"/>
              </w:numPr>
              <w:ind w:left="616"/>
              <w:jc w:val="both"/>
              <w:rPr>
                <w:rFonts w:ascii="Times New Roman" w:hAnsi="Times New Roman" w:cs="Times New Roman"/>
                <w:sz w:val="20"/>
                <w:szCs w:val="20"/>
                <w:lang w:val="en-US"/>
              </w:rPr>
            </w:pPr>
            <w:r w:rsidRPr="00C33556">
              <w:rPr>
                <w:rFonts w:ascii="Times New Roman" w:hAnsi="Times New Roman" w:cs="Times New Roman"/>
                <w:sz w:val="20"/>
                <w:szCs w:val="20"/>
                <w:lang w:val="en-US"/>
              </w:rPr>
              <w:t>As vaccines are still in development (unlicensed) WHO will assess in a risk-benefit analysis: quality, safety and efficacy (or performance) using data generated during development to decide whether such vaccines can be used outside clinical trials.</w:t>
            </w:r>
          </w:p>
          <w:p w14:paraId="5C5B5F7C" w14:textId="030D31FF" w:rsidR="00FD2112" w:rsidRPr="00C33556" w:rsidRDefault="00E6214A" w:rsidP="00E6214A">
            <w:pPr>
              <w:pStyle w:val="ListParagraph"/>
              <w:numPr>
                <w:ilvl w:val="0"/>
                <w:numId w:val="9"/>
              </w:numPr>
              <w:ind w:left="616"/>
              <w:jc w:val="both"/>
              <w:rPr>
                <w:rFonts w:ascii="Times New Roman" w:hAnsi="Times New Roman" w:cs="Times New Roman"/>
                <w:sz w:val="20"/>
                <w:szCs w:val="20"/>
                <w:lang w:val="en-US"/>
              </w:rPr>
            </w:pPr>
            <w:r w:rsidRPr="00C33556">
              <w:rPr>
                <w:rFonts w:ascii="Times New Roman" w:hAnsi="Times New Roman" w:cs="Times New Roman"/>
                <w:sz w:val="20"/>
                <w:szCs w:val="20"/>
                <w:lang w:val="en-US"/>
              </w:rPr>
              <w:t xml:space="preserve">For a candidate for COVID-19 vaccine to have its emergency use approved, it must prove through consistent data that there is a benefit to the target population greater than the </w:t>
            </w:r>
            <w:r w:rsidR="00F9416E" w:rsidRPr="00C33556">
              <w:rPr>
                <w:rFonts w:ascii="Times New Roman" w:hAnsi="Times New Roman" w:cs="Times New Roman"/>
                <w:sz w:val="20"/>
                <w:szCs w:val="20"/>
                <w:lang w:val="en-US"/>
              </w:rPr>
              <w:t>risks.</w:t>
            </w:r>
          </w:p>
        </w:tc>
      </w:tr>
      <w:tr w:rsidR="00C33556" w:rsidRPr="00DB1B92" w14:paraId="4CE6F0D5" w14:textId="77777777" w:rsidTr="00C03A04">
        <w:trPr>
          <w:trHeight w:val="2945"/>
        </w:trPr>
        <w:tc>
          <w:tcPr>
            <w:tcW w:w="1975" w:type="dxa"/>
            <w:tcBorders>
              <w:left w:val="single" w:sz="4" w:space="0" w:color="FFFFFF" w:themeColor="background1"/>
            </w:tcBorders>
            <w:vAlign w:val="center"/>
          </w:tcPr>
          <w:p w14:paraId="7D8E77F0" w14:textId="304F2AAE" w:rsidR="00865CF9" w:rsidRPr="00C33556" w:rsidRDefault="00F9416E" w:rsidP="00204DD0">
            <w:pPr>
              <w:jc w:val="both"/>
              <w:rPr>
                <w:rFonts w:ascii="Times New Roman" w:hAnsi="Times New Roman" w:cs="Times New Roman"/>
                <w:sz w:val="20"/>
                <w:szCs w:val="20"/>
                <w:lang w:val="en-US"/>
              </w:rPr>
            </w:pPr>
            <w:r w:rsidRPr="00C33556">
              <w:rPr>
                <w:rFonts w:ascii="Times New Roman" w:hAnsi="Times New Roman" w:cs="Times New Roman"/>
                <w:sz w:val="20"/>
                <w:szCs w:val="20"/>
                <w:lang w:val="en-US"/>
              </w:rPr>
              <w:t>Guidelines after WHO emergency use authorization for COVID-19 vaccines</w:t>
            </w:r>
          </w:p>
        </w:tc>
        <w:tc>
          <w:tcPr>
            <w:tcW w:w="6519" w:type="dxa"/>
            <w:tcBorders>
              <w:right w:val="single" w:sz="4" w:space="0" w:color="FFFFFF" w:themeColor="background1"/>
            </w:tcBorders>
          </w:tcPr>
          <w:p w14:paraId="30498B85" w14:textId="77777777" w:rsidR="00204DD0" w:rsidRPr="00C33556" w:rsidRDefault="00204DD0" w:rsidP="0083237D">
            <w:pPr>
              <w:pStyle w:val="ListParagraph"/>
              <w:numPr>
                <w:ilvl w:val="0"/>
                <w:numId w:val="10"/>
              </w:numPr>
              <w:ind w:left="616"/>
              <w:jc w:val="both"/>
              <w:rPr>
                <w:rFonts w:ascii="Times New Roman" w:hAnsi="Times New Roman" w:cs="Times New Roman"/>
                <w:sz w:val="20"/>
                <w:szCs w:val="20"/>
                <w:lang w:val="en-US"/>
              </w:rPr>
            </w:pPr>
            <w:r w:rsidRPr="00C33556">
              <w:rPr>
                <w:rFonts w:ascii="Times New Roman" w:hAnsi="Times New Roman" w:cs="Times New Roman"/>
                <w:sz w:val="20"/>
                <w:szCs w:val="20"/>
                <w:lang w:val="en-US"/>
              </w:rPr>
              <w:t>If a vaccine is approved by a WHO signatory nation, there will be no duplicate evaluation, but WHO will evaluate that vaccine for quality, safety, efficacy and performance criteria.</w:t>
            </w:r>
          </w:p>
          <w:p w14:paraId="3CA1096F" w14:textId="0D0619D3" w:rsidR="00C03A04" w:rsidRPr="00C33556" w:rsidRDefault="00CB3F24" w:rsidP="0083237D">
            <w:pPr>
              <w:pStyle w:val="ListParagraph"/>
              <w:numPr>
                <w:ilvl w:val="0"/>
                <w:numId w:val="10"/>
              </w:numPr>
              <w:ind w:left="616" w:right="-74"/>
              <w:jc w:val="both"/>
              <w:rPr>
                <w:rFonts w:ascii="Times New Roman" w:hAnsi="Times New Roman" w:cs="Times New Roman"/>
                <w:sz w:val="20"/>
                <w:szCs w:val="20"/>
                <w:lang w:val="en-US"/>
              </w:rPr>
            </w:pPr>
            <w:r>
              <w:rPr>
                <w:rFonts w:ascii="Times New Roman" w:hAnsi="Times New Roman" w:cs="Times New Roman"/>
                <w:sz w:val="20"/>
                <w:szCs w:val="20"/>
                <w:lang w:val="en-US"/>
              </w:rPr>
              <w:t>A</w:t>
            </w:r>
            <w:r w:rsidR="00C03A04" w:rsidRPr="00C33556">
              <w:rPr>
                <w:rFonts w:ascii="Times New Roman" w:hAnsi="Times New Roman" w:cs="Times New Roman"/>
                <w:sz w:val="20"/>
                <w:szCs w:val="20"/>
                <w:lang w:val="en-US"/>
              </w:rPr>
              <w:t>uthorization for emergency use only aims to make vaccines immediately available to the population. Thus, as vaccines are still in the clinical testing phase, manufacturers are required to continue the traditional process of vaccine development until, eventually, if all previous steps are successful, they reach definitive licensing.</w:t>
            </w:r>
          </w:p>
          <w:p w14:paraId="2C5CF1EE" w14:textId="77777777" w:rsidR="00C03A04" w:rsidRPr="00C33556" w:rsidRDefault="00C03A04" w:rsidP="0083237D">
            <w:pPr>
              <w:pStyle w:val="ListParagraph"/>
              <w:numPr>
                <w:ilvl w:val="0"/>
                <w:numId w:val="10"/>
              </w:numPr>
              <w:ind w:left="616" w:right="-74"/>
              <w:jc w:val="both"/>
              <w:rPr>
                <w:rFonts w:ascii="Times New Roman" w:hAnsi="Times New Roman" w:cs="Times New Roman"/>
                <w:sz w:val="20"/>
                <w:szCs w:val="20"/>
                <w:lang w:val="en-US"/>
              </w:rPr>
            </w:pPr>
            <w:r w:rsidRPr="00C33556">
              <w:rPr>
                <w:rFonts w:ascii="Times New Roman" w:hAnsi="Times New Roman" w:cs="Times New Roman"/>
                <w:sz w:val="20"/>
                <w:szCs w:val="20"/>
                <w:lang w:val="en-US"/>
              </w:rPr>
              <w:t>It is mandatory that the companies that develop COVID-19 vaccines present a risk management plan and appropriate guidelines for the population.</w:t>
            </w:r>
          </w:p>
          <w:p w14:paraId="5D9C3696" w14:textId="5BB2CF7C" w:rsidR="00792634" w:rsidRPr="00C33556" w:rsidRDefault="00C03A04" w:rsidP="0083237D">
            <w:pPr>
              <w:pStyle w:val="ListParagraph"/>
              <w:numPr>
                <w:ilvl w:val="0"/>
                <w:numId w:val="10"/>
              </w:numPr>
              <w:ind w:left="616" w:right="-74"/>
              <w:jc w:val="both"/>
              <w:rPr>
                <w:rFonts w:ascii="Times New Roman" w:hAnsi="Times New Roman" w:cs="Times New Roman"/>
                <w:sz w:val="20"/>
                <w:szCs w:val="20"/>
                <w:lang w:val="en-US"/>
              </w:rPr>
            </w:pPr>
            <w:r w:rsidRPr="00C33556">
              <w:rPr>
                <w:rFonts w:ascii="Times New Roman" w:hAnsi="Times New Roman" w:cs="Times New Roman"/>
                <w:sz w:val="20"/>
                <w:szCs w:val="20"/>
                <w:lang w:val="en-US"/>
              </w:rPr>
              <w:t>The surveillance of COVID-19 vaccines will be permanent.</w:t>
            </w:r>
          </w:p>
        </w:tc>
      </w:tr>
    </w:tbl>
    <w:p w14:paraId="71DB4C85" w14:textId="7E24723A" w:rsidR="00B2723E" w:rsidRPr="00C33556" w:rsidRDefault="00B2723E" w:rsidP="00FA54FD">
      <w:pPr>
        <w:spacing w:line="480" w:lineRule="auto"/>
        <w:ind w:firstLine="708"/>
        <w:jc w:val="both"/>
        <w:rPr>
          <w:rFonts w:ascii="Times New Roman" w:hAnsi="Times New Roman" w:cs="Times New Roman"/>
          <w:sz w:val="24"/>
          <w:szCs w:val="24"/>
          <w:lang w:val="en-US"/>
        </w:rPr>
      </w:pPr>
    </w:p>
    <w:p w14:paraId="1EF5F196" w14:textId="1D1F4FFF" w:rsidR="00791FC2" w:rsidRDefault="00944DFC" w:rsidP="00FA54FD">
      <w:pPr>
        <w:spacing w:line="480" w:lineRule="auto"/>
        <w:ind w:firstLine="708"/>
        <w:jc w:val="both"/>
        <w:rPr>
          <w:rFonts w:ascii="Times New Roman" w:hAnsi="Times New Roman" w:cs="Times New Roman"/>
          <w:sz w:val="24"/>
          <w:szCs w:val="24"/>
          <w:lang w:val="en-US"/>
        </w:rPr>
      </w:pPr>
      <w:r w:rsidRPr="00C33556">
        <w:rPr>
          <w:rFonts w:ascii="Times New Roman" w:hAnsi="Times New Roman" w:cs="Times New Roman"/>
          <w:sz w:val="24"/>
          <w:szCs w:val="24"/>
          <w:lang w:val="en-US"/>
        </w:rPr>
        <w:t>Therefore, based on the aspects referred to in Tables 1 and 2, the authorization process for emergency use of COVID-19 vaccines, in practical lines, can be accelerated through cooperation between international health agencies and these with WHO, avoiding multiple duplicate analyzes and with the planning and realization of the phase II and III tests even before the phase I tests are finished and, preferably, simultaneously in several countries.</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{"citationItems":[{"id":"ITEM-1","itemData":{"DOI":"10.1111/cei.13517","ISSN":"1365-2249","PMID":"32935331","abstract":"Since the emergence of COVID-19, caused by the SARS-CoV-2 virus at the end of 2019, there has been an explosion of vaccine development. By 24 September 2020, a staggering number of vaccines (more than 200) had started preclinical development, of which 43 had entered clinical trials, including some approaches that have not previously been licensed for human vaccines. Vaccines have been widely considered as part of the exit strategy to enable the return to previous patterns of working, schooling and socializing. Importantly, to effectively control the COVID-19 pandemic, production needs to be scaled-up from a small number of preclinical doses to enough filled vials to immunize the world's population, which requires close engagement with manufacturers and regulators. It will require a global effort to control the virus, necessitating equitable access for all countries to effective vaccines. This review explores the immune responses required to protect against SARS-CoV-2 and the potential for vaccine-induced immunopathology. We describe the profile of the different platforms and the advantages and disadvantages of each approach. The review also addresses the critical steps between promising preclinical leads and manufacturing at scale. The issues faced during this pandemic and the platforms being developed to address it will be invaluable for future outbreak control. Nine months after the outbreak began we are at a point where preclinical and early clinical data are being generated for the vaccines; an overview of this important area will help our understanding of the next phases.","author":[{"dropping-particle":"","family":"Tregoning","given":"J. S.","non-dropping-particle":"","parse-names":false,"suffix":""},{"dropping-particle":"","family":"Brown","given":"E. S.","non-dropping-particle":"","parse-names":false,"suffix":""},{"dropping-particle":"","family":"Cheeseman","given":"H. M.","non-dropping-particle":"","parse-names":false,"suffix":""},{"dropping-particle":"","family":"Flight","given":"K. E.","non-dropping-particle":"","parse-names":false,"suffix":""},{"dropping-particle":"","family":"Higham","given":"S. L.","non-dropping-particle":"","parse-names":false,"suffix":""},{"dropping-particle":"","family":"Lemm","given":"N.‐M.","non-dropping-particle":"","parse-names":false,"suffix":""},{"dropping-particle":"","family":"Pierce","given":"B. F.","non-dropping-particle":"","parse-names":false,"suffix":""},{"dropping-particle":"","family":"Stirling","given":"D. C.","non-dropping-particle":"","parse-names":false,"suffix":""},{"dropping-particle":"","family":"Wang","given":"Z.","non-dropping-particle":"","parse-names":false,"suffix":""},{"dropping-particle":"","family":"Pollock","given":"K. M.","non-dropping-particle":"","parse-names":false,"suffix":""}],"container-title":"Clinical and experimental immunology","id":"ITEM-1","issue":"2","issued":{"date-parts":[["2020","11","18"]]},"page":"162-192","title":"Vaccines for COVID-19.","type":"article-journal","volume":"202"},"uris":["http://www.mendeley.com/documents/?uuid=441e3caf-462a-4f08-b563-eb0156bf9f54"]},{"id":"ITEM-2","itemData":{"URL":"https://www.who.int/teams/regulation-prequalification/eul/","accessed":{"date-parts":[["2021","5","14"]]},"author":[{"dropping-particle":"","family":"WHO","given":"","non-dropping-particle":"","parse-names":false,"suffix":""}],"container-title":"World Health Organisation (WHO)","id":"ITEM-2","issued":{"date-parts":[["2021"]]},"title":"Regulation and Prequalification","type":"webpage"},"uris":["http://www.mendeley.com/documents/?uuid=8579385a-c9bb-38bb-88b5-8135d5b5aaaa"]},{"id":"ITEM-3","itemData":{"URL":"https://www.who.int/news-room/q-a-detail/coronavirus-disease-use-of-emergency-use-listing-procedure-forvaccines-against-covid-19","accessed":{"date-parts":[["2021","5","15"]]},"author":[{"dropping-particle":"","family":"World Health Organization (WHO)","given":"","non-dropping-particle":"","parse-names":false,"suffix":""}],"id":"ITEM-3","issued":{"date-parts":[["2021"]]},"title":"Coronavirus disease (COVID-19): Use of Emergency Use Listing procedure for vaccines against COVID-19","type":"webpage"},"uris":["http://www.mendeley.com/documents/?uuid=ac9eb2e4-52d0-315d-8db2-011f9a6e12fe"]},{"id":"ITEM-4","itemData":{"URL":"https://www.cdc.gov/vaccines/basics/test-approve.html","accessed":{"date-parts":[["2021","5","14"]]},"author":[{"dropping-particle":"","family":"CDC","given":"","non-dropping-particle":"","parse-names":false,"suffix":""}],"container-title":"Vaccines and Immunizations","id":"ITEM-4","issued":{"date-parts":[["2016"]]},"title":"Vaccine Testing and Approval Process | CDC","type":"webpage"},"uris":["http://www.mendeley.com/documents/?uuid=298793fd-f8c3-363f-8594-24eeeb1d083b"]},{"id":"ITEM-5","itemData":{"DOI":"10.1016/s2214-109x(21)00043-7","ISSN":"2214109X","PMID":"33667404","abstract":"The past year has seen the rapid global spread of SARS-CoV-2—the virus responsible for the ongoing COVID-19 pandemic. While non-pharmaceutical inter ventions have been the mainstay of epidemic control to date, vaccination is likely to constitute the definitive, long …","author":[{"dropping-particle":"","family":"Shrotri","given":"Madhumita","non-dropping-particle":"","parse-names":false,"suffix":""},{"dropping-particle":"","family":"Swinnen","given":"Tui","non-dropping-particle":"","parse-names":false,"suffix":""},{"dropping-particle":"","family":"Kampmann","given":"Beate","non-dropping-particle":"","parse-names":false,"suffix":""},{"dropping-particle":"","family":"Parker","given":"Edward P K","non-dropping-particle":"","parse-names":false,"suffix":""}],"container-title":"The Lancet Global Health","id":"ITEM-5","issue":"5","issued":{"date-parts":[["2021"]]},"page":"e590-e592","title":"An interactive website tracking COVID-19 vaccine development","type":"article-journal","volume":"9"},"uris":["http://www.mendeley.com/documents/?uuid=c655f4d9-279f-4111-a32e-26c6cb77bcd9"]},{"id":"ITEM-6","itemData":{"URL":"https://www.historyofvaccines.org/content/articles/vaccine-development-testing-and-regulation%0Ahttps://www.historyofvaccines.org/content/articles/vaccine-development-testing-and-regulation%0Ahttps://www.historyofvaccines.org/content/articles/vaccine-deve","accessed":{"date-parts":[["2021","5","16"]]},"author":[{"dropping-particle":"","family":"Bowman","given":"Jacqui","non-dropping-particle":"","parse-names":false,"suffix":""}],"container-title":"The college of Physicians of Philadelphia","id":"ITEM-6","issued":{"date-parts":[["2016"]]},"title":"Vaccine Development, Testing, and Regulation | History of Vaccines","type":"webpage"},"uris":["http://www.mendeley.com/documents/?uuid=7d789f08-b8b7-31b8-acc4-cfb5e1390584"]},{"id":"ITEM-7","itemData":{"DOI":"10.20529/IJME.2020.122","ISSN":"09748466","abstract":"Large-scale vaccination with a safe and effective vaccine against Covid-19 is the only way to conquer the ongoing lethal pandemic that has led to extraordinary social and economic upheaval globally. Fortunately, the world is on the verge of developing Covid-19 vaccines in an unprecedentedly short time. More than forty vaccines are in different stages of clinical trials, and a few are in the crucial phase III studies stage. A new demand for emergency use authorisation and rapid deployment of these vaccines before scrutinising phase III trial data is raging in different quarters. Can advancement of the deployment of these vaccines by even a few weeks give us rich public health dividends? Would it be ethical to deploy these novel vaccines based only on the safety and immunogenicity data generated by the phase-I and II clinical trials? Would it be ethical to deny vaccination of vulnerable populations against an untreatable infectious disease despite the availability of reasonably safe and efficacious vaccines for the want of phase III trial data? The answer is not straightforward, as there are many complexities involved. This commentary attempts to discuss some ethical issues involved in a decision to deploy Covid-19 vaccination before phase III trial results are declared.","author":[{"dropping-particle":"","family":"Vashishtha","given":"Vipin M","non-dropping-particle":"","parse-names":false,"suffix":""},{"dropping-particle":"","family":"Kumar","given":"Puneet","non-dropping-particle":"","parse-names":false,"suffix":""}],"container-title":"Indian Journal of Medical Ethics","id":"ITEM-7","issue":"01","issued":{"date-parts":[["2021","2","16"]]},"page":"20-22","title":"Emergency use authorisation of Covid-19 vaccines:An ethical conundrum","type":"article-journal","volume":"06"},"uris":["http://www.mendeley.com/documents/?uuid=ff957a72-6062-499a-a178-8ac342767c6c"]},{"id":"ITEM-8","itemData":{"DOI":"10.7759/cureus.10530","ISSN":"2168-8184","PMID":"33101792","abstract":"Introduction In the last 18 years, on three occasions, coronavirus has represented a challenge for global health. Between 2002 and 2003 with Severe Acute Respiratory Syndrome, in 2012 with Middle East Respiratory Syndrome, and since the end of 2019 with severe acute respiratory syndrome coronavirus 2 (SARS-CoV-2) causing the coronavirus disease 2019 (COVID-19) pandemic, which has challenged health care models and the way of doing research, placing bioethics at the center of discussion. Methods On August 19, 2020, a webinar organized by the Research Institute of Medical Science (IICIMED, for its acronym in Spanish), entitled 'Bioethical Implications in Vaccine Development, a COVID-19 Challenge' took place. Three experts spoke about the importance of bioethics in the race to develop a COVID-19 vaccine, the risk involved in shortening the terms of the clinical trial phases, and how the associated risks can be minimized, in order to expedite research results. Conclusion With the novel SARS-CoV-2 coronavirus, critical challenges have been posed not only for public health but for research and the scientific community. A safe and effective vaccine is urgently needed to prevent COVID-19 transmission, complications, and deaths; the adherence to ethical principles required by clinical research is mandatory and closer supervision is also essential.","author":[{"dropping-particle":"","family":"Ospina Henao","given":"Sebastián","non-dropping-particle":"","parse-names":false,"suffix":""},{"dropping-particle":"","family":"Marín Mora","given":"Alejandro","non-dropping-particle":"","parse-names":false,"suffix":""},{"dropping-particle":"","family":"Chan Solano","given":"Fanny","non-dropping-particle":"","parse-names":false,"suffix":""},{"dropping-particle":"","family":"Ávila-Aguero","given":"María L","non-dropping-particle":"","parse-names":false,"suffix":""}],"container-title":"Cureus","id":"ITEM-8","issue":"9","issued":{"date-parts":[["2020","9","18"]]},"page":"e10530","title":"Bioethical Implications in Vaccine Development, a COVID-19 Challenge.","type":"article-journal","volume":"12"},"uris":["http://www.mendeley.com/documents/?uuid=8e3753a9-2689-4749-a678-2e57dc25fc8c"]}],"mendeley":{"formattedCitation":"(2,6,7,10–12,17,18)","plainTextFormattedCitation":"(2,6,7,10–12,17,18)","previouslyFormattedCitation":"(Tregoning et al. 2020; WHO 2021a; World Health Organization (WHO) 2021a; CDC 2016; Shrotri et al. 2021; Bowman 2016; Vashishtha and Kumar 2021; Ospina Henao et al. 2020)"},"properties":{"noteIndex":0},"schema":"https://github.com/citation-style-language/schema/raw/master/csl-citation.json"}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(2,6,7,10–12,17,18)</w:t>
      </w:r>
      <w:r w:rsidR="00331BD5">
        <w:rPr>
          <w:rStyle w:val="FootnoteReference"/>
          <w:rFonts w:ascii="Times New Roman" w:hAnsi="Times New Roman" w:cs="Times New Roman"/>
          <w:sz w:val="24"/>
          <w:szCs w:val="24"/>
        </w:rPr>
        <w:fldChar w:fldCharType="end"/>
      </w:r>
      <w:r w:rsidR="007D311D" w:rsidRPr="00C33556">
        <w:rPr>
          <w:rFonts w:ascii="Times New Roman" w:hAnsi="Times New Roman" w:cs="Times New Roman"/>
          <w:sz w:val="24"/>
          <w:szCs w:val="24"/>
          <w:lang w:val="en-US"/>
        </w:rPr>
        <w:t xml:space="preserve"> </w:t>
      </w:r>
      <w:r w:rsidR="0011631D" w:rsidRPr="00C33556">
        <w:rPr>
          <w:rFonts w:ascii="Times New Roman" w:hAnsi="Times New Roman" w:cs="Times New Roman"/>
          <w:sz w:val="24"/>
          <w:szCs w:val="24"/>
          <w:lang w:val="en-US"/>
        </w:rPr>
        <w:t xml:space="preserve">Thus, the benefit in a pandemic crisis of obtaining vaccines in a short time is undeniable. However, starting the distribution and immunization of the population with vaccines in the stage of development of clinical tests through authorization </w:t>
      </w:r>
      <w:r w:rsidR="0011631D" w:rsidRPr="00C33556">
        <w:rPr>
          <w:rFonts w:ascii="Times New Roman" w:hAnsi="Times New Roman" w:cs="Times New Roman"/>
          <w:sz w:val="24"/>
          <w:szCs w:val="24"/>
          <w:lang w:val="en-US"/>
        </w:rPr>
        <w:lastRenderedPageBreak/>
        <w:t>for emergency use requires special ethical attention and permanent surveillance in every process, whether in the pre-clinical and clinical testing phases as well as after the future licensing</w:t>
      </w:r>
      <w:r w:rsidR="00C54E18" w:rsidRPr="00C33556">
        <w:rPr>
          <w:rFonts w:ascii="Times New Roman" w:hAnsi="Times New Roman" w:cs="Times New Roman"/>
          <w:sz w:val="24"/>
          <w:szCs w:val="24"/>
          <w:lang w:val="en-US"/>
        </w:rPr>
        <w:t>.</w:t>
      </w:r>
      <w:r w:rsidR="0011631D" w:rsidRPr="00C33556">
        <w:rPr>
          <w:rFonts w:ascii="Times New Roman" w:hAnsi="Times New Roman" w:cs="Times New Roman"/>
          <w:sz w:val="24"/>
          <w:szCs w:val="24"/>
          <w:lang w:val="en-US"/>
        </w:rPr>
        <w:t xml:space="preserve"> </w:t>
      </w:r>
      <w:r w:rsidR="00791FC2" w:rsidRPr="00791FC2">
        <w:rPr>
          <w:rFonts w:ascii="Times New Roman" w:hAnsi="Times New Roman" w:cs="Times New Roman"/>
          <w:sz w:val="24"/>
          <w:szCs w:val="24"/>
          <w:lang w:val="en-US"/>
        </w:rPr>
        <w:t>In this sense, Figure 2 highlights the importance of surveillance in the development process and availability for immediate use of COVID-19 vaccines through authorization for emergency use.</w:t>
      </w:r>
    </w:p>
    <w:p w14:paraId="554C9D90" w14:textId="27AA0107" w:rsidR="001D3E1B" w:rsidRDefault="001D3E1B" w:rsidP="00FA54FD">
      <w:pPr>
        <w:spacing w:line="480" w:lineRule="auto"/>
        <w:ind w:firstLine="708"/>
        <w:jc w:val="both"/>
        <w:rPr>
          <w:rFonts w:ascii="Times New Roman" w:hAnsi="Times New Roman" w:cs="Times New Roman"/>
          <w:sz w:val="24"/>
          <w:szCs w:val="24"/>
          <w:lang w:val="en-US"/>
        </w:rPr>
      </w:pPr>
      <w:r>
        <w:rPr>
          <w:noProof/>
          <w:lang w:val="en-GB" w:eastAsia="zh-TW"/>
        </w:rPr>
        <w:drawing>
          <wp:inline distT="0" distB="0" distL="0" distR="0" wp14:anchorId="3FF62AE1" wp14:editId="25F68A14">
            <wp:extent cx="4575810" cy="5490971"/>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1066" cy="5497278"/>
                    </a:xfrm>
                    <a:prstGeom prst="rect">
                      <a:avLst/>
                    </a:prstGeom>
                    <a:noFill/>
                    <a:ln>
                      <a:noFill/>
                    </a:ln>
                  </pic:spPr>
                </pic:pic>
              </a:graphicData>
            </a:graphic>
          </wp:inline>
        </w:drawing>
      </w:r>
    </w:p>
    <w:p w14:paraId="10AB616F" w14:textId="604EEA28" w:rsidR="001D3E1B" w:rsidRPr="001D3E1B" w:rsidRDefault="001D3E1B" w:rsidP="001D3E1B">
      <w:pPr>
        <w:pStyle w:val="Caption"/>
        <w:jc w:val="both"/>
        <w:rPr>
          <w:rFonts w:ascii="Times New Roman" w:hAnsi="Times New Roman" w:cs="Times New Roman"/>
          <w:b/>
          <w:bCs/>
          <w:i w:val="0"/>
          <w:iCs w:val="0"/>
          <w:color w:val="auto"/>
          <w:sz w:val="24"/>
          <w:szCs w:val="24"/>
          <w:lang w:val="en-US"/>
        </w:rPr>
      </w:pPr>
      <w:r w:rsidRPr="00C33556">
        <w:rPr>
          <w:rFonts w:ascii="Times New Roman" w:hAnsi="Times New Roman" w:cs="Times New Roman"/>
          <w:b/>
          <w:bCs/>
          <w:i w:val="0"/>
          <w:iCs w:val="0"/>
          <w:color w:val="auto"/>
          <w:sz w:val="24"/>
          <w:szCs w:val="24"/>
          <w:lang w:val="en-US"/>
        </w:rPr>
        <w:t>Figure 2. Diagram representing the importance of surveillance in the process of development and availability for immediate use of COVID-19 vaccines through emergency use authorization.</w:t>
      </w:r>
    </w:p>
    <w:p w14:paraId="6AFBD3E0" w14:textId="7E1BEEF6" w:rsidR="00337DD1" w:rsidRPr="00337DD1" w:rsidRDefault="00337DD1" w:rsidP="00337DD1">
      <w:pPr>
        <w:spacing w:line="480" w:lineRule="auto"/>
        <w:ind w:firstLine="708"/>
        <w:jc w:val="both"/>
        <w:rPr>
          <w:rFonts w:ascii="Times New Roman" w:eastAsia="Times New Roman" w:hAnsi="Times New Roman" w:cs="Times New Roman"/>
          <w:sz w:val="24"/>
          <w:szCs w:val="24"/>
          <w:lang w:val="en-US"/>
        </w:rPr>
      </w:pPr>
      <w:r w:rsidRPr="00337DD1">
        <w:rPr>
          <w:rFonts w:ascii="Times New Roman" w:eastAsia="Times New Roman" w:hAnsi="Times New Roman" w:cs="Times New Roman"/>
          <w:sz w:val="24"/>
          <w:szCs w:val="24"/>
          <w:lang w:val="en-US"/>
        </w:rPr>
        <w:lastRenderedPageBreak/>
        <w:t xml:space="preserve">Note that in Figure 2, it is proposed that surveillance ceases to be </w:t>
      </w:r>
      <w:r w:rsidR="000A3B7D" w:rsidRPr="00337DD1">
        <w:rPr>
          <w:rFonts w:ascii="Times New Roman" w:eastAsia="Times New Roman" w:hAnsi="Times New Roman" w:cs="Times New Roman"/>
          <w:sz w:val="24"/>
          <w:szCs w:val="24"/>
          <w:lang w:val="en-US"/>
        </w:rPr>
        <w:t>characterized</w:t>
      </w:r>
      <w:r w:rsidRPr="00337DD1">
        <w:rPr>
          <w:rFonts w:ascii="Times New Roman" w:eastAsia="Times New Roman" w:hAnsi="Times New Roman" w:cs="Times New Roman"/>
          <w:sz w:val="24"/>
          <w:szCs w:val="24"/>
          <w:lang w:val="en-US"/>
        </w:rPr>
        <w:t xml:space="preserve"> as the last stage in the vaccine development process as shown in Figure 1 and becomes one of the fundamental requirements of pre-clinical and clinical tests so that, effectively, ethics requirements are met.</w:t>
      </w:r>
    </w:p>
    <w:p w14:paraId="13E4AB61" w14:textId="28915879" w:rsidR="00C15E3B" w:rsidRPr="00C33556" w:rsidRDefault="002000C7" w:rsidP="00FA54FD">
      <w:pPr>
        <w:spacing w:line="480" w:lineRule="auto"/>
        <w:ind w:firstLine="708"/>
        <w:jc w:val="both"/>
        <w:rPr>
          <w:rFonts w:ascii="Times New Roman" w:hAnsi="Times New Roman" w:cs="Times New Roman"/>
          <w:sz w:val="24"/>
          <w:szCs w:val="24"/>
          <w:lang w:val="en-US"/>
        </w:rPr>
      </w:pPr>
      <w:r w:rsidRPr="00C33556">
        <w:rPr>
          <w:rFonts w:ascii="Times New Roman" w:hAnsi="Times New Roman" w:cs="Times New Roman"/>
          <w:sz w:val="24"/>
          <w:szCs w:val="24"/>
          <w:lang w:val="en-US"/>
        </w:rPr>
        <w:t>.</w:t>
      </w:r>
    </w:p>
    <w:p w14:paraId="04B88D6A" w14:textId="4C839827" w:rsidR="00C15E3B" w:rsidRPr="00C33556" w:rsidRDefault="00C15E3B" w:rsidP="00FA54FD">
      <w:pPr>
        <w:spacing w:line="480" w:lineRule="auto"/>
        <w:ind w:firstLine="708"/>
        <w:jc w:val="both"/>
        <w:rPr>
          <w:rFonts w:ascii="Times New Roman" w:hAnsi="Times New Roman" w:cs="Times New Roman"/>
          <w:b/>
          <w:bCs/>
          <w:sz w:val="24"/>
          <w:szCs w:val="24"/>
          <w:lang w:val="en-US"/>
        </w:rPr>
      </w:pPr>
      <w:r w:rsidRPr="00C33556">
        <w:rPr>
          <w:rFonts w:ascii="Times New Roman" w:hAnsi="Times New Roman" w:cs="Times New Roman"/>
          <w:b/>
          <w:bCs/>
          <w:sz w:val="24"/>
          <w:szCs w:val="24"/>
          <w:lang w:val="en-US"/>
        </w:rPr>
        <w:t>3 BIOETHICS APPLIED TO THE EMERGENCY USE OF COVID-19 VACCINES</w:t>
      </w:r>
    </w:p>
    <w:p w14:paraId="52824E97" w14:textId="396DB067" w:rsidR="008E0127" w:rsidRPr="00C33556" w:rsidRDefault="001C1C8B" w:rsidP="00FA54FD">
      <w:pPr>
        <w:spacing w:line="480" w:lineRule="auto"/>
        <w:ind w:firstLine="708"/>
        <w:jc w:val="both"/>
        <w:rPr>
          <w:rFonts w:ascii="Times New Roman" w:hAnsi="Times New Roman" w:cs="Times New Roman"/>
          <w:sz w:val="24"/>
          <w:szCs w:val="24"/>
          <w:lang w:val="en-US"/>
        </w:rPr>
      </w:pPr>
      <w:r w:rsidRPr="00C33556">
        <w:rPr>
          <w:rFonts w:ascii="Times New Roman" w:hAnsi="Times New Roman" w:cs="Times New Roman"/>
          <w:sz w:val="24"/>
          <w:szCs w:val="24"/>
          <w:lang w:val="en-US"/>
        </w:rPr>
        <w:t>Once exposed that the pandemic situation requires efforts for the rapid implantation of immunization programs, a new ethical discussion is established as the authorization for emergency use implies using vaccines in a situation where</w:t>
      </w:r>
      <w:r w:rsidR="004A0A81" w:rsidRPr="00C33556">
        <w:rPr>
          <w:rFonts w:ascii="Times New Roman" w:hAnsi="Times New Roman" w:cs="Times New Roman"/>
          <w:sz w:val="24"/>
          <w:szCs w:val="24"/>
          <w:lang w:val="en-US"/>
        </w:rPr>
        <w:t>:</w:t>
      </w:r>
    </w:p>
    <w:p w14:paraId="2A45E605" w14:textId="3E47A257" w:rsidR="004F3171" w:rsidRPr="00C33556" w:rsidRDefault="00BA4306" w:rsidP="004F3171">
      <w:pPr>
        <w:pStyle w:val="ListParagraph"/>
        <w:numPr>
          <w:ilvl w:val="0"/>
          <w:numId w:val="11"/>
        </w:numPr>
        <w:spacing w:line="480" w:lineRule="auto"/>
        <w:jc w:val="both"/>
        <w:rPr>
          <w:rFonts w:ascii="Times New Roman" w:hAnsi="Times New Roman" w:cs="Times New Roman"/>
          <w:sz w:val="24"/>
          <w:szCs w:val="24"/>
          <w:lang w:val="en-US"/>
        </w:rPr>
      </w:pPr>
      <w:r w:rsidRPr="00C33556">
        <w:rPr>
          <w:rFonts w:ascii="Times New Roman" w:hAnsi="Times New Roman" w:cs="Times New Roman"/>
          <w:sz w:val="24"/>
          <w:szCs w:val="24"/>
          <w:lang w:val="en-US"/>
        </w:rPr>
        <w:t>In the exploratory stage, many questions remain open regarding the pathogenic mechanism of SARS-CoV-2, variations in clinical courses presented by patients and</w:t>
      </w:r>
      <w:r w:rsidR="00FF59A1">
        <w:rPr>
          <w:rFonts w:ascii="Times New Roman" w:hAnsi="Times New Roman" w:cs="Times New Roman"/>
          <w:sz w:val="24"/>
          <w:szCs w:val="24"/>
          <w:lang w:val="en-US"/>
        </w:rPr>
        <w:t>,</w:t>
      </w:r>
      <w:r w:rsidRPr="00C33556">
        <w:rPr>
          <w:rFonts w:ascii="Times New Roman" w:hAnsi="Times New Roman" w:cs="Times New Roman"/>
          <w:sz w:val="24"/>
          <w:szCs w:val="24"/>
          <w:lang w:val="en-US"/>
        </w:rPr>
        <w:t xml:space="preserve"> mainly due to the appearance of new strains.</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{"citationItems":[{"id":"ITEM-1","itemData":{"DOI":"10.20529/IJME.2020.122","ISSN":"09748466","abstract":"Large-scale vaccination with a safe and effective vaccine against Covid-19 is the only way to conquer the ongoing lethal pandemic that has led to extraordinary social and economic upheaval globally. Fortunately, the world is on the verge of developing Covid-19 vaccines in an unprecedentedly short time. More than forty vaccines are in different stages of clinical trials, and a few are in the crucial phase III studies stage. A new demand for emergency use authorisation and rapid deployment of these vaccines before scrutinising phase III trial data is raging in different quarters. Can advancement of the deployment of these vaccines by even a few weeks give us rich public health dividends? Would it be ethical to deploy these novel vaccines based only on the safety and immunogenicity data generated by the phase-I and II clinical trials? Would it be ethical to deny vaccination of vulnerable populations against an untreatable infectious disease despite the availability of reasonably safe and efficacious vaccines for the want of phase III trial data? The answer is not straightforward, as there are many complexities involved. This commentary attempts to discuss some ethical issues involved in a decision to deploy Covid-19 vaccination before phase III trial results are declared.","author":[{"dropping-particle":"","family":"Vashishtha","given":"Vipin M","non-dropping-particle":"","parse-names":false,"suffix":""},{"dropping-particle":"","family":"Kumar","given":"Puneet","non-dropping-particle":"","parse-names":false,"suffix":""}],"container-title":"Indian Journal of Medical Ethics","id":"ITEM-1","issue":"01","issued":{"date-parts":[["2021","2","16"]]},"page":"20-22","title":"Emergency use authorisation of Covid-19 vaccines:An ethical conundrum","type":"article-journal","volume":"06"},"uris":["http://www.mendeley.com/documents/?uuid=10303d8a-0b69-4e8c-8e89-fc9778bcd606"]},{"id":"ITEM-2","itemData":{"DOI":"10.1136/medethics-2020-107036","ISSN":"0306-6800","abstract":"This paper addresses the just distribution of vaccines against the SARS-CoV-2 virus and sets forth an ethical framework that prioritises frontline and essential workers, people at high risk of severe disease or death, and people at high risk of infection. Section I makes the case that vaccine distribution should occur at a global level in order to accelerate development and fair, efficient vaccine allocation. Section II puts forth ethical values to guide vaccine distribution including helping people with the greatest need, reducing health disparity, saving the most lives and promoting narrow social utility. It also responds to objections which claim that earlier years have more value than later years. Section III puts forth a practical ethical framework to aid decision-makers and compares it with alternatives.","author":[{"dropping-particle":"","family":"Jecker","given":"Nancy S","non-dropping-particle":"","parse-names":false,"suffix":""},{"dropping-particle":"","family":"Wightman","given":"Aaron G","non-dropping-particle":"","parse-names":false,"suffix":""},{"dropping-particle":"","family":"Diekema","given":"Douglas S","non-dropping-particle":"","parse-names":false,"suffix":""}],"container-title":"Journal of Medical Ethics","id":"ITEM-2","issued":{"date-parts":[["2021","2","16"]]},"page":"medethics-2020-107036","title":"Vaccine ethics: an ethical framework for global distribution of COVID-19 vaccines","type":"article-journal"},"uris":["http://www.mendeley.com/documents/?uuid=7406a6eb-cd28-40c3-bf66-58fc47c3ef39"]}],"mendeley":{"formattedCitation":"(6,20)","plainTextFormattedCitation":"(6,20)","previouslyFormattedCitation":"(Vashishtha and Kumar 2021; Jecker, Wightman, and Diekema 2021)"},"properties":{"noteIndex":0},"schema":"https://github.com/citation-style-language/schema/raw/master/csl-citation.json"}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(6,20)</w:t>
      </w:r>
      <w:r w:rsidR="00331BD5">
        <w:rPr>
          <w:rStyle w:val="FootnoteReference"/>
          <w:rFonts w:ascii="Times New Roman" w:hAnsi="Times New Roman" w:cs="Times New Roman"/>
          <w:sz w:val="24"/>
          <w:szCs w:val="24"/>
        </w:rPr>
        <w:fldChar w:fldCharType="end"/>
      </w:r>
    </w:p>
    <w:p w14:paraId="3D8B27C5" w14:textId="161CE558" w:rsidR="004F3171" w:rsidRPr="00C33556" w:rsidRDefault="00BA4306" w:rsidP="004F3171">
      <w:pPr>
        <w:pStyle w:val="ListParagraph"/>
        <w:numPr>
          <w:ilvl w:val="0"/>
          <w:numId w:val="11"/>
        </w:numPr>
        <w:spacing w:line="480" w:lineRule="auto"/>
        <w:jc w:val="both"/>
        <w:rPr>
          <w:rFonts w:ascii="Times New Roman" w:hAnsi="Times New Roman" w:cs="Times New Roman"/>
          <w:sz w:val="24"/>
          <w:szCs w:val="24"/>
          <w:lang w:val="en-US"/>
        </w:rPr>
      </w:pPr>
      <w:r w:rsidRPr="00C33556">
        <w:rPr>
          <w:rFonts w:ascii="Times New Roman" w:hAnsi="Times New Roman" w:cs="Times New Roman"/>
          <w:sz w:val="24"/>
          <w:szCs w:val="24"/>
          <w:lang w:val="en-US"/>
        </w:rPr>
        <w:t>The selection of an ideal animal model that reproduces the clinical disease in an evident way, to study the pathogenesis of SARS-CoV-2 could require long-term studies</w:t>
      </w:r>
      <w:r w:rsidR="009A3701" w:rsidRPr="00C33556">
        <w:rPr>
          <w:rFonts w:ascii="Times New Roman" w:hAnsi="Times New Roman" w:cs="Times New Roman"/>
          <w:sz w:val="24"/>
          <w:szCs w:val="24"/>
          <w:lang w:val="en-US"/>
        </w:rPr>
        <w:t>.</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{"citationItems":[{"id":"ITEM-1","itemData":{"DOI":"10.1111/cei.13517","ISSN":"1365-2249","PMID":"32935331","abstract":"Since the emergence of COVID-19, caused by the SARS-CoV-2 virus at the end of 2019, there has been an explosion of vaccine development. By 24 September 2020, a staggering number of vaccines (more than 200) had started preclinical development, of which 43 had entered clinical trials, including some approaches that have not previously been licensed for human vaccines. Vaccines have been widely considered as part of the exit strategy to enable the return to previous patterns of working, schooling and socializing. Importantly, to effectively control the COVID-19 pandemic, production needs to be scaled-up from a small number of preclinical doses to enough filled vials to immunize the world's population, which requires close engagement with manufacturers and regulators. It will require a global effort to control the virus, necessitating equitable access for all countries to effective vaccines. This review explores the immune responses required to protect against SARS-CoV-2 and the potential for vaccine-induced immunopathology. We describe the profile of the different platforms and the advantages and disadvantages of each approach. The review also addresses the critical steps between promising preclinical leads and manufacturing at scale. The issues faced during this pandemic and the platforms being developed to address it will be invaluable for future outbreak control. Nine months after the outbreak began we are at a point where preclinical and early clinical data are being generated for the vaccines; an overview of this important area will help our understanding of the next phases.","author":[{"dropping-particle":"","family":"Tregoning","given":"J. S.","non-dropping-particle":"","parse-names":false,"suffix":""},{"dropping-particle":"","family":"Brown","given":"E. S.","non-dropping-particle":"","parse-names":false,"suffix":""},{"dropping-particle":"","family":"Cheeseman","given":"H. M.","non-dropping-particle":"","parse-names":false,"suffix":""},{"dropping-particle":"","family":"Flight","given":"K. E.","non-dropping-particle":"","parse-names":false,"suffix":""},{"dropping-particle":"","family":"Higham","given":"S. L.","non-dropping-particle":"","parse-names":false,"suffix":""},{"dropping-particle":"","family":"Lemm","given":"N.‐M.","non-dropping-particle":"","parse-names":false,"suffix":""},{"dropping-particle":"","family":"Pierce","given":"B. F.","non-dropping-particle":"","parse-names":false,"suffix":""},{"dropping-particle":"","family":"Stirling","given":"D. C.","non-dropping-particle":"","parse-names":false,"suffix":""},{"dropping-particle":"","family":"Wang","given":"Z.","non-dropping-particle":"","parse-names":false,"suffix":""},{"dropping-particle":"","family":"Pollock","given":"K. M.","non-dropping-particle":"","parse-names":false,"suffix":""}],"container-title":"Clinical and experimental immunology","id":"ITEM-1","issue":"2","issued":{"date-parts":[["2020","11","18"]]},"page":"162-192","title":"Vaccines for COVID-19.","type":"article-journal","volume":"202"},"uris":["http://www.mendeley.com/documents/?uuid=441e3caf-462a-4f08-b563-eb0156bf9f54"]}],"mendeley":{"formattedCitation":"(2)","plainTextFormattedCitation":"(2)","previouslyFormattedCitation":"(Tregoning et al. 2020)"},"properties":{"noteIndex":0},"schema":"https://github.com/citation-style-language/schema/raw/master/csl-citation.json"}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(2)</w:t>
      </w:r>
      <w:r w:rsidR="00331BD5">
        <w:rPr>
          <w:rStyle w:val="FootnoteReference"/>
          <w:rFonts w:ascii="Times New Roman" w:hAnsi="Times New Roman" w:cs="Times New Roman"/>
          <w:sz w:val="24"/>
          <w:szCs w:val="24"/>
        </w:rPr>
        <w:fldChar w:fldCharType="end"/>
      </w:r>
      <w:r w:rsidR="009A3701" w:rsidRPr="00C33556">
        <w:rPr>
          <w:rFonts w:ascii="Times New Roman" w:hAnsi="Times New Roman" w:cs="Times New Roman"/>
          <w:sz w:val="24"/>
          <w:szCs w:val="24"/>
          <w:lang w:val="en-US"/>
        </w:rPr>
        <w:t xml:space="preserve"> </w:t>
      </w:r>
      <w:r w:rsidRPr="00C33556">
        <w:rPr>
          <w:rFonts w:ascii="Times New Roman" w:hAnsi="Times New Roman" w:cs="Times New Roman"/>
          <w:sz w:val="24"/>
          <w:szCs w:val="24"/>
          <w:lang w:val="en-US"/>
        </w:rPr>
        <w:t>Thus, in contrast, to the gold standard considered for a vaccine, which is defined as the prevention of infection, studies in primates have shown results that indicate a reduction in viral load and a lower risk of evolution of the patient to severe forms of COVID-19</w:t>
      </w:r>
      <w:r w:rsidR="009A3701" w:rsidRPr="00C33556">
        <w:rPr>
          <w:rFonts w:ascii="Times New Roman" w:hAnsi="Times New Roman" w:cs="Times New Roman"/>
          <w:sz w:val="24"/>
          <w:szCs w:val="24"/>
          <w:lang w:val="en-US"/>
        </w:rPr>
        <w:t>.</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{"citationItems":[{"id":"ITEM-1","itemData":{"DOI":"10.20529/IJME.2020.122","ISSN":"09748466","abstract":"Large-scale vaccination with a safe and effective vaccine against Covid-19 is the only way to conquer the ongoing lethal pandemic that has led to extraordinary social and economic upheaval globally. Fortunately, the world is on the verge of developing Covid-19 vaccines in an unprecedentedly short time. More than forty vaccines are in different stages of clinical trials, and a few are in the crucial phase III studies stage. A new demand for emergency use authorisation and rapid deployment of these vaccines before scrutinising phase III trial data is raging in different quarters. Can advancement of the deployment of these vaccines by even a few weeks give us rich public health dividends? Would it be ethical to deploy these novel vaccines based only on the safety and immunogenicity data generated by the phase-I and II clinical trials? Would it be ethical to deny vaccination of vulnerable populations against an untreatable infectious disease despite the availability of reasonably safe and efficacious vaccines for the want of phase III trial data? The answer is not straightforward, as there are many complexities involved. This commentary attempts to discuss some ethical issues involved in a decision to deploy Covid-19 vaccination before phase III trial results are declared.","author":[{"dropping-particle":"","family":"Vashishtha","given":"Vipin M","non-dropping-particle":"","parse-names":false,"suffix":""},{"dropping-particle":"","family":"Kumar","given":"Puneet","non-dropping-particle":"","parse-names":false,"suffix":""}],"container-title":"Indian Journal of Medical Ethics","id":"ITEM-1","issue":"01","issued":{"date-parts":[["2021","2","16"]]},"page":"20-22","title":"Emergency use authorisation of Covid-19 vaccines:An ethical conundrum","type":"article-journal","volume":"06"},"uris":["http://www.mendeley.com/documents/?uuid=ff957a72-6062-499a-a178-8ac342767c6c"]}],"mendeley":{"formattedCitation":"(6)","plainTextFormattedCitation":"(6)","previouslyFormattedCitation":"(Vashishtha and Kumar 2021)"},"properties":{"noteIndex":0},"schema":"https://github.com/citation-style-language/schema/raw/master/csl-citation.json"}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(6)</w:t>
      </w:r>
      <w:r w:rsidR="00331BD5">
        <w:rPr>
          <w:rStyle w:val="FootnoteReference"/>
          <w:rFonts w:ascii="Times New Roman" w:hAnsi="Times New Roman" w:cs="Times New Roman"/>
          <w:sz w:val="24"/>
          <w:szCs w:val="24"/>
        </w:rPr>
        <w:fldChar w:fldCharType="end"/>
      </w:r>
      <w:r w:rsidR="0098507C" w:rsidRPr="00C33556">
        <w:rPr>
          <w:rFonts w:ascii="Times New Roman" w:hAnsi="Times New Roman" w:cs="Times New Roman"/>
          <w:sz w:val="24"/>
          <w:szCs w:val="24"/>
          <w:lang w:val="en-US"/>
        </w:rPr>
        <w:t xml:space="preserve"> </w:t>
      </w:r>
      <w:r w:rsidR="00252A30" w:rsidRPr="00C33556">
        <w:rPr>
          <w:rFonts w:ascii="Times New Roman" w:hAnsi="Times New Roman" w:cs="Times New Roman"/>
          <w:sz w:val="24"/>
          <w:szCs w:val="24"/>
          <w:lang w:val="en-US"/>
        </w:rPr>
        <w:t>In</w:t>
      </w:r>
      <w:r w:rsidR="00092181" w:rsidRPr="00C33556">
        <w:rPr>
          <w:rFonts w:ascii="Times New Roman" w:hAnsi="Times New Roman" w:cs="Times New Roman"/>
          <w:sz w:val="24"/>
          <w:szCs w:val="24"/>
          <w:lang w:val="en-US"/>
        </w:rPr>
        <w:t xml:space="preserve"> </w:t>
      </w:r>
      <w:r w:rsidR="00252A30" w:rsidRPr="00C33556">
        <w:rPr>
          <w:rFonts w:ascii="Times New Roman" w:hAnsi="Times New Roman" w:cs="Times New Roman"/>
          <w:sz w:val="24"/>
          <w:szCs w:val="24"/>
          <w:lang w:val="en-US"/>
        </w:rPr>
        <w:t>addition</w:t>
      </w:r>
      <w:r w:rsidR="00092181" w:rsidRPr="00C33556">
        <w:rPr>
          <w:rFonts w:ascii="Times New Roman" w:hAnsi="Times New Roman" w:cs="Times New Roman"/>
          <w:sz w:val="24"/>
          <w:szCs w:val="24"/>
          <w:lang w:val="en-US"/>
        </w:rPr>
        <w:t>,</w:t>
      </w:r>
      <w:r w:rsidR="00252A30" w:rsidRPr="00C33556">
        <w:rPr>
          <w:rFonts w:ascii="Times New Roman" w:hAnsi="Times New Roman" w:cs="Times New Roman"/>
          <w:sz w:val="24"/>
          <w:szCs w:val="24"/>
          <w:lang w:val="en-US"/>
        </w:rPr>
        <w:t xml:space="preserve"> the choice of an animal model that does not allow a direct correlation with humans can create impediments about obtaining approval from the ethics committee </w:t>
      </w:r>
      <w:r w:rsidR="00252A30" w:rsidRPr="00C33556">
        <w:rPr>
          <w:rFonts w:ascii="Times New Roman" w:hAnsi="Times New Roman" w:cs="Times New Roman"/>
          <w:sz w:val="24"/>
          <w:szCs w:val="24"/>
          <w:lang w:val="en-US"/>
        </w:rPr>
        <w:lastRenderedPageBreak/>
        <w:t xml:space="preserve">for research on animals since there would be no glimpse of beneficence in the infection of animals in </w:t>
      </w:r>
      <w:proofErr w:type="spellStart"/>
      <w:r w:rsidR="00252A30" w:rsidRPr="00C33556">
        <w:rPr>
          <w:rFonts w:ascii="Times New Roman" w:hAnsi="Times New Roman" w:cs="Times New Roman"/>
          <w:sz w:val="24"/>
          <w:szCs w:val="24"/>
          <w:lang w:val="en-US"/>
        </w:rPr>
        <w:t>favo</w:t>
      </w:r>
      <w:r w:rsidR="005B558F">
        <w:rPr>
          <w:rFonts w:ascii="Times New Roman" w:hAnsi="Times New Roman" w:cs="Times New Roman"/>
          <w:sz w:val="24"/>
          <w:szCs w:val="24"/>
          <w:lang w:val="en-US"/>
        </w:rPr>
        <w:t>u</w:t>
      </w:r>
      <w:r w:rsidR="00252A30" w:rsidRPr="00C33556">
        <w:rPr>
          <w:rFonts w:ascii="Times New Roman" w:hAnsi="Times New Roman" w:cs="Times New Roman"/>
          <w:sz w:val="24"/>
          <w:szCs w:val="24"/>
          <w:lang w:val="en-US"/>
        </w:rPr>
        <w:t>r</w:t>
      </w:r>
      <w:proofErr w:type="spellEnd"/>
      <w:r w:rsidR="00252A30" w:rsidRPr="00C33556">
        <w:rPr>
          <w:rFonts w:ascii="Times New Roman" w:hAnsi="Times New Roman" w:cs="Times New Roman"/>
          <w:sz w:val="24"/>
          <w:szCs w:val="24"/>
          <w:lang w:val="en-US"/>
        </w:rPr>
        <w:t xml:space="preserve"> of science.</w:t>
      </w:r>
    </w:p>
    <w:p w14:paraId="41EA3722" w14:textId="6B406D63" w:rsidR="00B74E95" w:rsidRPr="00C33556" w:rsidRDefault="00092181" w:rsidP="00F50D78">
      <w:pPr>
        <w:pStyle w:val="ListParagraph"/>
        <w:numPr>
          <w:ilvl w:val="0"/>
          <w:numId w:val="11"/>
        </w:numPr>
        <w:spacing w:line="480" w:lineRule="auto"/>
        <w:jc w:val="both"/>
        <w:rPr>
          <w:rFonts w:ascii="Times New Roman" w:hAnsi="Times New Roman" w:cs="Times New Roman"/>
          <w:sz w:val="24"/>
          <w:szCs w:val="24"/>
          <w:lang w:val="en-US"/>
        </w:rPr>
      </w:pPr>
      <w:r w:rsidRPr="00C33556">
        <w:rPr>
          <w:rFonts w:ascii="Times New Roman" w:hAnsi="Times New Roman" w:cs="Times New Roman"/>
          <w:sz w:val="24"/>
          <w:szCs w:val="24"/>
          <w:lang w:val="en-US"/>
        </w:rPr>
        <w:t>Vaccine tests in phases I and II generally involve adults, without comorbidities, which, according to current evidence, would not be an ideal representative group for the population at greatest risk of morbimortality for COVID-19.</w:t>
      </w:r>
      <w:r w:rsidR="0045367B" w:rsidRPr="00C33556">
        <w:rPr>
          <w:rFonts w:ascii="Times New Roman" w:hAnsi="Times New Roman" w:cs="Times New Roman"/>
          <w:sz w:val="24"/>
          <w:szCs w:val="24"/>
          <w:lang w:val="en-US"/>
        </w:rPr>
        <w:t xml:space="preserve"> </w:t>
      </w:r>
      <w:r w:rsidR="00463C2D" w:rsidRPr="00C33556">
        <w:rPr>
          <w:rFonts w:ascii="Times New Roman" w:hAnsi="Times New Roman" w:cs="Times New Roman"/>
          <w:sz w:val="24"/>
          <w:szCs w:val="24"/>
          <w:lang w:val="en-US"/>
        </w:rPr>
        <w:t xml:space="preserve">Likewise, questions regarding adverse reactions, durability and type of immune response may not be sufficiently answered even in phase III studies, if the time factor is reduced. </w:t>
      </w:r>
      <w:r w:rsidR="008E6A31" w:rsidRPr="00C33556">
        <w:rPr>
          <w:rFonts w:ascii="Times New Roman" w:hAnsi="Times New Roman" w:cs="Times New Roman"/>
          <w:sz w:val="24"/>
          <w:szCs w:val="24"/>
          <w:lang w:val="en-US"/>
        </w:rPr>
        <w:t>In addition, the wide availability of candidates for COVID-19 vaccine arriving in clinical trials, implies the concomitance of population immunization cycles and phase I, II and III tests, which can have an impact on research results</w:t>
      </w:r>
      <w:r w:rsidR="00A25E33" w:rsidRPr="00C33556">
        <w:rPr>
          <w:rFonts w:ascii="Times New Roman" w:hAnsi="Times New Roman" w:cs="Times New Roman"/>
          <w:sz w:val="24"/>
          <w:szCs w:val="24"/>
          <w:lang w:val="en-US"/>
        </w:rPr>
        <w:t>.</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{"citationItems":[{"id":"ITEM-1","itemData":{"DOI":"10.20529/IJME.2020.122","ISSN":"09748466","abstract":"Large-scale vaccination with a safe and effective vaccine against Covid-19 is the only way to conquer the ongoing lethal pandemic that has led to extraordinary social and economic upheaval globally. Fortunately, the world is on the verge of developing Covid-19 vaccines in an unprecedentedly short time. More than forty vaccines are in different stages of clinical trials, and a few are in the crucial phase III studies stage. A new demand for emergency use authorisation and rapid deployment of these vaccines before scrutinising phase III trial data is raging in different quarters. Can advancement of the deployment of these vaccines by even a few weeks give us rich public health dividends? Would it be ethical to deploy these novel vaccines based only on the safety and immunogenicity data generated by the phase-I and II clinical trials? Would it be ethical to deny vaccination of vulnerable populations against an untreatable infectious disease despite the availability of reasonably safe and efficacious vaccines for the want of phase III trial data? The answer is not straightforward, as there are many complexities involved. This commentary attempts to discuss some ethical issues involved in a decision to deploy Covid-19 vaccination before phase III trial results are declared.","author":[{"dropping-particle":"","family":"Vashishtha","given":"Vipin M","non-dropping-particle":"","parse-names":false,"suffix":""},{"dropping-particle":"","family":"Kumar","given":"Puneet","non-dropping-particle":"","parse-names":false,"suffix":""}],"container-title":"Indian Journal of Medical Ethics","id":"ITEM-1","issue":"01","issued":{"date-parts":[["2021","2","16"]]},"page":"20-22","title":"Emergency use authorisation of Covid-19 vaccines:An ethical conundrum","type":"article-journal","volume":"06"},"uris":["http://www.mendeley.com/documents/?uuid=ff957a72-6062-499a-a178-8ac342767c6c"]},{"id":"ITEM-2","itemData":{"URL":"https://www.cdc.gov/vaccines/basics/test-approve.html","accessed":{"date-parts":[["2021","5","14"]]},"author":[{"dropping-particle":"","family":"CDC","given":"","non-dropping-particle":"","parse-names":false,"suffix":""}],"container-title":"Vaccines and Immunizations","id":"ITEM-2","issued":{"date-parts":[["2016"]]},"title":"Vaccine Testing and Approval Process | CDC","type":"webpage"},"uris":["http://www.mendeley.com/documents/?uuid=298793fd-f8c3-363f-8594-24eeeb1d083b"]},{"id":"ITEM-3","itemData":{"DOI":"10.1016/s2214-109x(21)00043-7","ISSN":"2214109X","PMID":"33667404","abstract":"The past year has seen the rapid global spread of SARS-CoV-2—the virus responsible for the ongoing COVID-19 pandemic. While non-pharmaceutical inter ventions have been the mainstay of epidemic control to date, vaccination is likely to constitute the definitive, long …","author":[{"dropping-particle":"","family":"Shrotri","given":"Madhumita","non-dropping-particle":"","parse-names":false,"suffix":""},{"dropping-particle":"","family":"Swinnen","given":"Tui","non-dropping-particle":"","parse-names":false,"suffix":""},{"dropping-particle":"","family":"Kampmann","given":"Beate","non-dropping-particle":"","parse-names":false,"suffix":""},{"dropping-particle":"","family":"Parker","given":"Edward P K","non-dropping-particle":"","parse-names":false,"suffix":""}],"container-title":"The Lancet Global Health","id":"ITEM-3","issue":"5","issued":{"date-parts":[["2021"]]},"page":"e590-e592","title":"An interactive website tracking COVID-19 vaccine development","type":"article-journal","volume":"9"},"uris":["http://www.mendeley.com/documents/?uuid=c655f4d9-279f-4111-a32e-26c6cb77bcd9"]},{"id":"ITEM-4","itemData":{"DOI":"10.1111/cei.13517","ISSN":"1365-2249","PMID":"32935331","abstract":"Since the emergence of COVID-19, caused by the SARS-CoV-2 virus at the end of 2019, there has been an explosion of vaccine development. By 24 September 2020, a staggering number of vaccines (more than 200) had started preclinical development, of which 43 had entered clinical trials, including some approaches that have not previously been licensed for human vaccines. Vaccines have been widely considered as part of the exit strategy to enable the return to previous patterns of working, schooling and socializing. Importantly, to effectively control the COVID-19 pandemic, production needs to be scaled-up from a small number of preclinical doses to enough filled vials to immunize the world's population, which requires close engagement with manufacturers and regulators. It will require a global effort to control the virus, necessitating equitable access for all countries to effective vaccines. This review explores the immune responses required to protect against SARS-CoV-2 and the potential for vaccine-induced immunopathology. We describe the profile of the different platforms and the advantages and disadvantages of each approach. The review also addresses the critical steps between promising preclinical leads and manufacturing at scale. The issues faced during this pandemic and the platforms being developed to address it will be invaluable for future outbreak control. Nine months after the outbreak began we are at a point where preclinical and early clinical data are being generated for the vaccines; an overview of this important area will help our understanding of the next phases.","author":[{"dropping-particle":"","family":"Tregoning","given":"J. S.","non-dropping-particle":"","parse-names":false,"suffix":""},{"dropping-particle":"","family":"Brown","given":"E. S.","non-dropping-particle":"","parse-names":false,"suffix":""},{"dropping-particle":"","family":"Cheeseman","given":"H. M.","non-dropping-particle":"","parse-names":false,"suffix":""},{"dropping-particle":"","family":"Flight","given":"K. E.","non-dropping-particle":"","parse-names":false,"suffix":""},{"dropping-particle":"","family":"Higham","given":"S. L.","non-dropping-particle":"","parse-names":false,"suffix":""},{"dropping-particle":"","family":"Lemm","given":"N.‐M.","non-dropping-particle":"","parse-names":false,"suffix":""},{"dropping-particle":"","family":"Pierce","given":"B. F.","non-dropping-particle":"","parse-names":false,"suffix":""},{"dropping-particle":"","family":"Stirling","given":"D. C.","non-dropping-particle":"","parse-names":false,"suffix":""},{"dropping-particle":"","family":"Wang","given":"Z.","non-dropping-particle":"","parse-names":false,"suffix":""},{"dropping-particle":"","family":"Pollock","given":"K. M.","non-dropping-particle":"","parse-names":false,"suffix":""}],"container-title":"Clinical and experimental immunology","id":"ITEM-4","issue":"2","issued":{"date-parts":[["2020","11","18"]]},"page":"162-192","title":"Vaccines for COVID-19.","type":"article-journal","volume":"202"},"uris":["http://www.mendeley.com/documents/?uuid=441e3caf-462a-4f08-b563-eb0156bf9f54"]},{"id":"ITEM-5","itemData":{"URL":"https://www.historyofvaccines.org/content/articles/vaccine-development-testing-and-regulation%0Ahttps://www.historyofvaccines.org/content/articles/vaccine-development-testing-and-regulation%0Ahttps://www.historyofvaccines.org/content/articles/vaccine-deve","accessed":{"date-parts":[["2021","5","16"]]},"author":[{"dropping-particle":"","family":"Bowman","given":"Jacqui","non-dropping-particle":"","parse-names":false,"suffix":""}],"container-title":"The college of Physicians of Philadelphia","id":"ITEM-5","issued":{"date-parts":[["2016"]]},"title":"Vaccine Development, Testing, and Regulation | History of Vaccines","type":"webpage"},"uris":["http://www.mendeley.com/documents/?uuid=7d789f08-b8b7-31b8-acc4-cfb5e1390584"]}],"mendeley":{"formattedCitation":"(2,6,10–12)","plainTextFormattedCitation":"(2,6,10–12)","previouslyFormattedCitation":"(Vashishtha and Kumar 2021; CDC 2016; Shrotri et al. 2021; Tregoning et al. 2020; Bowman 2016)"},"properties":{"noteIndex":0},"schema":"https://github.com/citation-style-language/schema/raw/master/csl-citation.json"}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(2,6,10–12)</w:t>
      </w:r>
      <w:r w:rsidR="00331BD5">
        <w:rPr>
          <w:rStyle w:val="FootnoteReference"/>
          <w:rFonts w:ascii="Times New Roman" w:hAnsi="Times New Roman" w:cs="Times New Roman"/>
          <w:sz w:val="24"/>
          <w:szCs w:val="24"/>
        </w:rPr>
        <w:fldChar w:fldCharType="end"/>
      </w:r>
    </w:p>
    <w:p w14:paraId="1B57459B" w14:textId="4873A9D3" w:rsidR="00DA45F2" w:rsidRPr="00C33556" w:rsidRDefault="00DA45F2" w:rsidP="005B36D1">
      <w:pPr>
        <w:spacing w:line="480" w:lineRule="auto"/>
        <w:ind w:firstLine="708"/>
        <w:jc w:val="both"/>
        <w:rPr>
          <w:rFonts w:ascii="Times New Roman" w:hAnsi="Times New Roman" w:cs="Times New Roman"/>
          <w:sz w:val="24"/>
          <w:szCs w:val="24"/>
          <w:lang w:val="en-US"/>
        </w:rPr>
      </w:pPr>
      <w:bookmarkStart w:id="2" w:name="_Hlk72597488"/>
      <w:r w:rsidRPr="00C33556">
        <w:rPr>
          <w:rFonts w:ascii="Times New Roman" w:hAnsi="Times New Roman" w:cs="Times New Roman"/>
          <w:sz w:val="24"/>
          <w:szCs w:val="24"/>
          <w:lang w:val="en-US"/>
        </w:rPr>
        <w:t xml:space="preserve">Preliminarily, before the bioethical approach, there is a need to identify the 2 individuals involved in the vaccine development cycle and immunization plan where, in the traditional pathway, the individual who receives a vaccine still in clinical tests is called volunteer and, therefore, voluntarily decides participate by consent form where the potential risks and benefits of vaccination are clarified, being accompanied by researchers in this process. In turn, in the immunization cycle resulting from the emergency use of COVID-19 vaccines, there are one or more vaccines under clinical tests, which have already been included in the immunization plan of a particular country in a global attempt to contain the pandemic where, population and their individuals will be the recipients of this vaccine. Therefore, it is evident that the vaccine development stage is the same in both cases, that is, the clinical testing phase, but the pandemic context requires ethical reflection, since there is a possibility that a COVID-19 vaccine is or non-mandatory and, it is also necessary to define </w:t>
      </w:r>
      <w:r w:rsidRPr="00C33556">
        <w:rPr>
          <w:rFonts w:ascii="Times New Roman" w:hAnsi="Times New Roman" w:cs="Times New Roman"/>
          <w:sz w:val="24"/>
          <w:szCs w:val="24"/>
          <w:lang w:val="en-US"/>
        </w:rPr>
        <w:lastRenderedPageBreak/>
        <w:t>the level of surveillance necessary for the individual, especially regarding potential late adverse effects, which goes beyond the limits of beneficence and non-maleficence.</w:t>
      </w:r>
      <w:r w:rsidR="00646C7F" w:rsidRPr="00646C7F">
        <w:rPr>
          <w:rStyle w:val="FootnoteReference"/>
          <w:rFonts w:ascii="Times New Roman" w:hAnsi="Times New Roman" w:cs="Times New Roman"/>
          <w:sz w:val="24"/>
          <w:szCs w:val="24"/>
          <w:lang w:val="en-US"/>
        </w:rPr>
        <w:t xml:space="preserve"> </w:t>
      </w:r>
      <w:r w:rsidR="00646C7F">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{"citationItems":[{"id":"ITEM-1","itemData":{"DOI":"10.1007/978-3-319-09483-0_432","author":[{"dropping-particle":"","family":"Afolabi","given":"Michael O. S.","non-dropping-particle":"","parse-names":false,"suffix":""}],"container-title":"Encyclopedia of Global Bioethics","id":"ITEM-1","issued":{"date-parts":[["2016"]]},"page":"2911-2918","publisher":"Springer International Publishing","publisher-place":"Cham","title":"Vaccination","type":"chapter"},"uris":["http://www.mendeley.com/documents/?uuid=57c3f4e6-ab5b-411e-a0a5-f4da9072ac1b"]}],"mendeley":{"formattedCitation":"(5)","plainTextFormattedCitation":"(5)","previouslyFormattedCitation":"(Afolabi 2016)"},"properties":{"noteIndex":0},"schema":"https://github.com/citation-style-language/schema/raw/master/csl-citation.json"}</w:instrText>
      </w:r>
      <w:r w:rsidR="00646C7F">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(5)</w:t>
      </w:r>
      <w:r w:rsidR="00646C7F">
        <w:rPr>
          <w:rStyle w:val="FootnoteReference"/>
          <w:rFonts w:ascii="Times New Roman" w:hAnsi="Times New Roman" w:cs="Times New Roman"/>
          <w:sz w:val="24"/>
          <w:szCs w:val="24"/>
        </w:rPr>
        <w:fldChar w:fldCharType="end"/>
      </w:r>
      <w:r w:rsidR="00646C7F" w:rsidRPr="00646C7F">
        <w:rPr>
          <w:rFonts w:ascii="Times New Roman" w:hAnsi="Times New Roman" w:cs="Times New Roman"/>
          <w:sz w:val="24"/>
          <w:szCs w:val="24"/>
          <w:lang w:val="en-US"/>
        </w:rPr>
        <w:t xml:space="preserve"> </w:t>
      </w:r>
      <w:r w:rsidRPr="00C33556">
        <w:rPr>
          <w:rFonts w:ascii="Times New Roman" w:hAnsi="Times New Roman" w:cs="Times New Roman"/>
          <w:sz w:val="24"/>
          <w:szCs w:val="24"/>
          <w:lang w:val="en-US"/>
        </w:rPr>
        <w:t>In addition, it must be considered that in some countries clinical trials of new vaccines, that is, the research modality of a candidate for COVID-19 vaccine, can coexist with a fully functioning vaccination plan employing a vaccine with emergency use authorization. , which particularly tends to increase bioethical complexity.</w:t>
      </w:r>
      <w:r w:rsidR="00646C7F">
        <w:rPr>
          <w:rFonts w:ascii="Times New Roman" w:hAnsi="Times New Roman" w:cs="Times New Roman"/>
          <w:sz w:val="24"/>
          <w:szCs w:val="24"/>
          <w:lang w:val="en-US"/>
        </w:rPr>
        <w:fldChar w:fldCharType="begin" w:fldLock="1"/>
      </w:r>
      <w:r w:rsidR="0036604F">
        <w:rPr>
          <w:rFonts w:ascii="Times New Roman" w:hAnsi="Times New Roman" w:cs="Times New Roman"/>
          <w:sz w:val="24"/>
          <w:szCs w:val="24"/>
          <w:lang w:val="en-US"/>
        </w:rPr>
        <w:instrText>ADDIN CSL_CITATION {"citationItems":[{"id":"ITEM-1","itemData":{"DOI":"10.20529/IJME.2020.122","ISSN":"09748466","abstract":"Large-scale vaccination with a safe and effective vaccine against Covid-19 is the only way to conquer the ongoing lethal pandemic that has led to extraordinary social and economic upheaval globally. Fortunately, the world is on the verge of developing Covid-19 vaccines in an unprecedentedly short time. More than forty vaccines are in different stages of clinical trials, and a few are in the crucial phase III studies stage. A new demand for emergency use authorisation and rapid deployment of these vaccines before scrutinising phase III trial data is raging in different quarters. Can advancement of the deployment of these vaccines by even a few weeks give us rich public health dividends? Would it be ethical to deploy these novel vaccines based only on the safety and immunogenicity data generated by the phase-I and II clinical trials? Would it be ethical to deny vaccination of vulnerable populations against an untreatable infectious disease despite the availability of reasonably safe and efficacious vaccines for the want of phase III trial data? The answer is not straightforward, as there are many complexities involved. This commentary attempts to discuss some ethical issues involved in a decision to deploy Covid-19 vaccination before phase III trial results are declared.","author":[{"dropping-particle":"","family":"Vashishtha","given":"Vipin M","non-dropping-particle":"","parse-names":false,"suffix":""},{"dropping-particle":"","family":"Kumar","given":"Puneet","non-dropping-particle":"","parse-names":false,"suffix":""}],"container-title":"Indian Journal of Medical Ethics","id":"ITEM-1","issue":"01","issued":{"date-parts":[["2021","2","16"]]},"page":"20-22","title":"Emergency use authorisation of Covid-19 vaccines:An ethical conundrum","type":"article-journal","volume":"06"},"uris":["http://www.mendeley.com/documents/?uuid=ff957a72-6062-499a-a178-8ac342767c6c"]}],"mendeley":{"formattedCitation":"(6)","plainTextFormattedCitation":"(6)","previouslyFormattedCitation":"(Vashishtha and Kumar 2021)"},"properties":{"noteIndex":0},"schema":"https://github.com/citation-style-language/schema/raw/master/csl-citation.json"}</w:instrText>
      </w:r>
      <w:r w:rsidR="00646C7F">
        <w:rPr>
          <w:rFonts w:ascii="Times New Roman" w:hAnsi="Times New Roman" w:cs="Times New Roman"/>
          <w:sz w:val="24"/>
          <w:szCs w:val="24"/>
          <w:lang w:val="en-US"/>
        </w:rPr>
        <w:fldChar w:fldCharType="separate"/>
      </w:r>
      <w:r w:rsidR="0036604F" w:rsidRPr="0036604F">
        <w:rPr>
          <w:rFonts w:ascii="Times New Roman" w:hAnsi="Times New Roman" w:cs="Times New Roman"/>
          <w:noProof/>
          <w:sz w:val="24"/>
          <w:szCs w:val="24"/>
          <w:lang w:val="en-US"/>
        </w:rPr>
        <w:t>(6)</w:t>
      </w:r>
      <w:r w:rsidR="00646C7F">
        <w:rPr>
          <w:rFonts w:ascii="Times New Roman" w:hAnsi="Times New Roman" w:cs="Times New Roman"/>
          <w:sz w:val="24"/>
          <w:szCs w:val="24"/>
          <w:lang w:val="en-US"/>
        </w:rPr>
        <w:fldChar w:fldCharType="end"/>
      </w:r>
    </w:p>
    <w:p w14:paraId="4B6048B0" w14:textId="0DBE8985" w:rsidR="005B36D1" w:rsidRDefault="005B36D1" w:rsidP="005B36D1">
      <w:pPr>
        <w:spacing w:line="480" w:lineRule="auto"/>
        <w:ind w:firstLine="708"/>
        <w:jc w:val="both"/>
        <w:rPr>
          <w:rFonts w:ascii="Times New Roman" w:hAnsi="Times New Roman" w:cs="Times New Roman"/>
          <w:sz w:val="24"/>
          <w:szCs w:val="24"/>
          <w:lang w:val="en-US"/>
        </w:rPr>
      </w:pPr>
      <w:r w:rsidRPr="00C33556">
        <w:rPr>
          <w:rFonts w:ascii="Times New Roman" w:hAnsi="Times New Roman" w:cs="Times New Roman"/>
          <w:sz w:val="24"/>
          <w:szCs w:val="24"/>
          <w:lang w:val="en-US"/>
        </w:rPr>
        <w:t>Th</w:t>
      </w:r>
      <w:r w:rsidR="00DA45F2" w:rsidRPr="00C33556">
        <w:rPr>
          <w:rFonts w:ascii="Times New Roman" w:hAnsi="Times New Roman" w:cs="Times New Roman"/>
          <w:sz w:val="24"/>
          <w:szCs w:val="24"/>
          <w:lang w:val="en-US"/>
        </w:rPr>
        <w:t>erefore</w:t>
      </w:r>
      <w:r w:rsidRPr="00C33556">
        <w:rPr>
          <w:rFonts w:ascii="Times New Roman" w:hAnsi="Times New Roman" w:cs="Times New Roman"/>
          <w:sz w:val="24"/>
          <w:szCs w:val="24"/>
          <w:lang w:val="en-US"/>
        </w:rPr>
        <w:t>, it is essential that the basic principles of bioethics referring to autonomy, beneficence, non-maleficence and justice have their approach foreseen in the pathway for the implementation of a mass immunization of the population supported by authorization of emergency use of vaccines.</w:t>
      </w:r>
    </w:p>
    <w:p w14:paraId="39AA851D" w14:textId="77777777" w:rsidR="00C23323" w:rsidRPr="00C33556" w:rsidRDefault="00C23323" w:rsidP="004B4C91">
      <w:pPr>
        <w:spacing w:line="480" w:lineRule="auto"/>
        <w:jc w:val="both"/>
        <w:rPr>
          <w:rFonts w:ascii="Times New Roman" w:hAnsi="Times New Roman" w:cs="Times New Roman"/>
          <w:sz w:val="24"/>
          <w:szCs w:val="24"/>
          <w:lang w:val="en-US"/>
        </w:rPr>
      </w:pPr>
    </w:p>
    <w:p w14:paraId="0F7F403E" w14:textId="19E09BD4" w:rsidR="006C0DB0" w:rsidRPr="00C33556" w:rsidRDefault="00163ACD" w:rsidP="00AB456F">
      <w:pPr>
        <w:spacing w:line="480" w:lineRule="auto"/>
        <w:ind w:firstLine="708"/>
        <w:jc w:val="both"/>
        <w:rPr>
          <w:rFonts w:ascii="Times New Roman" w:hAnsi="Times New Roman" w:cs="Times New Roman"/>
          <w:b/>
          <w:bCs/>
          <w:sz w:val="24"/>
          <w:szCs w:val="24"/>
          <w:lang w:val="en-US"/>
        </w:rPr>
      </w:pPr>
      <w:bookmarkStart w:id="3" w:name="_Hlk72695659"/>
      <w:bookmarkEnd w:id="2"/>
      <w:r w:rsidRPr="00C33556">
        <w:rPr>
          <w:rFonts w:ascii="Times New Roman" w:hAnsi="Times New Roman" w:cs="Times New Roman"/>
          <w:b/>
          <w:bCs/>
          <w:sz w:val="24"/>
          <w:szCs w:val="24"/>
          <w:lang w:val="en-US"/>
        </w:rPr>
        <w:t xml:space="preserve">Autonomy in the context of </w:t>
      </w:r>
      <w:bookmarkStart w:id="4" w:name="_Hlk72670586"/>
      <w:r w:rsidRPr="00C33556">
        <w:rPr>
          <w:rFonts w:ascii="Times New Roman" w:hAnsi="Times New Roman" w:cs="Times New Roman"/>
          <w:b/>
          <w:bCs/>
          <w:sz w:val="24"/>
          <w:szCs w:val="24"/>
          <w:lang w:val="en-US"/>
        </w:rPr>
        <w:t xml:space="preserve">emergency use of </w:t>
      </w:r>
      <w:r w:rsidR="006C0DB0" w:rsidRPr="00C33556">
        <w:rPr>
          <w:rFonts w:ascii="Times New Roman" w:hAnsi="Times New Roman" w:cs="Times New Roman"/>
          <w:b/>
          <w:bCs/>
          <w:sz w:val="24"/>
          <w:szCs w:val="24"/>
          <w:lang w:val="en-US"/>
        </w:rPr>
        <w:t>COVID</w:t>
      </w:r>
      <w:r w:rsidRPr="00C33556">
        <w:rPr>
          <w:rFonts w:ascii="Times New Roman" w:hAnsi="Times New Roman" w:cs="Times New Roman"/>
          <w:b/>
          <w:bCs/>
          <w:sz w:val="24"/>
          <w:szCs w:val="24"/>
          <w:lang w:val="en-US"/>
        </w:rPr>
        <w:t>-19 vaccines</w:t>
      </w:r>
      <w:bookmarkEnd w:id="4"/>
    </w:p>
    <w:bookmarkEnd w:id="3"/>
    <w:p w14:paraId="18F1368A" w14:textId="1CFB81AD" w:rsidR="00633B28" w:rsidRPr="00C33556" w:rsidRDefault="00021ECC" w:rsidP="006C47C0">
      <w:pPr>
        <w:spacing w:line="480" w:lineRule="auto"/>
        <w:ind w:firstLine="708"/>
        <w:jc w:val="both"/>
        <w:rPr>
          <w:rFonts w:ascii="Times New Roman" w:hAnsi="Times New Roman" w:cs="Times New Roman"/>
          <w:sz w:val="24"/>
          <w:szCs w:val="24"/>
          <w:lang w:val="en-US"/>
        </w:rPr>
      </w:pPr>
      <w:r w:rsidRPr="00C33556">
        <w:rPr>
          <w:rFonts w:ascii="Times New Roman" w:hAnsi="Times New Roman" w:cs="Times New Roman"/>
          <w:sz w:val="24"/>
          <w:szCs w:val="24"/>
          <w:lang w:val="en-US"/>
        </w:rPr>
        <w:t>Utilitarianism, liberalism and communitarianism are three theoretical aspects related to the ethical context of traditional use of the vaccine and, therefore, can be a matter of discussion when there is an emergency use of covid-19 vaccines</w:t>
      </w:r>
      <w:r w:rsidR="00F73598" w:rsidRPr="00C33556">
        <w:rPr>
          <w:rFonts w:ascii="Times New Roman" w:hAnsi="Times New Roman" w:cs="Times New Roman"/>
          <w:sz w:val="24"/>
          <w:szCs w:val="24"/>
          <w:lang w:val="en-US"/>
        </w:rPr>
        <w:t>.</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{"citationItems":[{"id":"ITEM-1","itemData":{"DOI":"10.1007/978-3-319-09483-0_432","author":[{"dropping-particle":"","family":"Afolabi","given":"Michael O. S.","non-dropping-particle":"","parse-names":false,"suffix":""}],"container-title":"Encyclopedia of Global Bioethics","id":"ITEM-1","issued":{"date-parts":[["2016"]]},"page":"2911-2918","publisher":"Springer International Publishing","publisher-place":"Cham","title":"Vaccination","type":"chapter"},"uris":["http://www.mendeley.com/documents/?uuid=57c3f4e6-ab5b-411e-a0a5-f4da9072ac1b"]}],"mendeley":{"formattedCitation":"(5)","plainTextFormattedCitation":"(5)","previouslyFormattedCitation":"(Afolabi 2016)"},"properties":{"noteIndex":0},"schema":"https://github.com/citation-style-language/schema/raw/master/csl-citation.json"}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(5)</w:t>
      </w:r>
      <w:r w:rsidR="00331BD5">
        <w:rPr>
          <w:rStyle w:val="FootnoteReference"/>
          <w:rFonts w:ascii="Times New Roman" w:hAnsi="Times New Roman" w:cs="Times New Roman"/>
          <w:sz w:val="24"/>
          <w:szCs w:val="24"/>
        </w:rPr>
        <w:fldChar w:fldCharType="end"/>
      </w:r>
      <w:r w:rsidR="00696AD4" w:rsidRPr="00C33556">
        <w:rPr>
          <w:rFonts w:ascii="Times New Roman" w:hAnsi="Times New Roman" w:cs="Times New Roman"/>
          <w:sz w:val="24"/>
          <w:szCs w:val="24"/>
          <w:lang w:val="en-US"/>
        </w:rPr>
        <w:t xml:space="preserve"> </w:t>
      </w:r>
      <w:r w:rsidR="00F73598" w:rsidRPr="00C33556">
        <w:rPr>
          <w:rFonts w:ascii="Times New Roman" w:hAnsi="Times New Roman" w:cs="Times New Roman"/>
          <w:sz w:val="24"/>
          <w:szCs w:val="24"/>
          <w:lang w:val="en-US"/>
        </w:rPr>
        <w:t>Thus, Utilitarianism, is a consequentialist approach, which advocates that vaccination policies and actions be directed in order to achieve the greatest possible impact on general well-being.</w:t>
      </w:r>
      <w:r w:rsidR="00696AD4" w:rsidRPr="00C33556">
        <w:rPr>
          <w:rFonts w:ascii="Times New Roman" w:hAnsi="Times New Roman" w:cs="Times New Roman"/>
          <w:sz w:val="24"/>
          <w:szCs w:val="24"/>
          <w:lang w:val="en-US"/>
        </w:rPr>
        <w:t>.</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{"citationItems":[{"id":"ITEM-1","itemData":{"DOI":"10.1007/978-3-319-09483-0_432","author":[{"dropping-particle":"","family":"Afolabi","given":"Michael O. S.","non-dropping-particle":"","parse-names":false,"suffix":""}],"container-title":"Encyclopedia of Global Bioethics","id":"ITEM-1","issued":{"date-parts":[["2016"]]},"page":"2911-2918","publisher":"Springer International Publishing","publisher-place":"Cham","title":"Vaccination","type":"chapter"},"uris":["http://www.mendeley.com/documents/?uuid=57c3f4e6-ab5b-411e-a0a5-f4da9072ac1b"]},{"id":"ITEM-2","itemData":{"DOI":"10.1016/j.cca.2020.08.003","ISSN":"00098981","author":[{"dropping-particle":"","family":"Bowen","given":"Raffick A.R.","non-dropping-particle":"","parse-names":false,"suffix":""}],"container-title":"Clinica Chimica Acta","id":"ITEM-2","issued":{"date-parts":[["2020","11"]]},"page":"421-422","title":"Ethical and organizational considerations for mandatory COVID-19 vaccination of health care workers: A clinical laboratorian's perspective","type":"article-journal","volume":"510"},"uris":["http://www.mendeley.com/documents/?uuid=7ba69389-154f-46cd-bd04-7fc6e2df5dbb"]}],"mendeley":{"formattedCitation":"(5,21)","plainTextFormattedCitation":"(5,21)","previouslyFormattedCitation":"(Afolabi 2016; Bowen 2020)"},"properties":{"noteIndex":0},"schema":"https://github.com/citation-style-language/schema/raw/master/csl-citation.json"}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(5,21)</w:t>
      </w:r>
      <w:r w:rsidR="00331BD5">
        <w:rPr>
          <w:rStyle w:val="FootnoteReference"/>
          <w:rFonts w:ascii="Times New Roman" w:hAnsi="Times New Roman" w:cs="Times New Roman"/>
          <w:sz w:val="24"/>
          <w:szCs w:val="24"/>
        </w:rPr>
        <w:fldChar w:fldCharType="end"/>
      </w:r>
      <w:r w:rsidR="00696AD4" w:rsidRPr="00C33556">
        <w:rPr>
          <w:rFonts w:ascii="Times New Roman" w:hAnsi="Times New Roman" w:cs="Times New Roman"/>
          <w:sz w:val="24"/>
          <w:szCs w:val="24"/>
          <w:lang w:val="en-US"/>
        </w:rPr>
        <w:t xml:space="preserve">  </w:t>
      </w:r>
      <w:r w:rsidR="00140FF3" w:rsidRPr="00C33556">
        <w:rPr>
          <w:rFonts w:ascii="Times New Roman" w:hAnsi="Times New Roman" w:cs="Times New Roman"/>
          <w:sz w:val="24"/>
          <w:szCs w:val="24"/>
          <w:lang w:val="en-US"/>
        </w:rPr>
        <w:t xml:space="preserve">In this context, </w:t>
      </w:r>
      <w:r w:rsidR="00712769">
        <w:rPr>
          <w:rFonts w:ascii="Times New Roman" w:hAnsi="Times New Roman" w:cs="Times New Roman"/>
          <w:sz w:val="24"/>
          <w:szCs w:val="24"/>
          <w:lang w:val="en-US"/>
        </w:rPr>
        <w:t>U</w:t>
      </w:r>
      <w:r w:rsidR="00140FF3" w:rsidRPr="00C33556">
        <w:rPr>
          <w:rFonts w:ascii="Times New Roman" w:hAnsi="Times New Roman" w:cs="Times New Roman"/>
          <w:sz w:val="24"/>
          <w:szCs w:val="24"/>
          <w:lang w:val="en-US"/>
        </w:rPr>
        <w:t>tilitarianism, could justify the mandatory vaccination to health professionals where there would be a great social impact, since it would preserve professionals who are at the forefront of the care of COVID-19, in a central position of great risk of contamination. and transmission of SARS-CoV-2, in addition to guaranteeing the service of the population, configuring a greater impact on the community as a whole.</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{"citationItems":[{"id":"ITEM-1","itemData":{"DOI":"10.1007/978-3-319-09483-0_432","author":[{"dropping-particle":"","family":"Afolabi","given":"Michael O. S.","non-dropping-particle":"","parse-names":false,"suffix":""}],"container-title":"Encyclopedia of Global Bioethics","id":"ITEM-1","issued":{"date-parts":[["2016"]]},"page":"2911-2918","publisher":"Springer International Publishing","publisher-place":"Cham","title":"Vaccination","type":"chapter"},"uris":["http://www.mendeley.com/documents/?uuid=57c3f4e6-ab5b-411e-a0a5-f4da9072ac1b"]},{"id":"ITEM-2","itemData":{"DOI":"10.1016/j.cca.2020.08.003","ISSN":"00098981","author":[{"dropping-particle":"","family":"Bowen","given":"Raffick A.R.","non-dropping-particle":"","parse-names":false,"suffix":""}],"container-title":"Clinica Chimica Acta","id":"ITEM-2","issued":{"date-parts":[["2020","11"]]},"page":"421-422","title":"Ethical and organizational considerations for mandatory COVID-19 vaccination of health care workers: A clinical laboratorian's perspective","type":"article-journal","volume":"510"},"uris":["http://www.mendeley.com/documents/?uuid=7ba69389-154f-46cd-bd04-7fc6e2df5dbb"]},{"id":"ITEM-3","itemData":{"DOI":"10.20529/IJME.2020.122","ISSN":"09748466","abstract":"Large-scale vaccination with a safe and effective vaccine against Covid-19 is the only way to conquer the ongoing lethal pandemic that has led to extraordinary social and economic upheaval globally. Fortunately, the world is on the verge of developing Covid-19 vaccines in an unprecedentedly short time. More than forty vaccines are in different stages of clinical trials, and a few are in the crucial phase III studies stage. A new demand for emergency use authorisation and rapid deployment of these vaccines before scrutinising phase III trial data is raging in different quarters. Can advancement of the deployment of these vaccines by even a few weeks give us rich public health dividends? Would it be ethical to deploy these novel vaccines based only on the safety and immunogenicity data generated by the phase-I and II clinical trials? Would it be ethical to deny vaccination of vulnerable populations against an untreatable infectious disease despite the availability of reasonably safe and efficacious vaccines for the want of phase III trial data? The answer is not straightforward, as there are many complexities involved. This commentary attempts to discuss some ethical issues involved in a decision to deploy Covid-19 vaccination before phase III trial results are declared.","author":[{"dropping-particle":"","family":"Vashishtha","given":"Vipin M","non-dropping-particle":"","parse-names":false,"suffix":""},{"dropping-particle":"","family":"Kumar","given":"Puneet","non-dropping-particle":"","parse-names":false,"suffix":""}],"container-title":"Indian Journal of Medical Ethics","id":"ITEM-3","issue":"01","issued":{"date-parts":[["2021","2","16"]]},"page":"20-22","title":"Emergency use authorisation of Covid-19 vaccines:An ethical conundrum","type":"article-journal","volume":"06"},"uris":["http://www.mendeley.com/documents/?uuid=ff957a72-6062-499a-a178-8ac342767c6c"]},{"id":"ITEM-4","itemData":{"author":[{"dropping-particle":"","family":"World Health Organization Ethics and COVID-19 Working Group","given":"","non-dropping-particle":"","parse-names":false,"suffix":""}],"id":"ITEM-4","issue":"April","issued":{"date-parts":[["2021"]]},"page":"13-17","title":"COVID-19 and mandatory vaccination : Ethical considerations and caveats","type":"bill"},"uris":["http://www.mendeley.com/documents/?uuid=6d01c0fe-d8a7-4735-b46e-318de3f5b724"]}],"mendeley":{"formattedCitation":"(5,6,21,22)","plainTextFormattedCitation":"(5,6,21,22)","previouslyFormattedCitation":"(Afolabi 2016; Bowen 2020; Vashishtha and Kumar 2021; World Health Organization Ethics and COVID-19 Working Group 2021a)"},"properties":{"noteIndex":0},"schema":"https://github.com/citation-style-language/schema/raw/master/csl-citation.json"}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(5,6,21,22)</w:t>
      </w:r>
      <w:r w:rsidR="00331BD5">
        <w:rPr>
          <w:rStyle w:val="FootnoteReference"/>
          <w:rFonts w:ascii="Times New Roman" w:hAnsi="Times New Roman" w:cs="Times New Roman"/>
          <w:sz w:val="24"/>
          <w:szCs w:val="24"/>
        </w:rPr>
        <w:fldChar w:fldCharType="end"/>
      </w:r>
      <w:r w:rsidR="006A2218" w:rsidRPr="00C33556">
        <w:rPr>
          <w:rFonts w:ascii="Times New Roman" w:hAnsi="Times New Roman" w:cs="Times New Roman"/>
          <w:sz w:val="24"/>
          <w:szCs w:val="24"/>
          <w:lang w:val="en-US"/>
        </w:rPr>
        <w:t xml:space="preserve"> </w:t>
      </w:r>
      <w:r w:rsidRPr="00C33556">
        <w:rPr>
          <w:rFonts w:ascii="Times New Roman" w:hAnsi="Times New Roman" w:cs="Times New Roman"/>
          <w:sz w:val="24"/>
          <w:szCs w:val="24"/>
          <w:lang w:val="en-US"/>
        </w:rPr>
        <w:t xml:space="preserve">However, Bowen and </w:t>
      </w:r>
      <w:r w:rsidRPr="00C33556">
        <w:rPr>
          <w:rFonts w:ascii="Times New Roman" w:hAnsi="Times New Roman" w:cs="Times New Roman"/>
          <w:sz w:val="24"/>
          <w:szCs w:val="24"/>
          <w:lang w:val="en-US"/>
        </w:rPr>
        <w:lastRenderedPageBreak/>
        <w:t>WHO, suggest that a mandatory vaccination for health professionals may be opposed to medical ethical precepts related to autonomy, such as self-determination, which could affect confidence in vaccination.</w:t>
      </w:r>
      <w:r w:rsidR="006C47C0" w:rsidRPr="00C33556">
        <w:rPr>
          <w:rFonts w:ascii="Times New Roman" w:hAnsi="Times New Roman" w:cs="Times New Roman"/>
          <w:sz w:val="24"/>
          <w:szCs w:val="24"/>
          <w:lang w:val="en-US"/>
        </w:rPr>
        <w:t>.</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{"citationItems":[{"id":"ITEM-1","itemData":{"DOI":"10.1016/j.cca.2020.08.003","ISSN":"00098981","author":[{"dropping-particle":"","family":"Bowen","given":"Raffick A.R.","non-dropping-particle":"","parse-names":false,"suffix":""}],"container-title":"Clinica Chimica Acta","id":"ITEM-1","issued":{"date-parts":[["2020","11"]]},"page":"421-422","title":"Ethical and organizational considerations for mandatory COVID-19 vaccination of health care workers: A clinical laboratorian's perspective","type":"article-journal","volume":"510"},"uris":["http://www.mendeley.com/documents/?uuid=7ba69389-154f-46cd-bd04-7fc6e2df5dbb"]},{"id":"ITEM-2","itemData":{"DOI":"10.20529/IJME.2020.122","ISSN":"09748466","abstract":"Large-scale vaccination with a safe and effective vaccine against Covid-19 is the only way to conquer the ongoing lethal pandemic that has led to extraordinary social and economic upheaval globally. Fortunately, the world is on the verge of developing Covid-19 vaccines in an unprecedentedly short time. More than forty vaccines are in different stages of clinical trials, and a few are in the crucial phase III studies stage. A new demand for emergency use authorisation and rapid deployment of these vaccines before scrutinising phase III trial data is raging in different quarters. Can advancement of the deployment of these vaccines by even a few weeks give us rich public health dividends? Would it be ethical to deploy these novel vaccines based only on the safety and immunogenicity data generated by the phase-I and II clinical trials? Would it be ethical to deny vaccination of vulnerable populations against an untreatable infectious disease despite the availability of reasonably safe and efficacious vaccines for the want of phase III trial data? The answer is not straightforward, as there are many complexities involved. This commentary attempts to discuss some ethical issues involved in a decision to deploy Covid-19 vaccination before phase III trial results are declared.","author":[{"dropping-particle":"","family":"Vashishtha","given":"Vipin M","non-dropping-particle":"","parse-names":false,"suffix":""},{"dropping-particle":"","family":"Kumar","given":"Puneet","non-dropping-particle":"","parse-names":false,"suffix":""}],"container-title":"Indian Journal of Medical Ethics","id":"ITEM-2","issue":"01","issued":{"date-parts":[["2021","2","16"]]},"page":"20-22","title":"Emergency use authorisation of Covid-19 vaccines:An ethical conundrum","type":"article-journal","volume":"06"},"uris":["http://www.mendeley.com/documents/?uuid=ff957a72-6062-499a-a178-8ac342767c6c"]}],"mendeley":{"formattedCitation":"(6,21)","plainTextFormattedCitation":"(6,21)","previouslyFormattedCitation":"(Bowen 2020; Vashishtha and Kumar 2021)"},"properties":{"noteIndex":0},"schema":"https://github.com/citation-style-language/schema/raw/master/csl-citation.json"}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(6,21)</w:t>
      </w:r>
      <w:r w:rsidR="00331BD5">
        <w:rPr>
          <w:rStyle w:val="FootnoteReference"/>
          <w:rFonts w:ascii="Times New Roman" w:hAnsi="Times New Roman" w:cs="Times New Roman"/>
          <w:sz w:val="24"/>
          <w:szCs w:val="24"/>
        </w:rPr>
        <w:fldChar w:fldCharType="end"/>
      </w:r>
      <w:r w:rsidR="006A2218" w:rsidRPr="00C33556">
        <w:rPr>
          <w:rFonts w:ascii="Times New Roman" w:hAnsi="Times New Roman" w:cs="Times New Roman"/>
          <w:sz w:val="24"/>
          <w:szCs w:val="24"/>
          <w:lang w:val="en-US"/>
        </w:rPr>
        <w:t>.</w:t>
      </w:r>
      <w:r w:rsidR="00AE6C3C" w:rsidRPr="00C33556">
        <w:rPr>
          <w:rFonts w:ascii="Times New Roman" w:hAnsi="Times New Roman" w:cs="Times New Roman"/>
          <w:sz w:val="24"/>
          <w:szCs w:val="24"/>
          <w:lang w:val="en-US"/>
        </w:rPr>
        <w:t xml:space="preserve"> </w:t>
      </w:r>
      <w:r w:rsidR="00633B28" w:rsidRPr="00C33556">
        <w:rPr>
          <w:rFonts w:ascii="Times New Roman" w:hAnsi="Times New Roman" w:cs="Times New Roman"/>
          <w:sz w:val="24"/>
          <w:szCs w:val="24"/>
          <w:lang w:val="en-US"/>
        </w:rPr>
        <w:t xml:space="preserve"> </w:t>
      </w:r>
      <w:r w:rsidR="006D3999" w:rsidRPr="00C33556">
        <w:rPr>
          <w:rFonts w:ascii="Times New Roman" w:hAnsi="Times New Roman" w:cs="Times New Roman"/>
          <w:sz w:val="24"/>
          <w:szCs w:val="24"/>
          <w:lang w:val="en-US"/>
        </w:rPr>
        <w:t xml:space="preserve">In turn, in Liberalism it is the individual who determines the benefit of vaccination to himself, </w:t>
      </w:r>
      <w:r w:rsidR="009D70B7">
        <w:rPr>
          <w:rFonts w:ascii="Times New Roman" w:hAnsi="Times New Roman" w:cs="Times New Roman"/>
          <w:sz w:val="24"/>
          <w:szCs w:val="24"/>
          <w:lang w:val="en-US"/>
        </w:rPr>
        <w:t>while</w:t>
      </w:r>
      <w:r w:rsidR="006D3999" w:rsidRPr="00C33556">
        <w:rPr>
          <w:rFonts w:ascii="Times New Roman" w:hAnsi="Times New Roman" w:cs="Times New Roman"/>
          <w:sz w:val="24"/>
          <w:szCs w:val="24"/>
          <w:lang w:val="en-US"/>
        </w:rPr>
        <w:t>, in Communitarianism, a community benefit from vaccination would be prioritized</w:t>
      </w:r>
      <w:r w:rsidR="002E6394" w:rsidRPr="00C33556">
        <w:rPr>
          <w:rFonts w:ascii="Times New Roman" w:hAnsi="Times New Roman" w:cs="Times New Roman"/>
          <w:sz w:val="24"/>
          <w:szCs w:val="24"/>
          <w:lang w:val="en-US"/>
        </w:rPr>
        <w:t>.</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{"citationItems":[{"id":"ITEM-1","itemData":{"DOI":"10.1007/978-3-319-09483-0_432","author":[{"dropping-particle":"","family":"Afolabi","given":"Michael O. S.","non-dropping-particle":"","parse-names":false,"suffix":""}],"container-title":"Encyclopedia of Global Bioethics","id":"ITEM-1","issued":{"date-parts":[["2016"]]},"page":"2911-2918","publisher":"Springer International Publishing","publisher-place":"Cham","title":"Vaccination","type":"chapter"},"uris":["http://www.mendeley.com/documents/?uuid=57c3f4e6-ab5b-411e-a0a5-f4da9072ac1b"]}],"mendeley":{"formattedCitation":"(5)","plainTextFormattedCitation":"(5)","previouslyFormattedCitation":"(Afolabi 2016)"},"properties":{"noteIndex":0},"schema":"https://github.com/citation-style-language/schema/raw/master/csl-citation.json"}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(5)</w:t>
      </w:r>
      <w:r w:rsidR="00331BD5">
        <w:rPr>
          <w:rStyle w:val="FootnoteReference"/>
          <w:rFonts w:ascii="Times New Roman" w:hAnsi="Times New Roman" w:cs="Times New Roman"/>
          <w:sz w:val="24"/>
          <w:szCs w:val="24"/>
        </w:rPr>
        <w:fldChar w:fldCharType="end"/>
      </w:r>
      <w:r w:rsidR="002E6394" w:rsidRPr="00C33556">
        <w:rPr>
          <w:rFonts w:ascii="Times New Roman" w:hAnsi="Times New Roman" w:cs="Times New Roman"/>
          <w:sz w:val="24"/>
          <w:szCs w:val="24"/>
          <w:lang w:val="en-US"/>
        </w:rPr>
        <w:t xml:space="preserve">  </w:t>
      </w:r>
      <w:r w:rsidR="00E32CF9" w:rsidRPr="00C33556">
        <w:rPr>
          <w:rFonts w:ascii="Times New Roman" w:hAnsi="Times New Roman" w:cs="Times New Roman"/>
          <w:sz w:val="24"/>
          <w:szCs w:val="24"/>
          <w:lang w:val="en-US"/>
        </w:rPr>
        <w:t xml:space="preserve">In this sense, Afolabi, considers Liberalism and Communitarianism </w:t>
      </w:r>
      <w:r w:rsidR="00231365" w:rsidRPr="00C33556">
        <w:rPr>
          <w:rFonts w:ascii="Times New Roman" w:hAnsi="Times New Roman" w:cs="Times New Roman"/>
          <w:sz w:val="24"/>
          <w:szCs w:val="24"/>
          <w:lang w:val="en-US"/>
        </w:rPr>
        <w:t xml:space="preserve">as </w:t>
      </w:r>
      <w:r w:rsidR="00E32CF9" w:rsidRPr="00C33556">
        <w:rPr>
          <w:rFonts w:ascii="Times New Roman" w:hAnsi="Times New Roman" w:cs="Times New Roman"/>
          <w:sz w:val="24"/>
          <w:szCs w:val="24"/>
          <w:lang w:val="en-US"/>
        </w:rPr>
        <w:t>unethical postulates intended merely to justify social conduct, whether in the sense of vaccination hesitation without justifiable reason in an individual nature or making vaccination mandatory when immune response and safety still remain incompletely elucidated</w:t>
      </w:r>
      <w:r w:rsidR="00E2573C" w:rsidRPr="00C33556">
        <w:rPr>
          <w:rFonts w:ascii="Times New Roman" w:hAnsi="Times New Roman" w:cs="Times New Roman"/>
          <w:sz w:val="24"/>
          <w:szCs w:val="24"/>
          <w:lang w:val="en-US"/>
        </w:rPr>
        <w:t>.</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{"citationItems":[{"id":"ITEM-1","itemData":{"DOI":"10.1007/978-3-319-09483-0_432","author":[{"dropping-particle":"","family":"Afolabi","given":"Michael O. S.","non-dropping-particle":"","parse-names":false,"suffix":""}],"container-title":"Encyclopedia of Global Bioethics","id":"ITEM-1","issued":{"date-parts":[["2016"]]},"page":"2911-2918","publisher":"Springer International Publishing","publisher-place":"Cham","title":"Vaccination","type":"chapter"},"uris":["http://www.mendeley.com/documents/?uuid=57c3f4e6-ab5b-411e-a0a5-f4da9072ac1b"]}],"mendeley":{"formattedCitation":"(5)","plainTextFormattedCitation":"(5)","previouslyFormattedCitation":"(Afolabi 2016)"},"properties":{"noteIndex":0},"schema":"https://github.com/citation-style-language/schema/raw/master/csl-citation.json"}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noProof/>
          <w:sz w:val="24"/>
          <w:szCs w:val="24"/>
          <w:lang w:val="en-US"/>
        </w:rPr>
        <w:t>(5)</w:t>
      </w:r>
      <w:r w:rsidR="00331BD5">
        <w:rPr>
          <w:rStyle w:val="FootnoteReference"/>
          <w:rFonts w:ascii="Times New Roman" w:hAnsi="Times New Roman" w:cs="Times New Roman"/>
          <w:sz w:val="24"/>
          <w:szCs w:val="24"/>
        </w:rPr>
        <w:fldChar w:fldCharType="end"/>
      </w:r>
      <w:r w:rsidR="003B119D" w:rsidRPr="00C33556">
        <w:rPr>
          <w:rFonts w:ascii="Times New Roman" w:hAnsi="Times New Roman" w:cs="Times New Roman"/>
          <w:sz w:val="24"/>
          <w:szCs w:val="24"/>
          <w:lang w:val="en-US"/>
        </w:rPr>
        <w:t xml:space="preserve"> </w:t>
      </w:r>
      <w:r w:rsidR="001012A2" w:rsidRPr="00C33556">
        <w:rPr>
          <w:rFonts w:ascii="Times New Roman" w:hAnsi="Times New Roman" w:cs="Times New Roman"/>
          <w:sz w:val="24"/>
          <w:szCs w:val="24"/>
          <w:lang w:val="en-US"/>
        </w:rPr>
        <w:t>Therefore, in a pandemic, with global non-equal distribution of vaccines, deciding on autonomy in the emergency use of COVID-19 based strictly on theories can lead to serious bias, since each theory has fundamentals that, separately, can lead to mandatory measures or not.</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{"citationItems":[{"id":"ITEM-1","itemData":{"DOI":"10.1016/j.cca.2020.08.003","ISSN":"00098981","author":[{"dropping-particle":"","family":"Bowen","given":"Raffick A.R.","non-dropping-particle":"","parse-names":false,"suffix":""}],"container-title":"Clinica Chimica Acta","id":"ITEM-1","issued":{"date-parts":[["2020","11"]]},"page":"421-422","title":"Ethical and organizational considerations for mandatory COVID-19 vaccination of health care workers: A clinical laboratorian's perspective","type":"article-journal","volume":"510"},"uris":["http://www.mendeley.com/documents/?uuid=7ba69389-154f-46cd-bd04-7fc6e2df5dbb"]},{"id":"ITEM-2","itemData":{"DOI":"10.1007/978-3-319-09483-0_432","author":[{"dropping-particle":"","family":"Afolabi","given":"Michael O. S.","non-dropping-particle":"","parse-names":false,"suffix":""}],"container-title":"Encyclopedia of Global Bioethics","id":"ITEM-2","issued":{"date-parts":[["2016"]]},"page":"2911-2918","publisher":"Springer International Publishing","publisher-place":"Cham","title":"Vaccination","type":"chapter"},"uris":["http://www.mendeley.com/documents/?uuid=57c3f4e6-ab5b-411e-a0a5-f4da9072ac1b"]},{"id":"ITEM-3","itemData":{"DOI":"10.20529/IJME.2020.122","ISSN":"09748466","abstract":"Large-scale vaccination with a safe and effective vaccine against Covid-19 is the only way to conquer the ongoing lethal pandemic that has led to extraordinary social and economic upheaval globally. Fortunately, the world is on the verge of developing Covid-19 vaccines in an unprecedentedly short time. More than forty vaccines are in different stages of clinical trials, and a few are in the crucial phase III studies stage. A new demand for emergency use authorisation and rapid deployment of these vaccines before scrutinising phase III trial data is raging in different quarters. Can advancement of the deployment of these vaccines by even a few weeks give us rich public health dividends? Would it be ethical to deploy these novel vaccines based only on the safety and immunogenicity data generated by the phase-I and II clinical trials? Would it be ethical to deny vaccination of vulnerable populations against an untreatable infectious disease despite the availability of reasonably safe and efficacious vaccines for the want of phase III trial data? The answer is not straightforward, as there are many complexities involved. This commentary attempts to discuss some ethical issues involved in a decision to deploy Covid-19 vaccination before phase III trial results are declared.","author":[{"dropping-particle":"","family":"Vashishtha","given":"Vipin M","non-dropping-particle":"","parse-names":false,"suffix":""},{"dropping-particle":"","family":"Kumar","given":"Puneet","non-dropping-particle":"","parse-names":false,"suffix":""}],"container-title":"Indian Journal of Medical Ethics","id":"ITEM-3","issue":"01","issued":{"date-parts":[["2021","2","16"]]},"page":"20-22","title":"Emergency use authorisation of Covid-19 vaccines:An ethical conundrum","type":"article-journal","volume":"06"},"uris":["http://www.mendeley.com/documents/?uuid=ff957a72-6062-499a-a178-8ac342767c6c"]}],"mendeley":{"formattedCitation":"(5,6,21)","plainTextFormattedCitation":"(5,6,21)","previouslyFormattedCitation":"(Bowen 2020; Afolabi 2016; Vashishtha and Kumar 2021)"},"properties":{"noteIndex":0},"schema":"https://github.com/citation-style-language/schema/raw/master/csl-citation.json"}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(5,6,21)</w:t>
      </w:r>
      <w:r w:rsidR="00331BD5">
        <w:rPr>
          <w:rStyle w:val="FootnoteReference"/>
          <w:rFonts w:ascii="Times New Roman" w:hAnsi="Times New Roman" w:cs="Times New Roman"/>
          <w:sz w:val="24"/>
          <w:szCs w:val="24"/>
        </w:rPr>
        <w:fldChar w:fldCharType="end"/>
      </w:r>
      <w:r w:rsidR="008C1017" w:rsidRPr="00C33556">
        <w:rPr>
          <w:rFonts w:ascii="Times New Roman" w:hAnsi="Times New Roman" w:cs="Times New Roman"/>
          <w:sz w:val="24"/>
          <w:szCs w:val="24"/>
          <w:lang w:val="en-US"/>
        </w:rPr>
        <w:t xml:space="preserve">.   </w:t>
      </w:r>
      <w:r w:rsidR="003F3AB2" w:rsidRPr="00C33556">
        <w:rPr>
          <w:rFonts w:ascii="Times New Roman" w:hAnsi="Times New Roman" w:cs="Times New Roman"/>
          <w:sz w:val="24"/>
          <w:szCs w:val="24"/>
          <w:lang w:val="en-US"/>
        </w:rPr>
        <w:t xml:space="preserve"> </w:t>
      </w:r>
    </w:p>
    <w:p w14:paraId="796AA0EC" w14:textId="7C083F59" w:rsidR="003B119D" w:rsidRPr="00C33556" w:rsidRDefault="00E123B5" w:rsidP="00633B28">
      <w:pPr>
        <w:spacing w:line="480" w:lineRule="auto"/>
        <w:ind w:firstLine="708"/>
        <w:jc w:val="both"/>
        <w:rPr>
          <w:rFonts w:ascii="Times New Roman" w:hAnsi="Times New Roman" w:cs="Times New Roman"/>
          <w:sz w:val="24"/>
          <w:szCs w:val="24"/>
          <w:lang w:val="en-US"/>
        </w:rPr>
      </w:pPr>
      <w:r w:rsidRPr="00C33556">
        <w:rPr>
          <w:rFonts w:ascii="Times New Roman" w:hAnsi="Times New Roman" w:cs="Times New Roman"/>
          <w:sz w:val="24"/>
          <w:szCs w:val="24"/>
          <w:lang w:val="en-US"/>
        </w:rPr>
        <w:t>Thus, a moderate approach to autonomy as proposed by WHO, in order to balance community and individual well-being may be appropriate in the context of emergency use of COVID-19 vaccines.</w:t>
      </w:r>
      <w:r w:rsidR="001012A2" w:rsidRPr="00C33556">
        <w:rPr>
          <w:rFonts w:ascii="Times New Roman" w:hAnsi="Times New Roman" w:cs="Times New Roman"/>
          <w:sz w:val="24"/>
          <w:szCs w:val="24"/>
          <w:lang w:val="en-US"/>
        </w:rPr>
        <w:t>.</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{"citationItems":[{"id":"ITEM-1","itemData":{"author":[{"dropping-particle":"","family":"World Health Organization Ethics and COVID-19 Working Group","given":"","non-dropping-particle":"","parse-names":false,"suffix":""}],"id":"ITEM-1","issue":"April","issued":{"date-parts":[["2021"]]},"page":"13-17","title":"COVID-19 and mandatory vaccination : Ethical considerations and caveats","type":"bill"},"uris":["http://www.mendeley.com/documents/?uuid=6d01c0fe-d8a7-4735-b46e-318de3f5b724"]}],"mendeley":{"formattedCitation":"(22)","plainTextFormattedCitation":"(22)","previouslyFormattedCitation":"(World Health Organization Ethics and COVID-19 Working Group 2021a)"},"properties":{"noteIndex":0},"schema":"https://github.com/citation-style-language/schema/raw/master/csl-citation.json"}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(22)</w:t>
      </w:r>
      <w:r w:rsidR="00331BD5">
        <w:rPr>
          <w:rStyle w:val="FootnoteReference"/>
          <w:rFonts w:ascii="Times New Roman" w:hAnsi="Times New Roman" w:cs="Times New Roman"/>
          <w:sz w:val="24"/>
          <w:szCs w:val="24"/>
        </w:rPr>
        <w:fldChar w:fldCharType="end"/>
      </w:r>
      <w:r w:rsidR="00103AD0" w:rsidRPr="00C33556">
        <w:rPr>
          <w:rFonts w:ascii="Times New Roman" w:hAnsi="Times New Roman" w:cs="Times New Roman"/>
          <w:sz w:val="24"/>
          <w:szCs w:val="24"/>
          <w:lang w:val="en-US"/>
        </w:rPr>
        <w:t xml:space="preserve"> </w:t>
      </w:r>
      <w:r w:rsidR="00170F57" w:rsidRPr="00C33556">
        <w:rPr>
          <w:rFonts w:ascii="Times New Roman" w:hAnsi="Times New Roman" w:cs="Times New Roman"/>
          <w:sz w:val="24"/>
          <w:szCs w:val="24"/>
          <w:lang w:val="en-US"/>
        </w:rPr>
        <w:t>In this regard, WHO, has highlighted in its policy brief</w:t>
      </w:r>
      <w:r w:rsidR="005F3DEC" w:rsidRPr="00C33556">
        <w:rPr>
          <w:rFonts w:ascii="Times New Roman" w:hAnsi="Times New Roman" w:cs="Times New Roman"/>
          <w:sz w:val="24"/>
          <w:szCs w:val="24"/>
          <w:lang w:val="en-US"/>
        </w:rPr>
        <w:t xml:space="preserve"> on May 13, 2021</w:t>
      </w:r>
      <w:r w:rsidR="00170F57" w:rsidRPr="00C33556">
        <w:rPr>
          <w:rFonts w:ascii="Times New Roman" w:hAnsi="Times New Roman" w:cs="Times New Roman"/>
          <w:sz w:val="24"/>
          <w:szCs w:val="24"/>
          <w:lang w:val="en-US"/>
        </w:rPr>
        <w:t>, that it does not support any measures for mandatory vaccination for COVID-19, including specific situations such as international travel and, in particular, does not encourage mandatory systems based on threats or restriction of rights such as working. or studies, which may otherwise undermine vaccine confidence.</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{"citationItems":[{"id":"ITEM-1","itemData":{"author":[{"dropping-particle":"","family":"World Health Organization Ethics and COVID-19 Working Group","given":"","non-dropping-particle":"","parse-names":false,"suffix":""}],"id":"ITEM-1","issue":"April","issued":{"date-parts":[["2021"]]},"page":"13-17","title":"COVID-19 and mandatory vaccination : Ethical considerations and caveats","type":"bill"},"uris":["http://www.mendeley.com/documents/?uuid=6d01c0fe-d8a7-4735-b46e-318de3f5b724"]}],"mendeley":{"formattedCitation":"(22)","plainTextFormattedCitation":"(22)","previouslyFormattedCitation":"(World Health Organization Ethics and COVID-19 Working Group 2021a)"},"properties":{"noteIndex":0},"schema":"https://github.com/citation-style-language/schema/raw/master/csl-citation.json"}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noProof/>
          <w:sz w:val="24"/>
          <w:szCs w:val="24"/>
          <w:lang w:val="en-US"/>
        </w:rPr>
        <w:t>(22)</w:t>
      </w:r>
      <w:r w:rsidR="00331BD5">
        <w:rPr>
          <w:rStyle w:val="FootnoteReference"/>
          <w:rFonts w:ascii="Times New Roman" w:hAnsi="Times New Roman" w:cs="Times New Roman"/>
          <w:sz w:val="24"/>
          <w:szCs w:val="24"/>
        </w:rPr>
        <w:fldChar w:fldCharType="end"/>
      </w:r>
      <w:r w:rsidR="00103AD0" w:rsidRPr="00C33556">
        <w:rPr>
          <w:rFonts w:ascii="Times New Roman" w:hAnsi="Times New Roman" w:cs="Times New Roman"/>
          <w:sz w:val="24"/>
          <w:szCs w:val="24"/>
          <w:lang w:val="en-US"/>
        </w:rPr>
        <w:t xml:space="preserve"> </w:t>
      </w:r>
      <w:r w:rsidR="00185487" w:rsidRPr="00C33556">
        <w:rPr>
          <w:rFonts w:ascii="Times New Roman" w:hAnsi="Times New Roman" w:cs="Times New Roman"/>
          <w:sz w:val="24"/>
          <w:szCs w:val="24"/>
          <w:lang w:val="en-US"/>
        </w:rPr>
        <w:t>Nowadays, WHO has advised investment in information campaigns to establish confidence in COVID-19 vaccines and in policies that make vaccination accessible</w:t>
      </w:r>
      <w:r w:rsidR="005F3DEC" w:rsidRPr="00C33556">
        <w:rPr>
          <w:rFonts w:ascii="Times New Roman" w:hAnsi="Times New Roman" w:cs="Times New Roman"/>
          <w:sz w:val="24"/>
          <w:szCs w:val="24"/>
          <w:lang w:val="en-US"/>
        </w:rPr>
        <w:t>.</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{"citationItems":[{"id":"ITEM-1","itemData":{"author":[{"dropping-particle":"","family":"World Health Organization Ethics and COVID-19 Working Group","given":"","non-dropping-particle":"","parse-names":false,"suffix":""}],"id":"ITEM-1","issue":"April","issued":{"date-parts":[["2021"]]},"page":"13-17","title":"COVID-19 and mandatory vaccination : Ethical considerations and caveats","type":"bill"},"uris":["http://www.mendeley.com/documents/?uuid=6d01c0fe-d8a7-4735-b46e-318de3f5b724"]}],"mendeley":{"formattedCitation":"(22)","plainTextFormattedCitation":"(22)","previouslyFormattedCitation":"(World Health Organization Ethics and COVID-19 Working Group 2021a)"},"properties":{"noteIndex":0},"schema":"https://github.com/citation-style-language/schema/raw/master/csl-citation.json"}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noProof/>
          <w:sz w:val="24"/>
          <w:szCs w:val="24"/>
          <w:lang w:val="en-US"/>
        </w:rPr>
        <w:t>(22)</w:t>
      </w:r>
      <w:r w:rsidR="00331BD5">
        <w:rPr>
          <w:rStyle w:val="FootnoteReference"/>
          <w:rFonts w:ascii="Times New Roman" w:hAnsi="Times New Roman" w:cs="Times New Roman"/>
          <w:sz w:val="24"/>
          <w:szCs w:val="24"/>
        </w:rPr>
        <w:fldChar w:fldCharType="end"/>
      </w:r>
    </w:p>
    <w:p w14:paraId="654941F5" w14:textId="7FF7C7E7" w:rsidR="00103AD0" w:rsidRPr="00C33556" w:rsidRDefault="002A6CE0" w:rsidP="00436D31">
      <w:pPr>
        <w:spacing w:line="480" w:lineRule="auto"/>
        <w:ind w:firstLine="708"/>
        <w:jc w:val="both"/>
        <w:rPr>
          <w:rFonts w:ascii="Times New Roman" w:hAnsi="Times New Roman" w:cs="Times New Roman"/>
          <w:sz w:val="24"/>
          <w:szCs w:val="24"/>
          <w:lang w:val="en-US"/>
        </w:rPr>
      </w:pPr>
      <w:r w:rsidRPr="00C33556">
        <w:rPr>
          <w:rFonts w:ascii="Times New Roman" w:hAnsi="Times New Roman" w:cs="Times New Roman"/>
          <w:sz w:val="24"/>
          <w:szCs w:val="24"/>
          <w:lang w:val="en-US"/>
        </w:rPr>
        <w:t>Another aspect that can enhance autonomy and remain aligned with the Universal Declaration on Bioethics and Human Rights (UDBHR) published in 2005</w:t>
      </w:r>
      <w:r w:rsidR="00406974">
        <w:rPr>
          <w:rFonts w:ascii="Times New Roman" w:hAnsi="Times New Roman" w:cs="Times New Roman"/>
          <w:sz w:val="24"/>
          <w:szCs w:val="24"/>
          <w:lang w:val="en-US"/>
        </w:rPr>
        <w:t xml:space="preserve"> </w:t>
      </w:r>
      <w:r w:rsidR="00406974">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URL":"http://portal.unesco.org/en/ev.php-URL_ID=31058&amp;URL_DO=DO_TOPIC&amp;URL_SECTION=201.html","accessed":{"date-parts":[["2021","1","1"]]},"author":[{"dropping-particle":"","family":"UNESCO","given":"","non-dropping-particle":"","parse-names":false,"suffix":""}],"id":"ITEM-1","issued":{"date-parts":[["2005"]]},"title":"Universal Declaration on Bioethics and Human Rights","type":"webpage"},"uris":["http://www.mendeley.com/documents/?uuid=5b40e966-e069-35fe-b805-9662528554fc"]}],"mendeley":{"formattedCitation":"(23)","plainTextFormattedCitation":"(23)","previouslyFormattedCitation":"(UNESCO 2005)"},"properties":{"noteIndex":0},"schema":"https://github.com/citation-style-language/schema/raw/master/csl-citation.json"}</w:instrText>
      </w:r>
      <w:r w:rsidR="00406974">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noProof/>
          <w:sz w:val="24"/>
          <w:szCs w:val="24"/>
          <w:lang w:val="en-US"/>
        </w:rPr>
        <w:t>(23)</w:t>
      </w:r>
      <w:r w:rsidR="00406974">
        <w:rPr>
          <w:rStyle w:val="FootnoteReference"/>
          <w:rFonts w:ascii="Times New Roman" w:hAnsi="Times New Roman" w:cs="Times New Roman"/>
          <w:sz w:val="24"/>
          <w:szCs w:val="24"/>
        </w:rPr>
        <w:fldChar w:fldCharType="end"/>
      </w:r>
      <w:r w:rsidRPr="00C33556">
        <w:rPr>
          <w:rFonts w:ascii="Times New Roman" w:hAnsi="Times New Roman" w:cs="Times New Roman"/>
          <w:sz w:val="24"/>
          <w:szCs w:val="24"/>
          <w:lang w:val="en-US"/>
        </w:rPr>
        <w:t xml:space="preserve">, in the context </w:t>
      </w:r>
      <w:r w:rsidRPr="00C33556">
        <w:rPr>
          <w:rFonts w:ascii="Times New Roman" w:hAnsi="Times New Roman" w:cs="Times New Roman"/>
          <w:sz w:val="24"/>
          <w:szCs w:val="24"/>
          <w:lang w:val="en-US"/>
        </w:rPr>
        <w:lastRenderedPageBreak/>
        <w:t>of emergency use of COVID-19 vaccines, whether because such vaccines reach the plans of immunization categorized based on the traditional vaccine development pathway in a clinical trial stage, where knowledge about immune response, safety and efficacy is not fully understood, it would be necessary to request consent form, prior to vaccination, freely and based on information about the potential risks and benefits of everyone vaccinated.</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{"citationItems":[{"id":"ITEM-1","itemData":{"DOI":"10.20529/IJME.2020.122","ISSN":"09748466","abstract":"Large-scale vaccination with a safe and effective vaccine against Covid-19 is the only way to conquer the ongoing lethal pandemic that has led to extraordinary social and economic upheaval globally. Fortunately, the world is on the verge of developing Covid-19 vaccines in an unprecedentedly short time. More than forty vaccines are in different stages of clinical trials, and a few are in the crucial phase III studies stage. A new demand for emergency use authorisation and rapid deployment of these vaccines before scrutinising phase III trial data is raging in different quarters. Can advancement of the deployment of these vaccines by even a few weeks give us rich public health dividends? Would it be ethical to deploy these novel vaccines based only on the safety and immunogenicity data generated by the phase-I and II clinical trials? Would it be ethical to deny vaccination of vulnerable populations against an untreatable infectious disease despite the availability of reasonably safe and efficacious vaccines for the want of phase III trial data? The answer is not straightforward, as there are many complexities involved. This commentary attempts to discuss some ethical issues involved in a decision to deploy Covid-19 vaccination before phase III trial results are declared.","author":[{"dropping-particle":"","family":"Vashishtha","given":"Vipin M","non-dropping-particle":"","parse-names":false,"suffix":""},{"dropping-particle":"","family":"Kumar","given":"Puneet","non-dropping-particle":"","parse-names":false,"suffix":""}],"container-title":"Indian Journal of Medical Ethics","id":"ITEM-1","issue":"01","issued":{"date-parts":[["2021","2","16"]]},"page":"20-22","title":"Emergency use authorisation of Covid-19 vaccines:An ethical conundrum","type":"article-journal","volume":"06"},"uris":["http://www.mendeley.com/documents/?uuid=10303d8a-0b69-4e8c-8e89-fc9778bcd606"]},{"id":"ITEM-2","itemData":{"URL":"http://portal.unesco.org/en/ev.php-URL_ID=31058&amp;URL_DO=DO_TOPIC&amp;URL_SECTION=201.html","accessed":{"date-parts":[["2021","1","1"]]},"author":[{"dropping-particle":"","family":"UNESCO","given":"","non-dropping-particle":"","parse-names":false,"suffix":""}],"id":"ITEM-2","issued":{"date-parts":[["2005"]]},"title":"Universal Declaration on Bioethics and Human Rights","type":"webpage"},"uris":["http://www.mendeley.com/documents/?uuid=5b40e966-e069-35fe-b805-9662528554fc"]}],"mendeley":{"formattedCitation":"(6,23)","plainTextFormattedCitation":"(6,23)","previouslyFormattedCitation":"(Vashishtha and Kumar 2021; UNESCO 2005)"},"properties":{"noteIndex":0},"schema":"https://github.com/citation-style-language/schema/raw/master/csl-citation.json"}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(6,23)</w:t>
      </w:r>
      <w:r w:rsidR="00331BD5">
        <w:rPr>
          <w:rStyle w:val="FootnoteReference"/>
          <w:rFonts w:ascii="Times New Roman" w:hAnsi="Times New Roman" w:cs="Times New Roman"/>
          <w:sz w:val="24"/>
          <w:szCs w:val="24"/>
        </w:rPr>
        <w:fldChar w:fldCharType="end"/>
      </w:r>
      <w:r w:rsidR="004C6F5B" w:rsidRPr="00C33556">
        <w:rPr>
          <w:rFonts w:ascii="Times New Roman" w:hAnsi="Times New Roman" w:cs="Times New Roman"/>
          <w:sz w:val="24"/>
          <w:szCs w:val="24"/>
          <w:lang w:val="en-US"/>
        </w:rPr>
        <w:t xml:space="preserve"> It is noteworthy that Article 6 of the </w:t>
      </w:r>
      <w:bookmarkStart w:id="5" w:name="_Hlk72789268"/>
      <w:r w:rsidR="004C6F5B" w:rsidRPr="00C33556">
        <w:rPr>
          <w:rFonts w:ascii="Times New Roman" w:hAnsi="Times New Roman" w:cs="Times New Roman"/>
          <w:sz w:val="24"/>
          <w:szCs w:val="24"/>
          <w:lang w:val="en-US"/>
        </w:rPr>
        <w:t>UDBH</w:t>
      </w:r>
      <w:r w:rsidR="004908DD" w:rsidRPr="00C33556">
        <w:rPr>
          <w:rFonts w:ascii="Times New Roman" w:hAnsi="Times New Roman" w:cs="Times New Roman"/>
          <w:sz w:val="24"/>
          <w:szCs w:val="24"/>
          <w:lang w:val="en-US"/>
        </w:rPr>
        <w:t>R</w:t>
      </w:r>
      <w:bookmarkEnd w:id="5"/>
      <w:r w:rsidR="004C6F5B" w:rsidRPr="00C33556">
        <w:rPr>
          <w:rFonts w:ascii="Times New Roman" w:hAnsi="Times New Roman" w:cs="Times New Roman"/>
          <w:sz w:val="24"/>
          <w:szCs w:val="24"/>
          <w:lang w:val="en-US"/>
        </w:rPr>
        <w:t>, it is clear that any preventive medi</w:t>
      </w:r>
      <w:r w:rsidR="00406974">
        <w:rPr>
          <w:rFonts w:ascii="Times New Roman" w:hAnsi="Times New Roman" w:cs="Times New Roman"/>
          <w:sz w:val="24"/>
          <w:szCs w:val="24"/>
          <w:lang w:val="en-US"/>
        </w:rPr>
        <w:t>c</w:t>
      </w:r>
      <w:r w:rsidR="004C6F5B" w:rsidRPr="00C33556">
        <w:rPr>
          <w:rFonts w:ascii="Times New Roman" w:hAnsi="Times New Roman" w:cs="Times New Roman"/>
          <w:sz w:val="24"/>
          <w:szCs w:val="24"/>
          <w:lang w:val="en-US"/>
        </w:rPr>
        <w:t>al intervention, where the vaccine is included, necessarily requires a consent form</w:t>
      </w:r>
      <w:r w:rsidR="00632B8F">
        <w:rPr>
          <w:rFonts w:ascii="Times New Roman" w:hAnsi="Times New Roman" w:cs="Times New Roman"/>
          <w:sz w:val="24"/>
          <w:szCs w:val="24"/>
          <w:lang w:val="en-US"/>
        </w:rPr>
        <w:t xml:space="preserve"> </w:t>
      </w:r>
      <w:r w:rsidR="00331BD5">
        <w:rPr>
          <w:rStyle w:val="FootnoteReference"/>
          <w:rFonts w:ascii="Times New Roman" w:hAnsi="Times New Roman" w:cs="Times New Roman"/>
          <w:sz w:val="24"/>
          <w:szCs w:val="24"/>
          <w:lang w:val="en-US"/>
        </w:rPr>
        <w:fldChar w:fldCharType="begin" w:fldLock="1"/>
      </w:r>
      <w:r w:rsidR="0036604F">
        <w:rPr>
          <w:rFonts w:ascii="Times New Roman" w:hAnsi="Times New Roman" w:cs="Times New Roman"/>
          <w:sz w:val="24"/>
          <w:szCs w:val="24"/>
          <w:lang w:val="en-US"/>
        </w:rPr>
        <w:instrText>ADDIN CSL_CITATION {"citationItems":[{"id":"ITEM-1","itemData":{"URL":"http://portal.unesco.org/en/ev.php-URL_ID=31058&amp;URL_DO=DO_TOPIC&amp;URL_SECTION=201.html","accessed":{"date-parts":[["2021","1","1"]]},"author":[{"dropping-particle":"","family":"UNESCO","given":"","non-dropping-particle":"","parse-names":false,"suffix":""}],"id":"ITEM-1","issued":{"date-parts":[["2005"]]},"title":"Universal Declaration on Bioethics and Human Rights","type":"webpage"},"uris":["http://www.mendeley.com/documents/?uuid=5b40e966-e069-35fe-b805-9662528554fc"]}],"mendeley":{"formattedCitation":"(23)","plainTextFormattedCitation":"(23)","previouslyFormattedCitation":"(UNESCO 2005)"},"properties":{"noteIndex":0},"schema":"https://github.com/citation-style-language/schema/raw/master/csl-citation.json"}</w:instrText>
      </w:r>
      <w:r w:rsidR="00331BD5">
        <w:rPr>
          <w:rStyle w:val="FootnoteReference"/>
          <w:rFonts w:ascii="Times New Roman" w:hAnsi="Times New Roman" w:cs="Times New Roman"/>
          <w:sz w:val="24"/>
          <w:szCs w:val="24"/>
          <w:lang w:val="en-US"/>
        </w:rPr>
        <w:fldChar w:fldCharType="separate"/>
      </w:r>
      <w:r w:rsidR="0036604F" w:rsidRPr="0036604F">
        <w:rPr>
          <w:rFonts w:ascii="Times New Roman" w:hAnsi="Times New Roman" w:cs="Times New Roman"/>
          <w:bCs/>
          <w:noProof/>
          <w:sz w:val="24"/>
          <w:szCs w:val="24"/>
          <w:lang w:val="en-US"/>
        </w:rPr>
        <w:t>(23)</w:t>
      </w:r>
      <w:r w:rsidR="00331BD5">
        <w:rPr>
          <w:rStyle w:val="FootnoteReference"/>
          <w:rFonts w:ascii="Times New Roman" w:hAnsi="Times New Roman" w:cs="Times New Roman"/>
          <w:sz w:val="24"/>
          <w:szCs w:val="24"/>
          <w:lang w:val="en-US"/>
        </w:rPr>
        <w:fldChar w:fldCharType="end"/>
      </w:r>
      <w:r w:rsidR="004908DD" w:rsidRPr="00C33556">
        <w:rPr>
          <w:rFonts w:ascii="Times New Roman" w:hAnsi="Times New Roman" w:cs="Times New Roman"/>
          <w:sz w:val="24"/>
          <w:szCs w:val="24"/>
          <w:lang w:val="en-US"/>
        </w:rPr>
        <w:t xml:space="preserve">. </w:t>
      </w:r>
      <w:r w:rsidR="00AE1E06" w:rsidRPr="00C33556">
        <w:rPr>
          <w:rFonts w:ascii="Times New Roman" w:hAnsi="Times New Roman" w:cs="Times New Roman"/>
          <w:sz w:val="24"/>
          <w:szCs w:val="24"/>
          <w:lang w:val="en-US"/>
        </w:rPr>
        <w:t xml:space="preserve">Furthermore, the consent form, when clarifying the individual about the risks and benefits of vaccination mainly in emergency use, allowing his free choice regarding vaccination, contributes to the respect of human dignity, human rights, fundamental freedoms and autonomy exactly as postulated in Articles 3 (Human dignity and human rights), 4 (Benefit and harm), 5 (Autonomy and individual responsibility), 6 (Consent) of UDBHR </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URL":"http://portal.unesco.org/en/ev.php-URL_ID=31058&amp;URL_DO=DO_TOPIC&amp;URL_SECTION=201.html","accessed":{"date-parts":[["2021","1","1"]]},"author":[{"dropping-particle":"","family":"UNESCO","given":"","non-dropping-particle":"","parse-names":false,"suffix":""}],"id":"ITEM-1","issued":{"date-parts":[["2005"]]},"title":"Universal Declaration on Bioethics and Human Rights","type":"webpage"},"uris":["http://www.mendeley.com/documents/?uuid=5b40e966-e069-35fe-b805-9662528554fc"]}],"mendeley":{"formattedCitation":"(23)","plainTextFormattedCitation":"(23)","previouslyFormattedCitation":"(UNESCO 2005)"},"properties":{"noteIndex":0},"schema":"https://github.com/citation-style-language/schema/raw/master/csl-citation.json"}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noProof/>
          <w:sz w:val="24"/>
          <w:szCs w:val="24"/>
          <w:lang w:val="en-US"/>
        </w:rPr>
        <w:t>(23)</w:t>
      </w:r>
      <w:r w:rsidR="00331BD5">
        <w:rPr>
          <w:rStyle w:val="FootnoteReference"/>
          <w:rFonts w:ascii="Times New Roman" w:hAnsi="Times New Roman" w:cs="Times New Roman"/>
          <w:sz w:val="24"/>
          <w:szCs w:val="24"/>
        </w:rPr>
        <w:fldChar w:fldCharType="end"/>
      </w:r>
      <w:r w:rsidR="00436D31" w:rsidRPr="00C33556">
        <w:rPr>
          <w:rFonts w:ascii="Times New Roman" w:hAnsi="Times New Roman" w:cs="Times New Roman"/>
          <w:sz w:val="24"/>
          <w:szCs w:val="24"/>
          <w:lang w:val="en-US"/>
        </w:rPr>
        <w:t xml:space="preserve"> </w:t>
      </w:r>
      <w:r w:rsidR="00AE1E06" w:rsidRPr="00C33556">
        <w:rPr>
          <w:rFonts w:ascii="Times New Roman" w:hAnsi="Times New Roman" w:cs="Times New Roman"/>
          <w:sz w:val="24"/>
          <w:szCs w:val="24"/>
          <w:lang w:val="en-US"/>
        </w:rPr>
        <w:t xml:space="preserve">Thus, good practices in observing Articles from 3 to 7 of the UDBHR are available from the Mid Essex Clinical Commissioning Group, National Health Service of the United Kingdom (NHS), through different types of consent forms, in language accessible to the entire population. </w:t>
      </w:r>
      <w:r w:rsidR="00436D31" w:rsidRPr="00C33556">
        <w:rPr>
          <w:rFonts w:ascii="Times New Roman" w:hAnsi="Times New Roman" w:cs="Times New Roman"/>
          <w:sz w:val="24"/>
          <w:szCs w:val="24"/>
          <w:lang w:val="en-US"/>
        </w:rPr>
        <w:t>(Table 3).</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URL":"http://portal.unesco.org/en/ev.php-URL_ID=31058&amp;URL_DO=DO_TOPIC&amp;URL_SECTION=201.html","accessed":{"date-parts":[["2021","1","1"]]},"author":[{"dropping-particle":"","family":"UNESCO","given":"","non-dropping-particle":"","parse-names":false,"suffix":""}],"id":"ITEM-1","issued":{"date-parts":[["2005"]]},"title":"Universal Declaration on Bioethics and Human Rights","type":"webpage"},"uris":["http://www.mendeley.com/documents/?uuid=5b40e966-e069-35fe-b805-9662528554fc"]},{"id":"ITEM-2","itemData":{"URL":"https://midessexccg.nhs.uk/medicines-optimisation/covid-19-resources/covid-19-vaccination-resources/covid-19-vaccination-consent-forms","accessed":{"date-parts":[["2021","2","23"]]},"author":[{"dropping-particle":"","family":"NHS Mid Essex CCG","given":"","non-dropping-particle":"","parse-names":false,"suffix":""}],"id":"ITEM-2","issued":{"date-parts":[["2021"]]},"title":"COVID-19 Vaccination Consent Forms and Letters","type":"webpage"},"uris":["http://www.mendeley.com/documents/?uuid=0a13219f-a3f5-3d10-b3b3-127324b47e03"]},{"id":"ITEM-3","itemData":{"URL":"https://www.gov.uk/government/publications/covid-19-vaccination-easy-read-consent-form-for-adults","accessed":{"date-parts":[["2021","5","8"]]},"author":[{"dropping-particle":"","family":"NHS Mid Essex CCG","given":"","non-dropping-particle":"","parse-names":false,"suffix":""}],"id":"ITEM-3","issued":{"date-parts":[["2021"]]},"title":"COVID-19 vaccination: easy-read consent form for adults - GOV.UK","type":"webpage"},"uris":["http://www.mendeley.com/documents/?uuid=47d0dd37-ba7a-3944-bfbc-db8b00fa8edd"]}],"mendeley":{"formattedCitation":"(23–25)","plainTextFormattedCitation":"(23–25)","previouslyFormattedCitation":"(UNESCO 2005; NHS Mid Essex CCG 2021b, 2021a)"},"properties":{"noteIndex":0},"schema":"https://github.com/citation-style-language/schema/raw/master/csl-citation.json"}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(23–25)</w:t>
      </w:r>
      <w:r w:rsidR="00331BD5">
        <w:rPr>
          <w:rStyle w:val="FootnoteReference"/>
          <w:rFonts w:ascii="Times New Roman" w:hAnsi="Times New Roman" w:cs="Times New Roman"/>
          <w:sz w:val="24"/>
          <w:szCs w:val="24"/>
        </w:rPr>
        <w:fldChar w:fldCharType="end"/>
      </w:r>
    </w:p>
    <w:p w14:paraId="6D4AFF03" w14:textId="6669337B" w:rsidR="006B0083" w:rsidRPr="00C33556" w:rsidRDefault="006B0083" w:rsidP="006B0083">
      <w:pPr>
        <w:pStyle w:val="Caption"/>
        <w:keepNext/>
        <w:rPr>
          <w:rFonts w:ascii="Times New Roman" w:hAnsi="Times New Roman" w:cs="Times New Roman"/>
          <w:b/>
          <w:bCs/>
          <w:i w:val="0"/>
          <w:iCs w:val="0"/>
          <w:color w:val="auto"/>
          <w:sz w:val="24"/>
          <w:szCs w:val="24"/>
          <w:lang w:val="en-US"/>
        </w:rPr>
      </w:pPr>
      <w:bookmarkStart w:id="6" w:name="_Hlk90223247"/>
      <w:r w:rsidRPr="00C33556">
        <w:rPr>
          <w:rFonts w:ascii="Times New Roman" w:hAnsi="Times New Roman" w:cs="Times New Roman"/>
          <w:b/>
          <w:bCs/>
          <w:i w:val="0"/>
          <w:iCs w:val="0"/>
          <w:color w:val="auto"/>
          <w:sz w:val="24"/>
          <w:szCs w:val="24"/>
          <w:lang w:val="en-US"/>
        </w:rPr>
        <w:t xml:space="preserve">Table </w:t>
      </w:r>
      <w:r w:rsidR="00286E84" w:rsidRPr="00C33556">
        <w:rPr>
          <w:rFonts w:ascii="Times New Roman" w:hAnsi="Times New Roman" w:cs="Times New Roman"/>
          <w:b/>
          <w:bCs/>
          <w:i w:val="0"/>
          <w:iCs w:val="0"/>
          <w:color w:val="auto"/>
          <w:sz w:val="24"/>
          <w:szCs w:val="24"/>
          <w:lang w:val="en-US"/>
        </w:rPr>
        <w:t xml:space="preserve">3. </w:t>
      </w:r>
      <w:r w:rsidRPr="00C33556">
        <w:rPr>
          <w:rFonts w:ascii="Times New Roman" w:hAnsi="Times New Roman" w:cs="Times New Roman"/>
          <w:b/>
          <w:bCs/>
          <w:i w:val="0"/>
          <w:iCs w:val="0"/>
          <w:color w:val="auto"/>
          <w:sz w:val="24"/>
          <w:szCs w:val="24"/>
          <w:lang w:val="en-US"/>
        </w:rPr>
        <w:t xml:space="preserve">  COVID-19 Vaccination Consent Forms: categories, target audience and main characteristics</w:t>
      </w:r>
    </w:p>
    <w:tbl>
      <w:tblPr>
        <w:tblStyle w:val="TableGrid"/>
        <w:tblW w:w="0" w:type="auto"/>
        <w:tblInd w:w="5" w:type="dxa"/>
        <w:tblLayout w:type="fixed"/>
        <w:tblLook w:val="04A0" w:firstRow="1" w:lastRow="0" w:firstColumn="1" w:lastColumn="0" w:noHBand="0" w:noVBand="1"/>
      </w:tblPr>
      <w:tblGrid>
        <w:gridCol w:w="2150"/>
        <w:gridCol w:w="3240"/>
        <w:gridCol w:w="2070"/>
      </w:tblGrid>
      <w:tr w:rsidR="00C33556" w:rsidRPr="00646C7F" w14:paraId="3B69EF97" w14:textId="77777777" w:rsidTr="002E5555">
        <w:trPr>
          <w:trHeight w:val="779"/>
        </w:trPr>
        <w:tc>
          <w:tcPr>
            <w:tcW w:w="2150" w:type="dxa"/>
            <w:tcBorders>
              <w:left w:val="single" w:sz="4" w:space="0" w:color="FFFFFF" w:themeColor="background1"/>
            </w:tcBorders>
            <w:vAlign w:val="center"/>
          </w:tcPr>
          <w:p w14:paraId="7125FFA9" w14:textId="77777777" w:rsidR="006B0083" w:rsidRPr="00C33556" w:rsidRDefault="006B0083" w:rsidP="002E5555">
            <w:pPr>
              <w:spacing w:line="360" w:lineRule="auto"/>
              <w:jc w:val="center"/>
              <w:rPr>
                <w:rFonts w:ascii="Times New Roman" w:hAnsi="Times New Roman" w:cs="Times New Roman"/>
                <w:sz w:val="20"/>
                <w:szCs w:val="20"/>
                <w:lang w:val="en-US"/>
              </w:rPr>
            </w:pPr>
            <w:r w:rsidRPr="00C33556">
              <w:rPr>
                <w:rFonts w:ascii="Times New Roman" w:hAnsi="Times New Roman" w:cs="Times New Roman"/>
                <w:sz w:val="20"/>
                <w:szCs w:val="20"/>
                <w:lang w:val="en-US"/>
              </w:rPr>
              <w:t>CONSENT FORM CATEGORIES</w:t>
            </w:r>
          </w:p>
        </w:tc>
        <w:tc>
          <w:tcPr>
            <w:tcW w:w="3240" w:type="dxa"/>
            <w:tcBorders>
              <w:right w:val="single" w:sz="4" w:space="0" w:color="000000" w:themeColor="text1"/>
            </w:tcBorders>
            <w:vAlign w:val="center"/>
          </w:tcPr>
          <w:p w14:paraId="59CDF40C" w14:textId="77777777" w:rsidR="006B0083" w:rsidRPr="00C33556" w:rsidRDefault="006B0083" w:rsidP="002E5555">
            <w:pPr>
              <w:pStyle w:val="ListParagraph"/>
              <w:spacing w:line="360" w:lineRule="auto"/>
              <w:ind w:left="0"/>
              <w:jc w:val="center"/>
              <w:rPr>
                <w:rFonts w:ascii="Times New Roman" w:hAnsi="Times New Roman" w:cs="Times New Roman"/>
                <w:sz w:val="20"/>
                <w:szCs w:val="20"/>
                <w:lang w:val="en-US"/>
              </w:rPr>
            </w:pPr>
            <w:r w:rsidRPr="00C33556">
              <w:rPr>
                <w:rFonts w:ascii="Times New Roman" w:hAnsi="Times New Roman" w:cs="Times New Roman"/>
                <w:sz w:val="20"/>
                <w:szCs w:val="20"/>
                <w:lang w:val="en-US"/>
              </w:rPr>
              <w:t>TARGET AUDIENCE</w:t>
            </w:r>
          </w:p>
        </w:tc>
        <w:tc>
          <w:tcPr>
            <w:tcW w:w="2070" w:type="dxa"/>
            <w:tcBorders>
              <w:left w:val="single" w:sz="4" w:space="0" w:color="000000" w:themeColor="text1"/>
              <w:right w:val="single" w:sz="4" w:space="0" w:color="FFFFFF" w:themeColor="background1"/>
            </w:tcBorders>
            <w:vAlign w:val="center"/>
          </w:tcPr>
          <w:p w14:paraId="4D1861BA" w14:textId="77777777" w:rsidR="006B0083" w:rsidRPr="00646C7F" w:rsidRDefault="006B0083" w:rsidP="002E5555">
            <w:pPr>
              <w:spacing w:line="360" w:lineRule="auto"/>
              <w:jc w:val="center"/>
              <w:rPr>
                <w:rFonts w:ascii="Times New Roman" w:hAnsi="Times New Roman" w:cs="Times New Roman"/>
                <w:sz w:val="20"/>
                <w:szCs w:val="20"/>
                <w:lang w:val="en-US"/>
              </w:rPr>
            </w:pPr>
            <w:r w:rsidRPr="00646C7F">
              <w:rPr>
                <w:rFonts w:ascii="Times New Roman" w:hAnsi="Times New Roman" w:cs="Times New Roman"/>
                <w:sz w:val="20"/>
                <w:szCs w:val="20"/>
                <w:lang w:val="en-US"/>
              </w:rPr>
              <w:t>MAIN CHARACTERISTICS</w:t>
            </w:r>
          </w:p>
        </w:tc>
      </w:tr>
      <w:tr w:rsidR="00C33556" w:rsidRPr="00646C7F" w14:paraId="426E2AD8" w14:textId="77777777" w:rsidTr="002E5555">
        <w:trPr>
          <w:trHeight w:val="779"/>
        </w:trPr>
        <w:tc>
          <w:tcPr>
            <w:tcW w:w="2150" w:type="dxa"/>
            <w:tcBorders>
              <w:left w:val="single" w:sz="4" w:space="0" w:color="FFFFFF" w:themeColor="background1"/>
            </w:tcBorders>
            <w:vAlign w:val="center"/>
          </w:tcPr>
          <w:p w14:paraId="6A195795" w14:textId="77777777" w:rsidR="006B0083" w:rsidRPr="00C33556" w:rsidRDefault="006B0083" w:rsidP="00B655FD">
            <w:pPr>
              <w:jc w:val="center"/>
              <w:rPr>
                <w:rFonts w:ascii="Times New Roman" w:hAnsi="Times New Roman" w:cs="Times New Roman"/>
                <w:sz w:val="20"/>
                <w:szCs w:val="20"/>
                <w:lang w:val="en-US"/>
              </w:rPr>
            </w:pPr>
            <w:r w:rsidRPr="00C33556">
              <w:rPr>
                <w:rFonts w:ascii="Times New Roman" w:hAnsi="Times New Roman" w:cs="Times New Roman"/>
                <w:sz w:val="20"/>
                <w:szCs w:val="20"/>
                <w:lang w:val="en-US"/>
              </w:rPr>
              <w:t>Consent Forms: Adults able to consent themselves</w:t>
            </w:r>
          </w:p>
        </w:tc>
        <w:tc>
          <w:tcPr>
            <w:tcW w:w="3240" w:type="dxa"/>
            <w:tcBorders>
              <w:right w:val="single" w:sz="4" w:space="0" w:color="000000" w:themeColor="text1"/>
            </w:tcBorders>
            <w:vAlign w:val="center"/>
          </w:tcPr>
          <w:p w14:paraId="6941E643" w14:textId="77777777" w:rsidR="006B0083" w:rsidRPr="00C33556" w:rsidRDefault="006B0083" w:rsidP="00B655FD">
            <w:pPr>
              <w:pStyle w:val="ListParagraph"/>
              <w:ind w:left="0"/>
              <w:jc w:val="center"/>
              <w:rPr>
                <w:rFonts w:ascii="Times New Roman" w:hAnsi="Times New Roman" w:cs="Times New Roman"/>
                <w:sz w:val="20"/>
                <w:szCs w:val="20"/>
                <w:lang w:val="en-US"/>
              </w:rPr>
            </w:pPr>
            <w:r w:rsidRPr="00C33556">
              <w:rPr>
                <w:rFonts w:ascii="Times New Roman" w:hAnsi="Times New Roman" w:cs="Times New Roman"/>
                <w:sz w:val="20"/>
                <w:szCs w:val="20"/>
                <w:lang w:val="en-US"/>
              </w:rPr>
              <w:t>Consent form for adults able to consent</w:t>
            </w:r>
          </w:p>
        </w:tc>
        <w:tc>
          <w:tcPr>
            <w:tcW w:w="2070" w:type="dxa"/>
            <w:tcBorders>
              <w:left w:val="single" w:sz="4" w:space="0" w:color="000000" w:themeColor="text1"/>
              <w:right w:val="single" w:sz="4" w:space="0" w:color="FFFFFF" w:themeColor="background1"/>
            </w:tcBorders>
            <w:vAlign w:val="center"/>
          </w:tcPr>
          <w:p w14:paraId="202B9134" w14:textId="77777777" w:rsidR="006B0083" w:rsidRPr="00646C7F" w:rsidRDefault="006B0083" w:rsidP="002E5555">
            <w:pPr>
              <w:spacing w:line="360" w:lineRule="auto"/>
              <w:jc w:val="center"/>
              <w:rPr>
                <w:rFonts w:ascii="Times New Roman" w:hAnsi="Times New Roman" w:cs="Times New Roman"/>
                <w:sz w:val="20"/>
                <w:szCs w:val="20"/>
                <w:lang w:val="en-US"/>
              </w:rPr>
            </w:pPr>
            <w:r w:rsidRPr="00646C7F">
              <w:rPr>
                <w:rFonts w:ascii="Times New Roman" w:hAnsi="Times New Roman" w:cs="Times New Roman"/>
                <w:sz w:val="20"/>
                <w:szCs w:val="20"/>
                <w:lang w:val="en-US"/>
              </w:rPr>
              <w:t>†, ‡</w:t>
            </w:r>
          </w:p>
        </w:tc>
      </w:tr>
      <w:tr w:rsidR="00C33556" w:rsidRPr="00646C7F" w14:paraId="6C12A4DB" w14:textId="77777777" w:rsidTr="002E5555">
        <w:trPr>
          <w:trHeight w:val="183"/>
        </w:trPr>
        <w:tc>
          <w:tcPr>
            <w:tcW w:w="2150" w:type="dxa"/>
            <w:vMerge w:val="restart"/>
            <w:tcBorders>
              <w:left w:val="single" w:sz="4" w:space="0" w:color="FFFFFF" w:themeColor="background1"/>
            </w:tcBorders>
            <w:vAlign w:val="center"/>
          </w:tcPr>
          <w:p w14:paraId="176E67BA" w14:textId="77777777" w:rsidR="006B0083" w:rsidRPr="00646C7F" w:rsidRDefault="006B0083" w:rsidP="002E5555">
            <w:pPr>
              <w:spacing w:line="480" w:lineRule="auto"/>
              <w:jc w:val="center"/>
              <w:rPr>
                <w:rFonts w:ascii="Times New Roman" w:hAnsi="Times New Roman" w:cs="Times New Roman"/>
                <w:sz w:val="20"/>
                <w:szCs w:val="20"/>
                <w:lang w:val="en-US"/>
              </w:rPr>
            </w:pPr>
            <w:r w:rsidRPr="00646C7F">
              <w:rPr>
                <w:rFonts w:ascii="Times New Roman" w:hAnsi="Times New Roman" w:cs="Times New Roman"/>
                <w:sz w:val="20"/>
                <w:szCs w:val="20"/>
                <w:lang w:val="en-US"/>
              </w:rPr>
              <w:t>Consent Forms: Care Homes</w:t>
            </w:r>
          </w:p>
        </w:tc>
        <w:tc>
          <w:tcPr>
            <w:tcW w:w="3240" w:type="dxa"/>
            <w:tcBorders>
              <w:bottom w:val="single" w:sz="4" w:space="0" w:color="000000" w:themeColor="text1"/>
            </w:tcBorders>
            <w:vAlign w:val="center"/>
          </w:tcPr>
          <w:p w14:paraId="018E1A73" w14:textId="77777777" w:rsidR="006B0083" w:rsidRPr="00C33556" w:rsidRDefault="006B0083" w:rsidP="00B655FD">
            <w:pPr>
              <w:jc w:val="center"/>
              <w:rPr>
                <w:rFonts w:ascii="Times New Roman" w:hAnsi="Times New Roman" w:cs="Times New Roman"/>
                <w:sz w:val="20"/>
                <w:szCs w:val="20"/>
                <w:lang w:val="en-US"/>
              </w:rPr>
            </w:pPr>
            <w:r w:rsidRPr="00C33556">
              <w:rPr>
                <w:rFonts w:ascii="Times New Roman" w:hAnsi="Times New Roman" w:cs="Times New Roman"/>
                <w:sz w:val="20"/>
                <w:szCs w:val="20"/>
                <w:lang w:val="en-US"/>
              </w:rPr>
              <w:t>Consent form for adults able to consent</w:t>
            </w:r>
          </w:p>
        </w:tc>
        <w:tc>
          <w:tcPr>
            <w:tcW w:w="2070" w:type="dxa"/>
            <w:tcBorders>
              <w:bottom w:val="single" w:sz="4" w:space="0" w:color="000000" w:themeColor="text1"/>
              <w:right w:val="single" w:sz="4" w:space="0" w:color="FFFFFF" w:themeColor="background1"/>
            </w:tcBorders>
            <w:vAlign w:val="center"/>
          </w:tcPr>
          <w:p w14:paraId="43995304" w14:textId="77777777" w:rsidR="006B0083" w:rsidRPr="00C33556" w:rsidRDefault="006B0083" w:rsidP="002E5555">
            <w:pPr>
              <w:spacing w:line="480" w:lineRule="auto"/>
              <w:jc w:val="center"/>
              <w:rPr>
                <w:rFonts w:ascii="Times New Roman" w:hAnsi="Times New Roman" w:cs="Times New Roman"/>
                <w:sz w:val="24"/>
                <w:szCs w:val="24"/>
                <w:lang w:val="en-US"/>
              </w:rPr>
            </w:pPr>
            <w:r w:rsidRPr="00C33556">
              <w:rPr>
                <w:rFonts w:ascii="Times New Roman" w:hAnsi="Times New Roman" w:cs="Times New Roman"/>
                <w:sz w:val="24"/>
                <w:szCs w:val="24"/>
                <w:lang w:val="en-US"/>
              </w:rPr>
              <w:t>†, ‡</w:t>
            </w:r>
          </w:p>
        </w:tc>
      </w:tr>
      <w:tr w:rsidR="00C33556" w:rsidRPr="00646C7F" w14:paraId="6DAB00FA" w14:textId="77777777" w:rsidTr="002E5555">
        <w:trPr>
          <w:trHeight w:val="183"/>
        </w:trPr>
        <w:tc>
          <w:tcPr>
            <w:tcW w:w="2150" w:type="dxa"/>
            <w:vMerge/>
            <w:tcBorders>
              <w:left w:val="single" w:sz="4" w:space="0" w:color="FFFFFF" w:themeColor="background1"/>
            </w:tcBorders>
            <w:vAlign w:val="center"/>
          </w:tcPr>
          <w:p w14:paraId="224B5A26" w14:textId="77777777" w:rsidR="006B0083" w:rsidRPr="00C33556" w:rsidRDefault="006B0083" w:rsidP="002E5555">
            <w:pPr>
              <w:spacing w:line="480" w:lineRule="auto"/>
              <w:jc w:val="center"/>
              <w:rPr>
                <w:rFonts w:ascii="Times New Roman" w:hAnsi="Times New Roman" w:cs="Times New Roman"/>
                <w:sz w:val="20"/>
                <w:szCs w:val="20"/>
                <w:lang w:val="en-US"/>
              </w:rPr>
            </w:pPr>
          </w:p>
        </w:tc>
        <w:tc>
          <w:tcPr>
            <w:tcW w:w="3240" w:type="dxa"/>
            <w:vAlign w:val="center"/>
          </w:tcPr>
          <w:p w14:paraId="3FCE2F8F" w14:textId="77777777" w:rsidR="006B0083" w:rsidRPr="00C33556" w:rsidRDefault="006B0083" w:rsidP="00B655FD">
            <w:pPr>
              <w:jc w:val="center"/>
              <w:rPr>
                <w:rFonts w:ascii="Times New Roman" w:hAnsi="Times New Roman" w:cs="Times New Roman"/>
                <w:sz w:val="20"/>
                <w:szCs w:val="20"/>
                <w:lang w:val="en-US"/>
              </w:rPr>
            </w:pPr>
            <w:r w:rsidRPr="00C33556">
              <w:rPr>
                <w:rFonts w:ascii="Times New Roman" w:hAnsi="Times New Roman" w:cs="Times New Roman"/>
                <w:sz w:val="20"/>
                <w:szCs w:val="20"/>
                <w:lang w:val="en-US"/>
              </w:rPr>
              <w:t>Consent form for Care Home resident able to consent</w:t>
            </w:r>
          </w:p>
        </w:tc>
        <w:tc>
          <w:tcPr>
            <w:tcW w:w="2070" w:type="dxa"/>
            <w:tcBorders>
              <w:top w:val="single" w:sz="4" w:space="0" w:color="000000" w:themeColor="text1"/>
              <w:bottom w:val="single" w:sz="4" w:space="0" w:color="000000" w:themeColor="text1"/>
              <w:right w:val="single" w:sz="4" w:space="0" w:color="FFFFFF" w:themeColor="background1"/>
            </w:tcBorders>
            <w:vAlign w:val="center"/>
          </w:tcPr>
          <w:p w14:paraId="64034CED" w14:textId="77777777" w:rsidR="006B0083" w:rsidRPr="00C33556" w:rsidRDefault="006B0083" w:rsidP="002E5555">
            <w:pPr>
              <w:spacing w:line="480" w:lineRule="auto"/>
              <w:jc w:val="center"/>
              <w:rPr>
                <w:rFonts w:ascii="Times New Roman" w:hAnsi="Times New Roman" w:cs="Times New Roman"/>
                <w:sz w:val="24"/>
                <w:szCs w:val="24"/>
                <w:lang w:val="en-US"/>
              </w:rPr>
            </w:pPr>
            <w:r w:rsidRPr="00C33556">
              <w:rPr>
                <w:rFonts w:ascii="Times New Roman" w:hAnsi="Times New Roman" w:cs="Times New Roman"/>
                <w:sz w:val="24"/>
                <w:szCs w:val="24"/>
                <w:lang w:val="en-US"/>
              </w:rPr>
              <w:t>†, ‡</w:t>
            </w:r>
          </w:p>
        </w:tc>
      </w:tr>
      <w:tr w:rsidR="00C33556" w:rsidRPr="00646C7F" w14:paraId="18890053" w14:textId="77777777" w:rsidTr="002E5555">
        <w:trPr>
          <w:trHeight w:val="183"/>
        </w:trPr>
        <w:tc>
          <w:tcPr>
            <w:tcW w:w="2150" w:type="dxa"/>
            <w:vMerge/>
            <w:tcBorders>
              <w:left w:val="single" w:sz="4" w:space="0" w:color="FFFFFF" w:themeColor="background1"/>
            </w:tcBorders>
            <w:vAlign w:val="center"/>
          </w:tcPr>
          <w:p w14:paraId="545171B4" w14:textId="77777777" w:rsidR="006B0083" w:rsidRPr="00C33556" w:rsidRDefault="006B0083" w:rsidP="002E5555">
            <w:pPr>
              <w:spacing w:line="480" w:lineRule="auto"/>
              <w:jc w:val="center"/>
              <w:rPr>
                <w:rFonts w:ascii="Times New Roman" w:hAnsi="Times New Roman" w:cs="Times New Roman"/>
                <w:sz w:val="20"/>
                <w:szCs w:val="20"/>
                <w:lang w:val="en-US"/>
              </w:rPr>
            </w:pPr>
          </w:p>
        </w:tc>
        <w:tc>
          <w:tcPr>
            <w:tcW w:w="3240" w:type="dxa"/>
            <w:vAlign w:val="center"/>
          </w:tcPr>
          <w:p w14:paraId="5383DC08" w14:textId="77777777" w:rsidR="006B0083" w:rsidRPr="00C33556" w:rsidRDefault="006B0083" w:rsidP="00B655FD">
            <w:pPr>
              <w:jc w:val="center"/>
              <w:rPr>
                <w:rFonts w:ascii="Times New Roman" w:hAnsi="Times New Roman" w:cs="Times New Roman"/>
                <w:sz w:val="20"/>
                <w:szCs w:val="20"/>
                <w:lang w:val="en-US"/>
              </w:rPr>
            </w:pPr>
            <w:r w:rsidRPr="00C33556">
              <w:rPr>
                <w:rFonts w:ascii="Times New Roman" w:hAnsi="Times New Roman" w:cs="Times New Roman"/>
                <w:sz w:val="20"/>
                <w:szCs w:val="20"/>
                <w:lang w:val="en-US"/>
              </w:rPr>
              <w:t>Consent form for the Attorney of a Care Home Resident unable to consent for themselves</w:t>
            </w:r>
          </w:p>
        </w:tc>
        <w:tc>
          <w:tcPr>
            <w:tcW w:w="2070" w:type="dxa"/>
            <w:tcBorders>
              <w:top w:val="single" w:sz="4" w:space="0" w:color="000000" w:themeColor="text1"/>
              <w:bottom w:val="single" w:sz="4" w:space="0" w:color="000000" w:themeColor="text1"/>
              <w:right w:val="single" w:sz="4" w:space="0" w:color="FFFFFF" w:themeColor="background1"/>
            </w:tcBorders>
            <w:vAlign w:val="center"/>
          </w:tcPr>
          <w:p w14:paraId="049D105A" w14:textId="5EDF88EF" w:rsidR="006B0083" w:rsidRPr="00C33556" w:rsidRDefault="006B0083" w:rsidP="002E5555">
            <w:pPr>
              <w:spacing w:line="480" w:lineRule="auto"/>
              <w:jc w:val="center"/>
              <w:rPr>
                <w:rFonts w:ascii="Times New Roman" w:hAnsi="Times New Roman" w:cs="Times New Roman"/>
                <w:sz w:val="24"/>
                <w:szCs w:val="24"/>
                <w:lang w:val="en-US"/>
              </w:rPr>
            </w:pPr>
            <w:r w:rsidRPr="00C33556">
              <w:rPr>
                <w:rFonts w:ascii="Times New Roman" w:hAnsi="Times New Roman" w:cs="Times New Roman"/>
                <w:sz w:val="24"/>
                <w:szCs w:val="24"/>
                <w:lang w:val="en-US"/>
              </w:rPr>
              <w:t>†</w:t>
            </w:r>
            <w:r w:rsidR="00680474" w:rsidRPr="00C33556">
              <w:rPr>
                <w:rFonts w:ascii="Times New Roman" w:hAnsi="Times New Roman" w:cs="Times New Roman"/>
                <w:sz w:val="24"/>
                <w:szCs w:val="24"/>
                <w:lang w:val="en-US"/>
              </w:rPr>
              <w:t>, ‡,</w:t>
            </w:r>
            <w:r w:rsidRPr="00C33556">
              <w:rPr>
                <w:rFonts w:ascii="Times New Roman" w:hAnsi="Times New Roman" w:cs="Times New Roman"/>
                <w:sz w:val="24"/>
                <w:szCs w:val="24"/>
                <w:lang w:val="en-US"/>
              </w:rPr>
              <w:t>§</w:t>
            </w:r>
          </w:p>
        </w:tc>
      </w:tr>
      <w:tr w:rsidR="00C33556" w:rsidRPr="00646C7F" w14:paraId="1000D55C" w14:textId="77777777" w:rsidTr="002E5555">
        <w:trPr>
          <w:trHeight w:val="183"/>
        </w:trPr>
        <w:tc>
          <w:tcPr>
            <w:tcW w:w="2150" w:type="dxa"/>
            <w:vMerge/>
            <w:tcBorders>
              <w:left w:val="single" w:sz="4" w:space="0" w:color="FFFFFF" w:themeColor="background1"/>
            </w:tcBorders>
            <w:vAlign w:val="center"/>
          </w:tcPr>
          <w:p w14:paraId="5ADE2965" w14:textId="77777777" w:rsidR="006B0083" w:rsidRPr="00C33556" w:rsidRDefault="006B0083" w:rsidP="002E5555">
            <w:pPr>
              <w:spacing w:line="480" w:lineRule="auto"/>
              <w:jc w:val="center"/>
              <w:rPr>
                <w:rFonts w:ascii="Times New Roman" w:hAnsi="Times New Roman" w:cs="Times New Roman"/>
                <w:sz w:val="20"/>
                <w:szCs w:val="20"/>
                <w:lang w:val="en-US"/>
              </w:rPr>
            </w:pPr>
          </w:p>
        </w:tc>
        <w:tc>
          <w:tcPr>
            <w:tcW w:w="3240" w:type="dxa"/>
            <w:tcBorders>
              <w:bottom w:val="single" w:sz="4" w:space="0" w:color="000000" w:themeColor="text1"/>
            </w:tcBorders>
            <w:vAlign w:val="center"/>
          </w:tcPr>
          <w:p w14:paraId="17E6FF34" w14:textId="77777777" w:rsidR="006B0083" w:rsidRPr="00C33556" w:rsidRDefault="006B0083" w:rsidP="00B655FD">
            <w:pPr>
              <w:jc w:val="center"/>
              <w:rPr>
                <w:rFonts w:ascii="Times New Roman" w:hAnsi="Times New Roman" w:cs="Times New Roman"/>
                <w:sz w:val="20"/>
                <w:szCs w:val="20"/>
                <w:lang w:val="en-US"/>
              </w:rPr>
            </w:pPr>
            <w:r w:rsidRPr="00C33556">
              <w:rPr>
                <w:rFonts w:ascii="Times New Roman" w:hAnsi="Times New Roman" w:cs="Times New Roman"/>
                <w:sz w:val="20"/>
                <w:szCs w:val="20"/>
                <w:lang w:val="en-US"/>
              </w:rPr>
              <w:t>Consent form for a Relative of a Care Home Resident unable to consent for themselves</w:t>
            </w:r>
          </w:p>
        </w:tc>
        <w:tc>
          <w:tcPr>
            <w:tcW w:w="2070" w:type="dxa"/>
            <w:tcBorders>
              <w:top w:val="single" w:sz="4" w:space="0" w:color="000000" w:themeColor="text1"/>
              <w:bottom w:val="single" w:sz="4" w:space="0" w:color="000000" w:themeColor="text1"/>
              <w:right w:val="single" w:sz="4" w:space="0" w:color="FFFFFF" w:themeColor="background1"/>
            </w:tcBorders>
            <w:vAlign w:val="center"/>
          </w:tcPr>
          <w:p w14:paraId="13D93CDE" w14:textId="74F89F57" w:rsidR="006B0083" w:rsidRPr="00C33556" w:rsidRDefault="006B0083" w:rsidP="002E5555">
            <w:pPr>
              <w:spacing w:line="480" w:lineRule="auto"/>
              <w:jc w:val="center"/>
              <w:rPr>
                <w:rFonts w:ascii="Times New Roman" w:hAnsi="Times New Roman" w:cs="Times New Roman"/>
                <w:sz w:val="24"/>
                <w:szCs w:val="24"/>
                <w:lang w:val="en-US"/>
              </w:rPr>
            </w:pPr>
            <w:r w:rsidRPr="00C33556">
              <w:rPr>
                <w:rFonts w:ascii="Times New Roman" w:hAnsi="Times New Roman" w:cs="Times New Roman"/>
                <w:sz w:val="24"/>
                <w:szCs w:val="24"/>
                <w:lang w:val="en-US"/>
              </w:rPr>
              <w:t>†,</w:t>
            </w:r>
            <w:r w:rsidR="00680474" w:rsidRPr="00C33556">
              <w:rPr>
                <w:rFonts w:ascii="Times New Roman" w:hAnsi="Times New Roman" w:cs="Times New Roman"/>
                <w:sz w:val="24"/>
                <w:szCs w:val="24"/>
                <w:lang w:val="en-US"/>
              </w:rPr>
              <w:t>‡,</w:t>
            </w:r>
            <w:r w:rsidRPr="00C33556">
              <w:rPr>
                <w:rFonts w:ascii="Times New Roman" w:hAnsi="Times New Roman" w:cs="Times New Roman"/>
                <w:sz w:val="24"/>
                <w:szCs w:val="24"/>
                <w:lang w:val="en-US"/>
              </w:rPr>
              <w:t xml:space="preserve"> ¶</w:t>
            </w:r>
          </w:p>
        </w:tc>
      </w:tr>
      <w:tr w:rsidR="00C33556" w:rsidRPr="00646C7F" w14:paraId="085ECBD8" w14:textId="77777777" w:rsidTr="002E5555">
        <w:trPr>
          <w:trHeight w:val="305"/>
        </w:trPr>
        <w:tc>
          <w:tcPr>
            <w:tcW w:w="2150" w:type="dxa"/>
            <w:vMerge w:val="restart"/>
            <w:tcBorders>
              <w:left w:val="single" w:sz="4" w:space="0" w:color="FFFFFF" w:themeColor="background1"/>
            </w:tcBorders>
            <w:vAlign w:val="center"/>
          </w:tcPr>
          <w:p w14:paraId="0B05F38E" w14:textId="77777777" w:rsidR="006B0083" w:rsidRPr="00C33556" w:rsidRDefault="006B0083" w:rsidP="00B655FD">
            <w:pPr>
              <w:jc w:val="center"/>
              <w:rPr>
                <w:rFonts w:ascii="Times New Roman" w:hAnsi="Times New Roman" w:cs="Times New Roman"/>
                <w:sz w:val="20"/>
                <w:szCs w:val="20"/>
                <w:lang w:val="en-US"/>
              </w:rPr>
            </w:pPr>
            <w:r w:rsidRPr="00C33556">
              <w:rPr>
                <w:rFonts w:ascii="Times New Roman" w:hAnsi="Times New Roman" w:cs="Times New Roman"/>
                <w:sz w:val="20"/>
                <w:szCs w:val="20"/>
                <w:lang w:val="en-US"/>
              </w:rPr>
              <w:t>Consent Forms: Health and Social Care Workers</w:t>
            </w:r>
          </w:p>
        </w:tc>
        <w:tc>
          <w:tcPr>
            <w:tcW w:w="3240" w:type="dxa"/>
            <w:tcBorders>
              <w:bottom w:val="single" w:sz="4" w:space="0" w:color="000000" w:themeColor="text1"/>
            </w:tcBorders>
            <w:vAlign w:val="center"/>
          </w:tcPr>
          <w:p w14:paraId="7E5D4CD9" w14:textId="77777777" w:rsidR="006B0083" w:rsidRPr="00C33556" w:rsidRDefault="006B0083" w:rsidP="00B655FD">
            <w:pPr>
              <w:jc w:val="center"/>
              <w:rPr>
                <w:rFonts w:ascii="Times New Roman" w:hAnsi="Times New Roman" w:cs="Times New Roman"/>
                <w:sz w:val="20"/>
                <w:szCs w:val="20"/>
                <w:lang w:val="en-US"/>
              </w:rPr>
            </w:pPr>
            <w:r w:rsidRPr="00C33556">
              <w:rPr>
                <w:rFonts w:ascii="Times New Roman" w:hAnsi="Times New Roman" w:cs="Times New Roman"/>
                <w:sz w:val="20"/>
                <w:szCs w:val="20"/>
                <w:lang w:val="en-US"/>
              </w:rPr>
              <w:t>Consent form for Frontline social care workers</w:t>
            </w:r>
          </w:p>
        </w:tc>
        <w:tc>
          <w:tcPr>
            <w:tcW w:w="2070" w:type="dxa"/>
            <w:tcBorders>
              <w:bottom w:val="single" w:sz="4" w:space="0" w:color="000000" w:themeColor="text1"/>
              <w:right w:val="single" w:sz="4" w:space="0" w:color="FFFFFF" w:themeColor="background1"/>
            </w:tcBorders>
            <w:vAlign w:val="center"/>
          </w:tcPr>
          <w:p w14:paraId="5C5A1EDC" w14:textId="77777777" w:rsidR="006B0083" w:rsidRPr="00C33556" w:rsidRDefault="006B0083" w:rsidP="002E5555">
            <w:pPr>
              <w:spacing w:line="480" w:lineRule="auto"/>
              <w:jc w:val="center"/>
              <w:rPr>
                <w:rFonts w:ascii="Times New Roman" w:hAnsi="Times New Roman" w:cs="Times New Roman"/>
                <w:sz w:val="24"/>
                <w:szCs w:val="24"/>
                <w:lang w:val="en-US"/>
              </w:rPr>
            </w:pPr>
            <w:r w:rsidRPr="00C33556">
              <w:rPr>
                <w:rFonts w:ascii="Times New Roman" w:hAnsi="Times New Roman" w:cs="Times New Roman"/>
                <w:sz w:val="24"/>
                <w:szCs w:val="24"/>
                <w:lang w:val="en-US"/>
              </w:rPr>
              <w:t>†, ‡</w:t>
            </w:r>
          </w:p>
        </w:tc>
      </w:tr>
      <w:tr w:rsidR="00C33556" w:rsidRPr="00646C7F" w14:paraId="23D940CA" w14:textId="77777777" w:rsidTr="002E5555">
        <w:trPr>
          <w:trHeight w:val="305"/>
        </w:trPr>
        <w:tc>
          <w:tcPr>
            <w:tcW w:w="2150" w:type="dxa"/>
            <w:vMerge/>
            <w:tcBorders>
              <w:left w:val="single" w:sz="4" w:space="0" w:color="FFFFFF" w:themeColor="background1"/>
            </w:tcBorders>
            <w:vAlign w:val="center"/>
          </w:tcPr>
          <w:p w14:paraId="37BEE2DA" w14:textId="77777777" w:rsidR="006B0083" w:rsidRPr="00C33556" w:rsidRDefault="006B0083" w:rsidP="002E5555">
            <w:pPr>
              <w:spacing w:line="480" w:lineRule="auto"/>
              <w:jc w:val="center"/>
              <w:rPr>
                <w:rFonts w:ascii="Times New Roman" w:hAnsi="Times New Roman" w:cs="Times New Roman"/>
                <w:sz w:val="20"/>
                <w:szCs w:val="20"/>
                <w:lang w:val="en-US"/>
              </w:rPr>
            </w:pPr>
          </w:p>
        </w:tc>
        <w:tc>
          <w:tcPr>
            <w:tcW w:w="3240" w:type="dxa"/>
            <w:vAlign w:val="center"/>
          </w:tcPr>
          <w:p w14:paraId="3111A6AE" w14:textId="77777777" w:rsidR="006B0083" w:rsidRPr="00C33556" w:rsidRDefault="006B0083" w:rsidP="00B655FD">
            <w:pPr>
              <w:jc w:val="center"/>
              <w:rPr>
                <w:rFonts w:ascii="Times New Roman" w:hAnsi="Times New Roman" w:cs="Times New Roman"/>
                <w:sz w:val="20"/>
                <w:szCs w:val="20"/>
                <w:lang w:val="en-US"/>
              </w:rPr>
            </w:pPr>
            <w:r w:rsidRPr="00C33556">
              <w:rPr>
                <w:rFonts w:ascii="Times New Roman" w:hAnsi="Times New Roman" w:cs="Times New Roman"/>
                <w:sz w:val="20"/>
                <w:szCs w:val="20"/>
                <w:lang w:val="en-US"/>
              </w:rPr>
              <w:t>Consent form for Healthcare workers</w:t>
            </w:r>
          </w:p>
        </w:tc>
        <w:tc>
          <w:tcPr>
            <w:tcW w:w="2070" w:type="dxa"/>
            <w:tcBorders>
              <w:top w:val="single" w:sz="4" w:space="0" w:color="000000" w:themeColor="text1"/>
              <w:bottom w:val="single" w:sz="4" w:space="0" w:color="000000" w:themeColor="text1"/>
              <w:right w:val="single" w:sz="4" w:space="0" w:color="FFFFFF" w:themeColor="background1"/>
            </w:tcBorders>
            <w:vAlign w:val="center"/>
          </w:tcPr>
          <w:p w14:paraId="0D3420C1" w14:textId="77777777" w:rsidR="006B0083" w:rsidRPr="00C33556" w:rsidRDefault="006B0083" w:rsidP="002E5555">
            <w:pPr>
              <w:spacing w:line="480" w:lineRule="auto"/>
              <w:jc w:val="center"/>
              <w:rPr>
                <w:rFonts w:ascii="Times New Roman" w:hAnsi="Times New Roman" w:cs="Times New Roman"/>
                <w:sz w:val="24"/>
                <w:szCs w:val="24"/>
                <w:lang w:val="en-US"/>
              </w:rPr>
            </w:pPr>
            <w:r w:rsidRPr="00C33556">
              <w:rPr>
                <w:rFonts w:ascii="Times New Roman" w:hAnsi="Times New Roman" w:cs="Times New Roman"/>
                <w:sz w:val="24"/>
                <w:szCs w:val="24"/>
                <w:lang w:val="en-US"/>
              </w:rPr>
              <w:t>†, ‡</w:t>
            </w:r>
          </w:p>
        </w:tc>
      </w:tr>
      <w:tr w:rsidR="00C33556" w:rsidRPr="00646C7F" w14:paraId="1DB46FE2" w14:textId="77777777" w:rsidTr="002E5555">
        <w:trPr>
          <w:trHeight w:val="305"/>
        </w:trPr>
        <w:tc>
          <w:tcPr>
            <w:tcW w:w="2150" w:type="dxa"/>
            <w:vMerge/>
            <w:tcBorders>
              <w:left w:val="single" w:sz="4" w:space="0" w:color="FFFFFF" w:themeColor="background1"/>
            </w:tcBorders>
            <w:vAlign w:val="center"/>
          </w:tcPr>
          <w:p w14:paraId="60975375" w14:textId="77777777" w:rsidR="006B0083" w:rsidRPr="00C33556" w:rsidRDefault="006B0083" w:rsidP="002E5555">
            <w:pPr>
              <w:spacing w:line="480" w:lineRule="auto"/>
              <w:jc w:val="center"/>
              <w:rPr>
                <w:rFonts w:ascii="Times New Roman" w:hAnsi="Times New Roman" w:cs="Times New Roman"/>
                <w:sz w:val="20"/>
                <w:szCs w:val="20"/>
                <w:lang w:val="en-US"/>
              </w:rPr>
            </w:pPr>
          </w:p>
        </w:tc>
        <w:tc>
          <w:tcPr>
            <w:tcW w:w="3240" w:type="dxa"/>
            <w:tcBorders>
              <w:bottom w:val="single" w:sz="4" w:space="0" w:color="000000" w:themeColor="text1"/>
            </w:tcBorders>
            <w:vAlign w:val="center"/>
          </w:tcPr>
          <w:p w14:paraId="286993AF" w14:textId="77777777" w:rsidR="006B0083" w:rsidRPr="00C33556" w:rsidRDefault="006B0083" w:rsidP="00B655FD">
            <w:pPr>
              <w:jc w:val="center"/>
              <w:rPr>
                <w:rFonts w:ascii="Times New Roman" w:hAnsi="Times New Roman" w:cs="Times New Roman"/>
                <w:sz w:val="20"/>
                <w:szCs w:val="20"/>
                <w:lang w:val="en-US"/>
              </w:rPr>
            </w:pPr>
            <w:r w:rsidRPr="00C33556">
              <w:rPr>
                <w:rFonts w:ascii="Times New Roman" w:hAnsi="Times New Roman" w:cs="Times New Roman"/>
                <w:sz w:val="20"/>
                <w:szCs w:val="20"/>
                <w:lang w:val="en-US"/>
              </w:rPr>
              <w:t>Consent form for Social care staff</w:t>
            </w:r>
          </w:p>
        </w:tc>
        <w:tc>
          <w:tcPr>
            <w:tcW w:w="2070" w:type="dxa"/>
            <w:tcBorders>
              <w:top w:val="single" w:sz="4" w:space="0" w:color="000000" w:themeColor="text1"/>
              <w:bottom w:val="single" w:sz="4" w:space="0" w:color="000000" w:themeColor="text1"/>
              <w:right w:val="single" w:sz="4" w:space="0" w:color="FFFFFF" w:themeColor="background1"/>
            </w:tcBorders>
            <w:vAlign w:val="center"/>
          </w:tcPr>
          <w:p w14:paraId="755374CA" w14:textId="77777777" w:rsidR="006B0083" w:rsidRPr="00C33556" w:rsidRDefault="006B0083" w:rsidP="002E5555">
            <w:pPr>
              <w:spacing w:line="480" w:lineRule="auto"/>
              <w:jc w:val="center"/>
              <w:rPr>
                <w:rFonts w:ascii="Times New Roman" w:hAnsi="Times New Roman" w:cs="Times New Roman"/>
                <w:sz w:val="24"/>
                <w:szCs w:val="24"/>
                <w:lang w:val="en-US"/>
              </w:rPr>
            </w:pPr>
            <w:r w:rsidRPr="00C33556">
              <w:rPr>
                <w:rFonts w:ascii="Times New Roman" w:hAnsi="Times New Roman" w:cs="Times New Roman"/>
                <w:sz w:val="24"/>
                <w:szCs w:val="24"/>
                <w:lang w:val="en-US"/>
              </w:rPr>
              <w:t>†, ‡</w:t>
            </w:r>
          </w:p>
        </w:tc>
      </w:tr>
      <w:tr w:rsidR="00C33556" w:rsidRPr="00646C7F" w14:paraId="34ECD75C" w14:textId="77777777" w:rsidTr="002E5555">
        <w:trPr>
          <w:trHeight w:val="278"/>
        </w:trPr>
        <w:tc>
          <w:tcPr>
            <w:tcW w:w="2150" w:type="dxa"/>
            <w:vMerge w:val="restart"/>
            <w:tcBorders>
              <w:left w:val="single" w:sz="4" w:space="0" w:color="FFFFFF" w:themeColor="background1"/>
            </w:tcBorders>
            <w:vAlign w:val="center"/>
          </w:tcPr>
          <w:p w14:paraId="2E34E661" w14:textId="77777777" w:rsidR="006B0083" w:rsidRPr="00C33556" w:rsidRDefault="006B0083" w:rsidP="00B655FD">
            <w:pPr>
              <w:jc w:val="center"/>
              <w:rPr>
                <w:rFonts w:ascii="Times New Roman" w:hAnsi="Times New Roman" w:cs="Times New Roman"/>
                <w:sz w:val="20"/>
                <w:szCs w:val="20"/>
                <w:lang w:val="en-US"/>
              </w:rPr>
            </w:pPr>
            <w:r w:rsidRPr="00C33556">
              <w:rPr>
                <w:rFonts w:ascii="Times New Roman" w:hAnsi="Times New Roman" w:cs="Times New Roman"/>
                <w:sz w:val="20"/>
                <w:szCs w:val="20"/>
                <w:lang w:val="en-US"/>
              </w:rPr>
              <w:t>Consent Forms: Housebound Patients</w:t>
            </w:r>
          </w:p>
        </w:tc>
        <w:tc>
          <w:tcPr>
            <w:tcW w:w="3240" w:type="dxa"/>
            <w:vAlign w:val="center"/>
          </w:tcPr>
          <w:p w14:paraId="3E76D056" w14:textId="77777777" w:rsidR="006B0083" w:rsidRPr="00C33556" w:rsidRDefault="006B0083" w:rsidP="00B655FD">
            <w:pPr>
              <w:jc w:val="center"/>
              <w:rPr>
                <w:rFonts w:ascii="Times New Roman" w:hAnsi="Times New Roman" w:cs="Times New Roman"/>
                <w:sz w:val="20"/>
                <w:szCs w:val="20"/>
                <w:lang w:val="en-GB"/>
              </w:rPr>
            </w:pPr>
            <w:r w:rsidRPr="00C33556">
              <w:rPr>
                <w:rFonts w:ascii="Times New Roman" w:hAnsi="Times New Roman" w:cs="Times New Roman"/>
                <w:sz w:val="20"/>
                <w:szCs w:val="20"/>
                <w:lang w:val="en-US"/>
              </w:rPr>
              <w:t>Consent form for the Attorney of a Housebound patient unable to consent for themselves</w:t>
            </w:r>
          </w:p>
        </w:tc>
        <w:tc>
          <w:tcPr>
            <w:tcW w:w="2070" w:type="dxa"/>
            <w:tcBorders>
              <w:bottom w:val="single" w:sz="4" w:space="0" w:color="000000" w:themeColor="text1"/>
              <w:right w:val="single" w:sz="4" w:space="0" w:color="FFFFFF" w:themeColor="background1"/>
            </w:tcBorders>
            <w:vAlign w:val="center"/>
          </w:tcPr>
          <w:p w14:paraId="6F233673" w14:textId="75BBB377" w:rsidR="006B0083" w:rsidRPr="00C33556" w:rsidRDefault="006B0083" w:rsidP="002E5555">
            <w:pPr>
              <w:spacing w:line="480" w:lineRule="auto"/>
              <w:jc w:val="center"/>
              <w:rPr>
                <w:rFonts w:ascii="Times New Roman" w:hAnsi="Times New Roman" w:cs="Times New Roman"/>
                <w:sz w:val="24"/>
                <w:szCs w:val="24"/>
                <w:lang w:val="en-US"/>
              </w:rPr>
            </w:pPr>
            <w:r w:rsidRPr="00C33556">
              <w:rPr>
                <w:rFonts w:ascii="Times New Roman" w:hAnsi="Times New Roman" w:cs="Times New Roman"/>
                <w:sz w:val="24"/>
                <w:szCs w:val="24"/>
                <w:lang w:val="en-US"/>
              </w:rPr>
              <w:t>†,</w:t>
            </w:r>
            <w:r w:rsidR="00680474" w:rsidRPr="00C33556">
              <w:rPr>
                <w:rFonts w:ascii="Times New Roman" w:hAnsi="Times New Roman" w:cs="Times New Roman"/>
                <w:sz w:val="24"/>
                <w:szCs w:val="24"/>
                <w:lang w:val="en-US"/>
              </w:rPr>
              <w:t>‡,</w:t>
            </w:r>
            <w:r w:rsidRPr="00C33556">
              <w:rPr>
                <w:rFonts w:ascii="Times New Roman" w:hAnsi="Times New Roman" w:cs="Times New Roman"/>
                <w:sz w:val="24"/>
                <w:szCs w:val="24"/>
                <w:lang w:val="en-US"/>
              </w:rPr>
              <w:t xml:space="preserve"> §</w:t>
            </w:r>
          </w:p>
        </w:tc>
      </w:tr>
      <w:tr w:rsidR="00C33556" w:rsidRPr="00646C7F" w14:paraId="7E4E8F70" w14:textId="77777777" w:rsidTr="002E5555">
        <w:trPr>
          <w:trHeight w:val="277"/>
        </w:trPr>
        <w:tc>
          <w:tcPr>
            <w:tcW w:w="2150" w:type="dxa"/>
            <w:vMerge/>
            <w:tcBorders>
              <w:left w:val="single" w:sz="4" w:space="0" w:color="FFFFFF" w:themeColor="background1"/>
            </w:tcBorders>
            <w:vAlign w:val="center"/>
          </w:tcPr>
          <w:p w14:paraId="7D0EA861" w14:textId="77777777" w:rsidR="006B0083" w:rsidRPr="00C33556" w:rsidRDefault="006B0083" w:rsidP="00B655FD">
            <w:pPr>
              <w:jc w:val="center"/>
              <w:rPr>
                <w:rFonts w:ascii="Times New Roman" w:hAnsi="Times New Roman" w:cs="Times New Roman"/>
                <w:sz w:val="24"/>
                <w:szCs w:val="24"/>
                <w:lang w:val="en-US"/>
              </w:rPr>
            </w:pPr>
          </w:p>
        </w:tc>
        <w:tc>
          <w:tcPr>
            <w:tcW w:w="3240" w:type="dxa"/>
            <w:vAlign w:val="center"/>
          </w:tcPr>
          <w:p w14:paraId="365E87C7" w14:textId="77777777" w:rsidR="006B0083" w:rsidRPr="00C33556" w:rsidRDefault="006B0083" w:rsidP="00B655FD">
            <w:pPr>
              <w:jc w:val="center"/>
              <w:rPr>
                <w:rFonts w:ascii="Times New Roman" w:hAnsi="Times New Roman" w:cs="Times New Roman"/>
                <w:sz w:val="20"/>
                <w:szCs w:val="20"/>
                <w:lang w:val="en-US"/>
              </w:rPr>
            </w:pPr>
            <w:r w:rsidRPr="00C33556">
              <w:rPr>
                <w:rFonts w:ascii="Times New Roman" w:hAnsi="Times New Roman" w:cs="Times New Roman"/>
                <w:sz w:val="20"/>
                <w:szCs w:val="20"/>
                <w:lang w:val="en-US"/>
              </w:rPr>
              <w:t>Consent form For a Relative of a Housebound patient unable to consent for themselves</w:t>
            </w:r>
          </w:p>
        </w:tc>
        <w:tc>
          <w:tcPr>
            <w:tcW w:w="2070" w:type="dxa"/>
            <w:tcBorders>
              <w:top w:val="single" w:sz="4" w:space="0" w:color="000000" w:themeColor="text1"/>
              <w:bottom w:val="single" w:sz="4" w:space="0" w:color="000000" w:themeColor="text1"/>
              <w:right w:val="single" w:sz="4" w:space="0" w:color="FFFFFF" w:themeColor="background1"/>
            </w:tcBorders>
            <w:vAlign w:val="center"/>
          </w:tcPr>
          <w:p w14:paraId="638B9E8E" w14:textId="185117FC" w:rsidR="006B0083" w:rsidRPr="00C33556" w:rsidRDefault="006B0083" w:rsidP="002E5555">
            <w:pPr>
              <w:spacing w:line="480" w:lineRule="auto"/>
              <w:jc w:val="center"/>
              <w:rPr>
                <w:rFonts w:ascii="Times New Roman" w:hAnsi="Times New Roman" w:cs="Times New Roman"/>
                <w:sz w:val="24"/>
                <w:szCs w:val="24"/>
                <w:lang w:val="en-US"/>
              </w:rPr>
            </w:pPr>
            <w:r w:rsidRPr="00C33556">
              <w:rPr>
                <w:rFonts w:ascii="Times New Roman" w:hAnsi="Times New Roman" w:cs="Times New Roman"/>
                <w:sz w:val="24"/>
                <w:szCs w:val="24"/>
                <w:lang w:val="en-US"/>
              </w:rPr>
              <w:t>†,</w:t>
            </w:r>
            <w:r w:rsidR="00680474" w:rsidRPr="00C33556">
              <w:rPr>
                <w:rFonts w:ascii="Times New Roman" w:hAnsi="Times New Roman" w:cs="Times New Roman"/>
                <w:sz w:val="24"/>
                <w:szCs w:val="24"/>
                <w:lang w:val="en-US"/>
              </w:rPr>
              <w:t>‡,</w:t>
            </w:r>
            <w:r w:rsidRPr="00C33556">
              <w:rPr>
                <w:rFonts w:ascii="Times New Roman" w:hAnsi="Times New Roman" w:cs="Times New Roman"/>
                <w:sz w:val="24"/>
                <w:szCs w:val="24"/>
                <w:lang w:val="en-US"/>
              </w:rPr>
              <w:t xml:space="preserve"> ¶</w:t>
            </w:r>
          </w:p>
        </w:tc>
      </w:tr>
      <w:tr w:rsidR="00C33556" w:rsidRPr="00646C7F" w14:paraId="668E280F" w14:textId="77777777" w:rsidTr="002E5555">
        <w:trPr>
          <w:trHeight w:val="277"/>
        </w:trPr>
        <w:tc>
          <w:tcPr>
            <w:tcW w:w="2150" w:type="dxa"/>
            <w:tcBorders>
              <w:left w:val="single" w:sz="4" w:space="0" w:color="FFFFFF" w:themeColor="background1"/>
            </w:tcBorders>
            <w:vAlign w:val="center"/>
          </w:tcPr>
          <w:p w14:paraId="26E1C46F" w14:textId="77777777" w:rsidR="006B0083" w:rsidRPr="00C33556" w:rsidRDefault="006B0083" w:rsidP="00B655FD">
            <w:pPr>
              <w:jc w:val="center"/>
              <w:rPr>
                <w:rFonts w:ascii="Times New Roman" w:hAnsi="Times New Roman" w:cs="Times New Roman"/>
                <w:sz w:val="20"/>
                <w:szCs w:val="20"/>
                <w:lang w:val="en-US"/>
              </w:rPr>
            </w:pPr>
            <w:r w:rsidRPr="00C33556">
              <w:rPr>
                <w:rFonts w:ascii="Times New Roman" w:hAnsi="Times New Roman" w:cs="Times New Roman"/>
                <w:sz w:val="20"/>
                <w:szCs w:val="20"/>
                <w:lang w:val="en-US"/>
              </w:rPr>
              <w:t>Easy-read consent form for adults</w:t>
            </w:r>
          </w:p>
        </w:tc>
        <w:tc>
          <w:tcPr>
            <w:tcW w:w="3240" w:type="dxa"/>
            <w:vAlign w:val="center"/>
          </w:tcPr>
          <w:p w14:paraId="3E399CD5" w14:textId="77777777" w:rsidR="006B0083" w:rsidRPr="00C33556" w:rsidRDefault="006B0083" w:rsidP="00B655FD">
            <w:pPr>
              <w:jc w:val="center"/>
              <w:rPr>
                <w:rFonts w:ascii="Times New Roman" w:hAnsi="Times New Roman" w:cs="Times New Roman"/>
                <w:sz w:val="20"/>
                <w:szCs w:val="20"/>
                <w:lang w:val="en-US"/>
              </w:rPr>
            </w:pPr>
            <w:r w:rsidRPr="00C33556">
              <w:rPr>
                <w:rFonts w:ascii="Times New Roman" w:hAnsi="Times New Roman" w:cs="Times New Roman"/>
                <w:sz w:val="20"/>
                <w:szCs w:val="20"/>
                <w:lang w:val="en-US"/>
              </w:rPr>
              <w:t>Easy-read COVID-19 vaccination consent form for adults who are able to consent.</w:t>
            </w:r>
          </w:p>
        </w:tc>
        <w:tc>
          <w:tcPr>
            <w:tcW w:w="2070" w:type="dxa"/>
            <w:tcBorders>
              <w:top w:val="single" w:sz="4" w:space="0" w:color="000000" w:themeColor="text1"/>
              <w:right w:val="single" w:sz="4" w:space="0" w:color="FFFFFF" w:themeColor="background1"/>
            </w:tcBorders>
            <w:vAlign w:val="center"/>
          </w:tcPr>
          <w:p w14:paraId="43426E4C" w14:textId="77777777" w:rsidR="006B0083" w:rsidRPr="00C33556" w:rsidRDefault="006B0083" w:rsidP="002E5555">
            <w:pPr>
              <w:spacing w:line="480" w:lineRule="auto"/>
              <w:jc w:val="center"/>
              <w:rPr>
                <w:rFonts w:ascii="Times New Roman" w:hAnsi="Times New Roman" w:cs="Times New Roman"/>
                <w:sz w:val="24"/>
                <w:szCs w:val="24"/>
                <w:lang w:val="en-US"/>
              </w:rPr>
            </w:pPr>
            <w:r w:rsidRPr="00C33556">
              <w:rPr>
                <w:rFonts w:ascii="Times New Roman" w:hAnsi="Times New Roman" w:cs="Times New Roman"/>
                <w:sz w:val="24"/>
                <w:szCs w:val="24"/>
                <w:lang w:val="en-US"/>
              </w:rPr>
              <w:t>†, ‡</w:t>
            </w:r>
          </w:p>
        </w:tc>
      </w:tr>
    </w:tbl>
    <w:p w14:paraId="76A3A81B" w14:textId="2EC9EA71" w:rsidR="006B0083" w:rsidRPr="00C33556" w:rsidRDefault="006B0083" w:rsidP="00B4639B">
      <w:pPr>
        <w:spacing w:after="0" w:line="240" w:lineRule="auto"/>
        <w:contextualSpacing/>
        <w:jc w:val="both"/>
        <w:rPr>
          <w:rFonts w:ascii="Times New Roman" w:hAnsi="Times New Roman" w:cs="Times New Roman"/>
          <w:sz w:val="20"/>
          <w:szCs w:val="20"/>
          <w:lang w:val="en-US"/>
        </w:rPr>
      </w:pPr>
      <w:r w:rsidRPr="00C33556">
        <w:rPr>
          <w:rFonts w:ascii="Times New Roman" w:hAnsi="Times New Roman" w:cs="Times New Roman"/>
          <w:sz w:val="20"/>
          <w:szCs w:val="20"/>
          <w:lang w:val="en-US"/>
        </w:rPr>
        <w:t xml:space="preserve">† </w:t>
      </w:r>
      <w:r w:rsidR="00B4639B" w:rsidRPr="00C33556">
        <w:rPr>
          <w:rFonts w:ascii="Times New Roman" w:hAnsi="Times New Roman" w:cs="Times New Roman"/>
          <w:sz w:val="20"/>
          <w:szCs w:val="20"/>
          <w:lang w:val="en-US"/>
        </w:rPr>
        <w:t xml:space="preserve">It presents a direction for the individual to receive detailed information for pregnant, planning pregnancy or breastfeeding, where the informative material suggests that pregnant women have Pfizer / </w:t>
      </w:r>
      <w:proofErr w:type="spellStart"/>
      <w:r w:rsidR="00B4639B" w:rsidRPr="00C33556">
        <w:rPr>
          <w:rFonts w:ascii="Times New Roman" w:hAnsi="Times New Roman" w:cs="Times New Roman"/>
          <w:sz w:val="20"/>
          <w:szCs w:val="20"/>
          <w:lang w:val="en-US"/>
        </w:rPr>
        <w:t>BioNTech</w:t>
      </w:r>
      <w:proofErr w:type="spellEnd"/>
      <w:r w:rsidR="00B4639B" w:rsidRPr="00C33556">
        <w:rPr>
          <w:rFonts w:ascii="Times New Roman" w:hAnsi="Times New Roman" w:cs="Times New Roman"/>
          <w:sz w:val="20"/>
          <w:szCs w:val="20"/>
          <w:lang w:val="en-US"/>
        </w:rPr>
        <w:t xml:space="preserve"> or </w:t>
      </w:r>
      <w:proofErr w:type="spellStart"/>
      <w:r w:rsidR="00B4639B" w:rsidRPr="00C33556">
        <w:rPr>
          <w:rFonts w:ascii="Times New Roman" w:hAnsi="Times New Roman" w:cs="Times New Roman"/>
          <w:sz w:val="20"/>
          <w:szCs w:val="20"/>
          <w:lang w:val="en-US"/>
        </w:rPr>
        <w:t>Moderna</w:t>
      </w:r>
      <w:proofErr w:type="spellEnd"/>
      <w:r w:rsidR="00B4639B" w:rsidRPr="00C33556">
        <w:rPr>
          <w:rFonts w:ascii="Times New Roman" w:hAnsi="Times New Roman" w:cs="Times New Roman"/>
          <w:sz w:val="20"/>
          <w:szCs w:val="20"/>
          <w:lang w:val="en-US"/>
        </w:rPr>
        <w:t xml:space="preserve"> vaccine, due to studies in these groups in other countries do not show important reactions.</w:t>
      </w:r>
    </w:p>
    <w:p w14:paraId="5F242C95" w14:textId="4F589CFA" w:rsidR="00B4639B" w:rsidRPr="00C33556" w:rsidRDefault="006B0083" w:rsidP="00B4639B">
      <w:pPr>
        <w:spacing w:line="240" w:lineRule="auto"/>
        <w:contextualSpacing/>
        <w:jc w:val="both"/>
        <w:rPr>
          <w:rFonts w:ascii="Times New Roman" w:hAnsi="Times New Roman" w:cs="Times New Roman"/>
          <w:sz w:val="20"/>
          <w:szCs w:val="20"/>
          <w:lang w:val="en-US"/>
        </w:rPr>
      </w:pPr>
      <w:r w:rsidRPr="00C33556">
        <w:rPr>
          <w:rFonts w:ascii="Times New Roman" w:hAnsi="Times New Roman" w:cs="Times New Roman"/>
          <w:sz w:val="20"/>
          <w:szCs w:val="20"/>
          <w:lang w:val="en-US"/>
        </w:rPr>
        <w:t xml:space="preserve">‡ </w:t>
      </w:r>
      <w:r w:rsidR="00680474" w:rsidRPr="00C33556">
        <w:rPr>
          <w:rFonts w:ascii="Times New Roman" w:hAnsi="Times New Roman" w:cs="Times New Roman"/>
          <w:sz w:val="20"/>
          <w:szCs w:val="20"/>
          <w:lang w:val="en-US"/>
        </w:rPr>
        <w:t>If the option is not to vaccinate, there is an invitation to inform the reason for the hesitation regarding vaccination.</w:t>
      </w:r>
    </w:p>
    <w:p w14:paraId="459F761A" w14:textId="4C0B6EB0" w:rsidR="006B0083" w:rsidRPr="00C33556" w:rsidRDefault="006B0083" w:rsidP="00B4639B">
      <w:pPr>
        <w:spacing w:line="240" w:lineRule="auto"/>
        <w:contextualSpacing/>
        <w:jc w:val="both"/>
        <w:rPr>
          <w:rFonts w:ascii="Times New Roman" w:hAnsi="Times New Roman" w:cs="Times New Roman"/>
          <w:sz w:val="20"/>
          <w:szCs w:val="20"/>
          <w:lang w:val="en-US"/>
        </w:rPr>
      </w:pPr>
      <w:r w:rsidRPr="00C33556">
        <w:rPr>
          <w:rFonts w:ascii="Times New Roman" w:hAnsi="Times New Roman" w:cs="Times New Roman"/>
          <w:sz w:val="20"/>
          <w:szCs w:val="20"/>
          <w:lang w:val="en-US"/>
        </w:rPr>
        <w:t xml:space="preserve">§ </w:t>
      </w:r>
      <w:r w:rsidR="008528AA" w:rsidRPr="00C33556">
        <w:rPr>
          <w:rFonts w:ascii="Times New Roman" w:hAnsi="Times New Roman" w:cs="Times New Roman"/>
          <w:sz w:val="20"/>
          <w:szCs w:val="20"/>
          <w:lang w:val="en-US"/>
        </w:rPr>
        <w:t>Who signs is the Attorney for Health and Welfare responsible for the individual who is unable to consent for themselves.</w:t>
      </w:r>
    </w:p>
    <w:p w14:paraId="11829472" w14:textId="603B2164" w:rsidR="006B0083" w:rsidRPr="00C33556" w:rsidRDefault="006B0083" w:rsidP="00B4639B">
      <w:pPr>
        <w:spacing w:line="240" w:lineRule="auto"/>
        <w:contextualSpacing/>
        <w:jc w:val="both"/>
        <w:rPr>
          <w:rFonts w:ascii="Times New Roman" w:hAnsi="Times New Roman" w:cs="Times New Roman"/>
          <w:sz w:val="20"/>
          <w:szCs w:val="20"/>
          <w:lang w:val="en-US"/>
        </w:rPr>
      </w:pPr>
      <w:r w:rsidRPr="00C33556">
        <w:rPr>
          <w:rFonts w:ascii="Times New Roman" w:hAnsi="Times New Roman" w:cs="Times New Roman"/>
          <w:sz w:val="20"/>
          <w:szCs w:val="20"/>
          <w:lang w:val="en-US"/>
        </w:rPr>
        <w:t xml:space="preserve"> ¶ </w:t>
      </w:r>
      <w:r w:rsidR="008528AA" w:rsidRPr="00C33556">
        <w:rPr>
          <w:rFonts w:ascii="Times New Roman" w:hAnsi="Times New Roman" w:cs="Times New Roman"/>
          <w:sz w:val="20"/>
          <w:szCs w:val="20"/>
          <w:lang w:val="en-US"/>
        </w:rPr>
        <w:t>Who signs is the Relative of a Care Home Resident unable to consent for themselves.</w:t>
      </w:r>
    </w:p>
    <w:bookmarkEnd w:id="6"/>
    <w:p w14:paraId="59859A73" w14:textId="6A8CC355" w:rsidR="006B0083" w:rsidRPr="00C33556" w:rsidRDefault="006B0083" w:rsidP="006B0083">
      <w:pPr>
        <w:spacing w:line="480" w:lineRule="auto"/>
        <w:ind w:firstLine="708"/>
        <w:jc w:val="both"/>
        <w:rPr>
          <w:rFonts w:ascii="Times New Roman" w:hAnsi="Times New Roman" w:cs="Times New Roman"/>
          <w:sz w:val="24"/>
          <w:szCs w:val="24"/>
          <w:lang w:val="en-US"/>
        </w:rPr>
      </w:pPr>
    </w:p>
    <w:p w14:paraId="352E8B77" w14:textId="08546E91" w:rsidR="00286E84" w:rsidRPr="00C33556" w:rsidRDefault="00B60265" w:rsidP="0046766A">
      <w:pPr>
        <w:spacing w:line="480" w:lineRule="auto"/>
        <w:ind w:firstLine="708"/>
        <w:jc w:val="both"/>
        <w:rPr>
          <w:rFonts w:ascii="Times New Roman" w:hAnsi="Times New Roman" w:cs="Times New Roman"/>
          <w:sz w:val="24"/>
          <w:szCs w:val="24"/>
          <w:lang w:val="en-US"/>
        </w:rPr>
      </w:pPr>
      <w:r w:rsidRPr="00C33556">
        <w:rPr>
          <w:rFonts w:ascii="Times New Roman" w:hAnsi="Times New Roman" w:cs="Times New Roman"/>
          <w:sz w:val="24"/>
          <w:szCs w:val="24"/>
          <w:lang w:val="en-US"/>
        </w:rPr>
        <w:t xml:space="preserve">According to Table 3, it is noted that to adequately comply with the precepts of Articles 3 and 6 </w:t>
      </w:r>
      <w:r w:rsidR="00E06BF1">
        <w:rPr>
          <w:rFonts w:ascii="Times New Roman" w:hAnsi="Times New Roman" w:cs="Times New Roman"/>
          <w:sz w:val="24"/>
          <w:szCs w:val="24"/>
          <w:lang w:val="en-US"/>
        </w:rPr>
        <w:t xml:space="preserve">of the </w:t>
      </w:r>
      <w:r w:rsidRPr="00C33556">
        <w:rPr>
          <w:rFonts w:ascii="Times New Roman" w:hAnsi="Times New Roman" w:cs="Times New Roman"/>
          <w:sz w:val="24"/>
          <w:szCs w:val="24"/>
          <w:lang w:val="en-US"/>
        </w:rPr>
        <w:t>UDBHR, the NHS has prepared a variety of consent forms, including even inclusive language and the possibility of the decision of consenting or not being carried out by a</w:t>
      </w:r>
      <w:r w:rsidR="00AE1E06" w:rsidRPr="00C33556">
        <w:rPr>
          <w:rFonts w:ascii="Times New Roman" w:hAnsi="Times New Roman" w:cs="Times New Roman"/>
          <w:sz w:val="24"/>
          <w:szCs w:val="24"/>
          <w:lang w:val="en-US"/>
        </w:rPr>
        <w:t>n</w:t>
      </w:r>
      <w:r w:rsidRPr="00C33556">
        <w:rPr>
          <w:rFonts w:ascii="Times New Roman" w:hAnsi="Times New Roman" w:cs="Times New Roman"/>
          <w:sz w:val="24"/>
          <w:szCs w:val="24"/>
          <w:lang w:val="en-US"/>
        </w:rPr>
        <w:t xml:space="preserve"> attorney for health and welfare or a relative of individuals unable to consent for themselves</w:t>
      </w:r>
      <w:r w:rsidR="00AE1E06" w:rsidRPr="00C33556">
        <w:rPr>
          <w:rFonts w:ascii="Times New Roman" w:hAnsi="Times New Roman" w:cs="Times New Roman"/>
          <w:sz w:val="24"/>
          <w:szCs w:val="24"/>
          <w:lang w:val="en-US"/>
        </w:rPr>
        <w:t>, which ensures compliance with Article 7 (Persons without the capacity to consent) of the UDBHR</w:t>
      </w:r>
      <w:r w:rsidR="00D46820" w:rsidRPr="00C33556">
        <w:rPr>
          <w:rFonts w:ascii="Times New Roman" w:hAnsi="Times New Roman" w:cs="Times New Roman"/>
          <w:sz w:val="24"/>
          <w:szCs w:val="24"/>
          <w:lang w:val="en-US"/>
        </w:rPr>
        <w:t xml:space="preserve">. </w:t>
      </w:r>
      <w:r w:rsidRPr="00C33556">
        <w:rPr>
          <w:rFonts w:ascii="Times New Roman" w:hAnsi="Times New Roman" w:cs="Times New Roman"/>
          <w:sz w:val="24"/>
          <w:szCs w:val="24"/>
          <w:lang w:val="en-US"/>
        </w:rPr>
        <w:t>(22–24)</w:t>
      </w:r>
      <w:r w:rsidR="00F46094" w:rsidRPr="00C33556">
        <w:rPr>
          <w:rFonts w:ascii="Times New Roman" w:hAnsi="Times New Roman" w:cs="Times New Roman"/>
          <w:sz w:val="24"/>
          <w:szCs w:val="24"/>
          <w:lang w:val="en-US"/>
        </w:rPr>
        <w:t xml:space="preserve"> Furthermore, special attention is given to pregnant, planning pregnancy or breastfeeding, since vaccines in their initial testing stages do not address these groups and, therefore, some adverse risks may still be unknown, which ensures compliance with article 8  </w:t>
      </w:r>
      <w:r w:rsidR="00E06BF1">
        <w:rPr>
          <w:rFonts w:ascii="Times New Roman" w:hAnsi="Times New Roman" w:cs="Times New Roman"/>
          <w:sz w:val="24"/>
          <w:szCs w:val="24"/>
          <w:lang w:val="en-US"/>
        </w:rPr>
        <w:t>(</w:t>
      </w:r>
      <w:r w:rsidR="00F46094" w:rsidRPr="00C33556">
        <w:rPr>
          <w:rFonts w:ascii="Times New Roman" w:hAnsi="Times New Roman" w:cs="Times New Roman"/>
          <w:sz w:val="24"/>
          <w:szCs w:val="24"/>
          <w:lang w:val="en-US"/>
        </w:rPr>
        <w:t xml:space="preserve"> Respect for human vulnerability and personal integrity) of the UDBHR</w:t>
      </w:r>
      <w:r w:rsidR="00F46094" w:rsidRPr="00C33556">
        <w:rPr>
          <w:rFonts w:ascii="Times New Roman" w:hAnsi="Times New Roman" w:cs="Times New Roman"/>
          <w:sz w:val="24"/>
          <w:szCs w:val="24"/>
          <w:shd w:val="clear" w:color="auto" w:fill="FFFFFF"/>
          <w:lang w:val="en-US"/>
        </w:rPr>
        <w:t>.</w:t>
      </w:r>
      <w:r w:rsidR="00F46094" w:rsidRPr="00C33556">
        <w:rPr>
          <w:rFonts w:ascii="Times New Roman" w:hAnsi="Times New Roman" w:cs="Times New Roman"/>
          <w:sz w:val="24"/>
          <w:szCs w:val="24"/>
          <w:lang w:val="en-US"/>
        </w:rPr>
        <w:t xml:space="preserve"> </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{"citationItems":[{"id":"ITEM-1","itemData":{"DOI":"10.3389/fimmu.2020.579250","ISSN":"1664-3224","PMID":"33123165","abstract":"There are currently around 200 SARS-CoV-2 candidate vaccines in preclinical and clinical trials throughout the world. The various candidates employ a range of vaccine strategies including some novel approaches. Currently, the goal is to prove that they are safe and immunogenic in humans (phase 1/2 studies) with several now advancing into phase 2 and 3 trials to demonstrate efficacy and gather comprehensive data on safety. It is highly likely that many vaccines will be shown to stimulate antibody and T cell responses in healthy individuals and have an acceptable safety profile, but the key will be to confirm that they protect against COVID-19. There is much hope that SARS-CoV-2 vaccines will be rolled out to the entire world to contain the pandemic and avert its most damaging impacts. However, in all likelihood this will initially require a targeted approach toward key vulnerable groups. Collaborative efforts are underway to ensure manufacturing can occur at the unprecedented scale and speed required to immunize billions of people. Ensuring deployment also occurs equitably across the globe will be critical. Careful evaluation and ongoing surveillance for safety will be required to address theoretical concerns regarding immune enhancement seen in previous contexts. Herein, we review the current knowledge about the immune response to this novel virus as it pertains to the design of effective and safe SARS-CoV-2 vaccines and the range of novel and established approaches to vaccine development being taken. We provide details of some of the frontrunner vaccines and discuss potential issues including adverse effects, scale-up and delivery.","author":[{"dropping-particle":"","family":"Flanagan","given":"Katie L.","non-dropping-particle":"","parse-names":false,"suffix":""},{"dropping-particle":"","family":"Best","given":"Emma","non-dropping-particle":"","parse-names":false,"suffix":""},{"dropping-particle":"","family":"Crawford","given":"Nigel W.","non-dropping-particle":"","parse-names":false,"suffix":""},{"dropping-particle":"","family":"Giles","given":"Michelle","non-dropping-particle":"","parse-names":false,"suffix":""},{"dropping-particle":"","family":"Koirala","given":"Archana","non-dropping-particle":"","parse-names":false,"suffix":""},{"dropping-particle":"","family":"Macartney","given":"Kristine","non-dropping-particle":"","parse-names":false,"suffix":""},{"dropping-particle":"","family":"Russell","given":"Fiona","non-dropping-particle":"","parse-names":false,"suffix":""},{"dropping-particle":"","family":"Teh","given":"Benjamin W.","non-dropping-particle":"","parse-names":false,"suffix":""},{"dropping-particle":"","family":"Wen","given":"Sophie CH","non-dropping-particle":"","parse-names":false,"suffix":""}],"container-title":"Frontiers in immunology","id":"ITEM-1","issued":{"date-parts":[["2020","10","2"]]},"page":"579250","title":"Progress and Pitfalls in the Quest for Effective SARS-CoV-2 (COVID-19) Vaccines.","type":"article-journal","volume":"11"},"uris":["http://www.mendeley.com/documents/?uuid=8c109a71-66ba-4b2b-a936-71e1321b8461"]}],"mendeley":{"formattedCitation":"(4)","plainTextFormattedCitation":"(4)","previouslyFormattedCitation":"(Flanagan et al. 2020)"},"properties":{"noteIndex":0},"schema":"https://github.com/citation-style-language/schema/raw/master/csl-citation.json"}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(4)</w:t>
      </w:r>
      <w:r w:rsidR="00331BD5">
        <w:rPr>
          <w:rStyle w:val="FootnoteReference"/>
          <w:rFonts w:ascii="Times New Roman" w:hAnsi="Times New Roman" w:cs="Times New Roman"/>
          <w:sz w:val="24"/>
          <w:szCs w:val="24"/>
        </w:rPr>
        <w:fldChar w:fldCharType="end"/>
      </w:r>
    </w:p>
    <w:p w14:paraId="1E991382" w14:textId="517F2943" w:rsidR="004B4C91" w:rsidRPr="00C33556" w:rsidRDefault="00094B1A" w:rsidP="00001BF6">
      <w:pPr>
        <w:spacing w:line="480" w:lineRule="auto"/>
        <w:ind w:firstLine="708"/>
        <w:jc w:val="both"/>
        <w:rPr>
          <w:rFonts w:ascii="Times New Roman" w:hAnsi="Times New Roman" w:cs="Times New Roman"/>
          <w:sz w:val="24"/>
          <w:szCs w:val="24"/>
          <w:lang w:val="en-US"/>
        </w:rPr>
      </w:pPr>
      <w:r w:rsidRPr="00C33556">
        <w:rPr>
          <w:rFonts w:ascii="Times New Roman" w:hAnsi="Times New Roman" w:cs="Times New Roman"/>
          <w:sz w:val="24"/>
          <w:szCs w:val="24"/>
          <w:lang w:val="en-US"/>
        </w:rPr>
        <w:lastRenderedPageBreak/>
        <w:t xml:space="preserve">In turn, the admission of surveillance </w:t>
      </w:r>
      <w:r w:rsidR="00A62CBC">
        <w:rPr>
          <w:rFonts w:ascii="Times New Roman" w:hAnsi="Times New Roman" w:cs="Times New Roman"/>
          <w:sz w:val="24"/>
          <w:szCs w:val="24"/>
          <w:lang w:val="en-US"/>
        </w:rPr>
        <w:t>is</w:t>
      </w:r>
      <w:r w:rsidRPr="00C33556">
        <w:rPr>
          <w:rFonts w:ascii="Times New Roman" w:hAnsi="Times New Roman" w:cs="Times New Roman"/>
          <w:sz w:val="24"/>
          <w:szCs w:val="24"/>
          <w:lang w:val="en-US"/>
        </w:rPr>
        <w:t xml:space="preserve"> a basic requirement for the emergency use of vaccines since the pre</w:t>
      </w:r>
      <w:r w:rsidR="00D82F71">
        <w:rPr>
          <w:rFonts w:ascii="Times New Roman" w:hAnsi="Times New Roman" w:cs="Times New Roman"/>
          <w:sz w:val="24"/>
          <w:szCs w:val="24"/>
          <w:lang w:val="en-US"/>
        </w:rPr>
        <w:t>-</w:t>
      </w:r>
      <w:r w:rsidRPr="00C33556">
        <w:rPr>
          <w:rFonts w:ascii="Times New Roman" w:hAnsi="Times New Roman" w:cs="Times New Roman"/>
          <w:sz w:val="24"/>
          <w:szCs w:val="24"/>
          <w:lang w:val="en-US"/>
        </w:rPr>
        <w:t xml:space="preserve">clinical and clinical testing stages, can contribute to autonomy as it could provide important data regarding potential adverse effects and safety, improving the feeling of confidence </w:t>
      </w:r>
      <w:r w:rsidR="00792CF1" w:rsidRPr="00C33556">
        <w:rPr>
          <w:rFonts w:ascii="Times New Roman" w:hAnsi="Times New Roman" w:cs="Times New Roman"/>
          <w:sz w:val="24"/>
          <w:szCs w:val="24"/>
          <w:lang w:val="en-US"/>
        </w:rPr>
        <w:t>of individual</w:t>
      </w:r>
      <w:r w:rsidRPr="00C33556">
        <w:rPr>
          <w:rFonts w:ascii="Times New Roman" w:hAnsi="Times New Roman" w:cs="Times New Roman"/>
          <w:sz w:val="24"/>
          <w:szCs w:val="24"/>
          <w:lang w:val="en-US"/>
        </w:rPr>
        <w:t xml:space="preserve"> </w:t>
      </w:r>
      <w:r w:rsidR="00792CF1" w:rsidRPr="00C33556">
        <w:rPr>
          <w:rFonts w:ascii="Times New Roman" w:hAnsi="Times New Roman" w:cs="Times New Roman"/>
          <w:sz w:val="24"/>
          <w:szCs w:val="24"/>
          <w:lang w:val="en-US"/>
        </w:rPr>
        <w:t>and community</w:t>
      </w:r>
      <w:r w:rsidRPr="00C33556">
        <w:rPr>
          <w:rFonts w:ascii="Times New Roman" w:hAnsi="Times New Roman" w:cs="Times New Roman"/>
          <w:sz w:val="24"/>
          <w:szCs w:val="24"/>
          <w:lang w:val="en-US"/>
        </w:rPr>
        <w:t xml:space="preserve"> in vaccines, which could result in increased adherence to the immunization plan and combat vaccine hesitation.</w:t>
      </w:r>
      <w:r w:rsidR="0043020E" w:rsidRPr="00C33556">
        <w:rPr>
          <w:rFonts w:ascii="Times New Roman" w:hAnsi="Times New Roman" w:cs="Times New Roman"/>
          <w:sz w:val="24"/>
          <w:szCs w:val="24"/>
          <w:lang w:val="en-US"/>
        </w:rPr>
        <w:t xml:space="preserve"> </w:t>
      </w:r>
      <w:r w:rsidR="00DA199D" w:rsidRPr="00C33556">
        <w:rPr>
          <w:rFonts w:ascii="Times New Roman" w:hAnsi="Times New Roman" w:cs="Times New Roman"/>
          <w:sz w:val="24"/>
          <w:szCs w:val="24"/>
          <w:lang w:val="en-US"/>
        </w:rPr>
        <w:t>In addition, the large availability of vaccine candidates, which have different development platforms, suggests that the identification of an adverse effect on a given vaccine on a given platform would not imply the impossibility of being vaccinated, but it would mean that the individual or a certain group of individuals prone to such adversity should be immunized with another vaccine with a different platform and that has not had such an adverse reaction.</w:t>
      </w:r>
    </w:p>
    <w:p w14:paraId="7959A6DC" w14:textId="48C526E4" w:rsidR="00807E58" w:rsidRPr="00C33556" w:rsidRDefault="00A77A5C" w:rsidP="00AB456F">
      <w:pPr>
        <w:spacing w:line="480" w:lineRule="auto"/>
        <w:ind w:firstLine="708"/>
        <w:jc w:val="both"/>
        <w:rPr>
          <w:rFonts w:ascii="Times New Roman" w:hAnsi="Times New Roman" w:cs="Times New Roman"/>
          <w:b/>
          <w:bCs/>
          <w:sz w:val="24"/>
          <w:szCs w:val="24"/>
          <w:lang w:val="en-US"/>
        </w:rPr>
      </w:pPr>
      <w:r w:rsidRPr="00C33556">
        <w:rPr>
          <w:rFonts w:ascii="Times New Roman" w:hAnsi="Times New Roman" w:cs="Times New Roman"/>
          <w:b/>
          <w:bCs/>
          <w:sz w:val="24"/>
          <w:szCs w:val="24"/>
          <w:lang w:val="en-US"/>
        </w:rPr>
        <w:t xml:space="preserve">Non-maleficence </w:t>
      </w:r>
      <w:bookmarkStart w:id="7" w:name="_Hlk72870044"/>
      <w:r w:rsidRPr="00C33556">
        <w:rPr>
          <w:rFonts w:ascii="Times New Roman" w:hAnsi="Times New Roman" w:cs="Times New Roman"/>
          <w:b/>
          <w:bCs/>
          <w:sz w:val="24"/>
          <w:szCs w:val="24"/>
          <w:lang w:val="en-US"/>
        </w:rPr>
        <w:t>in the context of emergency use of COVID-19 vaccines</w:t>
      </w:r>
      <w:bookmarkEnd w:id="7"/>
    </w:p>
    <w:p w14:paraId="5714399D" w14:textId="61681E24" w:rsidR="00940E07" w:rsidRPr="00C33556" w:rsidRDefault="00743711" w:rsidP="0050152E">
      <w:pPr>
        <w:spacing w:line="480" w:lineRule="auto"/>
        <w:ind w:firstLine="708"/>
        <w:jc w:val="both"/>
        <w:rPr>
          <w:rFonts w:ascii="Times New Roman" w:hAnsi="Times New Roman" w:cs="Times New Roman"/>
          <w:sz w:val="24"/>
          <w:szCs w:val="24"/>
          <w:lang w:val="en-US"/>
        </w:rPr>
      </w:pPr>
      <w:r w:rsidRPr="00C33556">
        <w:rPr>
          <w:rFonts w:ascii="Times New Roman" w:hAnsi="Times New Roman" w:cs="Times New Roman"/>
          <w:sz w:val="24"/>
          <w:szCs w:val="24"/>
          <w:lang w:val="en-US"/>
        </w:rPr>
        <w:t>The COVID-19 pandemic as a global humanitarian crisis involves intricate ethical dilemmas such as reaching a balance between not causing harm or non-maleficence and bringing a benefit to others, or beneficence</w:t>
      </w:r>
      <w:r w:rsidR="00027BF0" w:rsidRPr="00C33556">
        <w:rPr>
          <w:rFonts w:ascii="Times New Roman" w:hAnsi="Times New Roman" w:cs="Times New Roman"/>
          <w:sz w:val="24"/>
          <w:szCs w:val="24"/>
          <w:lang w:val="en-US"/>
        </w:rPr>
        <w:t>.</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{"citationItems":[{"id":"ITEM-1","itemData":{"DOI":"10.20529/IJME.2020.122","ISSN":"09748466","abstract":"Large-scale vaccination with a safe and effective vaccine against Covid-19 is the only way to conquer the ongoing lethal pandemic that has led to extraordinary social and economic upheaval globally. Fortunately, the world is on the verge of developing Covid-19 vaccines in an unprecedentedly short time. More than forty vaccines are in different stages of clinical trials, and a few are in the crucial phase III studies stage. A new demand for emergency use authorisation and rapid deployment of these vaccines before scrutinising phase III trial data is raging in different quarters. Can advancement of the deployment of these vaccines by even a few weeks give us rich public health dividends? Would it be ethical to deploy these novel vaccines based only on the safety and immunogenicity data generated by the phase-I and II clinical trials? Would it be ethical to deny vaccination of vulnerable populations against an untreatable infectious disease despite the availability of reasonably safe and efficacious vaccines for the want of phase III trial data? The answer is not straightforward, as there are many complexities involved. This commentary attempts to discuss some ethical issues involved in a decision to deploy Covid-19 vaccination before phase III trial results are declared.","author":[{"dropping-particle":"","family":"Vashishtha","given":"Vipin M","non-dropping-particle":"","parse-names":false,"suffix":""},{"dropping-particle":"","family":"Kumar","given":"Puneet","non-dropping-particle":"","parse-names":false,"suffix":""}],"container-title":"Indian Journal of Medical Ethics","id":"ITEM-1","issue":"01","issued":{"date-parts":[["2021","2","16"]]},"page":"20-22","title":"Emergency use authorisation of Covid-19 vaccines:An ethical conundrum","type":"article-journal","volume":"06"},"uris":["http://www.mendeley.com/documents/?uuid=ff957a72-6062-499a-a178-8ac342767c6c"]},{"id":"ITEM-2","itemData":{"DOI":"10.1007/978-3-319-09483-0_432","author":[{"dropping-particle":"","family":"Afolabi","given":"Michael O. S.","non-dropping-particle":"","parse-names":false,"suffix":""}],"container-title":"Encyclopedia of Global Bioethics","id":"ITEM-2","issued":{"date-parts":[["2016"]]},"page":"2911-2918","publisher":"Springer International Publishing","publisher-place":"Cham","title":"Vaccination","type":"chapter"},"uris":["http://www.mendeley.com/documents/?uuid=57c3f4e6-ab5b-411e-a0a5-f4da9072ac1b"]},{"id":"ITEM-3","itemData":{"DOI":"10.1016/j.cca.2020.08.003","ISSN":"00098981","author":[{"dropping-particle":"","family":"Bowen","given":"Raffick A.R.","non-dropping-particle":"","parse-names":false,"suffix":""}],"container-title":"Clinica Chimica Acta","id":"ITEM-3","issued":{"date-parts":[["2020","11"]]},"page":"421-422","title":"Ethical and organizational considerations for mandatory COVID-19 vaccination of health care workers: A clinical laboratorian's perspective","type":"article-journal","volume":"510"},"uris":["http://www.mendeley.com/documents/?uuid=7ba69389-154f-46cd-bd04-7fc6e2df5dbb"]},{"id":"ITEM-4","itemData":{"DOI":"10.1111/ijcp.14015","ISSN":"1742-1241","PMID":"33998757","author":[{"dropping-particle":"","family":"Law","given":"Lawrence Siu-Chun","non-dropping-particle":"","parse-names":false,"suffix":""},{"dropping-particle":"","family":"Lo","given":"Elaine Ah-Gi","non-dropping-particle":"","parse-names":false,"suffix":""}],"container-title":"International journal of clinical practice","id":"ITEM-4","issue":"6","issued":{"date-parts":[["2021","6"]]},"page":"e14015","title":"Counselling for COVID-19 vaccine is necessary: Balancing the autonomy, beneficence and non-maleficence in the context of accelerating vaccine development.","type":"article-journal","volume":"75"},"uris":["http://www.mendeley.com/documents/?uuid=150c1b9a-1369-491b-b515-926ce441e40a"]},{"id":"ITEM-5","itemData":{"DOI":"10.2471/BLT.12.113480","ISSN":"0042-9686","author":[{"dropping-particle":"","family":"Moodley","given":"Keymanthri","non-dropping-particle":"","parse-names":false,"suffix":""},{"dropping-particle":"","family":"Hardie","given":"Kate","non-dropping-particle":"","parse-names":false,"suffix":""},{"dropping-particle":"","family":"Selgelid","given":"Michael J","non-dropping-particle":"","parse-names":false,"suffix":""},{"dropping-particle":"","family":"Waldman","given":"Ronald J","non-dropping-particle":"","parse-names":false,"suffix":""},{"dropping-particle":"","family":"Strebel","given":"Peter","non-dropping-particle":"","parse-names":false,"suffix":""},{"dropping-particle":"","family":"Rees","given":"Helen","non-dropping-particle":"","parse-names":false,"suffix":""},{"dropping-particle":"","family":"Durrheim","given":"David N","non-dropping-particle":"","parse-names":false,"suffix":""}],"container-title":"Bulletin of the World Health Organization","id":"ITEM-5","issue":"4","issued":{"date-parts":[["2013","4","1"]]},"page":"290-297","title":"Ethical considerations for vaccination programmes in acute humanitarian emergencies","type":"article-journal","volume":"91"},"uris":["http://www.mendeley.com/documents/?uuid=8ff7ec1f-bea9-4f95-810a-25f2567cc3a5"]}],"mendeley":{"formattedCitation":"(5,6,21,26,27)","plainTextFormattedCitation":"(5,6,21,26,27)","previouslyFormattedCitation":"(Vashishtha and Kumar 2021; Afolabi 2016; Bowen 2020; Law and Lo 2021; Moodley et al. 2013)"},"properties":{"noteIndex":0},"schema":"https://github.com/citation-style-language/schema/raw/master/csl-citation.json"}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(5,6,21,26,27)</w:t>
      </w:r>
      <w:r w:rsidR="00331BD5">
        <w:rPr>
          <w:rStyle w:val="FootnoteReference"/>
          <w:rFonts w:ascii="Times New Roman" w:hAnsi="Times New Roman" w:cs="Times New Roman"/>
          <w:sz w:val="24"/>
          <w:szCs w:val="24"/>
        </w:rPr>
        <w:fldChar w:fldCharType="end"/>
      </w:r>
      <w:r w:rsidR="00027BF0" w:rsidRPr="00C33556">
        <w:rPr>
          <w:rFonts w:ascii="Times New Roman" w:hAnsi="Times New Roman" w:cs="Times New Roman"/>
          <w:sz w:val="24"/>
          <w:szCs w:val="24"/>
          <w:lang w:val="en-US"/>
        </w:rPr>
        <w:t xml:space="preserve"> </w:t>
      </w:r>
      <w:r w:rsidR="006A1CCE" w:rsidRPr="00C33556">
        <w:rPr>
          <w:rFonts w:ascii="Times New Roman" w:hAnsi="Times New Roman" w:cs="Times New Roman"/>
          <w:sz w:val="24"/>
          <w:szCs w:val="24"/>
          <w:lang w:val="en-US"/>
        </w:rPr>
        <w:t xml:space="preserve">In this sense, as suggested by both </w:t>
      </w:r>
      <w:proofErr w:type="spellStart"/>
      <w:r w:rsidR="006A1CCE" w:rsidRPr="00C33556">
        <w:rPr>
          <w:rFonts w:ascii="Times New Roman" w:hAnsi="Times New Roman" w:cs="Times New Roman"/>
          <w:sz w:val="24"/>
          <w:szCs w:val="24"/>
          <w:lang w:val="en-US"/>
        </w:rPr>
        <w:t>Vashishtha</w:t>
      </w:r>
      <w:proofErr w:type="spellEnd"/>
      <w:r w:rsidR="006A1CCE" w:rsidRPr="00C33556">
        <w:rPr>
          <w:rFonts w:ascii="Times New Roman" w:hAnsi="Times New Roman" w:cs="Times New Roman"/>
          <w:sz w:val="24"/>
          <w:szCs w:val="24"/>
          <w:lang w:val="en-US"/>
        </w:rPr>
        <w:t xml:space="preserve"> and,  Kumar and Law and Lo, in the current </w:t>
      </w:r>
      <w:proofErr w:type="spellStart"/>
      <w:r w:rsidR="006A1CCE" w:rsidRPr="00C33556">
        <w:rPr>
          <w:rFonts w:ascii="Times New Roman" w:hAnsi="Times New Roman" w:cs="Times New Roman"/>
          <w:sz w:val="24"/>
          <w:szCs w:val="24"/>
          <w:lang w:val="en-US"/>
        </w:rPr>
        <w:t>stage</w:t>
      </w:r>
      <w:proofErr w:type="spellEnd"/>
      <w:r w:rsidR="006A1CCE" w:rsidRPr="00C33556">
        <w:rPr>
          <w:rFonts w:ascii="Times New Roman" w:hAnsi="Times New Roman" w:cs="Times New Roman"/>
          <w:sz w:val="24"/>
          <w:szCs w:val="24"/>
          <w:lang w:val="en-US"/>
        </w:rPr>
        <w:t xml:space="preserve"> of emergency use of COVID-19 vaccines, it is not possible to admit that the principle of non-maleficence is fully satisfied, given that, issues such as</w:t>
      </w:r>
      <w:r w:rsidR="00F24B12">
        <w:rPr>
          <w:rFonts w:ascii="Times New Roman" w:hAnsi="Times New Roman" w:cs="Times New Roman"/>
          <w:sz w:val="24"/>
          <w:szCs w:val="24"/>
          <w:lang w:val="en-US"/>
        </w:rPr>
        <w:t>:</w:t>
      </w:r>
      <w:r w:rsidR="006A1CCE" w:rsidRPr="00C33556">
        <w:rPr>
          <w:rFonts w:ascii="Times New Roman" w:hAnsi="Times New Roman" w:cs="Times New Roman"/>
          <w:sz w:val="24"/>
          <w:szCs w:val="24"/>
          <w:lang w:val="en-US"/>
        </w:rPr>
        <w:t xml:space="preserve"> </w:t>
      </w:r>
      <w:r w:rsidR="00F24B12">
        <w:rPr>
          <w:rFonts w:ascii="Times New Roman" w:hAnsi="Times New Roman" w:cs="Times New Roman"/>
          <w:sz w:val="24"/>
          <w:szCs w:val="24"/>
          <w:lang w:val="en-US"/>
        </w:rPr>
        <w:t>a</w:t>
      </w:r>
      <w:r w:rsidR="006A1CCE" w:rsidRPr="00C33556">
        <w:rPr>
          <w:rFonts w:ascii="Times New Roman" w:hAnsi="Times New Roman" w:cs="Times New Roman"/>
          <w:sz w:val="24"/>
          <w:szCs w:val="24"/>
          <w:lang w:val="en-US"/>
        </w:rPr>
        <w:t xml:space="preserve">dverse effects may be unknown, the large number of COVID-19 vaccines carries the risk of different adverse effects for each vaccine development platform, and messenger RNA-based vaccine platforms have </w:t>
      </w:r>
      <w:r w:rsidR="00F24B12">
        <w:rPr>
          <w:rFonts w:ascii="Times New Roman" w:hAnsi="Times New Roman" w:cs="Times New Roman"/>
          <w:sz w:val="24"/>
          <w:szCs w:val="24"/>
          <w:lang w:val="en-US"/>
        </w:rPr>
        <w:t xml:space="preserve">not </w:t>
      </w:r>
      <w:r w:rsidR="006A1CCE" w:rsidRPr="00C33556">
        <w:rPr>
          <w:rFonts w:ascii="Times New Roman" w:hAnsi="Times New Roman" w:cs="Times New Roman"/>
          <w:sz w:val="24"/>
          <w:szCs w:val="24"/>
          <w:lang w:val="en-US"/>
        </w:rPr>
        <w:t>previously been approved for use in humans.</w:t>
      </w:r>
      <w:r w:rsidR="00331BD5">
        <w:rPr>
          <w:rStyle w:val="FootnoteReference"/>
          <w:rFonts w:ascii="Times New Roman" w:hAnsi="Times New Roman" w:cs="Times New Roman"/>
          <w:sz w:val="24"/>
          <w:szCs w:val="24"/>
          <w:lang w:val="en-US"/>
        </w:rPr>
        <w:fldChar w:fldCharType="begin" w:fldLock="1"/>
      </w:r>
      <w:r w:rsidR="0036604F">
        <w:rPr>
          <w:rFonts w:ascii="Times New Roman" w:hAnsi="Times New Roman" w:cs="Times New Roman"/>
          <w:sz w:val="24"/>
          <w:szCs w:val="24"/>
          <w:lang w:val="en-US"/>
        </w:rPr>
        <w:instrText>ADDIN CSL_CITATION {"citationItems":[{"id":"ITEM-1","itemData":{"DOI":"10.1111/ijcp.14015","ISSN":"1742-1241","PMID":"33998757","author":[{"dropping-particle":"","family":"Law","given":"Lawrence Siu-Chun","non-dropping-particle":"","parse-names":false,"suffix":""},{"dropping-particle":"","family":"Lo","given":"Elaine Ah-Gi","non-dropping-particle":"","parse-names":false,"suffix":""}],"container-title":"International journal of clinical practice","id":"ITEM-1","issue":"6","issued":{"date-parts":[["2021","6"]]},"page":"e14015","title":"Counselling for COVID-19 vaccine is necessary: Balancing the autonomy, beneficence and non-maleficence in the context of accelerating vaccine development.","type":"article-journal","volume":"75"},"uris":["http://www.mendeley.com/documents/?uuid=150c1b9a-1369-491b-b515-926ce441e40a"]},{"id":"ITEM-2","itemData":{"DOI":"10.20529/IJME.2020.122","ISSN":"09748466","abstract":"Large-scale vaccination with a safe and effective vaccine against Covid-19 is the only way to conquer the ongoing lethal pandemic that has led to extraordinary social and economic upheaval globally. Fortunately, the world is on the verge of developing Covid-19 vaccines in an unprecedentedly short time. More than forty vaccines are in different stages of clinical trials, and a few are in the crucial phase III studies stage. A new demand for emergency use authorisation and rapid deployment of these vaccines before scrutinising phase III trial data is raging in different quarters. Can advancement of the deployment of these vaccines by even a few weeks give us rich public health dividends? Would it be ethical to deploy these novel vaccines based only on the safety and immunogenicity data generated by the phase-I and II clinical trials? Would it be ethical to deny vaccination of vulnerable populations against an untreatable infectious disease despite the availability of reasonably safe and efficacious vaccines for the want of phase III trial data? The answer is not straightforward, as there are many complexities involved. This commentary attempts to discuss some ethical issues involved in a decision to deploy Covid-19 vaccination before phase III trial results are declared.","author":[{"dropping-particle":"","family":"Vashishtha","given":"Vipin M","non-dropping-particle":"","parse-names":false,"suffix":""},{"dropping-particle":"","family":"Kumar","given":"Puneet","non-dropping-particle":"","parse-names":false,"suffix":""}],"container-title":"Indian Journal of Medical Ethics","id":"ITEM-2","issue":"01","issued":{"date-parts":[["2021","2","16"]]},"page":"20-22","title":"Emergency use authorisation of Covid-19 vaccines:An ethical conundrum","type":"article-journal","volume":"06"},"uris":["http://www.mendeley.com/documents/?uuid=ff957a72-6062-499a-a178-8ac342767c6c"]}],"mendeley":{"formattedCitation":"(6,26)","plainTextFormattedCitation":"(6,26)","previouslyFormattedCitation":"(Law and Lo 2021; Vashishtha and Kumar 2021)"},"properties":{"noteIndex":0},"schema":"https://github.com/citation-style-language/schema/raw/master/csl-citation.json"}</w:instrText>
      </w:r>
      <w:r w:rsidR="00331BD5">
        <w:rPr>
          <w:rStyle w:val="FootnoteReference"/>
          <w:rFonts w:ascii="Times New Roman" w:hAnsi="Times New Roman" w:cs="Times New Roman"/>
          <w:sz w:val="24"/>
          <w:szCs w:val="24"/>
          <w:lang w:val="en-US"/>
        </w:rPr>
        <w:fldChar w:fldCharType="separate"/>
      </w:r>
      <w:r w:rsidR="0036604F" w:rsidRPr="0036604F">
        <w:rPr>
          <w:rFonts w:ascii="Times New Roman" w:hAnsi="Times New Roman" w:cs="Times New Roman"/>
          <w:bCs/>
          <w:noProof/>
          <w:sz w:val="24"/>
          <w:szCs w:val="24"/>
          <w:lang w:val="en-US"/>
        </w:rPr>
        <w:t>(6,26)</w:t>
      </w:r>
      <w:r w:rsidR="00331BD5">
        <w:rPr>
          <w:rStyle w:val="FootnoteReference"/>
          <w:rFonts w:ascii="Times New Roman" w:hAnsi="Times New Roman" w:cs="Times New Roman"/>
          <w:sz w:val="24"/>
          <w:szCs w:val="24"/>
          <w:lang w:val="en-US"/>
        </w:rPr>
        <w:fldChar w:fldCharType="end"/>
      </w:r>
      <w:r w:rsidR="006A1CCE" w:rsidRPr="00C33556">
        <w:rPr>
          <w:rFonts w:ascii="Times New Roman" w:hAnsi="Times New Roman" w:cs="Times New Roman"/>
          <w:sz w:val="24"/>
          <w:szCs w:val="24"/>
          <w:lang w:val="en-US"/>
        </w:rPr>
        <w:t xml:space="preserve"> </w:t>
      </w:r>
      <w:r w:rsidR="00F24B12" w:rsidRPr="00F24B12">
        <w:rPr>
          <w:rFonts w:ascii="Times New Roman" w:hAnsi="Times New Roman" w:cs="Times New Roman"/>
          <w:sz w:val="24"/>
          <w:szCs w:val="24"/>
          <w:lang w:val="en-US"/>
        </w:rPr>
        <w:t>Thus, surveillance can play an important role as it can prevent the occurrence of serious or late adverse effects from being neglected to cause damage and, through this monitoring, keep the community informed, generating trust and contributing to the non-hesitation in vaccination.</w:t>
      </w:r>
      <w:r w:rsidR="0050152E" w:rsidRPr="00C33556">
        <w:rPr>
          <w:rFonts w:ascii="Times New Roman" w:hAnsi="Times New Roman" w:cs="Times New Roman"/>
          <w:sz w:val="24"/>
          <w:szCs w:val="24"/>
          <w:lang w:val="en-US"/>
        </w:rPr>
        <w:t>.</w:t>
      </w:r>
    </w:p>
    <w:p w14:paraId="005D181E" w14:textId="6D290CA0" w:rsidR="00256208" w:rsidRPr="00C33556" w:rsidRDefault="00296B78" w:rsidP="00FA7F10">
      <w:pPr>
        <w:spacing w:line="480" w:lineRule="auto"/>
        <w:ind w:firstLine="708"/>
        <w:jc w:val="both"/>
        <w:rPr>
          <w:rFonts w:ascii="Times New Roman" w:hAnsi="Times New Roman" w:cs="Times New Roman"/>
          <w:sz w:val="24"/>
          <w:szCs w:val="24"/>
          <w:lang w:val="en-US"/>
        </w:rPr>
      </w:pPr>
      <w:r w:rsidRPr="00C33556">
        <w:rPr>
          <w:rFonts w:ascii="Times New Roman" w:hAnsi="Times New Roman" w:cs="Times New Roman"/>
          <w:sz w:val="24"/>
          <w:szCs w:val="24"/>
          <w:lang w:val="en-US"/>
        </w:rPr>
        <w:lastRenderedPageBreak/>
        <w:t>On the other hand, if it is considered that the rush to buy COVID-19 vaccines that some countries promote may cause an imbalance as other nations have their access to vaccines curtailed, leaving their population under the risks imposed by the pandemic, then a maleficence will be configured.</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{"citationItems":[{"id":"ITEM-1","itemData":{"DOI":"10.1007/978-3-319-09483-0_432","author":[{"dropping-particle":"","family":"Afolabi","given":"Michael O. S.","non-dropping-particle":"","parse-names":false,"suffix":""}],"container-title":"Encyclopedia of Global Bioethics","id":"ITEM-1","issued":{"date-parts":[["2016"]]},"page":"2911-2918","publisher":"Springer International Publishing","publisher-place":"Cham","title":"Vaccination","type":"chapter"},"uris":["http://www.mendeley.com/documents/?uuid=57c3f4e6-ab5b-411e-a0a5-f4da9072ac1b"]},{"id":"ITEM-2","itemData":{"DOI":"10.1111/cei.13517","ISSN":"1365-2249","PMID":"32935331","abstract":"Since the emergence of COVID-19, caused by the SARS-CoV-2 virus at the end of 2019, there has been an explosion of vaccine development. By 24 September 2020, a staggering number of vaccines (more than 200) had started preclinical development, of which 43 had entered clinical trials, including some approaches that have not previously been licensed for human vaccines. Vaccines have been widely considered as part of the exit strategy to enable the return to previous patterns of working, schooling and socializing. Importantly, to effectively control the COVID-19 pandemic, production needs to be scaled-up from a small number of preclinical doses to enough filled vials to immunize the world's population, which requires close engagement with manufacturers and regulators. It will require a global effort to control the virus, necessitating equitable access for all countries to effective vaccines. This review explores the immune responses required to protect against SARS-CoV-2 and the potential for vaccine-induced immunopathology. We describe the profile of the different platforms and the advantages and disadvantages of each approach. The review also addresses the critical steps between promising preclinical leads and manufacturing at scale. The issues faced during this pandemic and the platforms being developed to address it will be invaluable for future outbreak control. Nine months after the outbreak began we are at a point where preclinical and early clinical data are being generated for the vaccines; an overview of this important area will help our understanding of the next phases.","author":[{"dropping-particle":"","family":"Tregoning","given":"J. S.","non-dropping-particle":"","parse-names":false,"suffix":""},{"dropping-particle":"","family":"Brown","given":"E. S.","non-dropping-particle":"","parse-names":false,"suffix":""},{"dropping-particle":"","family":"Cheeseman","given":"H. M.","non-dropping-particle":"","parse-names":false,"suffix":""},{"dropping-particle":"","family":"Flight","given":"K. E.","non-dropping-particle":"","parse-names":false,"suffix":""},{"dropping-particle":"","family":"Higham","given":"S. L.","non-dropping-particle":"","parse-names":false,"suffix":""},{"dropping-particle":"","family":"Lemm","given":"N.‐M.","non-dropping-particle":"","parse-names":false,"suffix":""},{"dropping-particle":"","family":"Pierce","given":"B. F.","non-dropping-particle":"","parse-names":false,"suffix":""},{"dropping-particle":"","family":"Stirling","given":"D. C.","non-dropping-particle":"","parse-names":false,"suffix":""},{"dropping-particle":"","family":"Wang","given":"Z.","non-dropping-particle":"","parse-names":false,"suffix":""},{"dropping-particle":"","family":"Pollock","given":"K. M.","non-dropping-particle":"","parse-names":false,"suffix":""}],"container-title":"Clinical and experimental immunology","id":"ITEM-2","issue":"2","issued":{"date-parts":[["2020","11","18"]]},"page":"162-192","title":"Vaccines for COVID-19.","type":"article-journal","volume":"202"},"uris":["http://www.mendeley.com/documents/?uuid=441e3caf-462a-4f08-b563-eb0156bf9f54"]},{"id":"ITEM-3","itemData":{"DOI":"10.3389/fimmu.2020.579250","ISSN":"1664-3224","PMID":"33123165","abstract":"There are currently around 200 SARS-CoV-2 candidate vaccines in preclinical and clinical trials throughout the world. The various candidates employ a range of vaccine strategies including some novel approaches. Currently, the goal is to prove that they are safe and immunogenic in humans (phase 1/2 studies) with several now advancing into phase 2 and 3 trials to demonstrate efficacy and gather comprehensive data on safety. It is highly likely that many vaccines will be shown to stimulate antibody and T cell responses in healthy individuals and have an acceptable safety profile, but the key will be to confirm that they protect against COVID-19. There is much hope that SARS-CoV-2 vaccines will be rolled out to the entire world to contain the pandemic and avert its most damaging impacts. However, in all likelihood this will initially require a targeted approach toward key vulnerable groups. Collaborative efforts are underway to ensure manufacturing can occur at the unprecedented scale and speed required to immunize billions of people. Ensuring deployment also occurs equitably across the globe will be critical. Careful evaluation and ongoing surveillance for safety will be required to address theoretical concerns regarding immune enhancement seen in previous contexts. Herein, we review the current knowledge about the immune response to this novel virus as it pertains to the design of effective and safe SARS-CoV-2 vaccines and the range of novel and established approaches to vaccine development being taken. We provide details of some of the frontrunner vaccines and discuss potential issues including adverse effects, scale-up and delivery.","author":[{"dropping-particle":"","family":"Flanagan","given":"Katie L.","non-dropping-particle":"","parse-names":false,"suffix":""},{"dropping-particle":"","family":"Best","given":"Emma","non-dropping-particle":"","parse-names":false,"suffix":""},{"dropping-particle":"","family":"Crawford","given":"Nigel W.","non-dropping-particle":"","parse-names":false,"suffix":""},{"dropping-particle":"","family":"Giles","given":"Michelle","non-dropping-particle":"","parse-names":false,"suffix":""},{"dropping-particle":"","family":"Koirala","given":"Archana","non-dropping-particle":"","parse-names":false,"suffix":""},{"dropping-particle":"","family":"Macartney","given":"Kristine","non-dropping-particle":"","parse-names":false,"suffix":""},{"dropping-particle":"","family":"Russell","given":"Fiona","non-dropping-particle":"","parse-names":false,"suffix":""},{"dropping-particle":"","family":"Teh","given":"Benjamin W.","non-dropping-particle":"","parse-names":false,"suffix":""},{"dropping-particle":"","family":"Wen","given":"Sophie CH","non-dropping-particle":"","parse-names":false,"suffix":""}],"container-title":"Frontiers in immunology","id":"ITEM-3","issued":{"date-parts":[["2020","10","2"]]},"page":"579250","title":"Progress and Pitfalls in the Quest for Effective SARS-CoV-2 (COVID-19) Vaccines.","type":"article-journal","volume":"11"},"uris":["http://www.mendeley.com/documents/?uuid=8c109a71-66ba-4b2b-a936-71e1321b8461"]}],"mendeley":{"formattedCitation":"(2,4,5)","plainTextFormattedCitation":"(2,4,5)","previouslyFormattedCitation":"(Afolabi 2016; Tregoning et al. 2020; Flanagan et al. 2020)"},"properties":{"noteIndex":0},"schema":"https://github.com/citation-style-language/schema/raw/master/csl-citation.json"}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(2,4,5)</w:t>
      </w:r>
      <w:r w:rsidR="00331BD5">
        <w:rPr>
          <w:rStyle w:val="FootnoteReference"/>
          <w:rFonts w:ascii="Times New Roman" w:hAnsi="Times New Roman" w:cs="Times New Roman"/>
          <w:sz w:val="24"/>
          <w:szCs w:val="24"/>
        </w:rPr>
        <w:fldChar w:fldCharType="end"/>
      </w:r>
      <w:r w:rsidR="00FA7F10" w:rsidRPr="00C33556">
        <w:rPr>
          <w:rFonts w:ascii="Times New Roman" w:hAnsi="Times New Roman" w:cs="Times New Roman"/>
          <w:sz w:val="24"/>
          <w:szCs w:val="24"/>
          <w:lang w:val="en-US"/>
        </w:rPr>
        <w:t xml:space="preserve"> </w:t>
      </w:r>
      <w:r w:rsidR="003D15F6" w:rsidRPr="00C33556">
        <w:rPr>
          <w:rFonts w:ascii="Times New Roman" w:hAnsi="Times New Roman" w:cs="Times New Roman"/>
          <w:sz w:val="24"/>
          <w:szCs w:val="24"/>
          <w:lang w:val="en-US"/>
        </w:rPr>
        <w:t xml:space="preserve">In this regard, </w:t>
      </w:r>
      <w:r w:rsidR="009256BF" w:rsidRPr="00C33556">
        <w:rPr>
          <w:rFonts w:ascii="Times New Roman" w:hAnsi="Times New Roman" w:cs="Times New Roman"/>
          <w:sz w:val="24"/>
          <w:szCs w:val="24"/>
          <w:lang w:val="en-US"/>
        </w:rPr>
        <w:t>COVID-19 Vaccine Global Access Facility (COVAX) co-led by the Vaccine Alliance (Gavi), the Coalition for Epidemic Preparedness Innovations (CEPI), and the WHO</w:t>
      </w:r>
      <w:r w:rsidR="00AD7591" w:rsidRPr="00C33556">
        <w:rPr>
          <w:rFonts w:ascii="Times New Roman" w:hAnsi="Times New Roman" w:cs="Times New Roman"/>
          <w:sz w:val="24"/>
          <w:szCs w:val="24"/>
          <w:lang w:val="en-US"/>
        </w:rPr>
        <w:t xml:space="preserve"> </w:t>
      </w:r>
      <w:r w:rsidR="00331BD5">
        <w:rPr>
          <w:rStyle w:val="FootnoteReference"/>
          <w:rFonts w:ascii="Times New Roman" w:hAnsi="Times New Roman" w:cs="Times New Roman"/>
          <w:sz w:val="24"/>
          <w:szCs w:val="24"/>
          <w:lang w:val="en-US"/>
        </w:rPr>
        <w:fldChar w:fldCharType="begin" w:fldLock="1"/>
      </w:r>
      <w:r w:rsidR="0036604F">
        <w:rPr>
          <w:rFonts w:ascii="Times New Roman" w:hAnsi="Times New Roman" w:cs="Times New Roman"/>
          <w:sz w:val="24"/>
          <w:szCs w:val="24"/>
          <w:lang w:val="en-US"/>
        </w:rPr>
        <w:instrText>ADDIN CSL_CITATION {"citationItems":[{"id":"ITEM-1","itemData":{"DOI":"10.1136/bmjgh-2020-003627","ISSN":"2059-7908","author":[{"dropping-particle":"","family":"McAdams","given":"David","non-dropping-particle":"","parse-names":false,"suffix":""},{"dropping-particle":"","family":"McDade","given":"Kaci Kennedy","non-dropping-particle":"","parse-names":false,"suffix":""},{"dropping-particle":"","family":"Ogbuoji","given":"Osondu","non-dropping-particle":"","parse-names":false,"suffix":""},{"dropping-particle":"","family":"Johnson","given":"Matthew","non-dropping-particle":"","parse-names":false,"suffix":""},{"dropping-particle":"","family":"Dixit","given":"Siddharth","non-dropping-particle":"","parse-names":false,"suffix":""},{"dropping-particle":"","family":"Yamey","given":"Gavin","non-dropping-particle":"","parse-names":false,"suffix":""}],"container-title":"BMJ Global Health","id":"ITEM-1","issue":"11","issued":{"date-parts":[["2020","11","30"]]},"page":"e003627","title":"Incentivising wealthy nations to participate in the COVID-19 Vaccine Global Access Facility (COVAX): a game theory perspective","type":"article-journal","volume":"5"},"uris":["http://www.mendeley.com/documents/?uuid=819f5319-e4d5-4478-a3dc-63c206798656"]},{"id":"ITEM-2","itemData":{"DOI":"10.3389/fimmu.2020.579250","ISSN":"1664-3224","PMID":"33123165","abstract":"There are currently around 200 SARS-CoV-2 candidate vaccines in preclinical and clinical trials throughout the world. The various candidates employ a range of vaccine strategies including some novel approaches. Currently, the goal is to prove that they are safe and immunogenic in humans (phase 1/2 studies) with several now advancing into phase 2 and 3 trials to demonstrate efficacy and gather comprehensive data on safety. It is highly likely that many vaccines will be shown to stimulate antibody and T cell responses in healthy individuals and have an acceptable safety profile, but the key will be to confirm that they protect against COVID-19. There is much hope that SARS-CoV-2 vaccines will be rolled out to the entire world to contain the pandemic and avert its most damaging impacts. However, in all likelihood this will initially require a targeted approach toward key vulnerable groups. Collaborative efforts are underway to ensure manufacturing can occur at the unprecedented scale and speed required to immunize billions of people. Ensuring deployment also occurs equitably across the globe will be critical. Careful evaluation and ongoing surveillance for safety will be required to address theoretical concerns regarding immune enhancement seen in previous contexts. Herein, we review the current knowledge about the immune response to this novel virus as it pertains to the design of effective and safe SARS-CoV-2 vaccines and the range of novel and established approaches to vaccine development being taken. We provide details of some of the frontrunner vaccines and discuss potential issues including adverse effects, scale-up and delivery.","author":[{"dropping-particle":"","family":"Flanagan","given":"Katie L.","non-dropping-particle":"","parse-names":false,"suffix":""},{"dropping-particle":"","family":"Best","given":"Emma","non-dropping-particle":"","parse-names":false,"suffix":""},{"dropping-particle":"","family":"Crawford","given":"Nigel W.","non-dropping-particle":"","parse-names":false,"suffix":""},{"dropping-particle":"","family":"Giles","given":"Michelle","non-dropping-particle":"","parse-names":false,"suffix":""},{"dropping-particle":"","family":"Koirala","given":"Archana","non-dropping-particle":"","parse-names":false,"suffix":""},{"dropping-particle":"","family":"Macartney","given":"Kristine","non-dropping-particle":"","parse-names":false,"suffix":""},{"dropping-particle":"","family":"Russell","given":"Fiona","non-dropping-particle":"","parse-names":false,"suffix":""},{"dropping-particle":"","family":"Teh","given":"Benjamin W.","non-dropping-particle":"","parse-names":false,"suffix":""},{"dropping-particle":"","family":"Wen","given":"Sophie CH","non-dropping-particle":"","parse-names":false,"suffix":""}],"container-title":"Frontiers in immunology","id":"ITEM-2","issued":{"date-parts":[["2020","10","2"]]},"page":"579250","title":"Progress and Pitfalls in the Quest for Effective SARS-CoV-2 (COVID-19) Vaccines.","type":"article-journal","volume":"11"},"uris":["http://www.mendeley.com/documents/?uuid=8c109a71-66ba-4b2b-a936-71e1321b8461"]},{"id":"ITEM-3","itemData":{"DOI":"10.1016/S0140-6736(21)00617-6","ISSN":"01406736","author":[{"dropping-particle":"","family":"The Lancet","given":"","non-dropping-particle":"","parse-names":false,"suffix":""}],"container-title":"The Lancet","id":"ITEM-3","issue":"10278","issued":{"date-parts":[["2021","3"]]},"page":"941","title":"Access to COVID-19 vaccines: looking beyond COVAX","type":"article-journal","volume":"397"},"uris":["http://www.mendeley.com/documents/?uuid=5cec7a90-fda1-407e-a59b-d06e6266ad85"]},{"id":"ITEM-4","itemData":{"DOI":"10.1016/S0140-6736(21)00306-8","ISSN":"1474-547X","PMID":"33587887","abstract":"The COVID-19 pandemic is unlikely to end until there is global roll-out of vaccines that protect against severe disease and preferably drive herd immunity. Regulators in numerous countries have authorised or approved COVID-19 vaccines for human use, with more expected to be licensed in 2021. Yet having licensed vaccines is not enough to achieve global control of COVID-19: they also need to be produced at scale, priced affordably, allocated globally so that they are available where needed, and widely deployed in local communities. In this Health Policy paper, we review potential challenges to success in each of these dimensions and discuss policy implications. To guide our review, we developed a dashboard to highlight key characteristics of 26 leading vaccine candidates, including efficacy levels, dosing regimens, storage requirements, prices, production capacities in 2021, and stocks reserved for low-income and middle-income countries. We use a traffic-light system to signal the potential contributions of each candidate to achieving global vaccine immunity, highlighting important trade-offs that policy makers need to consider when developing and implementing vaccination programmes. Although specific datapoints are subject to change as the pandemic response progresses, the dashboard will continue to provide a useful lens through which to analyse the key issues affecting the use of COVID-19 vaccines. We also present original data from a 32-country survey (n=26 758) on potential acceptance of COVID-19 vaccines, conducted from October to December, 2020. Vaccine acceptance was highest in Vietnam (98%), India (91%), China (91%), Denmark (87%), and South Korea (87%), and lowest in Serbia (38%), Croatia (41%), France (44%), Lebanon (44%), and Paraguay (51%).","author":[{"dropping-particle":"","family":"Wouters","given":"Olivier J","non-dropping-particle":"","parse-names":false,"suffix":""},{"dropping-particle":"","family":"Shadlen","given":"Kenneth C","non-dropping-particle":"","parse-names":false,"suffix":""},{"dropping-particle":"","family":"Salcher-Konrad","given":"Maximilian","non-dropping-particle":"","parse-names":false,"suffix":""},{"dropping-particle":"","family":"Pollard","given":"Andrew J","non-dropping-particle":"","parse-names":false,"suffix":""},{"dropping-particle":"","family":"Larson","given":"Heidi J","non-dropping-particle":"","parse-names":false,"suffix":""},{"dropping-particle":"","family":"Teerawattananon","given":"Yot","non-dropping-particle":"","parse-names":false,"suffix":""},{"dropping-particle":"","family":"Jit","given":"Mark","non-dropping-particle":"","parse-names":false,"suffix":""}],"container-title":"Lancet (London, England)","id":"ITEM-4","issue":"10278","issued":{"date-parts":[["2021","3","13"]]},"page":"1023-1034","title":"Challenges in ensuring global access to COVID-19 vaccines: production, affordability, allocation, and deployment.","type":"article-journal","volume":"397"},"uris":["http://www.mendeley.com/documents/?uuid=c0d3ec35-ea0d-4e5b-ac8c-021a97845266"]}],"mendeley":{"formattedCitation":"(3,4,28,29)","plainTextFormattedCitation":"(3,4,28,29)","previouslyFormattedCitation":"(McAdams et al. 2020; Flanagan et al. 2020; The Lancet 2021; Wouters et al. 2021)"},"properties":{"noteIndex":0},"schema":"https://github.com/citation-style-language/schema/raw/master/csl-citation.json"}</w:instrText>
      </w:r>
      <w:r w:rsidR="00331BD5">
        <w:rPr>
          <w:rStyle w:val="FootnoteReference"/>
          <w:rFonts w:ascii="Times New Roman" w:hAnsi="Times New Roman" w:cs="Times New Roman"/>
          <w:sz w:val="24"/>
          <w:szCs w:val="24"/>
          <w:lang w:val="en-US"/>
        </w:rPr>
        <w:fldChar w:fldCharType="separate"/>
      </w:r>
      <w:r w:rsidR="0036604F" w:rsidRPr="0036604F">
        <w:rPr>
          <w:rFonts w:ascii="Times New Roman" w:hAnsi="Times New Roman" w:cs="Times New Roman"/>
          <w:bCs/>
          <w:noProof/>
          <w:sz w:val="24"/>
          <w:szCs w:val="24"/>
          <w:lang w:val="en-US"/>
        </w:rPr>
        <w:t>(3,4,28,29)</w:t>
      </w:r>
      <w:r w:rsidR="00331BD5">
        <w:rPr>
          <w:rStyle w:val="FootnoteReference"/>
          <w:rFonts w:ascii="Times New Roman" w:hAnsi="Times New Roman" w:cs="Times New Roman"/>
          <w:sz w:val="24"/>
          <w:szCs w:val="24"/>
          <w:lang w:val="en-US"/>
        </w:rPr>
        <w:fldChar w:fldCharType="end"/>
      </w:r>
      <w:r w:rsidR="009256BF" w:rsidRPr="00C33556">
        <w:rPr>
          <w:rFonts w:ascii="Times New Roman" w:hAnsi="Times New Roman" w:cs="Times New Roman"/>
          <w:sz w:val="24"/>
          <w:szCs w:val="24"/>
          <w:lang w:val="en-US"/>
        </w:rPr>
        <w:t xml:space="preserve">  plays an important role as it accelerates the development and production of safe vaccines and proposes a way of equal access to the vaccine for all nations. Therefore, COVAX, by encouraging international cooperation for the development and availability of the vaccine for COVID-19 to all nations, seeks to contemplate the interrelated principles as suggested by the UDBHR of equality; non-discrimination; respect for pluralism; solidarity and cooperation; social responsibility and health; transnational practices and international cooperation</w:t>
      </w:r>
      <w:r w:rsidR="0019143C" w:rsidRPr="00C33556">
        <w:rPr>
          <w:rFonts w:ascii="Times New Roman" w:hAnsi="Times New Roman" w:cs="Times New Roman"/>
          <w:sz w:val="24"/>
          <w:szCs w:val="24"/>
          <w:lang w:val="en-US"/>
        </w:rPr>
        <w:t xml:space="preserve"> </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URL":"http://portal.unesco.org/en/ev.php-URL_ID=31058&amp;URL_DO=DO_TOPIC&amp;URL_SECTION=201.html","accessed":{"date-parts":[["2021","1","1"]]},"author":[{"dropping-particle":"","family":"UNESCO","given":"","non-dropping-particle":"","parse-names":false,"suffix":""}],"id":"ITEM-1","issued":{"date-parts":[["2005"]]},"title":"Universal Declaration on Bioethics and Human Rights","type":"webpage"},"uris":["http://www.mendeley.com/documents/?uuid=5b40e966-e069-35fe-b805-9662528554fc"]}],"mendeley":{"formattedCitation":"(23)","plainTextFormattedCitation":"(23)","previouslyFormattedCitation":"(UNESCO 2005)"},"properties":{"noteIndex":0},"schema":"https://github.com/citation-style-language/schema/raw/master/csl-citation.json"}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(23)</w:t>
      </w:r>
      <w:r w:rsidR="00331BD5">
        <w:rPr>
          <w:rStyle w:val="FootnoteReference"/>
          <w:rFonts w:ascii="Times New Roman" w:hAnsi="Times New Roman" w:cs="Times New Roman"/>
          <w:sz w:val="24"/>
          <w:szCs w:val="24"/>
        </w:rPr>
        <w:fldChar w:fldCharType="end"/>
      </w:r>
      <w:r w:rsidR="009256BF" w:rsidRPr="00C33556">
        <w:rPr>
          <w:rFonts w:ascii="Times New Roman" w:hAnsi="Times New Roman" w:cs="Times New Roman"/>
          <w:sz w:val="24"/>
          <w:szCs w:val="24"/>
          <w:lang w:val="en-US"/>
        </w:rPr>
        <w:t xml:space="preserve">  At the same time, by supporting research and development of vaccines for COVID-19 that are safe and effective, COVAX contemplates the precepts of Article 4 - Benefit and harm of UDBHR</w:t>
      </w:r>
      <w:r w:rsidR="00613CC7">
        <w:rPr>
          <w:rFonts w:ascii="Times New Roman" w:hAnsi="Times New Roman" w:cs="Times New Roman"/>
          <w:sz w:val="24"/>
          <w:szCs w:val="24"/>
          <w:lang w:val="en-US"/>
        </w:rPr>
        <w:t xml:space="preserve"> </w:t>
      </w:r>
      <w:r w:rsidR="00331BD5">
        <w:rPr>
          <w:rStyle w:val="FootnoteReference"/>
          <w:rFonts w:ascii="Times New Roman" w:hAnsi="Times New Roman" w:cs="Times New Roman"/>
          <w:sz w:val="24"/>
          <w:szCs w:val="24"/>
          <w:lang w:val="en-US"/>
        </w:rPr>
        <w:fldChar w:fldCharType="begin" w:fldLock="1"/>
      </w:r>
      <w:r w:rsidR="0036604F">
        <w:rPr>
          <w:rFonts w:ascii="Times New Roman" w:hAnsi="Times New Roman" w:cs="Times New Roman"/>
          <w:sz w:val="24"/>
          <w:szCs w:val="24"/>
          <w:lang w:val="en-US"/>
        </w:rPr>
        <w:instrText>ADDIN CSL_CITATION {"citationItems":[{"id":"ITEM-1","itemData":{"URL":"http://portal.unesco.org/en/ev.php-URL_ID=31058&amp;URL_DO=DO_TOPIC&amp;URL_SECTION=201.html","accessed":{"date-parts":[["2021","1","1"]]},"author":[{"dropping-particle":"","family":"UNESCO","given":"","non-dropping-particle":"","parse-names":false,"suffix":""}],"id":"ITEM-1","issued":{"date-parts":[["2005"]]},"title":"Universal Declaration on Bioethics and Human Rights","type":"webpage"},"uris":["http://www.mendeley.com/documents/?uuid=5b40e966-e069-35fe-b805-9662528554fc"]}],"mendeley":{"formattedCitation":"(23)","plainTextFormattedCitation":"(23)","previouslyFormattedCitation":"(UNESCO 2005)"},"properties":{"noteIndex":0},"schema":"https://github.com/citation-style-language/schema/raw/master/csl-citation.json"}</w:instrText>
      </w:r>
      <w:r w:rsidR="00331BD5">
        <w:rPr>
          <w:rStyle w:val="FootnoteReference"/>
          <w:rFonts w:ascii="Times New Roman" w:hAnsi="Times New Roman" w:cs="Times New Roman"/>
          <w:sz w:val="24"/>
          <w:szCs w:val="24"/>
          <w:lang w:val="en-US"/>
        </w:rPr>
        <w:fldChar w:fldCharType="separate"/>
      </w:r>
      <w:r w:rsidR="0036604F" w:rsidRPr="0036604F">
        <w:rPr>
          <w:rFonts w:ascii="Times New Roman" w:hAnsi="Times New Roman" w:cs="Times New Roman"/>
          <w:noProof/>
          <w:sz w:val="24"/>
          <w:szCs w:val="24"/>
          <w:lang w:val="en-US"/>
        </w:rPr>
        <w:t>(23)</w:t>
      </w:r>
      <w:r w:rsidR="00331BD5">
        <w:rPr>
          <w:rStyle w:val="FootnoteReference"/>
          <w:rFonts w:ascii="Times New Roman" w:hAnsi="Times New Roman" w:cs="Times New Roman"/>
          <w:sz w:val="24"/>
          <w:szCs w:val="24"/>
          <w:lang w:val="en-US"/>
        </w:rPr>
        <w:fldChar w:fldCharType="end"/>
      </w:r>
      <w:r w:rsidR="009256BF" w:rsidRPr="00C33556">
        <w:rPr>
          <w:rFonts w:ascii="Times New Roman" w:hAnsi="Times New Roman" w:cs="Times New Roman"/>
          <w:sz w:val="24"/>
          <w:szCs w:val="24"/>
          <w:lang w:val="en-US"/>
        </w:rPr>
        <w:t>, which seeks to maximize the direct and indirect benefits for individuals, any possible damage is minimized</w:t>
      </w:r>
      <w:r w:rsidR="005A4002" w:rsidRPr="00C33556">
        <w:rPr>
          <w:rFonts w:ascii="Times New Roman" w:hAnsi="Times New Roman" w:cs="Times New Roman"/>
          <w:sz w:val="24"/>
          <w:szCs w:val="24"/>
          <w:lang w:val="en-US"/>
        </w:rPr>
        <w:t xml:space="preserve">.  </w:t>
      </w:r>
    </w:p>
    <w:p w14:paraId="62E66741" w14:textId="77777777" w:rsidR="008707A1" w:rsidRPr="00C33556" w:rsidRDefault="008707A1" w:rsidP="00685354">
      <w:pPr>
        <w:spacing w:line="480" w:lineRule="auto"/>
        <w:ind w:firstLine="708"/>
        <w:jc w:val="both"/>
        <w:rPr>
          <w:rFonts w:ascii="Times New Roman" w:hAnsi="Times New Roman" w:cs="Times New Roman"/>
          <w:sz w:val="24"/>
          <w:szCs w:val="24"/>
          <w:lang w:val="en-US"/>
        </w:rPr>
      </w:pPr>
      <w:r w:rsidRPr="00C33556">
        <w:rPr>
          <w:rFonts w:ascii="Times New Roman" w:hAnsi="Times New Roman" w:cs="Times New Roman"/>
          <w:sz w:val="24"/>
          <w:szCs w:val="24"/>
          <w:lang w:val="en-US"/>
        </w:rPr>
        <w:t>Therefore, making vaccines equally accessible to all peoples, ensuring access to information and surveillance about adverse risks are measures that can contribute to non-maleficence in the emergency use of COVID-19 vaccines.</w:t>
      </w:r>
    </w:p>
    <w:p w14:paraId="683E11B5" w14:textId="389AA213" w:rsidR="00BC4FBB" w:rsidRPr="00C33556" w:rsidRDefault="00792CF1" w:rsidP="00685354">
      <w:pPr>
        <w:spacing w:line="480" w:lineRule="auto"/>
        <w:ind w:firstLine="708"/>
        <w:jc w:val="both"/>
        <w:rPr>
          <w:rFonts w:ascii="Times New Roman" w:hAnsi="Times New Roman" w:cs="Times New Roman"/>
          <w:b/>
          <w:bCs/>
          <w:sz w:val="24"/>
          <w:szCs w:val="24"/>
          <w:lang w:val="en-US"/>
        </w:rPr>
      </w:pPr>
      <w:r w:rsidRPr="00C33556">
        <w:rPr>
          <w:rFonts w:ascii="Times New Roman" w:hAnsi="Times New Roman" w:cs="Times New Roman"/>
          <w:b/>
          <w:bCs/>
          <w:sz w:val="24"/>
          <w:szCs w:val="24"/>
          <w:lang w:val="en-US"/>
        </w:rPr>
        <w:t>Beneficence</w:t>
      </w:r>
      <w:r w:rsidR="00BC4FBB" w:rsidRPr="00C33556">
        <w:rPr>
          <w:rFonts w:ascii="Times New Roman" w:hAnsi="Times New Roman" w:cs="Times New Roman"/>
          <w:b/>
          <w:bCs/>
          <w:sz w:val="24"/>
          <w:szCs w:val="24"/>
          <w:lang w:val="en-US"/>
        </w:rPr>
        <w:t xml:space="preserve"> </w:t>
      </w:r>
      <w:r w:rsidRPr="00C33556">
        <w:rPr>
          <w:rFonts w:ascii="Times New Roman" w:hAnsi="Times New Roman" w:cs="Times New Roman"/>
          <w:b/>
          <w:bCs/>
          <w:sz w:val="24"/>
          <w:szCs w:val="24"/>
          <w:lang w:val="en-US"/>
        </w:rPr>
        <w:t>in the context of emergency use of COVID-19 vaccines</w:t>
      </w:r>
    </w:p>
    <w:p w14:paraId="5E6E27D8" w14:textId="4FFA2C50" w:rsidR="006E5CD6" w:rsidRPr="00C33556" w:rsidRDefault="00A260BA" w:rsidP="006E5CD6">
      <w:pPr>
        <w:spacing w:line="480" w:lineRule="auto"/>
        <w:ind w:firstLine="708"/>
        <w:jc w:val="both"/>
        <w:rPr>
          <w:rFonts w:ascii="Times New Roman" w:hAnsi="Times New Roman" w:cs="Times New Roman"/>
          <w:sz w:val="24"/>
          <w:szCs w:val="24"/>
          <w:lang w:val="en-US"/>
        </w:rPr>
      </w:pPr>
      <w:r w:rsidRPr="00C33556">
        <w:rPr>
          <w:rFonts w:ascii="Times New Roman" w:hAnsi="Times New Roman" w:cs="Times New Roman"/>
          <w:sz w:val="24"/>
          <w:szCs w:val="24"/>
          <w:lang w:val="en-US"/>
        </w:rPr>
        <w:t>Beneficence, in the context of bioethics</w:t>
      </w:r>
      <w:r w:rsidR="00B65AD4">
        <w:rPr>
          <w:rFonts w:ascii="Times New Roman" w:hAnsi="Times New Roman" w:cs="Times New Roman"/>
          <w:sz w:val="24"/>
          <w:szCs w:val="24"/>
          <w:lang w:val="en-US"/>
        </w:rPr>
        <w:t>,</w:t>
      </w:r>
      <w:r w:rsidRPr="00C33556">
        <w:rPr>
          <w:rFonts w:ascii="Times New Roman" w:hAnsi="Times New Roman" w:cs="Times New Roman"/>
          <w:sz w:val="24"/>
          <w:szCs w:val="24"/>
          <w:lang w:val="en-US"/>
        </w:rPr>
        <w:t xml:space="preserve"> implies caring for others. In this way, be it for the guarantee of rights, prevention of risks and damages</w:t>
      </w:r>
      <w:r w:rsidR="00B65AD4">
        <w:rPr>
          <w:rFonts w:ascii="Times New Roman" w:hAnsi="Times New Roman" w:cs="Times New Roman"/>
          <w:sz w:val="24"/>
          <w:szCs w:val="24"/>
          <w:lang w:val="en-US"/>
        </w:rPr>
        <w:t>,</w:t>
      </w:r>
      <w:r w:rsidRPr="00C33556">
        <w:rPr>
          <w:rFonts w:ascii="Times New Roman" w:hAnsi="Times New Roman" w:cs="Times New Roman"/>
          <w:sz w:val="24"/>
          <w:szCs w:val="24"/>
          <w:lang w:val="en-US"/>
        </w:rPr>
        <w:t xml:space="preserve"> or accessibility of others to the vaccine, the meaning will always be a vision focused on the protection of another individual, </w:t>
      </w:r>
      <w:r w:rsidRPr="00C33556">
        <w:rPr>
          <w:rFonts w:ascii="Times New Roman" w:hAnsi="Times New Roman" w:cs="Times New Roman"/>
          <w:sz w:val="24"/>
          <w:szCs w:val="24"/>
          <w:lang w:val="en-US"/>
        </w:rPr>
        <w:lastRenderedPageBreak/>
        <w:t>community or nation.</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{"citationItems":[{"id":"ITEM-1","itemData":{"DOI":"10.1007/978-3-319-09483-0_432","author":[{"dropping-particle":"","family":"Afolabi","given":"Michael O. S.","non-dropping-particle":"","parse-names":false,"suffix":""}],"container-title":"Encyclopedia of Global Bioethics","id":"ITEM-1","issued":{"date-parts":[["2016"]]},"page":"2911-2918","publisher":"Springer International Publishing","publisher-place":"Cham","title":"Vaccination","type":"chapter"},"uris":["http://www.mendeley.com/documents/?uuid=57c3f4e6-ab5b-411e-a0a5-f4da9072ac1b"]},{"id":"ITEM-2","itemData":{"DOI":"10.2471/BLT.12.113480","ISSN":"0042-9686","author":[{"dropping-particle":"","family":"Moodley","given":"Keymanthri","non-dropping-particle":"","parse-names":false,"suffix":""},{"dropping-particle":"","family":"Hardie","given":"Kate","non-dropping-particle":"","parse-names":false,"suffix":""},{"dropping-particle":"","family":"Selgelid","given":"Michael J","non-dropping-particle":"","parse-names":false,"suffix":""},{"dropping-particle":"","family":"Waldman","given":"Ronald J","non-dropping-particle":"","parse-names":false,"suffix":""},{"dropping-particle":"","family":"Strebel","given":"Peter","non-dropping-particle":"","parse-names":false,"suffix":""},{"dropping-particle":"","family":"Rees","given":"Helen","non-dropping-particle":"","parse-names":false,"suffix":""},{"dropping-particle":"","family":"Durrheim","given":"David N","non-dropping-particle":"","parse-names":false,"suffix":""}],"container-title":"Bulletin of the World Health Organization","id":"ITEM-2","issue":"4","issued":{"date-parts":[["2013","4","1"]]},"page":"290-297","title":"Ethical considerations for vaccination programmes in acute humanitarian emergencies","type":"article-journal","volume":"91"},"uris":["http://www.mendeley.com/documents/?uuid=8ff7ec1f-bea9-4f95-810a-25f2567cc3a5"]},{"id":"ITEM-3","itemData":{"DOI":"10.20529/IJME.2020.122","ISSN":"09748466","abstract":"Large-scale vaccination with a safe and effective vaccine against Covid-19 is the only way to conquer the ongoing lethal pandemic that has led to extraordinary social and economic upheaval globally. Fortunately, the world is on the verge of developing Covid-19 vaccines in an unprecedentedly short time. More than forty vaccines are in different stages of clinical trials, and a few are in the crucial phase III studies stage. A new demand for emergency use authorisation and rapid deployment of these vaccines before scrutinising phase III trial data is raging in different quarters. Can advancement of the deployment of these vaccines by even a few weeks give us rich public health dividends? Would it be ethical to deploy these novel vaccines based only on the safety and immunogenicity data generated by the phase-I and II clinical trials? Would it be ethical to deny vaccination of vulnerable populations against an untreatable infectious disease despite the availability of reasonably safe and efficacious vaccines for the want of phase III trial data? The answer is not straightforward, as there are many complexities involved. This commentary attempts to discuss some ethical issues involved in a decision to deploy Covid-19 vaccination before phase III trial results are declared.","author":[{"dropping-particle":"","family":"Vashishtha","given":"Vipin M","non-dropping-particle":"","parse-names":false,"suffix":""},{"dropping-particle":"","family":"Kumar","given":"Puneet","non-dropping-particle":"","parse-names":false,"suffix":""}],"container-title":"Indian Journal of Medical Ethics","id":"ITEM-3","issue":"01","issued":{"date-parts":[["2021","2","16"]]},"page":"20-22","title":"Emergency use authorisation of Covid-19 vaccines:An ethical conundrum","type":"article-journal","volume":"06"},"uris":["http://www.mendeley.com/documents/?uuid=ff957a72-6062-499a-a178-8ac342767c6c"]},{"id":"ITEM-4","itemData":{"DOI":"10.1016/j.cca.2020.08.003","ISSN":"00098981","author":[{"dropping-particle":"","family":"Bowen","given":"Raffick A.R.","non-dropping-particle":"","parse-names":false,"suffix":""}],"container-title":"Clinica Chimica Acta","id":"ITEM-4","issued":{"date-parts":[["2020","11"]]},"page":"421-422","title":"Ethical and organizational considerations for mandatory COVID-19 vaccination of health care workers: A clinical laboratorian's perspective","type":"article-journal","volume":"510"},"uris":["http://www.mendeley.com/documents/?uuid=7ba69389-154f-46cd-bd04-7fc6e2df5dbb"]}],"mendeley":{"formattedCitation":"(5,6,21,27)","plainTextFormattedCitation":"(5,6,21,27)","previouslyFormattedCitation":"(Afolabi 2016; Moodley et al. 2013; Vashishtha and Kumar 2021; Bowen 2020)"},"properties":{"noteIndex":0},"schema":"https://github.com/citation-style-language/schema/raw/master/csl-citation.json"}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(5,6,21,27)</w:t>
      </w:r>
      <w:r w:rsidR="00331BD5">
        <w:rPr>
          <w:rStyle w:val="FootnoteReference"/>
          <w:rFonts w:ascii="Times New Roman" w:hAnsi="Times New Roman" w:cs="Times New Roman"/>
          <w:sz w:val="24"/>
          <w:szCs w:val="24"/>
        </w:rPr>
        <w:fldChar w:fldCharType="end"/>
      </w:r>
      <w:r w:rsidRPr="00C33556">
        <w:rPr>
          <w:rFonts w:ascii="Times New Roman" w:hAnsi="Times New Roman" w:cs="Times New Roman"/>
          <w:sz w:val="24"/>
          <w:szCs w:val="24"/>
          <w:lang w:val="en-US"/>
        </w:rPr>
        <w:t xml:space="preserve"> In this sense, like non-maleficence, the equal distribution of vaccines would be fundamental for beneficence, generating a real benefit to others, either by immunity in a local herd or by preventing the spread of SARS-CoV-2 in a global context</w:t>
      </w:r>
      <w:r w:rsidR="006E5CD6" w:rsidRPr="00C33556">
        <w:rPr>
          <w:rFonts w:ascii="Times New Roman" w:hAnsi="Times New Roman" w:cs="Times New Roman"/>
          <w:sz w:val="24"/>
          <w:szCs w:val="24"/>
          <w:lang w:val="en-US"/>
        </w:rPr>
        <w:t>.</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{"citationItems":[{"id":"ITEM-1","itemData":{"DOI":"10.1016/S0140-6736(21)00306-8","ISSN":"1474-547X","PMID":"33587887","abstract":"The COVID-19 pandemic is unlikely to end until there is global roll-out of vaccines that protect against severe disease and preferably drive herd immunity. Regulators in numerous countries have authorised or approved COVID-19 vaccines for human use, with more expected to be licensed in 2021. Yet having licensed vaccines is not enough to achieve global control of COVID-19: they also need to be produced at scale, priced affordably, allocated globally so that they are available where needed, and widely deployed in local communities. In this Health Policy paper, we review potential challenges to success in each of these dimensions and discuss policy implications. To guide our review, we developed a dashboard to highlight key characteristics of 26 leading vaccine candidates, including efficacy levels, dosing regimens, storage requirements, prices, production capacities in 2021, and stocks reserved for low-income and middle-income countries. We use a traffic-light system to signal the potential contributions of each candidate to achieving global vaccine immunity, highlighting important trade-offs that policy makers need to consider when developing and implementing vaccination programmes. Although specific datapoints are subject to change as the pandemic response progresses, the dashboard will continue to provide a useful lens through which to analyse the key issues affecting the use of COVID-19 vaccines. We also present original data from a 32-country survey (n=26 758) on potential acceptance of COVID-19 vaccines, conducted from October to December, 2020. Vaccine acceptance was highest in Vietnam (98%), India (91%), China (91%), Denmark (87%), and South Korea (87%), and lowest in Serbia (38%), Croatia (41%), France (44%), Lebanon (44%), and Paraguay (51%).","author":[{"dropping-particle":"","family":"Wouters","given":"Olivier J","non-dropping-particle":"","parse-names":false,"suffix":""},{"dropping-particle":"","family":"Shadlen","given":"Kenneth C","non-dropping-particle":"","parse-names":false,"suffix":""},{"dropping-particle":"","family":"Salcher-Konrad","given":"Maximilian","non-dropping-particle":"","parse-names":false,"suffix":""},{"dropping-particle":"","family":"Pollard","given":"Andrew J","non-dropping-particle":"","parse-names":false,"suffix":""},{"dropping-particle":"","family":"Larson","given":"Heidi J","non-dropping-particle":"","parse-names":false,"suffix":""},{"dropping-particle":"","family":"Teerawattananon","given":"Yot","non-dropping-particle":"","parse-names":false,"suffix":""},{"dropping-particle":"","family":"Jit","given":"Mark","non-dropping-particle":"","parse-names":false,"suffix":""}],"container-title":"Lancet (London, England)","id":"ITEM-1","issue":"10278","issued":{"date-parts":[["2021","3","13"]]},"page":"1023-1034","title":"Challenges in ensuring global access to COVID-19 vaccines: production, affordability, allocation, and deployment.","type":"article-journal","volume":"397"},"uris":["http://www.mendeley.com/documents/?uuid=c0d3ec35-ea0d-4e5b-ac8c-021a97845266"]}],"mendeley":{"formattedCitation":"(3)","plainTextFormattedCitation":"(3)","previouslyFormattedCitation":"(Wouters et al. 2021)"},"properties":{"noteIndex":0},"schema":"https://github.com/citation-style-language/schema/raw/master/csl-citation.json"}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(3)</w:t>
      </w:r>
      <w:r w:rsidR="00331BD5">
        <w:rPr>
          <w:rStyle w:val="FootnoteReference"/>
          <w:rFonts w:ascii="Times New Roman" w:hAnsi="Times New Roman" w:cs="Times New Roman"/>
          <w:sz w:val="24"/>
          <w:szCs w:val="24"/>
        </w:rPr>
        <w:fldChar w:fldCharType="end"/>
      </w:r>
      <w:r w:rsidR="00A517B1" w:rsidRPr="00C33556">
        <w:rPr>
          <w:rFonts w:ascii="Times New Roman" w:hAnsi="Times New Roman" w:cs="Times New Roman"/>
          <w:sz w:val="24"/>
          <w:szCs w:val="24"/>
          <w:lang w:val="en-US"/>
        </w:rPr>
        <w:t xml:space="preserve">  </w:t>
      </w:r>
      <w:r w:rsidR="006E5CD6" w:rsidRPr="00C33556">
        <w:rPr>
          <w:rFonts w:ascii="Times New Roman" w:hAnsi="Times New Roman" w:cs="Times New Roman"/>
          <w:sz w:val="24"/>
          <w:szCs w:val="24"/>
          <w:lang w:val="en-US"/>
        </w:rPr>
        <w:t xml:space="preserve">However, the initial proposal of COVAX, which would be to preliminarily and equally immunize in all nations, the risk groups, which would correspond to 20% of the population and, </w:t>
      </w:r>
      <w:r w:rsidR="00BD31AD" w:rsidRPr="00BD31AD">
        <w:rPr>
          <w:rFonts w:ascii="Times New Roman" w:hAnsi="Times New Roman" w:cs="Times New Roman"/>
          <w:sz w:val="24"/>
          <w:szCs w:val="24"/>
          <w:lang w:val="en-US"/>
        </w:rPr>
        <w:t>subsequently</w:t>
      </w:r>
      <w:r w:rsidR="006E5CD6" w:rsidRPr="00C33556">
        <w:rPr>
          <w:rFonts w:ascii="Times New Roman" w:hAnsi="Times New Roman" w:cs="Times New Roman"/>
          <w:sz w:val="24"/>
          <w:szCs w:val="24"/>
          <w:lang w:val="en-US"/>
        </w:rPr>
        <w:t>, to advance to other groups cannot be reached, once more, that some countries with high economic power have started direct negotiations with manufacturers in order to increase immunization internally in their countries.</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{"citationItems":[{"id":"ITEM-1","itemData":{"DOI":"10.1016/S0140-6736(21)00306-8","ISSN":"1474-547X","PMID":"33587887","abstract":"The COVID-19 pandemic is unlikely to end until there is global roll-out of vaccines that protect against severe disease and preferably drive herd immunity. Regulators in numerous countries have authorised or approved COVID-19 vaccines for human use, with more expected to be licensed in 2021. Yet having licensed vaccines is not enough to achieve global control of COVID-19: they also need to be produced at scale, priced affordably, allocated globally so that they are available where needed, and widely deployed in local communities. In this Health Policy paper, we review potential challenges to success in each of these dimensions and discuss policy implications. To guide our review, we developed a dashboard to highlight key characteristics of 26 leading vaccine candidates, including efficacy levels, dosing regimens, storage requirements, prices, production capacities in 2021, and stocks reserved for low-income and middle-income countries. We use a traffic-light system to signal the potential contributions of each candidate to achieving global vaccine immunity, highlighting important trade-offs that policy makers need to consider when developing and implementing vaccination programmes. Although specific datapoints are subject to change as the pandemic response progresses, the dashboard will continue to provide a useful lens through which to analyse the key issues affecting the use of COVID-19 vaccines. We also present original data from a 32-country survey (n=26 758) on potential acceptance of COVID-19 vaccines, conducted from October to December, 2020. Vaccine acceptance was highest in Vietnam (98%), India (91%), China (91%), Denmark (87%), and South Korea (87%), and lowest in Serbia (38%), Croatia (41%), France (44%), Lebanon (44%), and Paraguay (51%).","author":[{"dropping-particle":"","family":"Wouters","given":"Olivier J","non-dropping-particle":"","parse-names":false,"suffix":""},{"dropping-particle":"","family":"Shadlen","given":"Kenneth C","non-dropping-particle":"","parse-names":false,"suffix":""},{"dropping-particle":"","family":"Salcher-Konrad","given":"Maximilian","non-dropping-particle":"","parse-names":false,"suffix":""},{"dropping-particle":"","family":"Pollard","given":"Andrew J","non-dropping-particle":"","parse-names":false,"suffix":""},{"dropping-particle":"","family":"Larson","given":"Heidi J","non-dropping-particle":"","parse-names":false,"suffix":""},{"dropping-particle":"","family":"Teerawattananon","given":"Yot","non-dropping-particle":"","parse-names":false,"suffix":""},{"dropping-particle":"","family":"Jit","given":"Mark","non-dropping-particle":"","parse-names":false,"suffix":""}],"container-title":"Lancet (London, England)","id":"ITEM-1","issue":"10278","issued":{"date-parts":[["2021","3","13"]]},"page":"1023-1034","title":"Challenges in ensuring global access to COVID-19 vaccines: production, affordability, allocation, and deployment.","type":"article-journal","volume":"397"},"uris":["http://www.mendeley.com/documents/?uuid=c0d3ec35-ea0d-4e5b-ac8c-021a97845266"]}],"mendeley":{"formattedCitation":"(3)","plainTextFormattedCitation":"(3)","previouslyFormattedCitation":"(Wouters et al. 2021)"},"properties":{"noteIndex":0},"schema":"https://github.com/citation-style-language/schema/raw/master/csl-citation.json"}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noProof/>
          <w:sz w:val="24"/>
          <w:szCs w:val="24"/>
          <w:lang w:val="en-US"/>
        </w:rPr>
        <w:t>(3)</w:t>
      </w:r>
      <w:r w:rsidR="00331BD5">
        <w:rPr>
          <w:rStyle w:val="FootnoteReference"/>
          <w:rFonts w:ascii="Times New Roman" w:hAnsi="Times New Roman" w:cs="Times New Roman"/>
          <w:sz w:val="24"/>
          <w:szCs w:val="24"/>
        </w:rPr>
        <w:fldChar w:fldCharType="end"/>
      </w:r>
      <w:r w:rsidR="00DF015C" w:rsidRPr="00C33556">
        <w:rPr>
          <w:rFonts w:ascii="Times New Roman" w:hAnsi="Times New Roman" w:cs="Times New Roman"/>
          <w:sz w:val="24"/>
          <w:szCs w:val="24"/>
          <w:lang w:val="en-US"/>
        </w:rPr>
        <w:t xml:space="preserve"> Anyway, since, inevitably, this race will lead to high vaccination rates in some countries, even if late, it will favor COVAX with less pressure on manufacturers for vaccine delivery and other COVID-19 vaccines entering the market that eventually obtain approval for use.</w:t>
      </w:r>
    </w:p>
    <w:p w14:paraId="5392E509" w14:textId="3C5896D9" w:rsidR="001A5DD7" w:rsidRPr="00C33556" w:rsidRDefault="006C649B" w:rsidP="00685354">
      <w:pPr>
        <w:spacing w:line="480" w:lineRule="auto"/>
        <w:ind w:firstLine="708"/>
        <w:jc w:val="both"/>
        <w:rPr>
          <w:rFonts w:ascii="Times New Roman" w:hAnsi="Times New Roman" w:cs="Times New Roman"/>
          <w:sz w:val="24"/>
          <w:szCs w:val="24"/>
          <w:lang w:val="en-US"/>
        </w:rPr>
      </w:pPr>
      <w:r w:rsidRPr="00C33556">
        <w:rPr>
          <w:rFonts w:ascii="Times New Roman" w:hAnsi="Times New Roman" w:cs="Times New Roman"/>
          <w:sz w:val="24"/>
          <w:szCs w:val="24"/>
          <w:lang w:val="en-US"/>
        </w:rPr>
        <w:t>Otherwise, one has to consider that the benefit of using a vaccine for COVID-19, in terms of the gold standard, would mean its ability to prevent COVID-19 infection</w:t>
      </w:r>
      <w:r w:rsidR="003E7471" w:rsidRPr="00C33556">
        <w:rPr>
          <w:rFonts w:ascii="Times New Roman" w:hAnsi="Times New Roman" w:cs="Times New Roman"/>
          <w:sz w:val="24"/>
          <w:szCs w:val="24"/>
          <w:lang w:val="en-US"/>
        </w:rPr>
        <w:t>.</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{"citationItems":[{"id":"ITEM-1","itemData":{"DOI":"10.20529/IJME.2020.122","ISSN":"09748466","abstract":"Large-scale vaccination with a safe and effective vaccine against Covid-19 is the only way to conquer the ongoing lethal pandemic that has led to extraordinary social and economic upheaval globally. Fortunately, the world is on the verge of developing Covid-19 vaccines in an unprecedentedly short time. More than forty vaccines are in different stages of clinical trials, and a few are in the crucial phase III studies stage. A new demand for emergency use authorisation and rapid deployment of these vaccines before scrutinising phase III trial data is raging in different quarters. Can advancement of the deployment of these vaccines by even a few weeks give us rich public health dividends? Would it be ethical to deploy these novel vaccines based only on the safety and immunogenicity data generated by the phase-I and II clinical trials? Would it be ethical to deny vaccination of vulnerable populations against an untreatable infectious disease despite the availability of reasonably safe and efficacious vaccines for the want of phase III trial data? The answer is not straightforward, as there are many complexities involved. This commentary attempts to discuss some ethical issues involved in a decision to deploy Covid-19 vaccination before phase III trial results are declared.","author":[{"dropping-particle":"","family":"Vashishtha","given":"Vipin M","non-dropping-particle":"","parse-names":false,"suffix":""},{"dropping-particle":"","family":"Kumar","given":"Puneet","non-dropping-particle":"","parse-names":false,"suffix":""}],"container-title":"Indian Journal of Medical Ethics","id":"ITEM-1","issue":"01","issued":{"date-parts":[["2021","2","16"]]},"page":"20-22","title":"Emergency use authorisation of Covid-19 vaccines:An ethical conundrum","type":"article-journal","volume":"06"},"uris":["http://www.mendeley.com/documents/?uuid=10303d8a-0b69-4e8c-8e89-fc9778bcd606"]}],"mendeley":{"formattedCitation":"(6)","plainTextFormattedCitation":"(6)","previouslyFormattedCitation":"(Vashishtha and Kumar 2021)"},"properties":{"noteIndex":0},"schema":"https://github.com/citation-style-language/schema/raw/master/csl-citation.json"}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(6)</w:t>
      </w:r>
      <w:r w:rsidR="00331BD5">
        <w:rPr>
          <w:rStyle w:val="FootnoteReference"/>
          <w:rFonts w:ascii="Times New Roman" w:hAnsi="Times New Roman" w:cs="Times New Roman"/>
          <w:sz w:val="24"/>
          <w:szCs w:val="24"/>
        </w:rPr>
        <w:fldChar w:fldCharType="end"/>
      </w:r>
      <w:r w:rsidR="003E7471" w:rsidRPr="00C33556">
        <w:rPr>
          <w:rFonts w:ascii="Times New Roman" w:hAnsi="Times New Roman" w:cs="Times New Roman"/>
          <w:sz w:val="24"/>
          <w:szCs w:val="24"/>
          <w:lang w:val="en-US"/>
        </w:rPr>
        <w:t xml:space="preserve"> </w:t>
      </w:r>
      <w:r w:rsidR="006463A4" w:rsidRPr="00C33556">
        <w:rPr>
          <w:rFonts w:ascii="Times New Roman" w:hAnsi="Times New Roman" w:cs="Times New Roman"/>
          <w:sz w:val="24"/>
          <w:szCs w:val="24"/>
          <w:lang w:val="en-US"/>
        </w:rPr>
        <w:t>However, for COVID-19 vaccines, a benefit for emergency use has been admitted based on the criteria of viral load reduction and protection of the individual against the manifestation of severe forms of COVID</w:t>
      </w:r>
      <w:r w:rsidR="00702C89">
        <w:rPr>
          <w:rFonts w:ascii="Times New Roman" w:hAnsi="Times New Roman" w:cs="Times New Roman"/>
          <w:sz w:val="24"/>
          <w:szCs w:val="24"/>
          <w:lang w:val="en-US"/>
        </w:rPr>
        <w:t>-</w:t>
      </w:r>
      <w:r w:rsidR="006463A4" w:rsidRPr="00C33556">
        <w:rPr>
          <w:rFonts w:ascii="Times New Roman" w:hAnsi="Times New Roman" w:cs="Times New Roman"/>
          <w:sz w:val="24"/>
          <w:szCs w:val="24"/>
          <w:lang w:val="en-US"/>
        </w:rPr>
        <w:t>19.</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{"citationItems":[{"id":"ITEM-1","itemData":{"DOI":"10.20529/IJME.2020.122","ISSN":"09748466","abstract":"Large-scale vaccination with a safe and effective vaccine against Covid-19 is the only way to conquer the ongoing lethal pandemic that has led to extraordinary social and economic upheaval globally. Fortunately, the world is on the verge of developing Covid-19 vaccines in an unprecedentedly short time. More than forty vaccines are in different stages of clinical trials, and a few are in the crucial phase III studies stage. A new demand for emergency use authorisation and rapid deployment of these vaccines before scrutinising phase III trial data is raging in different quarters. Can advancement of the deployment of these vaccines by even a few weeks give us rich public health dividends? Would it be ethical to deploy these novel vaccines based only on the safety and immunogenicity data generated by the phase-I and II clinical trials? Would it be ethical to deny vaccination of vulnerable populations against an untreatable infectious disease despite the availability of reasonably safe and efficacious vaccines for the want of phase III trial data? The answer is not straightforward, as there are many complexities involved. This commentary attempts to discuss some ethical issues involved in a decision to deploy Covid-19 vaccination before phase III trial results are declared.","author":[{"dropping-particle":"","family":"Vashishtha","given":"Vipin M","non-dropping-particle":"","parse-names":false,"suffix":""},{"dropping-particle":"","family":"Kumar","given":"Puneet","non-dropping-particle":"","parse-names":false,"suffix":""}],"container-title":"Indian Journal of Medical Ethics","id":"ITEM-1","issue":"01","issued":{"date-parts":[["2021","2","16"]]},"page":"20-22","title":"Emergency use authorisation of Covid-19 vaccines:An ethical conundrum","type":"article-journal","volume":"06"},"uris":["http://www.mendeley.com/documents/?uuid=10303d8a-0b69-4e8c-8e89-fc9778bcd606"]},{"id":"ITEM-2","itemData":{"DOI":"10.1111/ijcp.14015","ISSN":"1742-1241","PMID":"33998757","author":[{"dropping-particle":"","family":"Law","given":"Lawrence Siu-Chun","non-dropping-particle":"","parse-names":false,"suffix":""},{"dropping-particle":"","family":"Lo","given":"Elaine Ah-Gi","non-dropping-particle":"","parse-names":false,"suffix":""}],"container-title":"International journal of clinical practice","id":"ITEM-2","issue":"6","issued":{"date-parts":[["2021","6"]]},"page":"e14015","title":"Counselling for COVID-19 vaccine is necessary: Balancing the autonomy, beneficence and non-maleficence in the context of accelerating vaccine development.","type":"article-journal","volume":"75"},"uris":["http://www.mendeley.com/documents/?uuid=150c1b9a-1369-491b-b515-926ce441e40a"]}],"mendeley":{"formattedCitation":"(6,26)","plainTextFormattedCitation":"(6,26)","previouslyFormattedCitation":"(Vashishtha and Kumar 2021; Law and Lo 2021)"},"properties":{"noteIndex":0},"schema":"https://github.com/citation-style-language/schema/raw/master/csl-citation.json"}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(6,26)</w:t>
      </w:r>
      <w:r w:rsidR="00331BD5">
        <w:rPr>
          <w:rStyle w:val="FootnoteReference"/>
          <w:rFonts w:ascii="Times New Roman" w:hAnsi="Times New Roman" w:cs="Times New Roman"/>
          <w:sz w:val="24"/>
          <w:szCs w:val="24"/>
        </w:rPr>
        <w:fldChar w:fldCharType="end"/>
      </w:r>
      <w:r w:rsidR="001A5DD7" w:rsidRPr="00C33556">
        <w:rPr>
          <w:rFonts w:ascii="Times New Roman" w:hAnsi="Times New Roman" w:cs="Times New Roman"/>
          <w:sz w:val="24"/>
          <w:szCs w:val="24"/>
          <w:lang w:val="en-US"/>
        </w:rPr>
        <w:t xml:space="preserve"> </w:t>
      </w:r>
      <w:r w:rsidR="00AB456F" w:rsidRPr="00C33556">
        <w:rPr>
          <w:rFonts w:ascii="Times New Roman" w:hAnsi="Times New Roman" w:cs="Times New Roman"/>
          <w:sz w:val="24"/>
          <w:szCs w:val="24"/>
          <w:lang w:val="en-US"/>
        </w:rPr>
        <w:t>In fact, no COVID-19 vaccine will provide 100% effectiveness, with current studies ranging from just over 50% to 95%, implying that for the greatest benefit there is a need for the already vaccinated population to be informed about the need for maintenance. testing measures, social distance, hand hygiene, facemasks and seeking medical care in case of suspected COVID-19, as there are reports of reinfection</w:t>
      </w:r>
      <w:r w:rsidR="001A5DD7" w:rsidRPr="00C33556">
        <w:rPr>
          <w:rFonts w:ascii="Times New Roman" w:hAnsi="Times New Roman" w:cs="Times New Roman"/>
          <w:sz w:val="24"/>
          <w:szCs w:val="24"/>
          <w:lang w:val="en-US"/>
        </w:rPr>
        <w:t>.</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{"citationItems":[{"id":"ITEM-1","itemData":{"DOI":"10.20529/IJME.2020.122","ISSN":"09748466","abstract":"Large-scale vaccination with a safe and effective vaccine against Covid-19 is the only way to conquer the ongoing lethal pandemic that has led to extraordinary social and economic upheaval globally. Fortunately, the world is on the verge of developing Covid-19 vaccines in an unprecedentedly short time. More than forty vaccines are in different stages of clinical trials, and a few are in the crucial phase III studies stage. A new demand for emergency use authorisation and rapid deployment of these vaccines before scrutinising phase III trial data is raging in different quarters. Can advancement of the deployment of these vaccines by even a few weeks give us rich public health dividends? Would it be ethical to deploy these novel vaccines based only on the safety and immunogenicity data generated by the phase-I and II clinical trials? Would it be ethical to deny vaccination of vulnerable populations against an untreatable infectious disease despite the availability of reasonably safe and efficacious vaccines for the want of phase III trial data? The answer is not straightforward, as there are many complexities involved. This commentary attempts to discuss some ethical issues involved in a decision to deploy Covid-19 vaccination before phase III trial results are declared.","author":[{"dropping-particle":"","family":"Vashishtha","given":"Vipin M","non-dropping-particle":"","parse-names":false,"suffix":""},{"dropping-particle":"","family":"Kumar","given":"Puneet","non-dropping-particle":"","parse-names":false,"suffix":""}],"container-title":"Indian Journal of Medical Ethics","id":"ITEM-1","issue":"01","issued":{"date-parts":[["2021","2","16"]]},"page":"20-22","title":"Emergency use authorisation of Covid-19 vaccines:An ethical conundrum","type":"article-journal","volume":"06"},"uris":["http://www.mendeley.com/documents/?uuid=10303d8a-0b69-4e8c-8e89-fc9778bcd606"]},{"id":"ITEM-2","itemData":{"DOI":"10.1111/ijcp.14015","ISSN":"1742-1241","PMID":"33998757","author":[{"dropping-particle":"","family":"Law","given":"Lawrence Siu-Chun","non-dropping-particle":"","parse-names":false,"suffix":""},{"dropping-particle":"","family":"Lo","given":"Elaine Ah-Gi","non-dropping-particle":"","parse-names":false,"suffix":""}],"container-title":"International journal of clinical practice","id":"ITEM-2","issue":"6","issued":{"date-parts":[["2021","6"]]},"page":"e14015","title":"Counselling for COVID-19 vaccine is necessary: Balancing the autonomy, beneficence and non-maleficence in the context of accelerating vaccine development.","type":"article-journal","volume":"75"},"uris":["http://www.mendeley.com/documents/?uuid=150c1b9a-1369-491b-b515-926ce441e40a"]},{"id":"ITEM-3","itemData":{"DOI":"10.1111/cei.13517","ISSN":"1365-2249","PMID":"32935331","abstract":"Since the emergence of COVID-19, caused by the SARS-CoV-2 virus at the end of 2019, there has been an explosion of vaccine development. By 24 September 2020, a staggering number of vaccines (more than 200) had started preclinical development, of which 43 had entered clinical trials, including some approaches that have not previously been licensed for human vaccines. Vaccines have been widely considered as part of the exit strategy to enable the return to previous patterns of working, schooling and socializing. Importantly, to effectively control the COVID-19 pandemic, production needs to be scaled-up from a small number of preclinical doses to enough filled vials to immunize the world's population, which requires close engagement with manufacturers and regulators. It will require a global effort to control the virus, necessitating equitable access for all countries to effective vaccines. This review explores the immune responses required to protect against SARS-CoV-2 and the potential for vaccine-induced immunopathology. We describe the profile of the different platforms and the advantages and disadvantages of each approach. The review also addresses the critical steps between promising preclinical leads and manufacturing at scale. The issues faced during this pandemic and the platforms being developed to address it will be invaluable for future outbreak control. Nine months after the outbreak began we are at a point where preclinical and early clinical data are being generated for the vaccines; an overview of this important area will help our understanding of the next phases.","author":[{"dropping-particle":"","family":"Tregoning","given":"J. S.","non-dropping-particle":"","parse-names":false,"suffix":""},{"dropping-particle":"","family":"Brown","given":"E. S.","non-dropping-particle":"","parse-names":false,"suffix":""},{"dropping-particle":"","family":"Cheeseman","given":"H. M.","non-dropping-particle":"","parse-names":false,"suffix":""},{"dropping-particle":"","family":"Flight","given":"K. E.","non-dropping-particle":"","parse-names":false,"suffix":""},{"dropping-particle":"","family":"Higham","given":"S. L.","non-dropping-particle":"","parse-names":false,"suffix":""},{"dropping-particle":"","family":"Lemm","given":"N.‐M.","non-dropping-particle":"","parse-names":false,"suffix":""},{"dropping-particle":"","family":"Pierce","given":"B. F.","non-dropping-particle":"","parse-names":false,"suffix":""},{"dropping-particle":"","family":"Stirling","given":"D. C.","non-dropping-particle":"","parse-names":false,"suffix":""},{"dropping-particle":"","family":"Wang","given":"Z.","non-dropping-particle":"","parse-names":false,"suffix":""},{"dropping-particle":"","family":"Pollock","given":"K. M.","non-dropping-particle":"","parse-names":false,"suffix":""}],"container-title":"Clinical and experimental immunology","id":"ITEM-3","issue":"2","issued":{"date-parts":[["2020","11","18"]]},"page":"162-192","title":"Vaccines for COVID-19.","type":"article-journal","volume":"202"},"uris":["http://www.mendeley.com/documents/?uuid=441e3caf-462a-4f08-b563-eb0156bf9f54"]},{"id":"ITEM-4","itemData":{"DOI":"10.3389/fimmu.2020.579250","ISSN":"1664-3224","PMID":"33123165","abstract":"There are currently around 200 SARS-CoV-2 candidate vaccines in preclinical and clinical trials throughout the world. The various candidates employ a range of vaccine strategies including some novel approaches. Currently, the goal is to prove that they are safe and immunogenic in humans (phase 1/2 studies) with several now advancing into phase 2 and 3 trials to demonstrate efficacy and gather comprehensive data on safety. It is highly likely that many vaccines will be shown to stimulate antibody and T cell responses in healthy individuals and have an acceptable safety profile, but the key will be to confirm that they protect against COVID-19. There is much hope that SARS-CoV-2 vaccines will be rolled out to the entire world to contain the pandemic and avert its most damaging impacts. However, in all likelihood this will initially require a targeted approach toward key vulnerable groups. Collaborative efforts are underway to ensure manufacturing can occur at the unprecedented scale and speed required to immunize billions of people. Ensuring deployment also occurs equitably across the globe will be critical. Careful evaluation and ongoing surveillance for safety will be required to address theoretical concerns regarding immune enhancement seen in previous contexts. Herein, we review the current knowledge about the immune response to this novel virus as it pertains to the design of effective and safe SARS-CoV-2 vaccines and the range of novel and established approaches to vaccine development being taken. We provide details of some of the frontrunner vaccines and discuss potential issues including adverse effects, scale-up and delivery.","author":[{"dropping-particle":"","family":"Flanagan","given":"Katie L.","non-dropping-particle":"","parse-names":false,"suffix":""},{"dropping-particle":"","family":"Best","given":"Emma","non-dropping-particle":"","parse-names":false,"suffix":""},{"dropping-particle":"","family":"Crawford","given":"Nigel W.","non-dropping-particle":"","parse-names":false,"suffix":""},{"dropping-particle":"","family":"Giles","given":"Michelle","non-dropping-particle":"","parse-names":false,"suffix":""},{"dropping-particle":"","family":"Koirala","given":"Archana","non-dropping-particle":"","parse-names":false,"suffix":""},{"dropping-particle":"","family":"Macartney","given":"Kristine","non-dropping-particle":"","parse-names":false,"suffix":""},{"dropping-particle":"","family":"Russell","given":"Fiona","non-dropping-particle":"","parse-names":false,"suffix":""},{"dropping-particle":"","family":"Teh","given":"Benjamin W.","non-dropping-particle":"","parse-names":false,"suffix":""},{"dropping-particle":"","family":"Wen","given":"Sophie CH","non-dropping-particle":"","parse-names":false,"suffix":""}],"container-title":"Frontiers in immunology","id":"ITEM-4","issued":{"date-parts":[["2020","10","2"]]},"page":"579250","title":"Progress and Pitfalls in the Quest for Effective SARS-CoV-2 (COVID-19) Vaccines.","type":"article-journal","volume":"11"},"uris":["http://www.mendeley.com/documents/?uuid=8c109a71-66ba-4b2b-a936-71e1321b8461"]}],"mendeley":{"formattedCitation":"(2,4,6,26)","plainTextFormattedCitation":"(2,4,6,26)","previouslyFormattedCitation":"(Vashishtha and Kumar 2021; Law and Lo 2021; Tregoning et al. 2020; Flanagan et al. 2020)"},"properties":{"noteIndex":0},"schema":"https://github.com/citation-style-language/schema/raw/master/csl-citation.json"}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(2,4,6,26)</w:t>
      </w:r>
      <w:r w:rsidR="00331BD5">
        <w:rPr>
          <w:rStyle w:val="FootnoteReference"/>
          <w:rFonts w:ascii="Times New Roman" w:hAnsi="Times New Roman" w:cs="Times New Roman"/>
          <w:sz w:val="24"/>
          <w:szCs w:val="24"/>
        </w:rPr>
        <w:fldChar w:fldCharType="end"/>
      </w:r>
    </w:p>
    <w:p w14:paraId="412A5489" w14:textId="77777777" w:rsidR="0006707E" w:rsidRDefault="0006707E" w:rsidP="00685354">
      <w:pPr>
        <w:spacing w:line="480" w:lineRule="auto"/>
        <w:ind w:firstLine="708"/>
        <w:jc w:val="both"/>
        <w:rPr>
          <w:rFonts w:ascii="Times New Roman" w:hAnsi="Times New Roman" w:cs="Times New Roman"/>
          <w:sz w:val="24"/>
          <w:szCs w:val="24"/>
          <w:lang w:val="en-US"/>
        </w:rPr>
      </w:pPr>
      <w:r w:rsidRPr="0006707E">
        <w:rPr>
          <w:rFonts w:ascii="Times New Roman" w:hAnsi="Times New Roman" w:cs="Times New Roman"/>
          <w:sz w:val="24"/>
          <w:szCs w:val="24"/>
          <w:lang w:val="en-US"/>
        </w:rPr>
        <w:t xml:space="preserve">Again, it is noteworthy that surveillance plays an important role in beneficence since it can over time identify risks of adverse reaction, intervene early in cases that require limiting </w:t>
      </w:r>
      <w:r w:rsidRPr="0006707E">
        <w:rPr>
          <w:rFonts w:ascii="Times New Roman" w:hAnsi="Times New Roman" w:cs="Times New Roman"/>
          <w:sz w:val="24"/>
          <w:szCs w:val="24"/>
          <w:lang w:val="en-US"/>
        </w:rPr>
        <w:lastRenderedPageBreak/>
        <w:t>damage, and keep the population informed through the provision of data, which tends to generate confidence in the vaccine.</w:t>
      </w:r>
    </w:p>
    <w:p w14:paraId="37267F99" w14:textId="4CA71701" w:rsidR="00465E5B" w:rsidRPr="005C2203" w:rsidRDefault="00AB456F" w:rsidP="00685354">
      <w:pPr>
        <w:spacing w:line="480" w:lineRule="auto"/>
        <w:ind w:firstLine="708"/>
        <w:jc w:val="both"/>
        <w:rPr>
          <w:rFonts w:ascii="Times New Roman" w:hAnsi="Times New Roman" w:cs="Times New Roman"/>
          <w:b/>
          <w:bCs/>
          <w:sz w:val="24"/>
          <w:szCs w:val="24"/>
          <w:lang w:val="en-US"/>
        </w:rPr>
      </w:pPr>
      <w:r w:rsidRPr="005C2203">
        <w:rPr>
          <w:rFonts w:ascii="Times New Roman" w:hAnsi="Times New Roman" w:cs="Times New Roman"/>
          <w:b/>
          <w:bCs/>
          <w:sz w:val="24"/>
          <w:szCs w:val="24"/>
          <w:lang w:val="en-US"/>
        </w:rPr>
        <w:t>J</w:t>
      </w:r>
      <w:r w:rsidR="00CA1834" w:rsidRPr="005C2203">
        <w:rPr>
          <w:rFonts w:ascii="Times New Roman" w:hAnsi="Times New Roman" w:cs="Times New Roman"/>
          <w:b/>
          <w:bCs/>
          <w:sz w:val="24"/>
          <w:szCs w:val="24"/>
          <w:lang w:val="en-US"/>
        </w:rPr>
        <w:t>usti</w:t>
      </w:r>
      <w:r w:rsidRPr="005C2203">
        <w:rPr>
          <w:rFonts w:ascii="Times New Roman" w:hAnsi="Times New Roman" w:cs="Times New Roman"/>
          <w:b/>
          <w:bCs/>
          <w:sz w:val="24"/>
          <w:szCs w:val="24"/>
          <w:lang w:val="en-US"/>
        </w:rPr>
        <w:t>ce</w:t>
      </w:r>
      <w:r w:rsidR="00CA1834" w:rsidRPr="005C2203">
        <w:rPr>
          <w:rFonts w:ascii="Times New Roman" w:hAnsi="Times New Roman" w:cs="Times New Roman"/>
          <w:b/>
          <w:bCs/>
          <w:sz w:val="24"/>
          <w:szCs w:val="24"/>
          <w:lang w:val="en-US"/>
        </w:rPr>
        <w:t xml:space="preserve"> </w:t>
      </w:r>
      <w:r w:rsidR="00C63BA8" w:rsidRPr="00C63BA8">
        <w:rPr>
          <w:rFonts w:ascii="Times New Roman" w:hAnsi="Times New Roman" w:cs="Times New Roman"/>
          <w:b/>
          <w:bCs/>
          <w:sz w:val="24"/>
          <w:szCs w:val="24"/>
          <w:lang w:val="en-US"/>
        </w:rPr>
        <w:t>in the context of emergency use of COVID-19 vaccines</w:t>
      </w:r>
    </w:p>
    <w:p w14:paraId="2EAF1A66" w14:textId="170A8EB3" w:rsidR="00BE3A0A" w:rsidRPr="00C33556" w:rsidRDefault="008455C7" w:rsidP="00EF4D55">
      <w:pPr>
        <w:spacing w:line="480" w:lineRule="auto"/>
        <w:ind w:firstLine="708"/>
        <w:jc w:val="both"/>
        <w:rPr>
          <w:rFonts w:ascii="Times New Roman" w:hAnsi="Times New Roman" w:cs="Times New Roman"/>
          <w:sz w:val="24"/>
          <w:szCs w:val="24"/>
          <w:lang w:val="en-US"/>
        </w:rPr>
      </w:pPr>
      <w:r w:rsidRPr="00C33556">
        <w:rPr>
          <w:rFonts w:ascii="Times New Roman" w:hAnsi="Times New Roman" w:cs="Times New Roman"/>
          <w:sz w:val="24"/>
          <w:szCs w:val="24"/>
          <w:lang w:val="en-US"/>
        </w:rPr>
        <w:t>Justice in the bioethical environment implies offering equal opportunities for all, seeking to avoid as much as possible any burden on the parties involved, whether from a personal or social point of view.</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{"citationItems":[{"id":"ITEM-1","itemData":{"DOI":"10.20529/IJME.2020.122","ISSN":"09748466","abstract":"Large-scale vaccination with a safe and effective vaccine against Covid-19 is the only way to conquer the ongoing lethal pandemic that has led to extraordinary social and economic upheaval globally. Fortunately, the world is on the verge of developing Covid-19 vaccines in an unprecedentedly short time. More than forty vaccines are in different stages of clinical trials, and a few are in the crucial phase III studies stage. A new demand for emergency use authorisation and rapid deployment of these vaccines before scrutinising phase III trial data is raging in different quarters. Can advancement of the deployment of these vaccines by even a few weeks give us rich public health dividends? Would it be ethical to deploy these novel vaccines based only on the safety and immunogenicity data generated by the phase-I and II clinical trials? Would it be ethical to deny vaccination of vulnerable populations against an untreatable infectious disease despite the availability of reasonably safe and efficacious vaccines for the want of phase III trial data? The answer is not straightforward, as there are many complexities involved. This commentary attempts to discuss some ethical issues involved in a decision to deploy Covid-19 vaccination before phase III trial results are declared.","author":[{"dropping-particle":"","family":"Vashishtha","given":"Vipin M","non-dropping-particle":"","parse-names":false,"suffix":""},{"dropping-particle":"","family":"Kumar","given":"Puneet","non-dropping-particle":"","parse-names":false,"suffix":""}],"container-title":"Indian Journal of Medical Ethics","id":"ITEM-1","issue":"01","issued":{"date-parts":[["2021","2","16"]]},"page":"20-22","title":"Emergency use authorisation of Covid-19 vaccines:An ethical conundrum","type":"article-journal","volume":"06"},"uris":["http://www.mendeley.com/documents/?uuid=10303d8a-0b69-4e8c-8e89-fc9778bcd606"]},{"id":"ITEM-2","itemData":{"DOI":"10.1007/978-3-319-09483-0_432","author":[{"dropping-particle":"","family":"Afolabi","given":"Michael O. S.","non-dropping-particle":"","parse-names":false,"suffix":""}],"container-title":"Encyclopedia of Global Bioethics","id":"ITEM-2","issued":{"date-parts":[["2016"]]},"page":"2911-2918","publisher":"Springer International Publishing","publisher-place":"Cham","title":"Vaccination","type":"chapter"},"uris":["http://www.mendeley.com/documents/?uuid=57c3f4e6-ab5b-411e-a0a5-f4da9072ac1b"]},{"id":"ITEM-3","itemData":{"DOI":"10.2471/BLT.12.113480","ISSN":"0042-9686","author":[{"dropping-particle":"","family":"Moodley","given":"Keymanthri","non-dropping-particle":"","parse-names":false,"suffix":""},{"dropping-particle":"","family":"Hardie","given":"Kate","non-dropping-particle":"","parse-names":false,"suffix":""},{"dropping-particle":"","family":"Selgelid","given":"Michael J","non-dropping-particle":"","parse-names":false,"suffix":""},{"dropping-particle":"","family":"Waldman","given":"Ronald J","non-dropping-particle":"","parse-names":false,"suffix":""},{"dropping-particle":"","family":"Strebel","given":"Peter","non-dropping-particle":"","parse-names":false,"suffix":""},{"dropping-particle":"","family":"Rees","given":"Helen","non-dropping-particle":"","parse-names":false,"suffix":""},{"dropping-particle":"","family":"Durrheim","given":"David N","non-dropping-particle":"","parse-names":false,"suffix":""}],"container-title":"Bulletin of the World Health Organization","id":"ITEM-3","issue":"4","issued":{"date-parts":[["2013","4","1"]]},"page":"290-297","title":"Ethical considerations for vaccination programmes in acute humanitarian emergencies","type":"article-journal","volume":"91"},"uris":["http://www.mendeley.com/documents/?uuid=8ff7ec1f-bea9-4f95-810a-25f2567cc3a5"]}],"mendeley":{"formattedCitation":"(5,6,27)","plainTextFormattedCitation":"(5,6,27)","previouslyFormattedCitation":"(Vashishtha and Kumar 2021; Afolabi 2016; Moodley et al. 2013)"},"properties":{"noteIndex":0},"schema":"https://github.com/citation-style-language/schema/raw/master/csl-citation.json"}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(5,6,27)</w:t>
      </w:r>
      <w:r w:rsidR="00331BD5">
        <w:rPr>
          <w:rStyle w:val="FootnoteReference"/>
          <w:rFonts w:ascii="Times New Roman" w:hAnsi="Times New Roman" w:cs="Times New Roman"/>
          <w:sz w:val="24"/>
          <w:szCs w:val="24"/>
        </w:rPr>
        <w:fldChar w:fldCharType="end"/>
      </w:r>
      <w:r w:rsidR="00673CC8" w:rsidRPr="00C33556">
        <w:rPr>
          <w:rFonts w:ascii="Times New Roman" w:hAnsi="Times New Roman" w:cs="Times New Roman"/>
          <w:sz w:val="24"/>
          <w:szCs w:val="24"/>
          <w:lang w:val="en-US"/>
        </w:rPr>
        <w:t xml:space="preserve"> </w:t>
      </w:r>
      <w:r w:rsidR="002A33FD" w:rsidRPr="00C33556">
        <w:rPr>
          <w:rFonts w:ascii="Times New Roman" w:hAnsi="Times New Roman" w:cs="Times New Roman"/>
          <w:sz w:val="24"/>
          <w:szCs w:val="24"/>
          <w:lang w:val="en-US"/>
        </w:rPr>
        <w:t>Thus, in the emergency use of vaccines for COVID-19, personal justice can be configured when the individual is vaccinated, avoiding a burden on society, either by the spread of the pandemic or by the need to allocate greater resources for treatment in case it evolves to a serious form.</w:t>
      </w:r>
      <w:r w:rsidR="00331BD5">
        <w:rPr>
          <w:rStyle w:val="FootnoteReference"/>
          <w:rFonts w:ascii="Times New Roman" w:hAnsi="Times New Roman" w:cs="Times New Roman"/>
          <w:sz w:val="24"/>
          <w:szCs w:val="24"/>
          <w:lang w:val="en-US"/>
        </w:rPr>
        <w:fldChar w:fldCharType="begin" w:fldLock="1"/>
      </w:r>
      <w:r w:rsidR="0036604F">
        <w:rPr>
          <w:rFonts w:ascii="Times New Roman" w:hAnsi="Times New Roman" w:cs="Times New Roman"/>
          <w:sz w:val="24"/>
          <w:szCs w:val="24"/>
          <w:lang w:val="en-US"/>
        </w:rPr>
        <w:instrText>ADDIN CSL_CITATION {"citationItems":[{"id":"ITEM-1","itemData":{"DOI":"10.1007/978-3-319-09483-0_432","author":[{"dropping-particle":"","family":"Afolabi","given":"Michael O. S.","non-dropping-particle":"","parse-names":false,"suffix":""}],"container-title":"Encyclopedia of Global Bioethics","id":"ITEM-1","issued":{"date-parts":[["2016"]]},"page":"2911-2918","publisher":"Springer International Publishing","publisher-place":"Cham","title":"Vaccination","type":"chapter"},"uris":["http://www.mendeley.com/documents/?uuid=57c3f4e6-ab5b-411e-a0a5-f4da9072ac1b"]},{"id":"ITEM-2","itemData":{"DOI":"10.2471/BLT.12.113480","ISSN":"0042-9686","author":[{"dropping-particle":"","family":"Moodley","given":"Keymanthri","non-dropping-particle":"","parse-names":false,"suffix":""},{"dropping-particle":"","family":"Hardie","given":"Kate","non-dropping-particle":"","parse-names":false,"suffix":""},{"dropping-particle":"","family":"Selgelid","given":"Michael J","non-dropping-particle":"","parse-names":false,"suffix":""},{"dropping-particle":"","family":"Waldman","given":"Ronald J","non-dropping-particle":"","parse-names":false,"suffix":""},{"dropping-particle":"","family":"Strebel","given":"Peter","non-dropping-particle":"","parse-names":false,"suffix":""},{"dropping-particle":"","family":"Rees","given":"Helen","non-dropping-particle":"","parse-names":false,"suffix":""},{"dropping-particle":"","family":"Durrheim","given":"David N","non-dropping-particle":"","parse-names":false,"suffix":""}],"container-title":"Bulletin of the World Health Organization","id":"ITEM-2","issue":"4","issued":{"date-parts":[["2013","4","1"]]},"page":"290-297","title":"Ethical considerations for vaccination programmes in acute humanitarian emergencies","type":"article-journal","volume":"91"},"uris":["http://www.mendeley.com/documents/?uuid=8ff7ec1f-bea9-4f95-810a-25f2567cc3a5"]}],"mendeley":{"formattedCitation":"(5,27)","plainTextFormattedCitation":"(5,27)","previouslyFormattedCitation":"(Afolabi 2016; Moodley et al. 2013)"},"properties":{"noteIndex":0},"schema":"https://github.com/citation-style-language/schema/raw/master/csl-citation.json"}</w:instrText>
      </w:r>
      <w:r w:rsidR="00331BD5">
        <w:rPr>
          <w:rStyle w:val="FootnoteReference"/>
          <w:rFonts w:ascii="Times New Roman" w:hAnsi="Times New Roman" w:cs="Times New Roman"/>
          <w:sz w:val="24"/>
          <w:szCs w:val="24"/>
          <w:lang w:val="en-US"/>
        </w:rPr>
        <w:fldChar w:fldCharType="separate"/>
      </w:r>
      <w:r w:rsidR="0036604F" w:rsidRPr="0036604F">
        <w:rPr>
          <w:rFonts w:ascii="Times New Roman" w:hAnsi="Times New Roman" w:cs="Times New Roman"/>
          <w:bCs/>
          <w:noProof/>
          <w:sz w:val="24"/>
          <w:szCs w:val="24"/>
          <w:lang w:val="en-US"/>
        </w:rPr>
        <w:t>(5,27)</w:t>
      </w:r>
      <w:r w:rsidR="00331BD5">
        <w:rPr>
          <w:rStyle w:val="FootnoteReference"/>
          <w:rFonts w:ascii="Times New Roman" w:hAnsi="Times New Roman" w:cs="Times New Roman"/>
          <w:sz w:val="24"/>
          <w:szCs w:val="24"/>
          <w:lang w:val="en-US"/>
        </w:rPr>
        <w:fldChar w:fldCharType="end"/>
      </w:r>
      <w:r w:rsidR="002A33FD" w:rsidRPr="00C33556">
        <w:rPr>
          <w:rFonts w:ascii="Times New Roman" w:hAnsi="Times New Roman" w:cs="Times New Roman"/>
          <w:sz w:val="24"/>
          <w:szCs w:val="24"/>
          <w:lang w:val="en-US"/>
        </w:rPr>
        <w:t xml:space="preserve"> Otherwise, social justice in the scenario of immunization against COVID-19 can be achieved through awareness campaigns about the importance of vaccination or by making immunization mandatory in order to contain the spread of the SARS-CoV-2. </w:t>
      </w:r>
      <w:r w:rsidR="00331BD5">
        <w:rPr>
          <w:rStyle w:val="FootnoteReference"/>
          <w:rFonts w:ascii="Times New Roman" w:hAnsi="Times New Roman" w:cs="Times New Roman"/>
          <w:sz w:val="24"/>
          <w:szCs w:val="24"/>
          <w:lang w:val="en-US"/>
        </w:rPr>
        <w:fldChar w:fldCharType="begin" w:fldLock="1"/>
      </w:r>
      <w:r w:rsidR="0036604F">
        <w:rPr>
          <w:rFonts w:ascii="Times New Roman" w:hAnsi="Times New Roman" w:cs="Times New Roman"/>
          <w:sz w:val="24"/>
          <w:szCs w:val="24"/>
          <w:lang w:val="en-US"/>
        </w:rPr>
        <w:instrText>ADDIN CSL_CITATION {"citationItems":[{"id":"ITEM-1","itemData":{"DOI":"10.1007/978-3-319-09483-0_432","author":[{"dropping-particle":"","family":"Afolabi","given":"Michael O. S.","non-dropping-particle":"","parse-names":false,"suffix":""}],"container-title":"Encyclopedia of Global Bioethics","id":"ITEM-1","issued":{"date-parts":[["2016"]]},"page":"2911-2918","publisher":"Springer International Publishing","publisher-place":"Cham","title":"Vaccination","type":"chapter"},"uris":["http://www.mendeley.com/documents/?uuid=57c3f4e6-ab5b-411e-a0a5-f4da9072ac1b"]},{"id":"ITEM-2","itemData":{"DOI":"10.2471/BLT.12.113480","ISSN":"0042-9686","author":[{"dropping-particle":"","family":"Moodley","given":"Keymanthri","non-dropping-particle":"","parse-names":false,"suffix":""},{"dropping-particle":"","family":"Hardie","given":"Kate","non-dropping-particle":"","parse-names":false,"suffix":""},{"dropping-particle":"","family":"Selgelid","given":"Michael J","non-dropping-particle":"","parse-names":false,"suffix":""},{"dropping-particle":"","family":"Waldman","given":"Ronald J","non-dropping-particle":"","parse-names":false,"suffix":""},{"dropping-particle":"","family":"Strebel","given":"Peter","non-dropping-particle":"","parse-names":false,"suffix":""},{"dropping-particle":"","family":"Rees","given":"Helen","non-dropping-particle":"","parse-names":false,"suffix":""},{"dropping-particle":"","family":"Durrheim","given":"David N","non-dropping-particle":"","parse-names":false,"suffix":""}],"container-title":"Bulletin of the World Health Organization","id":"ITEM-2","issue":"4","issued":{"date-parts":[["2013","4","1"]]},"page":"290-297","title":"Ethical considerations for vaccination programmes in acute humanitarian emergencies","type":"article-journal","volume":"91"},"uris":["http://www.mendeley.com/documents/?uuid=8ff7ec1f-bea9-4f95-810a-25f2567cc3a5"]}],"mendeley":{"formattedCitation":"(5,27)","plainTextFormattedCitation":"(5,27)","previouslyFormattedCitation":"(Afolabi 2016; Moodley et al. 2013)"},"properties":{"noteIndex":0},"schema":"https://github.com/citation-style-language/schema/raw/master/csl-citation.json"}</w:instrText>
      </w:r>
      <w:r w:rsidR="00331BD5">
        <w:rPr>
          <w:rStyle w:val="FootnoteReference"/>
          <w:rFonts w:ascii="Times New Roman" w:hAnsi="Times New Roman" w:cs="Times New Roman"/>
          <w:sz w:val="24"/>
          <w:szCs w:val="24"/>
          <w:lang w:val="en-US"/>
        </w:rPr>
        <w:fldChar w:fldCharType="separate"/>
      </w:r>
      <w:r w:rsidR="0036604F" w:rsidRPr="0036604F">
        <w:rPr>
          <w:rFonts w:ascii="Times New Roman" w:hAnsi="Times New Roman" w:cs="Times New Roman"/>
          <w:bCs/>
          <w:noProof/>
          <w:sz w:val="24"/>
          <w:szCs w:val="24"/>
          <w:lang w:val="en-US"/>
        </w:rPr>
        <w:t>(5,27)</w:t>
      </w:r>
      <w:r w:rsidR="00331BD5">
        <w:rPr>
          <w:rStyle w:val="FootnoteReference"/>
          <w:rFonts w:ascii="Times New Roman" w:hAnsi="Times New Roman" w:cs="Times New Roman"/>
          <w:sz w:val="24"/>
          <w:szCs w:val="24"/>
          <w:lang w:val="en-US"/>
        </w:rPr>
        <w:fldChar w:fldCharType="end"/>
      </w:r>
      <w:r w:rsidR="002A33FD" w:rsidRPr="00C33556">
        <w:rPr>
          <w:rFonts w:ascii="Times New Roman" w:hAnsi="Times New Roman" w:cs="Times New Roman"/>
          <w:sz w:val="24"/>
          <w:szCs w:val="24"/>
          <w:lang w:val="en-US"/>
        </w:rPr>
        <w:t xml:space="preserve"> However, the adoption of balanced measures between the personal and the social can constitute a good way to encourage immunization and avoid strife, since, even under mandatory conditions, vaccination hesitation can still persist</w:t>
      </w:r>
      <w:r w:rsidR="009F05C6" w:rsidRPr="00C33556">
        <w:rPr>
          <w:rFonts w:ascii="Times New Roman" w:hAnsi="Times New Roman" w:cs="Times New Roman"/>
          <w:sz w:val="24"/>
          <w:szCs w:val="24"/>
          <w:lang w:val="en-US"/>
        </w:rPr>
        <w:t>.</w:t>
      </w:r>
      <w:r w:rsidR="00331BD5">
        <w:rPr>
          <w:rStyle w:val="FootnoteReference"/>
          <w:rFonts w:ascii="Times New Roman" w:hAnsi="Times New Roman" w:cs="Times New Roman"/>
          <w:sz w:val="24"/>
          <w:szCs w:val="24"/>
        </w:rPr>
        <w:fldChar w:fldCharType="begin" w:fldLock="1"/>
      </w:r>
      <w:r w:rsidR="0036604F">
        <w:rPr>
          <w:rFonts w:ascii="Times New Roman" w:hAnsi="Times New Roman" w:cs="Times New Roman"/>
          <w:sz w:val="24"/>
          <w:szCs w:val="24"/>
          <w:lang w:val="en-US"/>
        </w:rPr>
        <w:instrText>ADDIN CSL_CITATION {"citationItems":[{"id":"ITEM-1","itemData":{"DOI":"10.1007/978-3-319-09483-0_432","author":[{"dropping-particle":"","family":"Afolabi","given":"Michael O. S.","non-dropping-particle":"","parse-names":false,"suffix":""}],"container-title":"Encyclopedia of Global Bioethics","id":"ITEM-1","issued":{"date-parts":[["2016"]]},"page":"2911-2918","publisher":"Springer International Publishing","publisher-place":"Cham","title":"Vaccination","type":"chapter"},"uris":["http://www.mendeley.com/documents/?uuid=57c3f4e6-ab5b-411e-a0a5-f4da9072ac1b"]},{"id":"ITEM-2","itemData":{"DOI":"10.2471/BLT.12.113480","ISSN":"0042-9686","author":[{"dropping-particle":"","family":"Moodley","given":"Keymanthri","non-dropping-particle":"","parse-names":false,"suffix":""},{"dropping-particle":"","family":"Hardie","given":"Kate","non-dropping-particle":"","parse-names":false,"suffix":""},{"dropping-particle":"","family":"Selgelid","given":"Michael J","non-dropping-particle":"","parse-names":false,"suffix":""},{"dropping-particle":"","family":"Waldman","given":"Ronald J","non-dropping-particle":"","parse-names":false,"suffix":""},{"dropping-particle":"","family":"Strebel","given":"Peter","non-dropping-particle":"","parse-names":false,"suffix":""},{"dropping-particle":"","family":"Rees","given":"Helen","non-dropping-particle":"","parse-names":false,"suffix":""},{"dropping-particle":"","family":"Durrheim","given":"David N","non-dropping-particle":"","parse-names":false,"suffix":""}],"container-title":"Bulletin of the World Health Organization","id":"ITEM-2","issue":"4","issued":{"date-parts":[["2013","4","1"]]},"page":"290-297","title":"Ethical considerations for vaccination programmes in acute humanitarian emergencies","type":"article-journal","volume":"91"},"uris":["http://www.mendeley.com/documents/?uuid=8ff7ec1f-bea9-4f95-810a-25f2567cc3a5"]}],"mendeley":{"formattedCitation":"(5,27)","plainTextFormattedCitation":"(5,27)","previouslyFormattedCitation":"(Afolabi 2016; Moodley et al. 2013)"},"properties":{"noteIndex":0},"schema":"https://github.com/citation-style-language/schema/raw/master/csl-citation.json"}</w:instrText>
      </w:r>
      <w:r w:rsidR="00331BD5">
        <w:rPr>
          <w:rStyle w:val="FootnoteReference"/>
          <w:rFonts w:ascii="Times New Roman" w:hAnsi="Times New Roman" w:cs="Times New Roman"/>
          <w:sz w:val="24"/>
          <w:szCs w:val="24"/>
        </w:rPr>
        <w:fldChar w:fldCharType="separate"/>
      </w:r>
      <w:r w:rsidR="0036604F" w:rsidRPr="0036604F">
        <w:rPr>
          <w:rFonts w:ascii="Times New Roman" w:hAnsi="Times New Roman" w:cs="Times New Roman"/>
          <w:bCs/>
          <w:noProof/>
          <w:sz w:val="24"/>
          <w:szCs w:val="24"/>
          <w:lang w:val="en-US"/>
        </w:rPr>
        <w:t>(5,27)</w:t>
      </w:r>
      <w:r w:rsidR="00331BD5">
        <w:rPr>
          <w:rStyle w:val="FootnoteReference"/>
          <w:rFonts w:ascii="Times New Roman" w:hAnsi="Times New Roman" w:cs="Times New Roman"/>
          <w:sz w:val="24"/>
          <w:szCs w:val="24"/>
        </w:rPr>
        <w:fldChar w:fldCharType="end"/>
      </w:r>
      <w:r w:rsidR="00EF4D55" w:rsidRPr="00C33556">
        <w:rPr>
          <w:rFonts w:ascii="Times New Roman" w:hAnsi="Times New Roman" w:cs="Times New Roman"/>
          <w:sz w:val="24"/>
          <w:szCs w:val="24"/>
          <w:lang w:val="en-US"/>
        </w:rPr>
        <w:t xml:space="preserve"> </w:t>
      </w:r>
      <w:r w:rsidR="00BE3A0A" w:rsidRPr="00C33556">
        <w:rPr>
          <w:rFonts w:ascii="Times New Roman" w:hAnsi="Times New Roman" w:cs="Times New Roman"/>
          <w:sz w:val="24"/>
          <w:szCs w:val="24"/>
          <w:lang w:val="en-US"/>
        </w:rPr>
        <w:t xml:space="preserve"> </w:t>
      </w:r>
      <w:r w:rsidR="00EF4D55" w:rsidRPr="00C33556">
        <w:rPr>
          <w:rFonts w:ascii="Times New Roman" w:hAnsi="Times New Roman" w:cs="Times New Roman"/>
          <w:sz w:val="24"/>
          <w:szCs w:val="24"/>
          <w:lang w:val="en-US"/>
        </w:rPr>
        <w:t>In this context, the hesitation related to COVID-19 vaccines in emergency use has been related to the rapidity that vaccines have gone through the development process reaching use in the population, especially messenger RNA platform vaccines, which have no precedent for approval for use in humans and the emergence of conspiracy theories on social networks fueled by the politicization of vaccines</w:t>
      </w:r>
      <w:r w:rsidR="00BE3A0A" w:rsidRPr="00C33556">
        <w:rPr>
          <w:rFonts w:ascii="Times New Roman" w:hAnsi="Times New Roman" w:cs="Times New Roman"/>
          <w:sz w:val="24"/>
          <w:szCs w:val="24"/>
          <w:lang w:val="en-US"/>
        </w:rPr>
        <w:t>.</w:t>
      </w:r>
    </w:p>
    <w:p w14:paraId="01F82216" w14:textId="5007BC79" w:rsidR="00873C1F" w:rsidRDefault="00EF4D55" w:rsidP="00001BF6">
      <w:pPr>
        <w:spacing w:line="480" w:lineRule="auto"/>
        <w:ind w:firstLine="708"/>
        <w:jc w:val="both"/>
        <w:rPr>
          <w:rFonts w:ascii="Times New Roman" w:hAnsi="Times New Roman" w:cs="Times New Roman"/>
          <w:sz w:val="24"/>
          <w:szCs w:val="24"/>
          <w:lang w:val="en-US"/>
        </w:rPr>
      </w:pPr>
      <w:r w:rsidRPr="00C33556">
        <w:rPr>
          <w:rFonts w:ascii="Times New Roman" w:hAnsi="Times New Roman" w:cs="Times New Roman"/>
          <w:sz w:val="24"/>
          <w:szCs w:val="24"/>
          <w:lang w:val="en-US"/>
        </w:rPr>
        <w:t>Therefore, surveillance, can contribute to justice to measure, by seeking a better allocation of resources, providing greater confidence and adherence to immunization plans against COVID</w:t>
      </w:r>
      <w:r w:rsidR="003516EB">
        <w:rPr>
          <w:rFonts w:ascii="Times New Roman" w:hAnsi="Times New Roman" w:cs="Times New Roman"/>
          <w:sz w:val="24"/>
          <w:szCs w:val="24"/>
          <w:lang w:val="en-US"/>
        </w:rPr>
        <w:t>-</w:t>
      </w:r>
      <w:r w:rsidRPr="00C33556">
        <w:rPr>
          <w:rFonts w:ascii="Times New Roman" w:hAnsi="Times New Roman" w:cs="Times New Roman"/>
          <w:sz w:val="24"/>
          <w:szCs w:val="24"/>
          <w:lang w:val="en-US"/>
        </w:rPr>
        <w:t xml:space="preserve">19, as it ensures the population the existence of government control in monitoring effectiveness and safety of vaccines. In addition, measures to collect information </w:t>
      </w:r>
      <w:r w:rsidRPr="00C33556">
        <w:rPr>
          <w:rFonts w:ascii="Times New Roman" w:hAnsi="Times New Roman" w:cs="Times New Roman"/>
          <w:sz w:val="24"/>
          <w:szCs w:val="24"/>
          <w:lang w:val="en-US"/>
        </w:rPr>
        <w:lastRenderedPageBreak/>
        <w:t xml:space="preserve">about the reason for hesitation </w:t>
      </w:r>
      <w:r w:rsidR="003516EB" w:rsidRPr="00C33556">
        <w:rPr>
          <w:rFonts w:ascii="Times New Roman" w:hAnsi="Times New Roman" w:cs="Times New Roman"/>
          <w:sz w:val="24"/>
          <w:szCs w:val="24"/>
          <w:lang w:val="en-US"/>
        </w:rPr>
        <w:t xml:space="preserve">as </w:t>
      </w:r>
      <w:r w:rsidR="003516EB" w:rsidRPr="003516EB">
        <w:rPr>
          <w:rFonts w:ascii="Times New Roman" w:hAnsi="Times New Roman" w:cs="Times New Roman"/>
          <w:sz w:val="24"/>
          <w:szCs w:val="24"/>
          <w:lang w:val="en-US"/>
        </w:rPr>
        <w:t>practiced</w:t>
      </w:r>
      <w:r w:rsidRPr="00C33556">
        <w:rPr>
          <w:rFonts w:ascii="Times New Roman" w:hAnsi="Times New Roman" w:cs="Times New Roman"/>
          <w:sz w:val="24"/>
          <w:szCs w:val="24"/>
          <w:lang w:val="en-US"/>
        </w:rPr>
        <w:t xml:space="preserve"> in the NHS consent form can assist in directing broad awareness campaigns that improve the confidence and adherence of the population </w:t>
      </w:r>
      <w:r w:rsidR="003516EB" w:rsidRPr="00C33556">
        <w:rPr>
          <w:rFonts w:ascii="Times New Roman" w:hAnsi="Times New Roman" w:cs="Times New Roman"/>
          <w:sz w:val="24"/>
          <w:szCs w:val="24"/>
          <w:lang w:val="en-US"/>
        </w:rPr>
        <w:t xml:space="preserve">to </w:t>
      </w:r>
      <w:r w:rsidR="003516EB">
        <w:rPr>
          <w:rFonts w:ascii="Times New Roman" w:hAnsi="Times New Roman" w:cs="Times New Roman"/>
          <w:sz w:val="24"/>
          <w:szCs w:val="24"/>
          <w:lang w:val="en-US"/>
        </w:rPr>
        <w:t>COVID-</w:t>
      </w:r>
      <w:r w:rsidRPr="00C33556">
        <w:rPr>
          <w:rFonts w:ascii="Times New Roman" w:hAnsi="Times New Roman" w:cs="Times New Roman"/>
          <w:sz w:val="24"/>
          <w:szCs w:val="24"/>
          <w:lang w:val="en-US"/>
        </w:rPr>
        <w:t>19 vaccines in emergency use.</w:t>
      </w:r>
    </w:p>
    <w:p w14:paraId="53D653DC" w14:textId="77777777" w:rsidR="00001BF6" w:rsidRPr="00C33556" w:rsidRDefault="00001BF6" w:rsidP="00001BF6">
      <w:pPr>
        <w:spacing w:line="480" w:lineRule="auto"/>
        <w:ind w:firstLine="708"/>
        <w:jc w:val="both"/>
        <w:rPr>
          <w:rFonts w:ascii="Times New Roman" w:hAnsi="Times New Roman" w:cs="Times New Roman"/>
          <w:sz w:val="24"/>
          <w:szCs w:val="24"/>
          <w:lang w:val="en-US"/>
        </w:rPr>
      </w:pPr>
    </w:p>
    <w:p w14:paraId="45A31B15" w14:textId="312ADA02" w:rsidR="008078B7" w:rsidRPr="00C33556" w:rsidRDefault="0001504A" w:rsidP="004D1408">
      <w:pPr>
        <w:spacing w:line="480" w:lineRule="auto"/>
        <w:ind w:firstLine="708"/>
        <w:jc w:val="both"/>
        <w:rPr>
          <w:rFonts w:ascii="Times New Roman" w:hAnsi="Times New Roman" w:cs="Times New Roman"/>
          <w:b/>
          <w:bCs/>
          <w:sz w:val="24"/>
          <w:szCs w:val="24"/>
          <w:lang w:val="en-US"/>
        </w:rPr>
      </w:pPr>
      <w:r w:rsidRPr="00C33556">
        <w:rPr>
          <w:rFonts w:ascii="Times New Roman" w:hAnsi="Times New Roman" w:cs="Times New Roman"/>
          <w:b/>
          <w:bCs/>
          <w:sz w:val="24"/>
          <w:szCs w:val="24"/>
          <w:lang w:val="en-US"/>
        </w:rPr>
        <w:t>5 CONCLUSIONS</w:t>
      </w:r>
    </w:p>
    <w:p w14:paraId="39542662" w14:textId="772CA415" w:rsidR="006F61DE" w:rsidRDefault="00DA45F2" w:rsidP="006F61DE">
      <w:pPr>
        <w:spacing w:line="480" w:lineRule="auto"/>
        <w:ind w:firstLine="708"/>
        <w:jc w:val="both"/>
        <w:rPr>
          <w:rFonts w:ascii="Times New Roman" w:hAnsi="Times New Roman" w:cs="Times New Roman"/>
          <w:sz w:val="24"/>
          <w:szCs w:val="24"/>
          <w:lang w:val="en-US"/>
        </w:rPr>
      </w:pPr>
      <w:bookmarkStart w:id="8" w:name="_Hlk72591932"/>
      <w:r w:rsidRPr="00C33556">
        <w:rPr>
          <w:rFonts w:ascii="Times New Roman" w:hAnsi="Times New Roman" w:cs="Times New Roman"/>
          <w:sz w:val="24"/>
          <w:szCs w:val="24"/>
          <w:lang w:val="en-US"/>
        </w:rPr>
        <w:t>Herein, we present an approach to the bioethical precepts of autonomy, non-maleficence, beneficence and justice in the context of the emergency use of COVID</w:t>
      </w:r>
      <w:r w:rsidR="003516EB">
        <w:rPr>
          <w:rFonts w:ascii="Times New Roman" w:hAnsi="Times New Roman" w:cs="Times New Roman"/>
          <w:sz w:val="24"/>
          <w:szCs w:val="24"/>
          <w:lang w:val="en-US"/>
        </w:rPr>
        <w:t>-</w:t>
      </w:r>
      <w:r w:rsidRPr="00C33556">
        <w:rPr>
          <w:rFonts w:ascii="Times New Roman" w:hAnsi="Times New Roman" w:cs="Times New Roman"/>
          <w:sz w:val="24"/>
          <w:szCs w:val="24"/>
          <w:lang w:val="en-US"/>
        </w:rPr>
        <w:t>19 vaccines.</w:t>
      </w:r>
      <w:r w:rsidR="006F61DE" w:rsidRPr="00C33556">
        <w:rPr>
          <w:rFonts w:ascii="Times New Roman" w:hAnsi="Times New Roman" w:cs="Times New Roman"/>
          <w:sz w:val="24"/>
          <w:szCs w:val="24"/>
          <w:lang w:val="en-US"/>
        </w:rPr>
        <w:t xml:space="preserve"> </w:t>
      </w:r>
      <w:bookmarkEnd w:id="8"/>
      <w:r w:rsidR="00E31756" w:rsidRPr="00E31756">
        <w:rPr>
          <w:rFonts w:ascii="Times New Roman" w:hAnsi="Times New Roman" w:cs="Times New Roman"/>
          <w:sz w:val="24"/>
          <w:szCs w:val="24"/>
          <w:lang w:val="en-US"/>
        </w:rPr>
        <w:t>Furthermore, the importance of surveillance is highlighted as a fundamental requirement from the stages of clinical and pre-clinical examinations to post-licensing. In this sense, surveillance contributes to the observance of bioethical precepts, especially with regard to monitoring and adoption of early measures in case of adverse effects during the emergency use of vaccines, playing a role in promoting the trust of population in the plans of immunization</w:t>
      </w:r>
      <w:r w:rsidR="00E31756">
        <w:rPr>
          <w:rFonts w:ascii="Times New Roman" w:hAnsi="Times New Roman" w:cs="Times New Roman"/>
          <w:sz w:val="24"/>
          <w:szCs w:val="24"/>
          <w:lang w:val="en-US"/>
        </w:rPr>
        <w:t xml:space="preserve">. </w:t>
      </w:r>
      <w:r w:rsidR="00A67B53" w:rsidRPr="00C33556">
        <w:rPr>
          <w:rFonts w:ascii="Times New Roman" w:hAnsi="Times New Roman" w:cs="Times New Roman"/>
          <w:sz w:val="24"/>
          <w:szCs w:val="24"/>
          <w:lang w:val="en-US"/>
        </w:rPr>
        <w:t xml:space="preserve">However, the new paradigm in vaccine development determined by COVID-19, characterized by high speed in development, </w:t>
      </w:r>
      <w:r w:rsidR="00951AA8">
        <w:rPr>
          <w:rFonts w:ascii="Times New Roman" w:hAnsi="Times New Roman" w:cs="Times New Roman"/>
          <w:sz w:val="24"/>
          <w:szCs w:val="24"/>
          <w:lang w:val="en-US"/>
        </w:rPr>
        <w:t xml:space="preserve">a </w:t>
      </w:r>
      <w:r w:rsidR="00A67B53" w:rsidRPr="00C33556">
        <w:rPr>
          <w:rFonts w:ascii="Times New Roman" w:hAnsi="Times New Roman" w:cs="Times New Roman"/>
          <w:sz w:val="24"/>
          <w:szCs w:val="24"/>
          <w:lang w:val="en-US"/>
        </w:rPr>
        <w:t>large number of vaccine candidates, availability of new platforms and, in the possibility of emergency use in order to respond to viral spread around the world, requires an expansion of the debates about the bioethical developments arising from the implementation of the immunization plans against COVID-19.</w:t>
      </w:r>
    </w:p>
    <w:p w14:paraId="069FBE55" w14:textId="65448258" w:rsidR="004B4C91" w:rsidRDefault="004B4C91" w:rsidP="006F61DE">
      <w:pPr>
        <w:spacing w:line="480" w:lineRule="auto"/>
        <w:ind w:firstLine="708"/>
        <w:jc w:val="both"/>
        <w:rPr>
          <w:rFonts w:ascii="Times New Roman" w:hAnsi="Times New Roman" w:cs="Times New Roman"/>
          <w:sz w:val="24"/>
          <w:szCs w:val="24"/>
          <w:lang w:val="en-US"/>
        </w:rPr>
      </w:pPr>
    </w:p>
    <w:p w14:paraId="10495D96" w14:textId="69980161" w:rsidR="00580349" w:rsidRDefault="00580349" w:rsidP="006F61DE">
      <w:pPr>
        <w:spacing w:line="480" w:lineRule="auto"/>
        <w:ind w:firstLine="708"/>
        <w:jc w:val="both"/>
        <w:rPr>
          <w:rFonts w:ascii="Times New Roman" w:hAnsi="Times New Roman" w:cs="Times New Roman"/>
          <w:sz w:val="24"/>
          <w:szCs w:val="24"/>
          <w:lang w:val="en-US"/>
        </w:rPr>
      </w:pPr>
    </w:p>
    <w:p w14:paraId="0779E7CB" w14:textId="6ABE0C64" w:rsidR="00580349" w:rsidRDefault="00580349" w:rsidP="006F61DE">
      <w:pPr>
        <w:spacing w:line="480" w:lineRule="auto"/>
        <w:ind w:firstLine="708"/>
        <w:jc w:val="both"/>
        <w:rPr>
          <w:rFonts w:ascii="Times New Roman" w:hAnsi="Times New Roman" w:cs="Times New Roman"/>
          <w:sz w:val="24"/>
          <w:szCs w:val="24"/>
          <w:lang w:val="en-US"/>
        </w:rPr>
      </w:pPr>
    </w:p>
    <w:p w14:paraId="4C058312" w14:textId="77777777" w:rsidR="00001BF6" w:rsidRPr="00C33556" w:rsidRDefault="00001BF6" w:rsidP="00047833">
      <w:pPr>
        <w:spacing w:line="480" w:lineRule="auto"/>
        <w:jc w:val="both"/>
        <w:rPr>
          <w:rFonts w:ascii="Times New Roman" w:hAnsi="Times New Roman" w:cs="Times New Roman"/>
          <w:sz w:val="24"/>
          <w:szCs w:val="24"/>
          <w:lang w:val="en-US"/>
        </w:rPr>
      </w:pPr>
    </w:p>
    <w:p w14:paraId="0392A682" w14:textId="77CE24B8" w:rsidR="00887E02" w:rsidRPr="00DB1B92" w:rsidRDefault="000F5E9F" w:rsidP="00887E02">
      <w:pPr>
        <w:rPr>
          <w:rFonts w:ascii="Times New Roman" w:hAnsi="Times New Roman" w:cs="Times New Roman"/>
          <w:b/>
          <w:bCs/>
          <w:sz w:val="24"/>
          <w:szCs w:val="24"/>
          <w:lang w:val="en-GB"/>
        </w:rPr>
      </w:pPr>
      <w:r w:rsidRPr="00DB1B92">
        <w:rPr>
          <w:rFonts w:ascii="Times New Roman" w:hAnsi="Times New Roman" w:cs="Times New Roman"/>
          <w:b/>
          <w:bCs/>
          <w:sz w:val="24"/>
          <w:szCs w:val="24"/>
          <w:lang w:val="en-GB"/>
        </w:rPr>
        <w:lastRenderedPageBreak/>
        <w:t>REFERENCES</w:t>
      </w:r>
    </w:p>
    <w:p w14:paraId="1ADC16D9" w14:textId="77777777" w:rsidR="00D61451" w:rsidRPr="00DB1B92" w:rsidRDefault="00D61451" w:rsidP="00887E02">
      <w:pPr>
        <w:rPr>
          <w:rFonts w:ascii="Times New Roman" w:hAnsi="Times New Roman" w:cs="Times New Roman"/>
          <w:sz w:val="24"/>
          <w:szCs w:val="24"/>
          <w:lang w:val="en-GB"/>
        </w:rPr>
      </w:pPr>
    </w:p>
    <w:p w14:paraId="3E2F52E1" w14:textId="150C6A19" w:rsidR="0036604F" w:rsidRPr="00A02E81" w:rsidRDefault="00887E02" w:rsidP="0036604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C33556">
        <w:rPr>
          <w:rFonts w:ascii="Times New Roman" w:hAnsi="Times New Roman" w:cs="Times New Roman"/>
          <w:sz w:val="24"/>
          <w:szCs w:val="24"/>
        </w:rPr>
        <w:fldChar w:fldCharType="begin" w:fldLock="1"/>
      </w:r>
      <w:r w:rsidRPr="00DB1B92">
        <w:rPr>
          <w:rFonts w:ascii="Times New Roman" w:hAnsi="Times New Roman" w:cs="Times New Roman"/>
          <w:sz w:val="24"/>
          <w:szCs w:val="24"/>
          <w:lang w:val="en-GB"/>
        </w:rPr>
        <w:instrText xml:space="preserve">ADDIN Mendeley Bibliography CSL_BIBLIOGRAPHY </w:instrText>
      </w:r>
      <w:r w:rsidRPr="00C33556">
        <w:rPr>
          <w:rFonts w:ascii="Times New Roman" w:hAnsi="Times New Roman" w:cs="Times New Roman"/>
          <w:sz w:val="24"/>
          <w:szCs w:val="24"/>
        </w:rPr>
        <w:fldChar w:fldCharType="separate"/>
      </w:r>
      <w:r w:rsidR="0036604F" w:rsidRPr="00A02E81">
        <w:rPr>
          <w:rFonts w:ascii="Times New Roman" w:hAnsi="Times New Roman" w:cs="Times New Roman"/>
          <w:noProof/>
          <w:sz w:val="24"/>
          <w:szCs w:val="24"/>
          <w:lang w:val="en-US"/>
        </w:rPr>
        <w:t xml:space="preserve">1. </w:t>
      </w:r>
      <w:r w:rsidR="0036604F" w:rsidRPr="00A02E81">
        <w:rPr>
          <w:rFonts w:ascii="Times New Roman" w:hAnsi="Times New Roman" w:cs="Times New Roman"/>
          <w:noProof/>
          <w:sz w:val="24"/>
          <w:szCs w:val="24"/>
          <w:lang w:val="en-US"/>
        </w:rPr>
        <w:tab/>
        <w:t>WHO. WHO Coronavirus (COVID-19) Dashboard. WHO Coronavirus (COVID-19) Dashboard With Vaccination Data [Internet]. Who. 2021 [cited 2021 May 14]. p. 1–5. Available from: https://covid19.who.int/</w:t>
      </w:r>
    </w:p>
    <w:p w14:paraId="388B458D" w14:textId="77777777" w:rsidR="0036604F" w:rsidRPr="00A02E81" w:rsidRDefault="0036604F" w:rsidP="0036604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A02E81">
        <w:rPr>
          <w:rFonts w:ascii="Times New Roman" w:hAnsi="Times New Roman" w:cs="Times New Roman"/>
          <w:noProof/>
          <w:sz w:val="24"/>
          <w:szCs w:val="24"/>
          <w:lang w:val="en-US"/>
        </w:rPr>
        <w:t xml:space="preserve">2. </w:t>
      </w:r>
      <w:r w:rsidRPr="00A02E81">
        <w:rPr>
          <w:rFonts w:ascii="Times New Roman" w:hAnsi="Times New Roman" w:cs="Times New Roman"/>
          <w:noProof/>
          <w:sz w:val="24"/>
          <w:szCs w:val="24"/>
          <w:lang w:val="en-US"/>
        </w:rPr>
        <w:tab/>
        <w:t>Tregoning JS, Brown ES, Cheeseman HM, Flight KE, Higham SL, Lemm N ‐M., et al. Vaccines for COVID-19. Clin Exp Immunol [Internet]. 2020 Nov 18;202(2):162–92. Available from: https://onlinelibrary.wiley.com/doi/10.1111/cei.13517</w:t>
      </w:r>
    </w:p>
    <w:p w14:paraId="51F7F475" w14:textId="77777777" w:rsidR="0036604F" w:rsidRPr="00A02E81" w:rsidRDefault="0036604F" w:rsidP="0036604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A02E81">
        <w:rPr>
          <w:rFonts w:ascii="Times New Roman" w:hAnsi="Times New Roman" w:cs="Times New Roman"/>
          <w:noProof/>
          <w:sz w:val="24"/>
          <w:szCs w:val="24"/>
          <w:lang w:val="en-US"/>
        </w:rPr>
        <w:t xml:space="preserve">3. </w:t>
      </w:r>
      <w:r w:rsidRPr="00A02E81">
        <w:rPr>
          <w:rFonts w:ascii="Times New Roman" w:hAnsi="Times New Roman" w:cs="Times New Roman"/>
          <w:noProof/>
          <w:sz w:val="24"/>
          <w:szCs w:val="24"/>
          <w:lang w:val="en-US"/>
        </w:rPr>
        <w:tab/>
        <w:t>Wouters OJ, Shadlen KC, Salcher-Konrad M, Pollard AJ, Larson HJ, Teerawattananon Y, et al. Challenges in ensuring global access to COVID-19 vaccines: production, affordability, allocation, and deployment. Lancet (London, England) [Internet]. 2021 Mar 13;397(10278):1023–34. Available from: https://linkinghub.elsevier.com/retrieve/pii/S0140673621003068</w:t>
      </w:r>
    </w:p>
    <w:p w14:paraId="306A1C39" w14:textId="77777777" w:rsidR="0036604F" w:rsidRPr="00A02E81" w:rsidRDefault="0036604F" w:rsidP="0036604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A02E81">
        <w:rPr>
          <w:rFonts w:ascii="Times New Roman" w:hAnsi="Times New Roman" w:cs="Times New Roman"/>
          <w:noProof/>
          <w:sz w:val="24"/>
          <w:szCs w:val="24"/>
          <w:lang w:val="en-US"/>
        </w:rPr>
        <w:t xml:space="preserve">4. </w:t>
      </w:r>
      <w:r w:rsidRPr="00A02E81">
        <w:rPr>
          <w:rFonts w:ascii="Times New Roman" w:hAnsi="Times New Roman" w:cs="Times New Roman"/>
          <w:noProof/>
          <w:sz w:val="24"/>
          <w:szCs w:val="24"/>
          <w:lang w:val="en-US"/>
        </w:rPr>
        <w:tab/>
        <w:t>Flanagan KL, Best E, Crawford NW, Giles M, Koirala A, Macartney K, et al. Progress and Pitfalls in the Quest for Effective SARS-CoV-2 (COVID-19) Vaccines. Front Immunol [Internet]. 2020 Oct 2;11:579250. Available from: https://www.frontiersin.org/article/10.3389/fimmu.2020.579250/full</w:t>
      </w:r>
    </w:p>
    <w:p w14:paraId="71C989E0" w14:textId="77777777" w:rsidR="0036604F" w:rsidRPr="00A02E81" w:rsidRDefault="0036604F" w:rsidP="0036604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A02E81">
        <w:rPr>
          <w:rFonts w:ascii="Times New Roman" w:hAnsi="Times New Roman" w:cs="Times New Roman"/>
          <w:noProof/>
          <w:sz w:val="24"/>
          <w:szCs w:val="24"/>
          <w:lang w:val="en-US"/>
        </w:rPr>
        <w:t xml:space="preserve">5. </w:t>
      </w:r>
      <w:r w:rsidRPr="00A02E81">
        <w:rPr>
          <w:rFonts w:ascii="Times New Roman" w:hAnsi="Times New Roman" w:cs="Times New Roman"/>
          <w:noProof/>
          <w:sz w:val="24"/>
          <w:szCs w:val="24"/>
          <w:lang w:val="en-US"/>
        </w:rPr>
        <w:tab/>
        <w:t>Afolabi MOS. Vaccination. In: Encyclopedia of Global Bioethics [Internet]. Cham: Springer International Publishing; 2016. p. 2911–8. Available from: http://link.springer.com/10.1007/978-3-319-09483-0_432</w:t>
      </w:r>
    </w:p>
    <w:p w14:paraId="5BBB480A" w14:textId="77777777" w:rsidR="0036604F" w:rsidRPr="00A02E81" w:rsidRDefault="0036604F" w:rsidP="0036604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A02E81">
        <w:rPr>
          <w:rFonts w:ascii="Times New Roman" w:hAnsi="Times New Roman" w:cs="Times New Roman"/>
          <w:noProof/>
          <w:sz w:val="24"/>
          <w:szCs w:val="24"/>
          <w:lang w:val="en-US"/>
        </w:rPr>
        <w:t xml:space="preserve">6. </w:t>
      </w:r>
      <w:r w:rsidRPr="00A02E81">
        <w:rPr>
          <w:rFonts w:ascii="Times New Roman" w:hAnsi="Times New Roman" w:cs="Times New Roman"/>
          <w:noProof/>
          <w:sz w:val="24"/>
          <w:szCs w:val="24"/>
          <w:lang w:val="en-US"/>
        </w:rPr>
        <w:tab/>
        <w:t>Vashishtha VM, Kumar P. Emergency use authorisation of Covid-19 vaccines:An ethical conundrum. Indian J Med Ethics [Internet]. 2021 Feb 16;06(01):20–2. Available from: https://ijme.in/articles/emergency-use-authorisation-of-covid-19-vaccines-an-ethical-conundrum/</w:t>
      </w:r>
    </w:p>
    <w:p w14:paraId="3AC7969A" w14:textId="77777777" w:rsidR="0036604F" w:rsidRPr="00A02E81" w:rsidRDefault="0036604F" w:rsidP="0036604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36604F">
        <w:rPr>
          <w:rFonts w:ascii="Times New Roman" w:hAnsi="Times New Roman" w:cs="Times New Roman"/>
          <w:noProof/>
          <w:sz w:val="24"/>
          <w:szCs w:val="24"/>
        </w:rPr>
        <w:t xml:space="preserve">7. </w:t>
      </w:r>
      <w:r w:rsidRPr="0036604F">
        <w:rPr>
          <w:rFonts w:ascii="Times New Roman" w:hAnsi="Times New Roman" w:cs="Times New Roman"/>
          <w:noProof/>
          <w:sz w:val="24"/>
          <w:szCs w:val="24"/>
        </w:rPr>
        <w:tab/>
        <w:t xml:space="preserve">Ospina Henao S, Marín Mora A, Chan Solano F, Ávila-Aguero ML. </w:t>
      </w:r>
      <w:r w:rsidRPr="00A02E81">
        <w:rPr>
          <w:rFonts w:ascii="Times New Roman" w:hAnsi="Times New Roman" w:cs="Times New Roman"/>
          <w:noProof/>
          <w:sz w:val="24"/>
          <w:szCs w:val="24"/>
          <w:lang w:val="en-US"/>
        </w:rPr>
        <w:t>Bioethical Implications in Vaccine Development, a COVID-19 Challenge. Cureus [Internet]. 2020 Sep 18;12(9):e10530. Available from: http://www.ncbi.nlm.nih.gov/pubmed/33101792</w:t>
      </w:r>
    </w:p>
    <w:p w14:paraId="15E96C29" w14:textId="77777777" w:rsidR="0036604F" w:rsidRPr="00A02E81" w:rsidRDefault="0036604F" w:rsidP="0036604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A02E81">
        <w:rPr>
          <w:rFonts w:ascii="Times New Roman" w:hAnsi="Times New Roman" w:cs="Times New Roman"/>
          <w:noProof/>
          <w:sz w:val="24"/>
          <w:szCs w:val="24"/>
          <w:lang w:val="en-US"/>
        </w:rPr>
        <w:t xml:space="preserve">8. </w:t>
      </w:r>
      <w:r w:rsidRPr="00A02E81">
        <w:rPr>
          <w:rFonts w:ascii="Times New Roman" w:hAnsi="Times New Roman" w:cs="Times New Roman"/>
          <w:noProof/>
          <w:sz w:val="24"/>
          <w:szCs w:val="24"/>
          <w:lang w:val="en-US"/>
        </w:rPr>
        <w:tab/>
        <w:t>Krause PR, Gruber MF. Emergency Use Authorization of Covid Vaccines — Safety and Efficacy Follow-up Considerations. N Engl J Med [Internet]. 2020 Nov 5;383(19):e107. Available from: http://www.nejm.org/doi/10.1056/NEJMp2031373</w:t>
      </w:r>
    </w:p>
    <w:p w14:paraId="36E72F0C" w14:textId="77777777" w:rsidR="0036604F" w:rsidRPr="00A02E81" w:rsidRDefault="0036604F" w:rsidP="0036604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A02E81">
        <w:rPr>
          <w:rFonts w:ascii="Times New Roman" w:hAnsi="Times New Roman" w:cs="Times New Roman"/>
          <w:noProof/>
          <w:sz w:val="24"/>
          <w:szCs w:val="24"/>
          <w:lang w:val="en-US"/>
        </w:rPr>
        <w:t xml:space="preserve">9. </w:t>
      </w:r>
      <w:r w:rsidRPr="00A02E81">
        <w:rPr>
          <w:rFonts w:ascii="Times New Roman" w:hAnsi="Times New Roman" w:cs="Times New Roman"/>
          <w:noProof/>
          <w:sz w:val="24"/>
          <w:szCs w:val="24"/>
          <w:lang w:val="en-US"/>
        </w:rPr>
        <w:tab/>
        <w:t xml:space="preserve">Stern PL. Key steps in vaccine development. </w:t>
      </w:r>
      <w:r w:rsidRPr="00DB1B92">
        <w:rPr>
          <w:rFonts w:ascii="Times New Roman" w:hAnsi="Times New Roman" w:cs="Times New Roman"/>
          <w:noProof/>
          <w:sz w:val="24"/>
          <w:szCs w:val="24"/>
          <w:lang w:val="de-DE"/>
        </w:rPr>
        <w:t xml:space="preserve">Ann Allergy Asthma Immunol [Internet]. </w:t>
      </w:r>
      <w:r w:rsidRPr="00A02E81">
        <w:rPr>
          <w:rFonts w:ascii="Times New Roman" w:hAnsi="Times New Roman" w:cs="Times New Roman"/>
          <w:noProof/>
          <w:sz w:val="24"/>
          <w:szCs w:val="24"/>
          <w:lang w:val="en-US"/>
        </w:rPr>
        <w:t>2020 Jul;125(1):17–27. Available from: https://linkinghub.elsevier.com/retrieve/pii/S1081120620300715</w:t>
      </w:r>
    </w:p>
    <w:p w14:paraId="5E04A424" w14:textId="77777777" w:rsidR="0036604F" w:rsidRPr="00A02E81" w:rsidRDefault="0036604F" w:rsidP="0036604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A02E81">
        <w:rPr>
          <w:rFonts w:ascii="Times New Roman" w:hAnsi="Times New Roman" w:cs="Times New Roman"/>
          <w:noProof/>
          <w:sz w:val="24"/>
          <w:szCs w:val="24"/>
          <w:lang w:val="en-US"/>
        </w:rPr>
        <w:t xml:space="preserve">10. </w:t>
      </w:r>
      <w:r w:rsidRPr="00A02E81">
        <w:rPr>
          <w:rFonts w:ascii="Times New Roman" w:hAnsi="Times New Roman" w:cs="Times New Roman"/>
          <w:noProof/>
          <w:sz w:val="24"/>
          <w:szCs w:val="24"/>
          <w:lang w:val="en-US"/>
        </w:rPr>
        <w:tab/>
      </w:r>
      <w:r w:rsidRPr="00DB1B92">
        <w:rPr>
          <w:rFonts w:ascii="Times New Roman" w:hAnsi="Times New Roman" w:cs="Times New Roman"/>
          <w:noProof/>
          <w:sz w:val="24"/>
          <w:szCs w:val="24"/>
          <w:lang w:val="de-DE"/>
        </w:rPr>
        <w:t xml:space="preserve">Shrotri M, Swinnen T, Kampmann B, Parker EPK. </w:t>
      </w:r>
      <w:r w:rsidRPr="00A02E81">
        <w:rPr>
          <w:rFonts w:ascii="Times New Roman" w:hAnsi="Times New Roman" w:cs="Times New Roman"/>
          <w:noProof/>
          <w:sz w:val="24"/>
          <w:szCs w:val="24"/>
          <w:lang w:val="en-US"/>
        </w:rPr>
        <w:t>An interactive website tracking COVID-19 vaccine development. Lancet Glob Heal [Internet]. 2021 [cited 2021 Nov 13];9(5):e590–2. Available from: https://vac-lshtm.shinyapps.io/ncov_vaccine_landscape/</w:t>
      </w:r>
    </w:p>
    <w:p w14:paraId="7319EF89" w14:textId="77777777" w:rsidR="0036604F" w:rsidRPr="00A02E81" w:rsidRDefault="0036604F" w:rsidP="0036604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A02E81">
        <w:rPr>
          <w:rFonts w:ascii="Times New Roman" w:hAnsi="Times New Roman" w:cs="Times New Roman"/>
          <w:noProof/>
          <w:sz w:val="24"/>
          <w:szCs w:val="24"/>
          <w:lang w:val="en-US"/>
        </w:rPr>
        <w:t xml:space="preserve">11. </w:t>
      </w:r>
      <w:r w:rsidRPr="00A02E81">
        <w:rPr>
          <w:rFonts w:ascii="Times New Roman" w:hAnsi="Times New Roman" w:cs="Times New Roman"/>
          <w:noProof/>
          <w:sz w:val="24"/>
          <w:szCs w:val="24"/>
          <w:lang w:val="en-US"/>
        </w:rPr>
        <w:tab/>
        <w:t xml:space="preserve">CDC. Vaccine Testing and Approval Process | CDC [Internet]. Vaccines and Immunizations. 2016 [cited 2021 May 14]. Available from: </w:t>
      </w:r>
      <w:r w:rsidRPr="00A02E81">
        <w:rPr>
          <w:rFonts w:ascii="Times New Roman" w:hAnsi="Times New Roman" w:cs="Times New Roman"/>
          <w:noProof/>
          <w:sz w:val="24"/>
          <w:szCs w:val="24"/>
          <w:lang w:val="en-US"/>
        </w:rPr>
        <w:lastRenderedPageBreak/>
        <w:t>https://www.cdc.gov/vaccines/basics/test-approve.html</w:t>
      </w:r>
    </w:p>
    <w:p w14:paraId="450761A4" w14:textId="77777777" w:rsidR="0036604F" w:rsidRPr="00A02E81" w:rsidRDefault="0036604F" w:rsidP="0036604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A02E81">
        <w:rPr>
          <w:rFonts w:ascii="Times New Roman" w:hAnsi="Times New Roman" w:cs="Times New Roman"/>
          <w:noProof/>
          <w:sz w:val="24"/>
          <w:szCs w:val="24"/>
          <w:lang w:val="en-US"/>
        </w:rPr>
        <w:t xml:space="preserve">12. </w:t>
      </w:r>
      <w:r w:rsidRPr="00A02E81">
        <w:rPr>
          <w:rFonts w:ascii="Times New Roman" w:hAnsi="Times New Roman" w:cs="Times New Roman"/>
          <w:noProof/>
          <w:sz w:val="24"/>
          <w:szCs w:val="24"/>
          <w:lang w:val="en-US"/>
        </w:rPr>
        <w:tab/>
        <w:t>Bowman J. Vaccine Development, Testing, and Regulation | History of Vaccines [Internet]. The college of Physicians of Philadelphia. 2016 [cited 2021 May 16]. Available from: https://www.historyofvaccines.org/content/articles/vaccine-development-testing-and-regulation%0Ahttps://www.historyofvaccines.org/content/articles/vaccine-development-testing-and-regulation%0Ahttps://www.historyofvaccines.org/content/articles/vaccine-deve</w:t>
      </w:r>
    </w:p>
    <w:p w14:paraId="4739A89E" w14:textId="77777777" w:rsidR="0036604F" w:rsidRPr="00A02E81" w:rsidRDefault="0036604F" w:rsidP="0036604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DB1B92">
        <w:rPr>
          <w:rFonts w:ascii="Times New Roman" w:hAnsi="Times New Roman" w:cs="Times New Roman"/>
          <w:noProof/>
          <w:sz w:val="24"/>
          <w:szCs w:val="24"/>
          <w:lang w:val="es-ES"/>
        </w:rPr>
        <w:t xml:space="preserve">13. </w:t>
      </w:r>
      <w:r w:rsidRPr="00DB1B92">
        <w:rPr>
          <w:rFonts w:ascii="Times New Roman" w:hAnsi="Times New Roman" w:cs="Times New Roman"/>
          <w:noProof/>
          <w:sz w:val="24"/>
          <w:szCs w:val="24"/>
          <w:lang w:val="es-ES"/>
        </w:rPr>
        <w:tab/>
        <w:t xml:space="preserve">Huang C, Wang Y, Li X, Ren L, Zhao J, Hu Y, et al. </w:t>
      </w:r>
      <w:r w:rsidRPr="00A02E81">
        <w:rPr>
          <w:rFonts w:ascii="Times New Roman" w:hAnsi="Times New Roman" w:cs="Times New Roman"/>
          <w:noProof/>
          <w:sz w:val="24"/>
          <w:szCs w:val="24"/>
          <w:lang w:val="en-US"/>
        </w:rPr>
        <w:t>Clinical features of patients infected with 2019 novel coronavirus in Wuhan, China. Lancet (London, England) [Internet]. 2020;395(10223):497–506. Available from: http://www.ncbi.nlm.nih.gov/pubmed/31986264</w:t>
      </w:r>
    </w:p>
    <w:p w14:paraId="0A069FA6" w14:textId="77777777" w:rsidR="0036604F" w:rsidRPr="00A02E81" w:rsidRDefault="0036604F" w:rsidP="0036604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A02E81">
        <w:rPr>
          <w:rFonts w:ascii="Times New Roman" w:hAnsi="Times New Roman" w:cs="Times New Roman"/>
          <w:noProof/>
          <w:sz w:val="24"/>
          <w:szCs w:val="24"/>
          <w:lang w:val="en-US"/>
        </w:rPr>
        <w:t xml:space="preserve">14. </w:t>
      </w:r>
      <w:r w:rsidRPr="00A02E81">
        <w:rPr>
          <w:rFonts w:ascii="Times New Roman" w:hAnsi="Times New Roman" w:cs="Times New Roman"/>
          <w:noProof/>
          <w:sz w:val="24"/>
          <w:szCs w:val="24"/>
          <w:lang w:val="en-US"/>
        </w:rPr>
        <w:tab/>
        <w:t>Han S. Clinical vaccine development. Clin Exp Vaccine Res [Internet]. 2015 Jan;4(1):46–53. Available from: http://www.ncbi.nlm.nih.gov/pubmed/25648742</w:t>
      </w:r>
    </w:p>
    <w:p w14:paraId="3B276C83" w14:textId="77777777" w:rsidR="0036604F" w:rsidRPr="00A02E81" w:rsidRDefault="0036604F" w:rsidP="0036604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A02E81">
        <w:rPr>
          <w:rFonts w:ascii="Times New Roman" w:hAnsi="Times New Roman" w:cs="Times New Roman"/>
          <w:noProof/>
          <w:sz w:val="24"/>
          <w:szCs w:val="24"/>
          <w:lang w:val="en-US"/>
        </w:rPr>
        <w:t xml:space="preserve">15. </w:t>
      </w:r>
      <w:r w:rsidRPr="00A02E81">
        <w:rPr>
          <w:rFonts w:ascii="Times New Roman" w:hAnsi="Times New Roman" w:cs="Times New Roman"/>
          <w:noProof/>
          <w:sz w:val="24"/>
          <w:szCs w:val="24"/>
          <w:lang w:val="en-US"/>
        </w:rPr>
        <w:tab/>
        <w:t>World Health Organization Ethics and COVID-19 Working Group. Vaccines/COVID-19 vaccine EUL issued | WHO - Prequalification of Medical Products (IVDs, Medicines, Vaccines and Immunization Devices, Vector Control) [Internet]. 2021 [cited 2021 Nov 13]. Available from: https://extranet.who.int/pqweb/vaccines/vaccinescovid-19-vaccine-eul-issued</w:t>
      </w:r>
    </w:p>
    <w:p w14:paraId="727AA2D2" w14:textId="77777777" w:rsidR="0036604F" w:rsidRPr="00A02E81" w:rsidRDefault="0036604F" w:rsidP="0036604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A02E81">
        <w:rPr>
          <w:rFonts w:ascii="Times New Roman" w:hAnsi="Times New Roman" w:cs="Times New Roman"/>
          <w:noProof/>
          <w:sz w:val="24"/>
          <w:szCs w:val="24"/>
          <w:lang w:val="en-US"/>
        </w:rPr>
        <w:t xml:space="preserve">16. </w:t>
      </w:r>
      <w:r w:rsidRPr="00A02E81">
        <w:rPr>
          <w:rFonts w:ascii="Times New Roman" w:hAnsi="Times New Roman" w:cs="Times New Roman"/>
          <w:noProof/>
          <w:sz w:val="24"/>
          <w:szCs w:val="24"/>
          <w:lang w:val="en-US"/>
        </w:rPr>
        <w:tab/>
        <w:t>U.S. Food and Drug Administration (FDA). Emergency Use Authorization for Vaccines Explained [Internet]. 2020 [cited 2021 Feb 14]. Available from: https://www.fda.gov/vaccines-blood-biologics/vaccines/emergency-use-authorization-vaccines-explained</w:t>
      </w:r>
    </w:p>
    <w:p w14:paraId="65C54C32" w14:textId="77777777" w:rsidR="0036604F" w:rsidRPr="00A02E81" w:rsidRDefault="0036604F" w:rsidP="0036604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A02E81">
        <w:rPr>
          <w:rFonts w:ascii="Times New Roman" w:hAnsi="Times New Roman" w:cs="Times New Roman"/>
          <w:noProof/>
          <w:sz w:val="24"/>
          <w:szCs w:val="24"/>
          <w:lang w:val="en-US"/>
        </w:rPr>
        <w:t xml:space="preserve">17. </w:t>
      </w:r>
      <w:r w:rsidRPr="00A02E81">
        <w:rPr>
          <w:rFonts w:ascii="Times New Roman" w:hAnsi="Times New Roman" w:cs="Times New Roman"/>
          <w:noProof/>
          <w:sz w:val="24"/>
          <w:szCs w:val="24"/>
          <w:lang w:val="en-US"/>
        </w:rPr>
        <w:tab/>
        <w:t>WHO. Regulation and Prequalification [Internet]. World Health Organisation (WHO). 2021 [cited 2021 May 14]. Available from: https://www.who.int/teams/regulation-prequalification/eul/</w:t>
      </w:r>
    </w:p>
    <w:p w14:paraId="5D090862" w14:textId="77777777" w:rsidR="0036604F" w:rsidRPr="00A02E81" w:rsidRDefault="0036604F" w:rsidP="0036604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A02E81">
        <w:rPr>
          <w:rFonts w:ascii="Times New Roman" w:hAnsi="Times New Roman" w:cs="Times New Roman"/>
          <w:noProof/>
          <w:sz w:val="24"/>
          <w:szCs w:val="24"/>
          <w:lang w:val="en-US"/>
        </w:rPr>
        <w:t xml:space="preserve">18. </w:t>
      </w:r>
      <w:r w:rsidRPr="00A02E81">
        <w:rPr>
          <w:rFonts w:ascii="Times New Roman" w:hAnsi="Times New Roman" w:cs="Times New Roman"/>
          <w:noProof/>
          <w:sz w:val="24"/>
          <w:szCs w:val="24"/>
          <w:lang w:val="en-US"/>
        </w:rPr>
        <w:tab/>
        <w:t>World Health Organization (WHO). Coronavirus disease (COVID-19): Use of Emergency Use Listing procedure for vaccines against COVID-19 [Internet]. 2021 [cited 2021 May 15]. Available from: https://www.who.int/news-room/q-a-detail/coronavirus-disease-use-of-emergency-use-listing-procedure-forvaccines-against-covid-19</w:t>
      </w:r>
    </w:p>
    <w:p w14:paraId="3E9378DC" w14:textId="77777777" w:rsidR="0036604F" w:rsidRPr="00A02E81" w:rsidRDefault="0036604F" w:rsidP="0036604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A02E81">
        <w:rPr>
          <w:rFonts w:ascii="Times New Roman" w:hAnsi="Times New Roman" w:cs="Times New Roman"/>
          <w:noProof/>
          <w:sz w:val="24"/>
          <w:szCs w:val="24"/>
          <w:lang w:val="en-US"/>
        </w:rPr>
        <w:t xml:space="preserve">19. </w:t>
      </w:r>
      <w:r w:rsidRPr="00A02E81">
        <w:rPr>
          <w:rFonts w:ascii="Times New Roman" w:hAnsi="Times New Roman" w:cs="Times New Roman"/>
          <w:noProof/>
          <w:sz w:val="24"/>
          <w:szCs w:val="24"/>
          <w:lang w:val="en-US"/>
        </w:rPr>
        <w:tab/>
        <w:t>World Health Organization (WHO). Coronavirus disease (COVID-19): Vaccines [Internet]. 2021 [cited 2021 Jun 23]. Available from: https://www.who.int/news-room/q-a-detail/coronavirus-disease-(covid-19)-vaccines</w:t>
      </w:r>
    </w:p>
    <w:p w14:paraId="3A9060EC" w14:textId="77777777" w:rsidR="0036604F" w:rsidRPr="00A02E81" w:rsidRDefault="0036604F" w:rsidP="0036604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DB1B92">
        <w:rPr>
          <w:rFonts w:ascii="Times New Roman" w:hAnsi="Times New Roman" w:cs="Times New Roman"/>
          <w:noProof/>
          <w:sz w:val="24"/>
          <w:szCs w:val="24"/>
          <w:lang w:val="de-DE"/>
        </w:rPr>
        <w:t xml:space="preserve">20. </w:t>
      </w:r>
      <w:r w:rsidRPr="00DB1B92">
        <w:rPr>
          <w:rFonts w:ascii="Times New Roman" w:hAnsi="Times New Roman" w:cs="Times New Roman"/>
          <w:noProof/>
          <w:sz w:val="24"/>
          <w:szCs w:val="24"/>
          <w:lang w:val="de-DE"/>
        </w:rPr>
        <w:tab/>
        <w:t xml:space="preserve">Jecker NS, Wightman AG, Diekema DS. </w:t>
      </w:r>
      <w:r w:rsidRPr="00A02E81">
        <w:rPr>
          <w:rFonts w:ascii="Times New Roman" w:hAnsi="Times New Roman" w:cs="Times New Roman"/>
          <w:noProof/>
          <w:sz w:val="24"/>
          <w:szCs w:val="24"/>
          <w:lang w:val="en-US"/>
        </w:rPr>
        <w:t>Vaccine ethics: an ethical framework for global distribution of COVID-19 vaccines. J Med Ethics [Internet]. 2021 Feb 16;medethics-2020-107036. Available from: https://jme.bmj.com/lookup/doi/10.1136/medethics-2020-107036</w:t>
      </w:r>
    </w:p>
    <w:p w14:paraId="4FE2FEC6" w14:textId="77777777" w:rsidR="0036604F" w:rsidRPr="00A02E81" w:rsidRDefault="0036604F" w:rsidP="0036604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A02E81">
        <w:rPr>
          <w:rFonts w:ascii="Times New Roman" w:hAnsi="Times New Roman" w:cs="Times New Roman"/>
          <w:noProof/>
          <w:sz w:val="24"/>
          <w:szCs w:val="24"/>
          <w:lang w:val="en-US"/>
        </w:rPr>
        <w:t xml:space="preserve">21. </w:t>
      </w:r>
      <w:r w:rsidRPr="00A02E81">
        <w:rPr>
          <w:rFonts w:ascii="Times New Roman" w:hAnsi="Times New Roman" w:cs="Times New Roman"/>
          <w:noProof/>
          <w:sz w:val="24"/>
          <w:szCs w:val="24"/>
          <w:lang w:val="en-US"/>
        </w:rPr>
        <w:tab/>
        <w:t xml:space="preserve">Bowen RAR. Ethical and organizational considerations for mandatory COVID-19 vaccination of health care workers: A clinical laboratorian’s perspective. Clin Chim Acta [Internet]. 2020 Nov;510:421–2. Available from: </w:t>
      </w:r>
      <w:r w:rsidRPr="00A02E81">
        <w:rPr>
          <w:rFonts w:ascii="Times New Roman" w:hAnsi="Times New Roman" w:cs="Times New Roman"/>
          <w:noProof/>
          <w:sz w:val="24"/>
          <w:szCs w:val="24"/>
          <w:lang w:val="en-US"/>
        </w:rPr>
        <w:lastRenderedPageBreak/>
        <w:t>https://linkinghub.elsevier.com/retrieve/pii/S0009898120303855</w:t>
      </w:r>
    </w:p>
    <w:p w14:paraId="5254BEE1" w14:textId="77777777" w:rsidR="0036604F" w:rsidRPr="00A02E81" w:rsidRDefault="0036604F" w:rsidP="0036604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A02E81">
        <w:rPr>
          <w:rFonts w:ascii="Times New Roman" w:hAnsi="Times New Roman" w:cs="Times New Roman"/>
          <w:noProof/>
          <w:sz w:val="24"/>
          <w:szCs w:val="24"/>
          <w:lang w:val="en-US"/>
        </w:rPr>
        <w:t xml:space="preserve">22. </w:t>
      </w:r>
      <w:r w:rsidRPr="00A02E81">
        <w:rPr>
          <w:rFonts w:ascii="Times New Roman" w:hAnsi="Times New Roman" w:cs="Times New Roman"/>
          <w:noProof/>
          <w:sz w:val="24"/>
          <w:szCs w:val="24"/>
          <w:lang w:val="en-US"/>
        </w:rPr>
        <w:tab/>
        <w:t>World Health Organization Ethics and COVID-19 Working Group. COVID-19 and mandatory vaccination : Ethical considerations and caveats [Internet]. 2021 p. 13–7. Available from: https://apps.who.int/iris/rest/bitstreams/1342697/retrieve</w:t>
      </w:r>
    </w:p>
    <w:p w14:paraId="182BAC7C" w14:textId="77777777" w:rsidR="0036604F" w:rsidRPr="00A02E81" w:rsidRDefault="0036604F" w:rsidP="0036604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A02E81">
        <w:rPr>
          <w:rFonts w:ascii="Times New Roman" w:hAnsi="Times New Roman" w:cs="Times New Roman"/>
          <w:noProof/>
          <w:sz w:val="24"/>
          <w:szCs w:val="24"/>
          <w:lang w:val="en-US"/>
        </w:rPr>
        <w:t xml:space="preserve">23. </w:t>
      </w:r>
      <w:r w:rsidRPr="00A02E81">
        <w:rPr>
          <w:rFonts w:ascii="Times New Roman" w:hAnsi="Times New Roman" w:cs="Times New Roman"/>
          <w:noProof/>
          <w:sz w:val="24"/>
          <w:szCs w:val="24"/>
          <w:lang w:val="en-US"/>
        </w:rPr>
        <w:tab/>
        <w:t>UNESCO. Universal Declaration on Bioethics and Human Rights [Internet]. 2005 [cited 2021 Jan 1]. Available from: http://portal.unesco.org/en/ev.php-URL_ID=31058&amp;URL_DO=DO_TOPIC&amp;URL_SECTION=201.html</w:t>
      </w:r>
    </w:p>
    <w:p w14:paraId="5E84D65B" w14:textId="77777777" w:rsidR="0036604F" w:rsidRPr="00A02E81" w:rsidRDefault="0036604F" w:rsidP="0036604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A02E81">
        <w:rPr>
          <w:rFonts w:ascii="Times New Roman" w:hAnsi="Times New Roman" w:cs="Times New Roman"/>
          <w:noProof/>
          <w:sz w:val="24"/>
          <w:szCs w:val="24"/>
          <w:lang w:val="en-US"/>
        </w:rPr>
        <w:t xml:space="preserve">24. </w:t>
      </w:r>
      <w:r w:rsidRPr="00A02E81">
        <w:rPr>
          <w:rFonts w:ascii="Times New Roman" w:hAnsi="Times New Roman" w:cs="Times New Roman"/>
          <w:noProof/>
          <w:sz w:val="24"/>
          <w:szCs w:val="24"/>
          <w:lang w:val="en-US"/>
        </w:rPr>
        <w:tab/>
        <w:t>NHS Mid Essex CCG. COVID-19 Vaccination Consent Forms and Letters [Internet]. 2021 [cited 2021 Feb 23]. Available from: https://midessexccg.nhs.uk/medicines-optimisation/covid-19-resources/covid-19-vaccination-resources/covid-19-vaccination-consent-forms</w:t>
      </w:r>
    </w:p>
    <w:p w14:paraId="29203B93" w14:textId="77777777" w:rsidR="0036604F" w:rsidRPr="00A02E81" w:rsidRDefault="0036604F" w:rsidP="0036604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A02E81">
        <w:rPr>
          <w:rFonts w:ascii="Times New Roman" w:hAnsi="Times New Roman" w:cs="Times New Roman"/>
          <w:noProof/>
          <w:sz w:val="24"/>
          <w:szCs w:val="24"/>
          <w:lang w:val="en-US"/>
        </w:rPr>
        <w:t xml:space="preserve">25. </w:t>
      </w:r>
      <w:r w:rsidRPr="00A02E81">
        <w:rPr>
          <w:rFonts w:ascii="Times New Roman" w:hAnsi="Times New Roman" w:cs="Times New Roman"/>
          <w:noProof/>
          <w:sz w:val="24"/>
          <w:szCs w:val="24"/>
          <w:lang w:val="en-US"/>
        </w:rPr>
        <w:tab/>
        <w:t>NHS Mid Essex CCG. COVID-19 vaccination: easy-read consent form for adults - GOV.UK [Internet]. 2021 [cited 2021 May 8]. Available from: https://www.gov.uk/government/publications/covid-19-vaccination-easy-read-consent-form-for-adults</w:t>
      </w:r>
    </w:p>
    <w:p w14:paraId="549A3A10" w14:textId="77777777" w:rsidR="0036604F" w:rsidRPr="00A02E81" w:rsidRDefault="0036604F" w:rsidP="0036604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A02E81">
        <w:rPr>
          <w:rFonts w:ascii="Times New Roman" w:hAnsi="Times New Roman" w:cs="Times New Roman"/>
          <w:noProof/>
          <w:sz w:val="24"/>
          <w:szCs w:val="24"/>
          <w:lang w:val="en-US"/>
        </w:rPr>
        <w:t xml:space="preserve">26. </w:t>
      </w:r>
      <w:r w:rsidRPr="00A02E81">
        <w:rPr>
          <w:rFonts w:ascii="Times New Roman" w:hAnsi="Times New Roman" w:cs="Times New Roman"/>
          <w:noProof/>
          <w:sz w:val="24"/>
          <w:szCs w:val="24"/>
          <w:lang w:val="en-US"/>
        </w:rPr>
        <w:tab/>
        <w:t>Law LS-C, Lo EA-G. Counselling for COVID-19 vaccine is necessary: Balancing the autonomy, beneficence and non-maleficence in the context of accelerating vaccine development. Int J Clin Pract [Internet]. 2021 Jun;75(6):e14015. Available from: http://www.ncbi.nlm.nih.gov/pubmed/33998757</w:t>
      </w:r>
    </w:p>
    <w:p w14:paraId="3BB2527A" w14:textId="77777777" w:rsidR="0036604F" w:rsidRPr="00A02E81" w:rsidRDefault="0036604F" w:rsidP="0036604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A02E81">
        <w:rPr>
          <w:rFonts w:ascii="Times New Roman" w:hAnsi="Times New Roman" w:cs="Times New Roman"/>
          <w:noProof/>
          <w:sz w:val="24"/>
          <w:szCs w:val="24"/>
          <w:lang w:val="en-US"/>
        </w:rPr>
        <w:t xml:space="preserve">27. </w:t>
      </w:r>
      <w:r w:rsidRPr="00A02E81">
        <w:rPr>
          <w:rFonts w:ascii="Times New Roman" w:hAnsi="Times New Roman" w:cs="Times New Roman"/>
          <w:noProof/>
          <w:sz w:val="24"/>
          <w:szCs w:val="24"/>
          <w:lang w:val="en-US"/>
        </w:rPr>
        <w:tab/>
        <w:t>Moodley K, Hardie K, Selgelid MJ, Waldman RJ, Strebel P, Rees H, et al. Ethical considerations for vaccination programmes in acute humanitarian emergencies. Bull World Health Organ [Internet]. 2013 Apr 1;91(4):290–7. Available from: http://www.who.int/entity/bulletin/volumes/91/4/12-113480.pdf</w:t>
      </w:r>
    </w:p>
    <w:p w14:paraId="4312E3EB" w14:textId="77777777" w:rsidR="0036604F" w:rsidRPr="00A02E81" w:rsidRDefault="0036604F" w:rsidP="0036604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A02E81">
        <w:rPr>
          <w:rFonts w:ascii="Times New Roman" w:hAnsi="Times New Roman" w:cs="Times New Roman"/>
          <w:noProof/>
          <w:sz w:val="24"/>
          <w:szCs w:val="24"/>
          <w:lang w:val="en-US"/>
        </w:rPr>
        <w:t xml:space="preserve">28. </w:t>
      </w:r>
      <w:r w:rsidRPr="00A02E81">
        <w:rPr>
          <w:rFonts w:ascii="Times New Roman" w:hAnsi="Times New Roman" w:cs="Times New Roman"/>
          <w:noProof/>
          <w:sz w:val="24"/>
          <w:szCs w:val="24"/>
          <w:lang w:val="en-US"/>
        </w:rPr>
        <w:tab/>
        <w:t>McAdams D, McDade KK, Ogbuoji O, Johnson M, Dixit S, Yamey G. Incentivising wealthy nations to participate in the COVID-19 Vaccine Global Access Facility (COVAX): a game theory perspective. BMJ Glob Heal [Internet]. 2020 Nov 30;5(11):e003627. Available from: https://gh.bmj.com/lookup/doi/10.1136/bmjgh-2020-003627</w:t>
      </w:r>
    </w:p>
    <w:p w14:paraId="46BE80CB" w14:textId="77777777" w:rsidR="0036604F" w:rsidRPr="00DB1B92" w:rsidRDefault="0036604F" w:rsidP="0036604F">
      <w:pPr>
        <w:widowControl w:val="0"/>
        <w:autoSpaceDE w:val="0"/>
        <w:autoSpaceDN w:val="0"/>
        <w:adjustRightInd w:val="0"/>
        <w:spacing w:line="240" w:lineRule="auto"/>
        <w:ind w:left="640" w:hanging="640"/>
        <w:rPr>
          <w:rFonts w:ascii="Times New Roman" w:hAnsi="Times New Roman" w:cs="Times New Roman"/>
          <w:noProof/>
          <w:sz w:val="24"/>
          <w:lang w:val="fr-FR"/>
        </w:rPr>
      </w:pPr>
      <w:r w:rsidRPr="00A02E81">
        <w:rPr>
          <w:rFonts w:ascii="Times New Roman" w:hAnsi="Times New Roman" w:cs="Times New Roman"/>
          <w:noProof/>
          <w:sz w:val="24"/>
          <w:szCs w:val="24"/>
          <w:lang w:val="en-US"/>
        </w:rPr>
        <w:t xml:space="preserve">29. </w:t>
      </w:r>
      <w:r w:rsidRPr="00A02E81">
        <w:rPr>
          <w:rFonts w:ascii="Times New Roman" w:hAnsi="Times New Roman" w:cs="Times New Roman"/>
          <w:noProof/>
          <w:sz w:val="24"/>
          <w:szCs w:val="24"/>
          <w:lang w:val="en-US"/>
        </w:rPr>
        <w:tab/>
        <w:t xml:space="preserve">The Lancet. Access to COVID-19 vaccines: looking beyond COVAX. </w:t>
      </w:r>
      <w:r w:rsidRPr="00DB1B92">
        <w:rPr>
          <w:rFonts w:ascii="Times New Roman" w:hAnsi="Times New Roman" w:cs="Times New Roman"/>
          <w:noProof/>
          <w:sz w:val="24"/>
          <w:szCs w:val="24"/>
          <w:lang w:val="fr-FR"/>
        </w:rPr>
        <w:t>Lancet [Internet]. 2021 Mar;397(10278):941. Available from: https://linkinghub.elsevier.com/retrieve/pii/S0140673621006176</w:t>
      </w:r>
    </w:p>
    <w:p w14:paraId="7E370942" w14:textId="27406250" w:rsidR="00D2039C" w:rsidRPr="00DB1B92" w:rsidRDefault="00887E02" w:rsidP="00D2039C">
      <w:pPr>
        <w:rPr>
          <w:rFonts w:ascii="Times New Roman" w:hAnsi="Times New Roman" w:cs="Times New Roman"/>
          <w:lang w:val="fr-FR"/>
        </w:rPr>
      </w:pPr>
      <w:r w:rsidRPr="00C33556">
        <w:rPr>
          <w:rFonts w:ascii="Times New Roman" w:hAnsi="Times New Roman" w:cs="Times New Roman"/>
          <w:sz w:val="24"/>
          <w:szCs w:val="24"/>
        </w:rPr>
        <w:fldChar w:fldCharType="end"/>
      </w:r>
      <w:r w:rsidR="00D2039C" w:rsidRPr="00DB1B92">
        <w:rPr>
          <w:rFonts w:ascii="Times New Roman" w:hAnsi="Times New Roman" w:cs="Times New Roman"/>
          <w:lang w:val="fr-FR"/>
        </w:rPr>
        <w:t xml:space="preserve"> </w:t>
      </w:r>
    </w:p>
    <w:p w14:paraId="6C085301" w14:textId="16654A32" w:rsidR="00873C1F" w:rsidRPr="00DB1B92" w:rsidRDefault="00873C1F" w:rsidP="00D2039C">
      <w:pPr>
        <w:rPr>
          <w:rFonts w:ascii="Times New Roman" w:hAnsi="Times New Roman" w:cs="Times New Roman"/>
          <w:lang w:val="fr-FR"/>
        </w:rPr>
      </w:pPr>
    </w:p>
    <w:p w14:paraId="46DC2B51" w14:textId="0776A363" w:rsidR="00873C1F" w:rsidRPr="00DB1B92" w:rsidRDefault="00873C1F" w:rsidP="00D2039C">
      <w:pPr>
        <w:rPr>
          <w:rFonts w:ascii="Times New Roman" w:hAnsi="Times New Roman" w:cs="Times New Roman"/>
          <w:lang w:val="fr-FR"/>
        </w:rPr>
      </w:pPr>
    </w:p>
    <w:p w14:paraId="6D66C216" w14:textId="1A30BDE1" w:rsidR="00873C1F" w:rsidRPr="00DB1B92" w:rsidRDefault="00873C1F" w:rsidP="00D2039C">
      <w:pPr>
        <w:rPr>
          <w:rFonts w:ascii="Times New Roman" w:hAnsi="Times New Roman" w:cs="Times New Roman"/>
          <w:lang w:val="fr-FR"/>
        </w:rPr>
      </w:pPr>
    </w:p>
    <w:p w14:paraId="5AF12C31" w14:textId="71392A44" w:rsidR="00873C1F" w:rsidRPr="00DB1B92" w:rsidRDefault="00873C1F" w:rsidP="00D2039C">
      <w:pPr>
        <w:rPr>
          <w:rFonts w:ascii="Times New Roman" w:hAnsi="Times New Roman" w:cs="Times New Roman"/>
          <w:lang w:val="fr-FR"/>
        </w:rPr>
      </w:pPr>
    </w:p>
    <w:p w14:paraId="39176412" w14:textId="5166D9A2" w:rsidR="00873C1F" w:rsidRPr="00DB1B92" w:rsidRDefault="00873C1F" w:rsidP="00D2039C">
      <w:pPr>
        <w:rPr>
          <w:rFonts w:ascii="Times New Roman" w:hAnsi="Times New Roman" w:cs="Times New Roman"/>
          <w:lang w:val="fr-FR"/>
        </w:rPr>
      </w:pPr>
    </w:p>
    <w:p w14:paraId="62D8519D" w14:textId="77777777" w:rsidR="00C33556" w:rsidRPr="00DB1B92" w:rsidRDefault="00C33556" w:rsidP="00D2039C">
      <w:pPr>
        <w:rPr>
          <w:rFonts w:ascii="Times New Roman" w:hAnsi="Times New Roman" w:cs="Times New Roman"/>
          <w:b/>
          <w:bCs/>
          <w:lang w:val="fr-FR"/>
        </w:rPr>
      </w:pPr>
    </w:p>
    <w:sectPr w:rsidR="00C33556" w:rsidRPr="00DB1B92" w:rsidSect="009E3214">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F3710E" w14:textId="77777777" w:rsidR="00A74C2D" w:rsidRDefault="00A74C2D" w:rsidP="0065201C">
      <w:pPr>
        <w:spacing w:after="0" w:line="240" w:lineRule="auto"/>
      </w:pPr>
      <w:r>
        <w:separator/>
      </w:r>
    </w:p>
  </w:endnote>
  <w:endnote w:type="continuationSeparator" w:id="0">
    <w:p w14:paraId="68AA2FC5" w14:textId="77777777" w:rsidR="00A74C2D" w:rsidRDefault="00A74C2D" w:rsidP="00652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639F06" w14:textId="77777777" w:rsidR="00A74C2D" w:rsidRDefault="00A74C2D" w:rsidP="0065201C">
      <w:pPr>
        <w:spacing w:after="0" w:line="240" w:lineRule="auto"/>
      </w:pPr>
      <w:r>
        <w:separator/>
      </w:r>
    </w:p>
  </w:footnote>
  <w:footnote w:type="continuationSeparator" w:id="0">
    <w:p w14:paraId="272D13BE" w14:textId="77777777" w:rsidR="00A74C2D" w:rsidRDefault="00A74C2D" w:rsidP="006520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9A32C1"/>
    <w:multiLevelType w:val="hybridMultilevel"/>
    <w:tmpl w:val="922887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3A52282D"/>
    <w:multiLevelType w:val="hybridMultilevel"/>
    <w:tmpl w:val="59DCBDB0"/>
    <w:lvl w:ilvl="0" w:tplc="9F24CBF0">
      <w:start w:val="4"/>
      <w:numFmt w:val="bullet"/>
      <w:lvlText w:val=""/>
      <w:lvlJc w:val="left"/>
      <w:pPr>
        <w:ind w:left="1080" w:hanging="360"/>
      </w:pPr>
      <w:rPr>
        <w:rFonts w:ascii="Symbol" w:eastAsiaTheme="minorHAnsi" w:hAnsi="Symbol" w:cs="Times New Roman" w:hint="default"/>
        <w:b/>
        <w:sz w:val="22"/>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 w15:restartNumberingAfterBreak="0">
    <w:nsid w:val="473804E3"/>
    <w:multiLevelType w:val="hybridMultilevel"/>
    <w:tmpl w:val="7276A3BE"/>
    <w:lvl w:ilvl="0" w:tplc="2BD6FB82">
      <w:start w:val="1"/>
      <w:numFmt w:val="decimal"/>
      <w:lvlText w:val="%1"/>
      <w:lvlJc w:val="left"/>
      <w:pPr>
        <w:ind w:left="720" w:hanging="360"/>
      </w:pPr>
      <w:rPr>
        <w:rFonts w:ascii="Times New Roman" w:eastAsiaTheme="minorHAnsi" w:hAnsi="Times New Roman" w:cs="Times New Roman"/>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BC722C9"/>
    <w:multiLevelType w:val="hybridMultilevel"/>
    <w:tmpl w:val="22789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650002E0"/>
    <w:multiLevelType w:val="hybridMultilevel"/>
    <w:tmpl w:val="5C800C02"/>
    <w:lvl w:ilvl="0" w:tplc="A158438A">
      <w:start w:val="4"/>
      <w:numFmt w:val="bullet"/>
      <w:lvlText w:val=""/>
      <w:lvlJc w:val="left"/>
      <w:pPr>
        <w:ind w:left="720" w:hanging="360"/>
      </w:pPr>
      <w:rPr>
        <w:rFonts w:ascii="Symbol" w:eastAsiaTheme="minorHAnsi" w:hAnsi="Symbol" w:cs="Times New Roman"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71D2609A"/>
    <w:multiLevelType w:val="hybridMultilevel"/>
    <w:tmpl w:val="659EB344"/>
    <w:lvl w:ilvl="0" w:tplc="AECC58D4">
      <w:start w:val="1"/>
      <w:numFmt w:val="decimal"/>
      <w:lvlText w:val="%1"/>
      <w:lvlJc w:val="left"/>
      <w:pPr>
        <w:ind w:left="720" w:hanging="360"/>
      </w:pPr>
      <w:rPr>
        <w:rFonts w:ascii="Times New Roman" w:eastAsiaTheme="minorHAnsi" w:hAnsi="Times New Roman" w:cs="Times New Roman"/>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71F16C16"/>
    <w:multiLevelType w:val="hybridMultilevel"/>
    <w:tmpl w:val="2926DE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72D23D34"/>
    <w:multiLevelType w:val="hybridMultilevel"/>
    <w:tmpl w:val="20C0BE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4547DE5"/>
    <w:multiLevelType w:val="hybridMultilevel"/>
    <w:tmpl w:val="0E9CCE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859446E"/>
    <w:multiLevelType w:val="hybridMultilevel"/>
    <w:tmpl w:val="FE08058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0" w15:restartNumberingAfterBreak="0">
    <w:nsid w:val="7DD82BB0"/>
    <w:multiLevelType w:val="hybridMultilevel"/>
    <w:tmpl w:val="88C2F0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1"/>
  </w:num>
  <w:num w:numId="5">
    <w:abstractNumId w:val="8"/>
  </w:num>
  <w:num w:numId="6">
    <w:abstractNumId w:val="10"/>
  </w:num>
  <w:num w:numId="7">
    <w:abstractNumId w:val="3"/>
  </w:num>
  <w:num w:numId="8">
    <w:abstractNumId w:val="6"/>
  </w:num>
  <w:num w:numId="9">
    <w:abstractNumId w:val="0"/>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pt-BR" w:vendorID="64" w:dllVersion="6" w:nlCheck="1" w:checkStyle="0"/>
  <w:activeWritingStyle w:appName="MSWord" w:lang="en-US" w:vendorID="64" w:dllVersion="6" w:nlCheck="1" w:checkStyle="1"/>
  <w:activeWritingStyle w:appName="MSWord" w:lang="en-US" w:vendorID="64" w:dllVersion="4096" w:nlCheck="1" w:checkStyle="0"/>
  <w:activeWritingStyle w:appName="MSWord" w:lang="pt-BR" w:vendorID="64" w:dllVersion="4096" w:nlCheck="1" w:checkStyle="0"/>
  <w:activeWritingStyle w:appName="MSWord" w:lang="en-GB" w:vendorID="64" w:dllVersion="4096" w:nlCheck="1" w:checkStyle="0"/>
  <w:activeWritingStyle w:appName="MSWord" w:lang="de-DE" w:vendorID="64" w:dllVersion="6" w:nlCheck="1" w:checkStyle="1"/>
  <w:activeWritingStyle w:appName="MSWord" w:lang="en-GB" w:vendorID="64" w:dllVersion="6" w:nlCheck="1" w:checkStyle="1"/>
  <w:activeWritingStyle w:appName="MSWord" w:lang="es-ES" w:vendorID="64" w:dllVersion="6" w:nlCheck="1" w:checkStyle="1"/>
  <w:activeWritingStyle w:appName="MSWord" w:lang="fr-FR" w:vendorID="64" w:dllVersion="6" w:nlCheck="1" w:checkStyle="1"/>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A02"/>
    <w:rsid w:val="00001BF6"/>
    <w:rsid w:val="00007381"/>
    <w:rsid w:val="00007F52"/>
    <w:rsid w:val="000120B2"/>
    <w:rsid w:val="00012407"/>
    <w:rsid w:val="00012C1D"/>
    <w:rsid w:val="0001504A"/>
    <w:rsid w:val="00020FD7"/>
    <w:rsid w:val="00021ECC"/>
    <w:rsid w:val="000226A6"/>
    <w:rsid w:val="000250C1"/>
    <w:rsid w:val="0002558B"/>
    <w:rsid w:val="00027BF0"/>
    <w:rsid w:val="000310A8"/>
    <w:rsid w:val="00032A4E"/>
    <w:rsid w:val="000334C2"/>
    <w:rsid w:val="000346C9"/>
    <w:rsid w:val="00034B6B"/>
    <w:rsid w:val="00036734"/>
    <w:rsid w:val="00037FB3"/>
    <w:rsid w:val="00045DDE"/>
    <w:rsid w:val="00047833"/>
    <w:rsid w:val="0005037B"/>
    <w:rsid w:val="00053D4B"/>
    <w:rsid w:val="00053E0A"/>
    <w:rsid w:val="000562BF"/>
    <w:rsid w:val="00057E99"/>
    <w:rsid w:val="00060746"/>
    <w:rsid w:val="000620C7"/>
    <w:rsid w:val="00063EE4"/>
    <w:rsid w:val="0006633E"/>
    <w:rsid w:val="000667BA"/>
    <w:rsid w:val="0006707E"/>
    <w:rsid w:val="0007318E"/>
    <w:rsid w:val="00074EA1"/>
    <w:rsid w:val="0008154A"/>
    <w:rsid w:val="000826DF"/>
    <w:rsid w:val="00083960"/>
    <w:rsid w:val="000841D3"/>
    <w:rsid w:val="0008488B"/>
    <w:rsid w:val="00087DAE"/>
    <w:rsid w:val="00087FFA"/>
    <w:rsid w:val="00092181"/>
    <w:rsid w:val="000930AB"/>
    <w:rsid w:val="00094B1A"/>
    <w:rsid w:val="0009534A"/>
    <w:rsid w:val="00096301"/>
    <w:rsid w:val="00096ED9"/>
    <w:rsid w:val="000A165E"/>
    <w:rsid w:val="000A1A9A"/>
    <w:rsid w:val="000A3B7D"/>
    <w:rsid w:val="000B1373"/>
    <w:rsid w:val="000B3EFD"/>
    <w:rsid w:val="000C0132"/>
    <w:rsid w:val="000C3711"/>
    <w:rsid w:val="000C4FF8"/>
    <w:rsid w:val="000D0864"/>
    <w:rsid w:val="000D20A5"/>
    <w:rsid w:val="000D2A8E"/>
    <w:rsid w:val="000D39E5"/>
    <w:rsid w:val="000E21D8"/>
    <w:rsid w:val="000E3552"/>
    <w:rsid w:val="000F53EC"/>
    <w:rsid w:val="000F5E9F"/>
    <w:rsid w:val="001012A2"/>
    <w:rsid w:val="001017E4"/>
    <w:rsid w:val="00103AD0"/>
    <w:rsid w:val="001064AF"/>
    <w:rsid w:val="00110A44"/>
    <w:rsid w:val="0011631D"/>
    <w:rsid w:val="00117B68"/>
    <w:rsid w:val="00120B0C"/>
    <w:rsid w:val="001211F8"/>
    <w:rsid w:val="00132911"/>
    <w:rsid w:val="00134B42"/>
    <w:rsid w:val="00136C97"/>
    <w:rsid w:val="00140638"/>
    <w:rsid w:val="00140FF3"/>
    <w:rsid w:val="0014580A"/>
    <w:rsid w:val="001470C9"/>
    <w:rsid w:val="00152AAE"/>
    <w:rsid w:val="00160C4F"/>
    <w:rsid w:val="00163ACD"/>
    <w:rsid w:val="00170F57"/>
    <w:rsid w:val="00180F50"/>
    <w:rsid w:val="001843A6"/>
    <w:rsid w:val="00185487"/>
    <w:rsid w:val="00190497"/>
    <w:rsid w:val="0019143C"/>
    <w:rsid w:val="00191FBA"/>
    <w:rsid w:val="00193D4D"/>
    <w:rsid w:val="001950C5"/>
    <w:rsid w:val="001A155D"/>
    <w:rsid w:val="001A5DD7"/>
    <w:rsid w:val="001A75DA"/>
    <w:rsid w:val="001B300A"/>
    <w:rsid w:val="001B4050"/>
    <w:rsid w:val="001B5EE1"/>
    <w:rsid w:val="001B7E56"/>
    <w:rsid w:val="001C1103"/>
    <w:rsid w:val="001C1C8B"/>
    <w:rsid w:val="001C332A"/>
    <w:rsid w:val="001D153E"/>
    <w:rsid w:val="001D3E1B"/>
    <w:rsid w:val="001D507E"/>
    <w:rsid w:val="001E0601"/>
    <w:rsid w:val="001E2EB0"/>
    <w:rsid w:val="001E2F7F"/>
    <w:rsid w:val="001E3130"/>
    <w:rsid w:val="001E70D7"/>
    <w:rsid w:val="001F0B60"/>
    <w:rsid w:val="002000C7"/>
    <w:rsid w:val="00202B7B"/>
    <w:rsid w:val="00204CD2"/>
    <w:rsid w:val="00204DD0"/>
    <w:rsid w:val="00205EDE"/>
    <w:rsid w:val="00224A3F"/>
    <w:rsid w:val="0022525C"/>
    <w:rsid w:val="0022554E"/>
    <w:rsid w:val="00227FAF"/>
    <w:rsid w:val="00231365"/>
    <w:rsid w:val="002317AA"/>
    <w:rsid w:val="00242BC2"/>
    <w:rsid w:val="002436CD"/>
    <w:rsid w:val="00252A30"/>
    <w:rsid w:val="00254A15"/>
    <w:rsid w:val="00254B7E"/>
    <w:rsid w:val="00256208"/>
    <w:rsid w:val="00257F75"/>
    <w:rsid w:val="00261897"/>
    <w:rsid w:val="0026427B"/>
    <w:rsid w:val="0026720F"/>
    <w:rsid w:val="002729C4"/>
    <w:rsid w:val="00274D41"/>
    <w:rsid w:val="00276636"/>
    <w:rsid w:val="002839C6"/>
    <w:rsid w:val="0028647B"/>
    <w:rsid w:val="00286E84"/>
    <w:rsid w:val="00294906"/>
    <w:rsid w:val="00296B78"/>
    <w:rsid w:val="002A33FD"/>
    <w:rsid w:val="002A5C91"/>
    <w:rsid w:val="002A6CE0"/>
    <w:rsid w:val="002A6D37"/>
    <w:rsid w:val="002B27F8"/>
    <w:rsid w:val="002B4D86"/>
    <w:rsid w:val="002C1769"/>
    <w:rsid w:val="002C5B41"/>
    <w:rsid w:val="002C60AC"/>
    <w:rsid w:val="002C6763"/>
    <w:rsid w:val="002D2DC2"/>
    <w:rsid w:val="002D3F20"/>
    <w:rsid w:val="002D6969"/>
    <w:rsid w:val="002E0A57"/>
    <w:rsid w:val="002E1F8E"/>
    <w:rsid w:val="002E3726"/>
    <w:rsid w:val="002E5C76"/>
    <w:rsid w:val="002E6394"/>
    <w:rsid w:val="002F54DA"/>
    <w:rsid w:val="002F7DB3"/>
    <w:rsid w:val="0030462A"/>
    <w:rsid w:val="00304EAC"/>
    <w:rsid w:val="003051A3"/>
    <w:rsid w:val="0030522B"/>
    <w:rsid w:val="00314AB5"/>
    <w:rsid w:val="003262A3"/>
    <w:rsid w:val="00330A3A"/>
    <w:rsid w:val="00331BD5"/>
    <w:rsid w:val="003342D6"/>
    <w:rsid w:val="003345BA"/>
    <w:rsid w:val="00337DD1"/>
    <w:rsid w:val="00342A7B"/>
    <w:rsid w:val="003435A6"/>
    <w:rsid w:val="003516EB"/>
    <w:rsid w:val="00355C64"/>
    <w:rsid w:val="00356362"/>
    <w:rsid w:val="00363BC6"/>
    <w:rsid w:val="0036604F"/>
    <w:rsid w:val="00374512"/>
    <w:rsid w:val="003935B3"/>
    <w:rsid w:val="003948B6"/>
    <w:rsid w:val="00395AFE"/>
    <w:rsid w:val="00396458"/>
    <w:rsid w:val="00396E87"/>
    <w:rsid w:val="00396EC0"/>
    <w:rsid w:val="003A00DA"/>
    <w:rsid w:val="003A5DF6"/>
    <w:rsid w:val="003B119D"/>
    <w:rsid w:val="003B1715"/>
    <w:rsid w:val="003B22E5"/>
    <w:rsid w:val="003B3112"/>
    <w:rsid w:val="003B4458"/>
    <w:rsid w:val="003B514B"/>
    <w:rsid w:val="003C5B5A"/>
    <w:rsid w:val="003C5C7E"/>
    <w:rsid w:val="003C5DDC"/>
    <w:rsid w:val="003D05CC"/>
    <w:rsid w:val="003D0759"/>
    <w:rsid w:val="003D15F6"/>
    <w:rsid w:val="003D443B"/>
    <w:rsid w:val="003D5077"/>
    <w:rsid w:val="003E0099"/>
    <w:rsid w:val="003E3CBC"/>
    <w:rsid w:val="003E405A"/>
    <w:rsid w:val="003E6224"/>
    <w:rsid w:val="003E716A"/>
    <w:rsid w:val="003E7471"/>
    <w:rsid w:val="003F2E0E"/>
    <w:rsid w:val="003F3AB2"/>
    <w:rsid w:val="003F6EC1"/>
    <w:rsid w:val="004019C6"/>
    <w:rsid w:val="0040572F"/>
    <w:rsid w:val="00405758"/>
    <w:rsid w:val="00405A57"/>
    <w:rsid w:val="00406974"/>
    <w:rsid w:val="00410C49"/>
    <w:rsid w:val="00412B49"/>
    <w:rsid w:val="00413592"/>
    <w:rsid w:val="00413712"/>
    <w:rsid w:val="004156B8"/>
    <w:rsid w:val="00416285"/>
    <w:rsid w:val="004165E5"/>
    <w:rsid w:val="004212CD"/>
    <w:rsid w:val="00421472"/>
    <w:rsid w:val="0043020E"/>
    <w:rsid w:val="00433837"/>
    <w:rsid w:val="00433D83"/>
    <w:rsid w:val="00434921"/>
    <w:rsid w:val="00435AEA"/>
    <w:rsid w:val="00436D31"/>
    <w:rsid w:val="00442ECC"/>
    <w:rsid w:val="00445E80"/>
    <w:rsid w:val="00446242"/>
    <w:rsid w:val="004465E5"/>
    <w:rsid w:val="004517E6"/>
    <w:rsid w:val="004532A6"/>
    <w:rsid w:val="0045367B"/>
    <w:rsid w:val="004557A8"/>
    <w:rsid w:val="00462953"/>
    <w:rsid w:val="00463C2D"/>
    <w:rsid w:val="00463E28"/>
    <w:rsid w:val="00465E5B"/>
    <w:rsid w:val="00466125"/>
    <w:rsid w:val="0046766A"/>
    <w:rsid w:val="00467C32"/>
    <w:rsid w:val="004713F6"/>
    <w:rsid w:val="004730F1"/>
    <w:rsid w:val="00473977"/>
    <w:rsid w:val="00475541"/>
    <w:rsid w:val="0047799A"/>
    <w:rsid w:val="004908DD"/>
    <w:rsid w:val="00494C11"/>
    <w:rsid w:val="004A0A81"/>
    <w:rsid w:val="004A0D22"/>
    <w:rsid w:val="004A164E"/>
    <w:rsid w:val="004A7139"/>
    <w:rsid w:val="004B0498"/>
    <w:rsid w:val="004B4C91"/>
    <w:rsid w:val="004B7796"/>
    <w:rsid w:val="004B79C7"/>
    <w:rsid w:val="004B7F2A"/>
    <w:rsid w:val="004C2B07"/>
    <w:rsid w:val="004C32AC"/>
    <w:rsid w:val="004C6F5B"/>
    <w:rsid w:val="004C7E8D"/>
    <w:rsid w:val="004D09BD"/>
    <w:rsid w:val="004D111E"/>
    <w:rsid w:val="004D1408"/>
    <w:rsid w:val="004D23D8"/>
    <w:rsid w:val="004D2A02"/>
    <w:rsid w:val="004D339E"/>
    <w:rsid w:val="004D5F1F"/>
    <w:rsid w:val="004D6737"/>
    <w:rsid w:val="004D7CC5"/>
    <w:rsid w:val="004E1B9B"/>
    <w:rsid w:val="004E1BBA"/>
    <w:rsid w:val="004E3246"/>
    <w:rsid w:val="004E35DE"/>
    <w:rsid w:val="004E4220"/>
    <w:rsid w:val="004F215C"/>
    <w:rsid w:val="004F3171"/>
    <w:rsid w:val="004F5326"/>
    <w:rsid w:val="0050152E"/>
    <w:rsid w:val="00506DAA"/>
    <w:rsid w:val="00507009"/>
    <w:rsid w:val="005103E0"/>
    <w:rsid w:val="005123C7"/>
    <w:rsid w:val="00522014"/>
    <w:rsid w:val="005275F2"/>
    <w:rsid w:val="005278E0"/>
    <w:rsid w:val="00527F31"/>
    <w:rsid w:val="005358A1"/>
    <w:rsid w:val="00540115"/>
    <w:rsid w:val="00550F2C"/>
    <w:rsid w:val="005575A1"/>
    <w:rsid w:val="005626AE"/>
    <w:rsid w:val="0056435E"/>
    <w:rsid w:val="00565645"/>
    <w:rsid w:val="00571212"/>
    <w:rsid w:val="005712E0"/>
    <w:rsid w:val="0057132A"/>
    <w:rsid w:val="00571E88"/>
    <w:rsid w:val="005735E9"/>
    <w:rsid w:val="005802A8"/>
    <w:rsid w:val="00580349"/>
    <w:rsid w:val="00591C9F"/>
    <w:rsid w:val="00591F3E"/>
    <w:rsid w:val="00596315"/>
    <w:rsid w:val="00596874"/>
    <w:rsid w:val="00596C98"/>
    <w:rsid w:val="005A056A"/>
    <w:rsid w:val="005A2B92"/>
    <w:rsid w:val="005A4002"/>
    <w:rsid w:val="005B36D1"/>
    <w:rsid w:val="005B3838"/>
    <w:rsid w:val="005B558F"/>
    <w:rsid w:val="005C2203"/>
    <w:rsid w:val="005C49EE"/>
    <w:rsid w:val="005D109D"/>
    <w:rsid w:val="005D4804"/>
    <w:rsid w:val="005D54FC"/>
    <w:rsid w:val="005E0078"/>
    <w:rsid w:val="005E3157"/>
    <w:rsid w:val="005E3B3B"/>
    <w:rsid w:val="005F05C8"/>
    <w:rsid w:val="005F0758"/>
    <w:rsid w:val="005F2D64"/>
    <w:rsid w:val="005F2F23"/>
    <w:rsid w:val="005F33A8"/>
    <w:rsid w:val="005F3DEC"/>
    <w:rsid w:val="00604ED9"/>
    <w:rsid w:val="00606DCF"/>
    <w:rsid w:val="00607980"/>
    <w:rsid w:val="00611B06"/>
    <w:rsid w:val="00613CC7"/>
    <w:rsid w:val="00617911"/>
    <w:rsid w:val="00622FDB"/>
    <w:rsid w:val="00632B8F"/>
    <w:rsid w:val="00633B28"/>
    <w:rsid w:val="00633BE8"/>
    <w:rsid w:val="0063413D"/>
    <w:rsid w:val="006368B1"/>
    <w:rsid w:val="00641BDD"/>
    <w:rsid w:val="00644D3D"/>
    <w:rsid w:val="006463A4"/>
    <w:rsid w:val="00646C39"/>
    <w:rsid w:val="00646C7F"/>
    <w:rsid w:val="0065201C"/>
    <w:rsid w:val="0065392E"/>
    <w:rsid w:val="00655CDE"/>
    <w:rsid w:val="006602C8"/>
    <w:rsid w:val="006615DC"/>
    <w:rsid w:val="00661DBC"/>
    <w:rsid w:val="00664191"/>
    <w:rsid w:val="00671168"/>
    <w:rsid w:val="00671A14"/>
    <w:rsid w:val="00673007"/>
    <w:rsid w:val="00673CC8"/>
    <w:rsid w:val="00676AE6"/>
    <w:rsid w:val="00680474"/>
    <w:rsid w:val="006837A5"/>
    <w:rsid w:val="00683AE8"/>
    <w:rsid w:val="00684A9C"/>
    <w:rsid w:val="00685354"/>
    <w:rsid w:val="0069163A"/>
    <w:rsid w:val="0069235B"/>
    <w:rsid w:val="00696AD4"/>
    <w:rsid w:val="006A1CCE"/>
    <w:rsid w:val="006A2218"/>
    <w:rsid w:val="006B0083"/>
    <w:rsid w:val="006B735D"/>
    <w:rsid w:val="006C0077"/>
    <w:rsid w:val="006C0DB0"/>
    <w:rsid w:val="006C3667"/>
    <w:rsid w:val="006C47C0"/>
    <w:rsid w:val="006C649B"/>
    <w:rsid w:val="006D3999"/>
    <w:rsid w:val="006E0E2C"/>
    <w:rsid w:val="006E39B3"/>
    <w:rsid w:val="006E5CD6"/>
    <w:rsid w:val="006F61DE"/>
    <w:rsid w:val="0070142E"/>
    <w:rsid w:val="00702C89"/>
    <w:rsid w:val="007063CE"/>
    <w:rsid w:val="00712769"/>
    <w:rsid w:val="007171B5"/>
    <w:rsid w:val="00717794"/>
    <w:rsid w:val="0072211F"/>
    <w:rsid w:val="007235FC"/>
    <w:rsid w:val="00732056"/>
    <w:rsid w:val="00735038"/>
    <w:rsid w:val="007357ED"/>
    <w:rsid w:val="00743711"/>
    <w:rsid w:val="00751E9F"/>
    <w:rsid w:val="00752C26"/>
    <w:rsid w:val="00753403"/>
    <w:rsid w:val="0076587B"/>
    <w:rsid w:val="007702D5"/>
    <w:rsid w:val="00772D4E"/>
    <w:rsid w:val="00776C29"/>
    <w:rsid w:val="00781C69"/>
    <w:rsid w:val="007822A6"/>
    <w:rsid w:val="00790DD7"/>
    <w:rsid w:val="00791FC2"/>
    <w:rsid w:val="00792634"/>
    <w:rsid w:val="00792CF1"/>
    <w:rsid w:val="007A1D79"/>
    <w:rsid w:val="007A56FB"/>
    <w:rsid w:val="007B37C8"/>
    <w:rsid w:val="007B3A02"/>
    <w:rsid w:val="007C5735"/>
    <w:rsid w:val="007C577C"/>
    <w:rsid w:val="007D1A69"/>
    <w:rsid w:val="007D311D"/>
    <w:rsid w:val="007E1169"/>
    <w:rsid w:val="007E5757"/>
    <w:rsid w:val="007E7337"/>
    <w:rsid w:val="007F25A0"/>
    <w:rsid w:val="007F5AD9"/>
    <w:rsid w:val="008008C6"/>
    <w:rsid w:val="00802D10"/>
    <w:rsid w:val="0080656C"/>
    <w:rsid w:val="008067E8"/>
    <w:rsid w:val="008078B7"/>
    <w:rsid w:val="00807E58"/>
    <w:rsid w:val="00811DDC"/>
    <w:rsid w:val="00822933"/>
    <w:rsid w:val="00826936"/>
    <w:rsid w:val="0083237D"/>
    <w:rsid w:val="0084006A"/>
    <w:rsid w:val="008455C7"/>
    <w:rsid w:val="008528AA"/>
    <w:rsid w:val="008529CA"/>
    <w:rsid w:val="0085534F"/>
    <w:rsid w:val="008561D5"/>
    <w:rsid w:val="00865CF9"/>
    <w:rsid w:val="008707A1"/>
    <w:rsid w:val="00873C1F"/>
    <w:rsid w:val="00873EC6"/>
    <w:rsid w:val="008812B8"/>
    <w:rsid w:val="00887E02"/>
    <w:rsid w:val="008903C8"/>
    <w:rsid w:val="00893093"/>
    <w:rsid w:val="00895E3D"/>
    <w:rsid w:val="008A2FDF"/>
    <w:rsid w:val="008B37D1"/>
    <w:rsid w:val="008B47A9"/>
    <w:rsid w:val="008C1017"/>
    <w:rsid w:val="008C1FB3"/>
    <w:rsid w:val="008C2284"/>
    <w:rsid w:val="008C4156"/>
    <w:rsid w:val="008D0BC0"/>
    <w:rsid w:val="008D2AC1"/>
    <w:rsid w:val="008D4B0E"/>
    <w:rsid w:val="008D5163"/>
    <w:rsid w:val="008D6E6A"/>
    <w:rsid w:val="008E0127"/>
    <w:rsid w:val="008E2928"/>
    <w:rsid w:val="008E2C85"/>
    <w:rsid w:val="008E4385"/>
    <w:rsid w:val="008E6A31"/>
    <w:rsid w:val="008E7D8F"/>
    <w:rsid w:val="008F1CEB"/>
    <w:rsid w:val="008F3DA3"/>
    <w:rsid w:val="008F522B"/>
    <w:rsid w:val="00901EC3"/>
    <w:rsid w:val="009050A7"/>
    <w:rsid w:val="0090580D"/>
    <w:rsid w:val="00913612"/>
    <w:rsid w:val="0091420E"/>
    <w:rsid w:val="00915ECE"/>
    <w:rsid w:val="009236B3"/>
    <w:rsid w:val="009252C9"/>
    <w:rsid w:val="009256BF"/>
    <w:rsid w:val="00931425"/>
    <w:rsid w:val="00934B18"/>
    <w:rsid w:val="00934F81"/>
    <w:rsid w:val="00940E07"/>
    <w:rsid w:val="0094342C"/>
    <w:rsid w:val="009440B5"/>
    <w:rsid w:val="00944DFC"/>
    <w:rsid w:val="009464D0"/>
    <w:rsid w:val="00951AA8"/>
    <w:rsid w:val="0095498A"/>
    <w:rsid w:val="0095551F"/>
    <w:rsid w:val="00955DC1"/>
    <w:rsid w:val="00963E91"/>
    <w:rsid w:val="0096459E"/>
    <w:rsid w:val="00966072"/>
    <w:rsid w:val="009667ED"/>
    <w:rsid w:val="00970D50"/>
    <w:rsid w:val="00972155"/>
    <w:rsid w:val="0098507C"/>
    <w:rsid w:val="009906DA"/>
    <w:rsid w:val="009917C9"/>
    <w:rsid w:val="00997554"/>
    <w:rsid w:val="00997B9B"/>
    <w:rsid w:val="009A02C1"/>
    <w:rsid w:val="009A2C1A"/>
    <w:rsid w:val="009A3701"/>
    <w:rsid w:val="009A5880"/>
    <w:rsid w:val="009A79E2"/>
    <w:rsid w:val="009B5B17"/>
    <w:rsid w:val="009B7731"/>
    <w:rsid w:val="009C22FE"/>
    <w:rsid w:val="009C3F42"/>
    <w:rsid w:val="009C792F"/>
    <w:rsid w:val="009D189F"/>
    <w:rsid w:val="009D70B7"/>
    <w:rsid w:val="009D769A"/>
    <w:rsid w:val="009E3214"/>
    <w:rsid w:val="009E467E"/>
    <w:rsid w:val="009E4F2A"/>
    <w:rsid w:val="009E7D41"/>
    <w:rsid w:val="009E7D5F"/>
    <w:rsid w:val="009F05C6"/>
    <w:rsid w:val="009F1496"/>
    <w:rsid w:val="009F161C"/>
    <w:rsid w:val="009F1D7D"/>
    <w:rsid w:val="009F33E2"/>
    <w:rsid w:val="00A02E81"/>
    <w:rsid w:val="00A04061"/>
    <w:rsid w:val="00A048A0"/>
    <w:rsid w:val="00A05160"/>
    <w:rsid w:val="00A0729E"/>
    <w:rsid w:val="00A07BFE"/>
    <w:rsid w:val="00A14298"/>
    <w:rsid w:val="00A1483F"/>
    <w:rsid w:val="00A20D25"/>
    <w:rsid w:val="00A25E33"/>
    <w:rsid w:val="00A260BA"/>
    <w:rsid w:val="00A3078F"/>
    <w:rsid w:val="00A373EA"/>
    <w:rsid w:val="00A40A0B"/>
    <w:rsid w:val="00A46C02"/>
    <w:rsid w:val="00A47687"/>
    <w:rsid w:val="00A51248"/>
    <w:rsid w:val="00A517B1"/>
    <w:rsid w:val="00A5613F"/>
    <w:rsid w:val="00A56313"/>
    <w:rsid w:val="00A563C5"/>
    <w:rsid w:val="00A566FA"/>
    <w:rsid w:val="00A62CBC"/>
    <w:rsid w:val="00A6572D"/>
    <w:rsid w:val="00A6729B"/>
    <w:rsid w:val="00A67B53"/>
    <w:rsid w:val="00A7204F"/>
    <w:rsid w:val="00A72E34"/>
    <w:rsid w:val="00A74C2D"/>
    <w:rsid w:val="00A77A5C"/>
    <w:rsid w:val="00A838DA"/>
    <w:rsid w:val="00A83AB3"/>
    <w:rsid w:val="00A85922"/>
    <w:rsid w:val="00A86F56"/>
    <w:rsid w:val="00A87F15"/>
    <w:rsid w:val="00A903C7"/>
    <w:rsid w:val="00A914E2"/>
    <w:rsid w:val="00AA1618"/>
    <w:rsid w:val="00AA3BC1"/>
    <w:rsid w:val="00AA53B3"/>
    <w:rsid w:val="00AA7025"/>
    <w:rsid w:val="00AB0C70"/>
    <w:rsid w:val="00AB224D"/>
    <w:rsid w:val="00AB2A7A"/>
    <w:rsid w:val="00AB456F"/>
    <w:rsid w:val="00AB4A27"/>
    <w:rsid w:val="00AB7F78"/>
    <w:rsid w:val="00AC1B26"/>
    <w:rsid w:val="00AC3FBC"/>
    <w:rsid w:val="00AC5037"/>
    <w:rsid w:val="00AC7B8E"/>
    <w:rsid w:val="00AD7591"/>
    <w:rsid w:val="00AE02B9"/>
    <w:rsid w:val="00AE19DF"/>
    <w:rsid w:val="00AE1E06"/>
    <w:rsid w:val="00AE6C3C"/>
    <w:rsid w:val="00AF1B12"/>
    <w:rsid w:val="00AF3B2F"/>
    <w:rsid w:val="00B14EEC"/>
    <w:rsid w:val="00B22478"/>
    <w:rsid w:val="00B2723E"/>
    <w:rsid w:val="00B31119"/>
    <w:rsid w:val="00B35522"/>
    <w:rsid w:val="00B45278"/>
    <w:rsid w:val="00B4639B"/>
    <w:rsid w:val="00B46BF5"/>
    <w:rsid w:val="00B52278"/>
    <w:rsid w:val="00B600D5"/>
    <w:rsid w:val="00B60265"/>
    <w:rsid w:val="00B655FD"/>
    <w:rsid w:val="00B65AD4"/>
    <w:rsid w:val="00B74CDD"/>
    <w:rsid w:val="00B74E95"/>
    <w:rsid w:val="00B82193"/>
    <w:rsid w:val="00B849BD"/>
    <w:rsid w:val="00BA1992"/>
    <w:rsid w:val="00BA3905"/>
    <w:rsid w:val="00BA4306"/>
    <w:rsid w:val="00BA737D"/>
    <w:rsid w:val="00BA74BD"/>
    <w:rsid w:val="00BB1A8C"/>
    <w:rsid w:val="00BB2298"/>
    <w:rsid w:val="00BB3153"/>
    <w:rsid w:val="00BC4FBB"/>
    <w:rsid w:val="00BC6852"/>
    <w:rsid w:val="00BD31AD"/>
    <w:rsid w:val="00BD3A24"/>
    <w:rsid w:val="00BD5AF9"/>
    <w:rsid w:val="00BE2B2C"/>
    <w:rsid w:val="00BE3A0A"/>
    <w:rsid w:val="00BE750F"/>
    <w:rsid w:val="00BE7766"/>
    <w:rsid w:val="00BF68CE"/>
    <w:rsid w:val="00BF6CA4"/>
    <w:rsid w:val="00C016EE"/>
    <w:rsid w:val="00C019FF"/>
    <w:rsid w:val="00C01F5A"/>
    <w:rsid w:val="00C03A04"/>
    <w:rsid w:val="00C05BC7"/>
    <w:rsid w:val="00C07CC4"/>
    <w:rsid w:val="00C108A9"/>
    <w:rsid w:val="00C15E3B"/>
    <w:rsid w:val="00C21161"/>
    <w:rsid w:val="00C23323"/>
    <w:rsid w:val="00C23F26"/>
    <w:rsid w:val="00C23F2E"/>
    <w:rsid w:val="00C2715A"/>
    <w:rsid w:val="00C313CF"/>
    <w:rsid w:val="00C313D1"/>
    <w:rsid w:val="00C33556"/>
    <w:rsid w:val="00C34348"/>
    <w:rsid w:val="00C41D55"/>
    <w:rsid w:val="00C43D46"/>
    <w:rsid w:val="00C471D1"/>
    <w:rsid w:val="00C50E15"/>
    <w:rsid w:val="00C54E18"/>
    <w:rsid w:val="00C55099"/>
    <w:rsid w:val="00C616A4"/>
    <w:rsid w:val="00C61886"/>
    <w:rsid w:val="00C61D04"/>
    <w:rsid w:val="00C63BA8"/>
    <w:rsid w:val="00C70745"/>
    <w:rsid w:val="00C7454C"/>
    <w:rsid w:val="00C77221"/>
    <w:rsid w:val="00C7774F"/>
    <w:rsid w:val="00C80112"/>
    <w:rsid w:val="00C8335A"/>
    <w:rsid w:val="00C900AC"/>
    <w:rsid w:val="00C915E7"/>
    <w:rsid w:val="00C957CF"/>
    <w:rsid w:val="00C964FE"/>
    <w:rsid w:val="00CA0B37"/>
    <w:rsid w:val="00CA1834"/>
    <w:rsid w:val="00CA288B"/>
    <w:rsid w:val="00CA6583"/>
    <w:rsid w:val="00CB044B"/>
    <w:rsid w:val="00CB19C1"/>
    <w:rsid w:val="00CB2F28"/>
    <w:rsid w:val="00CB3F24"/>
    <w:rsid w:val="00CC067A"/>
    <w:rsid w:val="00CE111F"/>
    <w:rsid w:val="00CE5910"/>
    <w:rsid w:val="00CE6EB9"/>
    <w:rsid w:val="00CE7A5C"/>
    <w:rsid w:val="00CF2218"/>
    <w:rsid w:val="00CF2379"/>
    <w:rsid w:val="00CF3297"/>
    <w:rsid w:val="00D00E51"/>
    <w:rsid w:val="00D0716E"/>
    <w:rsid w:val="00D07861"/>
    <w:rsid w:val="00D106B0"/>
    <w:rsid w:val="00D12F01"/>
    <w:rsid w:val="00D13F32"/>
    <w:rsid w:val="00D2039C"/>
    <w:rsid w:val="00D206DC"/>
    <w:rsid w:val="00D228FF"/>
    <w:rsid w:val="00D305E8"/>
    <w:rsid w:val="00D335A1"/>
    <w:rsid w:val="00D349D3"/>
    <w:rsid w:val="00D36285"/>
    <w:rsid w:val="00D371BE"/>
    <w:rsid w:val="00D443FE"/>
    <w:rsid w:val="00D450BB"/>
    <w:rsid w:val="00D46820"/>
    <w:rsid w:val="00D5226F"/>
    <w:rsid w:val="00D55BFE"/>
    <w:rsid w:val="00D61451"/>
    <w:rsid w:val="00D63710"/>
    <w:rsid w:val="00D64084"/>
    <w:rsid w:val="00D66D17"/>
    <w:rsid w:val="00D709A2"/>
    <w:rsid w:val="00D73E62"/>
    <w:rsid w:val="00D7411E"/>
    <w:rsid w:val="00D745FE"/>
    <w:rsid w:val="00D77D77"/>
    <w:rsid w:val="00D82C3F"/>
    <w:rsid w:val="00D82F71"/>
    <w:rsid w:val="00D9331B"/>
    <w:rsid w:val="00D93398"/>
    <w:rsid w:val="00D959CE"/>
    <w:rsid w:val="00DA199D"/>
    <w:rsid w:val="00DA1DE5"/>
    <w:rsid w:val="00DA301D"/>
    <w:rsid w:val="00DA45F2"/>
    <w:rsid w:val="00DA6D3C"/>
    <w:rsid w:val="00DB06E0"/>
    <w:rsid w:val="00DB0A79"/>
    <w:rsid w:val="00DB1B92"/>
    <w:rsid w:val="00DB4B05"/>
    <w:rsid w:val="00DC3040"/>
    <w:rsid w:val="00DC41A4"/>
    <w:rsid w:val="00DC742E"/>
    <w:rsid w:val="00DC7EA5"/>
    <w:rsid w:val="00DD62D9"/>
    <w:rsid w:val="00DD6DF3"/>
    <w:rsid w:val="00DD6FB5"/>
    <w:rsid w:val="00DE0885"/>
    <w:rsid w:val="00DE190A"/>
    <w:rsid w:val="00DE1B05"/>
    <w:rsid w:val="00DE4EFC"/>
    <w:rsid w:val="00DE7566"/>
    <w:rsid w:val="00DE7949"/>
    <w:rsid w:val="00DF015C"/>
    <w:rsid w:val="00DF4701"/>
    <w:rsid w:val="00DF5C8B"/>
    <w:rsid w:val="00E013CE"/>
    <w:rsid w:val="00E06549"/>
    <w:rsid w:val="00E06BF1"/>
    <w:rsid w:val="00E123B5"/>
    <w:rsid w:val="00E13AAF"/>
    <w:rsid w:val="00E205F9"/>
    <w:rsid w:val="00E2573C"/>
    <w:rsid w:val="00E2643D"/>
    <w:rsid w:val="00E2782D"/>
    <w:rsid w:val="00E31756"/>
    <w:rsid w:val="00E32CF9"/>
    <w:rsid w:val="00E35CEE"/>
    <w:rsid w:val="00E42E7B"/>
    <w:rsid w:val="00E4399A"/>
    <w:rsid w:val="00E44D52"/>
    <w:rsid w:val="00E45D9A"/>
    <w:rsid w:val="00E478BC"/>
    <w:rsid w:val="00E515BB"/>
    <w:rsid w:val="00E52487"/>
    <w:rsid w:val="00E54231"/>
    <w:rsid w:val="00E55092"/>
    <w:rsid w:val="00E561A1"/>
    <w:rsid w:val="00E6019E"/>
    <w:rsid w:val="00E620C5"/>
    <w:rsid w:val="00E6214A"/>
    <w:rsid w:val="00E6389A"/>
    <w:rsid w:val="00E77445"/>
    <w:rsid w:val="00E842E9"/>
    <w:rsid w:val="00E87C54"/>
    <w:rsid w:val="00E9525B"/>
    <w:rsid w:val="00EA52F7"/>
    <w:rsid w:val="00EA63DA"/>
    <w:rsid w:val="00EA6F11"/>
    <w:rsid w:val="00EB7BEB"/>
    <w:rsid w:val="00EC1BFE"/>
    <w:rsid w:val="00EC6092"/>
    <w:rsid w:val="00EC66C2"/>
    <w:rsid w:val="00EC6858"/>
    <w:rsid w:val="00ED6B1D"/>
    <w:rsid w:val="00EE255A"/>
    <w:rsid w:val="00EE27E9"/>
    <w:rsid w:val="00EE40B6"/>
    <w:rsid w:val="00EE58F1"/>
    <w:rsid w:val="00EE6104"/>
    <w:rsid w:val="00EF4D55"/>
    <w:rsid w:val="00EF5722"/>
    <w:rsid w:val="00F01FC4"/>
    <w:rsid w:val="00F067BB"/>
    <w:rsid w:val="00F1039E"/>
    <w:rsid w:val="00F164DA"/>
    <w:rsid w:val="00F16927"/>
    <w:rsid w:val="00F220DC"/>
    <w:rsid w:val="00F24B12"/>
    <w:rsid w:val="00F301A5"/>
    <w:rsid w:val="00F46094"/>
    <w:rsid w:val="00F475A9"/>
    <w:rsid w:val="00F50CC0"/>
    <w:rsid w:val="00F50E87"/>
    <w:rsid w:val="00F53715"/>
    <w:rsid w:val="00F54495"/>
    <w:rsid w:val="00F55200"/>
    <w:rsid w:val="00F672AC"/>
    <w:rsid w:val="00F72298"/>
    <w:rsid w:val="00F73598"/>
    <w:rsid w:val="00F76D3E"/>
    <w:rsid w:val="00F86949"/>
    <w:rsid w:val="00F92D7F"/>
    <w:rsid w:val="00F92E2D"/>
    <w:rsid w:val="00F9416E"/>
    <w:rsid w:val="00F94734"/>
    <w:rsid w:val="00F9637B"/>
    <w:rsid w:val="00F96C1D"/>
    <w:rsid w:val="00F974F5"/>
    <w:rsid w:val="00FA54FD"/>
    <w:rsid w:val="00FA7F10"/>
    <w:rsid w:val="00FB5185"/>
    <w:rsid w:val="00FC4E25"/>
    <w:rsid w:val="00FC6ED1"/>
    <w:rsid w:val="00FD0391"/>
    <w:rsid w:val="00FD2112"/>
    <w:rsid w:val="00FE6970"/>
    <w:rsid w:val="00FF5539"/>
    <w:rsid w:val="00FF59A1"/>
    <w:rsid w:val="00FF69B1"/>
  </w:rsids>
  <m:mathPr>
    <m:mathFont m:val="Cambria Math"/>
    <m:brkBin m:val="before"/>
    <m:brkBinSub m:val="--"/>
    <m:smallFrac m:val="0"/>
    <m:dispDef/>
    <m:lMargin m:val="0"/>
    <m:rMargin m:val="0"/>
    <m:defJc m:val="centerGroup"/>
    <m:wrapIndent m:val="1440"/>
    <m:intLim m:val="subSup"/>
    <m:naryLim m:val="undOvr"/>
  </m:mathPr>
  <w:themeFontLang w:val="pt-BR"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54A4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64DA"/>
    <w:pPr>
      <w:ind w:left="720"/>
      <w:contextualSpacing/>
    </w:pPr>
  </w:style>
  <w:style w:type="character" w:styleId="Hyperlink">
    <w:name w:val="Hyperlink"/>
    <w:basedOn w:val="DefaultParagraphFont"/>
    <w:uiPriority w:val="99"/>
    <w:unhideWhenUsed/>
    <w:rsid w:val="007822A6"/>
    <w:rPr>
      <w:color w:val="0563C1" w:themeColor="hyperlink"/>
      <w:u w:val="single"/>
    </w:rPr>
  </w:style>
  <w:style w:type="character" w:customStyle="1" w:styleId="MenoPendente1">
    <w:name w:val="Menção Pendente1"/>
    <w:basedOn w:val="DefaultParagraphFont"/>
    <w:uiPriority w:val="99"/>
    <w:semiHidden/>
    <w:unhideWhenUsed/>
    <w:rsid w:val="007822A6"/>
    <w:rPr>
      <w:color w:val="605E5C"/>
      <w:shd w:val="clear" w:color="auto" w:fill="E1DFDD"/>
    </w:rPr>
  </w:style>
  <w:style w:type="paragraph" w:styleId="BalloonText">
    <w:name w:val="Balloon Text"/>
    <w:basedOn w:val="Normal"/>
    <w:link w:val="BalloonTextChar"/>
    <w:uiPriority w:val="99"/>
    <w:semiHidden/>
    <w:unhideWhenUsed/>
    <w:rsid w:val="00DB4B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4B05"/>
    <w:rPr>
      <w:rFonts w:ascii="Segoe UI" w:hAnsi="Segoe UI" w:cs="Segoe UI"/>
      <w:sz w:val="18"/>
      <w:szCs w:val="18"/>
    </w:rPr>
  </w:style>
  <w:style w:type="character" w:styleId="CommentReference">
    <w:name w:val="annotation reference"/>
    <w:basedOn w:val="DefaultParagraphFont"/>
    <w:uiPriority w:val="99"/>
    <w:semiHidden/>
    <w:unhideWhenUsed/>
    <w:rsid w:val="00A7204F"/>
    <w:rPr>
      <w:sz w:val="16"/>
      <w:szCs w:val="16"/>
    </w:rPr>
  </w:style>
  <w:style w:type="paragraph" w:styleId="CommentText">
    <w:name w:val="annotation text"/>
    <w:basedOn w:val="Normal"/>
    <w:link w:val="CommentTextChar"/>
    <w:uiPriority w:val="99"/>
    <w:semiHidden/>
    <w:unhideWhenUsed/>
    <w:rsid w:val="00A7204F"/>
    <w:pPr>
      <w:spacing w:line="240" w:lineRule="auto"/>
    </w:pPr>
    <w:rPr>
      <w:sz w:val="20"/>
      <w:szCs w:val="20"/>
    </w:rPr>
  </w:style>
  <w:style w:type="character" w:customStyle="1" w:styleId="CommentTextChar">
    <w:name w:val="Comment Text Char"/>
    <w:basedOn w:val="DefaultParagraphFont"/>
    <w:link w:val="CommentText"/>
    <w:uiPriority w:val="99"/>
    <w:semiHidden/>
    <w:rsid w:val="00A7204F"/>
    <w:rPr>
      <w:sz w:val="20"/>
      <w:szCs w:val="20"/>
    </w:rPr>
  </w:style>
  <w:style w:type="paragraph" w:styleId="CommentSubject">
    <w:name w:val="annotation subject"/>
    <w:basedOn w:val="CommentText"/>
    <w:next w:val="CommentText"/>
    <w:link w:val="CommentSubjectChar"/>
    <w:uiPriority w:val="99"/>
    <w:semiHidden/>
    <w:unhideWhenUsed/>
    <w:rsid w:val="00A7204F"/>
    <w:rPr>
      <w:b/>
      <w:bCs/>
    </w:rPr>
  </w:style>
  <w:style w:type="character" w:customStyle="1" w:styleId="CommentSubjectChar">
    <w:name w:val="Comment Subject Char"/>
    <w:basedOn w:val="CommentTextChar"/>
    <w:link w:val="CommentSubject"/>
    <w:uiPriority w:val="99"/>
    <w:semiHidden/>
    <w:rsid w:val="00A7204F"/>
    <w:rPr>
      <w:b/>
      <w:bCs/>
      <w:sz w:val="20"/>
      <w:szCs w:val="20"/>
    </w:rPr>
  </w:style>
  <w:style w:type="paragraph" w:styleId="Revision">
    <w:name w:val="Revision"/>
    <w:hidden/>
    <w:uiPriority w:val="99"/>
    <w:semiHidden/>
    <w:rsid w:val="00193D4D"/>
    <w:pPr>
      <w:spacing w:after="0" w:line="240" w:lineRule="auto"/>
    </w:pPr>
  </w:style>
  <w:style w:type="paragraph" w:customStyle="1" w:styleId="Keywords">
    <w:name w:val="Keywords"/>
    <w:basedOn w:val="Normal"/>
    <w:next w:val="Normal"/>
    <w:qFormat/>
    <w:rsid w:val="0001504A"/>
    <w:pPr>
      <w:spacing w:before="240" w:after="240" w:line="360" w:lineRule="auto"/>
      <w:ind w:left="720" w:right="567"/>
    </w:pPr>
    <w:rPr>
      <w:rFonts w:ascii="Times New Roman" w:eastAsia="Times New Roman" w:hAnsi="Times New Roman" w:cs="Times New Roman"/>
      <w:szCs w:val="24"/>
      <w:lang w:val="en-GB" w:eastAsia="en-GB"/>
    </w:rPr>
  </w:style>
  <w:style w:type="paragraph" w:styleId="FootnoteText">
    <w:name w:val="footnote text"/>
    <w:basedOn w:val="Normal"/>
    <w:link w:val="FootnoteTextChar"/>
    <w:uiPriority w:val="99"/>
    <w:semiHidden/>
    <w:unhideWhenUsed/>
    <w:rsid w:val="006520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201C"/>
    <w:rPr>
      <w:sz w:val="20"/>
      <w:szCs w:val="20"/>
    </w:rPr>
  </w:style>
  <w:style w:type="character" w:styleId="FootnoteReference">
    <w:name w:val="footnote reference"/>
    <w:basedOn w:val="DefaultParagraphFont"/>
    <w:uiPriority w:val="99"/>
    <w:semiHidden/>
    <w:unhideWhenUsed/>
    <w:rsid w:val="0065201C"/>
    <w:rPr>
      <w:vertAlign w:val="superscript"/>
    </w:rPr>
  </w:style>
  <w:style w:type="table" w:styleId="TableGrid">
    <w:name w:val="Table Grid"/>
    <w:basedOn w:val="TableNormal"/>
    <w:uiPriority w:val="39"/>
    <w:rsid w:val="00CA0B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B1715"/>
    <w:pPr>
      <w:spacing w:after="200" w:line="240" w:lineRule="auto"/>
    </w:pPr>
    <w:rPr>
      <w:i/>
      <w:iCs/>
      <w:color w:val="44546A" w:themeColor="text2"/>
      <w:sz w:val="18"/>
      <w:szCs w:val="18"/>
    </w:rPr>
  </w:style>
  <w:style w:type="character" w:customStyle="1" w:styleId="UnresolvedMention1">
    <w:name w:val="Unresolved Mention1"/>
    <w:basedOn w:val="DefaultParagraphFont"/>
    <w:uiPriority w:val="99"/>
    <w:semiHidden/>
    <w:unhideWhenUsed/>
    <w:rsid w:val="00B74E95"/>
    <w:rPr>
      <w:color w:val="605E5C"/>
      <w:shd w:val="clear" w:color="auto" w:fill="E1DFDD"/>
    </w:rPr>
  </w:style>
  <w:style w:type="character" w:styleId="FollowedHyperlink">
    <w:name w:val="FollowedHyperlink"/>
    <w:basedOn w:val="DefaultParagraphFont"/>
    <w:uiPriority w:val="99"/>
    <w:semiHidden/>
    <w:unhideWhenUsed/>
    <w:rsid w:val="009C792F"/>
    <w:rPr>
      <w:color w:val="954F72" w:themeColor="followedHyperlink"/>
      <w:u w:val="single"/>
    </w:rPr>
  </w:style>
  <w:style w:type="paragraph" w:styleId="Header">
    <w:name w:val="header"/>
    <w:basedOn w:val="Normal"/>
    <w:link w:val="HeaderChar"/>
    <w:uiPriority w:val="99"/>
    <w:unhideWhenUsed/>
    <w:rsid w:val="004019C6"/>
    <w:pPr>
      <w:tabs>
        <w:tab w:val="center" w:pos="4252"/>
        <w:tab w:val="right" w:pos="8504"/>
      </w:tabs>
      <w:spacing w:after="0" w:line="240" w:lineRule="auto"/>
    </w:pPr>
  </w:style>
  <w:style w:type="character" w:customStyle="1" w:styleId="HeaderChar">
    <w:name w:val="Header Char"/>
    <w:basedOn w:val="DefaultParagraphFont"/>
    <w:link w:val="Header"/>
    <w:uiPriority w:val="99"/>
    <w:rsid w:val="004019C6"/>
  </w:style>
  <w:style w:type="paragraph" w:styleId="Footer">
    <w:name w:val="footer"/>
    <w:basedOn w:val="Normal"/>
    <w:link w:val="FooterChar"/>
    <w:uiPriority w:val="99"/>
    <w:unhideWhenUsed/>
    <w:rsid w:val="004019C6"/>
    <w:pPr>
      <w:tabs>
        <w:tab w:val="center" w:pos="4252"/>
        <w:tab w:val="right" w:pos="8504"/>
      </w:tabs>
      <w:spacing w:after="0" w:line="240" w:lineRule="auto"/>
    </w:pPr>
  </w:style>
  <w:style w:type="character" w:customStyle="1" w:styleId="FooterChar">
    <w:name w:val="Footer Char"/>
    <w:basedOn w:val="DefaultParagraphFont"/>
    <w:link w:val="Footer"/>
    <w:uiPriority w:val="99"/>
    <w:rsid w:val="004019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460612">
      <w:bodyDiv w:val="1"/>
      <w:marLeft w:val="0"/>
      <w:marRight w:val="0"/>
      <w:marTop w:val="0"/>
      <w:marBottom w:val="0"/>
      <w:divBdr>
        <w:top w:val="none" w:sz="0" w:space="0" w:color="auto"/>
        <w:left w:val="none" w:sz="0" w:space="0" w:color="auto"/>
        <w:bottom w:val="none" w:sz="0" w:space="0" w:color="auto"/>
        <w:right w:val="none" w:sz="0" w:space="0" w:color="auto"/>
      </w:divBdr>
    </w:div>
    <w:div w:id="1412266585">
      <w:bodyDiv w:val="1"/>
      <w:marLeft w:val="0"/>
      <w:marRight w:val="0"/>
      <w:marTop w:val="0"/>
      <w:marBottom w:val="0"/>
      <w:divBdr>
        <w:top w:val="none" w:sz="0" w:space="0" w:color="auto"/>
        <w:left w:val="none" w:sz="0" w:space="0" w:color="auto"/>
        <w:bottom w:val="none" w:sz="0" w:space="0" w:color="auto"/>
        <w:right w:val="none" w:sz="0" w:space="0" w:color="auto"/>
      </w:divBdr>
    </w:div>
    <w:div w:id="1523978808">
      <w:bodyDiv w:val="1"/>
      <w:marLeft w:val="0"/>
      <w:marRight w:val="0"/>
      <w:marTop w:val="0"/>
      <w:marBottom w:val="0"/>
      <w:divBdr>
        <w:top w:val="none" w:sz="0" w:space="0" w:color="auto"/>
        <w:left w:val="none" w:sz="0" w:space="0" w:color="auto"/>
        <w:bottom w:val="none" w:sz="0" w:space="0" w:color="auto"/>
        <w:right w:val="none" w:sz="0" w:space="0" w:color="auto"/>
      </w:divBdr>
    </w:div>
    <w:div w:id="1700616922">
      <w:bodyDiv w:val="1"/>
      <w:marLeft w:val="0"/>
      <w:marRight w:val="0"/>
      <w:marTop w:val="0"/>
      <w:marBottom w:val="0"/>
      <w:divBdr>
        <w:top w:val="none" w:sz="0" w:space="0" w:color="auto"/>
        <w:left w:val="none" w:sz="0" w:space="0" w:color="auto"/>
        <w:bottom w:val="none" w:sz="0" w:space="0" w:color="auto"/>
        <w:right w:val="none" w:sz="0" w:space="0" w:color="auto"/>
      </w:divBdr>
    </w:div>
    <w:div w:id="1840775641">
      <w:bodyDiv w:val="1"/>
      <w:marLeft w:val="0"/>
      <w:marRight w:val="0"/>
      <w:marTop w:val="0"/>
      <w:marBottom w:val="0"/>
      <w:divBdr>
        <w:top w:val="none" w:sz="0" w:space="0" w:color="auto"/>
        <w:left w:val="none" w:sz="0" w:space="0" w:color="auto"/>
        <w:bottom w:val="none" w:sz="0" w:space="0" w:color="auto"/>
        <w:right w:val="none" w:sz="0" w:space="0" w:color="auto"/>
      </w:divBdr>
    </w:div>
    <w:div w:id="1850438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B0911783C1D442BD1CF19F4570B3A4" ma:contentTypeVersion="11" ma:contentTypeDescription="Create a new document." ma:contentTypeScope="" ma:versionID="22182499859456db9634881befa81318">
  <xsd:schema xmlns:xsd="http://www.w3.org/2001/XMLSchema" xmlns:xs="http://www.w3.org/2001/XMLSchema" xmlns:p="http://schemas.microsoft.com/office/2006/metadata/properties" xmlns:ns1="http://schemas.microsoft.com/sharepoint/v3" xmlns:ns2="349c52c3-7488-4a9e-99a0-500ebff2edd8" targetNamespace="http://schemas.microsoft.com/office/2006/metadata/properties" ma:root="true" ma:fieldsID="92efc6fe5eaeab414c308e3a3e98472a" ns1:_="" ns2:_="">
    <xsd:import namespace="http://schemas.microsoft.com/sharepoint/v3"/>
    <xsd:import namespace="349c52c3-7488-4a9e-99a0-500ebff2ed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9c52c3-7488-4a9e-99a0-500ebff2ed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5915AED-2C79-444F-9232-B74C46D4A7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49c52c3-7488-4a9e-99a0-500ebff2ed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356947-85B7-4A59-A067-F4FE1FD55216}">
  <ds:schemaRefs>
    <ds:schemaRef ds:uri="http://schemas.microsoft.com/sharepoint/v3/contenttype/forms"/>
  </ds:schemaRefs>
</ds:datastoreItem>
</file>

<file path=customXml/itemProps3.xml><?xml version="1.0" encoding="utf-8"?>
<ds:datastoreItem xmlns:ds="http://schemas.openxmlformats.org/officeDocument/2006/customXml" ds:itemID="{7B1AB0FB-BB68-4BD9-8D15-82018A744740}">
  <ds:schemaRefs>
    <ds:schemaRef ds:uri="http://schemas.microsoft.com/office/2006/documentManagement/types"/>
    <ds:schemaRef ds:uri="349c52c3-7488-4a9e-99a0-500ebff2edd8"/>
    <ds:schemaRef ds:uri="http://schemas.microsoft.com/sharepoint/v3"/>
    <ds:schemaRef ds:uri="http://www.w3.org/XML/1998/namespace"/>
    <ds:schemaRef ds:uri="http://schemas.openxmlformats.org/package/2006/metadata/core-properties"/>
    <ds:schemaRef ds:uri="http://purl.org/dc/terms/"/>
    <ds:schemaRef ds:uri="http://schemas.microsoft.com/office/infopath/2007/PartnerControls"/>
    <ds:schemaRef ds:uri="http://schemas.microsoft.com/office/2006/metadata/propertie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37660</Words>
  <Characters>214666</Characters>
  <Application>Microsoft Office Word</Application>
  <DocSecurity>4</DocSecurity>
  <Lines>1788</Lines>
  <Paragraphs>503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2022-02-02T15:43:00Z</dcterms:created>
  <dcterms:modified xsi:type="dcterms:W3CDTF">2022-02-02T15:43:00Z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0x0101009FB0911783C1D442BD1CF19F4570B3A4</vt:lpwstr>
  </property>
</Properties>
</file>