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3D58C" w14:textId="725282B3" w:rsidR="00F876D8" w:rsidRDefault="00F876D8" w:rsidP="000E5B42">
      <w:pPr>
        <w:spacing w:line="480" w:lineRule="auto"/>
        <w:rPr>
          <w:b/>
        </w:rPr>
      </w:pPr>
      <w:r>
        <w:rPr>
          <w:b/>
        </w:rPr>
        <w:t>COVID-19</w:t>
      </w:r>
    </w:p>
    <w:p w14:paraId="7E178D0F" w14:textId="68437471" w:rsidR="006074E4" w:rsidRPr="005220A0" w:rsidRDefault="006074E4" w:rsidP="000E5B42">
      <w:pPr>
        <w:spacing w:line="480" w:lineRule="auto"/>
        <w:rPr>
          <w:b/>
        </w:rPr>
      </w:pPr>
      <w:r w:rsidRPr="005220A0">
        <w:rPr>
          <w:b/>
        </w:rPr>
        <w:t>Risk</w:t>
      </w:r>
      <w:r w:rsidR="000E5B42">
        <w:rPr>
          <w:b/>
        </w:rPr>
        <w:t>–</w:t>
      </w:r>
      <w:r w:rsidRPr="005220A0">
        <w:rPr>
          <w:b/>
        </w:rPr>
        <w:t xml:space="preserve">benefit analysis of COVID-19 vaccines </w:t>
      </w:r>
      <w:r w:rsidR="005220A0">
        <w:rPr>
          <w:rFonts w:ascii="Calibri" w:hAnsi="Calibri" w:cs="Calibri"/>
          <w:b/>
        </w:rPr>
        <w:t>—</w:t>
      </w:r>
      <w:r w:rsidRPr="005220A0">
        <w:rPr>
          <w:b/>
        </w:rPr>
        <w:t xml:space="preserve"> a </w:t>
      </w:r>
      <w:r w:rsidR="00F876D8" w:rsidRPr="005220A0">
        <w:rPr>
          <w:b/>
        </w:rPr>
        <w:t>neurolog</w:t>
      </w:r>
      <w:r w:rsidR="00F876D8">
        <w:rPr>
          <w:b/>
        </w:rPr>
        <w:t>ical</w:t>
      </w:r>
      <w:r w:rsidR="00F876D8" w:rsidRPr="005220A0">
        <w:rPr>
          <w:b/>
        </w:rPr>
        <w:t xml:space="preserve"> p</w:t>
      </w:r>
      <w:r w:rsidR="00F876D8">
        <w:rPr>
          <w:b/>
        </w:rPr>
        <w:t>er</w:t>
      </w:r>
      <w:r w:rsidR="00F876D8" w:rsidRPr="005220A0">
        <w:rPr>
          <w:b/>
        </w:rPr>
        <w:t>spective</w:t>
      </w:r>
      <w:r w:rsidR="00F876D8">
        <w:rPr>
          <w:b/>
        </w:rPr>
        <w:t xml:space="preserve"> </w:t>
      </w:r>
    </w:p>
    <w:p w14:paraId="6E06B707" w14:textId="2F93D9AF" w:rsidR="006074E4" w:rsidRDefault="006074E4" w:rsidP="000E5B42">
      <w:pPr>
        <w:spacing w:line="480" w:lineRule="auto"/>
        <w:rPr>
          <w:vertAlign w:val="superscript"/>
        </w:rPr>
      </w:pPr>
      <w:r>
        <w:t>Colleen L</w:t>
      </w:r>
      <w:r w:rsidR="005220A0">
        <w:t>.</w:t>
      </w:r>
      <w:r>
        <w:t xml:space="preserve"> Lau</w:t>
      </w:r>
      <w:r w:rsidR="005220A0">
        <w:t xml:space="preserve"> and</w:t>
      </w:r>
      <w:r>
        <w:t xml:space="preserve"> Ian Galea</w:t>
      </w:r>
    </w:p>
    <w:p w14:paraId="5919D638" w14:textId="77777777" w:rsidR="006074E4" w:rsidRPr="006074E4" w:rsidRDefault="006074E4" w:rsidP="000E5B42">
      <w:pPr>
        <w:spacing w:line="480" w:lineRule="auto"/>
        <w:rPr>
          <w:vertAlign w:val="superscript"/>
        </w:rPr>
      </w:pPr>
    </w:p>
    <w:p w14:paraId="39EB22CB" w14:textId="5C2ADA87" w:rsidR="008D4562" w:rsidRPr="005220A0" w:rsidRDefault="00426881" w:rsidP="000E5B42">
      <w:pPr>
        <w:spacing w:line="480" w:lineRule="auto"/>
        <w:rPr>
          <w:b/>
        </w:rPr>
      </w:pPr>
      <w:r w:rsidRPr="005220A0">
        <w:rPr>
          <w:b/>
        </w:rPr>
        <w:t>Rare n</w:t>
      </w:r>
      <w:r w:rsidR="00AE560B" w:rsidRPr="005220A0">
        <w:rPr>
          <w:b/>
        </w:rPr>
        <w:t xml:space="preserve">eurological complications </w:t>
      </w:r>
      <w:r w:rsidR="00F876D8">
        <w:rPr>
          <w:b/>
        </w:rPr>
        <w:t>can</w:t>
      </w:r>
      <w:r w:rsidR="00F876D8" w:rsidRPr="005220A0">
        <w:rPr>
          <w:b/>
        </w:rPr>
        <w:t xml:space="preserve"> </w:t>
      </w:r>
      <w:r w:rsidR="00AE560B" w:rsidRPr="005220A0">
        <w:rPr>
          <w:b/>
        </w:rPr>
        <w:t xml:space="preserve">occur after </w:t>
      </w:r>
      <w:r w:rsidRPr="005220A0">
        <w:rPr>
          <w:b/>
        </w:rPr>
        <w:t xml:space="preserve">COVID-19 </w:t>
      </w:r>
      <w:r w:rsidR="00F876D8" w:rsidRPr="005220A0">
        <w:rPr>
          <w:b/>
        </w:rPr>
        <w:t>vaccin</w:t>
      </w:r>
      <w:r w:rsidR="00F876D8">
        <w:rPr>
          <w:b/>
        </w:rPr>
        <w:t>ation</w:t>
      </w:r>
      <w:r w:rsidRPr="005220A0">
        <w:rPr>
          <w:b/>
        </w:rPr>
        <w:t xml:space="preserve">, but </w:t>
      </w:r>
      <w:r w:rsidR="00A3403E" w:rsidRPr="005220A0">
        <w:rPr>
          <w:b/>
        </w:rPr>
        <w:t xml:space="preserve">recent studies show that </w:t>
      </w:r>
      <w:r w:rsidR="00F876D8">
        <w:rPr>
          <w:b/>
        </w:rPr>
        <w:t>such complications</w:t>
      </w:r>
      <w:r w:rsidR="00F876D8" w:rsidRPr="005220A0">
        <w:rPr>
          <w:b/>
        </w:rPr>
        <w:t xml:space="preserve"> </w:t>
      </w:r>
      <w:r w:rsidR="00A3403E" w:rsidRPr="005220A0">
        <w:rPr>
          <w:b/>
        </w:rPr>
        <w:t>are</w:t>
      </w:r>
      <w:r w:rsidRPr="005220A0">
        <w:rPr>
          <w:b/>
        </w:rPr>
        <w:t xml:space="preserve"> much </w:t>
      </w:r>
      <w:r w:rsidR="00A3403E" w:rsidRPr="005220A0">
        <w:rPr>
          <w:b/>
        </w:rPr>
        <w:t xml:space="preserve">more </w:t>
      </w:r>
      <w:r w:rsidRPr="005220A0">
        <w:rPr>
          <w:b/>
        </w:rPr>
        <w:t xml:space="preserve">common after SARS-CoV-2 infection. </w:t>
      </w:r>
      <w:r w:rsidR="008D4562" w:rsidRPr="005220A0">
        <w:rPr>
          <w:b/>
        </w:rPr>
        <w:t xml:space="preserve">Novel approaches to </w:t>
      </w:r>
      <w:r w:rsidRPr="005220A0">
        <w:rPr>
          <w:b/>
        </w:rPr>
        <w:t>risk</w:t>
      </w:r>
      <w:r w:rsidR="00F876D8">
        <w:rPr>
          <w:b/>
        </w:rPr>
        <w:t>–</w:t>
      </w:r>
      <w:r w:rsidRPr="005220A0">
        <w:rPr>
          <w:b/>
        </w:rPr>
        <w:t>benefit analysis</w:t>
      </w:r>
      <w:r w:rsidR="008D4562" w:rsidRPr="005220A0">
        <w:rPr>
          <w:b/>
        </w:rPr>
        <w:t xml:space="preserve"> such as Bayesian network models</w:t>
      </w:r>
      <w:r w:rsidRPr="005220A0">
        <w:rPr>
          <w:b/>
        </w:rPr>
        <w:t xml:space="preserve"> </w:t>
      </w:r>
      <w:r w:rsidR="001608D7" w:rsidRPr="005220A0">
        <w:rPr>
          <w:b/>
        </w:rPr>
        <w:t xml:space="preserve">can </w:t>
      </w:r>
      <w:r w:rsidR="008D4562" w:rsidRPr="005220A0">
        <w:rPr>
          <w:b/>
        </w:rPr>
        <w:t>integrate the latest global evidence with local factors</w:t>
      </w:r>
      <w:r w:rsidR="001608D7" w:rsidRPr="005220A0">
        <w:rPr>
          <w:b/>
        </w:rPr>
        <w:t xml:space="preserve"> </w:t>
      </w:r>
      <w:r w:rsidRPr="005220A0">
        <w:rPr>
          <w:b/>
        </w:rPr>
        <w:t>to</w:t>
      </w:r>
      <w:r w:rsidR="008D4562" w:rsidRPr="005220A0">
        <w:rPr>
          <w:b/>
        </w:rPr>
        <w:t xml:space="preserve"> </w:t>
      </w:r>
      <w:r w:rsidR="001608D7" w:rsidRPr="005220A0">
        <w:rPr>
          <w:b/>
        </w:rPr>
        <w:t>inform</w:t>
      </w:r>
      <w:r w:rsidR="008D4562" w:rsidRPr="005220A0">
        <w:rPr>
          <w:b/>
        </w:rPr>
        <w:t xml:space="preserve"> </w:t>
      </w:r>
      <w:r w:rsidR="00F876D8" w:rsidRPr="005220A0">
        <w:rPr>
          <w:b/>
        </w:rPr>
        <w:t>decision</w:t>
      </w:r>
      <w:r w:rsidR="00F876D8">
        <w:rPr>
          <w:b/>
        </w:rPr>
        <w:t>-</w:t>
      </w:r>
      <w:r w:rsidR="008D4562" w:rsidRPr="005220A0">
        <w:rPr>
          <w:b/>
        </w:rPr>
        <w:t>making and</w:t>
      </w:r>
      <w:r w:rsidRPr="005220A0">
        <w:rPr>
          <w:b/>
        </w:rPr>
        <w:t xml:space="preserve"> </w:t>
      </w:r>
      <w:r w:rsidR="001608D7" w:rsidRPr="005220A0">
        <w:rPr>
          <w:b/>
        </w:rPr>
        <w:t>support</w:t>
      </w:r>
      <w:r w:rsidRPr="005220A0">
        <w:rPr>
          <w:b/>
        </w:rPr>
        <w:t xml:space="preserve"> the global vaccination effort. </w:t>
      </w:r>
    </w:p>
    <w:p w14:paraId="685673E9" w14:textId="069A9718" w:rsidR="000802E8" w:rsidRDefault="000802E8" w:rsidP="000E5B42">
      <w:pPr>
        <w:spacing w:line="480" w:lineRule="auto"/>
      </w:pPr>
    </w:p>
    <w:p w14:paraId="73A3179B" w14:textId="29D321DB" w:rsidR="000E5B42" w:rsidRDefault="000E5B42" w:rsidP="000E5B42">
      <w:pPr>
        <w:spacing w:line="480" w:lineRule="auto"/>
      </w:pPr>
      <w:r>
        <w:t>Refers to</w:t>
      </w:r>
      <w:r w:rsidR="00AD4891">
        <w:t xml:space="preserve"> </w:t>
      </w:r>
      <w:r w:rsidR="00AD4891" w:rsidRPr="00AD4891">
        <w:t>Palaiodimou, L.</w:t>
      </w:r>
      <w:r w:rsidR="00AD4891" w:rsidRPr="00AD4891">
        <w:rPr>
          <w:i/>
        </w:rPr>
        <w:t xml:space="preserve"> et al.</w:t>
      </w:r>
      <w:r w:rsidR="00AD4891" w:rsidRPr="00AD4891">
        <w:t xml:space="preserve"> Cerebral venous sinus thrombosis and thrombotic events after vector-based COVID-19 vaccines: a systematic review and meta-analysis. </w:t>
      </w:r>
      <w:r w:rsidR="00AD4891" w:rsidRPr="00AD4891">
        <w:rPr>
          <w:i/>
        </w:rPr>
        <w:t>Neurology</w:t>
      </w:r>
      <w:r w:rsidR="00AD4891" w:rsidRPr="00AD4891">
        <w:t xml:space="preserve"> </w:t>
      </w:r>
      <w:r w:rsidR="00AD4891" w:rsidRPr="00AD4891">
        <w:rPr>
          <w:b/>
        </w:rPr>
        <w:t>97</w:t>
      </w:r>
      <w:r w:rsidR="00AD4891">
        <w:t xml:space="preserve">, </w:t>
      </w:r>
      <w:r w:rsidR="00AD4891" w:rsidRPr="00AD4891">
        <w:t>e2136-e2147 (2021)</w:t>
      </w:r>
      <w:r w:rsidR="00AD4891">
        <w:t xml:space="preserve"> | </w:t>
      </w:r>
      <w:r w:rsidR="00AD4891" w:rsidRPr="00AD4891">
        <w:t>Patone, M.</w:t>
      </w:r>
      <w:r w:rsidR="00AD4891" w:rsidRPr="00AD4891">
        <w:rPr>
          <w:i/>
        </w:rPr>
        <w:t xml:space="preserve"> et al.</w:t>
      </w:r>
      <w:r w:rsidR="00AD4891" w:rsidRPr="00AD4891">
        <w:t xml:space="preserve"> Neurological complications after first dose of COVID-19 vaccines and SARS-CoV-2 infection. </w:t>
      </w:r>
      <w:r w:rsidR="00AD4891" w:rsidRPr="00AD4891">
        <w:rPr>
          <w:i/>
        </w:rPr>
        <w:t>Nat</w:t>
      </w:r>
      <w:r w:rsidR="00AD4891">
        <w:rPr>
          <w:i/>
        </w:rPr>
        <w:t>.</w:t>
      </w:r>
      <w:r w:rsidR="00AD4891" w:rsidRPr="00AD4891">
        <w:rPr>
          <w:i/>
        </w:rPr>
        <w:t xml:space="preserve"> Med</w:t>
      </w:r>
      <w:r w:rsidR="00AD4891">
        <w:rPr>
          <w:i/>
        </w:rPr>
        <w:t>.</w:t>
      </w:r>
      <w:r w:rsidR="00AD4891" w:rsidRPr="00AD4891">
        <w:t xml:space="preserve"> </w:t>
      </w:r>
      <w:hyperlink r:id="rId9" w:history="1">
        <w:r w:rsidR="00754010" w:rsidRPr="00754010">
          <w:rPr>
            <w:rStyle w:val="Hyperlink"/>
          </w:rPr>
          <w:t>https://doi.org/10.1038/s41591-021-01556-7</w:t>
        </w:r>
      </w:hyperlink>
      <w:r w:rsidR="00754010">
        <w:t xml:space="preserve"> </w:t>
      </w:r>
      <w:r w:rsidR="00AD4891" w:rsidRPr="00AD4891">
        <w:t>(2021).</w:t>
      </w:r>
    </w:p>
    <w:p w14:paraId="33F63406" w14:textId="77777777" w:rsidR="000E5B42" w:rsidRDefault="000E5B42" w:rsidP="000E5B42">
      <w:pPr>
        <w:spacing w:line="480" w:lineRule="auto"/>
      </w:pPr>
    </w:p>
    <w:p w14:paraId="7BAF6E82" w14:textId="1B0C2E8F" w:rsidR="001F6640" w:rsidRDefault="00F876D8" w:rsidP="000E5B42">
      <w:pPr>
        <w:spacing w:line="480" w:lineRule="auto"/>
      </w:pPr>
      <w:r>
        <w:t xml:space="preserve">The global roll-out of </w:t>
      </w:r>
      <w:r w:rsidR="0020134A">
        <w:t xml:space="preserve">COVID-19 vaccines </w:t>
      </w:r>
      <w:r>
        <w:t xml:space="preserve">is unprecedented in terms of </w:t>
      </w:r>
      <w:r w:rsidR="0020134A">
        <w:t xml:space="preserve">scale and pace. </w:t>
      </w:r>
      <w:r>
        <w:t xml:space="preserve">However, although </w:t>
      </w:r>
      <w:r w:rsidR="00117CCC">
        <w:t xml:space="preserve">vaccines are </w:t>
      </w:r>
      <w:r>
        <w:t xml:space="preserve">crucial </w:t>
      </w:r>
      <w:r w:rsidR="0037488E">
        <w:t>for</w:t>
      </w:r>
      <w:r w:rsidR="00A62675">
        <w:t xml:space="preserve"> pandemic</w:t>
      </w:r>
      <w:r w:rsidR="0037488E">
        <w:t xml:space="preserve"> control, </w:t>
      </w:r>
      <w:r w:rsidR="00117CCC">
        <w:t>adverse events</w:t>
      </w:r>
      <w:r w:rsidR="00967F74">
        <w:t xml:space="preserve"> following </w:t>
      </w:r>
      <w:r w:rsidR="00C05F77">
        <w:t xml:space="preserve">immunization </w:t>
      </w:r>
      <w:r w:rsidR="00967F74">
        <w:t>(AEFI),</w:t>
      </w:r>
      <w:r w:rsidR="00117CCC">
        <w:t xml:space="preserve"> even if rare</w:t>
      </w:r>
      <w:r w:rsidR="00967F74">
        <w:t>,</w:t>
      </w:r>
      <w:r w:rsidR="00117CCC">
        <w:t xml:space="preserve"> have co</w:t>
      </w:r>
      <w:r w:rsidR="002B0E0F">
        <w:t xml:space="preserve">ntributed to vaccine hesitancy. </w:t>
      </w:r>
      <w:r w:rsidR="0012325E">
        <w:t>E</w:t>
      </w:r>
      <w:r w:rsidR="00117CCC">
        <w:t xml:space="preserve">merging reports of </w:t>
      </w:r>
      <w:r w:rsidR="00C75BBB">
        <w:t xml:space="preserve">AEFI </w:t>
      </w:r>
      <w:r w:rsidR="00117CCC">
        <w:t>have</w:t>
      </w:r>
      <w:r w:rsidR="00C75BBB">
        <w:t xml:space="preserve"> generated </w:t>
      </w:r>
      <w:r w:rsidR="00C05F77">
        <w:t xml:space="preserve">substantial </w:t>
      </w:r>
      <w:r w:rsidR="00C75BBB">
        <w:t>media attention</w:t>
      </w:r>
      <w:r w:rsidR="00855D76">
        <w:t xml:space="preserve"> even before proven causa</w:t>
      </w:r>
      <w:r w:rsidR="00A62675">
        <w:t>tion</w:t>
      </w:r>
      <w:r w:rsidR="00C75BBB">
        <w:t>,</w:t>
      </w:r>
      <w:r w:rsidR="0012325E">
        <w:t xml:space="preserve"> </w:t>
      </w:r>
      <w:r w:rsidR="00C05F77">
        <w:t xml:space="preserve">and have </w:t>
      </w:r>
      <w:r w:rsidR="0012325E">
        <w:t xml:space="preserve">affected vaccine confidence </w:t>
      </w:r>
      <w:r w:rsidR="00855D76">
        <w:t xml:space="preserve">and </w:t>
      </w:r>
      <w:r w:rsidR="0012325E">
        <w:t xml:space="preserve">created challenges </w:t>
      </w:r>
      <w:r w:rsidR="00D76925">
        <w:t>for risk</w:t>
      </w:r>
      <w:r w:rsidR="00C05F77">
        <w:t>–</w:t>
      </w:r>
      <w:r w:rsidR="00D76925">
        <w:t>benefit</w:t>
      </w:r>
      <w:r w:rsidR="001F6640">
        <w:t xml:space="preserve"> analysis</w:t>
      </w:r>
      <w:r w:rsidR="0012325E">
        <w:t xml:space="preserve"> of mass vaccination program</w:t>
      </w:r>
      <w:r w:rsidR="00C05F77">
        <w:t>me</w:t>
      </w:r>
      <w:r w:rsidR="0012325E">
        <w:t>s</w:t>
      </w:r>
      <w:r w:rsidR="00855D76">
        <w:t>.</w:t>
      </w:r>
      <w:r w:rsidR="0012325E">
        <w:t xml:space="preserve"> </w:t>
      </w:r>
      <w:r w:rsidR="00A62675">
        <w:t xml:space="preserve">Rare </w:t>
      </w:r>
      <w:r w:rsidR="00855D76">
        <w:t xml:space="preserve">AEFIs have </w:t>
      </w:r>
      <w:r w:rsidR="00014F0A">
        <w:t>even</w:t>
      </w:r>
      <w:r w:rsidR="00C05F77">
        <w:t xml:space="preserve"> </w:t>
      </w:r>
      <w:r w:rsidR="00855D76">
        <w:t xml:space="preserve">led to changes to vaccination guidelines in some countries. </w:t>
      </w:r>
      <w:r w:rsidR="0012325E">
        <w:t xml:space="preserve">For example, rare cases of </w:t>
      </w:r>
      <w:r w:rsidR="00C05F77">
        <w:t xml:space="preserve">thrombosis and thrombocytopenia syndrome </w:t>
      </w:r>
      <w:r w:rsidR="0012325E">
        <w:t>(TTS) after the ChAdOx1</w:t>
      </w:r>
      <w:r w:rsidR="008545D1">
        <w:t xml:space="preserve"> </w:t>
      </w:r>
      <w:r w:rsidR="0012325E">
        <w:t xml:space="preserve">nCov-19 vaccine, which </w:t>
      </w:r>
      <w:r w:rsidR="00C05F77">
        <w:t xml:space="preserve">seemed </w:t>
      </w:r>
      <w:r w:rsidR="0012325E">
        <w:t xml:space="preserve">to be more common in younger age groups, prompted age-specific </w:t>
      </w:r>
      <w:r w:rsidR="00866743">
        <w:t>restrictions for this vaccine</w:t>
      </w:r>
      <w:r w:rsidR="00465ABD" w:rsidRPr="00465ABD">
        <w:rPr>
          <w:noProof/>
          <w:vertAlign w:val="superscript"/>
        </w:rPr>
        <w:t>1</w:t>
      </w:r>
      <w:r w:rsidR="00866743">
        <w:t xml:space="preserve">. </w:t>
      </w:r>
    </w:p>
    <w:p w14:paraId="4BF474D4" w14:textId="38A5EBCB" w:rsidR="00866743" w:rsidRDefault="00866743" w:rsidP="000E5B42">
      <w:pPr>
        <w:spacing w:line="480" w:lineRule="auto"/>
        <w:ind w:firstLine="720"/>
      </w:pPr>
      <w:r>
        <w:t>TT</w:t>
      </w:r>
      <w:r w:rsidR="00C75BBB">
        <w:t>S</w:t>
      </w:r>
      <w:r>
        <w:t xml:space="preserve"> is frequently associated with </w:t>
      </w:r>
      <w:r w:rsidR="000E5B42">
        <w:t xml:space="preserve">cerebral venous sinus thrombosis </w:t>
      </w:r>
      <w:r>
        <w:t>(CVST)</w:t>
      </w:r>
      <w:r w:rsidR="00827FF0">
        <w:t>; in fact,</w:t>
      </w:r>
      <w:r>
        <w:t xml:space="preserve"> </w:t>
      </w:r>
      <w:r w:rsidR="00827FF0">
        <w:t>a</w:t>
      </w:r>
      <w:r>
        <w:t xml:space="preserve"> </w:t>
      </w:r>
      <w:r w:rsidR="00827FF0">
        <w:t xml:space="preserve">new </w:t>
      </w:r>
      <w:r>
        <w:t xml:space="preserve">systematic review and meta-analysis </w:t>
      </w:r>
      <w:r w:rsidR="001F6640">
        <w:t xml:space="preserve">published in </w:t>
      </w:r>
      <w:r w:rsidR="001F6640" w:rsidRPr="000E5B42">
        <w:rPr>
          <w:i/>
        </w:rPr>
        <w:t>Neurology</w:t>
      </w:r>
      <w:r w:rsidR="001F6640">
        <w:t xml:space="preserve"> </w:t>
      </w:r>
      <w:r w:rsidR="00571656">
        <w:t xml:space="preserve">by Palaiodimou </w:t>
      </w:r>
      <w:r w:rsidR="00571656" w:rsidRPr="000D07C7">
        <w:rPr>
          <w:iCs/>
        </w:rPr>
        <w:t>et al.</w:t>
      </w:r>
      <w:r w:rsidR="00465ABD" w:rsidRPr="00465ABD">
        <w:rPr>
          <w:noProof/>
          <w:vertAlign w:val="superscript"/>
        </w:rPr>
        <w:t>2</w:t>
      </w:r>
      <w:r w:rsidR="00C43D1A">
        <w:t xml:space="preserve"> </w:t>
      </w:r>
      <w:r>
        <w:t xml:space="preserve">found that half </w:t>
      </w:r>
      <w:r>
        <w:lastRenderedPageBreak/>
        <w:t xml:space="preserve">of </w:t>
      </w:r>
      <w:r w:rsidR="005C6BD8">
        <w:t>individuals w</w:t>
      </w:r>
      <w:r w:rsidR="00AD77BE">
        <w:t>ho developed</w:t>
      </w:r>
      <w:r w:rsidR="005C6BD8">
        <w:t xml:space="preserve"> </w:t>
      </w:r>
      <w:r>
        <w:t xml:space="preserve">TTS </w:t>
      </w:r>
      <w:r w:rsidR="00AD77BE">
        <w:t>after r</w:t>
      </w:r>
      <w:r w:rsidR="00014F0A">
        <w:t>eceiving a vector-based vaccine</w:t>
      </w:r>
      <w:r w:rsidR="006A504F" w:rsidRPr="000D07C7">
        <w:t xml:space="preserve"> </w:t>
      </w:r>
      <w:r w:rsidR="00AD77BE">
        <w:t>(</w:t>
      </w:r>
      <w:r w:rsidR="00AD77BE" w:rsidRPr="00AD77BE">
        <w:t xml:space="preserve">ChAdOx1 nCoV-19 </w:t>
      </w:r>
      <w:r w:rsidR="00AD77BE">
        <w:t>or</w:t>
      </w:r>
      <w:r w:rsidR="00AD77BE" w:rsidRPr="00AD77BE">
        <w:t xml:space="preserve"> Ad26.COV2.S</w:t>
      </w:r>
      <w:r w:rsidR="00AD77BE">
        <w:t xml:space="preserve">) </w:t>
      </w:r>
      <w:r>
        <w:t xml:space="preserve">presented with CVST, and TTS-associated CVST had a pooled mortality of 38%. When considered in isolation, these </w:t>
      </w:r>
      <w:r w:rsidR="00827FF0">
        <w:t xml:space="preserve">statistics </w:t>
      </w:r>
      <w:r>
        <w:t xml:space="preserve">are worrying and </w:t>
      </w:r>
      <w:r w:rsidR="00827FF0">
        <w:t xml:space="preserve">could easily </w:t>
      </w:r>
      <w:r>
        <w:t xml:space="preserve">be misconstrued. Two </w:t>
      </w:r>
      <w:r w:rsidR="00571656">
        <w:t xml:space="preserve">key </w:t>
      </w:r>
      <w:r w:rsidR="001F6640">
        <w:t>messages</w:t>
      </w:r>
      <w:r>
        <w:t xml:space="preserve"> </w:t>
      </w:r>
      <w:r w:rsidR="00967F74">
        <w:t>should</w:t>
      </w:r>
      <w:r>
        <w:t xml:space="preserve"> be communicated alongside such reports</w:t>
      </w:r>
      <w:r w:rsidR="00C75BBB">
        <w:t xml:space="preserve">: </w:t>
      </w:r>
      <w:r w:rsidR="00C4443D">
        <w:t xml:space="preserve">the </w:t>
      </w:r>
      <w:r>
        <w:t>true incidence of</w:t>
      </w:r>
      <w:r w:rsidR="00C75BBB">
        <w:t xml:space="preserve"> </w:t>
      </w:r>
      <w:r w:rsidR="00A62675">
        <w:t>AEFI</w:t>
      </w:r>
      <w:r>
        <w:t xml:space="preserve"> remain</w:t>
      </w:r>
      <w:r w:rsidR="00A3403E">
        <w:t>s</w:t>
      </w:r>
      <w:r>
        <w:t xml:space="preserve"> </w:t>
      </w:r>
      <w:r w:rsidR="00571656">
        <w:t>unclear</w:t>
      </w:r>
      <w:r w:rsidR="00C4443D">
        <w:t xml:space="preserve">, </w:t>
      </w:r>
      <w:r w:rsidR="00C75BBB">
        <w:t xml:space="preserve">and </w:t>
      </w:r>
      <w:r>
        <w:t xml:space="preserve">comparison with </w:t>
      </w:r>
      <w:r w:rsidR="00C4443D">
        <w:t xml:space="preserve">the </w:t>
      </w:r>
      <w:r w:rsidR="00C75BBB">
        <w:t xml:space="preserve">incidence of similar events </w:t>
      </w:r>
      <w:r w:rsidR="00766718">
        <w:t xml:space="preserve">after </w:t>
      </w:r>
      <w:r w:rsidR="00A3403E">
        <w:t>SARS-Co</w:t>
      </w:r>
      <w:r w:rsidR="000A521C">
        <w:t>V</w:t>
      </w:r>
      <w:r w:rsidR="00A3403E">
        <w:t xml:space="preserve">-2 </w:t>
      </w:r>
      <w:r w:rsidR="00766718">
        <w:t>infection</w:t>
      </w:r>
      <w:r w:rsidR="001F6640">
        <w:t xml:space="preserve"> is needed</w:t>
      </w:r>
      <w:r w:rsidR="00766718">
        <w:t xml:space="preserve"> to balance </w:t>
      </w:r>
      <w:r w:rsidR="00C4443D">
        <w:t xml:space="preserve">the </w:t>
      </w:r>
      <w:r w:rsidR="00766718">
        <w:t>risk</w:t>
      </w:r>
      <w:r w:rsidR="007F5650">
        <w:t>s</w:t>
      </w:r>
      <w:r w:rsidR="00766718">
        <w:t xml:space="preserve"> </w:t>
      </w:r>
      <w:r w:rsidR="00C4443D">
        <w:t xml:space="preserve">against the </w:t>
      </w:r>
      <w:r w:rsidR="00766718">
        <w:t>benefit</w:t>
      </w:r>
      <w:r w:rsidR="007F5650">
        <w:t>s</w:t>
      </w:r>
      <w:r w:rsidR="00766718">
        <w:t>.</w:t>
      </w:r>
      <w:r>
        <w:t xml:space="preserve"> </w:t>
      </w:r>
    </w:p>
    <w:p w14:paraId="70EA58CB" w14:textId="4DEAC628" w:rsidR="00CD09DF" w:rsidRDefault="00967F74" w:rsidP="000E5B42">
      <w:pPr>
        <w:spacing w:line="480" w:lineRule="auto"/>
        <w:ind w:firstLine="720"/>
      </w:pPr>
      <w:r>
        <w:t>A large</w:t>
      </w:r>
      <w:r w:rsidR="00766718">
        <w:t xml:space="preserve"> risk</w:t>
      </w:r>
      <w:r w:rsidR="005C6BD8">
        <w:t>–</w:t>
      </w:r>
      <w:r w:rsidR="00766718">
        <w:t>benefit</w:t>
      </w:r>
      <w:r w:rsidR="001F6640">
        <w:t xml:space="preserve"> analysis</w:t>
      </w:r>
      <w:r w:rsidR="00766718">
        <w:t xml:space="preserve"> </w:t>
      </w:r>
      <w:r w:rsidR="00C75BBB">
        <w:t xml:space="preserve">of COVID-19 vaccines </w:t>
      </w:r>
      <w:r>
        <w:t>focusing on</w:t>
      </w:r>
      <w:r w:rsidR="00C75BBB">
        <w:t xml:space="preserve"> thrombo</w:t>
      </w:r>
      <w:r w:rsidR="00C43D1A">
        <w:t>cytopenia and thromboembolism</w:t>
      </w:r>
      <w:r w:rsidR="00766718">
        <w:t xml:space="preserve"> was published</w:t>
      </w:r>
      <w:r w:rsidR="00A3403E">
        <w:t xml:space="preserve"> by</w:t>
      </w:r>
      <w:r w:rsidR="00766718">
        <w:t xml:space="preserve"> </w:t>
      </w:r>
      <w:r w:rsidR="00C43D1A">
        <w:t xml:space="preserve">Hippisley-Cox </w:t>
      </w:r>
      <w:r w:rsidR="00C43D1A" w:rsidRPr="000D07C7">
        <w:rPr>
          <w:iCs/>
        </w:rPr>
        <w:t>et al</w:t>
      </w:r>
      <w:r w:rsidR="00C4443D" w:rsidRPr="000D07C7">
        <w:rPr>
          <w:iCs/>
        </w:rPr>
        <w:t>.</w:t>
      </w:r>
      <w:r w:rsidR="00C43D1A" w:rsidRPr="006A504F">
        <w:t xml:space="preserve"> </w:t>
      </w:r>
      <w:r w:rsidR="00766718">
        <w:t xml:space="preserve">in </w:t>
      </w:r>
      <w:r w:rsidR="00C4443D" w:rsidRPr="000D07C7">
        <w:rPr>
          <w:i/>
        </w:rPr>
        <w:t>T</w:t>
      </w:r>
      <w:r w:rsidR="00766718" w:rsidRPr="000D07C7">
        <w:rPr>
          <w:i/>
        </w:rPr>
        <w:t>he B</w:t>
      </w:r>
      <w:r w:rsidR="000A521C" w:rsidRPr="000D07C7">
        <w:rPr>
          <w:i/>
        </w:rPr>
        <w:t>MJ</w:t>
      </w:r>
      <w:r w:rsidR="00766718">
        <w:t xml:space="preserve"> in August 2021</w:t>
      </w:r>
      <w:r w:rsidR="00465ABD" w:rsidRPr="00465ABD">
        <w:rPr>
          <w:noProof/>
          <w:vertAlign w:val="superscript"/>
        </w:rPr>
        <w:t>3</w:t>
      </w:r>
      <w:r w:rsidR="00C43D1A">
        <w:t>.</w:t>
      </w:r>
      <w:r w:rsidR="009A6AB4">
        <w:t xml:space="preserve"> Using linked data from </w:t>
      </w:r>
      <w:r w:rsidR="008545D1">
        <w:t xml:space="preserve">around </w:t>
      </w:r>
      <w:r w:rsidR="009A6AB4">
        <w:t xml:space="preserve">30 million UK hospital records and the English National Immunisation Database, </w:t>
      </w:r>
      <w:r w:rsidR="00C43D1A">
        <w:t xml:space="preserve">the study </w:t>
      </w:r>
      <w:r w:rsidR="00A62675">
        <w:t xml:space="preserve">found </w:t>
      </w:r>
      <w:r w:rsidR="00766718">
        <w:t xml:space="preserve">that </w:t>
      </w:r>
      <w:r w:rsidR="00766718" w:rsidRPr="00766718">
        <w:t xml:space="preserve">risks of </w:t>
      </w:r>
      <w:r w:rsidR="00766718">
        <w:t xml:space="preserve">thrombocytopenia, venous thromboembolism, arterial thromboembolism, CVST </w:t>
      </w:r>
      <w:r w:rsidR="00A62675">
        <w:t xml:space="preserve">and </w:t>
      </w:r>
      <w:r w:rsidR="00766718" w:rsidRPr="00766718">
        <w:t xml:space="preserve">ischaemic stroke were </w:t>
      </w:r>
      <w:r w:rsidR="00766718">
        <w:t xml:space="preserve">higher or </w:t>
      </w:r>
      <w:r w:rsidR="00766718" w:rsidRPr="00766718">
        <w:t xml:space="preserve">substantially higher after </w:t>
      </w:r>
      <w:r>
        <w:t>SARS-CoV-2</w:t>
      </w:r>
      <w:r w:rsidR="00C75BBB">
        <w:t xml:space="preserve"> </w:t>
      </w:r>
      <w:r w:rsidR="00766718" w:rsidRPr="00766718">
        <w:t xml:space="preserve">infection </w:t>
      </w:r>
      <w:r w:rsidR="005C6BD8">
        <w:t>than</w:t>
      </w:r>
      <w:r w:rsidR="00766718" w:rsidRPr="00766718">
        <w:t xml:space="preserve"> after vaccination.</w:t>
      </w:r>
      <w:r w:rsidR="00766718">
        <w:t xml:space="preserve"> The self-controlled case series design</w:t>
      </w:r>
      <w:r>
        <w:t xml:space="preserve"> enabled </w:t>
      </w:r>
      <w:r w:rsidR="00766718">
        <w:t>compar</w:t>
      </w:r>
      <w:r>
        <w:t>ison between</w:t>
      </w:r>
      <w:r w:rsidR="00766718">
        <w:t xml:space="preserve"> exposed </w:t>
      </w:r>
      <w:r>
        <w:t xml:space="preserve">and </w:t>
      </w:r>
      <w:r w:rsidR="00766718">
        <w:t xml:space="preserve">unexposed periods within the same individuals, </w:t>
      </w:r>
      <w:r w:rsidR="005C6BD8">
        <w:t xml:space="preserve">thereby </w:t>
      </w:r>
      <w:r w:rsidR="00766718">
        <w:t>eliminating time</w:t>
      </w:r>
      <w:r w:rsidR="005C6BD8">
        <w:t>-</w:t>
      </w:r>
      <w:r w:rsidR="00766718">
        <w:t>invariant confounding and uncertainties about background risks and causality</w:t>
      </w:r>
      <w:r w:rsidR="00465ABD" w:rsidRPr="00465ABD">
        <w:rPr>
          <w:noProof/>
          <w:vertAlign w:val="superscript"/>
        </w:rPr>
        <w:t>4</w:t>
      </w:r>
      <w:r w:rsidR="00766718">
        <w:t>.</w:t>
      </w:r>
      <w:r w:rsidR="00766718" w:rsidRPr="00766718">
        <w:t xml:space="preserve"> </w:t>
      </w:r>
    </w:p>
    <w:p w14:paraId="4994D396" w14:textId="0C7DBE04" w:rsidR="00766718" w:rsidRDefault="00C75BBB" w:rsidP="000E5B42">
      <w:pPr>
        <w:spacing w:line="480" w:lineRule="auto"/>
        <w:ind w:firstLine="720"/>
      </w:pPr>
      <w:r>
        <w:t>A</w:t>
      </w:r>
      <w:r w:rsidR="00766718">
        <w:t xml:space="preserve"> new study published in </w:t>
      </w:r>
      <w:r w:rsidR="00766718" w:rsidRPr="000D07C7">
        <w:rPr>
          <w:i/>
        </w:rPr>
        <w:t>Nature Medicine</w:t>
      </w:r>
      <w:r w:rsidR="00766718">
        <w:t xml:space="preserve"> by the same group</w:t>
      </w:r>
      <w:r w:rsidR="004D2090">
        <w:t xml:space="preserve"> </w:t>
      </w:r>
      <w:r w:rsidR="009A6AB4">
        <w:t>use</w:t>
      </w:r>
      <w:r>
        <w:t>d</w:t>
      </w:r>
      <w:r w:rsidR="009A6AB4">
        <w:t xml:space="preserve"> a similar approach to </w:t>
      </w:r>
      <w:r w:rsidR="00571656">
        <w:t>compare</w:t>
      </w:r>
      <w:r w:rsidR="009A6AB4">
        <w:t xml:space="preserve"> rare neurological complications </w:t>
      </w:r>
      <w:r w:rsidR="00766718">
        <w:t xml:space="preserve">after COVID-19 </w:t>
      </w:r>
      <w:r w:rsidR="005C6BD8">
        <w:t xml:space="preserve">vaccination </w:t>
      </w:r>
      <w:r w:rsidR="00766718">
        <w:t>(ChAdOx1</w:t>
      </w:r>
      <w:r w:rsidR="005C6BD8">
        <w:t xml:space="preserve"> </w:t>
      </w:r>
      <w:r w:rsidR="00766718">
        <w:t>nCov-19</w:t>
      </w:r>
      <w:r w:rsidR="00262199">
        <w:t xml:space="preserve"> </w:t>
      </w:r>
      <w:r w:rsidR="005C6BD8">
        <w:t xml:space="preserve">or the </w:t>
      </w:r>
      <w:r w:rsidR="00ED14A6">
        <w:t>m</w:t>
      </w:r>
      <w:r w:rsidR="005C6BD8">
        <w:t>RNA vaccine</w:t>
      </w:r>
      <w:r w:rsidR="00AD77BE">
        <w:t xml:space="preserve"> </w:t>
      </w:r>
      <w:r w:rsidR="00766718">
        <w:t>BNT162b2) and after a SARS-CoV-2-positive test</w:t>
      </w:r>
      <w:r w:rsidR="00465ABD" w:rsidRPr="00465ABD">
        <w:rPr>
          <w:noProof/>
          <w:vertAlign w:val="superscript"/>
        </w:rPr>
        <w:t>5</w:t>
      </w:r>
      <w:r w:rsidR="00766718">
        <w:t xml:space="preserve">. The most </w:t>
      </w:r>
      <w:r w:rsidR="00AD77BE">
        <w:t>notable</w:t>
      </w:r>
      <w:r w:rsidR="00B96D69">
        <w:t xml:space="preserve"> </w:t>
      </w:r>
      <w:r w:rsidR="00766718">
        <w:t>finding was an increased risk of Guillain</w:t>
      </w:r>
      <w:r w:rsidR="00AD77BE">
        <w:t>–</w:t>
      </w:r>
      <w:r w:rsidR="00766718">
        <w:t>Barr</w:t>
      </w:r>
      <w:r w:rsidR="00AD77BE">
        <w:rPr>
          <w:rFonts w:cstheme="minorHAnsi"/>
        </w:rPr>
        <w:t>é</w:t>
      </w:r>
      <w:r w:rsidR="00766718">
        <w:t xml:space="preserve"> syndrome (</w:t>
      </w:r>
      <w:r>
        <w:t>incidence risk ratio</w:t>
      </w:r>
      <w:r w:rsidR="00A62675">
        <w:t xml:space="preserve"> </w:t>
      </w:r>
      <w:r w:rsidR="00B96D69">
        <w:t>(</w:t>
      </w:r>
      <w:r w:rsidR="00766718">
        <w:t>IRR</w:t>
      </w:r>
      <w:r w:rsidR="00B96D69">
        <w:t>)</w:t>
      </w:r>
      <w:r w:rsidR="00766718">
        <w:t xml:space="preserve"> 2.90) after the ChAdOx1</w:t>
      </w:r>
      <w:r w:rsidR="00B96D69">
        <w:t xml:space="preserve"> </w:t>
      </w:r>
      <w:r w:rsidR="00766718">
        <w:t xml:space="preserve">nCov-19 vaccine, </w:t>
      </w:r>
      <w:r w:rsidR="00B96D69">
        <w:t xml:space="preserve">which was </w:t>
      </w:r>
      <w:r w:rsidR="00A3403E">
        <w:t xml:space="preserve">confirmed </w:t>
      </w:r>
      <w:r w:rsidR="00766718">
        <w:t>in a second cohort. However</w:t>
      </w:r>
      <w:r>
        <w:t>,</w:t>
      </w:r>
      <w:r w:rsidR="00766718">
        <w:t xml:space="preserve"> self-controlled case series </w:t>
      </w:r>
      <w:r w:rsidR="00C61B8B">
        <w:t>are prone to</w:t>
      </w:r>
      <w:r w:rsidR="00766718">
        <w:t xml:space="preserve"> bias</w:t>
      </w:r>
      <w:r w:rsidR="00C43D1A">
        <w:t>,</w:t>
      </w:r>
      <w:r w:rsidR="00766718">
        <w:t xml:space="preserve"> especially </w:t>
      </w:r>
      <w:r w:rsidR="00C61B8B">
        <w:t xml:space="preserve">as </w:t>
      </w:r>
      <w:r w:rsidR="00A62675">
        <w:t>they</w:t>
      </w:r>
      <w:r w:rsidR="00766718">
        <w:t xml:space="preserve"> assum</w:t>
      </w:r>
      <w:r w:rsidR="00A62675">
        <w:t>e</w:t>
      </w:r>
      <w:r w:rsidR="00766718">
        <w:t xml:space="preserve"> that o</w:t>
      </w:r>
      <w:r w:rsidR="00766718" w:rsidRPr="006B58A6">
        <w:t>ccurrence of an</w:t>
      </w:r>
      <w:r w:rsidR="00766718">
        <w:t xml:space="preserve"> event does not affect subsequent exposure</w:t>
      </w:r>
      <w:r w:rsidR="00465ABD" w:rsidRPr="00465ABD">
        <w:rPr>
          <w:noProof/>
          <w:vertAlign w:val="superscript"/>
        </w:rPr>
        <w:t>4</w:t>
      </w:r>
      <w:r w:rsidR="00766718">
        <w:t xml:space="preserve">. </w:t>
      </w:r>
      <w:r w:rsidR="007C6C35">
        <w:t>To limit this</w:t>
      </w:r>
      <w:r w:rsidR="00A3403E">
        <w:t xml:space="preserve"> bias</w:t>
      </w:r>
      <w:r w:rsidR="007C6C35">
        <w:t xml:space="preserve">, </w:t>
      </w:r>
      <w:r w:rsidR="00ED14A6">
        <w:t>data from the</w:t>
      </w:r>
      <w:r w:rsidR="007C6C35" w:rsidRPr="007C6C35">
        <w:t xml:space="preserve"> </w:t>
      </w:r>
      <w:r w:rsidR="007C6C35">
        <w:t xml:space="preserve">28-day </w:t>
      </w:r>
      <w:r w:rsidR="007C6C35" w:rsidRPr="007C6C35">
        <w:t xml:space="preserve">period </w:t>
      </w:r>
      <w:r w:rsidR="00AE560B">
        <w:t xml:space="preserve">before </w:t>
      </w:r>
      <w:r w:rsidR="007C6C35" w:rsidRPr="007C6C35">
        <w:t>vac</w:t>
      </w:r>
      <w:r w:rsidR="007C6C35">
        <w:t>cination</w:t>
      </w:r>
      <w:r w:rsidR="00ED14A6">
        <w:t xml:space="preserve"> were excluded from the baseline</w:t>
      </w:r>
      <w:r w:rsidR="007C6C35">
        <w:t>. However</w:t>
      </w:r>
      <w:r w:rsidR="00A3403E">
        <w:t>,</w:t>
      </w:r>
      <w:r w:rsidR="007C6C35">
        <w:t xml:space="preserve"> </w:t>
      </w:r>
      <w:r w:rsidR="001773E2">
        <w:t xml:space="preserve">the </w:t>
      </w:r>
      <w:r w:rsidR="000671E6">
        <w:t xml:space="preserve">occurrence </w:t>
      </w:r>
      <w:r w:rsidR="001773E2">
        <w:t xml:space="preserve">of a </w:t>
      </w:r>
      <w:r w:rsidR="007C6C35">
        <w:t>n</w:t>
      </w:r>
      <w:r w:rsidR="00766718">
        <w:t xml:space="preserve">eurological condition might </w:t>
      </w:r>
      <w:r w:rsidR="007C6C35">
        <w:t xml:space="preserve">delay </w:t>
      </w:r>
      <w:r w:rsidR="001773E2">
        <w:t>vaccination</w:t>
      </w:r>
      <w:r w:rsidR="000671E6">
        <w:t xml:space="preserve"> by more than 28 days</w:t>
      </w:r>
      <w:r w:rsidR="001773E2">
        <w:t xml:space="preserve"> </w:t>
      </w:r>
      <w:r w:rsidR="007C6C35">
        <w:t xml:space="preserve">or </w:t>
      </w:r>
      <w:r w:rsidR="001773E2">
        <w:t xml:space="preserve">prevent </w:t>
      </w:r>
      <w:r w:rsidR="00AE560B">
        <w:t>vaccine uptake</w:t>
      </w:r>
      <w:r w:rsidR="000671E6">
        <w:t xml:space="preserve"> altogether, and this may result in the baseline period having fewer patients with these conditions. This artefactual lowering of the baseline prevalence of neurological conditions might have inflated IRRs during post-vaccination periods (since IRRs </w:t>
      </w:r>
      <w:r w:rsidR="000671E6">
        <w:lastRenderedPageBreak/>
        <w:t xml:space="preserve">were expressed relative to the baseline period). </w:t>
      </w:r>
      <w:r w:rsidR="00766718">
        <w:t xml:space="preserve">Nevertheless, </w:t>
      </w:r>
      <w:r w:rsidR="00571656">
        <w:t>the</w:t>
      </w:r>
      <w:r w:rsidR="00766718">
        <w:t xml:space="preserve"> study</w:t>
      </w:r>
      <w:r w:rsidR="00571656">
        <w:t>’s key strength</w:t>
      </w:r>
      <w:r w:rsidR="00766718">
        <w:t xml:space="preserve"> was the comparison </w:t>
      </w:r>
      <w:r w:rsidR="002F60AD">
        <w:t xml:space="preserve">of incidence of rare events </w:t>
      </w:r>
      <w:r w:rsidR="00571656">
        <w:t>post-</w:t>
      </w:r>
      <w:r w:rsidR="002F60AD">
        <w:t xml:space="preserve">vaccination versus </w:t>
      </w:r>
      <w:r w:rsidR="00571656">
        <w:t>after a positive SARS-CoV-2 test</w:t>
      </w:r>
      <w:r w:rsidR="00766718">
        <w:t xml:space="preserve">, </w:t>
      </w:r>
      <w:r w:rsidR="00654F13">
        <w:t xml:space="preserve">which </w:t>
      </w:r>
      <w:r w:rsidR="00766718">
        <w:t xml:space="preserve">clearly </w:t>
      </w:r>
      <w:r w:rsidR="00654F13">
        <w:t xml:space="preserve">demonstrated </w:t>
      </w:r>
      <w:r w:rsidR="00766718">
        <w:t xml:space="preserve">that </w:t>
      </w:r>
      <w:r w:rsidR="00A62675">
        <w:t>incidence</w:t>
      </w:r>
      <w:r w:rsidR="00766718">
        <w:t xml:space="preserve"> of all neurological outcomes, including Guillain</w:t>
      </w:r>
      <w:r w:rsidR="00032491">
        <w:t>–</w:t>
      </w:r>
      <w:r w:rsidR="00766718">
        <w:t>Barr</w:t>
      </w:r>
      <w:r w:rsidR="00032491">
        <w:rPr>
          <w:rFonts w:cstheme="minorHAnsi"/>
        </w:rPr>
        <w:t>é</w:t>
      </w:r>
      <w:r w:rsidR="00766718">
        <w:t xml:space="preserve"> syndrome (IRR 5.25), Bell palsy, </w:t>
      </w:r>
      <w:r w:rsidR="00654F13">
        <w:t xml:space="preserve">demyelinating </w:t>
      </w:r>
      <w:r w:rsidR="00766718">
        <w:t>disorder</w:t>
      </w:r>
      <w:r w:rsidR="00654F13">
        <w:t>s</w:t>
      </w:r>
      <w:r w:rsidR="00766718">
        <w:t>, encephalitis</w:t>
      </w:r>
      <w:r w:rsidR="00654F13">
        <w:t xml:space="preserve">, </w:t>
      </w:r>
      <w:r w:rsidR="00766718">
        <w:t>meningitis</w:t>
      </w:r>
      <w:r w:rsidR="00654F13">
        <w:t xml:space="preserve">, </w:t>
      </w:r>
      <w:r w:rsidR="00766718">
        <w:t>myelitis, myasthenic disorder, h</w:t>
      </w:r>
      <w:r w:rsidR="00C61B8B">
        <w:t>a</w:t>
      </w:r>
      <w:r w:rsidR="00766718">
        <w:t>emorrhagic stroke and subarachnoid h</w:t>
      </w:r>
      <w:r w:rsidR="00654F13">
        <w:t>a</w:t>
      </w:r>
      <w:r w:rsidR="00766718">
        <w:t>emorrhage</w:t>
      </w:r>
      <w:r w:rsidR="00654F13">
        <w:t>,</w:t>
      </w:r>
      <w:r w:rsidR="00766718">
        <w:t xml:space="preserve"> were substantially higher after infection than </w:t>
      </w:r>
      <w:r w:rsidR="00654F13">
        <w:t xml:space="preserve">after </w:t>
      </w:r>
      <w:r w:rsidR="00766718">
        <w:t>vaccination.</w:t>
      </w:r>
    </w:p>
    <w:p w14:paraId="426BC409" w14:textId="4EEF6224" w:rsidR="00790112" w:rsidRDefault="00654F13" w:rsidP="000E5B42">
      <w:pPr>
        <w:spacing w:line="480" w:lineRule="auto"/>
        <w:ind w:firstLine="720"/>
      </w:pPr>
      <w:r>
        <w:t>The Patone et al. study</w:t>
      </w:r>
      <w:r w:rsidRPr="000D07C7">
        <w:rPr>
          <w:vertAlign w:val="superscript"/>
        </w:rPr>
        <w:t>5</w:t>
      </w:r>
      <w:r>
        <w:t xml:space="preserve"> involved </w:t>
      </w:r>
      <w:r w:rsidRPr="00654F13">
        <w:t xml:space="preserve">32,552,534 </w:t>
      </w:r>
      <w:r>
        <w:t xml:space="preserve">vaccinated individuals. </w:t>
      </w:r>
      <w:r w:rsidR="008D685F">
        <w:t>Studies with</w:t>
      </w:r>
      <w:r>
        <w:t xml:space="preserve"> such</w:t>
      </w:r>
      <w:r w:rsidR="008D685F">
        <w:t xml:space="preserve"> </w:t>
      </w:r>
      <w:r w:rsidR="002F60AD">
        <w:t>huge</w:t>
      </w:r>
      <w:r w:rsidR="002B0E0F">
        <w:t xml:space="preserve"> sample size</w:t>
      </w:r>
      <w:r w:rsidR="008D685F">
        <w:t>s enable</w:t>
      </w:r>
      <w:r w:rsidR="002B0E0F">
        <w:t xml:space="preserve"> investigation o</w:t>
      </w:r>
      <w:r w:rsidR="009A6AB4">
        <w:t>f</w:t>
      </w:r>
      <w:r w:rsidR="002B0E0F">
        <w:t xml:space="preserve"> rare </w:t>
      </w:r>
      <w:r w:rsidR="002F60AD">
        <w:t>AEFIs</w:t>
      </w:r>
      <w:r w:rsidR="002B0E0F">
        <w:t xml:space="preserve"> that would be </w:t>
      </w:r>
      <w:r w:rsidR="00643AB1">
        <w:t>im</w:t>
      </w:r>
      <w:r w:rsidR="002B0E0F">
        <w:t>possible with clinical trials</w:t>
      </w:r>
      <w:r w:rsidR="008D685F">
        <w:t xml:space="preserve">. </w:t>
      </w:r>
      <w:r w:rsidR="002F60AD">
        <w:t>D</w:t>
      </w:r>
      <w:r w:rsidR="008D685F">
        <w:t>ata</w:t>
      </w:r>
      <w:r w:rsidR="009A6AB4">
        <w:t xml:space="preserve"> </w:t>
      </w:r>
      <w:r w:rsidR="008D685F">
        <w:t xml:space="preserve">from </w:t>
      </w:r>
      <w:r w:rsidR="002F60AD">
        <w:t xml:space="preserve">such </w:t>
      </w:r>
      <w:r w:rsidR="008D685F">
        <w:t xml:space="preserve">studies </w:t>
      </w:r>
      <w:r w:rsidR="009A6AB4">
        <w:t xml:space="preserve">are </w:t>
      </w:r>
      <w:r w:rsidR="006A504F">
        <w:t xml:space="preserve">crucial </w:t>
      </w:r>
      <w:r w:rsidR="008D685F">
        <w:t>to inform</w:t>
      </w:r>
      <w:r w:rsidR="009A6AB4">
        <w:t xml:space="preserve"> evidence-based risk</w:t>
      </w:r>
      <w:r w:rsidR="006A504F">
        <w:t>–</w:t>
      </w:r>
      <w:r w:rsidR="009A6AB4">
        <w:t>benefit analysis and decision</w:t>
      </w:r>
      <w:r w:rsidR="00051C87">
        <w:t>-</w:t>
      </w:r>
      <w:r w:rsidR="009A6AB4">
        <w:t xml:space="preserve">making. </w:t>
      </w:r>
      <w:r w:rsidR="000643D1">
        <w:t>With rapidly evolving information about COVID-19 vaccines, weighing up risks</w:t>
      </w:r>
      <w:r w:rsidR="00D83026">
        <w:t xml:space="preserve"> (</w:t>
      </w:r>
      <w:r w:rsidR="002F60AD">
        <w:t>AEFIs</w:t>
      </w:r>
      <w:r w:rsidR="00D83026">
        <w:t>)</w:t>
      </w:r>
      <w:r w:rsidR="000643D1">
        <w:t xml:space="preserve"> versus benefits</w:t>
      </w:r>
      <w:r w:rsidR="00D83026">
        <w:t xml:space="preserve"> (illness and deaths prevented)</w:t>
      </w:r>
      <w:r w:rsidR="000643D1">
        <w:t xml:space="preserve"> has been extremely </w:t>
      </w:r>
      <w:r w:rsidR="00975D07">
        <w:t xml:space="preserve">complex and </w:t>
      </w:r>
      <w:r w:rsidR="000643D1">
        <w:t>challenging for individuals, clinicians and public health policy makers.</w:t>
      </w:r>
      <w:r w:rsidR="00262199">
        <w:t xml:space="preserve"> </w:t>
      </w:r>
      <w:r w:rsidR="002F60AD">
        <w:t>Furthermore</w:t>
      </w:r>
      <w:r w:rsidR="000643D1">
        <w:t>, risk</w:t>
      </w:r>
      <w:r w:rsidR="006A504F">
        <w:t>–</w:t>
      </w:r>
      <w:r w:rsidR="000643D1">
        <w:t>benefit analysis depends on the level of community transmission</w:t>
      </w:r>
      <w:r w:rsidR="005C2688">
        <w:t>,</w:t>
      </w:r>
      <w:r w:rsidR="00A62675">
        <w:t xml:space="preserve"> </w:t>
      </w:r>
      <w:r w:rsidR="000643D1">
        <w:t>vaccine effectiveness</w:t>
      </w:r>
      <w:r w:rsidR="005C2688">
        <w:t xml:space="preserve"> and local case fatality rates</w:t>
      </w:r>
      <w:r w:rsidR="000643D1">
        <w:t xml:space="preserve">. </w:t>
      </w:r>
    </w:p>
    <w:p w14:paraId="7F37B21A" w14:textId="6A562823" w:rsidR="0037488E" w:rsidRDefault="0038733A" w:rsidP="000E5B42">
      <w:pPr>
        <w:spacing w:line="480" w:lineRule="auto"/>
        <w:ind w:firstLine="720"/>
      </w:pPr>
      <w:r>
        <w:t>T</w:t>
      </w:r>
      <w:r w:rsidR="00855D76">
        <w:t>he studies</w:t>
      </w:r>
      <w:r>
        <w:t xml:space="preserve"> </w:t>
      </w:r>
      <w:r w:rsidR="006A504F">
        <w:t xml:space="preserve">described above </w:t>
      </w:r>
      <w:r>
        <w:t>show that</w:t>
      </w:r>
      <w:r w:rsidR="00975D07">
        <w:t xml:space="preserve"> </w:t>
      </w:r>
      <w:r w:rsidR="006A504F">
        <w:t xml:space="preserve">synthesis of </w:t>
      </w:r>
      <w:r w:rsidR="001A73C7">
        <w:t xml:space="preserve">evidence from </w:t>
      </w:r>
      <w:r w:rsidR="008B6E69">
        <w:t>huge databases</w:t>
      </w:r>
      <w:r w:rsidR="00D37229">
        <w:t xml:space="preserve"> </w:t>
      </w:r>
      <w:r w:rsidR="001A73C7">
        <w:t xml:space="preserve">and </w:t>
      </w:r>
      <w:r w:rsidR="00B22885">
        <w:t xml:space="preserve">large </w:t>
      </w:r>
      <w:r w:rsidR="00855D76">
        <w:t>meta-analyses</w:t>
      </w:r>
      <w:r w:rsidR="001A73C7">
        <w:t xml:space="preserve"> </w:t>
      </w:r>
      <w:r w:rsidR="00975D07">
        <w:t xml:space="preserve">are powerful for </w:t>
      </w:r>
      <w:r w:rsidR="0079613A">
        <w:t>investigating</w:t>
      </w:r>
      <w:r w:rsidR="002F60AD">
        <w:t xml:space="preserve"> </w:t>
      </w:r>
      <w:r w:rsidR="00975D07">
        <w:t xml:space="preserve">rare </w:t>
      </w:r>
      <w:r w:rsidR="00095EF9">
        <w:t>complications</w:t>
      </w:r>
      <w:r w:rsidR="00975D07">
        <w:t xml:space="preserve"> from vaccines</w:t>
      </w:r>
      <w:r w:rsidR="00095EF9">
        <w:t xml:space="preserve"> </w:t>
      </w:r>
      <w:r w:rsidR="0079613A">
        <w:t>versus</w:t>
      </w:r>
      <w:r w:rsidR="00975D07">
        <w:t xml:space="preserve"> infection</w:t>
      </w:r>
      <w:r w:rsidR="005314E6">
        <w:t>s</w:t>
      </w:r>
      <w:r w:rsidR="00975D07">
        <w:t xml:space="preserve">. </w:t>
      </w:r>
      <w:r w:rsidR="00095EF9">
        <w:t xml:space="preserve">However, </w:t>
      </w:r>
      <w:r w:rsidR="00CD09DF">
        <w:t xml:space="preserve">data </w:t>
      </w:r>
      <w:r w:rsidR="006A504F">
        <w:t xml:space="preserve">are </w:t>
      </w:r>
      <w:r w:rsidR="00095EF9">
        <w:t xml:space="preserve">likely </w:t>
      </w:r>
      <w:r w:rsidR="006A504F">
        <w:t xml:space="preserve">to </w:t>
      </w:r>
      <w:r w:rsidR="00095EF9">
        <w:t>continue to emerge from multiple sources and evolve rapid</w:t>
      </w:r>
      <w:r w:rsidR="00855D76">
        <w:t>ly</w:t>
      </w:r>
      <w:r w:rsidR="00095EF9">
        <w:t xml:space="preserve">, </w:t>
      </w:r>
      <w:r w:rsidR="00855D76">
        <w:t xml:space="preserve">making it increasingly challenging to </w:t>
      </w:r>
      <w:r w:rsidR="00394229">
        <w:t xml:space="preserve">keep abreast of new evidence. </w:t>
      </w:r>
      <w:r w:rsidR="00CB4A56">
        <w:t>O</w:t>
      </w:r>
      <w:r w:rsidR="00394229">
        <w:t xml:space="preserve">ther </w:t>
      </w:r>
      <w:r w:rsidR="002F60AD">
        <w:t>AEFIs</w:t>
      </w:r>
      <w:r w:rsidR="00095EF9">
        <w:t xml:space="preserve"> </w:t>
      </w:r>
      <w:r w:rsidR="00394229">
        <w:t xml:space="preserve">will </w:t>
      </w:r>
      <w:r w:rsidR="005314E6">
        <w:t xml:space="preserve">probably </w:t>
      </w:r>
      <w:r w:rsidR="00394229">
        <w:t xml:space="preserve">emerge </w:t>
      </w:r>
      <w:r w:rsidR="00931003">
        <w:t>with</w:t>
      </w:r>
      <w:r w:rsidR="00095EF9">
        <w:t xml:space="preserve"> new vaccines and boosters, and </w:t>
      </w:r>
      <w:r w:rsidR="005314E6">
        <w:t xml:space="preserve">the </w:t>
      </w:r>
      <w:r w:rsidR="00394229">
        <w:t xml:space="preserve">incidence of </w:t>
      </w:r>
      <w:r w:rsidR="00095EF9">
        <w:t>late</w:t>
      </w:r>
      <w:r w:rsidR="005314E6">
        <w:t xml:space="preserve"> and </w:t>
      </w:r>
      <w:r w:rsidR="00095EF9">
        <w:t xml:space="preserve">chronic complications </w:t>
      </w:r>
      <w:r w:rsidR="00394229">
        <w:t>(</w:t>
      </w:r>
      <w:r w:rsidR="005314E6">
        <w:t>for example,</w:t>
      </w:r>
      <w:r w:rsidR="00394229">
        <w:t xml:space="preserve"> long COVID) will evolve over time</w:t>
      </w:r>
      <w:r w:rsidR="00095EF9">
        <w:t xml:space="preserve">. </w:t>
      </w:r>
      <w:r w:rsidR="008B6E69">
        <w:t xml:space="preserve">Novel approaches are needed </w:t>
      </w:r>
      <w:r w:rsidR="00CB4A56">
        <w:t>for</w:t>
      </w:r>
      <w:r w:rsidR="008B6E69">
        <w:t xml:space="preserve"> (near) real-time risk</w:t>
      </w:r>
      <w:r w:rsidR="006A504F">
        <w:t>–</w:t>
      </w:r>
      <w:r w:rsidR="008B6E69">
        <w:t>benefit analys</w:t>
      </w:r>
      <w:r w:rsidR="000A521C">
        <w:t>e</w:t>
      </w:r>
      <w:r w:rsidR="008B6E69">
        <w:t xml:space="preserve">s that integrate </w:t>
      </w:r>
      <w:r w:rsidR="006A504F">
        <w:t xml:space="preserve">the </w:t>
      </w:r>
      <w:r w:rsidR="008B6E69">
        <w:t xml:space="preserve">latest </w:t>
      </w:r>
      <w:r w:rsidR="008D62AA">
        <w:t xml:space="preserve">global </w:t>
      </w:r>
      <w:r w:rsidR="008B6E69">
        <w:t>evidence with locally relevant factors to support local decision</w:t>
      </w:r>
      <w:r w:rsidR="00051C87">
        <w:t>-</w:t>
      </w:r>
      <w:r w:rsidR="008B6E69">
        <w:t>making.</w:t>
      </w:r>
    </w:p>
    <w:p w14:paraId="6CDC58FD" w14:textId="1526312F" w:rsidR="005314E6" w:rsidRDefault="005314E6" w:rsidP="000E5B42">
      <w:pPr>
        <w:spacing w:line="480" w:lineRule="auto"/>
        <w:ind w:firstLine="720"/>
      </w:pPr>
      <w:r>
        <w:t>As r</w:t>
      </w:r>
      <w:r w:rsidR="00571656">
        <w:t>ecently</w:t>
      </w:r>
      <w:r w:rsidR="008B6E69">
        <w:t xml:space="preserve"> published in </w:t>
      </w:r>
      <w:r w:rsidR="008B6E69" w:rsidRPr="000D07C7">
        <w:rPr>
          <w:i/>
        </w:rPr>
        <w:t>Vaccine</w:t>
      </w:r>
      <w:r w:rsidR="008B6E69">
        <w:t xml:space="preserve">, Lau </w:t>
      </w:r>
      <w:r w:rsidR="008B6E69" w:rsidRPr="009A6AB4">
        <w:rPr>
          <w:i/>
          <w:iCs/>
        </w:rPr>
        <w:t>et al</w:t>
      </w:r>
      <w:r w:rsidR="008D62AA" w:rsidRPr="009A6AB4">
        <w:rPr>
          <w:i/>
          <w:iCs/>
        </w:rPr>
        <w:t>.</w:t>
      </w:r>
      <w:r w:rsidR="008B6E69">
        <w:t xml:space="preserve"> used a Bayesian network</w:t>
      </w:r>
      <w:r w:rsidR="00643AB1">
        <w:t xml:space="preserve"> (BN)</w:t>
      </w:r>
      <w:r w:rsidR="008B6E69">
        <w:t xml:space="preserve"> model to </w:t>
      </w:r>
      <w:r w:rsidR="00D83026">
        <w:t>develop</w:t>
      </w:r>
      <w:r w:rsidR="006B7CE1">
        <w:t xml:space="preserve"> </w:t>
      </w:r>
      <w:r w:rsidR="00D83026">
        <w:t>CoRiCal (C</w:t>
      </w:r>
      <w:r w:rsidR="00CE6222">
        <w:t>ovid</w:t>
      </w:r>
      <w:r w:rsidR="00D83026">
        <w:t xml:space="preserve"> Risk Calculator)</w:t>
      </w:r>
      <w:r w:rsidR="00465ABD" w:rsidRPr="00465ABD">
        <w:rPr>
          <w:noProof/>
          <w:vertAlign w:val="superscript"/>
        </w:rPr>
        <w:t>6</w:t>
      </w:r>
      <w:r w:rsidR="00D83026">
        <w:t xml:space="preserve">, </w:t>
      </w:r>
      <w:r w:rsidR="006B7CE1">
        <w:t xml:space="preserve">a </w:t>
      </w:r>
      <w:r w:rsidR="00497049">
        <w:t>decision support</w:t>
      </w:r>
      <w:r w:rsidR="006B7CE1">
        <w:t xml:space="preserve"> </w:t>
      </w:r>
      <w:r w:rsidR="00D83026">
        <w:t>tool for</w:t>
      </w:r>
      <w:r w:rsidR="006B7CE1">
        <w:t xml:space="preserve"> the ChAdOx1</w:t>
      </w:r>
      <w:r w:rsidR="006A504F">
        <w:t xml:space="preserve"> </w:t>
      </w:r>
      <w:r w:rsidR="006B7CE1">
        <w:t>nCov-19 vaccine in Australia</w:t>
      </w:r>
      <w:r w:rsidR="00850588">
        <w:t xml:space="preserve"> that takes into account age, sex, local transmission</w:t>
      </w:r>
      <w:r w:rsidR="007F5650">
        <w:t xml:space="preserve"> and other local factors</w:t>
      </w:r>
      <w:r w:rsidR="00465ABD" w:rsidRPr="00465ABD">
        <w:rPr>
          <w:noProof/>
          <w:vertAlign w:val="superscript"/>
        </w:rPr>
        <w:t>7</w:t>
      </w:r>
      <w:r w:rsidR="00CE6222">
        <w:t>.</w:t>
      </w:r>
      <w:r w:rsidR="007215EE">
        <w:t xml:space="preserve"> </w:t>
      </w:r>
      <w:r w:rsidR="00643AB1">
        <w:t xml:space="preserve">Although Australia has robust </w:t>
      </w:r>
      <w:r w:rsidR="001A73D3">
        <w:t xml:space="preserve">AEFI </w:t>
      </w:r>
      <w:r w:rsidR="00643AB1">
        <w:t>surveillance, risk</w:t>
      </w:r>
      <w:r w:rsidR="006A504F">
        <w:t>–</w:t>
      </w:r>
      <w:r w:rsidR="00643AB1">
        <w:t>benefit analysis has been challenging because</w:t>
      </w:r>
      <w:r w:rsidR="001A73D3">
        <w:t xml:space="preserve"> of the </w:t>
      </w:r>
      <w:r w:rsidR="001A73D3">
        <w:lastRenderedPageBreak/>
        <w:t>relatively low</w:t>
      </w:r>
      <w:r w:rsidR="00643AB1">
        <w:t xml:space="preserve"> transmission </w:t>
      </w:r>
      <w:r>
        <w:t xml:space="preserve">rates </w:t>
      </w:r>
      <w:r w:rsidR="00643AB1">
        <w:t xml:space="preserve">(1,734 deaths </w:t>
      </w:r>
      <w:r>
        <w:t xml:space="preserve">as of </w:t>
      </w:r>
      <w:r w:rsidR="00643AB1">
        <w:t>Oct</w:t>
      </w:r>
      <w:r w:rsidR="006A504F">
        <w:t>ober</w:t>
      </w:r>
      <w:r w:rsidR="00643AB1">
        <w:t xml:space="preserve"> 2021)</w:t>
      </w:r>
      <w:r w:rsidR="00465ABD" w:rsidRPr="00465ABD">
        <w:rPr>
          <w:noProof/>
          <w:vertAlign w:val="superscript"/>
        </w:rPr>
        <w:t>8</w:t>
      </w:r>
      <w:r w:rsidR="00643AB1">
        <w:t xml:space="preserve">, and </w:t>
      </w:r>
      <w:r w:rsidR="001A73D3">
        <w:t xml:space="preserve">large </w:t>
      </w:r>
      <w:r w:rsidR="00643AB1">
        <w:t>linked data</w:t>
      </w:r>
      <w:r w:rsidR="006A504F">
        <w:t xml:space="preserve"> </w:t>
      </w:r>
      <w:r w:rsidR="00643AB1">
        <w:t xml:space="preserve">sets such as those used by Patone </w:t>
      </w:r>
      <w:r w:rsidR="00643AB1" w:rsidRPr="000D07C7">
        <w:rPr>
          <w:iCs/>
        </w:rPr>
        <w:t>et al</w:t>
      </w:r>
      <w:r w:rsidR="00643AB1" w:rsidRPr="006A504F">
        <w:t>.</w:t>
      </w:r>
      <w:r w:rsidR="004325D2">
        <w:t xml:space="preserve"> are not available.</w:t>
      </w:r>
    </w:p>
    <w:p w14:paraId="7A7A0209" w14:textId="63F06718" w:rsidR="00643AB1" w:rsidRDefault="00643AB1" w:rsidP="000E5B42">
      <w:pPr>
        <w:spacing w:line="480" w:lineRule="auto"/>
        <w:ind w:firstLine="720"/>
      </w:pPr>
      <w:r>
        <w:t xml:space="preserve">CoRiCal uses a BN to integrate multiple </w:t>
      </w:r>
      <w:r w:rsidR="005314E6">
        <w:t xml:space="preserve">Australian and international </w:t>
      </w:r>
      <w:r>
        <w:t xml:space="preserve">data sources. Model inputs can be rapidly updated as evidence evolves, </w:t>
      </w:r>
      <w:r w:rsidR="005314E6">
        <w:t>for example</w:t>
      </w:r>
      <w:r>
        <w:t xml:space="preserve">, </w:t>
      </w:r>
      <w:r w:rsidR="005314E6">
        <w:t xml:space="preserve">owing to </w:t>
      </w:r>
      <w:r>
        <w:t xml:space="preserve">fluctuating transmission rates, waning immunity, new variants and </w:t>
      </w:r>
      <w:r w:rsidR="005314E6">
        <w:t xml:space="preserve">changes in </w:t>
      </w:r>
      <w:r>
        <w:t>vaccine effectiveness. BNs are conditional probability models that capture</w:t>
      </w:r>
      <w:r w:rsidRPr="00812B69">
        <w:t xml:space="preserve"> joint probabilities </w:t>
      </w:r>
      <w:r>
        <w:t>of</w:t>
      </w:r>
      <w:r w:rsidRPr="00812B69">
        <w:t xml:space="preserve"> events</w:t>
      </w:r>
      <w:r w:rsidR="001A73D3">
        <w:t xml:space="preserve"> using directed acyclic graphs</w:t>
      </w:r>
      <w:r>
        <w:t>. Variables are depicted visually as nodes, with links representing probabilistic parent</w:t>
      </w:r>
      <w:r w:rsidR="005314E6">
        <w:t>–</w:t>
      </w:r>
      <w:r>
        <w:t>child relationships between nodes (</w:t>
      </w:r>
      <w:r w:rsidR="006A504F">
        <w:t>FIG. 1</w:t>
      </w:r>
      <w:r>
        <w:t>).</w:t>
      </w:r>
      <w:r w:rsidR="00262199">
        <w:t xml:space="preserve"> </w:t>
      </w:r>
      <w:r w:rsidR="001A73D3">
        <w:t>The graphical and transparent representation of a</w:t>
      </w:r>
      <w:r>
        <w:t xml:space="preserve">ssumptions </w:t>
      </w:r>
      <w:r w:rsidR="001A73D3">
        <w:t>can</w:t>
      </w:r>
      <w:r>
        <w:t xml:space="preserve"> help build confidence and trust in model outputs. </w:t>
      </w:r>
      <w:r w:rsidR="005314E6">
        <w:t>T</w:t>
      </w:r>
      <w:r>
        <w:t xml:space="preserve">he CoRiCal model was parametrized using probabilities from </w:t>
      </w:r>
      <w:r w:rsidR="005314E6">
        <w:t xml:space="preserve">the </w:t>
      </w:r>
      <w:r>
        <w:t>literature, government reports and expert opinion</w:t>
      </w:r>
      <w:r w:rsidR="00465ABD" w:rsidRPr="00465ABD">
        <w:rPr>
          <w:noProof/>
          <w:vertAlign w:val="superscript"/>
        </w:rPr>
        <w:t>9</w:t>
      </w:r>
      <w:r>
        <w:t xml:space="preserve">, </w:t>
      </w:r>
      <w:r w:rsidR="005314E6">
        <w:t xml:space="preserve">but </w:t>
      </w:r>
      <w:r>
        <w:t>BNs can also learn probabilities from data</w:t>
      </w:r>
      <w:r w:rsidR="006A504F">
        <w:t xml:space="preserve"> </w:t>
      </w:r>
      <w:r>
        <w:t xml:space="preserve">sets. CoRiCal </w:t>
      </w:r>
      <w:r w:rsidR="005314E6">
        <w:t xml:space="preserve">could </w:t>
      </w:r>
      <w:r>
        <w:t xml:space="preserve">be adapted for other countries or other outcomes, </w:t>
      </w:r>
      <w:r w:rsidR="005314E6">
        <w:t>for example,</w:t>
      </w:r>
      <w:r>
        <w:t xml:space="preserve"> neurological complications based on </w:t>
      </w:r>
      <w:r w:rsidR="005314E6">
        <w:t xml:space="preserve">the </w:t>
      </w:r>
      <w:r>
        <w:t>data reported in the above studies, or learning directly from the data</w:t>
      </w:r>
      <w:r w:rsidR="005314E6">
        <w:t xml:space="preserve"> </w:t>
      </w:r>
      <w:r>
        <w:t>sets.</w:t>
      </w:r>
    </w:p>
    <w:p w14:paraId="76C1EB3B" w14:textId="21353422" w:rsidR="00DF39CA" w:rsidRDefault="007F5650" w:rsidP="000E5B42">
      <w:pPr>
        <w:spacing w:line="480" w:lineRule="auto"/>
        <w:ind w:firstLine="720"/>
      </w:pPr>
      <w:r>
        <w:t xml:space="preserve">Risk calculators </w:t>
      </w:r>
      <w:r w:rsidR="00C43D1A">
        <w:t xml:space="preserve">provide </w:t>
      </w:r>
      <w:r w:rsidR="006A504F">
        <w:t>population-</w:t>
      </w:r>
      <w:r w:rsidR="00C43D1A">
        <w:t>level estimates</w:t>
      </w:r>
      <w:r w:rsidR="00051C87">
        <w:t xml:space="preserve"> </w:t>
      </w:r>
      <w:r w:rsidR="005314E6">
        <w:t xml:space="preserve">that </w:t>
      </w:r>
      <w:r w:rsidR="00051C87">
        <w:t xml:space="preserve">are applicable </w:t>
      </w:r>
      <w:r w:rsidR="005C2688">
        <w:t>for</w:t>
      </w:r>
      <w:r w:rsidR="00051C87">
        <w:t xml:space="preserve"> public health practice</w:t>
      </w:r>
      <w:r w:rsidR="00C43D1A">
        <w:t>, but clinical advice and decision making for individual</w:t>
      </w:r>
      <w:r>
        <w:t>s</w:t>
      </w:r>
      <w:r w:rsidR="00C43D1A">
        <w:t xml:space="preserve"> should also consider factors such as </w:t>
      </w:r>
      <w:r w:rsidR="00051C87">
        <w:t>the individual’s demographic and clinical characteristics</w:t>
      </w:r>
      <w:r w:rsidR="00C43D1A">
        <w:t>.</w:t>
      </w:r>
      <w:r w:rsidR="00B0141E">
        <w:t xml:space="preserve"> An extreme example would be someone who has already sustained a</w:t>
      </w:r>
      <w:r w:rsidR="005C2688">
        <w:t xml:space="preserve"> potentially vaccine-induced</w:t>
      </w:r>
      <w:r w:rsidR="00B0141E">
        <w:t xml:space="preserve"> neurological complication </w:t>
      </w:r>
      <w:r w:rsidR="00CC2C96">
        <w:t xml:space="preserve">after </w:t>
      </w:r>
      <w:r w:rsidR="00B0141E">
        <w:t>the first dose</w:t>
      </w:r>
      <w:r w:rsidR="00EC171B">
        <w:t xml:space="preserve"> of </w:t>
      </w:r>
      <w:r w:rsidR="00CC2C96">
        <w:t>a</w:t>
      </w:r>
      <w:r w:rsidR="00EC171B">
        <w:t xml:space="preserve"> vaccine</w:t>
      </w:r>
      <w:r w:rsidR="00B0141E">
        <w:t>; population-level risk</w:t>
      </w:r>
      <w:r w:rsidR="00401D3F">
        <w:t>–</w:t>
      </w:r>
      <w:r w:rsidR="00B0141E">
        <w:t xml:space="preserve">benefit calculations </w:t>
      </w:r>
      <w:r w:rsidR="00D05DD5">
        <w:t xml:space="preserve">provide estimates for the ‘average person’, and therefore </w:t>
      </w:r>
      <w:r w:rsidR="00B0141E">
        <w:t xml:space="preserve">do not apply for this individual. </w:t>
      </w:r>
      <w:r w:rsidR="00C43D1A">
        <w:t xml:space="preserve">As data become available, additional variables can be included in </w:t>
      </w:r>
      <w:r w:rsidR="00643AB1">
        <w:t>models</w:t>
      </w:r>
      <w:r w:rsidR="00C43D1A">
        <w:t xml:space="preserve">, but clinical judgement will </w:t>
      </w:r>
      <w:r w:rsidR="005314E6">
        <w:t xml:space="preserve">still </w:t>
      </w:r>
      <w:r w:rsidR="00C43D1A">
        <w:t xml:space="preserve">be required for situations where </w:t>
      </w:r>
      <w:r>
        <w:t>no data are available</w:t>
      </w:r>
      <w:r w:rsidR="00C43D1A">
        <w:t>.</w:t>
      </w:r>
      <w:r w:rsidR="0038733A">
        <w:t xml:space="preserve"> </w:t>
      </w:r>
      <w:r w:rsidR="00643AB1">
        <w:t xml:space="preserve">Models such as </w:t>
      </w:r>
      <w:r w:rsidR="0038733A">
        <w:t xml:space="preserve">QCovid predict the risk of death or </w:t>
      </w:r>
      <w:r w:rsidR="005314E6">
        <w:t xml:space="preserve">hospitalization </w:t>
      </w:r>
      <w:r w:rsidR="0038733A">
        <w:t xml:space="preserve">from COVID-19 </w:t>
      </w:r>
      <w:r w:rsidR="005314E6">
        <w:t xml:space="preserve">on the </w:t>
      </w:r>
      <w:r w:rsidR="0038733A">
        <w:t>bas</w:t>
      </w:r>
      <w:r w:rsidR="005314E6">
        <w:t>is</w:t>
      </w:r>
      <w:r w:rsidR="0038733A">
        <w:t xml:space="preserve"> o</w:t>
      </w:r>
      <w:r w:rsidR="005314E6">
        <w:t>f</w:t>
      </w:r>
      <w:r w:rsidR="0038733A">
        <w:t xml:space="preserve"> demographics and comorbidities, including neurological conditions</w:t>
      </w:r>
      <w:r w:rsidR="00465ABD" w:rsidRPr="00465ABD">
        <w:rPr>
          <w:noProof/>
          <w:vertAlign w:val="superscript"/>
        </w:rPr>
        <w:t>10</w:t>
      </w:r>
      <w:r w:rsidR="0038733A">
        <w:t xml:space="preserve">. </w:t>
      </w:r>
      <w:r w:rsidR="00420B54">
        <w:t>Calculators</w:t>
      </w:r>
      <w:r w:rsidR="0038733A">
        <w:t xml:space="preserve"> </w:t>
      </w:r>
      <w:r w:rsidR="005314E6">
        <w:t xml:space="preserve">such as </w:t>
      </w:r>
      <w:r w:rsidR="0038733A">
        <w:t xml:space="preserve">CoRiCal and QCovid could potentially be </w:t>
      </w:r>
      <w:r w:rsidR="005314E6">
        <w:t>combined</w:t>
      </w:r>
      <w:r w:rsidR="0038733A">
        <w:t xml:space="preserve">. </w:t>
      </w:r>
      <w:r w:rsidR="00931003">
        <w:t>F</w:t>
      </w:r>
      <w:r w:rsidR="00855D76">
        <w:t>lexible modelling approach</w:t>
      </w:r>
      <w:r w:rsidR="00931003">
        <w:t>es</w:t>
      </w:r>
      <w:r w:rsidR="00A077D5">
        <w:t xml:space="preserve"> and risk</w:t>
      </w:r>
      <w:r w:rsidR="000C30EA">
        <w:t>–</w:t>
      </w:r>
      <w:r w:rsidR="00A077D5">
        <w:t xml:space="preserve">benefit </w:t>
      </w:r>
      <w:r w:rsidR="000C30EA">
        <w:t xml:space="preserve">visualization </w:t>
      </w:r>
      <w:r w:rsidR="00A077D5">
        <w:t>tool</w:t>
      </w:r>
      <w:r w:rsidR="00931003">
        <w:t>s</w:t>
      </w:r>
      <w:r w:rsidR="00A077D5">
        <w:t xml:space="preserve"> could</w:t>
      </w:r>
      <w:r w:rsidR="00262199">
        <w:t xml:space="preserve"> </w:t>
      </w:r>
      <w:r w:rsidR="00A077D5">
        <w:t>support evidence-based decision</w:t>
      </w:r>
      <w:r w:rsidR="000C30EA">
        <w:t>-</w:t>
      </w:r>
      <w:r w:rsidR="000C30EA">
        <w:lastRenderedPageBreak/>
        <w:t>making</w:t>
      </w:r>
      <w:r w:rsidR="00A077D5">
        <w:t xml:space="preserve"> by </w:t>
      </w:r>
      <w:r w:rsidR="000C30EA">
        <w:t xml:space="preserve">increasing </w:t>
      </w:r>
      <w:r w:rsidR="00A077D5">
        <w:t xml:space="preserve">the </w:t>
      </w:r>
      <w:r w:rsidR="000C30EA">
        <w:t xml:space="preserve">accessibility of the </w:t>
      </w:r>
      <w:r w:rsidR="00A077D5">
        <w:t>latest information</w:t>
      </w:r>
      <w:r w:rsidR="004D2090">
        <w:t xml:space="preserve"> to the global citizen, </w:t>
      </w:r>
      <w:r w:rsidR="000C30EA">
        <w:t>thereby aiding</w:t>
      </w:r>
      <w:r w:rsidR="004D2090">
        <w:t xml:space="preserve"> vaccination efforts worldwide.</w:t>
      </w:r>
    </w:p>
    <w:p w14:paraId="470E31D5" w14:textId="77777777" w:rsidR="000E5B42" w:rsidRDefault="000E5B42" w:rsidP="000E5B42">
      <w:pPr>
        <w:spacing w:line="480" w:lineRule="auto"/>
      </w:pPr>
    </w:p>
    <w:p w14:paraId="24BCA536" w14:textId="43A60AD3" w:rsidR="005220A0" w:rsidRDefault="005220A0" w:rsidP="000E5B42">
      <w:pPr>
        <w:spacing w:line="480" w:lineRule="auto"/>
        <w:rPr>
          <w:vertAlign w:val="superscript"/>
        </w:rPr>
      </w:pPr>
      <w:r>
        <w:t>Colleen L. Lau</w:t>
      </w:r>
      <w:r>
        <w:rPr>
          <w:vertAlign w:val="superscript"/>
        </w:rPr>
        <w:t>1</w:t>
      </w:r>
      <w:r w:rsidRPr="005220A0">
        <w:rPr>
          <w:rFonts w:ascii="Calibri" w:hAnsi="Calibri" w:cs="Calibri"/>
          <w:vertAlign w:val="superscript"/>
        </w:rPr>
        <w:t>†</w:t>
      </w:r>
      <w:r>
        <w:t xml:space="preserve"> and Ian Galea</w:t>
      </w:r>
      <w:r>
        <w:rPr>
          <w:vertAlign w:val="superscript"/>
        </w:rPr>
        <w:t>2</w:t>
      </w:r>
    </w:p>
    <w:p w14:paraId="741ADCC2" w14:textId="59844C32" w:rsidR="005220A0" w:rsidRDefault="005220A0" w:rsidP="000E5B42">
      <w:pPr>
        <w:spacing w:line="480" w:lineRule="auto"/>
      </w:pPr>
      <w:r w:rsidRPr="006074E4">
        <w:rPr>
          <w:vertAlign w:val="superscript"/>
        </w:rPr>
        <w:t>1</w:t>
      </w:r>
      <w:r w:rsidRPr="006074E4">
        <w:t>School</w:t>
      </w:r>
      <w:r>
        <w:t xml:space="preserve"> of Public Health, Faculty of Medicine, University of Queensland, Brisbane, Queensland, Australia.</w:t>
      </w:r>
    </w:p>
    <w:p w14:paraId="4593FE01" w14:textId="4F95CBFD" w:rsidR="005220A0" w:rsidRDefault="005220A0" w:rsidP="000E5B42">
      <w:pPr>
        <w:spacing w:line="480" w:lineRule="auto"/>
      </w:pPr>
      <w:r>
        <w:rPr>
          <w:vertAlign w:val="superscript"/>
        </w:rPr>
        <w:t>2</w:t>
      </w:r>
      <w:r>
        <w:t>Clincal Neurosciences, Clinical and Experimental Sciences, Faculty of Medicine, University of Southampton, UK.</w:t>
      </w:r>
    </w:p>
    <w:p w14:paraId="6D02843E" w14:textId="6C6416C4" w:rsidR="005220A0" w:rsidRDefault="005220A0" w:rsidP="000E5B42">
      <w:pPr>
        <w:spacing w:line="480" w:lineRule="auto"/>
        <w:rPr>
          <w:b/>
          <w:bCs/>
        </w:rPr>
      </w:pPr>
      <w:r w:rsidRPr="005220A0">
        <w:rPr>
          <w:rFonts w:ascii="Calibri" w:hAnsi="Calibri" w:cs="Calibri"/>
          <w:vertAlign w:val="superscript"/>
        </w:rPr>
        <w:t>†</w:t>
      </w:r>
      <w:r>
        <w:t xml:space="preserve">e-mail: </w:t>
      </w:r>
      <w:r w:rsidRPr="000D07C7">
        <w:t>colleen.lau@uq.edu.au</w:t>
      </w:r>
    </w:p>
    <w:p w14:paraId="2E7D64F9" w14:textId="77777777" w:rsidR="005220A0" w:rsidRDefault="005220A0" w:rsidP="000E5B42">
      <w:pPr>
        <w:spacing w:line="480" w:lineRule="auto"/>
        <w:rPr>
          <w:b/>
          <w:bCs/>
        </w:rPr>
      </w:pPr>
    </w:p>
    <w:p w14:paraId="1A0C5B24" w14:textId="149836DC" w:rsidR="00E021F8" w:rsidRPr="000909D6" w:rsidRDefault="00E021F8" w:rsidP="000E5B42">
      <w:pPr>
        <w:spacing w:line="480" w:lineRule="auto"/>
        <w:rPr>
          <w:b/>
          <w:bCs/>
        </w:rPr>
      </w:pPr>
      <w:r w:rsidRPr="000909D6">
        <w:rPr>
          <w:b/>
          <w:bCs/>
        </w:rPr>
        <w:t>References</w:t>
      </w:r>
    </w:p>
    <w:p w14:paraId="60A322C2" w14:textId="030D8EF6" w:rsidR="00714FCF" w:rsidRPr="00714FCF" w:rsidRDefault="00714FCF" w:rsidP="000E5B42">
      <w:pPr>
        <w:pStyle w:val="EndNoteBibliography"/>
        <w:spacing w:line="480" w:lineRule="auto"/>
        <w:ind w:left="720" w:hanging="720"/>
        <w:rPr>
          <w:noProof/>
        </w:rPr>
      </w:pPr>
      <w:r w:rsidRPr="00714FCF">
        <w:rPr>
          <w:noProof/>
        </w:rPr>
        <w:t>1</w:t>
      </w:r>
      <w:r w:rsidRPr="00714FCF">
        <w:rPr>
          <w:noProof/>
        </w:rPr>
        <w:tab/>
        <w:t xml:space="preserve">MacIntyre, C. R., Veness, B., Berger, D., Hamad, N. &amp; Bari, N. Thrombosis with </w:t>
      </w:r>
      <w:r w:rsidR="007E3953" w:rsidRPr="00714FCF">
        <w:rPr>
          <w:noProof/>
        </w:rPr>
        <w:t xml:space="preserve">thrombocytopenia syndrome </w:t>
      </w:r>
      <w:r w:rsidRPr="00714FCF">
        <w:rPr>
          <w:noProof/>
        </w:rPr>
        <w:t xml:space="preserve">(TTS) following AstraZeneca ChAdOx1 nCoV-19 (AZD1222) COVID-19 vaccination </w:t>
      </w:r>
      <w:r w:rsidR="004325D2">
        <w:rPr>
          <w:noProof/>
        </w:rPr>
        <w:t>–</w:t>
      </w:r>
      <w:r w:rsidRPr="00714FCF">
        <w:rPr>
          <w:noProof/>
        </w:rPr>
        <w:t xml:space="preserve"> </w:t>
      </w:r>
      <w:r w:rsidR="004325D2">
        <w:rPr>
          <w:noProof/>
        </w:rPr>
        <w:t>a</w:t>
      </w:r>
      <w:r w:rsidRPr="00714FCF">
        <w:rPr>
          <w:noProof/>
        </w:rPr>
        <w:t xml:space="preserve"> risk</w:t>
      </w:r>
      <w:r w:rsidR="004325D2">
        <w:rPr>
          <w:noProof/>
        </w:rPr>
        <w:t>–</w:t>
      </w:r>
      <w:r w:rsidRPr="00714FCF">
        <w:rPr>
          <w:noProof/>
        </w:rPr>
        <w:t xml:space="preserve">benefit analysis for people &lt;60 years in Australia. </w:t>
      </w:r>
      <w:r w:rsidRPr="00714FCF">
        <w:rPr>
          <w:i/>
          <w:noProof/>
        </w:rPr>
        <w:t>Vaccine</w:t>
      </w:r>
      <w:r w:rsidRPr="00714FCF">
        <w:rPr>
          <w:noProof/>
        </w:rPr>
        <w:t xml:space="preserve"> </w:t>
      </w:r>
      <w:r w:rsidRPr="00714FCF">
        <w:rPr>
          <w:b/>
          <w:noProof/>
        </w:rPr>
        <w:t>39</w:t>
      </w:r>
      <w:r w:rsidRPr="00714FCF">
        <w:rPr>
          <w:noProof/>
        </w:rPr>
        <w:t>, 4784-4787 (2021).</w:t>
      </w:r>
    </w:p>
    <w:p w14:paraId="3AB42931" w14:textId="6589FEF4" w:rsidR="00714FCF" w:rsidRPr="00714FCF" w:rsidRDefault="00714FCF" w:rsidP="000E5B42">
      <w:pPr>
        <w:pStyle w:val="EndNoteBibliography"/>
        <w:spacing w:line="480" w:lineRule="auto"/>
        <w:ind w:left="720" w:hanging="720"/>
        <w:rPr>
          <w:noProof/>
        </w:rPr>
      </w:pPr>
      <w:r w:rsidRPr="00714FCF">
        <w:rPr>
          <w:noProof/>
        </w:rPr>
        <w:t>2</w:t>
      </w:r>
      <w:r w:rsidRPr="00714FCF">
        <w:rPr>
          <w:noProof/>
        </w:rPr>
        <w:tab/>
        <w:t>Palaiodimou, L.</w:t>
      </w:r>
      <w:r w:rsidRPr="00714FCF">
        <w:rPr>
          <w:i/>
          <w:noProof/>
        </w:rPr>
        <w:t xml:space="preserve"> et al.</w:t>
      </w:r>
      <w:r w:rsidRPr="00714FCF">
        <w:rPr>
          <w:noProof/>
        </w:rPr>
        <w:t xml:space="preserve"> Cerebral </w:t>
      </w:r>
      <w:r w:rsidR="004325D2" w:rsidRPr="00714FCF">
        <w:rPr>
          <w:noProof/>
        </w:rPr>
        <w:t>venous sinus thrombosis and thrombotic events after vector-based</w:t>
      </w:r>
      <w:r w:rsidRPr="00714FCF">
        <w:rPr>
          <w:noProof/>
        </w:rPr>
        <w:t xml:space="preserve"> COVID-19 </w:t>
      </w:r>
      <w:r w:rsidR="004325D2" w:rsidRPr="00714FCF">
        <w:rPr>
          <w:noProof/>
        </w:rPr>
        <w:t>vaccines: a systematic review and meta</w:t>
      </w:r>
      <w:r w:rsidRPr="00714FCF">
        <w:rPr>
          <w:noProof/>
        </w:rPr>
        <w:t xml:space="preserve">-analysis. </w:t>
      </w:r>
      <w:r w:rsidR="004325D2" w:rsidRPr="00AD4891">
        <w:rPr>
          <w:i/>
        </w:rPr>
        <w:t>Neurology</w:t>
      </w:r>
      <w:r w:rsidR="004325D2" w:rsidRPr="00AD4891">
        <w:t xml:space="preserve"> </w:t>
      </w:r>
      <w:r w:rsidR="004325D2" w:rsidRPr="00AD4891">
        <w:rPr>
          <w:b/>
        </w:rPr>
        <w:t>97</w:t>
      </w:r>
      <w:r w:rsidR="004325D2">
        <w:t xml:space="preserve">, </w:t>
      </w:r>
      <w:r w:rsidR="004325D2" w:rsidRPr="00AD4891">
        <w:t>e2136-e2147 (2021)</w:t>
      </w:r>
      <w:r w:rsidRPr="00714FCF">
        <w:rPr>
          <w:noProof/>
        </w:rPr>
        <w:t>.</w:t>
      </w:r>
    </w:p>
    <w:p w14:paraId="1DBD2E51" w14:textId="25A276ED" w:rsidR="00714FCF" w:rsidRPr="00714FCF" w:rsidRDefault="00714FCF" w:rsidP="000E5B42">
      <w:pPr>
        <w:pStyle w:val="EndNoteBibliography"/>
        <w:spacing w:line="480" w:lineRule="auto"/>
        <w:ind w:left="720" w:hanging="720"/>
        <w:rPr>
          <w:noProof/>
        </w:rPr>
      </w:pPr>
      <w:r w:rsidRPr="00714FCF">
        <w:rPr>
          <w:noProof/>
        </w:rPr>
        <w:t>3</w:t>
      </w:r>
      <w:r w:rsidRPr="00714FCF">
        <w:rPr>
          <w:noProof/>
        </w:rPr>
        <w:tab/>
        <w:t>Hippisley-Cox, J.</w:t>
      </w:r>
      <w:r w:rsidRPr="00714FCF">
        <w:rPr>
          <w:i/>
          <w:noProof/>
        </w:rPr>
        <w:t xml:space="preserve"> et al.</w:t>
      </w:r>
      <w:r w:rsidRPr="00714FCF">
        <w:rPr>
          <w:noProof/>
        </w:rPr>
        <w:t xml:space="preserve"> Risk of thrombocytopenia and thromboembolism after covid-19 vaccination and SARS-CoV-2 positive testing: self-controlled case series study. </w:t>
      </w:r>
      <w:r w:rsidRPr="00714FCF">
        <w:rPr>
          <w:i/>
          <w:noProof/>
        </w:rPr>
        <w:t>BMJ</w:t>
      </w:r>
      <w:r w:rsidRPr="00714FCF">
        <w:rPr>
          <w:noProof/>
        </w:rPr>
        <w:t xml:space="preserve"> </w:t>
      </w:r>
      <w:r w:rsidRPr="00714FCF">
        <w:rPr>
          <w:b/>
          <w:noProof/>
        </w:rPr>
        <w:t>374</w:t>
      </w:r>
      <w:r w:rsidR="004325D2">
        <w:rPr>
          <w:noProof/>
        </w:rPr>
        <w:t>, n1931</w:t>
      </w:r>
      <w:r w:rsidRPr="00714FCF">
        <w:rPr>
          <w:noProof/>
        </w:rPr>
        <w:t xml:space="preserve"> (2021).</w:t>
      </w:r>
    </w:p>
    <w:p w14:paraId="27F7A0CA" w14:textId="1AC5ECEF" w:rsidR="00714FCF" w:rsidRPr="00714FCF" w:rsidRDefault="00714FCF" w:rsidP="000E5B42">
      <w:pPr>
        <w:pStyle w:val="EndNoteBibliography"/>
        <w:spacing w:line="480" w:lineRule="auto"/>
        <w:ind w:left="720" w:hanging="720"/>
        <w:rPr>
          <w:noProof/>
        </w:rPr>
      </w:pPr>
      <w:r w:rsidRPr="00714FCF">
        <w:rPr>
          <w:noProof/>
        </w:rPr>
        <w:t>4</w:t>
      </w:r>
      <w:r w:rsidRPr="00714FCF">
        <w:rPr>
          <w:noProof/>
        </w:rPr>
        <w:tab/>
        <w:t xml:space="preserve">Petersen, I., Douglas, I. &amp; Whitaker, H. Self controlled case series methods: an alternative to standard epidemiological study designs. </w:t>
      </w:r>
      <w:r w:rsidRPr="00714FCF">
        <w:rPr>
          <w:i/>
          <w:noProof/>
        </w:rPr>
        <w:t>BMJ</w:t>
      </w:r>
      <w:r w:rsidRPr="00714FCF">
        <w:rPr>
          <w:noProof/>
        </w:rPr>
        <w:t xml:space="preserve"> </w:t>
      </w:r>
      <w:r w:rsidRPr="00714FCF">
        <w:rPr>
          <w:b/>
          <w:noProof/>
        </w:rPr>
        <w:t>354</w:t>
      </w:r>
      <w:r w:rsidR="004325D2">
        <w:rPr>
          <w:noProof/>
        </w:rPr>
        <w:t>, i4515</w:t>
      </w:r>
      <w:r w:rsidRPr="00714FCF">
        <w:rPr>
          <w:noProof/>
        </w:rPr>
        <w:t xml:space="preserve"> (2016).</w:t>
      </w:r>
    </w:p>
    <w:p w14:paraId="60FE6F8F" w14:textId="6F393F89" w:rsidR="00714FCF" w:rsidRPr="00714FCF" w:rsidRDefault="00714FCF" w:rsidP="000E5B42">
      <w:pPr>
        <w:pStyle w:val="EndNoteBibliography"/>
        <w:spacing w:line="480" w:lineRule="auto"/>
        <w:ind w:left="720" w:hanging="720"/>
        <w:rPr>
          <w:noProof/>
        </w:rPr>
      </w:pPr>
      <w:r w:rsidRPr="00714FCF">
        <w:rPr>
          <w:noProof/>
        </w:rPr>
        <w:t>5</w:t>
      </w:r>
      <w:r w:rsidRPr="00714FCF">
        <w:rPr>
          <w:noProof/>
        </w:rPr>
        <w:tab/>
        <w:t>Patone, M.</w:t>
      </w:r>
      <w:r w:rsidRPr="00714FCF">
        <w:rPr>
          <w:i/>
          <w:noProof/>
        </w:rPr>
        <w:t xml:space="preserve"> et al.</w:t>
      </w:r>
      <w:r w:rsidRPr="00714FCF">
        <w:rPr>
          <w:noProof/>
        </w:rPr>
        <w:t xml:space="preserve"> Neurological complications after first dose of COVID-19 vaccines and SARS-CoV-2 infection. </w:t>
      </w:r>
      <w:r w:rsidRPr="00714FCF">
        <w:rPr>
          <w:i/>
          <w:noProof/>
        </w:rPr>
        <w:t>Nat</w:t>
      </w:r>
      <w:r w:rsidR="004325D2">
        <w:rPr>
          <w:i/>
          <w:noProof/>
        </w:rPr>
        <w:t>.</w:t>
      </w:r>
      <w:r w:rsidRPr="00714FCF">
        <w:rPr>
          <w:i/>
          <w:noProof/>
        </w:rPr>
        <w:t xml:space="preserve"> Med</w:t>
      </w:r>
      <w:r w:rsidR="004325D2">
        <w:rPr>
          <w:i/>
          <w:noProof/>
        </w:rPr>
        <w:t>.</w:t>
      </w:r>
      <w:r w:rsidRPr="00714FCF">
        <w:rPr>
          <w:noProof/>
        </w:rPr>
        <w:t xml:space="preserve"> </w:t>
      </w:r>
      <w:hyperlink r:id="rId10" w:history="1">
        <w:r w:rsidR="004325D2" w:rsidRPr="00632DAF">
          <w:rPr>
            <w:rStyle w:val="Hyperlink"/>
            <w:noProof/>
          </w:rPr>
          <w:t>https://doi.org/10.1038/s41591-021-01556-7</w:t>
        </w:r>
      </w:hyperlink>
      <w:r w:rsidR="004325D2">
        <w:rPr>
          <w:noProof/>
        </w:rPr>
        <w:t xml:space="preserve"> </w:t>
      </w:r>
      <w:r w:rsidRPr="00714FCF">
        <w:rPr>
          <w:noProof/>
        </w:rPr>
        <w:t>(2021).</w:t>
      </w:r>
    </w:p>
    <w:p w14:paraId="5E70C296" w14:textId="3EA99E30" w:rsidR="00714FCF" w:rsidRPr="00714FCF" w:rsidRDefault="00714FCF" w:rsidP="000E5B42">
      <w:pPr>
        <w:pStyle w:val="EndNoteBibliography"/>
        <w:spacing w:line="480" w:lineRule="auto"/>
        <w:ind w:left="720" w:hanging="720"/>
        <w:rPr>
          <w:noProof/>
        </w:rPr>
      </w:pPr>
      <w:r w:rsidRPr="00714FCF">
        <w:rPr>
          <w:noProof/>
        </w:rPr>
        <w:lastRenderedPageBreak/>
        <w:t>6</w:t>
      </w:r>
      <w:r w:rsidRPr="00714FCF">
        <w:rPr>
          <w:noProof/>
        </w:rPr>
        <w:tab/>
        <w:t xml:space="preserve">Immunisation Coalition. </w:t>
      </w:r>
      <w:r w:rsidRPr="00714FCF">
        <w:rPr>
          <w:i/>
          <w:noProof/>
        </w:rPr>
        <w:t>CoRiCal: Covid Risk Calculator</w:t>
      </w:r>
      <w:r w:rsidRPr="00714FCF">
        <w:rPr>
          <w:noProof/>
        </w:rPr>
        <w:t xml:space="preserve">, </w:t>
      </w:r>
      <w:hyperlink r:id="rId11" w:history="1">
        <w:r w:rsidR="0065024F" w:rsidRPr="00632DAF">
          <w:rPr>
            <w:rStyle w:val="Hyperlink"/>
            <w:noProof/>
          </w:rPr>
          <w:t>https://corical.immunisationcoalition.org.au/</w:t>
        </w:r>
      </w:hyperlink>
      <w:r w:rsidR="0065024F">
        <w:rPr>
          <w:noProof/>
        </w:rPr>
        <w:t xml:space="preserve"> </w:t>
      </w:r>
      <w:r w:rsidRPr="00714FCF">
        <w:rPr>
          <w:noProof/>
        </w:rPr>
        <w:t>(2021).</w:t>
      </w:r>
    </w:p>
    <w:p w14:paraId="42EE0410" w14:textId="486F494E" w:rsidR="00714FCF" w:rsidRPr="00714FCF" w:rsidRDefault="00714FCF" w:rsidP="000E5B42">
      <w:pPr>
        <w:pStyle w:val="EndNoteBibliography"/>
        <w:spacing w:line="480" w:lineRule="auto"/>
        <w:ind w:left="720" w:hanging="720"/>
        <w:rPr>
          <w:noProof/>
        </w:rPr>
      </w:pPr>
      <w:r w:rsidRPr="00714FCF">
        <w:rPr>
          <w:noProof/>
        </w:rPr>
        <w:t>7</w:t>
      </w:r>
      <w:r w:rsidRPr="00714FCF">
        <w:rPr>
          <w:noProof/>
        </w:rPr>
        <w:tab/>
        <w:t>Lau, C. L.</w:t>
      </w:r>
      <w:r w:rsidRPr="00714FCF">
        <w:rPr>
          <w:i/>
          <w:noProof/>
        </w:rPr>
        <w:t xml:space="preserve"> et al.</w:t>
      </w:r>
      <w:r w:rsidRPr="00714FCF">
        <w:rPr>
          <w:noProof/>
        </w:rPr>
        <w:t xml:space="preserve"> Risk</w:t>
      </w:r>
      <w:r w:rsidR="0065024F">
        <w:rPr>
          <w:noProof/>
        </w:rPr>
        <w:t>–</w:t>
      </w:r>
      <w:r w:rsidRPr="00714FCF">
        <w:rPr>
          <w:noProof/>
        </w:rPr>
        <w:t xml:space="preserve">benefit analysis of the AstraZeneca COVID-19 vaccine in Australia using a Bayesian network modelling framework. </w:t>
      </w:r>
      <w:r w:rsidRPr="00714FCF">
        <w:rPr>
          <w:i/>
          <w:noProof/>
        </w:rPr>
        <w:t>Vaccine</w:t>
      </w:r>
      <w:r w:rsidRPr="00714FCF">
        <w:rPr>
          <w:noProof/>
        </w:rPr>
        <w:t xml:space="preserve"> </w:t>
      </w:r>
      <w:hyperlink r:id="rId12" w:history="1">
        <w:r w:rsidR="0065024F" w:rsidRPr="0065024F">
          <w:rPr>
            <w:rStyle w:val="Hyperlink"/>
            <w:noProof/>
          </w:rPr>
          <w:t>https://doi.org/10.1016/j.vaccine.2021.10.079</w:t>
        </w:r>
      </w:hyperlink>
      <w:r w:rsidRPr="00714FCF">
        <w:rPr>
          <w:noProof/>
        </w:rPr>
        <w:t xml:space="preserve"> (2021).</w:t>
      </w:r>
    </w:p>
    <w:p w14:paraId="54A2FC21" w14:textId="12D59D2D" w:rsidR="00714FCF" w:rsidRPr="00714FCF" w:rsidRDefault="00714FCF" w:rsidP="000E5B42">
      <w:pPr>
        <w:pStyle w:val="EndNoteBibliography"/>
        <w:spacing w:line="480" w:lineRule="auto"/>
        <w:ind w:left="720" w:hanging="720"/>
        <w:rPr>
          <w:noProof/>
        </w:rPr>
      </w:pPr>
      <w:r w:rsidRPr="00714FCF">
        <w:rPr>
          <w:noProof/>
        </w:rPr>
        <w:t>8</w:t>
      </w:r>
      <w:r w:rsidRPr="00714FCF">
        <w:rPr>
          <w:noProof/>
        </w:rPr>
        <w:tab/>
        <w:t xml:space="preserve">Australian Government Department of Health. </w:t>
      </w:r>
      <w:r w:rsidRPr="00714FCF">
        <w:rPr>
          <w:i/>
          <w:noProof/>
        </w:rPr>
        <w:t>Coronavirus (COVID-19) case numbers and statistics.</w:t>
      </w:r>
      <w:r w:rsidRPr="00714FCF">
        <w:rPr>
          <w:noProof/>
        </w:rPr>
        <w:t>, https://www.health.gov.au/news/health-alerts/novel-coronavirus-2019-ncov-health-alert/coronavirus-covid-19-case-numbers-and-statistics#covid19-summary-statistics (2021).</w:t>
      </w:r>
    </w:p>
    <w:p w14:paraId="29DB2761" w14:textId="41758D5C" w:rsidR="00714FCF" w:rsidRPr="00714FCF" w:rsidRDefault="00714FCF" w:rsidP="000E5B42">
      <w:pPr>
        <w:pStyle w:val="EndNoteBibliography"/>
        <w:spacing w:line="480" w:lineRule="auto"/>
        <w:ind w:left="720" w:hanging="720"/>
        <w:rPr>
          <w:noProof/>
        </w:rPr>
      </w:pPr>
      <w:r w:rsidRPr="00714FCF">
        <w:rPr>
          <w:noProof/>
        </w:rPr>
        <w:t>9</w:t>
      </w:r>
      <w:r w:rsidRPr="00714FCF">
        <w:rPr>
          <w:noProof/>
        </w:rPr>
        <w:tab/>
        <w:t>Mayfield, H. J.</w:t>
      </w:r>
      <w:r w:rsidRPr="00714FCF">
        <w:rPr>
          <w:i/>
          <w:noProof/>
        </w:rPr>
        <w:t xml:space="preserve"> et al.</w:t>
      </w:r>
      <w:r w:rsidRPr="00714FCF">
        <w:rPr>
          <w:noProof/>
        </w:rPr>
        <w:t xml:space="preserve"> Designing an evidence-based Bayesian network for estimating the risk versus benefits of AstraZeneca COVID-19 vaccine. </w:t>
      </w:r>
      <w:r w:rsidR="000909D6">
        <w:rPr>
          <w:noProof/>
        </w:rPr>
        <w:t xml:space="preserve">Preprint at medRxiv </w:t>
      </w:r>
      <w:hyperlink r:id="rId13" w:history="1">
        <w:r w:rsidR="0065024F" w:rsidRPr="00632DAF">
          <w:rPr>
            <w:rStyle w:val="Hyperlink"/>
            <w:noProof/>
          </w:rPr>
          <w:t>https://www.medrxiv.org/content/10.1101/2021.10.28.21265588v1</w:t>
        </w:r>
      </w:hyperlink>
      <w:r w:rsidR="0065024F">
        <w:rPr>
          <w:noProof/>
        </w:rPr>
        <w:t xml:space="preserve"> </w:t>
      </w:r>
      <w:r w:rsidRPr="00714FCF">
        <w:rPr>
          <w:noProof/>
        </w:rPr>
        <w:t>(2021).</w:t>
      </w:r>
    </w:p>
    <w:p w14:paraId="5F0CAB63" w14:textId="5C443CA2" w:rsidR="00714FCF" w:rsidRPr="00714FCF" w:rsidRDefault="00714FCF" w:rsidP="000E5B42">
      <w:pPr>
        <w:pStyle w:val="EndNoteBibliography"/>
        <w:spacing w:line="480" w:lineRule="auto"/>
        <w:ind w:left="720" w:hanging="720"/>
        <w:rPr>
          <w:noProof/>
        </w:rPr>
      </w:pPr>
      <w:r w:rsidRPr="00714FCF">
        <w:rPr>
          <w:noProof/>
        </w:rPr>
        <w:t>10</w:t>
      </w:r>
      <w:r w:rsidRPr="00714FCF">
        <w:rPr>
          <w:noProof/>
        </w:rPr>
        <w:tab/>
        <w:t>Clift, A. K.</w:t>
      </w:r>
      <w:r w:rsidRPr="00714FCF">
        <w:rPr>
          <w:i/>
          <w:noProof/>
        </w:rPr>
        <w:t xml:space="preserve"> et al.</w:t>
      </w:r>
      <w:r w:rsidRPr="00714FCF">
        <w:rPr>
          <w:noProof/>
        </w:rPr>
        <w:t xml:space="preserve"> Living risk prediction algorithm (QCOVID) for risk of hospital admission and mortality from coronavirus 19 in adults: national derivation and validation cohort study. </w:t>
      </w:r>
      <w:r w:rsidRPr="00714FCF">
        <w:rPr>
          <w:i/>
          <w:noProof/>
        </w:rPr>
        <w:t>BMJ</w:t>
      </w:r>
      <w:r w:rsidRPr="00714FCF">
        <w:rPr>
          <w:noProof/>
        </w:rPr>
        <w:t xml:space="preserve"> </w:t>
      </w:r>
      <w:r w:rsidRPr="00714FCF">
        <w:rPr>
          <w:b/>
          <w:noProof/>
        </w:rPr>
        <w:t>371</w:t>
      </w:r>
      <w:r w:rsidR="0065024F">
        <w:rPr>
          <w:noProof/>
        </w:rPr>
        <w:t>, m3731</w:t>
      </w:r>
      <w:r w:rsidRPr="00714FCF">
        <w:rPr>
          <w:noProof/>
        </w:rPr>
        <w:t xml:space="preserve"> (2020).</w:t>
      </w:r>
    </w:p>
    <w:p w14:paraId="1E4EBE76" w14:textId="0401A4D9" w:rsidR="005220A0" w:rsidRDefault="005220A0" w:rsidP="000E5B42">
      <w:pPr>
        <w:spacing w:line="480" w:lineRule="auto"/>
      </w:pPr>
    </w:p>
    <w:p w14:paraId="02605089" w14:textId="77777777" w:rsidR="007E3953" w:rsidRDefault="005220A0" w:rsidP="000E5B42">
      <w:pPr>
        <w:spacing w:line="480" w:lineRule="auto"/>
      </w:pPr>
      <w:r w:rsidRPr="000909D6">
        <w:rPr>
          <w:b/>
          <w:bCs/>
        </w:rPr>
        <w:t>Acknowledgements</w:t>
      </w:r>
      <w:r>
        <w:rPr>
          <w:b/>
          <w:bCs/>
        </w:rPr>
        <w:br/>
      </w:r>
      <w:r w:rsidRPr="000909D6">
        <w:t>C</w:t>
      </w:r>
      <w:r w:rsidR="00500060">
        <w:t xml:space="preserve">. </w:t>
      </w:r>
      <w:r w:rsidRPr="000909D6">
        <w:t>L</w:t>
      </w:r>
      <w:r w:rsidR="00500060">
        <w:t xml:space="preserve">. </w:t>
      </w:r>
      <w:r w:rsidRPr="000909D6">
        <w:t>L</w:t>
      </w:r>
      <w:r w:rsidR="00500060">
        <w:t>.</w:t>
      </w:r>
      <w:r>
        <w:t xml:space="preserve"> was supported by an Australian National Health and Medical Research Council Fellowship (APP1193826).</w:t>
      </w:r>
    </w:p>
    <w:p w14:paraId="1C27BC2E" w14:textId="77777777" w:rsidR="007E3953" w:rsidRDefault="007E3953" w:rsidP="000E5B42">
      <w:pPr>
        <w:spacing w:line="480" w:lineRule="auto"/>
      </w:pPr>
    </w:p>
    <w:p w14:paraId="1338E3A4" w14:textId="77777777" w:rsidR="007E3953" w:rsidRPr="000D07C7" w:rsidRDefault="007E3953" w:rsidP="000E5B42">
      <w:pPr>
        <w:spacing w:line="480" w:lineRule="auto"/>
        <w:rPr>
          <w:b/>
        </w:rPr>
      </w:pPr>
      <w:r w:rsidRPr="000D07C7">
        <w:rPr>
          <w:b/>
        </w:rPr>
        <w:t>Competing interests</w:t>
      </w:r>
    </w:p>
    <w:p w14:paraId="7BF0018F" w14:textId="2F702471" w:rsidR="005220A0" w:rsidRDefault="007E3953" w:rsidP="000E5B42">
      <w:pPr>
        <w:spacing w:line="480" w:lineRule="auto"/>
      </w:pPr>
      <w:r>
        <w:t>The authors declare no competing interests.</w:t>
      </w:r>
      <w:r w:rsidR="005220A0">
        <w:br/>
      </w:r>
    </w:p>
    <w:p w14:paraId="6D77F9AF" w14:textId="111DADF5" w:rsidR="008B6E69" w:rsidRDefault="005220A0" w:rsidP="000E5B42">
      <w:pPr>
        <w:spacing w:line="480" w:lineRule="auto"/>
      </w:pPr>
      <w:r w:rsidRPr="005220A0">
        <w:rPr>
          <w:b/>
          <w:lang w:val="en-US"/>
        </w:rPr>
        <w:t>Figure 1</w:t>
      </w:r>
      <w:r>
        <w:rPr>
          <w:lang w:val="en-US"/>
        </w:rPr>
        <w:t xml:space="preserve"> |</w:t>
      </w:r>
      <w:r w:rsidRPr="00DF39CA">
        <w:rPr>
          <w:lang w:val="en-US"/>
        </w:rPr>
        <w:t xml:space="preserve"> Bayesian network </w:t>
      </w:r>
      <w:r w:rsidR="00262199">
        <w:rPr>
          <w:lang w:val="en-US"/>
        </w:rPr>
        <w:t>to</w:t>
      </w:r>
      <w:r w:rsidR="00262199" w:rsidRPr="00DF39CA">
        <w:rPr>
          <w:lang w:val="en-US"/>
        </w:rPr>
        <w:t xml:space="preserve"> </w:t>
      </w:r>
      <w:r w:rsidRPr="00DF39CA">
        <w:rPr>
          <w:lang w:val="en-US"/>
        </w:rPr>
        <w:t>assess risks versus benefits of COVID-19 vaccines under different scenarios. Bayesian networks consist of nodes (</w:t>
      </w:r>
      <w:r w:rsidR="00262199" w:rsidRPr="00DF39CA">
        <w:rPr>
          <w:lang w:val="en-US"/>
        </w:rPr>
        <w:t>b</w:t>
      </w:r>
      <w:r w:rsidR="00262199">
        <w:rPr>
          <w:lang w:val="en-US"/>
        </w:rPr>
        <w:t>oxes</w:t>
      </w:r>
      <w:r w:rsidRPr="00DF39CA">
        <w:rPr>
          <w:lang w:val="en-US"/>
        </w:rPr>
        <w:t xml:space="preserve">) and links (arrows) that define probabilistic </w:t>
      </w:r>
      <w:r w:rsidRPr="00DF39CA">
        <w:rPr>
          <w:lang w:val="en-US"/>
        </w:rPr>
        <w:lastRenderedPageBreak/>
        <w:t>relationships between parent and child nodes. For example, ‘vaccine effectiveness against death’ has ‘SARS-CoV-2 variant’ as a parent node, and ‘die from COVID-19’ as a child node. Conditional probability tables (not shown) define quantitative relationships between parent and child nodes. A priori probabilities are assigned to parentless nodes (</w:t>
      </w:r>
      <w:r w:rsidR="00262199">
        <w:rPr>
          <w:lang w:val="en-US"/>
        </w:rPr>
        <w:t>for example,</w:t>
      </w:r>
      <w:r w:rsidRPr="00DF39CA">
        <w:rPr>
          <w:lang w:val="en-US"/>
        </w:rPr>
        <w:t xml:space="preserve"> ‘sex’).</w:t>
      </w:r>
      <w:r w:rsidR="00262199">
        <w:rPr>
          <w:lang w:val="en-US"/>
        </w:rPr>
        <w:t xml:space="preserve"> </w:t>
      </w:r>
      <w:r w:rsidR="00262199" w:rsidRPr="00262199">
        <w:rPr>
          <w:lang w:val="en-US"/>
        </w:rPr>
        <w:t xml:space="preserve">The Bayesian network can be used for </w:t>
      </w:r>
      <w:r w:rsidR="00D05DD5" w:rsidRPr="00262199">
        <w:rPr>
          <w:lang w:val="en-US"/>
        </w:rPr>
        <w:t xml:space="preserve">risk-benefit analysis </w:t>
      </w:r>
      <w:r w:rsidR="00D05DD5">
        <w:rPr>
          <w:lang w:val="en-US"/>
        </w:rPr>
        <w:t>under different</w:t>
      </w:r>
      <w:r w:rsidR="00D05DD5" w:rsidRPr="00262199">
        <w:rPr>
          <w:lang w:val="en-US"/>
        </w:rPr>
        <w:t xml:space="preserve"> </w:t>
      </w:r>
      <w:r w:rsidR="00262199" w:rsidRPr="00262199">
        <w:rPr>
          <w:lang w:val="en-US"/>
        </w:rPr>
        <w:t>scenario</w:t>
      </w:r>
      <w:r w:rsidR="00D05DD5">
        <w:rPr>
          <w:lang w:val="en-US"/>
        </w:rPr>
        <w:t xml:space="preserve">s, for example, based on different combinations of </w:t>
      </w:r>
      <w:r w:rsidR="00150BA6">
        <w:rPr>
          <w:lang w:val="en-US"/>
        </w:rPr>
        <w:t xml:space="preserve">vaccine doses, </w:t>
      </w:r>
      <w:r w:rsidR="00D05DD5">
        <w:rPr>
          <w:lang w:val="en-US"/>
        </w:rPr>
        <w:t xml:space="preserve">age, sex, </w:t>
      </w:r>
      <w:r w:rsidR="00150BA6">
        <w:rPr>
          <w:lang w:val="en-US"/>
        </w:rPr>
        <w:t xml:space="preserve">SARS-CoV-2 variant, </w:t>
      </w:r>
      <w:r w:rsidR="00D05DD5">
        <w:rPr>
          <w:lang w:val="en-US"/>
        </w:rPr>
        <w:t>and level of community transmission</w:t>
      </w:r>
      <w:r w:rsidR="00262199">
        <w:rPr>
          <w:lang w:val="en-US"/>
        </w:rPr>
        <w:t xml:space="preserve">. </w:t>
      </w:r>
      <w:bookmarkStart w:id="0" w:name="_GoBack"/>
      <w:bookmarkEnd w:id="0"/>
    </w:p>
    <w:sectPr w:rsidR="008B6E69" w:rsidSect="008D62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B0153" w16cex:dateUtc="2021-11-25T20:46:00Z"/>
  <w16cex:commentExtensible w16cex:durableId="254B015C" w16cex:dateUtc="2021-11-25T20:46:00Z"/>
  <w16cex:commentExtensible w16cex:durableId="254B01A4" w16cex:dateUtc="2021-11-25T20:48:00Z"/>
  <w16cex:commentExtensible w16cex:durableId="254B0229" w16cex:dateUtc="2021-11-25T20:50:00Z"/>
  <w16cex:commentExtensible w16cex:durableId="254B0238" w16cex:dateUtc="2021-11-25T20:50:00Z"/>
  <w16cex:commentExtensible w16cex:durableId="254B037B" w16cex:dateUtc="2021-11-25T20:55:00Z"/>
  <w16cex:commentExtensible w16cex:durableId="254B113B" w16cex:dateUtc="2021-11-25T21:54:00Z"/>
  <w16cex:commentExtensible w16cex:durableId="254B03F3" w16cex:dateUtc="2021-11-25T20:57:00Z"/>
  <w16cex:commentExtensible w16cex:durableId="254B1308" w16cex:dateUtc="2021-11-25T22:02:00Z"/>
  <w16cex:commentExtensible w16cex:durableId="254B131E" w16cex:dateUtc="2021-11-25T22:02:00Z"/>
  <w16cex:commentExtensible w16cex:durableId="254B1417" w16cex:dateUtc="2021-11-25T22:06:00Z"/>
  <w16cex:commentExtensible w16cex:durableId="254B1433" w16cex:dateUtc="2021-11-25T22:07:00Z"/>
  <w16cex:commentExtensible w16cex:durableId="254B14D0" w16cex:dateUtc="2021-11-25T2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7A3D9D" w16cid:durableId="254B0153"/>
  <w16cid:commentId w16cid:paraId="3B638C8D" w16cid:durableId="254B015C"/>
  <w16cid:commentId w16cid:paraId="71522E90" w16cid:durableId="254B01A4"/>
  <w16cid:commentId w16cid:paraId="21B0FD29" w16cid:durableId="254B0229"/>
  <w16cid:commentId w16cid:paraId="2C9D1591" w16cid:durableId="254B0238"/>
  <w16cid:commentId w16cid:paraId="0B90AE5A" w16cid:durableId="254B037B"/>
  <w16cid:commentId w16cid:paraId="2FB53CAE" w16cid:durableId="254B113B"/>
  <w16cid:commentId w16cid:paraId="36CDFE73" w16cid:durableId="254B03F3"/>
  <w16cid:commentId w16cid:paraId="77EE2E57" w16cid:durableId="254B1308"/>
  <w16cid:commentId w16cid:paraId="5E18ECD7" w16cid:durableId="254B131E"/>
  <w16cid:commentId w16cid:paraId="76544A19" w16cid:durableId="254B1417"/>
  <w16cid:commentId w16cid:paraId="0E5C401F" w16cid:durableId="254B1433"/>
  <w16cid:commentId w16cid:paraId="0A0254A0" w16cid:durableId="254B14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A7126"/>
    <w:multiLevelType w:val="hybridMultilevel"/>
    <w:tmpl w:val="2D600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Review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swfsdrfntfxrxezpvopaptztdfzttd9x9xz&quot;&gt;COVID Neurolog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/record-ids&gt;&lt;/item&gt;&lt;/Libraries&gt;"/>
  </w:docVars>
  <w:rsids>
    <w:rsidRoot w:val="000802E8"/>
    <w:rsid w:val="00013617"/>
    <w:rsid w:val="00014F0A"/>
    <w:rsid w:val="00032491"/>
    <w:rsid w:val="000352BB"/>
    <w:rsid w:val="00037623"/>
    <w:rsid w:val="00051C87"/>
    <w:rsid w:val="000533FD"/>
    <w:rsid w:val="000643D1"/>
    <w:rsid w:val="000671E6"/>
    <w:rsid w:val="000751DF"/>
    <w:rsid w:val="000802E8"/>
    <w:rsid w:val="000909D6"/>
    <w:rsid w:val="00095EF9"/>
    <w:rsid w:val="000A0AEB"/>
    <w:rsid w:val="000A521C"/>
    <w:rsid w:val="000B6376"/>
    <w:rsid w:val="000C30EA"/>
    <w:rsid w:val="000C5979"/>
    <w:rsid w:val="000D07C7"/>
    <w:rsid w:val="000D142C"/>
    <w:rsid w:val="000D4873"/>
    <w:rsid w:val="000D54D4"/>
    <w:rsid w:val="000E5B42"/>
    <w:rsid w:val="00107A0A"/>
    <w:rsid w:val="00116CF1"/>
    <w:rsid w:val="00117CCC"/>
    <w:rsid w:val="0012325E"/>
    <w:rsid w:val="00131433"/>
    <w:rsid w:val="00150BA6"/>
    <w:rsid w:val="00150CCE"/>
    <w:rsid w:val="001608D7"/>
    <w:rsid w:val="00165EE6"/>
    <w:rsid w:val="001773E2"/>
    <w:rsid w:val="00185769"/>
    <w:rsid w:val="001A73C7"/>
    <w:rsid w:val="001A73D3"/>
    <w:rsid w:val="001B35EA"/>
    <w:rsid w:val="001C53F9"/>
    <w:rsid w:val="001E745A"/>
    <w:rsid w:val="001F6141"/>
    <w:rsid w:val="001F6640"/>
    <w:rsid w:val="0020134A"/>
    <w:rsid w:val="00226F51"/>
    <w:rsid w:val="002503D8"/>
    <w:rsid w:val="0025381A"/>
    <w:rsid w:val="00262199"/>
    <w:rsid w:val="00262248"/>
    <w:rsid w:val="002762E6"/>
    <w:rsid w:val="00276A04"/>
    <w:rsid w:val="00291F78"/>
    <w:rsid w:val="002A0D1D"/>
    <w:rsid w:val="002B0E0F"/>
    <w:rsid w:val="002C4E23"/>
    <w:rsid w:val="002C6848"/>
    <w:rsid w:val="002E1BDD"/>
    <w:rsid w:val="002E4D03"/>
    <w:rsid w:val="002F60AD"/>
    <w:rsid w:val="00365D0C"/>
    <w:rsid w:val="00367879"/>
    <w:rsid w:val="0037488E"/>
    <w:rsid w:val="0038733A"/>
    <w:rsid w:val="00387466"/>
    <w:rsid w:val="00394229"/>
    <w:rsid w:val="003A0D1A"/>
    <w:rsid w:val="003A41F8"/>
    <w:rsid w:val="003C1E70"/>
    <w:rsid w:val="003E126D"/>
    <w:rsid w:val="003E7865"/>
    <w:rsid w:val="003E7FE7"/>
    <w:rsid w:val="00401D3F"/>
    <w:rsid w:val="00404732"/>
    <w:rsid w:val="00413AE1"/>
    <w:rsid w:val="00420B54"/>
    <w:rsid w:val="00426881"/>
    <w:rsid w:val="004325D2"/>
    <w:rsid w:val="00465ABD"/>
    <w:rsid w:val="004719DA"/>
    <w:rsid w:val="00484C1D"/>
    <w:rsid w:val="00485CFA"/>
    <w:rsid w:val="00497049"/>
    <w:rsid w:val="004B3DEC"/>
    <w:rsid w:val="004D2090"/>
    <w:rsid w:val="004D460F"/>
    <w:rsid w:val="004F03E4"/>
    <w:rsid w:val="00500060"/>
    <w:rsid w:val="00507B83"/>
    <w:rsid w:val="005220A0"/>
    <w:rsid w:val="005314E6"/>
    <w:rsid w:val="00540A61"/>
    <w:rsid w:val="00542267"/>
    <w:rsid w:val="00542D17"/>
    <w:rsid w:val="0054617B"/>
    <w:rsid w:val="00546E5B"/>
    <w:rsid w:val="005529C4"/>
    <w:rsid w:val="00571656"/>
    <w:rsid w:val="005778E3"/>
    <w:rsid w:val="0058476F"/>
    <w:rsid w:val="005873F3"/>
    <w:rsid w:val="00596B4F"/>
    <w:rsid w:val="005A71FC"/>
    <w:rsid w:val="005B024C"/>
    <w:rsid w:val="005C2688"/>
    <w:rsid w:val="005C4ED0"/>
    <w:rsid w:val="005C6BD8"/>
    <w:rsid w:val="005D6997"/>
    <w:rsid w:val="005E284C"/>
    <w:rsid w:val="005F208A"/>
    <w:rsid w:val="00604FBD"/>
    <w:rsid w:val="006074E4"/>
    <w:rsid w:val="00643AB1"/>
    <w:rsid w:val="0065024F"/>
    <w:rsid w:val="00654F13"/>
    <w:rsid w:val="0065536F"/>
    <w:rsid w:val="00655CA1"/>
    <w:rsid w:val="00664FBA"/>
    <w:rsid w:val="00677FAE"/>
    <w:rsid w:val="006A504F"/>
    <w:rsid w:val="006B58A6"/>
    <w:rsid w:val="006B7CE1"/>
    <w:rsid w:val="006D2CEF"/>
    <w:rsid w:val="006F3EC0"/>
    <w:rsid w:val="006F69BA"/>
    <w:rsid w:val="00713663"/>
    <w:rsid w:val="00714FCF"/>
    <w:rsid w:val="007215EE"/>
    <w:rsid w:val="00724CA6"/>
    <w:rsid w:val="00734D7C"/>
    <w:rsid w:val="007366CC"/>
    <w:rsid w:val="00740205"/>
    <w:rsid w:val="007416B0"/>
    <w:rsid w:val="00746C6E"/>
    <w:rsid w:val="0075120A"/>
    <w:rsid w:val="00754010"/>
    <w:rsid w:val="00757EBA"/>
    <w:rsid w:val="00762C59"/>
    <w:rsid w:val="00766718"/>
    <w:rsid w:val="0078588D"/>
    <w:rsid w:val="00790112"/>
    <w:rsid w:val="0079613A"/>
    <w:rsid w:val="007B4BED"/>
    <w:rsid w:val="007C6C35"/>
    <w:rsid w:val="007E3953"/>
    <w:rsid w:val="007F19AA"/>
    <w:rsid w:val="007F1BB1"/>
    <w:rsid w:val="007F5650"/>
    <w:rsid w:val="0080612F"/>
    <w:rsid w:val="00812B69"/>
    <w:rsid w:val="00816DA3"/>
    <w:rsid w:val="00827FF0"/>
    <w:rsid w:val="00850588"/>
    <w:rsid w:val="008545D1"/>
    <w:rsid w:val="00855D76"/>
    <w:rsid w:val="00863A24"/>
    <w:rsid w:val="00866743"/>
    <w:rsid w:val="0089633F"/>
    <w:rsid w:val="008B6E69"/>
    <w:rsid w:val="008B7FBD"/>
    <w:rsid w:val="008D4562"/>
    <w:rsid w:val="008D48E7"/>
    <w:rsid w:val="008D62AA"/>
    <w:rsid w:val="008D685F"/>
    <w:rsid w:val="008E360B"/>
    <w:rsid w:val="008E4DA3"/>
    <w:rsid w:val="008F245E"/>
    <w:rsid w:val="009118BD"/>
    <w:rsid w:val="00931003"/>
    <w:rsid w:val="00934595"/>
    <w:rsid w:val="00935125"/>
    <w:rsid w:val="00942E6E"/>
    <w:rsid w:val="009468CF"/>
    <w:rsid w:val="0096582A"/>
    <w:rsid w:val="00967F74"/>
    <w:rsid w:val="0097471B"/>
    <w:rsid w:val="00975D07"/>
    <w:rsid w:val="00981EFD"/>
    <w:rsid w:val="009A6AB4"/>
    <w:rsid w:val="009E2FD9"/>
    <w:rsid w:val="00A077D5"/>
    <w:rsid w:val="00A10FD0"/>
    <w:rsid w:val="00A30ACC"/>
    <w:rsid w:val="00A3403E"/>
    <w:rsid w:val="00A407BC"/>
    <w:rsid w:val="00A62675"/>
    <w:rsid w:val="00A748FB"/>
    <w:rsid w:val="00A84E48"/>
    <w:rsid w:val="00A917E5"/>
    <w:rsid w:val="00AD3864"/>
    <w:rsid w:val="00AD4891"/>
    <w:rsid w:val="00AD77BE"/>
    <w:rsid w:val="00AE560B"/>
    <w:rsid w:val="00B0141E"/>
    <w:rsid w:val="00B22885"/>
    <w:rsid w:val="00B22C65"/>
    <w:rsid w:val="00B3366B"/>
    <w:rsid w:val="00B43C8C"/>
    <w:rsid w:val="00B53E05"/>
    <w:rsid w:val="00B83538"/>
    <w:rsid w:val="00B85130"/>
    <w:rsid w:val="00B868F6"/>
    <w:rsid w:val="00B96BA1"/>
    <w:rsid w:val="00B96D69"/>
    <w:rsid w:val="00BC2A0D"/>
    <w:rsid w:val="00BC3341"/>
    <w:rsid w:val="00BD0C01"/>
    <w:rsid w:val="00C02AD6"/>
    <w:rsid w:val="00C05F77"/>
    <w:rsid w:val="00C1344C"/>
    <w:rsid w:val="00C2533E"/>
    <w:rsid w:val="00C43D1A"/>
    <w:rsid w:val="00C4443D"/>
    <w:rsid w:val="00C6040F"/>
    <w:rsid w:val="00C61B8B"/>
    <w:rsid w:val="00C678D8"/>
    <w:rsid w:val="00C75BBB"/>
    <w:rsid w:val="00C7655E"/>
    <w:rsid w:val="00C77227"/>
    <w:rsid w:val="00C77489"/>
    <w:rsid w:val="00C87FE6"/>
    <w:rsid w:val="00CA0FD1"/>
    <w:rsid w:val="00CB1EFD"/>
    <w:rsid w:val="00CB4A56"/>
    <w:rsid w:val="00CB6447"/>
    <w:rsid w:val="00CC2C96"/>
    <w:rsid w:val="00CD09DF"/>
    <w:rsid w:val="00CD50CF"/>
    <w:rsid w:val="00CE6222"/>
    <w:rsid w:val="00D05DB6"/>
    <w:rsid w:val="00D05DD5"/>
    <w:rsid w:val="00D106D3"/>
    <w:rsid w:val="00D16A81"/>
    <w:rsid w:val="00D36D75"/>
    <w:rsid w:val="00D37229"/>
    <w:rsid w:val="00D37753"/>
    <w:rsid w:val="00D51061"/>
    <w:rsid w:val="00D520AF"/>
    <w:rsid w:val="00D5228D"/>
    <w:rsid w:val="00D524D6"/>
    <w:rsid w:val="00D57FAB"/>
    <w:rsid w:val="00D610FE"/>
    <w:rsid w:val="00D76925"/>
    <w:rsid w:val="00D83026"/>
    <w:rsid w:val="00D8776C"/>
    <w:rsid w:val="00D92210"/>
    <w:rsid w:val="00DB2878"/>
    <w:rsid w:val="00DB4823"/>
    <w:rsid w:val="00DF1245"/>
    <w:rsid w:val="00DF39CA"/>
    <w:rsid w:val="00E021F8"/>
    <w:rsid w:val="00E15548"/>
    <w:rsid w:val="00E37167"/>
    <w:rsid w:val="00E436D3"/>
    <w:rsid w:val="00E5636A"/>
    <w:rsid w:val="00E6229F"/>
    <w:rsid w:val="00E70DFE"/>
    <w:rsid w:val="00E74ACF"/>
    <w:rsid w:val="00E93711"/>
    <w:rsid w:val="00EC171B"/>
    <w:rsid w:val="00ED14A6"/>
    <w:rsid w:val="00ED4524"/>
    <w:rsid w:val="00EF1F94"/>
    <w:rsid w:val="00F02202"/>
    <w:rsid w:val="00F035A6"/>
    <w:rsid w:val="00F04059"/>
    <w:rsid w:val="00F05011"/>
    <w:rsid w:val="00F27097"/>
    <w:rsid w:val="00F34C53"/>
    <w:rsid w:val="00F56292"/>
    <w:rsid w:val="00F639DC"/>
    <w:rsid w:val="00F67FD5"/>
    <w:rsid w:val="00F8169B"/>
    <w:rsid w:val="00F8182B"/>
    <w:rsid w:val="00F876D8"/>
    <w:rsid w:val="00FA4EB2"/>
    <w:rsid w:val="00FB4FFB"/>
    <w:rsid w:val="00FB5661"/>
    <w:rsid w:val="00FD3474"/>
    <w:rsid w:val="00FE1FBC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12A5"/>
  <w15:chartTrackingRefBased/>
  <w15:docId w15:val="{BDB6855F-FBDC-2640-A09F-389A0511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2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E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E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5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D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D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D76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5D76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43D1A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43D1A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43D1A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43D1A"/>
    <w:rPr>
      <w:rFonts w:ascii="Calibri" w:hAnsi="Calibri" w:cs="Calibr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3D1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074E4"/>
  </w:style>
  <w:style w:type="paragraph" w:styleId="BalloonText">
    <w:name w:val="Balloon Text"/>
    <w:basedOn w:val="Normal"/>
    <w:link w:val="BalloonTextChar"/>
    <w:uiPriority w:val="99"/>
    <w:semiHidden/>
    <w:unhideWhenUsed/>
    <w:rsid w:val="004D46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0F"/>
    <w:rPr>
      <w:rFonts w:ascii="Segoe UI" w:hAnsi="Segoe UI" w:cs="Segoe UI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D48E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4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39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22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drxiv.org/content/10.1101/2021.10.28.21265588v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16/j.vaccine.2021.10.079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rical.immunisationcoalition.org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doi.org/10.1038/s41591-021-01556-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1038/s41591-021-01556-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71BA90E5EB240B142CBEB491F2FE4" ma:contentTypeVersion="16" ma:contentTypeDescription="Create a new document." ma:contentTypeScope="" ma:versionID="1855ff436632f949b25d898e2ce2dbdc">
  <xsd:schema xmlns:xsd="http://www.w3.org/2001/XMLSchema" xmlns:xs="http://www.w3.org/2001/XMLSchema" xmlns:p="http://schemas.microsoft.com/office/2006/metadata/properties" xmlns:ns1="http://schemas.microsoft.com/sharepoint/v3" xmlns:ns3="fdb8f85e-5e4e-4788-a7de-7033592aa2e9" xmlns:ns4="cc360cf2-c728-485d-8f63-6117eedb1bdb" targetNamespace="http://schemas.microsoft.com/office/2006/metadata/properties" ma:root="true" ma:fieldsID="be6fd864e225d62a8e14712310dcb217" ns1:_="" ns3:_="" ns4:_="">
    <xsd:import namespace="http://schemas.microsoft.com/sharepoint/v3"/>
    <xsd:import namespace="fdb8f85e-5e4e-4788-a7de-7033592aa2e9"/>
    <xsd:import namespace="cc360cf2-c728-485d-8f63-6117eedb1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f85e-5e4e-4788-a7de-7033592aa2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0cf2-c728-485d-8f63-6117eedb1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564C0-4E29-4659-A76A-60CC6CE6B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b8f85e-5e4e-4788-a7de-7033592aa2e9"/>
    <ds:schemaRef ds:uri="cc360cf2-c728-485d-8f63-6117eedb1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CCA84-DB3C-423A-A88B-BF88661D0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8D7F2-055F-4A91-AE00-726EA0D0BB36}">
  <ds:schemaRefs>
    <ds:schemaRef ds:uri="http://schemas.openxmlformats.org/package/2006/metadata/core-properties"/>
    <ds:schemaRef ds:uri="http://schemas.microsoft.com/sharepoint/v3"/>
    <ds:schemaRef ds:uri="http://purl.org/dc/terms/"/>
    <ds:schemaRef ds:uri="fdb8f85e-5e4e-4788-a7de-7033592aa2e9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cc360cf2-c728-485d-8f63-6117eedb1bd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06D355-54C4-4AF9-BB4F-9CFE67F5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1717</Words>
  <Characters>10528</Characters>
  <Application>Microsoft Office Word</Application>
  <DocSecurity>0</DocSecurity>
  <Lines>194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Lau</dc:creator>
  <cp:keywords/>
  <dc:description/>
  <cp:lastModifiedBy>Ian Galea</cp:lastModifiedBy>
  <cp:revision>3</cp:revision>
  <dcterms:created xsi:type="dcterms:W3CDTF">2022-03-26T18:38:00Z</dcterms:created>
  <dcterms:modified xsi:type="dcterms:W3CDTF">2022-03-26T18:39:00Z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0x010100EC171BA90E5EB240B142CBEB491F2FE4</vt:lpwstr>
  </property>
</Properties>
</file>