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3A7C7" w14:textId="1A3D1527" w:rsidR="000300FE" w:rsidRPr="00890AB6" w:rsidRDefault="00890AB6" w:rsidP="00890AB6">
      <w:pPr>
        <w:pStyle w:val="Heading1"/>
        <w:spacing w:line="276" w:lineRule="auto"/>
        <w:ind w:left="567" w:right="1133" w:firstLine="0"/>
        <w:jc w:val="right"/>
        <w:rPr>
          <w:rFonts w:asciiTheme="minorHAnsi" w:hAnsiTheme="minorHAnsi" w:cstheme="minorHAnsi"/>
          <w:bCs/>
          <w:i/>
          <w:iCs/>
          <w:color w:val="000000" w:themeColor="text1"/>
          <w:sz w:val="20"/>
          <w:szCs w:val="20"/>
          <w:lang w:val="en-GB"/>
        </w:rPr>
      </w:pPr>
      <w:r w:rsidRPr="00890AB6">
        <w:rPr>
          <w:rFonts w:asciiTheme="minorHAnsi" w:hAnsiTheme="minorHAnsi" w:cstheme="minorHAnsi"/>
          <w:bCs/>
          <w:i/>
          <w:iCs/>
          <w:color w:val="000000" w:themeColor="text1"/>
          <w:sz w:val="20"/>
          <w:szCs w:val="20"/>
          <w:lang w:val="en-GB"/>
        </w:rPr>
        <w:t>Qatar FRAX v</w:t>
      </w:r>
      <w:r w:rsidR="006A43B4">
        <w:rPr>
          <w:rFonts w:asciiTheme="minorHAnsi" w:hAnsiTheme="minorHAnsi" w:cstheme="minorHAnsi"/>
          <w:bCs/>
          <w:i/>
          <w:iCs/>
          <w:color w:val="000000" w:themeColor="text1"/>
          <w:sz w:val="20"/>
          <w:szCs w:val="20"/>
          <w:lang w:val="en-GB"/>
        </w:rPr>
        <w:t>5</w:t>
      </w:r>
    </w:p>
    <w:p w14:paraId="3365D20E" w14:textId="3E04AF3E" w:rsidR="00D9601A" w:rsidRDefault="00D9601A" w:rsidP="00C11242">
      <w:pPr>
        <w:pStyle w:val="Heading1"/>
        <w:spacing w:line="276" w:lineRule="auto"/>
        <w:ind w:left="567" w:right="1133" w:firstLine="0"/>
        <w:rPr>
          <w:rFonts w:asciiTheme="minorHAnsi" w:hAnsiTheme="minorHAnsi" w:cstheme="minorHAnsi"/>
          <w:b/>
          <w:color w:val="000000" w:themeColor="text1"/>
          <w:sz w:val="28"/>
          <w:szCs w:val="28"/>
          <w:lang w:val="en-GB"/>
        </w:rPr>
      </w:pPr>
      <w:bookmarkStart w:id="0" w:name="_GoBack"/>
      <w:r w:rsidRPr="0030661D">
        <w:rPr>
          <w:rFonts w:asciiTheme="minorHAnsi" w:hAnsiTheme="minorHAnsi" w:cstheme="minorHAnsi"/>
          <w:b/>
          <w:color w:val="000000" w:themeColor="text1"/>
          <w:sz w:val="28"/>
          <w:szCs w:val="28"/>
          <w:lang w:val="en-GB"/>
        </w:rPr>
        <w:t xml:space="preserve">Epidemiology of </w:t>
      </w:r>
      <w:r w:rsidR="001727D3">
        <w:rPr>
          <w:rFonts w:asciiTheme="minorHAnsi" w:hAnsiTheme="minorHAnsi" w:cstheme="minorHAnsi"/>
          <w:b/>
          <w:color w:val="000000" w:themeColor="text1"/>
          <w:sz w:val="28"/>
          <w:szCs w:val="28"/>
          <w:lang w:val="en-US"/>
        </w:rPr>
        <w:t>hip</w:t>
      </w:r>
      <w:r w:rsidR="001727D3" w:rsidRPr="0030661D">
        <w:rPr>
          <w:rFonts w:asciiTheme="minorHAnsi" w:hAnsiTheme="minorHAnsi" w:cstheme="minorHAnsi"/>
          <w:b/>
          <w:color w:val="000000" w:themeColor="text1"/>
          <w:sz w:val="28"/>
          <w:szCs w:val="28"/>
          <w:lang w:val="en-GB"/>
        </w:rPr>
        <w:t xml:space="preserve"> </w:t>
      </w:r>
      <w:r w:rsidR="00113E92" w:rsidRPr="0030661D">
        <w:rPr>
          <w:rFonts w:asciiTheme="minorHAnsi" w:hAnsiTheme="minorHAnsi" w:cstheme="minorHAnsi"/>
          <w:b/>
          <w:color w:val="000000" w:themeColor="text1"/>
          <w:sz w:val="28"/>
          <w:szCs w:val="28"/>
          <w:lang w:val="en-GB"/>
        </w:rPr>
        <w:t xml:space="preserve">fracture in </w:t>
      </w:r>
      <w:r w:rsidR="00F72C24">
        <w:rPr>
          <w:rFonts w:asciiTheme="minorHAnsi" w:hAnsiTheme="minorHAnsi" w:cstheme="minorHAnsi"/>
          <w:b/>
          <w:color w:val="000000" w:themeColor="text1"/>
          <w:sz w:val="28"/>
          <w:szCs w:val="28"/>
          <w:lang w:val="en-GB"/>
        </w:rPr>
        <w:t>Qatar</w:t>
      </w:r>
      <w:r w:rsidR="00113E92" w:rsidRPr="0030661D">
        <w:rPr>
          <w:rFonts w:asciiTheme="minorHAnsi" w:hAnsiTheme="minorHAnsi" w:cstheme="minorHAnsi"/>
          <w:b/>
          <w:color w:val="000000" w:themeColor="text1"/>
          <w:sz w:val="28"/>
          <w:szCs w:val="28"/>
          <w:lang w:val="en-GB"/>
        </w:rPr>
        <w:t xml:space="preserve"> and</w:t>
      </w:r>
      <w:r w:rsidR="002D79C4" w:rsidRPr="0030661D">
        <w:rPr>
          <w:rFonts w:asciiTheme="minorHAnsi" w:hAnsiTheme="minorHAnsi" w:cstheme="minorHAnsi"/>
          <w:b/>
          <w:color w:val="000000" w:themeColor="text1"/>
          <w:sz w:val="28"/>
          <w:szCs w:val="28"/>
          <w:lang w:val="en-GB"/>
        </w:rPr>
        <w:t xml:space="preserve"> </w:t>
      </w:r>
      <w:r w:rsidRPr="0030661D">
        <w:rPr>
          <w:rFonts w:asciiTheme="minorHAnsi" w:hAnsiTheme="minorHAnsi" w:cstheme="minorHAnsi"/>
          <w:b/>
          <w:color w:val="000000" w:themeColor="text1"/>
          <w:sz w:val="28"/>
          <w:szCs w:val="28"/>
          <w:lang w:val="en-GB"/>
        </w:rPr>
        <w:t xml:space="preserve">development of a </w:t>
      </w:r>
      <w:r w:rsidR="00FF6203" w:rsidRPr="0030661D">
        <w:rPr>
          <w:rFonts w:asciiTheme="minorHAnsi" w:hAnsiTheme="minorHAnsi" w:cstheme="minorHAnsi"/>
          <w:b/>
          <w:color w:val="000000" w:themeColor="text1"/>
          <w:sz w:val="28"/>
          <w:szCs w:val="28"/>
          <w:lang w:val="en-GB"/>
        </w:rPr>
        <w:t>country specific</w:t>
      </w:r>
      <w:r w:rsidRPr="0030661D">
        <w:rPr>
          <w:rFonts w:asciiTheme="minorHAnsi" w:hAnsiTheme="minorHAnsi" w:cstheme="minorHAnsi"/>
          <w:b/>
          <w:color w:val="000000" w:themeColor="text1"/>
          <w:sz w:val="28"/>
          <w:szCs w:val="28"/>
          <w:lang w:val="en-GB"/>
        </w:rPr>
        <w:t xml:space="preserve"> FRAX model</w:t>
      </w:r>
    </w:p>
    <w:bookmarkEnd w:id="0"/>
    <w:p w14:paraId="0796FABB" w14:textId="461D8F4E" w:rsidR="003D1E61" w:rsidRDefault="003D1E61" w:rsidP="003D1E61">
      <w:pPr>
        <w:rPr>
          <w:lang w:val="en-GB" w:eastAsia="en-US"/>
        </w:rPr>
      </w:pPr>
    </w:p>
    <w:p w14:paraId="0CBB6A61" w14:textId="77777777" w:rsidR="00172882" w:rsidRPr="00172882" w:rsidRDefault="00172882" w:rsidP="00172882">
      <w:pPr>
        <w:spacing w:line="360" w:lineRule="auto"/>
        <w:jc w:val="both"/>
        <w:rPr>
          <w:rFonts w:asciiTheme="minorHAnsi" w:hAnsiTheme="minorHAnsi" w:cstheme="minorHAnsi"/>
          <w:lang w:val="en-US"/>
        </w:rPr>
      </w:pPr>
    </w:p>
    <w:p w14:paraId="59C688B5" w14:textId="6C21137A" w:rsidR="00AC50A3" w:rsidRDefault="00AC50A3" w:rsidP="00AC50A3">
      <w:pPr>
        <w:spacing w:line="360" w:lineRule="auto"/>
        <w:ind w:left="567" w:right="708"/>
        <w:jc w:val="both"/>
        <w:rPr>
          <w:rFonts w:asciiTheme="minorHAnsi" w:hAnsiTheme="minorHAnsi" w:cstheme="minorHAnsi"/>
          <w:lang w:val="en-US"/>
        </w:rPr>
      </w:pPr>
      <w:r w:rsidRPr="00AC50A3">
        <w:rPr>
          <w:rFonts w:asciiTheme="minorHAnsi" w:hAnsiTheme="minorHAnsi" w:cstheme="minorHAnsi"/>
          <w:lang w:val="en-US"/>
        </w:rPr>
        <w:t>Nabeel Abdulla</w:t>
      </w:r>
      <w:r w:rsidR="007D36EB" w:rsidRPr="007D36EB">
        <w:rPr>
          <w:rFonts w:asciiTheme="minorHAnsi" w:hAnsiTheme="minorHAnsi" w:cstheme="minorHAnsi"/>
          <w:lang w:val="en-US"/>
        </w:rPr>
        <w:t xml:space="preserve"> · </w:t>
      </w:r>
      <w:r w:rsidRPr="00AC50A3">
        <w:rPr>
          <w:rFonts w:asciiTheme="minorHAnsi" w:hAnsiTheme="minorHAnsi" w:cstheme="minorHAnsi"/>
          <w:lang w:val="en-US"/>
        </w:rPr>
        <w:t>Omar Suhail Alsaed</w:t>
      </w:r>
      <w:r w:rsidR="007D36EB" w:rsidRPr="007D36EB">
        <w:rPr>
          <w:rFonts w:asciiTheme="minorHAnsi" w:hAnsiTheme="minorHAnsi" w:cstheme="minorHAnsi"/>
          <w:lang w:val="en-US"/>
        </w:rPr>
        <w:t xml:space="preserve"> · </w:t>
      </w:r>
      <w:r w:rsidRPr="00AC50A3">
        <w:rPr>
          <w:rFonts w:asciiTheme="minorHAnsi" w:hAnsiTheme="minorHAnsi" w:cstheme="minorHAnsi"/>
          <w:lang w:val="en-US"/>
        </w:rPr>
        <w:t>Abdo Lutf</w:t>
      </w:r>
      <w:r w:rsidR="007D36EB" w:rsidRPr="007D36EB">
        <w:rPr>
          <w:rFonts w:asciiTheme="minorHAnsi" w:hAnsiTheme="minorHAnsi" w:cstheme="minorHAnsi"/>
          <w:lang w:val="en-US"/>
        </w:rPr>
        <w:t xml:space="preserve"> · </w:t>
      </w:r>
      <w:r w:rsidRPr="00AC50A3">
        <w:rPr>
          <w:rFonts w:asciiTheme="minorHAnsi" w:hAnsiTheme="minorHAnsi" w:cstheme="minorHAnsi"/>
          <w:lang w:val="en-US"/>
        </w:rPr>
        <w:t>Fiaz Alam</w:t>
      </w:r>
      <w:r w:rsidR="007D36EB" w:rsidRPr="007D36EB">
        <w:rPr>
          <w:rFonts w:asciiTheme="minorHAnsi" w:hAnsiTheme="minorHAnsi" w:cstheme="minorHAnsi"/>
          <w:lang w:val="en-US"/>
        </w:rPr>
        <w:t xml:space="preserve"> · </w:t>
      </w:r>
      <w:r w:rsidRPr="00AC50A3">
        <w:rPr>
          <w:rFonts w:asciiTheme="minorHAnsi" w:hAnsiTheme="minorHAnsi" w:cstheme="minorHAnsi"/>
          <w:lang w:val="en-US"/>
        </w:rPr>
        <w:t>Ibrahim Abdulmomen</w:t>
      </w:r>
      <w:r w:rsidR="007D36EB" w:rsidRPr="00172882">
        <w:rPr>
          <w:rFonts w:asciiTheme="minorHAnsi" w:hAnsiTheme="minorHAnsi" w:cstheme="minorHAnsi"/>
          <w:lang w:val="en-US"/>
        </w:rPr>
        <w:t xml:space="preserve"> · </w:t>
      </w:r>
      <w:r w:rsidRPr="00AC50A3">
        <w:rPr>
          <w:rFonts w:asciiTheme="minorHAnsi" w:hAnsiTheme="minorHAnsi" w:cstheme="minorHAnsi"/>
          <w:lang w:val="en-US"/>
        </w:rPr>
        <w:t>Samar Al Emadi</w:t>
      </w:r>
      <w:r w:rsidR="007D36EB" w:rsidRPr="00172882">
        <w:rPr>
          <w:rFonts w:asciiTheme="minorHAnsi" w:hAnsiTheme="minorHAnsi" w:cstheme="minorHAnsi"/>
          <w:lang w:val="en-US"/>
        </w:rPr>
        <w:t xml:space="preserve"> </w:t>
      </w:r>
      <w:r w:rsidR="007D36EB" w:rsidRPr="007D36EB">
        <w:rPr>
          <w:rFonts w:asciiTheme="minorHAnsi" w:hAnsiTheme="minorHAnsi" w:cstheme="minorHAnsi"/>
          <w:lang w:val="en-US"/>
        </w:rPr>
        <w:t>· N</w:t>
      </w:r>
      <w:r w:rsidR="00D93203">
        <w:rPr>
          <w:rFonts w:asciiTheme="minorHAnsi" w:hAnsiTheme="minorHAnsi" w:cstheme="minorHAnsi"/>
          <w:lang w:val="en-US"/>
        </w:rPr>
        <w:t xml:space="preserve">icholas </w:t>
      </w:r>
      <w:r w:rsidR="007D36EB" w:rsidRPr="007D36EB">
        <w:rPr>
          <w:rFonts w:asciiTheme="minorHAnsi" w:hAnsiTheme="minorHAnsi" w:cstheme="minorHAnsi"/>
          <w:lang w:val="en-US"/>
        </w:rPr>
        <w:t xml:space="preserve">C Harvey · </w:t>
      </w:r>
      <w:r w:rsidR="00853D2E" w:rsidRPr="00853D2E">
        <w:rPr>
          <w:rFonts w:asciiTheme="minorHAnsi" w:hAnsiTheme="minorHAnsi" w:cstheme="minorHAnsi"/>
          <w:lang w:val="en-US"/>
        </w:rPr>
        <w:t>Enwu Liu · Liesbeth Vandenput ·</w:t>
      </w:r>
      <w:r w:rsidR="00853D2E">
        <w:rPr>
          <w:rFonts w:asciiTheme="minorHAnsi" w:hAnsiTheme="minorHAnsi" w:cstheme="minorHAnsi"/>
          <w:lang w:val="en-US"/>
        </w:rPr>
        <w:t xml:space="preserve"> </w:t>
      </w:r>
      <w:r w:rsidR="007D36EB" w:rsidRPr="007D36EB">
        <w:rPr>
          <w:rFonts w:asciiTheme="minorHAnsi" w:hAnsiTheme="minorHAnsi" w:cstheme="minorHAnsi"/>
          <w:lang w:val="en-US"/>
        </w:rPr>
        <w:t>M</w:t>
      </w:r>
      <w:r w:rsidR="00D93203">
        <w:rPr>
          <w:rFonts w:asciiTheme="minorHAnsi" w:hAnsiTheme="minorHAnsi" w:cstheme="minorHAnsi"/>
          <w:lang w:val="en-US"/>
        </w:rPr>
        <w:t>attias</w:t>
      </w:r>
      <w:r w:rsidR="007D36EB" w:rsidRPr="007D36EB">
        <w:rPr>
          <w:rFonts w:asciiTheme="minorHAnsi" w:hAnsiTheme="minorHAnsi" w:cstheme="minorHAnsi"/>
          <w:lang w:val="en-US"/>
        </w:rPr>
        <w:t xml:space="preserve"> Lorentzon </w:t>
      </w:r>
      <w:bookmarkStart w:id="1" w:name="_Hlk87528607"/>
      <w:r w:rsidR="007D36EB" w:rsidRPr="007D36EB">
        <w:rPr>
          <w:rFonts w:asciiTheme="minorHAnsi" w:hAnsiTheme="minorHAnsi" w:cstheme="minorHAnsi"/>
          <w:lang w:val="en-US"/>
        </w:rPr>
        <w:t>·</w:t>
      </w:r>
      <w:bookmarkEnd w:id="1"/>
      <w:r w:rsidR="007D36EB" w:rsidRPr="007D36EB">
        <w:rPr>
          <w:rFonts w:asciiTheme="minorHAnsi" w:hAnsiTheme="minorHAnsi" w:cstheme="minorHAnsi"/>
          <w:lang w:val="en-US"/>
        </w:rPr>
        <w:t xml:space="preserve"> E</w:t>
      </w:r>
      <w:r w:rsidR="007A2265">
        <w:rPr>
          <w:rFonts w:asciiTheme="minorHAnsi" w:hAnsiTheme="minorHAnsi" w:cstheme="minorHAnsi"/>
          <w:lang w:val="en-US"/>
        </w:rPr>
        <w:t>ugene</w:t>
      </w:r>
      <w:r w:rsidR="007D36EB" w:rsidRPr="007D36EB">
        <w:rPr>
          <w:rFonts w:asciiTheme="minorHAnsi" w:hAnsiTheme="minorHAnsi" w:cstheme="minorHAnsi"/>
          <w:lang w:val="en-US"/>
        </w:rPr>
        <w:t xml:space="preserve"> McCloskey · J</w:t>
      </w:r>
      <w:r w:rsidR="007A2265">
        <w:rPr>
          <w:rFonts w:asciiTheme="minorHAnsi" w:hAnsiTheme="minorHAnsi" w:cstheme="minorHAnsi"/>
          <w:lang w:val="en-US"/>
        </w:rPr>
        <w:t xml:space="preserve">ohn </w:t>
      </w:r>
      <w:r w:rsidR="007D36EB" w:rsidRPr="007D36EB">
        <w:rPr>
          <w:rFonts w:asciiTheme="minorHAnsi" w:hAnsiTheme="minorHAnsi" w:cstheme="minorHAnsi"/>
          <w:lang w:val="en-US"/>
        </w:rPr>
        <w:t>A Kanis</w:t>
      </w:r>
      <w:r w:rsidR="007054FF">
        <w:rPr>
          <w:rFonts w:asciiTheme="minorHAnsi" w:hAnsiTheme="minorHAnsi" w:cstheme="minorHAnsi"/>
          <w:lang w:val="en-US"/>
        </w:rPr>
        <w:t xml:space="preserve"> </w:t>
      </w:r>
      <w:r w:rsidR="007054FF" w:rsidRPr="007054FF">
        <w:rPr>
          <w:rFonts w:asciiTheme="minorHAnsi" w:hAnsiTheme="minorHAnsi" w:cstheme="minorHAnsi"/>
          <w:lang w:val="en-US"/>
        </w:rPr>
        <w:t>· H</w:t>
      </w:r>
      <w:r w:rsidR="007A2265">
        <w:rPr>
          <w:rFonts w:asciiTheme="minorHAnsi" w:hAnsiTheme="minorHAnsi" w:cstheme="minorHAnsi"/>
          <w:lang w:val="en-US"/>
        </w:rPr>
        <w:t>elena</w:t>
      </w:r>
      <w:r w:rsidR="007054FF" w:rsidRPr="007054FF">
        <w:rPr>
          <w:rFonts w:asciiTheme="minorHAnsi" w:hAnsiTheme="minorHAnsi" w:cstheme="minorHAnsi"/>
          <w:lang w:val="en-US"/>
        </w:rPr>
        <w:t xml:space="preserve"> Johansson</w:t>
      </w:r>
    </w:p>
    <w:p w14:paraId="0C272204" w14:textId="77777777" w:rsidR="00F26FE7" w:rsidRDefault="00F26FE7" w:rsidP="00AC50A3">
      <w:pPr>
        <w:spacing w:line="360" w:lineRule="auto"/>
        <w:ind w:left="567" w:right="708"/>
        <w:jc w:val="both"/>
        <w:rPr>
          <w:rFonts w:asciiTheme="minorHAnsi" w:hAnsiTheme="minorHAnsi" w:cstheme="minorHAnsi"/>
          <w:lang w:val="en-US"/>
        </w:rPr>
      </w:pPr>
    </w:p>
    <w:tbl>
      <w:tblPr>
        <w:tblStyle w:val="TableGrid5"/>
        <w:tblW w:w="0" w:type="auto"/>
        <w:tblLook w:val="04A0" w:firstRow="1" w:lastRow="0" w:firstColumn="1" w:lastColumn="0" w:noHBand="0" w:noVBand="1"/>
      </w:tblPr>
      <w:tblGrid>
        <w:gridCol w:w="650"/>
        <w:gridCol w:w="1472"/>
        <w:gridCol w:w="3827"/>
        <w:gridCol w:w="3278"/>
      </w:tblGrid>
      <w:tr w:rsidR="00D0121D" w:rsidRPr="00D0121D" w14:paraId="3AC01978" w14:textId="77777777" w:rsidTr="00124C96">
        <w:tc>
          <w:tcPr>
            <w:tcW w:w="650" w:type="dxa"/>
          </w:tcPr>
          <w:p w14:paraId="01C5D54C" w14:textId="3214ECD2" w:rsidR="00D0121D" w:rsidRPr="00D0121D" w:rsidRDefault="00D0121D" w:rsidP="00D0121D">
            <w:pPr>
              <w:suppressAutoHyphens/>
              <w:spacing w:after="200"/>
              <w:jc w:val="right"/>
              <w:rPr>
                <w:rFonts w:ascii="Calibri" w:eastAsia="Calibri" w:hAnsi="Calibri" w:cs="Calibri"/>
                <w:sz w:val="22"/>
                <w:szCs w:val="22"/>
                <w:lang w:eastAsia="en-US"/>
              </w:rPr>
            </w:pPr>
          </w:p>
        </w:tc>
        <w:tc>
          <w:tcPr>
            <w:tcW w:w="1472" w:type="dxa"/>
          </w:tcPr>
          <w:p w14:paraId="1D94711F" w14:textId="77777777" w:rsidR="00D0121D" w:rsidRPr="00D0121D" w:rsidRDefault="00D0121D" w:rsidP="00D0121D">
            <w:pPr>
              <w:suppressAutoHyphens/>
              <w:spacing w:after="200"/>
              <w:rPr>
                <w:rFonts w:ascii="Calibri" w:eastAsia="Calibri" w:hAnsi="Calibri" w:cs="Calibri"/>
                <w:b/>
                <w:bCs/>
                <w:sz w:val="22"/>
                <w:szCs w:val="22"/>
                <w:lang w:eastAsia="en-US"/>
              </w:rPr>
            </w:pPr>
            <w:r w:rsidRPr="00D0121D">
              <w:rPr>
                <w:rFonts w:ascii="Calibri" w:eastAsia="Calibri" w:hAnsi="Calibri" w:cs="Calibri"/>
                <w:b/>
                <w:bCs/>
                <w:sz w:val="22"/>
                <w:szCs w:val="22"/>
                <w:lang w:eastAsia="en-US"/>
              </w:rPr>
              <w:t>Author</w:t>
            </w:r>
          </w:p>
        </w:tc>
        <w:tc>
          <w:tcPr>
            <w:tcW w:w="3827" w:type="dxa"/>
          </w:tcPr>
          <w:p w14:paraId="62C461B1" w14:textId="77777777" w:rsidR="00D0121D" w:rsidRPr="00D0121D" w:rsidRDefault="00D0121D" w:rsidP="00D0121D">
            <w:pPr>
              <w:suppressAutoHyphens/>
              <w:spacing w:after="200"/>
              <w:rPr>
                <w:rFonts w:ascii="Calibri" w:eastAsia="Calibri" w:hAnsi="Calibri" w:cs="Calibri"/>
                <w:b/>
                <w:bCs/>
                <w:sz w:val="22"/>
                <w:szCs w:val="22"/>
                <w:lang w:eastAsia="en-US"/>
              </w:rPr>
            </w:pPr>
            <w:r w:rsidRPr="00D0121D">
              <w:rPr>
                <w:rFonts w:ascii="Calibri" w:eastAsia="Calibri" w:hAnsi="Calibri" w:cs="Calibri"/>
                <w:b/>
                <w:bCs/>
                <w:sz w:val="22"/>
                <w:szCs w:val="22"/>
                <w:lang w:eastAsia="en-US"/>
              </w:rPr>
              <w:t>Affiliation</w:t>
            </w:r>
          </w:p>
        </w:tc>
        <w:tc>
          <w:tcPr>
            <w:tcW w:w="3278" w:type="dxa"/>
          </w:tcPr>
          <w:p w14:paraId="22E4B352" w14:textId="77777777" w:rsidR="00D0121D" w:rsidRPr="00D0121D" w:rsidRDefault="00D0121D" w:rsidP="00D0121D">
            <w:pPr>
              <w:suppressAutoHyphens/>
              <w:spacing w:after="200"/>
              <w:rPr>
                <w:rFonts w:ascii="Calibri" w:eastAsia="Calibri" w:hAnsi="Calibri" w:cs="Calibri"/>
                <w:b/>
                <w:bCs/>
                <w:sz w:val="22"/>
                <w:szCs w:val="22"/>
                <w:lang w:eastAsia="en-US"/>
              </w:rPr>
            </w:pPr>
            <w:r w:rsidRPr="00D0121D">
              <w:rPr>
                <w:rFonts w:ascii="Calibri" w:eastAsia="Calibri" w:hAnsi="Calibri" w:cs="Calibri"/>
                <w:b/>
                <w:bCs/>
                <w:sz w:val="22"/>
                <w:szCs w:val="22"/>
                <w:lang w:eastAsia="en-US"/>
              </w:rPr>
              <w:t>Contact</w:t>
            </w:r>
          </w:p>
        </w:tc>
      </w:tr>
      <w:tr w:rsidR="00922ED1" w:rsidRPr="00D0121D" w14:paraId="07AEEA68" w14:textId="77777777" w:rsidTr="00124C96">
        <w:tc>
          <w:tcPr>
            <w:tcW w:w="650" w:type="dxa"/>
          </w:tcPr>
          <w:p w14:paraId="344D88C6" w14:textId="343DE795" w:rsidR="00922ED1" w:rsidRPr="00D0121D" w:rsidRDefault="00922ED1" w:rsidP="00D0121D">
            <w:pPr>
              <w:suppressAutoHyphens/>
              <w:spacing w:after="200"/>
              <w:jc w:val="right"/>
              <w:rPr>
                <w:rFonts w:ascii="Calibri" w:eastAsia="Calibri" w:hAnsi="Calibri" w:cs="Calibri"/>
                <w:sz w:val="22"/>
                <w:szCs w:val="22"/>
                <w:lang w:eastAsia="en-US"/>
              </w:rPr>
            </w:pPr>
            <w:r>
              <w:rPr>
                <w:rFonts w:ascii="Calibri" w:eastAsia="Calibri" w:hAnsi="Calibri" w:cs="Calibri"/>
                <w:sz w:val="22"/>
                <w:szCs w:val="22"/>
                <w:lang w:eastAsia="en-US"/>
              </w:rPr>
              <w:t>N</w:t>
            </w:r>
          </w:p>
        </w:tc>
        <w:tc>
          <w:tcPr>
            <w:tcW w:w="1472" w:type="dxa"/>
          </w:tcPr>
          <w:p w14:paraId="1D84D6D8" w14:textId="5F4CDDC4" w:rsidR="00922ED1" w:rsidRPr="00D0121D" w:rsidRDefault="00922ED1" w:rsidP="00D0121D">
            <w:pPr>
              <w:suppressAutoHyphens/>
              <w:spacing w:after="200"/>
              <w:rPr>
                <w:rFonts w:ascii="Calibri" w:eastAsia="Calibri" w:hAnsi="Calibri" w:cs="Calibri"/>
                <w:sz w:val="22"/>
                <w:szCs w:val="22"/>
                <w:lang w:eastAsia="en-US"/>
              </w:rPr>
            </w:pPr>
            <w:r w:rsidRPr="00922ED1">
              <w:rPr>
                <w:rFonts w:ascii="Calibri" w:eastAsia="Calibri" w:hAnsi="Calibri" w:cs="Calibri"/>
                <w:sz w:val="22"/>
                <w:szCs w:val="22"/>
                <w:lang w:eastAsia="en-US"/>
              </w:rPr>
              <w:t>Abdulla</w:t>
            </w:r>
          </w:p>
        </w:tc>
        <w:tc>
          <w:tcPr>
            <w:tcW w:w="3827" w:type="dxa"/>
          </w:tcPr>
          <w:p w14:paraId="0C32D7D1" w14:textId="22CDAD8D" w:rsidR="00922ED1" w:rsidRPr="00D0121D" w:rsidRDefault="00CD6595" w:rsidP="00D0121D">
            <w:pPr>
              <w:suppressAutoHyphens/>
              <w:spacing w:after="200"/>
              <w:rPr>
                <w:rFonts w:ascii="Calibri" w:eastAsia="Calibri" w:hAnsi="Calibri" w:cs="Calibri"/>
                <w:sz w:val="22"/>
                <w:szCs w:val="22"/>
                <w:lang w:eastAsia="en-US"/>
              </w:rPr>
            </w:pPr>
            <w:r w:rsidRPr="00CD6595">
              <w:rPr>
                <w:rFonts w:ascii="Calibri" w:eastAsia="Calibri" w:hAnsi="Calibri" w:cs="Calibri"/>
                <w:sz w:val="22"/>
                <w:szCs w:val="22"/>
                <w:lang w:eastAsia="en-US"/>
              </w:rPr>
              <w:t>Division of Rheumatology, Department of Medicine, Hamad Medical Corporation, Alrayyan Street, PO BOX 3050, Doha, Qatar</w:t>
            </w:r>
          </w:p>
        </w:tc>
        <w:tc>
          <w:tcPr>
            <w:tcW w:w="3278" w:type="dxa"/>
          </w:tcPr>
          <w:p w14:paraId="158E1B02" w14:textId="0F2BB4F6" w:rsidR="00922ED1" w:rsidRPr="00D0121D" w:rsidRDefault="008624D0" w:rsidP="00D0121D">
            <w:pPr>
              <w:suppressAutoHyphens/>
              <w:spacing w:after="200"/>
              <w:rPr>
                <w:rFonts w:ascii="Calibri" w:eastAsia="Calibri" w:hAnsi="Calibri" w:cs="Calibri"/>
                <w:sz w:val="22"/>
                <w:szCs w:val="22"/>
                <w:lang w:eastAsia="en-US"/>
              </w:rPr>
            </w:pPr>
            <w:r w:rsidRPr="008624D0">
              <w:rPr>
                <w:rFonts w:ascii="Calibri" w:eastAsia="Calibri" w:hAnsi="Calibri" w:cs="Calibri"/>
                <w:sz w:val="22"/>
                <w:szCs w:val="22"/>
                <w:lang w:eastAsia="en-US"/>
              </w:rPr>
              <w:t>nabdulla7@hamad.qa,</w:t>
            </w:r>
          </w:p>
        </w:tc>
      </w:tr>
      <w:tr w:rsidR="00922ED1" w:rsidRPr="00D0121D" w14:paraId="7D1E8C28" w14:textId="77777777" w:rsidTr="00124C96">
        <w:tc>
          <w:tcPr>
            <w:tcW w:w="650" w:type="dxa"/>
          </w:tcPr>
          <w:p w14:paraId="4E02A453" w14:textId="1F767F4E" w:rsidR="00922ED1" w:rsidRPr="00D0121D" w:rsidRDefault="00CD6595" w:rsidP="00D0121D">
            <w:pPr>
              <w:suppressAutoHyphens/>
              <w:spacing w:after="200"/>
              <w:jc w:val="right"/>
              <w:rPr>
                <w:rFonts w:ascii="Calibri" w:eastAsia="Calibri" w:hAnsi="Calibri" w:cs="Calibri"/>
                <w:sz w:val="22"/>
                <w:szCs w:val="22"/>
                <w:lang w:eastAsia="en-US"/>
              </w:rPr>
            </w:pPr>
            <w:r>
              <w:rPr>
                <w:rFonts w:ascii="Calibri" w:eastAsia="Calibri" w:hAnsi="Calibri" w:cs="Calibri"/>
                <w:sz w:val="22"/>
                <w:szCs w:val="22"/>
                <w:lang w:eastAsia="en-US"/>
              </w:rPr>
              <w:t>OS</w:t>
            </w:r>
          </w:p>
        </w:tc>
        <w:tc>
          <w:tcPr>
            <w:tcW w:w="1472" w:type="dxa"/>
          </w:tcPr>
          <w:p w14:paraId="5666F3A5" w14:textId="5D602F3E" w:rsidR="00922ED1" w:rsidRPr="00D0121D" w:rsidRDefault="00CD6595" w:rsidP="00D0121D">
            <w:pPr>
              <w:suppressAutoHyphens/>
              <w:spacing w:after="200"/>
              <w:rPr>
                <w:rFonts w:ascii="Calibri" w:eastAsia="Calibri" w:hAnsi="Calibri" w:cs="Calibri"/>
                <w:sz w:val="22"/>
                <w:szCs w:val="22"/>
                <w:lang w:eastAsia="en-US"/>
              </w:rPr>
            </w:pPr>
            <w:r w:rsidRPr="00CD6595">
              <w:rPr>
                <w:rFonts w:ascii="Calibri" w:eastAsia="Calibri" w:hAnsi="Calibri" w:cs="Calibri"/>
                <w:sz w:val="22"/>
                <w:szCs w:val="22"/>
                <w:lang w:eastAsia="en-US"/>
              </w:rPr>
              <w:t>Alsaed</w:t>
            </w:r>
          </w:p>
        </w:tc>
        <w:tc>
          <w:tcPr>
            <w:tcW w:w="3827" w:type="dxa"/>
          </w:tcPr>
          <w:p w14:paraId="469DE592" w14:textId="47A58444" w:rsidR="00922ED1" w:rsidRPr="00D0121D" w:rsidRDefault="0024048F" w:rsidP="00D0121D">
            <w:pPr>
              <w:suppressAutoHyphens/>
              <w:spacing w:after="200"/>
              <w:rPr>
                <w:rFonts w:ascii="Calibri" w:eastAsia="Calibri" w:hAnsi="Calibri" w:cs="Calibri"/>
                <w:sz w:val="22"/>
                <w:szCs w:val="22"/>
                <w:lang w:eastAsia="en-US"/>
              </w:rPr>
            </w:pPr>
            <w:r w:rsidRPr="0024048F">
              <w:rPr>
                <w:rFonts w:ascii="Calibri" w:eastAsia="Calibri" w:hAnsi="Calibri" w:cs="Calibri"/>
                <w:sz w:val="22"/>
                <w:szCs w:val="22"/>
                <w:lang w:eastAsia="en-US"/>
              </w:rPr>
              <w:t>Division of Rheumatology, Department of Medicine, Hamad Medical Corporation, Alrayyan Street, PO BOX 3050, Doha, Qatar</w:t>
            </w:r>
          </w:p>
        </w:tc>
        <w:tc>
          <w:tcPr>
            <w:tcW w:w="3278" w:type="dxa"/>
          </w:tcPr>
          <w:p w14:paraId="327CE9B5" w14:textId="1E105EF9" w:rsidR="00922ED1" w:rsidRPr="00D0121D" w:rsidRDefault="006F28BB" w:rsidP="00D0121D">
            <w:pPr>
              <w:suppressAutoHyphens/>
              <w:spacing w:after="200"/>
              <w:rPr>
                <w:rFonts w:ascii="Calibri" w:eastAsia="Calibri" w:hAnsi="Calibri" w:cs="Calibri"/>
                <w:sz w:val="22"/>
                <w:szCs w:val="22"/>
                <w:lang w:eastAsia="en-US"/>
              </w:rPr>
            </w:pPr>
            <w:r w:rsidRPr="006F28BB">
              <w:rPr>
                <w:rFonts w:ascii="Calibri" w:eastAsia="Calibri" w:hAnsi="Calibri" w:cs="Calibri"/>
                <w:sz w:val="22"/>
                <w:szCs w:val="22"/>
                <w:lang w:eastAsia="en-US"/>
              </w:rPr>
              <w:t>OAlsaed@hamad.qa</w:t>
            </w:r>
          </w:p>
        </w:tc>
      </w:tr>
      <w:tr w:rsidR="0018279D" w:rsidRPr="00D0121D" w14:paraId="14933432" w14:textId="77777777" w:rsidTr="00124C96">
        <w:tc>
          <w:tcPr>
            <w:tcW w:w="650" w:type="dxa"/>
          </w:tcPr>
          <w:p w14:paraId="16FF8146" w14:textId="0BCCBCA7" w:rsidR="0018279D" w:rsidRPr="00D0121D" w:rsidRDefault="0018279D" w:rsidP="0018279D">
            <w:pPr>
              <w:suppressAutoHyphens/>
              <w:spacing w:after="200"/>
              <w:jc w:val="right"/>
              <w:rPr>
                <w:rFonts w:ascii="Calibri" w:eastAsia="Calibri" w:hAnsi="Calibri" w:cs="Calibri"/>
                <w:sz w:val="22"/>
                <w:szCs w:val="22"/>
                <w:lang w:eastAsia="en-US"/>
              </w:rPr>
            </w:pPr>
            <w:r>
              <w:rPr>
                <w:rFonts w:ascii="Calibri" w:eastAsia="Calibri" w:hAnsi="Calibri" w:cs="Calibri"/>
                <w:sz w:val="22"/>
                <w:szCs w:val="22"/>
                <w:lang w:eastAsia="en-US"/>
              </w:rPr>
              <w:t>A</w:t>
            </w:r>
          </w:p>
        </w:tc>
        <w:tc>
          <w:tcPr>
            <w:tcW w:w="1472" w:type="dxa"/>
          </w:tcPr>
          <w:p w14:paraId="630F14F2" w14:textId="77663526" w:rsidR="0018279D" w:rsidRPr="00D0121D" w:rsidRDefault="0018279D" w:rsidP="0018279D">
            <w:pPr>
              <w:suppressAutoHyphens/>
              <w:spacing w:after="200"/>
              <w:rPr>
                <w:rFonts w:ascii="Calibri" w:eastAsia="Calibri" w:hAnsi="Calibri" w:cs="Calibri"/>
                <w:sz w:val="22"/>
                <w:szCs w:val="22"/>
                <w:lang w:eastAsia="en-US"/>
              </w:rPr>
            </w:pPr>
            <w:r w:rsidRPr="0024048F">
              <w:rPr>
                <w:rFonts w:ascii="Calibri" w:eastAsia="Calibri" w:hAnsi="Calibri" w:cs="Calibri"/>
                <w:sz w:val="22"/>
                <w:szCs w:val="22"/>
                <w:lang w:eastAsia="en-US"/>
              </w:rPr>
              <w:t>Lutf</w:t>
            </w:r>
          </w:p>
        </w:tc>
        <w:tc>
          <w:tcPr>
            <w:tcW w:w="3827" w:type="dxa"/>
          </w:tcPr>
          <w:p w14:paraId="54A382CC" w14:textId="5B209D75" w:rsidR="0018279D" w:rsidRPr="00D0121D" w:rsidRDefault="0018279D" w:rsidP="0018279D">
            <w:pPr>
              <w:suppressAutoHyphens/>
              <w:spacing w:after="200"/>
              <w:rPr>
                <w:rFonts w:ascii="Calibri" w:eastAsia="Calibri" w:hAnsi="Calibri" w:cs="Calibri"/>
                <w:sz w:val="22"/>
                <w:szCs w:val="22"/>
                <w:lang w:eastAsia="en-US"/>
              </w:rPr>
            </w:pPr>
            <w:r w:rsidRPr="00A57EBF">
              <w:rPr>
                <w:rFonts w:ascii="Calibri" w:eastAsia="Calibri" w:hAnsi="Calibri" w:cs="Calibri"/>
                <w:sz w:val="22"/>
                <w:szCs w:val="22"/>
                <w:lang w:eastAsia="en-US"/>
              </w:rPr>
              <w:t>Division of Rheumatology, Department of Medicine, Hamad Medical Corporation, Alrayyan Street, PO BOX 3050, Doha, Qatar</w:t>
            </w:r>
          </w:p>
        </w:tc>
        <w:tc>
          <w:tcPr>
            <w:tcW w:w="3278" w:type="dxa"/>
          </w:tcPr>
          <w:p w14:paraId="1FDDA1C1" w14:textId="31616F0D" w:rsidR="0018279D" w:rsidRPr="00D0121D" w:rsidRDefault="007B0795" w:rsidP="0018279D">
            <w:pPr>
              <w:suppressAutoHyphens/>
              <w:spacing w:after="200"/>
              <w:rPr>
                <w:rFonts w:ascii="Calibri" w:eastAsia="Calibri" w:hAnsi="Calibri" w:cs="Calibri"/>
                <w:sz w:val="22"/>
                <w:szCs w:val="22"/>
                <w:lang w:eastAsia="en-US"/>
              </w:rPr>
            </w:pPr>
            <w:r w:rsidRPr="007B0795">
              <w:rPr>
                <w:rFonts w:ascii="Calibri" w:eastAsia="Calibri" w:hAnsi="Calibri" w:cs="Calibri"/>
                <w:sz w:val="22"/>
                <w:szCs w:val="22"/>
                <w:lang w:eastAsia="en-US"/>
              </w:rPr>
              <w:t>alutf@hamad.qa</w:t>
            </w:r>
          </w:p>
        </w:tc>
      </w:tr>
      <w:tr w:rsidR="0018279D" w:rsidRPr="00D0121D" w14:paraId="53C4FBA5" w14:textId="77777777" w:rsidTr="00124C96">
        <w:tc>
          <w:tcPr>
            <w:tcW w:w="650" w:type="dxa"/>
          </w:tcPr>
          <w:p w14:paraId="08E50F8C" w14:textId="4C258106" w:rsidR="0018279D" w:rsidRPr="00D0121D" w:rsidRDefault="0018279D" w:rsidP="0018279D">
            <w:pPr>
              <w:suppressAutoHyphens/>
              <w:spacing w:after="200"/>
              <w:jc w:val="right"/>
              <w:rPr>
                <w:rFonts w:ascii="Calibri" w:eastAsia="Calibri" w:hAnsi="Calibri" w:cs="Calibri"/>
                <w:sz w:val="22"/>
                <w:szCs w:val="22"/>
                <w:lang w:eastAsia="en-US"/>
              </w:rPr>
            </w:pPr>
            <w:r>
              <w:rPr>
                <w:rFonts w:ascii="Calibri" w:eastAsia="Calibri" w:hAnsi="Calibri" w:cs="Calibri"/>
                <w:sz w:val="22"/>
                <w:szCs w:val="22"/>
                <w:lang w:eastAsia="en-US"/>
              </w:rPr>
              <w:t>F</w:t>
            </w:r>
          </w:p>
        </w:tc>
        <w:tc>
          <w:tcPr>
            <w:tcW w:w="1472" w:type="dxa"/>
          </w:tcPr>
          <w:p w14:paraId="5692309F" w14:textId="3408AEC5" w:rsidR="0018279D" w:rsidRPr="00D0121D" w:rsidRDefault="0018279D" w:rsidP="0018279D">
            <w:pPr>
              <w:suppressAutoHyphens/>
              <w:spacing w:after="200"/>
              <w:rPr>
                <w:rFonts w:ascii="Calibri" w:eastAsia="Calibri" w:hAnsi="Calibri" w:cs="Calibri"/>
                <w:sz w:val="22"/>
                <w:szCs w:val="22"/>
                <w:lang w:eastAsia="en-US"/>
              </w:rPr>
            </w:pPr>
            <w:r>
              <w:rPr>
                <w:rFonts w:ascii="Calibri" w:eastAsia="Calibri" w:hAnsi="Calibri" w:cs="Calibri"/>
                <w:sz w:val="22"/>
                <w:szCs w:val="22"/>
                <w:lang w:eastAsia="en-US"/>
              </w:rPr>
              <w:t xml:space="preserve">Alam </w:t>
            </w:r>
          </w:p>
        </w:tc>
        <w:tc>
          <w:tcPr>
            <w:tcW w:w="3827" w:type="dxa"/>
          </w:tcPr>
          <w:p w14:paraId="41601788" w14:textId="0D456BA5" w:rsidR="0018279D" w:rsidRPr="00D0121D" w:rsidRDefault="0018279D" w:rsidP="0018279D">
            <w:pPr>
              <w:suppressAutoHyphens/>
              <w:spacing w:after="200"/>
              <w:rPr>
                <w:rFonts w:ascii="Calibri" w:eastAsia="Calibri" w:hAnsi="Calibri" w:cs="Calibri"/>
                <w:sz w:val="22"/>
                <w:szCs w:val="22"/>
                <w:lang w:eastAsia="en-US"/>
              </w:rPr>
            </w:pPr>
            <w:r w:rsidRPr="00A57EBF">
              <w:rPr>
                <w:rFonts w:ascii="Calibri" w:eastAsia="Calibri" w:hAnsi="Calibri" w:cs="Calibri"/>
                <w:sz w:val="22"/>
                <w:szCs w:val="22"/>
                <w:lang w:eastAsia="en-US"/>
              </w:rPr>
              <w:t>Division of Rheumatology, Department of Medicine, Hamad Medical Corporation, Alrayyan Street, PO BOX 3050, Doha, Qatar</w:t>
            </w:r>
          </w:p>
        </w:tc>
        <w:tc>
          <w:tcPr>
            <w:tcW w:w="3278" w:type="dxa"/>
          </w:tcPr>
          <w:p w14:paraId="1E739918" w14:textId="203C92BA" w:rsidR="0018279D" w:rsidRPr="00D0121D" w:rsidRDefault="00D4622D" w:rsidP="0018279D">
            <w:pPr>
              <w:suppressAutoHyphens/>
              <w:spacing w:after="200"/>
              <w:rPr>
                <w:rFonts w:ascii="Calibri" w:eastAsia="Calibri" w:hAnsi="Calibri" w:cs="Calibri"/>
                <w:sz w:val="22"/>
                <w:szCs w:val="22"/>
                <w:lang w:eastAsia="en-US"/>
              </w:rPr>
            </w:pPr>
            <w:r w:rsidRPr="00D4622D">
              <w:rPr>
                <w:rFonts w:ascii="Calibri" w:eastAsia="Calibri" w:hAnsi="Calibri" w:cs="Calibri"/>
                <w:sz w:val="22"/>
                <w:szCs w:val="22"/>
                <w:lang w:eastAsia="en-US"/>
              </w:rPr>
              <w:t>FAlam1@hamad.qa</w:t>
            </w:r>
          </w:p>
        </w:tc>
      </w:tr>
      <w:tr w:rsidR="0018279D" w:rsidRPr="00D0121D" w14:paraId="32518B90" w14:textId="77777777" w:rsidTr="00124C96">
        <w:tc>
          <w:tcPr>
            <w:tcW w:w="650" w:type="dxa"/>
          </w:tcPr>
          <w:p w14:paraId="0CB4D756" w14:textId="17D19B4E" w:rsidR="0018279D" w:rsidRPr="00D0121D" w:rsidRDefault="0018279D" w:rsidP="0018279D">
            <w:pPr>
              <w:suppressAutoHyphens/>
              <w:spacing w:after="200"/>
              <w:jc w:val="right"/>
              <w:rPr>
                <w:rFonts w:ascii="Calibri" w:eastAsia="Calibri" w:hAnsi="Calibri" w:cs="Calibri"/>
                <w:sz w:val="22"/>
                <w:szCs w:val="22"/>
                <w:lang w:eastAsia="en-US"/>
              </w:rPr>
            </w:pPr>
            <w:r>
              <w:rPr>
                <w:rFonts w:ascii="Calibri" w:eastAsia="Calibri" w:hAnsi="Calibri" w:cs="Calibri"/>
                <w:sz w:val="22"/>
                <w:szCs w:val="22"/>
                <w:lang w:eastAsia="en-US"/>
              </w:rPr>
              <w:t>I</w:t>
            </w:r>
          </w:p>
        </w:tc>
        <w:tc>
          <w:tcPr>
            <w:tcW w:w="1472" w:type="dxa"/>
          </w:tcPr>
          <w:p w14:paraId="10B5BC23" w14:textId="28992FF5" w:rsidR="0018279D" w:rsidRPr="00D0121D" w:rsidRDefault="0018279D" w:rsidP="0018279D">
            <w:pPr>
              <w:suppressAutoHyphens/>
              <w:spacing w:after="200"/>
              <w:rPr>
                <w:rFonts w:ascii="Calibri" w:eastAsia="Calibri" w:hAnsi="Calibri" w:cs="Calibri"/>
                <w:sz w:val="22"/>
                <w:szCs w:val="22"/>
                <w:lang w:eastAsia="en-US"/>
              </w:rPr>
            </w:pPr>
            <w:r w:rsidRPr="00D74F07">
              <w:rPr>
                <w:rFonts w:ascii="Calibri" w:eastAsia="Calibri" w:hAnsi="Calibri" w:cs="Calibri"/>
                <w:sz w:val="22"/>
                <w:szCs w:val="22"/>
                <w:lang w:eastAsia="en-US"/>
              </w:rPr>
              <w:t>Abdulmomen</w:t>
            </w:r>
          </w:p>
        </w:tc>
        <w:tc>
          <w:tcPr>
            <w:tcW w:w="3827" w:type="dxa"/>
          </w:tcPr>
          <w:p w14:paraId="26FF5689" w14:textId="3B3F6020" w:rsidR="0018279D" w:rsidRPr="00D0121D" w:rsidRDefault="0018279D" w:rsidP="0018279D">
            <w:pPr>
              <w:suppressAutoHyphens/>
              <w:spacing w:after="200"/>
              <w:rPr>
                <w:rFonts w:ascii="Calibri" w:eastAsia="Calibri" w:hAnsi="Calibri" w:cs="Calibri"/>
                <w:sz w:val="22"/>
                <w:szCs w:val="22"/>
                <w:lang w:eastAsia="en-US"/>
              </w:rPr>
            </w:pPr>
            <w:r w:rsidRPr="00A57EBF">
              <w:rPr>
                <w:rFonts w:ascii="Calibri" w:eastAsia="Calibri" w:hAnsi="Calibri" w:cs="Calibri"/>
                <w:sz w:val="22"/>
                <w:szCs w:val="22"/>
                <w:lang w:eastAsia="en-US"/>
              </w:rPr>
              <w:t>Division of Rheumatology, Department of Medicine, Hamad Medical Corporation, Alrayyan Street, PO BOX 3050, Doha, Qatar</w:t>
            </w:r>
          </w:p>
        </w:tc>
        <w:tc>
          <w:tcPr>
            <w:tcW w:w="3278" w:type="dxa"/>
          </w:tcPr>
          <w:p w14:paraId="2CA78978" w14:textId="198DF0FD" w:rsidR="0018279D" w:rsidRPr="00D0121D" w:rsidRDefault="00A95022" w:rsidP="0018279D">
            <w:pPr>
              <w:suppressAutoHyphens/>
              <w:spacing w:after="200"/>
              <w:rPr>
                <w:rFonts w:ascii="Calibri" w:eastAsia="Calibri" w:hAnsi="Calibri" w:cs="Calibri"/>
                <w:sz w:val="22"/>
                <w:szCs w:val="22"/>
                <w:lang w:eastAsia="en-US"/>
              </w:rPr>
            </w:pPr>
            <w:r w:rsidRPr="00A95022">
              <w:rPr>
                <w:rFonts w:ascii="Calibri" w:eastAsia="Calibri" w:hAnsi="Calibri" w:cs="Calibri"/>
                <w:sz w:val="22"/>
                <w:szCs w:val="22"/>
                <w:lang w:eastAsia="en-US"/>
              </w:rPr>
              <w:t>IAbdulmomen@hamad.qa</w:t>
            </w:r>
          </w:p>
        </w:tc>
      </w:tr>
      <w:tr w:rsidR="0018279D" w:rsidRPr="00D0121D" w14:paraId="552A86F2" w14:textId="77777777" w:rsidTr="00124C96">
        <w:tc>
          <w:tcPr>
            <w:tcW w:w="650" w:type="dxa"/>
          </w:tcPr>
          <w:p w14:paraId="560978A3" w14:textId="3F8551F6" w:rsidR="0018279D" w:rsidRDefault="0018279D" w:rsidP="0018279D">
            <w:pPr>
              <w:suppressAutoHyphens/>
              <w:spacing w:after="200"/>
              <w:jc w:val="right"/>
              <w:rPr>
                <w:rFonts w:ascii="Calibri" w:eastAsia="Calibri" w:hAnsi="Calibri" w:cs="Calibri"/>
                <w:sz w:val="22"/>
                <w:szCs w:val="22"/>
                <w:lang w:eastAsia="en-US"/>
              </w:rPr>
            </w:pPr>
            <w:r>
              <w:rPr>
                <w:rFonts w:ascii="Calibri" w:eastAsia="Calibri" w:hAnsi="Calibri" w:cs="Calibri"/>
                <w:sz w:val="22"/>
                <w:szCs w:val="22"/>
                <w:lang w:eastAsia="en-US"/>
              </w:rPr>
              <w:t>S</w:t>
            </w:r>
          </w:p>
        </w:tc>
        <w:tc>
          <w:tcPr>
            <w:tcW w:w="1472" w:type="dxa"/>
          </w:tcPr>
          <w:p w14:paraId="4465F6BB" w14:textId="5E32020B" w:rsidR="0018279D" w:rsidRPr="00D74F07" w:rsidRDefault="0018279D" w:rsidP="0018279D">
            <w:pPr>
              <w:suppressAutoHyphens/>
              <w:spacing w:after="200"/>
              <w:rPr>
                <w:rFonts w:ascii="Calibri" w:eastAsia="Calibri" w:hAnsi="Calibri" w:cs="Calibri"/>
                <w:sz w:val="22"/>
                <w:szCs w:val="22"/>
                <w:lang w:eastAsia="en-US"/>
              </w:rPr>
            </w:pPr>
            <w:r w:rsidRPr="00D74F07">
              <w:rPr>
                <w:rFonts w:ascii="Calibri" w:eastAsia="Calibri" w:hAnsi="Calibri" w:cs="Calibri"/>
                <w:sz w:val="22"/>
                <w:szCs w:val="22"/>
                <w:lang w:eastAsia="en-US"/>
              </w:rPr>
              <w:t>Al Emadi</w:t>
            </w:r>
          </w:p>
        </w:tc>
        <w:tc>
          <w:tcPr>
            <w:tcW w:w="3827" w:type="dxa"/>
          </w:tcPr>
          <w:p w14:paraId="16B744E5" w14:textId="09577489" w:rsidR="0018279D" w:rsidRPr="00D0121D" w:rsidRDefault="0018279D" w:rsidP="0018279D">
            <w:pPr>
              <w:suppressAutoHyphens/>
              <w:spacing w:after="200"/>
              <w:rPr>
                <w:rFonts w:ascii="Calibri" w:eastAsia="Calibri" w:hAnsi="Calibri" w:cs="Calibri"/>
                <w:sz w:val="22"/>
                <w:szCs w:val="22"/>
                <w:lang w:eastAsia="en-US"/>
              </w:rPr>
            </w:pPr>
            <w:r w:rsidRPr="00A57EBF">
              <w:rPr>
                <w:rFonts w:ascii="Calibri" w:eastAsia="Calibri" w:hAnsi="Calibri" w:cs="Calibri"/>
                <w:sz w:val="22"/>
                <w:szCs w:val="22"/>
                <w:lang w:eastAsia="en-US"/>
              </w:rPr>
              <w:t>Division of Rheumatology, Department of Medicine, Hamad Medical Corporation, Alrayyan Street, PO BOX 3050, Doha, Qatar</w:t>
            </w:r>
          </w:p>
        </w:tc>
        <w:tc>
          <w:tcPr>
            <w:tcW w:w="3278" w:type="dxa"/>
          </w:tcPr>
          <w:p w14:paraId="0FDABA52" w14:textId="28BD8C25" w:rsidR="0018279D" w:rsidRPr="00D0121D" w:rsidRDefault="00F26FE7" w:rsidP="0018279D">
            <w:pPr>
              <w:suppressAutoHyphens/>
              <w:spacing w:after="200"/>
              <w:rPr>
                <w:rFonts w:ascii="Calibri" w:eastAsia="Calibri" w:hAnsi="Calibri" w:cs="Calibri"/>
                <w:sz w:val="22"/>
                <w:szCs w:val="22"/>
                <w:lang w:eastAsia="en-US"/>
              </w:rPr>
            </w:pPr>
            <w:r w:rsidRPr="00F26FE7">
              <w:rPr>
                <w:rFonts w:ascii="Calibri" w:eastAsia="Calibri" w:hAnsi="Calibri" w:cs="Calibri"/>
                <w:sz w:val="22"/>
                <w:szCs w:val="22"/>
                <w:lang w:eastAsia="en-US"/>
              </w:rPr>
              <w:t>salemadi@hamad.qa</w:t>
            </w:r>
          </w:p>
        </w:tc>
      </w:tr>
      <w:tr w:rsidR="00AD405A" w:rsidRPr="00D0121D" w14:paraId="1F895146" w14:textId="77777777" w:rsidTr="00124C96">
        <w:trPr>
          <w:trHeight w:val="503"/>
        </w:trPr>
        <w:tc>
          <w:tcPr>
            <w:tcW w:w="650" w:type="dxa"/>
            <w:vMerge w:val="restart"/>
          </w:tcPr>
          <w:p w14:paraId="7188FEAB" w14:textId="666E1B07" w:rsidR="00AD405A" w:rsidRDefault="00AD405A" w:rsidP="00D85DD7">
            <w:pPr>
              <w:suppressAutoHyphens/>
              <w:spacing w:after="200"/>
              <w:jc w:val="right"/>
              <w:rPr>
                <w:rFonts w:ascii="Calibri" w:eastAsia="Calibri" w:hAnsi="Calibri" w:cs="Calibri"/>
                <w:sz w:val="22"/>
                <w:szCs w:val="22"/>
                <w:lang w:eastAsia="en-US"/>
              </w:rPr>
            </w:pPr>
            <w:r w:rsidRPr="00D0121D">
              <w:rPr>
                <w:rFonts w:ascii="Calibri" w:eastAsia="Calibri" w:hAnsi="Calibri" w:cs="Calibri"/>
                <w:sz w:val="22"/>
                <w:szCs w:val="22"/>
                <w:lang w:eastAsia="en-US"/>
              </w:rPr>
              <w:t>NC</w:t>
            </w:r>
          </w:p>
        </w:tc>
        <w:tc>
          <w:tcPr>
            <w:tcW w:w="1472" w:type="dxa"/>
            <w:vMerge w:val="restart"/>
          </w:tcPr>
          <w:p w14:paraId="2F9EE427" w14:textId="290FD574" w:rsidR="00AD405A" w:rsidRPr="00D74F07" w:rsidRDefault="00AD405A" w:rsidP="00D85DD7">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Harvey</w:t>
            </w:r>
          </w:p>
        </w:tc>
        <w:tc>
          <w:tcPr>
            <w:tcW w:w="3827" w:type="dxa"/>
          </w:tcPr>
          <w:p w14:paraId="7DA373B9" w14:textId="5F7C8AEC" w:rsidR="00AD405A" w:rsidRPr="00D0121D" w:rsidRDefault="00AD405A" w:rsidP="00D85DD7">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val="en-AU" w:eastAsia="en-US"/>
              </w:rPr>
              <w:t xml:space="preserve">MRC Lifecourse Epidemiology Unit, University of Southampton, Southampton, UK </w:t>
            </w:r>
          </w:p>
        </w:tc>
        <w:tc>
          <w:tcPr>
            <w:tcW w:w="3278" w:type="dxa"/>
            <w:vMerge w:val="restart"/>
          </w:tcPr>
          <w:p w14:paraId="029B6BF5" w14:textId="47EA5A06" w:rsidR="00AD405A" w:rsidRPr="00D0121D" w:rsidRDefault="00AD405A" w:rsidP="00D85DD7">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nch@mrc.soton.ac.uk</w:t>
            </w:r>
          </w:p>
        </w:tc>
      </w:tr>
      <w:tr w:rsidR="00AD405A" w:rsidRPr="00D0121D" w14:paraId="56EF0C69" w14:textId="77777777" w:rsidTr="00124C96">
        <w:trPr>
          <w:trHeight w:val="502"/>
        </w:trPr>
        <w:tc>
          <w:tcPr>
            <w:tcW w:w="650" w:type="dxa"/>
            <w:vMerge/>
          </w:tcPr>
          <w:p w14:paraId="1E14E542" w14:textId="77777777" w:rsidR="00AD405A" w:rsidRPr="00D0121D" w:rsidRDefault="00AD405A" w:rsidP="00D85DD7">
            <w:pPr>
              <w:suppressAutoHyphens/>
              <w:spacing w:after="200"/>
              <w:jc w:val="right"/>
              <w:rPr>
                <w:rFonts w:ascii="Calibri" w:eastAsia="Calibri" w:hAnsi="Calibri" w:cs="Calibri"/>
                <w:sz w:val="22"/>
                <w:szCs w:val="22"/>
                <w:lang w:eastAsia="en-US"/>
              </w:rPr>
            </w:pPr>
          </w:p>
        </w:tc>
        <w:tc>
          <w:tcPr>
            <w:tcW w:w="1472" w:type="dxa"/>
            <w:vMerge/>
          </w:tcPr>
          <w:p w14:paraId="22ABDC9C" w14:textId="77777777" w:rsidR="00AD405A" w:rsidRPr="00D0121D" w:rsidRDefault="00AD405A" w:rsidP="00D85DD7">
            <w:pPr>
              <w:suppressAutoHyphens/>
              <w:spacing w:after="200"/>
              <w:rPr>
                <w:rFonts w:ascii="Calibri" w:eastAsia="Calibri" w:hAnsi="Calibri" w:cs="Calibri"/>
                <w:sz w:val="22"/>
                <w:szCs w:val="22"/>
                <w:lang w:eastAsia="en-US"/>
              </w:rPr>
            </w:pPr>
          </w:p>
        </w:tc>
        <w:tc>
          <w:tcPr>
            <w:tcW w:w="3827" w:type="dxa"/>
          </w:tcPr>
          <w:p w14:paraId="363B1906" w14:textId="7E452BEA" w:rsidR="00AD405A" w:rsidRPr="00D0121D" w:rsidRDefault="00AD405A" w:rsidP="00D85DD7">
            <w:pPr>
              <w:suppressAutoHyphens/>
              <w:spacing w:after="200"/>
              <w:rPr>
                <w:rFonts w:ascii="Calibri" w:eastAsia="Calibri" w:hAnsi="Calibri" w:cs="Calibri"/>
                <w:sz w:val="22"/>
                <w:szCs w:val="22"/>
                <w:lang w:val="en-AU" w:eastAsia="en-US"/>
              </w:rPr>
            </w:pPr>
            <w:r w:rsidRPr="00D0121D">
              <w:rPr>
                <w:rFonts w:ascii="Calibri" w:eastAsia="Calibri" w:hAnsi="Calibri" w:cs="Calibri"/>
                <w:sz w:val="22"/>
                <w:szCs w:val="22"/>
                <w:lang w:val="en-AU" w:eastAsia="en-US"/>
              </w:rPr>
              <w:t xml:space="preserve">NIHR Southampton Biomedical Research Centre, University of Southampton and University Hospital </w:t>
            </w:r>
            <w:r w:rsidRPr="00D0121D">
              <w:rPr>
                <w:rFonts w:ascii="Calibri" w:eastAsia="Calibri" w:hAnsi="Calibri" w:cs="Calibri"/>
                <w:sz w:val="22"/>
                <w:szCs w:val="22"/>
                <w:lang w:val="en-AU" w:eastAsia="en-US"/>
              </w:rPr>
              <w:lastRenderedPageBreak/>
              <w:t>Southampton NHS Foundation Trust, Southampton, UK</w:t>
            </w:r>
          </w:p>
        </w:tc>
        <w:tc>
          <w:tcPr>
            <w:tcW w:w="3278" w:type="dxa"/>
            <w:vMerge/>
          </w:tcPr>
          <w:p w14:paraId="143BD88B" w14:textId="77777777" w:rsidR="00AD405A" w:rsidRPr="00D0121D" w:rsidRDefault="00AD405A" w:rsidP="00D85DD7">
            <w:pPr>
              <w:suppressAutoHyphens/>
              <w:spacing w:after="200"/>
              <w:rPr>
                <w:rFonts w:ascii="Calibri" w:eastAsia="Calibri" w:hAnsi="Calibri" w:cs="Calibri"/>
                <w:sz w:val="22"/>
                <w:szCs w:val="22"/>
                <w:lang w:eastAsia="en-US"/>
              </w:rPr>
            </w:pPr>
          </w:p>
        </w:tc>
      </w:tr>
      <w:tr w:rsidR="00D0121D" w:rsidRPr="00D0121D" w14:paraId="5CD4A981" w14:textId="77777777" w:rsidTr="00124C96">
        <w:tc>
          <w:tcPr>
            <w:tcW w:w="650" w:type="dxa"/>
          </w:tcPr>
          <w:p w14:paraId="098D2B0D" w14:textId="77777777" w:rsidR="00D0121D" w:rsidRPr="00D0121D" w:rsidRDefault="00D0121D" w:rsidP="00D0121D">
            <w:pPr>
              <w:suppressAutoHyphens/>
              <w:spacing w:after="200"/>
              <w:jc w:val="right"/>
              <w:rPr>
                <w:rFonts w:ascii="Calibri" w:eastAsia="Calibri" w:hAnsi="Calibri" w:cs="Calibri"/>
                <w:sz w:val="22"/>
                <w:szCs w:val="22"/>
                <w:lang w:eastAsia="en-US"/>
              </w:rPr>
            </w:pPr>
            <w:bookmarkStart w:id="2" w:name="_Hlk79668842"/>
            <w:r w:rsidRPr="00D0121D">
              <w:rPr>
                <w:rFonts w:ascii="Calibri" w:eastAsia="Calibri" w:hAnsi="Calibri" w:cs="Calibri"/>
                <w:sz w:val="22"/>
                <w:szCs w:val="22"/>
                <w:lang w:eastAsia="en-US"/>
              </w:rPr>
              <w:lastRenderedPageBreak/>
              <w:t>E</w:t>
            </w:r>
          </w:p>
        </w:tc>
        <w:tc>
          <w:tcPr>
            <w:tcW w:w="1472" w:type="dxa"/>
          </w:tcPr>
          <w:p w14:paraId="07B937DD"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Liu</w:t>
            </w:r>
          </w:p>
        </w:tc>
        <w:tc>
          <w:tcPr>
            <w:tcW w:w="3827" w:type="dxa"/>
          </w:tcPr>
          <w:p w14:paraId="67A0DE38"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hAnsi="Calibri" w:cs="Calibri"/>
                <w:sz w:val="22"/>
                <w:szCs w:val="22"/>
              </w:rPr>
              <w:t>Mary McKillop Institute for Health Research, Australian Catholic University, Melbourne, Australia</w:t>
            </w:r>
          </w:p>
        </w:tc>
        <w:tc>
          <w:tcPr>
            <w:tcW w:w="3278" w:type="dxa"/>
          </w:tcPr>
          <w:p w14:paraId="2179E862"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Enwu.Liu@acu.edu.au</w:t>
            </w:r>
          </w:p>
        </w:tc>
      </w:tr>
      <w:tr w:rsidR="00D0121D" w:rsidRPr="00D0121D" w14:paraId="671589A2" w14:textId="77777777" w:rsidTr="00124C96">
        <w:tc>
          <w:tcPr>
            <w:tcW w:w="650" w:type="dxa"/>
            <w:vMerge w:val="restart"/>
          </w:tcPr>
          <w:p w14:paraId="657792A7" w14:textId="77777777" w:rsidR="00D0121D" w:rsidRPr="00D0121D" w:rsidRDefault="00D0121D" w:rsidP="00D0121D">
            <w:pPr>
              <w:suppressAutoHyphens/>
              <w:spacing w:after="200"/>
              <w:jc w:val="right"/>
              <w:rPr>
                <w:rFonts w:ascii="Calibri" w:eastAsia="Calibri" w:hAnsi="Calibri" w:cs="Calibri"/>
                <w:sz w:val="22"/>
                <w:szCs w:val="22"/>
                <w:lang w:eastAsia="en-US"/>
              </w:rPr>
            </w:pPr>
            <w:r w:rsidRPr="00D0121D">
              <w:rPr>
                <w:rFonts w:ascii="Calibri" w:eastAsia="Calibri" w:hAnsi="Calibri" w:cs="Calibri"/>
                <w:sz w:val="22"/>
                <w:szCs w:val="22"/>
                <w:lang w:eastAsia="en-US"/>
              </w:rPr>
              <w:t>L</w:t>
            </w:r>
          </w:p>
        </w:tc>
        <w:tc>
          <w:tcPr>
            <w:tcW w:w="1472" w:type="dxa"/>
            <w:vMerge w:val="restart"/>
          </w:tcPr>
          <w:p w14:paraId="3741F3E0"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Vandenput</w:t>
            </w:r>
          </w:p>
        </w:tc>
        <w:tc>
          <w:tcPr>
            <w:tcW w:w="3827" w:type="dxa"/>
          </w:tcPr>
          <w:p w14:paraId="78359EBB"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Mary McKillop Institute for Health Research, Australian Catholic University, Melbourne, Australia</w:t>
            </w:r>
          </w:p>
        </w:tc>
        <w:tc>
          <w:tcPr>
            <w:tcW w:w="3278" w:type="dxa"/>
            <w:vMerge w:val="restart"/>
          </w:tcPr>
          <w:p w14:paraId="3C175B47"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liesbeth.vandenput@acu.edu.au</w:t>
            </w:r>
          </w:p>
        </w:tc>
      </w:tr>
      <w:tr w:rsidR="00D0121D" w:rsidRPr="00D0121D" w14:paraId="07B7AABA" w14:textId="77777777" w:rsidTr="00124C96">
        <w:tc>
          <w:tcPr>
            <w:tcW w:w="650" w:type="dxa"/>
            <w:vMerge/>
          </w:tcPr>
          <w:p w14:paraId="404DF9B2" w14:textId="77777777" w:rsidR="00D0121D" w:rsidRPr="00D0121D" w:rsidRDefault="00D0121D" w:rsidP="00D0121D">
            <w:pPr>
              <w:suppressAutoHyphens/>
              <w:spacing w:after="200"/>
              <w:jc w:val="right"/>
              <w:rPr>
                <w:rFonts w:ascii="Calibri" w:eastAsia="Calibri" w:hAnsi="Calibri" w:cs="Calibri"/>
                <w:sz w:val="22"/>
                <w:szCs w:val="22"/>
                <w:lang w:eastAsia="en-US"/>
              </w:rPr>
            </w:pPr>
          </w:p>
        </w:tc>
        <w:tc>
          <w:tcPr>
            <w:tcW w:w="1472" w:type="dxa"/>
            <w:vMerge/>
          </w:tcPr>
          <w:p w14:paraId="0A710672" w14:textId="77777777" w:rsidR="00D0121D" w:rsidRPr="00D0121D" w:rsidRDefault="00D0121D" w:rsidP="00D0121D">
            <w:pPr>
              <w:suppressAutoHyphens/>
              <w:spacing w:after="200"/>
              <w:rPr>
                <w:rFonts w:ascii="Calibri" w:eastAsia="Calibri" w:hAnsi="Calibri" w:cs="Calibri"/>
                <w:sz w:val="22"/>
                <w:szCs w:val="22"/>
                <w:lang w:eastAsia="en-US"/>
              </w:rPr>
            </w:pPr>
          </w:p>
        </w:tc>
        <w:tc>
          <w:tcPr>
            <w:tcW w:w="3827" w:type="dxa"/>
          </w:tcPr>
          <w:p w14:paraId="2D1102A8"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Centre for Bone and Arthritis Research, Department of Internal Medicine and Clinical Nutrition, Institute of Medicine, Sahlgrenska Academy, University of Gothenburg, Sweden</w:t>
            </w:r>
          </w:p>
        </w:tc>
        <w:tc>
          <w:tcPr>
            <w:tcW w:w="3278" w:type="dxa"/>
            <w:vMerge/>
          </w:tcPr>
          <w:p w14:paraId="009FA633" w14:textId="77777777" w:rsidR="00D0121D" w:rsidRPr="00D0121D" w:rsidRDefault="00D0121D" w:rsidP="00D0121D">
            <w:pPr>
              <w:suppressAutoHyphens/>
              <w:spacing w:after="200"/>
              <w:rPr>
                <w:rFonts w:ascii="Calibri" w:eastAsia="Calibri" w:hAnsi="Calibri" w:cs="Calibri"/>
                <w:sz w:val="22"/>
                <w:szCs w:val="22"/>
                <w:lang w:eastAsia="en-US"/>
              </w:rPr>
            </w:pPr>
          </w:p>
        </w:tc>
      </w:tr>
      <w:tr w:rsidR="00D0121D" w:rsidRPr="00D0121D" w14:paraId="01683DF9" w14:textId="77777777" w:rsidTr="00124C96">
        <w:tc>
          <w:tcPr>
            <w:tcW w:w="650" w:type="dxa"/>
            <w:vMerge w:val="restart"/>
          </w:tcPr>
          <w:p w14:paraId="2C1D5DE4" w14:textId="77777777" w:rsidR="00D0121D" w:rsidRPr="00D0121D" w:rsidRDefault="00D0121D" w:rsidP="00D0121D">
            <w:pPr>
              <w:suppressAutoHyphens/>
              <w:spacing w:after="200"/>
              <w:jc w:val="right"/>
              <w:rPr>
                <w:rFonts w:ascii="Calibri" w:eastAsia="Calibri" w:hAnsi="Calibri" w:cs="Calibri"/>
                <w:sz w:val="22"/>
                <w:szCs w:val="22"/>
                <w:lang w:eastAsia="en-US"/>
              </w:rPr>
            </w:pPr>
            <w:r w:rsidRPr="00D0121D">
              <w:rPr>
                <w:rFonts w:ascii="Calibri" w:eastAsia="Calibri" w:hAnsi="Calibri" w:cs="Calibri"/>
                <w:sz w:val="22"/>
                <w:szCs w:val="22"/>
                <w:lang w:eastAsia="en-US"/>
              </w:rPr>
              <w:t>M</w:t>
            </w:r>
          </w:p>
        </w:tc>
        <w:tc>
          <w:tcPr>
            <w:tcW w:w="1472" w:type="dxa"/>
            <w:vMerge w:val="restart"/>
          </w:tcPr>
          <w:p w14:paraId="7DA7BB45"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Lorentzon</w:t>
            </w:r>
          </w:p>
        </w:tc>
        <w:tc>
          <w:tcPr>
            <w:tcW w:w="3827" w:type="dxa"/>
          </w:tcPr>
          <w:p w14:paraId="26C83A8B"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Mary McKillop Institute for Health Research, Australian Catholic University, Melbourne, Australia</w:t>
            </w:r>
          </w:p>
        </w:tc>
        <w:tc>
          <w:tcPr>
            <w:tcW w:w="3278" w:type="dxa"/>
            <w:vMerge w:val="restart"/>
          </w:tcPr>
          <w:p w14:paraId="6A7ABB16"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mattias.lorentzon@medic.gu.se</w:t>
            </w:r>
          </w:p>
        </w:tc>
      </w:tr>
      <w:tr w:rsidR="00D0121D" w:rsidRPr="00D0121D" w14:paraId="3A53F3DB" w14:textId="77777777" w:rsidTr="00124C96">
        <w:tc>
          <w:tcPr>
            <w:tcW w:w="650" w:type="dxa"/>
            <w:vMerge/>
          </w:tcPr>
          <w:p w14:paraId="171E1A0E" w14:textId="77777777" w:rsidR="00D0121D" w:rsidRPr="00D0121D" w:rsidRDefault="00D0121D" w:rsidP="00D0121D">
            <w:pPr>
              <w:suppressAutoHyphens/>
              <w:spacing w:after="200"/>
              <w:jc w:val="right"/>
              <w:rPr>
                <w:rFonts w:ascii="Calibri" w:eastAsia="Calibri" w:hAnsi="Calibri" w:cs="Calibri"/>
                <w:sz w:val="22"/>
                <w:szCs w:val="22"/>
                <w:lang w:eastAsia="en-US"/>
              </w:rPr>
            </w:pPr>
          </w:p>
        </w:tc>
        <w:tc>
          <w:tcPr>
            <w:tcW w:w="1472" w:type="dxa"/>
            <w:vMerge/>
          </w:tcPr>
          <w:p w14:paraId="78DA3F16" w14:textId="77777777" w:rsidR="00D0121D" w:rsidRPr="00D0121D" w:rsidRDefault="00D0121D" w:rsidP="00D0121D">
            <w:pPr>
              <w:suppressAutoHyphens/>
              <w:spacing w:after="200"/>
              <w:rPr>
                <w:rFonts w:ascii="Calibri" w:eastAsia="Calibri" w:hAnsi="Calibri" w:cs="Calibri"/>
                <w:sz w:val="22"/>
                <w:szCs w:val="22"/>
                <w:lang w:eastAsia="en-US"/>
              </w:rPr>
            </w:pPr>
          </w:p>
        </w:tc>
        <w:tc>
          <w:tcPr>
            <w:tcW w:w="3827" w:type="dxa"/>
          </w:tcPr>
          <w:p w14:paraId="67B31694"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Sahlgrenska Osteoporosis Centre, Institute of Medicine, University of Gothenburg, Sweden</w:t>
            </w:r>
          </w:p>
        </w:tc>
        <w:tc>
          <w:tcPr>
            <w:tcW w:w="3278" w:type="dxa"/>
            <w:vMerge/>
          </w:tcPr>
          <w:p w14:paraId="5C761D6E" w14:textId="77777777" w:rsidR="00D0121D" w:rsidRPr="00D0121D" w:rsidRDefault="00D0121D" w:rsidP="00D0121D">
            <w:pPr>
              <w:suppressAutoHyphens/>
              <w:spacing w:after="200"/>
              <w:rPr>
                <w:rFonts w:ascii="Calibri" w:eastAsia="Calibri" w:hAnsi="Calibri" w:cs="Calibri"/>
                <w:sz w:val="22"/>
                <w:szCs w:val="22"/>
                <w:lang w:eastAsia="en-US"/>
              </w:rPr>
            </w:pPr>
          </w:p>
        </w:tc>
      </w:tr>
      <w:tr w:rsidR="00D0121D" w:rsidRPr="00D0121D" w14:paraId="6935357F" w14:textId="77777777" w:rsidTr="00124C96">
        <w:tc>
          <w:tcPr>
            <w:tcW w:w="650" w:type="dxa"/>
            <w:vMerge w:val="restart"/>
          </w:tcPr>
          <w:p w14:paraId="41BEEBCE" w14:textId="77777777" w:rsidR="00D0121D" w:rsidRPr="00D0121D" w:rsidRDefault="00D0121D" w:rsidP="00D0121D">
            <w:pPr>
              <w:suppressAutoHyphens/>
              <w:spacing w:after="200"/>
              <w:jc w:val="right"/>
              <w:rPr>
                <w:rFonts w:ascii="Calibri" w:eastAsia="Calibri" w:hAnsi="Calibri" w:cs="Calibri"/>
                <w:sz w:val="22"/>
                <w:szCs w:val="22"/>
                <w:lang w:eastAsia="en-US"/>
              </w:rPr>
            </w:pPr>
            <w:r w:rsidRPr="00D0121D">
              <w:rPr>
                <w:rFonts w:ascii="Calibri" w:eastAsia="Calibri" w:hAnsi="Calibri" w:cs="Calibri"/>
                <w:sz w:val="22"/>
                <w:szCs w:val="22"/>
                <w:lang w:eastAsia="en-US"/>
              </w:rPr>
              <w:t>EV</w:t>
            </w:r>
          </w:p>
        </w:tc>
        <w:tc>
          <w:tcPr>
            <w:tcW w:w="1472" w:type="dxa"/>
            <w:vMerge w:val="restart"/>
          </w:tcPr>
          <w:p w14:paraId="5469101B" w14:textId="525F1E1E"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McCloskey</w:t>
            </w:r>
          </w:p>
        </w:tc>
        <w:tc>
          <w:tcPr>
            <w:tcW w:w="3827" w:type="dxa"/>
          </w:tcPr>
          <w:p w14:paraId="5D9BC694"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hAnsi="Calibri" w:cs="Calibri"/>
                <w:sz w:val="22"/>
                <w:szCs w:val="22"/>
              </w:rPr>
              <w:t>Centre for Metabolic Bone Diseases, University of Sheffield, Sheffield, UK</w:t>
            </w:r>
          </w:p>
        </w:tc>
        <w:tc>
          <w:tcPr>
            <w:tcW w:w="3278" w:type="dxa"/>
            <w:vMerge w:val="restart"/>
          </w:tcPr>
          <w:p w14:paraId="3C1E15C0"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e.v.mccloskey@sheffield.ac.uk</w:t>
            </w:r>
          </w:p>
        </w:tc>
      </w:tr>
      <w:tr w:rsidR="00D0121D" w:rsidRPr="00D0121D" w14:paraId="419AF6A5" w14:textId="77777777" w:rsidTr="00124C96">
        <w:tc>
          <w:tcPr>
            <w:tcW w:w="650" w:type="dxa"/>
            <w:vMerge/>
          </w:tcPr>
          <w:p w14:paraId="395245AB" w14:textId="77777777" w:rsidR="00D0121D" w:rsidRPr="00D0121D" w:rsidRDefault="00D0121D" w:rsidP="00D0121D">
            <w:pPr>
              <w:suppressAutoHyphens/>
              <w:spacing w:after="200"/>
              <w:jc w:val="right"/>
              <w:rPr>
                <w:rFonts w:ascii="Calibri" w:eastAsia="Calibri" w:hAnsi="Calibri" w:cs="Calibri"/>
                <w:sz w:val="22"/>
                <w:szCs w:val="22"/>
                <w:lang w:eastAsia="en-US"/>
              </w:rPr>
            </w:pPr>
          </w:p>
        </w:tc>
        <w:tc>
          <w:tcPr>
            <w:tcW w:w="1472" w:type="dxa"/>
            <w:vMerge/>
          </w:tcPr>
          <w:p w14:paraId="2447869E" w14:textId="77777777" w:rsidR="00D0121D" w:rsidRPr="00D0121D" w:rsidRDefault="00D0121D" w:rsidP="00D0121D">
            <w:pPr>
              <w:suppressAutoHyphens/>
              <w:spacing w:after="200"/>
              <w:rPr>
                <w:rFonts w:ascii="Calibri" w:eastAsia="Calibri" w:hAnsi="Calibri" w:cs="Calibri"/>
                <w:sz w:val="22"/>
                <w:szCs w:val="22"/>
                <w:lang w:eastAsia="en-US"/>
              </w:rPr>
            </w:pPr>
          </w:p>
        </w:tc>
        <w:tc>
          <w:tcPr>
            <w:tcW w:w="3827" w:type="dxa"/>
          </w:tcPr>
          <w:p w14:paraId="6704188A" w14:textId="77777777" w:rsidR="00D0121D" w:rsidRPr="00D0121D" w:rsidRDefault="00D0121D" w:rsidP="00D0121D">
            <w:pPr>
              <w:suppressAutoHyphens/>
              <w:spacing w:after="200"/>
              <w:rPr>
                <w:rFonts w:ascii="Calibri" w:hAnsi="Calibri" w:cs="Calibri"/>
                <w:sz w:val="22"/>
                <w:szCs w:val="22"/>
              </w:rPr>
            </w:pPr>
            <w:r w:rsidRPr="00D0121D">
              <w:rPr>
                <w:rFonts w:ascii="Calibri" w:hAnsi="Calibri" w:cs="Calibri"/>
                <w:sz w:val="22"/>
                <w:szCs w:val="22"/>
              </w:rPr>
              <w:t>Mellanby Centre for Musculoskeletal Research, Department of Oncology and Metabolism, University of Sheffield, Sheffield, UK</w:t>
            </w:r>
          </w:p>
        </w:tc>
        <w:tc>
          <w:tcPr>
            <w:tcW w:w="3278" w:type="dxa"/>
            <w:vMerge/>
          </w:tcPr>
          <w:p w14:paraId="232E485E" w14:textId="77777777" w:rsidR="00D0121D" w:rsidRPr="00D0121D" w:rsidRDefault="00D0121D" w:rsidP="00D0121D">
            <w:pPr>
              <w:suppressAutoHyphens/>
              <w:spacing w:after="200"/>
              <w:rPr>
                <w:rFonts w:ascii="Calibri" w:eastAsia="Calibri" w:hAnsi="Calibri" w:cs="Calibri"/>
                <w:sz w:val="22"/>
                <w:szCs w:val="22"/>
                <w:lang w:eastAsia="en-US"/>
              </w:rPr>
            </w:pPr>
          </w:p>
        </w:tc>
      </w:tr>
      <w:tr w:rsidR="00D0121D" w:rsidRPr="00D0121D" w14:paraId="30C588BC" w14:textId="77777777" w:rsidTr="00124C96">
        <w:tc>
          <w:tcPr>
            <w:tcW w:w="650" w:type="dxa"/>
            <w:vMerge w:val="restart"/>
          </w:tcPr>
          <w:p w14:paraId="70F4F021" w14:textId="77777777" w:rsidR="00D0121D" w:rsidRPr="00D0121D" w:rsidRDefault="00D0121D" w:rsidP="00D0121D">
            <w:pPr>
              <w:suppressAutoHyphens/>
              <w:spacing w:after="200"/>
              <w:jc w:val="right"/>
              <w:rPr>
                <w:rFonts w:ascii="Calibri" w:eastAsia="Calibri" w:hAnsi="Calibri" w:cs="Calibri"/>
                <w:sz w:val="22"/>
                <w:szCs w:val="22"/>
                <w:lang w:eastAsia="en-US"/>
              </w:rPr>
            </w:pPr>
            <w:r w:rsidRPr="00D0121D">
              <w:rPr>
                <w:rFonts w:ascii="Calibri" w:eastAsia="Calibri" w:hAnsi="Calibri" w:cs="Calibri"/>
                <w:sz w:val="22"/>
                <w:szCs w:val="22"/>
                <w:lang w:eastAsia="en-US"/>
              </w:rPr>
              <w:t>JA</w:t>
            </w:r>
          </w:p>
        </w:tc>
        <w:tc>
          <w:tcPr>
            <w:tcW w:w="1472" w:type="dxa"/>
            <w:vMerge w:val="restart"/>
          </w:tcPr>
          <w:p w14:paraId="7FAD1A2B"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Kanis</w:t>
            </w:r>
          </w:p>
        </w:tc>
        <w:tc>
          <w:tcPr>
            <w:tcW w:w="3827" w:type="dxa"/>
          </w:tcPr>
          <w:p w14:paraId="2ED1F150"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Mary McKillop Institute for Health Research, Australian Catholic University, Melbourne, Australia</w:t>
            </w:r>
          </w:p>
        </w:tc>
        <w:tc>
          <w:tcPr>
            <w:tcW w:w="3278" w:type="dxa"/>
            <w:vMerge w:val="restart"/>
          </w:tcPr>
          <w:p w14:paraId="4723501F"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w.j.pontefract@shef.ac.uk</w:t>
            </w:r>
          </w:p>
        </w:tc>
      </w:tr>
      <w:tr w:rsidR="00D0121D" w:rsidRPr="00D0121D" w14:paraId="6D105106" w14:textId="77777777" w:rsidTr="00124C96">
        <w:tc>
          <w:tcPr>
            <w:tcW w:w="650" w:type="dxa"/>
            <w:vMerge/>
          </w:tcPr>
          <w:p w14:paraId="251B551D" w14:textId="77777777" w:rsidR="00D0121D" w:rsidRPr="00D0121D" w:rsidRDefault="00D0121D" w:rsidP="00D0121D">
            <w:pPr>
              <w:suppressAutoHyphens/>
              <w:spacing w:after="200"/>
              <w:jc w:val="right"/>
              <w:rPr>
                <w:rFonts w:ascii="Calibri" w:eastAsia="Calibri" w:hAnsi="Calibri" w:cs="Calibri"/>
                <w:sz w:val="22"/>
                <w:szCs w:val="22"/>
                <w:lang w:eastAsia="en-US"/>
              </w:rPr>
            </w:pPr>
          </w:p>
        </w:tc>
        <w:tc>
          <w:tcPr>
            <w:tcW w:w="1472" w:type="dxa"/>
            <w:vMerge/>
          </w:tcPr>
          <w:p w14:paraId="249CF195" w14:textId="77777777" w:rsidR="00D0121D" w:rsidRPr="00D0121D" w:rsidRDefault="00D0121D" w:rsidP="00D0121D">
            <w:pPr>
              <w:suppressAutoHyphens/>
              <w:spacing w:after="200"/>
              <w:rPr>
                <w:rFonts w:ascii="Calibri" w:eastAsia="Calibri" w:hAnsi="Calibri" w:cs="Calibri"/>
                <w:sz w:val="22"/>
                <w:szCs w:val="22"/>
                <w:lang w:eastAsia="en-US"/>
              </w:rPr>
            </w:pPr>
          </w:p>
        </w:tc>
        <w:tc>
          <w:tcPr>
            <w:tcW w:w="3827" w:type="dxa"/>
          </w:tcPr>
          <w:p w14:paraId="33ECB5E0" w14:textId="77777777" w:rsidR="00D0121D" w:rsidRPr="00D0121D" w:rsidRDefault="00D0121D" w:rsidP="00D0121D">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Centre for Metabolic Bone Diseases, University of Sheffield, Sheffield, UK</w:t>
            </w:r>
          </w:p>
        </w:tc>
        <w:tc>
          <w:tcPr>
            <w:tcW w:w="3278" w:type="dxa"/>
            <w:vMerge/>
          </w:tcPr>
          <w:p w14:paraId="1B0A1690" w14:textId="77777777" w:rsidR="00D0121D" w:rsidRPr="00D0121D" w:rsidRDefault="00D0121D" w:rsidP="00D0121D">
            <w:pPr>
              <w:suppressAutoHyphens/>
              <w:spacing w:after="200"/>
              <w:rPr>
                <w:rFonts w:ascii="Calibri" w:eastAsia="Calibri" w:hAnsi="Calibri" w:cs="Calibri"/>
                <w:sz w:val="22"/>
                <w:szCs w:val="22"/>
                <w:lang w:eastAsia="en-US"/>
              </w:rPr>
            </w:pPr>
          </w:p>
        </w:tc>
      </w:tr>
      <w:tr w:rsidR="00204D48" w:rsidRPr="00D0121D" w14:paraId="14943EBF" w14:textId="77777777" w:rsidTr="00124C96">
        <w:trPr>
          <w:trHeight w:val="335"/>
        </w:trPr>
        <w:tc>
          <w:tcPr>
            <w:tcW w:w="650" w:type="dxa"/>
            <w:vMerge w:val="restart"/>
          </w:tcPr>
          <w:p w14:paraId="7BB0861D" w14:textId="5C0276E9" w:rsidR="00204D48" w:rsidRPr="00D0121D" w:rsidRDefault="00204D48" w:rsidP="00204D48">
            <w:pPr>
              <w:suppressAutoHyphens/>
              <w:spacing w:after="200"/>
              <w:jc w:val="right"/>
              <w:rPr>
                <w:rFonts w:ascii="Calibri" w:eastAsia="Calibri" w:hAnsi="Calibri" w:cs="Calibri"/>
                <w:sz w:val="22"/>
                <w:szCs w:val="22"/>
                <w:lang w:eastAsia="en-US"/>
              </w:rPr>
            </w:pPr>
            <w:bookmarkStart w:id="3" w:name="_Hlk87528372"/>
            <w:bookmarkEnd w:id="2"/>
            <w:r w:rsidRPr="00D0121D">
              <w:rPr>
                <w:rFonts w:ascii="Calibri" w:eastAsia="Calibri" w:hAnsi="Calibri" w:cs="Calibri"/>
                <w:sz w:val="22"/>
                <w:szCs w:val="22"/>
                <w:lang w:eastAsia="en-US"/>
              </w:rPr>
              <w:t>H</w:t>
            </w:r>
          </w:p>
        </w:tc>
        <w:tc>
          <w:tcPr>
            <w:tcW w:w="1472" w:type="dxa"/>
            <w:vMerge w:val="restart"/>
          </w:tcPr>
          <w:p w14:paraId="3E160C6F" w14:textId="6598B24B" w:rsidR="00204D48" w:rsidRPr="00D0121D" w:rsidRDefault="00204D48" w:rsidP="00204D48">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Johansson</w:t>
            </w:r>
          </w:p>
        </w:tc>
        <w:tc>
          <w:tcPr>
            <w:tcW w:w="3827" w:type="dxa"/>
          </w:tcPr>
          <w:p w14:paraId="6EE7C893" w14:textId="2DFCC56F" w:rsidR="00204D48" w:rsidRPr="00D0121D" w:rsidRDefault="00204D48" w:rsidP="00204D48">
            <w:pPr>
              <w:suppressAutoHyphens/>
              <w:spacing w:after="200"/>
              <w:rPr>
                <w:rFonts w:ascii="Calibri" w:eastAsia="Calibri" w:hAnsi="Calibri" w:cs="Calibri"/>
                <w:sz w:val="22"/>
                <w:szCs w:val="22"/>
                <w:lang w:val="en-AU" w:eastAsia="en-US"/>
              </w:rPr>
            </w:pPr>
            <w:r w:rsidRPr="00D0121D">
              <w:rPr>
                <w:rFonts w:ascii="Calibri" w:hAnsi="Calibri" w:cs="Calibri"/>
                <w:sz w:val="22"/>
                <w:szCs w:val="22"/>
              </w:rPr>
              <w:t>Mary McKillop Institute for Health Research, Australian Catholic University, Melbourne, Australia</w:t>
            </w:r>
          </w:p>
        </w:tc>
        <w:tc>
          <w:tcPr>
            <w:tcW w:w="3278" w:type="dxa"/>
            <w:vMerge w:val="restart"/>
          </w:tcPr>
          <w:p w14:paraId="4D06AFD4" w14:textId="552EF32A" w:rsidR="00204D48" w:rsidRPr="00D0121D" w:rsidRDefault="00204D48" w:rsidP="00204D48">
            <w:pPr>
              <w:suppressAutoHyphens/>
              <w:spacing w:after="200"/>
              <w:rPr>
                <w:rFonts w:ascii="Calibri" w:eastAsia="Calibri" w:hAnsi="Calibri" w:cs="Calibri"/>
                <w:sz w:val="22"/>
                <w:szCs w:val="22"/>
                <w:lang w:eastAsia="en-US"/>
              </w:rPr>
            </w:pPr>
            <w:r w:rsidRPr="00D0121D">
              <w:rPr>
                <w:rFonts w:ascii="Calibri" w:eastAsia="Calibri" w:hAnsi="Calibri" w:cs="Calibri"/>
                <w:sz w:val="22"/>
                <w:szCs w:val="22"/>
                <w:lang w:eastAsia="en-US"/>
              </w:rPr>
              <w:t>helena@statiq.se</w:t>
            </w:r>
          </w:p>
        </w:tc>
      </w:tr>
      <w:tr w:rsidR="00204D48" w:rsidRPr="00D0121D" w14:paraId="1069CB90" w14:textId="77777777" w:rsidTr="00124C96">
        <w:trPr>
          <w:trHeight w:val="335"/>
        </w:trPr>
        <w:tc>
          <w:tcPr>
            <w:tcW w:w="650" w:type="dxa"/>
            <w:vMerge/>
          </w:tcPr>
          <w:p w14:paraId="6E6D37EA" w14:textId="77777777" w:rsidR="00204D48" w:rsidRPr="00D0121D" w:rsidRDefault="00204D48" w:rsidP="00204D48">
            <w:pPr>
              <w:suppressAutoHyphens/>
              <w:spacing w:after="200"/>
              <w:jc w:val="right"/>
              <w:rPr>
                <w:rFonts w:ascii="Calibri" w:eastAsia="Calibri" w:hAnsi="Calibri" w:cs="Calibri"/>
                <w:sz w:val="22"/>
                <w:szCs w:val="22"/>
                <w:lang w:eastAsia="en-US"/>
              </w:rPr>
            </w:pPr>
          </w:p>
        </w:tc>
        <w:tc>
          <w:tcPr>
            <w:tcW w:w="1472" w:type="dxa"/>
            <w:vMerge/>
          </w:tcPr>
          <w:p w14:paraId="6F06FDD2" w14:textId="77777777" w:rsidR="00204D48" w:rsidRPr="00D0121D" w:rsidRDefault="00204D48" w:rsidP="00204D48">
            <w:pPr>
              <w:suppressAutoHyphens/>
              <w:spacing w:after="200"/>
              <w:rPr>
                <w:rFonts w:ascii="Calibri" w:eastAsia="Calibri" w:hAnsi="Calibri" w:cs="Calibri"/>
                <w:sz w:val="22"/>
                <w:szCs w:val="22"/>
                <w:lang w:eastAsia="en-US"/>
              </w:rPr>
            </w:pPr>
          </w:p>
        </w:tc>
        <w:tc>
          <w:tcPr>
            <w:tcW w:w="3827" w:type="dxa"/>
          </w:tcPr>
          <w:p w14:paraId="7A445E31" w14:textId="59250F14" w:rsidR="00204D48" w:rsidRPr="00D0121D" w:rsidRDefault="00204D48" w:rsidP="00204D48">
            <w:pPr>
              <w:suppressAutoHyphens/>
              <w:spacing w:after="200"/>
              <w:rPr>
                <w:rFonts w:ascii="Calibri" w:hAnsi="Calibri" w:cs="Calibri"/>
                <w:sz w:val="22"/>
                <w:szCs w:val="22"/>
              </w:rPr>
            </w:pPr>
            <w:r w:rsidRPr="00D0121D">
              <w:rPr>
                <w:rFonts w:ascii="Calibri" w:hAnsi="Calibri" w:cs="Calibri"/>
                <w:sz w:val="22"/>
                <w:szCs w:val="22"/>
              </w:rPr>
              <w:t>Centre for Metabolic Bone Diseases, University of Sheffield, Sheffield, UK</w:t>
            </w:r>
          </w:p>
        </w:tc>
        <w:tc>
          <w:tcPr>
            <w:tcW w:w="3278" w:type="dxa"/>
            <w:vMerge/>
          </w:tcPr>
          <w:p w14:paraId="2BDE7636" w14:textId="77777777" w:rsidR="00204D48" w:rsidRPr="00D0121D" w:rsidRDefault="00204D48" w:rsidP="00204D48">
            <w:pPr>
              <w:suppressAutoHyphens/>
              <w:spacing w:after="200"/>
              <w:rPr>
                <w:rFonts w:ascii="Calibri" w:eastAsia="Calibri" w:hAnsi="Calibri" w:cs="Calibri"/>
                <w:sz w:val="22"/>
                <w:szCs w:val="22"/>
                <w:lang w:eastAsia="en-US"/>
              </w:rPr>
            </w:pPr>
          </w:p>
        </w:tc>
      </w:tr>
      <w:tr w:rsidR="00204D48" w:rsidRPr="00D0121D" w14:paraId="456B7030" w14:textId="77777777" w:rsidTr="00124C96">
        <w:trPr>
          <w:trHeight w:val="335"/>
        </w:trPr>
        <w:tc>
          <w:tcPr>
            <w:tcW w:w="650" w:type="dxa"/>
            <w:vMerge/>
          </w:tcPr>
          <w:p w14:paraId="45B313E7" w14:textId="77777777" w:rsidR="00204D48" w:rsidRPr="00D0121D" w:rsidRDefault="00204D48" w:rsidP="00204D48">
            <w:pPr>
              <w:suppressAutoHyphens/>
              <w:spacing w:after="200"/>
              <w:jc w:val="right"/>
              <w:rPr>
                <w:rFonts w:ascii="Calibri" w:eastAsia="Calibri" w:hAnsi="Calibri" w:cs="Calibri"/>
                <w:sz w:val="22"/>
                <w:szCs w:val="22"/>
                <w:lang w:eastAsia="en-US"/>
              </w:rPr>
            </w:pPr>
          </w:p>
        </w:tc>
        <w:tc>
          <w:tcPr>
            <w:tcW w:w="1472" w:type="dxa"/>
            <w:vMerge/>
          </w:tcPr>
          <w:p w14:paraId="020F4E6D" w14:textId="77777777" w:rsidR="00204D48" w:rsidRPr="00D0121D" w:rsidRDefault="00204D48" w:rsidP="00204D48">
            <w:pPr>
              <w:suppressAutoHyphens/>
              <w:spacing w:after="200"/>
              <w:rPr>
                <w:rFonts w:ascii="Calibri" w:eastAsia="Calibri" w:hAnsi="Calibri" w:cs="Calibri"/>
                <w:sz w:val="22"/>
                <w:szCs w:val="22"/>
                <w:lang w:eastAsia="en-US"/>
              </w:rPr>
            </w:pPr>
          </w:p>
        </w:tc>
        <w:tc>
          <w:tcPr>
            <w:tcW w:w="3827" w:type="dxa"/>
          </w:tcPr>
          <w:p w14:paraId="20406658" w14:textId="7DC066DA" w:rsidR="00204D48" w:rsidRPr="00D0121D" w:rsidRDefault="00204D48" w:rsidP="00204D48">
            <w:pPr>
              <w:suppressAutoHyphens/>
              <w:spacing w:after="200"/>
              <w:rPr>
                <w:rFonts w:ascii="Calibri" w:hAnsi="Calibri" w:cs="Calibri"/>
                <w:sz w:val="22"/>
                <w:szCs w:val="22"/>
              </w:rPr>
            </w:pPr>
            <w:r w:rsidRPr="00D0121D">
              <w:rPr>
                <w:rFonts w:ascii="Calibri" w:eastAsia="Calibri" w:hAnsi="Calibri" w:cs="Calibri"/>
                <w:sz w:val="22"/>
                <w:szCs w:val="22"/>
                <w:lang w:eastAsia="en-US"/>
              </w:rPr>
              <w:t>Sahlgrenska Osteoporosis Centre, Institute of Medicine, University of Gothenburg, Sweden</w:t>
            </w:r>
          </w:p>
        </w:tc>
        <w:tc>
          <w:tcPr>
            <w:tcW w:w="3278" w:type="dxa"/>
            <w:vMerge/>
          </w:tcPr>
          <w:p w14:paraId="61A30108" w14:textId="77777777" w:rsidR="00204D48" w:rsidRPr="00D0121D" w:rsidRDefault="00204D48" w:rsidP="00204D48">
            <w:pPr>
              <w:suppressAutoHyphens/>
              <w:spacing w:after="200"/>
              <w:rPr>
                <w:rFonts w:ascii="Calibri" w:eastAsia="Calibri" w:hAnsi="Calibri" w:cs="Calibri"/>
                <w:sz w:val="22"/>
                <w:szCs w:val="22"/>
                <w:lang w:eastAsia="en-US"/>
              </w:rPr>
            </w:pPr>
          </w:p>
        </w:tc>
      </w:tr>
      <w:bookmarkEnd w:id="3"/>
    </w:tbl>
    <w:p w14:paraId="668E4481" w14:textId="77777777" w:rsidR="00D0121D" w:rsidRPr="00D0121D" w:rsidRDefault="00D0121D" w:rsidP="00D0121D">
      <w:pPr>
        <w:suppressAutoHyphens/>
        <w:spacing w:line="360" w:lineRule="auto"/>
        <w:ind w:left="567"/>
        <w:rPr>
          <w:rFonts w:ascii="Calibri" w:eastAsia="Calibri" w:hAnsi="Calibri"/>
          <w:lang w:val="en-GB" w:eastAsia="en-US"/>
        </w:rPr>
      </w:pPr>
    </w:p>
    <w:p w14:paraId="0731A265" w14:textId="77777777" w:rsidR="00172882" w:rsidRPr="00172882" w:rsidRDefault="00172882" w:rsidP="00172882">
      <w:pPr>
        <w:ind w:left="567" w:right="-7"/>
        <w:rPr>
          <w:rFonts w:ascii="Calibri" w:eastAsia="MS Mincho" w:hAnsi="Calibri" w:cs="Calibri"/>
          <w:b/>
          <w:bCs/>
          <w:iCs/>
          <w:lang w:val="en-GB" w:eastAsia="ja-JP"/>
        </w:rPr>
      </w:pPr>
      <w:bookmarkStart w:id="4" w:name="_Hlk14120739"/>
      <w:r w:rsidRPr="00172882">
        <w:rPr>
          <w:rFonts w:ascii="Calibri" w:eastAsia="MS Mincho" w:hAnsi="Calibri" w:cs="Calibri"/>
          <w:b/>
          <w:bCs/>
          <w:iCs/>
          <w:lang w:val="en-GB" w:eastAsia="ja-JP"/>
        </w:rPr>
        <w:t>Author for correspondence</w:t>
      </w:r>
    </w:p>
    <w:p w14:paraId="162FA648" w14:textId="77777777" w:rsidR="00172882" w:rsidRPr="00172882" w:rsidRDefault="00172882" w:rsidP="00172882">
      <w:pPr>
        <w:ind w:left="567" w:right="-7"/>
        <w:rPr>
          <w:rFonts w:ascii="Calibri" w:eastAsia="MS Mincho" w:hAnsi="Calibri" w:cs="Calibri"/>
          <w:iCs/>
          <w:lang w:val="en-GB" w:eastAsia="ja-JP"/>
        </w:rPr>
      </w:pPr>
      <w:r w:rsidRPr="00172882">
        <w:rPr>
          <w:rFonts w:ascii="Calibri" w:eastAsia="MS Mincho" w:hAnsi="Calibri" w:cs="Calibri"/>
          <w:iCs/>
          <w:lang w:val="en-GB" w:eastAsia="ja-JP"/>
        </w:rPr>
        <w:t xml:space="preserve">John A Kanis </w:t>
      </w:r>
      <w:r w:rsidRPr="00172882">
        <w:rPr>
          <w:rFonts w:ascii="Calibri" w:eastAsia="MS Mincho" w:hAnsi="Calibri" w:cs="Calibri"/>
          <w:lang w:val="en-US" w:eastAsia="ja-JP"/>
        </w:rPr>
        <w:t>(</w:t>
      </w:r>
      <w:r w:rsidRPr="00172882">
        <w:rPr>
          <w:rFonts w:ascii="Calibri" w:eastAsia="MS Mincho" w:hAnsi="Calibri" w:cs="Calibri"/>
          <w:lang w:val="en-GB" w:eastAsia="ja-JP"/>
        </w:rPr>
        <w:sym w:font="Wingdings" w:char="F02A"/>
      </w:r>
      <w:r w:rsidRPr="00172882">
        <w:rPr>
          <w:rFonts w:ascii="Calibri" w:eastAsia="MS Mincho" w:hAnsi="Calibri" w:cs="Calibri"/>
          <w:lang w:val="en-US" w:eastAsia="ja-JP"/>
        </w:rPr>
        <w:t>)</w:t>
      </w:r>
      <w:r w:rsidRPr="00172882">
        <w:rPr>
          <w:rFonts w:ascii="Calibri" w:eastAsia="MS Mincho" w:hAnsi="Calibri" w:cs="Calibri"/>
          <w:iCs/>
          <w:lang w:val="en-GB" w:eastAsia="ja-JP"/>
        </w:rPr>
        <w:t xml:space="preserve">Centre for Metabolic Bone Diseases, University of Sheffield Medical School, </w:t>
      </w:r>
    </w:p>
    <w:p w14:paraId="3D0AC45D" w14:textId="77777777" w:rsidR="00172882" w:rsidRPr="000F3E59" w:rsidRDefault="00172882" w:rsidP="00172882">
      <w:pPr>
        <w:ind w:left="567" w:right="-7"/>
        <w:rPr>
          <w:rFonts w:ascii="Calibri" w:eastAsia="MS Mincho" w:hAnsi="Calibri" w:cs="Calibri"/>
          <w:iCs/>
          <w:lang w:val="fr-FR" w:eastAsia="ja-JP"/>
        </w:rPr>
      </w:pPr>
      <w:r w:rsidRPr="000F3E59">
        <w:rPr>
          <w:rFonts w:ascii="Calibri" w:eastAsia="MS Mincho" w:hAnsi="Calibri" w:cs="Calibri"/>
          <w:iCs/>
          <w:lang w:val="fr-FR" w:eastAsia="ja-JP"/>
        </w:rPr>
        <w:t xml:space="preserve">Tel: +44 114 285 1109 </w:t>
      </w:r>
    </w:p>
    <w:p w14:paraId="0AD4E9AE" w14:textId="77777777" w:rsidR="00172882" w:rsidRPr="000F3E59" w:rsidRDefault="00172882" w:rsidP="00172882">
      <w:pPr>
        <w:ind w:left="567" w:right="-7"/>
        <w:rPr>
          <w:rFonts w:ascii="Calibri" w:eastAsia="MS Mincho" w:hAnsi="Calibri" w:cs="Calibri"/>
          <w:iCs/>
          <w:lang w:val="fr-FR" w:eastAsia="ja-JP"/>
        </w:rPr>
      </w:pPr>
      <w:r w:rsidRPr="000F3E59">
        <w:rPr>
          <w:rFonts w:ascii="Calibri" w:eastAsia="MS Mincho" w:hAnsi="Calibri" w:cs="Calibri"/>
          <w:iCs/>
          <w:lang w:val="fr-FR" w:eastAsia="ja-JP"/>
        </w:rPr>
        <w:t xml:space="preserve">Email: </w:t>
      </w:r>
      <w:hyperlink r:id="rId8" w:history="1">
        <w:r w:rsidRPr="000F3E59">
          <w:rPr>
            <w:rFonts w:ascii="Calibri" w:eastAsia="MS Mincho" w:hAnsi="Calibri" w:cs="Calibri"/>
            <w:iCs/>
            <w:color w:val="0000FF"/>
            <w:u w:val="single"/>
            <w:lang w:val="fr-FR" w:eastAsia="ja-JP"/>
          </w:rPr>
          <w:t>w.j.Pontefract@sheffield.ac.uk</w:t>
        </w:r>
      </w:hyperlink>
    </w:p>
    <w:p w14:paraId="393B4F08" w14:textId="77777777" w:rsidR="00C82C5D" w:rsidRPr="004132E4" w:rsidRDefault="00D506DB" w:rsidP="004132E4">
      <w:pPr>
        <w:spacing w:line="480" w:lineRule="auto"/>
        <w:rPr>
          <w:b/>
          <w:bCs/>
          <w:color w:val="000000"/>
          <w:lang w:val="fr-FR"/>
        </w:rPr>
      </w:pPr>
      <w:r>
        <w:rPr>
          <w:rFonts w:asciiTheme="minorHAnsi" w:hAnsiTheme="minorHAnsi" w:cstheme="minorHAnsi"/>
          <w:b/>
          <w:bCs/>
          <w:color w:val="000000"/>
          <w:lang w:val="fr-FR"/>
        </w:rPr>
        <w:br w:type="column"/>
      </w:r>
      <w:r w:rsidR="00C82C5D" w:rsidRPr="004132E4">
        <w:rPr>
          <w:b/>
          <w:bCs/>
          <w:color w:val="000000"/>
          <w:lang w:val="fr-FR"/>
        </w:rPr>
        <w:lastRenderedPageBreak/>
        <w:t>Conflict of interest statement :</w:t>
      </w:r>
    </w:p>
    <w:p w14:paraId="3E4F2BBF" w14:textId="77777777" w:rsidR="004132E4" w:rsidRPr="004132E4" w:rsidRDefault="004132E4" w:rsidP="004132E4">
      <w:pPr>
        <w:spacing w:line="480" w:lineRule="auto"/>
        <w:rPr>
          <w:b/>
          <w:bCs/>
          <w:color w:val="000000"/>
          <w:lang w:val="fr-FR"/>
        </w:rPr>
      </w:pPr>
    </w:p>
    <w:p w14:paraId="61F2ACEC" w14:textId="06C11B27" w:rsidR="00C82C5D" w:rsidRPr="004132E4" w:rsidRDefault="00D506DB" w:rsidP="004132E4">
      <w:pPr>
        <w:spacing w:line="480" w:lineRule="auto"/>
        <w:rPr>
          <w:sz w:val="22"/>
          <w:szCs w:val="22"/>
          <w:lang w:eastAsia="en-GB"/>
        </w:rPr>
      </w:pPr>
      <w:r w:rsidRPr="004132E4">
        <w:rPr>
          <w:lang w:val="en-US"/>
        </w:rPr>
        <w:t>Nabeel Abdulla · Omar Suhail Alsaed · Abdo Lutf · Fiaz Alam · Ibrahim Abdulmomen · Samar Al Emadi · Nicholas C Harvey · Enwu Liu · Liesbeth Vandenput · Mattias Lorentzon · Eugene McCloskey · John A Kanis · Helena Johansson</w:t>
      </w:r>
      <w:r w:rsidR="00C82C5D" w:rsidRPr="004132E4">
        <w:rPr>
          <w:lang w:val="en-US"/>
        </w:rPr>
        <w:t xml:space="preserve"> </w:t>
      </w:r>
      <w:r w:rsidR="00C82C5D" w:rsidRPr="004132E4">
        <w:t>declare that they have no conflict of interest."</w:t>
      </w:r>
    </w:p>
    <w:p w14:paraId="59B0C844" w14:textId="35E0BF1D" w:rsidR="00D506DB" w:rsidRPr="004132E4" w:rsidRDefault="00D506DB" w:rsidP="004132E4">
      <w:pPr>
        <w:spacing w:line="480" w:lineRule="auto"/>
        <w:ind w:right="708"/>
        <w:jc w:val="both"/>
        <w:rPr>
          <w:lang w:val="en-US"/>
        </w:rPr>
      </w:pPr>
    </w:p>
    <w:p w14:paraId="226F1F97" w14:textId="6DFFB4F0" w:rsidR="00316D91" w:rsidRPr="000F3E59" w:rsidRDefault="00D506DB" w:rsidP="00316D91">
      <w:pPr>
        <w:keepNext/>
        <w:keepLines/>
        <w:spacing w:before="200" w:line="276" w:lineRule="auto"/>
        <w:ind w:left="567" w:right="1133"/>
        <w:jc w:val="both"/>
        <w:outlineLvl w:val="1"/>
        <w:rPr>
          <w:rFonts w:asciiTheme="minorHAnsi" w:hAnsiTheme="minorHAnsi" w:cstheme="minorHAnsi"/>
          <w:b/>
          <w:bCs/>
          <w:color w:val="000000"/>
          <w:lang w:val="fr-FR"/>
        </w:rPr>
      </w:pPr>
      <w:r>
        <w:rPr>
          <w:rFonts w:asciiTheme="minorHAnsi" w:hAnsiTheme="minorHAnsi" w:cstheme="minorHAnsi"/>
          <w:b/>
          <w:bCs/>
          <w:color w:val="000000"/>
          <w:lang w:val="fr-FR"/>
        </w:rPr>
        <w:br w:type="column"/>
      </w:r>
      <w:r w:rsidR="00316D91" w:rsidRPr="000F3E59">
        <w:rPr>
          <w:rFonts w:asciiTheme="minorHAnsi" w:hAnsiTheme="minorHAnsi" w:cstheme="minorHAnsi"/>
          <w:b/>
          <w:bCs/>
          <w:color w:val="000000"/>
          <w:lang w:val="fr-FR"/>
        </w:rPr>
        <w:t>Mini Abstract</w:t>
      </w:r>
    </w:p>
    <w:p w14:paraId="423B89D4" w14:textId="12CA6DD3" w:rsidR="00BB44DE" w:rsidRDefault="000A32D3" w:rsidP="00316D91">
      <w:pPr>
        <w:keepNext/>
        <w:keepLines/>
        <w:spacing w:before="200" w:line="276" w:lineRule="auto"/>
        <w:ind w:left="567" w:right="1133"/>
        <w:jc w:val="both"/>
        <w:outlineLvl w:val="1"/>
        <w:rPr>
          <w:rFonts w:asciiTheme="minorHAnsi" w:hAnsiTheme="minorHAnsi" w:cstheme="minorHAnsi"/>
          <w:bCs/>
          <w:color w:val="000000"/>
          <w:lang w:val="en-US"/>
        </w:rPr>
      </w:pPr>
      <w:r w:rsidRPr="000A32D3">
        <w:rPr>
          <w:rFonts w:asciiTheme="minorHAnsi" w:hAnsiTheme="minorHAnsi" w:cstheme="minorHAnsi"/>
          <w:bCs/>
          <w:color w:val="000000"/>
          <w:lang w:val="en-US"/>
        </w:rPr>
        <w:t>Hip fracture data were retrieved from electronical medical records for the years 2017-2019 in the State of Qatar</w:t>
      </w:r>
      <w:r>
        <w:rPr>
          <w:rFonts w:asciiTheme="minorHAnsi" w:hAnsiTheme="minorHAnsi" w:cstheme="minorHAnsi"/>
          <w:bCs/>
          <w:color w:val="000000"/>
          <w:lang w:val="en-US"/>
        </w:rPr>
        <w:t xml:space="preserve"> and</w:t>
      </w:r>
      <w:r w:rsidRPr="000A32D3">
        <w:rPr>
          <w:rFonts w:asciiTheme="minorHAnsi" w:hAnsiTheme="minorHAnsi" w:cstheme="minorHAnsi"/>
          <w:bCs/>
          <w:color w:val="000000"/>
          <w:lang w:val="en-US"/>
        </w:rPr>
        <w:t xml:space="preserve"> used to create a FRAX® model to facilitate fracture risk assessment. </w:t>
      </w:r>
      <w:r w:rsidR="00BB44DE">
        <w:rPr>
          <w:rFonts w:asciiTheme="minorHAnsi" w:hAnsiTheme="minorHAnsi" w:cstheme="minorHAnsi"/>
          <w:bCs/>
          <w:color w:val="000000"/>
          <w:lang w:val="en-US"/>
        </w:rPr>
        <w:t xml:space="preserve"> </w:t>
      </w:r>
      <w:r w:rsidRPr="000A32D3">
        <w:rPr>
          <w:rFonts w:asciiTheme="minorHAnsi" w:hAnsiTheme="minorHAnsi" w:cstheme="minorHAnsi"/>
          <w:bCs/>
          <w:color w:val="000000"/>
          <w:lang w:val="en-US"/>
        </w:rPr>
        <w:t>Hip fracture rates were comparable with estimates from Saudi Arabia, Abu Dhabi and Kuwait</w:t>
      </w:r>
      <w:r w:rsidR="00BB44DE">
        <w:rPr>
          <w:rFonts w:asciiTheme="minorHAnsi" w:hAnsiTheme="minorHAnsi" w:cstheme="minorHAnsi"/>
          <w:bCs/>
          <w:color w:val="000000"/>
          <w:lang w:val="en-US"/>
        </w:rPr>
        <w:t xml:space="preserve"> bu</w:t>
      </w:r>
      <w:r w:rsidR="003B47FC">
        <w:rPr>
          <w:rFonts w:asciiTheme="minorHAnsi" w:hAnsiTheme="minorHAnsi" w:cstheme="minorHAnsi"/>
          <w:bCs/>
          <w:color w:val="000000"/>
          <w:lang w:val="en-US"/>
        </w:rPr>
        <w:t>t fracture</w:t>
      </w:r>
      <w:r w:rsidRPr="000A32D3">
        <w:rPr>
          <w:rFonts w:asciiTheme="minorHAnsi" w:hAnsiTheme="minorHAnsi" w:cstheme="minorHAnsi"/>
          <w:bCs/>
          <w:color w:val="000000"/>
          <w:lang w:val="en-US"/>
        </w:rPr>
        <w:t xml:space="preserve"> probabilities </w:t>
      </w:r>
      <w:r w:rsidR="003B47FC">
        <w:rPr>
          <w:rFonts w:asciiTheme="minorHAnsi" w:hAnsiTheme="minorHAnsi" w:cstheme="minorHAnsi"/>
          <w:bCs/>
          <w:color w:val="000000"/>
          <w:lang w:val="en-US"/>
        </w:rPr>
        <w:t>varied due</w:t>
      </w:r>
      <w:r w:rsidRPr="000A32D3">
        <w:rPr>
          <w:rFonts w:asciiTheme="minorHAnsi" w:hAnsiTheme="minorHAnsi" w:cstheme="minorHAnsi"/>
          <w:bCs/>
          <w:color w:val="000000"/>
          <w:lang w:val="en-US"/>
        </w:rPr>
        <w:t xml:space="preserve"> to differences in mortality. </w:t>
      </w:r>
    </w:p>
    <w:p w14:paraId="6A4A00E2" w14:textId="3E2C3D61" w:rsidR="00316D91" w:rsidRPr="008D6BBB" w:rsidRDefault="00316D91" w:rsidP="00316D91">
      <w:pPr>
        <w:keepNext/>
        <w:keepLines/>
        <w:spacing w:before="200" w:line="276" w:lineRule="auto"/>
        <w:ind w:left="567" w:right="1133"/>
        <w:jc w:val="both"/>
        <w:outlineLvl w:val="1"/>
        <w:rPr>
          <w:rFonts w:asciiTheme="minorHAnsi" w:hAnsiTheme="minorHAnsi" w:cstheme="minorHAnsi"/>
          <w:b/>
          <w:bCs/>
          <w:color w:val="000000"/>
          <w:lang w:val="en-US"/>
        </w:rPr>
      </w:pPr>
      <w:r w:rsidRPr="008D6BBB">
        <w:rPr>
          <w:rFonts w:asciiTheme="minorHAnsi" w:hAnsiTheme="minorHAnsi" w:cstheme="minorHAnsi"/>
          <w:b/>
          <w:bCs/>
          <w:color w:val="000000"/>
          <w:lang w:val="en-US"/>
        </w:rPr>
        <w:t>Abstract</w:t>
      </w:r>
    </w:p>
    <w:p w14:paraId="3410D64A" w14:textId="5C07E33B" w:rsidR="00316D91" w:rsidRPr="008D6BBB" w:rsidRDefault="00C35E43" w:rsidP="00316D91">
      <w:pPr>
        <w:spacing w:after="200" w:line="276" w:lineRule="auto"/>
        <w:ind w:left="567" w:right="1133"/>
        <w:rPr>
          <w:rFonts w:asciiTheme="minorHAnsi" w:hAnsiTheme="minorHAnsi" w:cstheme="minorHAnsi"/>
          <w:lang w:val="en-US"/>
        </w:rPr>
      </w:pPr>
      <w:r>
        <w:rPr>
          <w:rFonts w:asciiTheme="minorHAnsi" w:hAnsiTheme="minorHAnsi" w:cstheme="minorHAnsi"/>
          <w:i/>
          <w:lang w:val="en-US"/>
        </w:rPr>
        <w:t>Introduction</w:t>
      </w:r>
      <w:r w:rsidR="00316D91" w:rsidRPr="008D6BBB">
        <w:rPr>
          <w:rFonts w:asciiTheme="minorHAnsi" w:hAnsiTheme="minorHAnsi" w:cstheme="minorHAnsi"/>
          <w:lang w:val="en-US"/>
        </w:rPr>
        <w:t xml:space="preserve"> This paper describes the epidemiology of osteoporotic fractures in </w:t>
      </w:r>
      <w:r w:rsidR="00586D06">
        <w:rPr>
          <w:rFonts w:asciiTheme="minorHAnsi" w:hAnsiTheme="minorHAnsi" w:cstheme="minorHAnsi"/>
          <w:lang w:val="en-US"/>
        </w:rPr>
        <w:t>State of Qatar</w:t>
      </w:r>
      <w:r w:rsidR="00316D91" w:rsidRPr="008D6BBB">
        <w:rPr>
          <w:rFonts w:asciiTheme="minorHAnsi" w:hAnsiTheme="minorHAnsi" w:cstheme="minorHAnsi"/>
          <w:lang w:val="en-US"/>
        </w:rPr>
        <w:t xml:space="preserve"> that was used to develop the country-specific fracture prediction FRAX® tool</w:t>
      </w:r>
      <w:r w:rsidR="00316D91">
        <w:rPr>
          <w:rFonts w:asciiTheme="minorHAnsi" w:hAnsiTheme="minorHAnsi" w:cstheme="minorHAnsi"/>
          <w:lang w:val="en-US"/>
        </w:rPr>
        <w:t>.</w:t>
      </w:r>
      <w:r w:rsidR="00316D91" w:rsidRPr="008D6BBB">
        <w:rPr>
          <w:rFonts w:asciiTheme="minorHAnsi" w:hAnsiTheme="minorHAnsi" w:cstheme="minorHAnsi"/>
          <w:lang w:val="en-US"/>
        </w:rPr>
        <w:t xml:space="preserve"> </w:t>
      </w:r>
    </w:p>
    <w:p w14:paraId="04F995D9" w14:textId="07321BEC" w:rsidR="00316D91" w:rsidRPr="007A2408" w:rsidRDefault="00316D91" w:rsidP="00316D91">
      <w:pPr>
        <w:spacing w:after="200" w:line="276" w:lineRule="auto"/>
        <w:ind w:left="567" w:right="1133"/>
        <w:rPr>
          <w:rFonts w:asciiTheme="minorHAnsi" w:hAnsiTheme="minorHAnsi" w:cstheme="minorHAnsi"/>
          <w:lang w:val="en-US"/>
        </w:rPr>
      </w:pPr>
      <w:r w:rsidRPr="007A2408">
        <w:rPr>
          <w:rFonts w:asciiTheme="minorHAnsi" w:hAnsiTheme="minorHAnsi" w:cstheme="minorHAnsi"/>
          <w:i/>
          <w:lang w:val="en-US"/>
        </w:rPr>
        <w:t>Methods</w:t>
      </w:r>
      <w:r w:rsidRPr="007A2408">
        <w:rPr>
          <w:rFonts w:asciiTheme="minorHAnsi" w:hAnsiTheme="minorHAnsi" w:cstheme="minorHAnsi"/>
          <w:lang w:val="en-US"/>
        </w:rPr>
        <w:t xml:space="preserve"> </w:t>
      </w:r>
      <w:r w:rsidR="00F71F5A" w:rsidRPr="007A2408">
        <w:rPr>
          <w:rFonts w:asciiTheme="minorHAnsi" w:hAnsiTheme="minorHAnsi" w:cstheme="minorHAnsi"/>
          <w:lang w:val="en-US"/>
        </w:rPr>
        <w:t>Hip fracture</w:t>
      </w:r>
      <w:r w:rsidR="00F71F5A" w:rsidRPr="00F71F5A">
        <w:rPr>
          <w:rFonts w:asciiTheme="minorHAnsi" w:hAnsiTheme="minorHAnsi" w:cstheme="minorHAnsi"/>
          <w:lang w:val="en-US"/>
        </w:rPr>
        <w:t xml:space="preserve"> data were retrieved from electronical medical records for the years 2017-2019 in the State of Qatar. The age and sex specific incidence of hip fracture in Qatari residents and National mortality rates were used to create a FRAX® model</w:t>
      </w:r>
      <w:r w:rsidRPr="007A2408">
        <w:rPr>
          <w:rFonts w:asciiTheme="minorHAnsi" w:hAnsiTheme="minorHAnsi" w:cstheme="minorHAnsi"/>
          <w:lang w:val="en-US"/>
        </w:rPr>
        <w:t xml:space="preserve">. Fracture probabilities were compared with those from neighboring countries having FRAX models. </w:t>
      </w:r>
    </w:p>
    <w:p w14:paraId="75F66BD0" w14:textId="5BBF7E4F" w:rsidR="00316D91" w:rsidRPr="00C925F3" w:rsidRDefault="00316D91" w:rsidP="00316D91">
      <w:pPr>
        <w:spacing w:after="200" w:line="276" w:lineRule="auto"/>
        <w:ind w:left="567" w:right="1133"/>
        <w:rPr>
          <w:rFonts w:asciiTheme="minorHAnsi" w:hAnsiTheme="minorHAnsi" w:cstheme="minorHAnsi"/>
          <w:highlight w:val="yellow"/>
          <w:lang w:val="en-US"/>
        </w:rPr>
      </w:pPr>
      <w:r w:rsidRPr="00E26450">
        <w:rPr>
          <w:rFonts w:asciiTheme="minorHAnsi" w:hAnsiTheme="minorHAnsi" w:cstheme="minorHAnsi"/>
          <w:i/>
          <w:lang w:val="en-US"/>
        </w:rPr>
        <w:t>Results</w:t>
      </w:r>
      <w:r w:rsidRPr="00E26450">
        <w:rPr>
          <w:rFonts w:asciiTheme="minorHAnsi" w:hAnsiTheme="minorHAnsi" w:cstheme="minorHAnsi"/>
          <w:lang w:val="en-US"/>
        </w:rPr>
        <w:t xml:space="preserve"> </w:t>
      </w:r>
      <w:r w:rsidR="00E26450" w:rsidRPr="00E26450">
        <w:rPr>
          <w:rFonts w:asciiTheme="minorHAnsi" w:hAnsiTheme="minorHAnsi" w:cstheme="minorHAnsi"/>
          <w:lang w:val="en-US"/>
        </w:rPr>
        <w:t xml:space="preserve">Hip fracture rates were comparable with estimates from Saudi Arabia, Abu Dhabi and Kuwait.  In contrast, probabilities of a major osteoporotic fracture or hip fracture were </w:t>
      </w:r>
      <w:r w:rsidR="00717484">
        <w:rPr>
          <w:rFonts w:asciiTheme="minorHAnsi" w:hAnsiTheme="minorHAnsi" w:cstheme="minorHAnsi"/>
          <w:lang w:val="en-US"/>
        </w:rPr>
        <w:t>lower</w:t>
      </w:r>
      <w:r w:rsidR="00E26450" w:rsidRPr="00E26450">
        <w:rPr>
          <w:rFonts w:asciiTheme="minorHAnsi" w:hAnsiTheme="minorHAnsi" w:cstheme="minorHAnsi"/>
          <w:lang w:val="en-US"/>
        </w:rPr>
        <w:t xml:space="preserve"> in Qatar </w:t>
      </w:r>
      <w:r w:rsidR="00717484">
        <w:rPr>
          <w:rFonts w:asciiTheme="minorHAnsi" w:hAnsiTheme="minorHAnsi" w:cstheme="minorHAnsi"/>
          <w:lang w:val="en-US"/>
        </w:rPr>
        <w:t xml:space="preserve">than in </w:t>
      </w:r>
      <w:r w:rsidR="008A6F04">
        <w:rPr>
          <w:rFonts w:asciiTheme="minorHAnsi" w:hAnsiTheme="minorHAnsi" w:cstheme="minorHAnsi"/>
          <w:lang w:val="en-US"/>
        </w:rPr>
        <w:t>Kuwait</w:t>
      </w:r>
      <w:r w:rsidR="00717484">
        <w:rPr>
          <w:rFonts w:asciiTheme="minorHAnsi" w:hAnsiTheme="minorHAnsi" w:cstheme="minorHAnsi"/>
          <w:lang w:val="en-US"/>
        </w:rPr>
        <w:t xml:space="preserve"> but higher than </w:t>
      </w:r>
      <w:r w:rsidR="008A6F04">
        <w:rPr>
          <w:rFonts w:asciiTheme="minorHAnsi" w:hAnsiTheme="minorHAnsi" w:cstheme="minorHAnsi"/>
          <w:lang w:val="en-US"/>
        </w:rPr>
        <w:t xml:space="preserve">those in </w:t>
      </w:r>
      <w:r w:rsidR="005A3B66" w:rsidRPr="005A3B66">
        <w:rPr>
          <w:rFonts w:asciiTheme="minorHAnsi" w:hAnsiTheme="minorHAnsi" w:cstheme="minorHAnsi"/>
          <w:lang w:val="en-US"/>
        </w:rPr>
        <w:t xml:space="preserve">Abu </w:t>
      </w:r>
      <w:r w:rsidR="000E4512" w:rsidRPr="005A3B66">
        <w:rPr>
          <w:rFonts w:asciiTheme="minorHAnsi" w:hAnsiTheme="minorHAnsi" w:cstheme="minorHAnsi"/>
          <w:lang w:val="en-US"/>
        </w:rPr>
        <w:t>Dhabi</w:t>
      </w:r>
      <w:r w:rsidR="000E4512">
        <w:rPr>
          <w:rFonts w:asciiTheme="minorHAnsi" w:hAnsiTheme="minorHAnsi" w:cstheme="minorHAnsi"/>
          <w:lang w:val="en-US"/>
        </w:rPr>
        <w:t xml:space="preserve"> </w:t>
      </w:r>
      <w:r w:rsidR="000E4512" w:rsidRPr="005A3B66">
        <w:rPr>
          <w:rFonts w:asciiTheme="minorHAnsi" w:hAnsiTheme="minorHAnsi" w:cstheme="minorHAnsi"/>
          <w:lang w:val="en-US"/>
        </w:rPr>
        <w:t>and</w:t>
      </w:r>
      <w:r w:rsidR="005A3B66" w:rsidRPr="005A3B66">
        <w:rPr>
          <w:rFonts w:asciiTheme="minorHAnsi" w:hAnsiTheme="minorHAnsi" w:cstheme="minorHAnsi"/>
          <w:lang w:val="en-US"/>
        </w:rPr>
        <w:t xml:space="preserve"> Saudi Arabia </w:t>
      </w:r>
      <w:r w:rsidR="00E26450" w:rsidRPr="00E26450">
        <w:rPr>
          <w:rFonts w:asciiTheme="minorHAnsi" w:hAnsiTheme="minorHAnsi" w:cstheme="minorHAnsi"/>
          <w:lang w:val="en-US"/>
        </w:rPr>
        <w:t>due to differences in mortality.</w:t>
      </w:r>
      <w:r w:rsidRPr="00C925F3">
        <w:rPr>
          <w:rFonts w:asciiTheme="minorHAnsi" w:hAnsiTheme="minorHAnsi" w:cstheme="minorHAnsi"/>
          <w:highlight w:val="yellow"/>
          <w:lang w:val="en-US"/>
        </w:rPr>
        <w:t xml:space="preserve"> </w:t>
      </w:r>
    </w:p>
    <w:p w14:paraId="0992FD6E" w14:textId="4DEB24C5" w:rsidR="00316D91" w:rsidRPr="008D6BBB" w:rsidRDefault="00316D91" w:rsidP="00316D91">
      <w:pPr>
        <w:spacing w:after="200" w:line="276" w:lineRule="auto"/>
        <w:ind w:left="567" w:right="1133"/>
        <w:rPr>
          <w:rFonts w:asciiTheme="minorHAnsi" w:hAnsiTheme="minorHAnsi" w:cstheme="minorHAnsi"/>
          <w:lang w:val="en-US"/>
        </w:rPr>
      </w:pPr>
      <w:r w:rsidRPr="000E4512">
        <w:rPr>
          <w:rFonts w:asciiTheme="minorHAnsi" w:hAnsiTheme="minorHAnsi" w:cstheme="minorHAnsi"/>
          <w:i/>
          <w:lang w:val="en-US"/>
        </w:rPr>
        <w:t>Conclusion</w:t>
      </w:r>
      <w:r w:rsidRPr="000E4512">
        <w:rPr>
          <w:rFonts w:asciiTheme="minorHAnsi" w:hAnsiTheme="minorHAnsi" w:cstheme="minorHAnsi"/>
          <w:lang w:val="en-US"/>
        </w:rPr>
        <w:t xml:space="preserve"> The FRAX model should enhance accuracy of determining fracture probability among the </w:t>
      </w:r>
      <w:r w:rsidR="000E4512" w:rsidRPr="000E4512">
        <w:rPr>
          <w:rFonts w:asciiTheme="minorHAnsi" w:hAnsiTheme="minorHAnsi" w:cstheme="minorHAnsi"/>
          <w:lang w:val="en-US"/>
        </w:rPr>
        <w:t>Qatari</w:t>
      </w:r>
      <w:r w:rsidRPr="000E4512">
        <w:rPr>
          <w:rFonts w:asciiTheme="minorHAnsi" w:hAnsiTheme="minorHAnsi" w:cstheme="minorHAnsi"/>
          <w:lang w:val="en-US"/>
        </w:rPr>
        <w:t xml:space="preserve"> population and help guide decisions about treatment.</w:t>
      </w:r>
    </w:p>
    <w:p w14:paraId="671129F8" w14:textId="435CEB5E" w:rsidR="00316D91" w:rsidRPr="008D6BBB" w:rsidRDefault="00316D91" w:rsidP="00316D91">
      <w:pPr>
        <w:spacing w:after="200" w:line="276" w:lineRule="auto"/>
        <w:ind w:left="567" w:right="1133"/>
        <w:jc w:val="both"/>
        <w:rPr>
          <w:rFonts w:asciiTheme="minorHAnsi" w:eastAsia="Calibri" w:hAnsiTheme="minorHAnsi" w:cstheme="minorHAnsi"/>
          <w:bCs/>
          <w:color w:val="000000"/>
          <w:lang w:val="en-US"/>
        </w:rPr>
      </w:pPr>
      <w:r w:rsidRPr="008D6BBB">
        <w:rPr>
          <w:rFonts w:asciiTheme="minorHAnsi" w:hAnsiTheme="minorHAnsi" w:cstheme="minorHAnsi"/>
          <w:b/>
          <w:bCs/>
          <w:color w:val="000000"/>
          <w:lang w:val="en-US"/>
        </w:rPr>
        <w:t xml:space="preserve">Keywords </w:t>
      </w:r>
      <w:r w:rsidRPr="008D6BBB">
        <w:rPr>
          <w:rFonts w:asciiTheme="minorHAnsi" w:eastAsia="Calibri" w:hAnsiTheme="minorHAnsi" w:cstheme="minorHAnsi"/>
          <w:bCs/>
          <w:color w:val="000000"/>
          <w:lang w:val="en-US"/>
        </w:rPr>
        <w:t>FRAX, Fracture probability, Epidemiology, Hip fracture</w:t>
      </w:r>
      <w:r w:rsidR="003B47FC">
        <w:rPr>
          <w:rFonts w:asciiTheme="minorHAnsi" w:eastAsia="Calibri" w:hAnsiTheme="minorHAnsi" w:cstheme="minorHAnsi"/>
          <w:bCs/>
          <w:color w:val="000000"/>
          <w:lang w:val="en-US"/>
        </w:rPr>
        <w:t>, Qatar</w:t>
      </w:r>
    </w:p>
    <w:p w14:paraId="25156219" w14:textId="77777777" w:rsidR="00172882" w:rsidRPr="00172882" w:rsidRDefault="00172882" w:rsidP="00F67655">
      <w:pPr>
        <w:spacing w:line="360" w:lineRule="auto"/>
        <w:ind w:left="567" w:right="708"/>
        <w:jc w:val="both"/>
        <w:rPr>
          <w:rFonts w:asciiTheme="minorHAnsi" w:hAnsiTheme="minorHAnsi" w:cstheme="minorHAnsi"/>
          <w:lang w:val="en-US"/>
        </w:rPr>
      </w:pPr>
    </w:p>
    <w:bookmarkEnd w:id="4"/>
    <w:p w14:paraId="4061212A" w14:textId="77777777" w:rsidR="00172882" w:rsidRPr="00172882" w:rsidRDefault="00172882" w:rsidP="00172882">
      <w:pPr>
        <w:spacing w:line="360" w:lineRule="auto"/>
        <w:jc w:val="both"/>
        <w:rPr>
          <w:rFonts w:asciiTheme="minorHAnsi" w:hAnsiTheme="minorHAnsi" w:cstheme="minorHAnsi"/>
          <w:lang w:val="en-US"/>
        </w:rPr>
      </w:pPr>
    </w:p>
    <w:p w14:paraId="64383C8C" w14:textId="36C3A934" w:rsidR="00E372F1" w:rsidRPr="00352039" w:rsidRDefault="00E372F1" w:rsidP="00C11242">
      <w:pPr>
        <w:spacing w:line="276" w:lineRule="auto"/>
        <w:ind w:left="567" w:right="1133"/>
        <w:rPr>
          <w:rFonts w:asciiTheme="minorHAnsi" w:hAnsiTheme="minorHAnsi" w:cstheme="minorHAnsi"/>
          <w:lang w:val="en-GB"/>
        </w:rPr>
      </w:pPr>
    </w:p>
    <w:p w14:paraId="32A0D109" w14:textId="77777777" w:rsidR="00A014FB" w:rsidRPr="00A014FB" w:rsidRDefault="00A014FB" w:rsidP="00A014FB">
      <w:pPr>
        <w:spacing w:line="276" w:lineRule="auto"/>
        <w:ind w:left="567" w:right="1133"/>
        <w:jc w:val="both"/>
        <w:rPr>
          <w:rFonts w:asciiTheme="minorHAnsi" w:hAnsiTheme="minorHAnsi" w:cstheme="minorHAnsi"/>
          <w:lang w:val="en-US"/>
        </w:rPr>
      </w:pPr>
    </w:p>
    <w:p w14:paraId="220E8B7B" w14:textId="2309BB50" w:rsidR="00F713C1" w:rsidRDefault="00F713C1">
      <w:pPr>
        <w:spacing w:after="160" w:line="259" w:lineRule="auto"/>
        <w:rPr>
          <w:rFonts w:asciiTheme="minorHAnsi" w:hAnsiTheme="minorHAnsi" w:cstheme="minorHAnsi"/>
          <w:lang w:val="en-US"/>
        </w:rPr>
      </w:pPr>
      <w:r>
        <w:rPr>
          <w:rFonts w:asciiTheme="minorHAnsi" w:hAnsiTheme="minorHAnsi" w:cstheme="minorHAnsi"/>
          <w:lang w:val="en-US"/>
        </w:rPr>
        <w:br w:type="page"/>
      </w:r>
    </w:p>
    <w:p w14:paraId="25B00C51" w14:textId="30CD4054" w:rsidR="00007904" w:rsidRPr="00352039" w:rsidRDefault="006E2F26">
      <w:pPr>
        <w:keepNext/>
        <w:keepLines/>
        <w:spacing w:before="200" w:line="276" w:lineRule="auto"/>
        <w:ind w:left="567" w:right="1133"/>
        <w:outlineLvl w:val="1"/>
        <w:rPr>
          <w:rFonts w:asciiTheme="minorHAnsi" w:hAnsiTheme="minorHAnsi" w:cstheme="minorHAnsi"/>
          <w:b/>
          <w:bCs/>
          <w:color w:val="000000"/>
          <w:lang w:val="en-US"/>
        </w:rPr>
      </w:pPr>
      <w:r w:rsidRPr="00352039">
        <w:rPr>
          <w:rFonts w:asciiTheme="minorHAnsi" w:hAnsiTheme="minorHAnsi" w:cstheme="minorHAnsi"/>
          <w:b/>
          <w:bCs/>
          <w:color w:val="000000"/>
          <w:lang w:val="en-US"/>
        </w:rPr>
        <w:t>Introductio</w:t>
      </w:r>
      <w:r w:rsidR="00AC5172" w:rsidRPr="00352039">
        <w:rPr>
          <w:rFonts w:asciiTheme="minorHAnsi" w:hAnsiTheme="minorHAnsi" w:cstheme="minorHAnsi"/>
          <w:b/>
          <w:bCs/>
          <w:color w:val="000000"/>
          <w:lang w:val="en-US"/>
        </w:rPr>
        <w:t>n</w:t>
      </w:r>
    </w:p>
    <w:p w14:paraId="72DB3B02" w14:textId="04D490D7" w:rsidR="00CA32BE" w:rsidRDefault="00AE0D3A" w:rsidP="00AE0D3A">
      <w:pPr>
        <w:spacing w:line="276" w:lineRule="auto"/>
        <w:ind w:left="567"/>
        <w:rPr>
          <w:rFonts w:ascii="Calibri" w:hAnsi="Calibri" w:cs="Calibri"/>
          <w:lang w:val="en-US"/>
        </w:rPr>
      </w:pPr>
      <w:r w:rsidRPr="00AE0D3A">
        <w:rPr>
          <w:rFonts w:ascii="Calibri" w:hAnsi="Calibri" w:cs="Calibri"/>
          <w:lang w:val="en-US"/>
        </w:rPr>
        <w:t xml:space="preserve">Osteoporosis is operationally defined on the basis of bone mineral density (BMD) assessment by dual-energy X-ray absorptiometry (DXA), with recent refinements of the description focusing on measurements at the femoral neck as a reference </w:t>
      </w:r>
      <w:r w:rsidRPr="00C92452">
        <w:rPr>
          <w:rFonts w:ascii="Calibri" w:hAnsi="Calibri" w:cs="Calibri"/>
          <w:lang w:val="en-US"/>
        </w:rPr>
        <w:t>standard [</w:t>
      </w:r>
      <w:r w:rsidR="00BB7E1D">
        <w:rPr>
          <w:rFonts w:ascii="Calibri" w:hAnsi="Calibri" w:cs="Calibri"/>
          <w:lang w:val="en-US"/>
        </w:rPr>
        <w:t>1</w:t>
      </w:r>
      <w:r w:rsidR="00243E51" w:rsidRPr="00C92452">
        <w:rPr>
          <w:rFonts w:ascii="Calibri" w:hAnsi="Calibri" w:cs="Calibri"/>
          <w:lang w:val="en-US"/>
        </w:rPr>
        <w:t>]</w:t>
      </w:r>
      <w:r w:rsidR="00800710" w:rsidRPr="00C92452">
        <w:rPr>
          <w:rFonts w:ascii="Calibri" w:hAnsi="Calibri" w:cs="Calibri"/>
          <w:lang w:val="en-US"/>
        </w:rPr>
        <w:t>.</w:t>
      </w:r>
      <w:r w:rsidRPr="00C92452">
        <w:rPr>
          <w:rFonts w:ascii="Calibri" w:hAnsi="Calibri" w:cs="Calibri"/>
          <w:lang w:val="en-US"/>
        </w:rPr>
        <w:t xml:space="preserve">  The</w:t>
      </w:r>
      <w:r w:rsidRPr="00AE0D3A">
        <w:rPr>
          <w:rFonts w:ascii="Calibri" w:hAnsi="Calibri" w:cs="Calibri"/>
          <w:lang w:val="en-US"/>
        </w:rPr>
        <w:t xml:space="preserve"> WHO-defined T-score of -2.5 or lower, originally designed for classification in epidemiological studies, has since been widely adopted as both a diagnostic and intervention threshold.  </w:t>
      </w:r>
      <w:r w:rsidR="00515BAB">
        <w:rPr>
          <w:rFonts w:ascii="Calibri" w:hAnsi="Calibri" w:cs="Calibri"/>
          <w:lang w:val="en-US"/>
        </w:rPr>
        <w:t>A</w:t>
      </w:r>
      <w:r w:rsidRPr="00AE0D3A">
        <w:rPr>
          <w:rFonts w:ascii="Calibri" w:hAnsi="Calibri" w:cs="Calibri"/>
          <w:lang w:val="en-US"/>
        </w:rPr>
        <w:t xml:space="preserve"> principal difficulty for fracture risk assessment is that, whereas this threshold has high specificity it has low sensitivity, such that the majority of fragility fractures occur in individuals with BMD values above the osteoporosis </w:t>
      </w:r>
      <w:r w:rsidRPr="00C92452">
        <w:rPr>
          <w:rFonts w:ascii="Calibri" w:hAnsi="Calibri" w:cs="Calibri"/>
          <w:lang w:val="en-US"/>
        </w:rPr>
        <w:t>threshold [</w:t>
      </w:r>
      <w:r w:rsidR="00BB7E1D">
        <w:rPr>
          <w:rFonts w:ascii="Calibri" w:hAnsi="Calibri" w:cs="Calibri"/>
          <w:lang w:val="en-US"/>
        </w:rPr>
        <w:t>2</w:t>
      </w:r>
      <w:r w:rsidRPr="00C92452">
        <w:rPr>
          <w:rFonts w:ascii="Calibri" w:hAnsi="Calibri" w:cs="Calibri"/>
          <w:lang w:val="en-US"/>
        </w:rPr>
        <w:t xml:space="preserve">].  </w:t>
      </w:r>
      <w:r w:rsidR="002618F5" w:rsidRPr="00C92452">
        <w:rPr>
          <w:rFonts w:ascii="Calibri" w:hAnsi="Calibri" w:cs="Calibri"/>
          <w:lang w:val="en-US"/>
        </w:rPr>
        <w:t>A second</w:t>
      </w:r>
      <w:r w:rsidR="002618F5">
        <w:rPr>
          <w:rFonts w:ascii="Calibri" w:hAnsi="Calibri" w:cs="Calibri"/>
          <w:lang w:val="en-US"/>
        </w:rPr>
        <w:t xml:space="preserve"> problem is that </w:t>
      </w:r>
      <w:r w:rsidR="00421268">
        <w:rPr>
          <w:rFonts w:ascii="Calibri" w:hAnsi="Calibri" w:cs="Calibri"/>
          <w:lang w:val="en-US"/>
        </w:rPr>
        <w:t xml:space="preserve">the </w:t>
      </w:r>
      <w:r w:rsidR="00CE6C31">
        <w:rPr>
          <w:rFonts w:ascii="Calibri" w:hAnsi="Calibri" w:cs="Calibri"/>
          <w:lang w:val="en-US"/>
        </w:rPr>
        <w:t>r</w:t>
      </w:r>
      <w:r w:rsidR="00421268">
        <w:rPr>
          <w:rFonts w:ascii="Calibri" w:hAnsi="Calibri" w:cs="Calibri"/>
          <w:lang w:val="en-US"/>
        </w:rPr>
        <w:t xml:space="preserve">isk of fracture varies markedly </w:t>
      </w:r>
      <w:r w:rsidR="00421268" w:rsidRPr="00C92452">
        <w:rPr>
          <w:rFonts w:ascii="Calibri" w:hAnsi="Calibri" w:cs="Calibri"/>
          <w:lang w:val="en-US"/>
        </w:rPr>
        <w:t>worldwide [</w:t>
      </w:r>
      <w:r w:rsidR="00202E57">
        <w:rPr>
          <w:rFonts w:ascii="Calibri" w:hAnsi="Calibri" w:cs="Calibri"/>
          <w:lang w:val="en-US"/>
        </w:rPr>
        <w:t>3</w:t>
      </w:r>
      <w:r w:rsidR="00421268" w:rsidRPr="00C92452">
        <w:rPr>
          <w:rFonts w:ascii="Calibri" w:hAnsi="Calibri" w:cs="Calibri"/>
          <w:lang w:val="en-US"/>
        </w:rPr>
        <w:t>],</w:t>
      </w:r>
      <w:r w:rsidR="00421268">
        <w:rPr>
          <w:rFonts w:ascii="Calibri" w:hAnsi="Calibri" w:cs="Calibri"/>
          <w:lang w:val="en-US"/>
        </w:rPr>
        <w:t xml:space="preserve"> </w:t>
      </w:r>
      <w:r w:rsidR="008721CE">
        <w:rPr>
          <w:rFonts w:ascii="Calibri" w:hAnsi="Calibri" w:cs="Calibri"/>
          <w:lang w:val="en-US"/>
        </w:rPr>
        <w:t>much more so tha</w:t>
      </w:r>
      <w:r w:rsidR="00193C69">
        <w:rPr>
          <w:rFonts w:ascii="Calibri" w:hAnsi="Calibri" w:cs="Calibri"/>
          <w:lang w:val="en-US"/>
        </w:rPr>
        <w:t>n</w:t>
      </w:r>
      <w:r w:rsidR="008721CE">
        <w:rPr>
          <w:rFonts w:ascii="Calibri" w:hAnsi="Calibri" w:cs="Calibri"/>
          <w:lang w:val="en-US"/>
        </w:rPr>
        <w:t xml:space="preserve"> can be accounted</w:t>
      </w:r>
      <w:r w:rsidR="00360CF1">
        <w:rPr>
          <w:rFonts w:ascii="Calibri" w:hAnsi="Calibri" w:cs="Calibri"/>
          <w:lang w:val="en-US"/>
        </w:rPr>
        <w:t xml:space="preserve"> </w:t>
      </w:r>
      <w:r w:rsidR="002038F7">
        <w:rPr>
          <w:rFonts w:ascii="Calibri" w:hAnsi="Calibri" w:cs="Calibri"/>
          <w:lang w:val="en-US"/>
        </w:rPr>
        <w:t xml:space="preserve">for </w:t>
      </w:r>
      <w:r w:rsidR="00360CF1">
        <w:rPr>
          <w:rFonts w:ascii="Calibri" w:hAnsi="Calibri" w:cs="Calibri"/>
          <w:lang w:val="en-US"/>
        </w:rPr>
        <w:t xml:space="preserve">by variations in BMD. </w:t>
      </w:r>
      <w:r w:rsidR="00421268">
        <w:rPr>
          <w:rFonts w:ascii="Calibri" w:hAnsi="Calibri" w:cs="Calibri"/>
          <w:lang w:val="en-US"/>
        </w:rPr>
        <w:t xml:space="preserve"> </w:t>
      </w:r>
      <w:r w:rsidR="00CA32BE">
        <w:rPr>
          <w:rFonts w:ascii="Calibri" w:hAnsi="Calibri" w:cs="Calibri"/>
          <w:lang w:val="en-US"/>
        </w:rPr>
        <w:t>Thus, a</w:t>
      </w:r>
      <w:r w:rsidR="00A76CDC">
        <w:rPr>
          <w:rFonts w:ascii="Calibri" w:hAnsi="Calibri" w:cs="Calibri"/>
          <w:lang w:val="en-US"/>
        </w:rPr>
        <w:t xml:space="preserve"> given BMD has a markedly different signi</w:t>
      </w:r>
      <w:r w:rsidR="00AC1106">
        <w:rPr>
          <w:rFonts w:ascii="Calibri" w:hAnsi="Calibri" w:cs="Calibri"/>
          <w:lang w:val="en-US"/>
        </w:rPr>
        <w:t>ficance in different countries</w:t>
      </w:r>
      <w:r w:rsidR="000E2ABC">
        <w:rPr>
          <w:rFonts w:ascii="Calibri" w:hAnsi="Calibri" w:cs="Calibri"/>
          <w:lang w:val="en-US"/>
        </w:rPr>
        <w:t xml:space="preserve"> in terms of </w:t>
      </w:r>
      <w:r w:rsidR="000E2ABC" w:rsidRPr="00C92452">
        <w:rPr>
          <w:rFonts w:ascii="Calibri" w:hAnsi="Calibri" w:cs="Calibri"/>
          <w:lang w:val="en-US"/>
        </w:rPr>
        <w:t>fracture risk</w:t>
      </w:r>
      <w:r w:rsidR="00AC1106" w:rsidRPr="00C92452">
        <w:rPr>
          <w:rFonts w:ascii="Calibri" w:hAnsi="Calibri" w:cs="Calibri"/>
          <w:lang w:val="en-US"/>
        </w:rPr>
        <w:t xml:space="preserve"> [</w:t>
      </w:r>
      <w:r w:rsidR="00202E57">
        <w:rPr>
          <w:rFonts w:ascii="Calibri" w:hAnsi="Calibri" w:cs="Calibri"/>
          <w:lang w:val="en-US"/>
        </w:rPr>
        <w:t>4</w:t>
      </w:r>
      <w:r w:rsidR="00AC1106" w:rsidRPr="00C92452">
        <w:rPr>
          <w:rFonts w:ascii="Calibri" w:hAnsi="Calibri" w:cs="Calibri"/>
          <w:lang w:val="en-US"/>
        </w:rPr>
        <w:t>].</w:t>
      </w:r>
    </w:p>
    <w:p w14:paraId="73F242BE" w14:textId="77777777" w:rsidR="00CA32BE" w:rsidRDefault="00CA32BE" w:rsidP="00AE0D3A">
      <w:pPr>
        <w:spacing w:line="276" w:lineRule="auto"/>
        <w:ind w:left="567"/>
        <w:rPr>
          <w:rFonts w:ascii="Calibri" w:hAnsi="Calibri" w:cs="Calibri"/>
          <w:lang w:val="en-US"/>
        </w:rPr>
      </w:pPr>
    </w:p>
    <w:p w14:paraId="05CDBAF2" w14:textId="3A1AE38F" w:rsidR="00995FB0" w:rsidRDefault="00AE0D3A" w:rsidP="00D42583">
      <w:pPr>
        <w:spacing w:line="276" w:lineRule="auto"/>
        <w:ind w:left="567"/>
        <w:rPr>
          <w:rFonts w:asciiTheme="minorHAnsi" w:hAnsiTheme="minorHAnsi" w:cstheme="minorHAnsi"/>
          <w:lang w:val="en-US"/>
        </w:rPr>
      </w:pPr>
      <w:r w:rsidRPr="00AE0D3A">
        <w:rPr>
          <w:rFonts w:ascii="Calibri" w:hAnsi="Calibri" w:cs="Calibri"/>
          <w:lang w:val="en-US"/>
        </w:rPr>
        <w:t xml:space="preserve">Many risk factors have been identified over the last two decades that contribute to fracture risk, at least partly if not wholly independently of DXA BMD. These include age, sex, a prior fracture, a family history of fracture, and lifestyle risk factors such as physical inactivity and </w:t>
      </w:r>
      <w:r w:rsidRPr="00C92452">
        <w:rPr>
          <w:rFonts w:ascii="Calibri" w:hAnsi="Calibri" w:cs="Calibri"/>
          <w:lang w:val="en-US"/>
        </w:rPr>
        <w:t>smoking [</w:t>
      </w:r>
      <w:r w:rsidR="00202E57">
        <w:rPr>
          <w:rFonts w:ascii="Calibri" w:hAnsi="Calibri" w:cs="Calibri"/>
          <w:lang w:val="en-US"/>
        </w:rPr>
        <w:t>5</w:t>
      </w:r>
      <w:r w:rsidRPr="00C92452">
        <w:rPr>
          <w:rFonts w:ascii="Calibri" w:hAnsi="Calibri" w:cs="Calibri"/>
          <w:lang w:val="en-US"/>
        </w:rPr>
        <w:t>].</w:t>
      </w:r>
      <w:r w:rsidRPr="00AE0D3A">
        <w:rPr>
          <w:rFonts w:ascii="Calibri" w:hAnsi="Calibri" w:cs="Calibri"/>
          <w:lang w:val="en-US"/>
        </w:rPr>
        <w:t xml:space="preserve">  These and other factors have been combined in analyses of individual cohort studies to develop algorithms and scores to </w:t>
      </w:r>
      <w:r w:rsidR="006E1FB5" w:rsidRPr="00AE0D3A">
        <w:rPr>
          <w:rFonts w:ascii="Calibri" w:hAnsi="Calibri" w:cs="Calibri"/>
          <w:lang w:val="en-US"/>
        </w:rPr>
        <w:t>characterize</w:t>
      </w:r>
      <w:r w:rsidRPr="00AE0D3A">
        <w:rPr>
          <w:rFonts w:ascii="Calibri" w:hAnsi="Calibri" w:cs="Calibri"/>
          <w:lang w:val="en-US"/>
        </w:rPr>
        <w:t xml:space="preserve"> future risk at the level of an individual.  Such independent risk factors used with BMD can enhance fracture risk assessment; additionally, the incorporation of risk factors that correlate with BMD (e.g. age, fracture, body mass index (BMI)) can also facilitate fracture risk assessment in situations in which DXA is not available.  These were the considerations underlying the development</w:t>
      </w:r>
      <w:r w:rsidR="002038F7">
        <w:rPr>
          <w:rFonts w:ascii="Calibri" w:hAnsi="Calibri" w:cs="Calibri"/>
          <w:lang w:val="en-US"/>
        </w:rPr>
        <w:t xml:space="preserve"> of</w:t>
      </w:r>
      <w:r w:rsidRPr="00AE0D3A">
        <w:rPr>
          <w:rFonts w:ascii="Calibri" w:hAnsi="Calibri" w:cs="Calibri"/>
          <w:lang w:val="en-US"/>
        </w:rPr>
        <w:t xml:space="preserve"> the FRAX® tool, which was devised by the former WHO Collaborating Centre at the University of Sheffield</w:t>
      </w:r>
      <w:r w:rsidR="008021FE">
        <w:rPr>
          <w:rFonts w:ascii="Calibri" w:hAnsi="Calibri" w:cs="Calibri"/>
          <w:lang w:val="en-US"/>
        </w:rPr>
        <w:t xml:space="preserve"> </w:t>
      </w:r>
      <w:r w:rsidR="00BF630E" w:rsidRPr="00C92452">
        <w:rPr>
          <w:rFonts w:ascii="Calibri" w:hAnsi="Calibri" w:cs="Calibri"/>
          <w:lang w:val="en-US"/>
        </w:rPr>
        <w:t>[Kanis 2007, 2008</w:t>
      </w:r>
      <w:r w:rsidR="00ED6EFE" w:rsidRPr="00C92452">
        <w:rPr>
          <w:rFonts w:ascii="Calibri" w:hAnsi="Calibri" w:cs="Calibri"/>
          <w:lang w:val="en-US"/>
        </w:rPr>
        <w:t>b]</w:t>
      </w:r>
      <w:r w:rsidRPr="00C92452">
        <w:rPr>
          <w:rFonts w:ascii="Calibri" w:hAnsi="Calibri" w:cs="Calibri"/>
          <w:lang w:val="en-US"/>
        </w:rPr>
        <w:t xml:space="preserve">.  </w:t>
      </w:r>
      <w:r w:rsidR="000F5E04" w:rsidRPr="00C92452">
        <w:rPr>
          <w:rFonts w:ascii="Calibri" w:hAnsi="Calibri" w:cs="Calibri"/>
          <w:lang w:val="en-US"/>
        </w:rPr>
        <w:t xml:space="preserve">FRAX </w:t>
      </w:r>
      <w:r w:rsidR="00C804A2" w:rsidRPr="00C92452">
        <w:rPr>
          <w:rFonts w:ascii="Calibri" w:hAnsi="Calibri" w:cs="Calibri"/>
          <w:lang w:val="en-US"/>
        </w:rPr>
        <w:t>(https://www.sheffield.ac.uk/FRAX/</w:t>
      </w:r>
      <w:r w:rsidR="00FB0E33" w:rsidRPr="00C92452">
        <w:rPr>
          <w:rFonts w:ascii="Calibri" w:hAnsi="Calibri" w:cs="Calibri"/>
          <w:lang w:val="en-US"/>
        </w:rPr>
        <w:t>), recommended</w:t>
      </w:r>
      <w:r w:rsidR="000F5E04" w:rsidRPr="00C92452">
        <w:rPr>
          <w:rFonts w:ascii="Calibri" w:hAnsi="Calibri" w:cs="Calibri"/>
          <w:lang w:val="en-US"/>
        </w:rPr>
        <w:t xml:space="preserve"> in more than 100 national and international guidelines [</w:t>
      </w:r>
      <w:r w:rsidR="00B31A72">
        <w:rPr>
          <w:rFonts w:ascii="Calibri" w:hAnsi="Calibri" w:cs="Calibri"/>
          <w:lang w:val="en-US"/>
        </w:rPr>
        <w:t>6</w:t>
      </w:r>
      <w:r w:rsidR="000F5E04" w:rsidRPr="00C92452">
        <w:rPr>
          <w:rFonts w:ascii="Calibri" w:hAnsi="Calibri" w:cs="Calibri"/>
          <w:lang w:val="en-US"/>
        </w:rPr>
        <w:t>]</w:t>
      </w:r>
      <w:r w:rsidR="00C804A2" w:rsidRPr="00C92452">
        <w:rPr>
          <w:rFonts w:ascii="Calibri" w:hAnsi="Calibri" w:cs="Calibri"/>
          <w:lang w:val="en-US"/>
        </w:rPr>
        <w:t>,</w:t>
      </w:r>
      <w:r w:rsidR="000F5E04" w:rsidRPr="00C92452">
        <w:rPr>
          <w:rFonts w:ascii="Calibri" w:hAnsi="Calibri" w:cs="Calibri"/>
          <w:lang w:val="en-US"/>
        </w:rPr>
        <w:t xml:space="preserve"> computes the 10-year probability of low energy fractures based on several common clinical risk factors and, optionally a DXA scan result [</w:t>
      </w:r>
      <w:r w:rsidR="00B31A72">
        <w:rPr>
          <w:rFonts w:ascii="Calibri" w:hAnsi="Calibri" w:cs="Calibri"/>
          <w:lang w:val="en-US"/>
        </w:rPr>
        <w:t>5</w:t>
      </w:r>
      <w:r w:rsidR="00F3706F" w:rsidRPr="00C92452">
        <w:rPr>
          <w:rFonts w:ascii="Calibri" w:hAnsi="Calibri" w:cs="Calibri"/>
          <w:lang w:val="en-US"/>
        </w:rPr>
        <w:t xml:space="preserve">, </w:t>
      </w:r>
      <w:r w:rsidR="00B31A72">
        <w:rPr>
          <w:rFonts w:ascii="Calibri" w:hAnsi="Calibri" w:cs="Calibri"/>
          <w:lang w:val="en-US"/>
        </w:rPr>
        <w:t>7</w:t>
      </w:r>
      <w:r w:rsidR="000F5E04" w:rsidRPr="00C92452">
        <w:rPr>
          <w:rFonts w:ascii="Calibri" w:hAnsi="Calibri" w:cs="Calibri"/>
          <w:lang w:val="en-US"/>
        </w:rPr>
        <w:t>].</w:t>
      </w:r>
      <w:r w:rsidR="000F5E04" w:rsidRPr="000F5E04">
        <w:rPr>
          <w:rFonts w:ascii="Calibri" w:hAnsi="Calibri" w:cs="Calibri"/>
          <w:lang w:val="en-US"/>
        </w:rPr>
        <w:t xml:space="preserve">  Specifically, FRAX models compute the probabilities of major osteoporotic and hip fracture derived from the risk of fracture and the competing risk of death, both of which vary from country to country.</w:t>
      </w:r>
      <w:r w:rsidR="00D42583">
        <w:rPr>
          <w:rFonts w:ascii="Calibri" w:hAnsi="Calibri" w:cs="Calibri"/>
          <w:lang w:val="en-US"/>
        </w:rPr>
        <w:t xml:space="preserve"> </w:t>
      </w:r>
      <w:r w:rsidR="00D16DBF" w:rsidRPr="00D16DBF">
        <w:rPr>
          <w:rFonts w:asciiTheme="minorHAnsi" w:hAnsiTheme="minorHAnsi" w:cstheme="minorHAnsi"/>
          <w:lang w:val="en-US"/>
        </w:rPr>
        <w:t>The development of fracture risk assessment tools has enabled a</w:t>
      </w:r>
      <w:r w:rsidR="003F7379">
        <w:rPr>
          <w:rFonts w:asciiTheme="minorHAnsi" w:hAnsiTheme="minorHAnsi" w:cstheme="minorHAnsi"/>
          <w:lang w:val="en-US"/>
        </w:rPr>
        <w:t xml:space="preserve"> </w:t>
      </w:r>
      <w:r w:rsidR="00D16DBF" w:rsidRPr="00D16DBF">
        <w:rPr>
          <w:rFonts w:asciiTheme="minorHAnsi" w:hAnsiTheme="minorHAnsi" w:cstheme="minorHAnsi"/>
          <w:lang w:val="en-US"/>
        </w:rPr>
        <w:t>step change in the management of osteoporosis as patients can</w:t>
      </w:r>
      <w:r w:rsidR="00622938">
        <w:rPr>
          <w:rFonts w:asciiTheme="minorHAnsi" w:hAnsiTheme="minorHAnsi" w:cstheme="minorHAnsi"/>
          <w:lang w:val="en-US"/>
        </w:rPr>
        <w:t xml:space="preserve"> </w:t>
      </w:r>
      <w:r w:rsidR="00D16DBF" w:rsidRPr="00D16DBF">
        <w:rPr>
          <w:rFonts w:asciiTheme="minorHAnsi" w:hAnsiTheme="minorHAnsi" w:cstheme="minorHAnsi"/>
          <w:lang w:val="en-US"/>
        </w:rPr>
        <w:t>now be selected for therapy on the basis of absolute fracture risk</w:t>
      </w:r>
      <w:r w:rsidR="00622938">
        <w:rPr>
          <w:rFonts w:asciiTheme="minorHAnsi" w:hAnsiTheme="minorHAnsi" w:cstheme="minorHAnsi"/>
          <w:lang w:val="en-US"/>
        </w:rPr>
        <w:t xml:space="preserve"> </w:t>
      </w:r>
      <w:r w:rsidR="00D16DBF" w:rsidRPr="00D16DBF">
        <w:rPr>
          <w:rFonts w:asciiTheme="minorHAnsi" w:hAnsiTheme="minorHAnsi" w:cstheme="minorHAnsi"/>
          <w:lang w:val="en-US"/>
        </w:rPr>
        <w:t xml:space="preserve">rather than BMD T-score alone. </w:t>
      </w:r>
    </w:p>
    <w:p w14:paraId="74BC71C7" w14:textId="77777777" w:rsidR="00995FB0" w:rsidRDefault="00995FB0" w:rsidP="00BF6919">
      <w:pPr>
        <w:spacing w:after="200" w:line="276" w:lineRule="auto"/>
        <w:ind w:left="567" w:right="1133"/>
        <w:rPr>
          <w:rFonts w:asciiTheme="minorHAnsi" w:hAnsiTheme="minorHAnsi" w:cstheme="minorHAnsi"/>
          <w:lang w:val="en-US"/>
        </w:rPr>
      </w:pPr>
    </w:p>
    <w:p w14:paraId="59378AA9" w14:textId="20508324" w:rsidR="002A55EC" w:rsidRPr="00582527" w:rsidRDefault="00C97564" w:rsidP="00BF6919">
      <w:pPr>
        <w:spacing w:after="200" w:line="276" w:lineRule="auto"/>
        <w:ind w:left="567" w:right="1133"/>
        <w:rPr>
          <w:rFonts w:asciiTheme="minorHAnsi" w:hAnsiTheme="minorHAnsi" w:cstheme="minorHAnsi"/>
          <w:lang w:val="en-US"/>
        </w:rPr>
      </w:pPr>
      <w:r w:rsidRPr="00582527">
        <w:rPr>
          <w:rFonts w:asciiTheme="minorHAnsi" w:hAnsiTheme="minorHAnsi" w:cstheme="minorHAnsi"/>
          <w:lang w:val="en-US"/>
        </w:rPr>
        <w:t xml:space="preserve">The </w:t>
      </w:r>
      <w:r w:rsidR="007F35E9" w:rsidRPr="00582527">
        <w:rPr>
          <w:rFonts w:asciiTheme="minorHAnsi" w:hAnsiTheme="minorHAnsi" w:cstheme="minorHAnsi"/>
          <w:lang w:val="en-US"/>
        </w:rPr>
        <w:t>develop</w:t>
      </w:r>
      <w:r w:rsidRPr="00582527">
        <w:rPr>
          <w:rFonts w:asciiTheme="minorHAnsi" w:hAnsiTheme="minorHAnsi" w:cstheme="minorHAnsi"/>
          <w:lang w:val="en-US"/>
        </w:rPr>
        <w:t>ment of</w:t>
      </w:r>
      <w:r w:rsidR="007F35E9" w:rsidRPr="00582527">
        <w:rPr>
          <w:rFonts w:asciiTheme="minorHAnsi" w:hAnsiTheme="minorHAnsi" w:cstheme="minorHAnsi"/>
          <w:lang w:val="en-US"/>
        </w:rPr>
        <w:t xml:space="preserve"> </w:t>
      </w:r>
      <w:r w:rsidR="00EC26E2" w:rsidRPr="00582527">
        <w:rPr>
          <w:rFonts w:asciiTheme="minorHAnsi" w:hAnsiTheme="minorHAnsi" w:cstheme="minorHAnsi"/>
          <w:lang w:val="en-US"/>
        </w:rPr>
        <w:t>country</w:t>
      </w:r>
      <w:r w:rsidR="00EC26E2">
        <w:rPr>
          <w:rFonts w:asciiTheme="minorHAnsi" w:hAnsiTheme="minorHAnsi" w:cstheme="minorHAnsi"/>
          <w:lang w:val="en-US"/>
        </w:rPr>
        <w:t xml:space="preserve"> specific</w:t>
      </w:r>
      <w:r w:rsidR="007F35E9" w:rsidRPr="00582527">
        <w:rPr>
          <w:rFonts w:asciiTheme="minorHAnsi" w:hAnsiTheme="minorHAnsi" w:cstheme="minorHAnsi"/>
          <w:lang w:val="en-US"/>
        </w:rPr>
        <w:t xml:space="preserve"> FRAX models</w:t>
      </w:r>
      <w:r w:rsidRPr="00582527">
        <w:rPr>
          <w:rFonts w:asciiTheme="minorHAnsi" w:hAnsiTheme="minorHAnsi" w:cstheme="minorHAnsi"/>
          <w:lang w:val="en-US"/>
        </w:rPr>
        <w:t xml:space="preserve"> requires</w:t>
      </w:r>
      <w:r w:rsidR="007F35E9" w:rsidRPr="00582527">
        <w:rPr>
          <w:rFonts w:asciiTheme="minorHAnsi" w:hAnsiTheme="minorHAnsi" w:cstheme="minorHAnsi"/>
          <w:lang w:val="en-US"/>
        </w:rPr>
        <w:t xml:space="preserve"> </w:t>
      </w:r>
      <w:r w:rsidRPr="00582527">
        <w:rPr>
          <w:rFonts w:asciiTheme="minorHAnsi" w:hAnsiTheme="minorHAnsi" w:cstheme="minorHAnsi"/>
          <w:lang w:val="en-US"/>
        </w:rPr>
        <w:t xml:space="preserve">information on </w:t>
      </w:r>
      <w:r w:rsidR="007F35E9" w:rsidRPr="00582527">
        <w:rPr>
          <w:rFonts w:asciiTheme="minorHAnsi" w:hAnsiTheme="minorHAnsi" w:cstheme="minorHAnsi"/>
          <w:lang w:val="en-US"/>
        </w:rPr>
        <w:t xml:space="preserve">fracture incidence and death. </w:t>
      </w:r>
      <w:r w:rsidR="00DC6E0E">
        <w:rPr>
          <w:rFonts w:asciiTheme="minorHAnsi" w:hAnsiTheme="minorHAnsi" w:cstheme="minorHAnsi"/>
          <w:lang w:val="en-US"/>
        </w:rPr>
        <w:t>No</w:t>
      </w:r>
      <w:r w:rsidR="00266A97" w:rsidRPr="00582527">
        <w:rPr>
          <w:rFonts w:asciiTheme="minorHAnsi" w:hAnsiTheme="minorHAnsi" w:cstheme="minorHAnsi"/>
          <w:lang w:val="en-US"/>
        </w:rPr>
        <w:t xml:space="preserve"> FRAX model </w:t>
      </w:r>
      <w:r w:rsidR="00DC6E0E">
        <w:rPr>
          <w:rFonts w:asciiTheme="minorHAnsi" w:hAnsiTheme="minorHAnsi" w:cstheme="minorHAnsi"/>
          <w:lang w:val="en-US"/>
        </w:rPr>
        <w:t>is</w:t>
      </w:r>
      <w:r w:rsidR="00266A97" w:rsidRPr="00582527">
        <w:rPr>
          <w:rFonts w:asciiTheme="minorHAnsi" w:hAnsiTheme="minorHAnsi" w:cstheme="minorHAnsi"/>
          <w:lang w:val="en-US"/>
        </w:rPr>
        <w:t xml:space="preserve"> available for </w:t>
      </w:r>
      <w:r w:rsidR="00D04826">
        <w:rPr>
          <w:rFonts w:asciiTheme="minorHAnsi" w:hAnsiTheme="minorHAnsi" w:cstheme="minorHAnsi"/>
          <w:lang w:val="en-US"/>
        </w:rPr>
        <w:t>Qatar</w:t>
      </w:r>
      <w:r w:rsidR="00A53D6C" w:rsidRPr="00582527">
        <w:rPr>
          <w:rFonts w:asciiTheme="minorHAnsi" w:hAnsiTheme="minorHAnsi" w:cstheme="minorHAnsi"/>
          <w:lang w:val="en-US"/>
        </w:rPr>
        <w:t xml:space="preserve"> due to the </w:t>
      </w:r>
      <w:r w:rsidR="00D42583">
        <w:rPr>
          <w:rFonts w:asciiTheme="minorHAnsi" w:hAnsiTheme="minorHAnsi" w:cstheme="minorHAnsi"/>
          <w:lang w:val="en-US"/>
        </w:rPr>
        <w:t xml:space="preserve">paucity </w:t>
      </w:r>
      <w:r w:rsidR="00A53D6C" w:rsidRPr="00582527">
        <w:rPr>
          <w:rFonts w:asciiTheme="minorHAnsi" w:hAnsiTheme="minorHAnsi" w:cstheme="minorHAnsi"/>
          <w:lang w:val="en-US"/>
        </w:rPr>
        <w:t xml:space="preserve">of appropriate </w:t>
      </w:r>
      <w:r w:rsidR="00A53D6C" w:rsidRPr="00C92452">
        <w:rPr>
          <w:rFonts w:asciiTheme="minorHAnsi" w:hAnsiTheme="minorHAnsi" w:cstheme="minorHAnsi"/>
          <w:lang w:val="en-US"/>
        </w:rPr>
        <w:t>epidemiological data</w:t>
      </w:r>
      <w:r w:rsidR="001A01ED" w:rsidRPr="00C92452">
        <w:rPr>
          <w:rFonts w:asciiTheme="minorHAnsi" w:hAnsiTheme="minorHAnsi" w:cstheme="minorHAnsi"/>
          <w:lang w:val="en-US"/>
        </w:rPr>
        <w:t xml:space="preserve"> [</w:t>
      </w:r>
      <w:r w:rsidR="00E851C8">
        <w:rPr>
          <w:rFonts w:asciiTheme="minorHAnsi" w:hAnsiTheme="minorHAnsi" w:cstheme="minorHAnsi"/>
          <w:lang w:val="en-US"/>
        </w:rPr>
        <w:t>8</w:t>
      </w:r>
      <w:r w:rsidR="00975EDA" w:rsidRPr="00C92452">
        <w:rPr>
          <w:rFonts w:asciiTheme="minorHAnsi" w:hAnsiTheme="minorHAnsi" w:cstheme="minorHAnsi"/>
          <w:lang w:val="en-US"/>
        </w:rPr>
        <w:t>]</w:t>
      </w:r>
      <w:r w:rsidR="00A53D6C" w:rsidRPr="00C92452">
        <w:rPr>
          <w:rFonts w:asciiTheme="minorHAnsi" w:hAnsiTheme="minorHAnsi" w:cstheme="minorHAnsi"/>
          <w:lang w:val="en-US"/>
        </w:rPr>
        <w:t>.  This</w:t>
      </w:r>
      <w:r w:rsidR="00A53D6C" w:rsidRPr="00582527">
        <w:rPr>
          <w:rFonts w:asciiTheme="minorHAnsi" w:hAnsiTheme="minorHAnsi" w:cstheme="minorHAnsi"/>
          <w:lang w:val="en-US"/>
        </w:rPr>
        <w:t xml:space="preserve"> </w:t>
      </w:r>
      <w:r w:rsidR="00E851C8">
        <w:rPr>
          <w:rFonts w:asciiTheme="minorHAnsi" w:hAnsiTheme="minorHAnsi" w:cstheme="minorHAnsi"/>
          <w:lang w:val="en-US"/>
        </w:rPr>
        <w:t>report</w:t>
      </w:r>
      <w:r w:rsidR="00A53D6C" w:rsidRPr="00582527">
        <w:rPr>
          <w:rFonts w:asciiTheme="minorHAnsi" w:hAnsiTheme="minorHAnsi" w:cstheme="minorHAnsi"/>
          <w:lang w:val="en-US"/>
        </w:rPr>
        <w:t xml:space="preserve"> describes the acquisition of data for the creation of a </w:t>
      </w:r>
      <w:r w:rsidR="00D42583" w:rsidRPr="00582527">
        <w:rPr>
          <w:rFonts w:asciiTheme="minorHAnsi" w:hAnsiTheme="minorHAnsi" w:cstheme="minorHAnsi"/>
          <w:lang w:val="en-US"/>
        </w:rPr>
        <w:t>country specific</w:t>
      </w:r>
      <w:r w:rsidR="00A53D6C" w:rsidRPr="00582527">
        <w:rPr>
          <w:rFonts w:asciiTheme="minorHAnsi" w:hAnsiTheme="minorHAnsi" w:cstheme="minorHAnsi"/>
          <w:lang w:val="en-US"/>
        </w:rPr>
        <w:t xml:space="preserve"> FRAX model for the </w:t>
      </w:r>
      <w:r w:rsidR="009F4F0C">
        <w:rPr>
          <w:rFonts w:asciiTheme="minorHAnsi" w:hAnsiTheme="minorHAnsi" w:cstheme="minorHAnsi"/>
          <w:lang w:val="en-US"/>
        </w:rPr>
        <w:t>State</w:t>
      </w:r>
      <w:r w:rsidR="00A53D6C" w:rsidRPr="00582527">
        <w:rPr>
          <w:rFonts w:asciiTheme="minorHAnsi" w:hAnsiTheme="minorHAnsi" w:cstheme="minorHAnsi"/>
          <w:lang w:val="en-US"/>
        </w:rPr>
        <w:t xml:space="preserve"> of </w:t>
      </w:r>
      <w:r w:rsidR="009F4F0C">
        <w:rPr>
          <w:rFonts w:asciiTheme="minorHAnsi" w:hAnsiTheme="minorHAnsi" w:cstheme="minorHAnsi"/>
          <w:lang w:val="en-US"/>
        </w:rPr>
        <w:t>Qatar</w:t>
      </w:r>
      <w:r w:rsidR="00A53D6C" w:rsidRPr="00582527">
        <w:rPr>
          <w:rFonts w:asciiTheme="minorHAnsi" w:hAnsiTheme="minorHAnsi" w:cstheme="minorHAnsi"/>
          <w:lang w:val="en-US"/>
        </w:rPr>
        <w:t>.</w:t>
      </w:r>
      <w:r w:rsidR="004350BD" w:rsidRPr="00582527">
        <w:rPr>
          <w:rFonts w:asciiTheme="minorHAnsi" w:hAnsiTheme="minorHAnsi" w:cstheme="minorHAnsi"/>
          <w:lang w:val="en-US"/>
        </w:rPr>
        <w:t xml:space="preserve"> </w:t>
      </w:r>
    </w:p>
    <w:p w14:paraId="266D1EFB" w14:textId="77777777" w:rsidR="006E2F26" w:rsidRPr="00582527" w:rsidRDefault="006E2F26" w:rsidP="003C1FDD">
      <w:pPr>
        <w:pStyle w:val="ListParagraph"/>
        <w:spacing w:after="0"/>
        <w:ind w:left="567" w:right="1133" w:firstLine="0"/>
        <w:contextualSpacing/>
        <w:rPr>
          <w:rFonts w:asciiTheme="minorHAnsi" w:hAnsiTheme="minorHAnsi" w:cstheme="minorHAnsi"/>
          <w:b/>
          <w:bCs/>
          <w:color w:val="000000"/>
          <w:sz w:val="24"/>
          <w:szCs w:val="24"/>
          <w:lang w:val="en-US"/>
        </w:rPr>
      </w:pPr>
      <w:r w:rsidRPr="00582527">
        <w:rPr>
          <w:rFonts w:asciiTheme="minorHAnsi" w:hAnsiTheme="minorHAnsi" w:cstheme="minorHAnsi"/>
          <w:b/>
          <w:bCs/>
          <w:color w:val="000000"/>
          <w:sz w:val="24"/>
          <w:szCs w:val="24"/>
          <w:lang w:val="en-US"/>
        </w:rPr>
        <w:t>Methods</w:t>
      </w:r>
    </w:p>
    <w:p w14:paraId="3D5371B4" w14:textId="5CBCA036" w:rsidR="000855FA" w:rsidRDefault="00DC70AE" w:rsidP="00AB28C6">
      <w:pPr>
        <w:spacing w:line="276" w:lineRule="auto"/>
        <w:ind w:left="567" w:right="1133"/>
        <w:rPr>
          <w:rFonts w:asciiTheme="minorHAnsi" w:hAnsiTheme="minorHAnsi" w:cstheme="minorHAnsi"/>
          <w:lang w:val="en-US"/>
        </w:rPr>
      </w:pPr>
      <w:r w:rsidRPr="00DC70AE">
        <w:rPr>
          <w:rFonts w:asciiTheme="minorHAnsi" w:hAnsiTheme="minorHAnsi" w:cstheme="minorHAnsi"/>
          <w:lang w:val="en-US"/>
        </w:rPr>
        <w:t xml:space="preserve">The State of Qatar is located in </w:t>
      </w:r>
      <w:r w:rsidR="0003446C">
        <w:rPr>
          <w:rFonts w:asciiTheme="minorHAnsi" w:hAnsiTheme="minorHAnsi" w:cstheme="minorHAnsi"/>
          <w:lang w:val="en-US"/>
        </w:rPr>
        <w:t xml:space="preserve">the </w:t>
      </w:r>
      <w:r w:rsidR="0066193F">
        <w:rPr>
          <w:rFonts w:asciiTheme="minorHAnsi" w:hAnsiTheme="minorHAnsi" w:cstheme="minorHAnsi"/>
          <w:lang w:val="en-US"/>
        </w:rPr>
        <w:t>M</w:t>
      </w:r>
      <w:r w:rsidR="0003446C">
        <w:rPr>
          <w:rFonts w:asciiTheme="minorHAnsi" w:hAnsiTheme="minorHAnsi" w:cstheme="minorHAnsi"/>
          <w:lang w:val="en-US"/>
        </w:rPr>
        <w:t>iddle East</w:t>
      </w:r>
      <w:r w:rsidRPr="00DC70AE">
        <w:rPr>
          <w:rFonts w:asciiTheme="minorHAnsi" w:hAnsiTheme="minorHAnsi" w:cstheme="minorHAnsi"/>
          <w:lang w:val="en-US"/>
        </w:rPr>
        <w:t xml:space="preserve">, comprising a peninsula in the </w:t>
      </w:r>
      <w:r w:rsidR="00D12484">
        <w:rPr>
          <w:rFonts w:asciiTheme="minorHAnsi" w:hAnsiTheme="minorHAnsi" w:cstheme="minorHAnsi"/>
          <w:lang w:val="en-US"/>
        </w:rPr>
        <w:t>Arabian</w:t>
      </w:r>
      <w:r w:rsidRPr="00DC70AE">
        <w:rPr>
          <w:rFonts w:asciiTheme="minorHAnsi" w:hAnsiTheme="minorHAnsi" w:cstheme="minorHAnsi"/>
          <w:lang w:val="en-US"/>
        </w:rPr>
        <w:t xml:space="preserve"> Gulf on the northeastern coast of the Arabian Peninsula.  Its land border is with Saudi Arabia. </w:t>
      </w:r>
      <w:r w:rsidR="009223F3">
        <w:rPr>
          <w:rFonts w:asciiTheme="minorHAnsi" w:hAnsiTheme="minorHAnsi" w:cstheme="minorHAnsi"/>
          <w:lang w:val="en-US"/>
        </w:rPr>
        <w:t xml:space="preserve"> </w:t>
      </w:r>
      <w:r w:rsidRPr="00DC70AE">
        <w:rPr>
          <w:rFonts w:asciiTheme="minorHAnsi" w:hAnsiTheme="minorHAnsi" w:cstheme="minorHAnsi"/>
          <w:lang w:val="en-US"/>
        </w:rPr>
        <w:t>In 202</w:t>
      </w:r>
      <w:r w:rsidR="00FA7645">
        <w:rPr>
          <w:rFonts w:asciiTheme="minorHAnsi" w:hAnsiTheme="minorHAnsi" w:cstheme="minorHAnsi"/>
          <w:lang w:val="en-US"/>
        </w:rPr>
        <w:t>0</w:t>
      </w:r>
      <w:r w:rsidRPr="00314BA2">
        <w:rPr>
          <w:rFonts w:asciiTheme="minorHAnsi" w:hAnsiTheme="minorHAnsi" w:cstheme="minorHAnsi"/>
          <w:lang w:val="en-US"/>
        </w:rPr>
        <w:t>, Qatar's total population was 2.</w:t>
      </w:r>
      <w:r w:rsidR="00314BA2" w:rsidRPr="00314BA2">
        <w:rPr>
          <w:rFonts w:asciiTheme="minorHAnsi" w:hAnsiTheme="minorHAnsi" w:cstheme="minorHAnsi"/>
          <w:lang w:val="en-US"/>
        </w:rPr>
        <w:t>8</w:t>
      </w:r>
      <w:r w:rsidRPr="00314BA2">
        <w:rPr>
          <w:rFonts w:asciiTheme="minorHAnsi" w:hAnsiTheme="minorHAnsi" w:cstheme="minorHAnsi"/>
          <w:lang w:val="en-US"/>
        </w:rPr>
        <w:t xml:space="preserve"> million</w:t>
      </w:r>
      <w:r w:rsidR="00F51FC8" w:rsidRPr="00314BA2">
        <w:rPr>
          <w:rFonts w:asciiTheme="minorHAnsi" w:hAnsiTheme="minorHAnsi" w:cstheme="minorHAnsi"/>
          <w:lang w:val="en-US"/>
        </w:rPr>
        <w:t>,</w:t>
      </w:r>
      <w:r w:rsidRPr="00314BA2">
        <w:rPr>
          <w:rFonts w:asciiTheme="minorHAnsi" w:hAnsiTheme="minorHAnsi" w:cstheme="minorHAnsi"/>
          <w:lang w:val="en-US"/>
        </w:rPr>
        <w:t xml:space="preserve"> of which approximately 12%</w:t>
      </w:r>
      <w:r w:rsidR="00F51FC8" w:rsidRPr="00314BA2">
        <w:rPr>
          <w:rFonts w:asciiTheme="minorHAnsi" w:hAnsiTheme="minorHAnsi" w:cstheme="minorHAnsi"/>
          <w:lang w:val="en-US"/>
        </w:rPr>
        <w:t xml:space="preserve"> </w:t>
      </w:r>
      <w:r w:rsidRPr="00314BA2">
        <w:rPr>
          <w:rFonts w:asciiTheme="minorHAnsi" w:hAnsiTheme="minorHAnsi" w:cstheme="minorHAnsi"/>
          <w:lang w:val="en-US"/>
        </w:rPr>
        <w:t>were Qatari citizens and the remainder expatriates [</w:t>
      </w:r>
      <w:r w:rsidR="007519BC" w:rsidRPr="00314BA2">
        <w:rPr>
          <w:rFonts w:asciiTheme="minorHAnsi" w:hAnsiTheme="minorHAnsi" w:cstheme="minorHAnsi"/>
          <w:lang w:val="en-US"/>
        </w:rPr>
        <w:t>9</w:t>
      </w:r>
      <w:r w:rsidRPr="00314BA2">
        <w:rPr>
          <w:rFonts w:asciiTheme="minorHAnsi" w:hAnsiTheme="minorHAnsi" w:cstheme="minorHAnsi"/>
          <w:lang w:val="en-US"/>
        </w:rPr>
        <w:t>]</w:t>
      </w:r>
      <w:r w:rsidR="009223F3" w:rsidRPr="00314BA2">
        <w:rPr>
          <w:rFonts w:asciiTheme="minorHAnsi" w:hAnsiTheme="minorHAnsi" w:cstheme="minorHAnsi"/>
          <w:lang w:val="en-US"/>
        </w:rPr>
        <w:t>.</w:t>
      </w:r>
    </w:p>
    <w:p w14:paraId="03C7EF69" w14:textId="77777777" w:rsidR="0066193F" w:rsidRDefault="0066193F" w:rsidP="00AB28C6">
      <w:pPr>
        <w:spacing w:line="276" w:lineRule="auto"/>
        <w:ind w:left="567" w:right="1133"/>
        <w:rPr>
          <w:rFonts w:asciiTheme="minorHAnsi" w:hAnsiTheme="minorHAnsi" w:cstheme="minorHAnsi"/>
          <w:lang w:val="en-US"/>
        </w:rPr>
      </w:pPr>
    </w:p>
    <w:p w14:paraId="00304B28" w14:textId="0E000887" w:rsidR="00D73B35" w:rsidRDefault="000855FA" w:rsidP="0066193F">
      <w:pPr>
        <w:spacing w:line="276" w:lineRule="auto"/>
        <w:ind w:left="567" w:right="1133"/>
        <w:rPr>
          <w:rFonts w:asciiTheme="minorHAnsi" w:hAnsiTheme="minorHAnsi" w:cstheme="minorHAnsi"/>
          <w:lang w:val="en-US"/>
        </w:rPr>
      </w:pPr>
      <w:r w:rsidRPr="000855FA">
        <w:rPr>
          <w:rFonts w:asciiTheme="minorHAnsi" w:hAnsiTheme="minorHAnsi" w:cstheme="minorHAnsi"/>
          <w:lang w:val="en-US"/>
        </w:rPr>
        <w:t xml:space="preserve">Hamad Medical Corporation (HMC) is the principal public health care provider in the state of Qatar </w:t>
      </w:r>
      <w:r w:rsidR="004B548E">
        <w:rPr>
          <w:rFonts w:asciiTheme="minorHAnsi" w:hAnsiTheme="minorHAnsi" w:cstheme="minorHAnsi"/>
          <w:lang w:val="en-US"/>
        </w:rPr>
        <w:t>with</w:t>
      </w:r>
      <w:r w:rsidRPr="000855FA">
        <w:rPr>
          <w:rFonts w:asciiTheme="minorHAnsi" w:hAnsiTheme="minorHAnsi" w:cstheme="minorHAnsi"/>
          <w:lang w:val="en-US"/>
        </w:rPr>
        <w:t xml:space="preserve"> several facilities across the country. </w:t>
      </w:r>
      <w:r w:rsidR="004B548E">
        <w:rPr>
          <w:rFonts w:asciiTheme="minorHAnsi" w:hAnsiTheme="minorHAnsi" w:cstheme="minorHAnsi"/>
          <w:lang w:val="en-US"/>
        </w:rPr>
        <w:t xml:space="preserve"> </w:t>
      </w:r>
      <w:r w:rsidR="00376CDF" w:rsidRPr="00376CDF">
        <w:rPr>
          <w:rFonts w:asciiTheme="minorHAnsi" w:hAnsiTheme="minorHAnsi" w:cstheme="minorHAnsi"/>
          <w:lang w:val="en-US"/>
        </w:rPr>
        <w:t xml:space="preserve">Hip fracture data </w:t>
      </w:r>
      <w:r w:rsidR="00F54D53">
        <w:rPr>
          <w:rFonts w:asciiTheme="minorHAnsi" w:hAnsiTheme="minorHAnsi" w:cstheme="minorHAnsi"/>
          <w:lang w:val="en-US"/>
        </w:rPr>
        <w:t>were</w:t>
      </w:r>
      <w:r w:rsidR="00376CDF" w:rsidRPr="00376CDF">
        <w:rPr>
          <w:rFonts w:asciiTheme="minorHAnsi" w:hAnsiTheme="minorHAnsi" w:cstheme="minorHAnsi"/>
          <w:lang w:val="en-US"/>
        </w:rPr>
        <w:t xml:space="preserve"> </w:t>
      </w:r>
      <w:r w:rsidR="00AC107A">
        <w:rPr>
          <w:rFonts w:asciiTheme="minorHAnsi" w:hAnsiTheme="minorHAnsi" w:cstheme="minorHAnsi"/>
          <w:lang w:val="en-US"/>
        </w:rPr>
        <w:t>extracted</w:t>
      </w:r>
      <w:r w:rsidR="00376CDF" w:rsidRPr="00376CDF">
        <w:rPr>
          <w:rFonts w:asciiTheme="minorHAnsi" w:hAnsiTheme="minorHAnsi" w:cstheme="minorHAnsi"/>
          <w:lang w:val="en-US"/>
        </w:rPr>
        <w:t xml:space="preserve"> from </w:t>
      </w:r>
      <w:r w:rsidR="00AC107A">
        <w:rPr>
          <w:rFonts w:asciiTheme="minorHAnsi" w:hAnsiTheme="minorHAnsi" w:cstheme="minorHAnsi"/>
          <w:lang w:val="en-US"/>
        </w:rPr>
        <w:t>HMC</w:t>
      </w:r>
      <w:r w:rsidR="00376CDF" w:rsidRPr="00376CDF">
        <w:rPr>
          <w:rFonts w:asciiTheme="minorHAnsi" w:hAnsiTheme="minorHAnsi" w:cstheme="minorHAnsi"/>
          <w:lang w:val="en-US"/>
        </w:rPr>
        <w:t xml:space="preserve"> electronic medical records by using ICD 10 codes (S72.0, S72.1, S72.2) from January 2017 to December 2019</w:t>
      </w:r>
      <w:r w:rsidR="009C4F7B">
        <w:rPr>
          <w:rFonts w:asciiTheme="minorHAnsi" w:hAnsiTheme="minorHAnsi" w:cstheme="minorHAnsi"/>
          <w:lang w:val="en-US"/>
        </w:rPr>
        <w:t>.</w:t>
      </w:r>
      <w:r w:rsidR="00340EF7">
        <w:rPr>
          <w:rFonts w:asciiTheme="minorHAnsi" w:hAnsiTheme="minorHAnsi" w:cstheme="minorHAnsi"/>
          <w:lang w:val="en-US"/>
        </w:rPr>
        <w:t xml:space="preserve"> </w:t>
      </w:r>
      <w:r w:rsidRPr="000855FA">
        <w:rPr>
          <w:rFonts w:asciiTheme="minorHAnsi" w:hAnsiTheme="minorHAnsi" w:cstheme="minorHAnsi"/>
          <w:lang w:val="en-US"/>
        </w:rPr>
        <w:t xml:space="preserve"> Although </w:t>
      </w:r>
      <w:r w:rsidR="004B1CBC">
        <w:rPr>
          <w:rFonts w:asciiTheme="minorHAnsi" w:hAnsiTheme="minorHAnsi" w:cstheme="minorHAnsi"/>
          <w:lang w:val="en-US"/>
        </w:rPr>
        <w:t>there are</w:t>
      </w:r>
      <w:r w:rsidRPr="000855FA">
        <w:rPr>
          <w:rFonts w:asciiTheme="minorHAnsi" w:hAnsiTheme="minorHAnsi" w:cstheme="minorHAnsi"/>
          <w:lang w:val="en-US"/>
        </w:rPr>
        <w:t xml:space="preserve"> private hospitals in Qatar, they do not undertake surger</w:t>
      </w:r>
      <w:r w:rsidR="004B1CBC">
        <w:rPr>
          <w:rFonts w:asciiTheme="minorHAnsi" w:hAnsiTheme="minorHAnsi" w:cstheme="minorHAnsi"/>
          <w:lang w:val="en-US"/>
        </w:rPr>
        <w:t>y</w:t>
      </w:r>
      <w:r w:rsidRPr="000855FA">
        <w:rPr>
          <w:rFonts w:asciiTheme="minorHAnsi" w:hAnsiTheme="minorHAnsi" w:cstheme="minorHAnsi"/>
          <w:lang w:val="en-US"/>
        </w:rPr>
        <w:t xml:space="preserve"> for hip fractures</w:t>
      </w:r>
      <w:r w:rsidR="00E42860">
        <w:rPr>
          <w:rFonts w:asciiTheme="minorHAnsi" w:hAnsiTheme="minorHAnsi" w:cstheme="minorHAnsi"/>
          <w:lang w:val="en-US"/>
        </w:rPr>
        <w:t xml:space="preserve"> so</w:t>
      </w:r>
      <w:r w:rsidRPr="000855FA">
        <w:rPr>
          <w:rFonts w:asciiTheme="minorHAnsi" w:hAnsiTheme="minorHAnsi" w:cstheme="minorHAnsi"/>
          <w:lang w:val="en-US"/>
        </w:rPr>
        <w:t xml:space="preserve"> </w:t>
      </w:r>
      <w:r w:rsidR="00E42860">
        <w:rPr>
          <w:rFonts w:asciiTheme="minorHAnsi" w:hAnsiTheme="minorHAnsi" w:cstheme="minorHAnsi"/>
          <w:lang w:val="en-US"/>
        </w:rPr>
        <w:t>that</w:t>
      </w:r>
      <w:r w:rsidRPr="000855FA">
        <w:rPr>
          <w:rFonts w:asciiTheme="minorHAnsi" w:hAnsiTheme="minorHAnsi" w:cstheme="minorHAnsi"/>
          <w:lang w:val="en-US"/>
        </w:rPr>
        <w:t xml:space="preserve"> hip fracture cases present</w:t>
      </w:r>
      <w:r w:rsidR="00E42860">
        <w:rPr>
          <w:rFonts w:asciiTheme="minorHAnsi" w:hAnsiTheme="minorHAnsi" w:cstheme="minorHAnsi"/>
          <w:lang w:val="en-US"/>
        </w:rPr>
        <w:t>ing</w:t>
      </w:r>
      <w:r w:rsidRPr="000855FA">
        <w:rPr>
          <w:rFonts w:asciiTheme="minorHAnsi" w:hAnsiTheme="minorHAnsi" w:cstheme="minorHAnsi"/>
          <w:lang w:val="en-US"/>
        </w:rPr>
        <w:t xml:space="preserve"> to HMC represent national data</w:t>
      </w:r>
      <w:r w:rsidR="00774244">
        <w:rPr>
          <w:rFonts w:asciiTheme="minorHAnsi" w:hAnsiTheme="minorHAnsi" w:cstheme="minorHAnsi"/>
          <w:lang w:val="en-US"/>
        </w:rPr>
        <w:t xml:space="preserve">. </w:t>
      </w:r>
      <w:r w:rsidRPr="000855FA">
        <w:rPr>
          <w:rFonts w:asciiTheme="minorHAnsi" w:hAnsiTheme="minorHAnsi" w:cstheme="minorHAnsi"/>
          <w:lang w:val="en-US"/>
        </w:rPr>
        <w:t xml:space="preserve"> </w:t>
      </w:r>
    </w:p>
    <w:p w14:paraId="62ACD630" w14:textId="2E7E2A60" w:rsidR="001330C5" w:rsidRDefault="001330C5" w:rsidP="00DC70AE">
      <w:pPr>
        <w:spacing w:line="276" w:lineRule="auto"/>
        <w:ind w:left="567" w:right="1133" w:firstLine="567"/>
        <w:rPr>
          <w:rFonts w:asciiTheme="minorHAnsi" w:hAnsiTheme="minorHAnsi" w:cstheme="minorHAnsi"/>
          <w:lang w:val="en-US"/>
        </w:rPr>
      </w:pPr>
    </w:p>
    <w:p w14:paraId="44032B76" w14:textId="362506CA" w:rsidR="00D063CC" w:rsidRDefault="00D063CC" w:rsidP="00995761">
      <w:pPr>
        <w:spacing w:line="276" w:lineRule="auto"/>
        <w:ind w:left="567" w:right="1133"/>
        <w:rPr>
          <w:rFonts w:asciiTheme="minorHAnsi" w:hAnsiTheme="minorHAnsi" w:cstheme="minorHAnsi"/>
          <w:lang w:val="en-US"/>
        </w:rPr>
      </w:pPr>
      <w:r w:rsidRPr="00D063CC">
        <w:rPr>
          <w:rFonts w:asciiTheme="minorHAnsi" w:hAnsiTheme="minorHAnsi" w:cstheme="minorHAnsi"/>
          <w:lang w:val="en-US"/>
        </w:rPr>
        <w:t xml:space="preserve">Fracture cases were recorded from the age of 40 years since this is the age from which FRAX is used to calculate fracture probabilities.  Multiple admissions by the same patient for the same fracture were excluded to avoid duplication.  For the present analysis, we included patients irrespective of the degree of trauma.   The reason for their inclusion is that classification of high and low energy fractures is inconsistent and arbitrary.  Additionally, high-trauma and non-trauma fractures show similar relationships with low </w:t>
      </w:r>
      <w:r w:rsidRPr="005D58C5">
        <w:rPr>
          <w:rFonts w:asciiTheme="minorHAnsi" w:hAnsiTheme="minorHAnsi" w:cstheme="minorHAnsi"/>
          <w:lang w:val="en-US"/>
        </w:rPr>
        <w:t>BMD and future fracture risk [</w:t>
      </w:r>
      <w:r w:rsidR="003B70E3" w:rsidRPr="005D58C5">
        <w:rPr>
          <w:rFonts w:asciiTheme="minorHAnsi" w:hAnsiTheme="minorHAnsi" w:cstheme="minorHAnsi"/>
          <w:lang w:val="en-US"/>
        </w:rPr>
        <w:t>10</w:t>
      </w:r>
      <w:r w:rsidRPr="005D58C5">
        <w:rPr>
          <w:rFonts w:asciiTheme="minorHAnsi" w:hAnsiTheme="minorHAnsi" w:cstheme="minorHAnsi"/>
          <w:lang w:val="en-US"/>
        </w:rPr>
        <w:t xml:space="preserve">, </w:t>
      </w:r>
      <w:r w:rsidR="003E704C" w:rsidRPr="005D58C5">
        <w:rPr>
          <w:rFonts w:asciiTheme="minorHAnsi" w:hAnsiTheme="minorHAnsi" w:cstheme="minorHAnsi"/>
          <w:lang w:val="en-US"/>
        </w:rPr>
        <w:t>11</w:t>
      </w:r>
      <w:r w:rsidRPr="005D58C5">
        <w:rPr>
          <w:rFonts w:asciiTheme="minorHAnsi" w:hAnsiTheme="minorHAnsi" w:cstheme="minorHAnsi"/>
          <w:lang w:val="en-US"/>
        </w:rPr>
        <w:t>].  We</w:t>
      </w:r>
      <w:r w:rsidRPr="00D063CC">
        <w:rPr>
          <w:rFonts w:asciiTheme="minorHAnsi" w:hAnsiTheme="minorHAnsi" w:cstheme="minorHAnsi"/>
          <w:lang w:val="en-US"/>
        </w:rPr>
        <w:t xml:space="preserve"> included </w:t>
      </w:r>
      <w:r w:rsidR="00C906DA">
        <w:rPr>
          <w:rFonts w:asciiTheme="minorHAnsi" w:hAnsiTheme="minorHAnsi" w:cstheme="minorHAnsi"/>
          <w:lang w:val="en-US"/>
        </w:rPr>
        <w:t>Qatari</w:t>
      </w:r>
      <w:r w:rsidR="002B6FBA">
        <w:rPr>
          <w:rFonts w:asciiTheme="minorHAnsi" w:hAnsiTheme="minorHAnsi" w:cstheme="minorHAnsi"/>
          <w:lang w:val="en-US"/>
        </w:rPr>
        <w:t xml:space="preserve"> </w:t>
      </w:r>
      <w:r w:rsidR="00047B91">
        <w:rPr>
          <w:rFonts w:asciiTheme="minorHAnsi" w:hAnsiTheme="minorHAnsi" w:cstheme="minorHAnsi"/>
          <w:lang w:val="en-US"/>
        </w:rPr>
        <w:t xml:space="preserve">citizens </w:t>
      </w:r>
      <w:r w:rsidR="00943126">
        <w:rPr>
          <w:rFonts w:asciiTheme="minorHAnsi" w:hAnsiTheme="minorHAnsi" w:cstheme="minorHAnsi"/>
          <w:lang w:val="en-US"/>
        </w:rPr>
        <w:t xml:space="preserve">and </w:t>
      </w:r>
      <w:r w:rsidR="00C216B0">
        <w:rPr>
          <w:rFonts w:asciiTheme="minorHAnsi" w:hAnsiTheme="minorHAnsi" w:cstheme="minorHAnsi"/>
          <w:lang w:val="en-US"/>
        </w:rPr>
        <w:t>expatriates</w:t>
      </w:r>
      <w:r w:rsidRPr="00D063CC">
        <w:rPr>
          <w:rFonts w:asciiTheme="minorHAnsi" w:hAnsiTheme="minorHAnsi" w:cstheme="minorHAnsi"/>
          <w:lang w:val="en-US"/>
        </w:rPr>
        <w:t xml:space="preserve"> </w:t>
      </w:r>
      <w:r w:rsidR="00943126">
        <w:rPr>
          <w:rFonts w:asciiTheme="minorHAnsi" w:hAnsiTheme="minorHAnsi" w:cstheme="minorHAnsi"/>
          <w:lang w:val="en-US"/>
        </w:rPr>
        <w:t xml:space="preserve">in order to compare </w:t>
      </w:r>
      <w:r w:rsidR="00C216B0">
        <w:rPr>
          <w:rFonts w:asciiTheme="minorHAnsi" w:hAnsiTheme="minorHAnsi" w:cstheme="minorHAnsi"/>
          <w:lang w:val="en-US"/>
        </w:rPr>
        <w:t>hip fracture rates</w:t>
      </w:r>
      <w:r w:rsidRPr="00D063CC">
        <w:rPr>
          <w:rFonts w:asciiTheme="minorHAnsi" w:hAnsiTheme="minorHAnsi" w:cstheme="minorHAnsi"/>
          <w:lang w:val="en-US"/>
        </w:rPr>
        <w:t>.</w:t>
      </w:r>
    </w:p>
    <w:p w14:paraId="732C79F2" w14:textId="77777777" w:rsidR="00783F7C" w:rsidRDefault="00783F7C" w:rsidP="00995761">
      <w:pPr>
        <w:spacing w:line="276" w:lineRule="auto"/>
        <w:ind w:left="567" w:right="1133"/>
        <w:rPr>
          <w:rFonts w:asciiTheme="minorHAnsi" w:hAnsiTheme="minorHAnsi" w:cstheme="minorHAnsi"/>
          <w:lang w:val="en-US"/>
        </w:rPr>
      </w:pPr>
    </w:p>
    <w:p w14:paraId="676B483B" w14:textId="1E610ED6" w:rsidR="00DF114B" w:rsidRDefault="00DF114B" w:rsidP="00783F7C">
      <w:pPr>
        <w:spacing w:line="276" w:lineRule="auto"/>
        <w:ind w:left="567" w:right="1133"/>
        <w:rPr>
          <w:rFonts w:asciiTheme="minorHAnsi" w:hAnsiTheme="minorHAnsi" w:cstheme="minorHAnsi"/>
          <w:lang w:val="en-US"/>
        </w:rPr>
      </w:pPr>
      <w:r w:rsidRPr="00DF114B">
        <w:rPr>
          <w:rFonts w:asciiTheme="minorHAnsi" w:hAnsiTheme="minorHAnsi" w:cstheme="minorHAnsi"/>
          <w:lang w:val="en-US"/>
        </w:rPr>
        <w:t>Population estimates for Qatari citizens and expatriates in 2017 were based on data for 2017</w:t>
      </w:r>
      <w:r w:rsidR="00472171">
        <w:rPr>
          <w:rFonts w:asciiTheme="minorHAnsi" w:hAnsiTheme="minorHAnsi" w:cstheme="minorHAnsi"/>
          <w:lang w:val="en-US"/>
        </w:rPr>
        <w:t xml:space="preserve"> in </w:t>
      </w:r>
      <w:r w:rsidR="00493F5E">
        <w:rPr>
          <w:rFonts w:asciiTheme="minorHAnsi" w:hAnsiTheme="minorHAnsi" w:cstheme="minorHAnsi"/>
          <w:lang w:val="en-US"/>
        </w:rPr>
        <w:t>5-year</w:t>
      </w:r>
      <w:r w:rsidR="00694755">
        <w:rPr>
          <w:rFonts w:asciiTheme="minorHAnsi" w:hAnsiTheme="minorHAnsi" w:cstheme="minorHAnsi"/>
          <w:lang w:val="en-US"/>
        </w:rPr>
        <w:t xml:space="preserve"> intervals</w:t>
      </w:r>
      <w:r w:rsidRPr="00DF114B">
        <w:rPr>
          <w:rFonts w:asciiTheme="minorHAnsi" w:hAnsiTheme="minorHAnsi" w:cstheme="minorHAnsi"/>
          <w:lang w:val="en-US"/>
        </w:rPr>
        <w:t xml:space="preserve"> [Qatar Population and Employment Projections 2017-2042- a framework for National Planning]. Data for 2018 and 2019 were estimated from population projections</w:t>
      </w:r>
      <w:r w:rsidR="004B076F">
        <w:rPr>
          <w:rFonts w:asciiTheme="minorHAnsi" w:hAnsiTheme="minorHAnsi" w:cstheme="minorHAnsi"/>
          <w:lang w:val="en-US"/>
        </w:rPr>
        <w:t xml:space="preserve"> from 2017</w:t>
      </w:r>
      <w:r w:rsidRPr="00DF114B">
        <w:rPr>
          <w:rFonts w:asciiTheme="minorHAnsi" w:hAnsiTheme="minorHAnsi" w:cstheme="minorHAnsi"/>
          <w:lang w:val="en-US"/>
        </w:rPr>
        <w:t>.</w:t>
      </w:r>
    </w:p>
    <w:p w14:paraId="4EB9A74A" w14:textId="77777777" w:rsidR="00D063CC" w:rsidRDefault="00D063CC" w:rsidP="00DC70AE">
      <w:pPr>
        <w:spacing w:line="276" w:lineRule="auto"/>
        <w:ind w:left="567" w:right="1133" w:firstLine="567"/>
        <w:rPr>
          <w:rFonts w:asciiTheme="minorHAnsi" w:hAnsiTheme="minorHAnsi" w:cstheme="minorHAnsi"/>
          <w:highlight w:val="yellow"/>
          <w:lang w:val="en-US"/>
        </w:rPr>
      </w:pPr>
    </w:p>
    <w:p w14:paraId="02FF318E" w14:textId="7FD85DA1" w:rsidR="00E254B2" w:rsidRDefault="000A763D" w:rsidP="00C11242">
      <w:pPr>
        <w:spacing w:line="276" w:lineRule="auto"/>
        <w:ind w:left="567" w:right="1133"/>
        <w:rPr>
          <w:rFonts w:asciiTheme="minorHAnsi" w:hAnsiTheme="minorHAnsi" w:cstheme="minorHAnsi"/>
          <w:lang w:val="en-US"/>
        </w:rPr>
      </w:pPr>
      <w:r>
        <w:rPr>
          <w:rFonts w:asciiTheme="minorHAnsi" w:hAnsiTheme="minorHAnsi" w:cstheme="minorHAnsi"/>
          <w:lang w:val="en-US"/>
        </w:rPr>
        <w:t xml:space="preserve">Possible differences in incidence between </w:t>
      </w:r>
      <w:r w:rsidR="003C3563" w:rsidRPr="003C3563">
        <w:rPr>
          <w:rFonts w:asciiTheme="minorHAnsi" w:hAnsiTheme="minorHAnsi" w:cstheme="minorHAnsi"/>
          <w:lang w:val="en-US"/>
        </w:rPr>
        <w:t xml:space="preserve">the Qatari </w:t>
      </w:r>
      <w:r w:rsidR="008D5FCE">
        <w:rPr>
          <w:rFonts w:asciiTheme="minorHAnsi" w:hAnsiTheme="minorHAnsi" w:cstheme="minorHAnsi"/>
          <w:lang w:val="en-US"/>
        </w:rPr>
        <w:t>citizens</w:t>
      </w:r>
      <w:r w:rsidR="003C3563" w:rsidRPr="003C3563">
        <w:rPr>
          <w:rFonts w:asciiTheme="minorHAnsi" w:hAnsiTheme="minorHAnsi" w:cstheme="minorHAnsi"/>
          <w:lang w:val="en-US"/>
        </w:rPr>
        <w:t xml:space="preserve"> </w:t>
      </w:r>
      <w:r w:rsidR="002C2AB0">
        <w:rPr>
          <w:rFonts w:asciiTheme="minorHAnsi" w:hAnsiTheme="minorHAnsi" w:cstheme="minorHAnsi"/>
          <w:lang w:val="en-US"/>
        </w:rPr>
        <w:t>and</w:t>
      </w:r>
      <w:r w:rsidR="003C3563" w:rsidRPr="003C3563">
        <w:rPr>
          <w:rFonts w:asciiTheme="minorHAnsi" w:hAnsiTheme="minorHAnsi" w:cstheme="minorHAnsi"/>
          <w:lang w:val="en-US"/>
        </w:rPr>
        <w:t xml:space="preserve"> the expatriate population</w:t>
      </w:r>
      <w:r w:rsidR="000E7CBE">
        <w:rPr>
          <w:rFonts w:asciiTheme="minorHAnsi" w:hAnsiTheme="minorHAnsi" w:cstheme="minorHAnsi"/>
          <w:lang w:val="en-US"/>
        </w:rPr>
        <w:t xml:space="preserve"> were explored usin</w:t>
      </w:r>
      <w:r w:rsidR="009D2A0B">
        <w:rPr>
          <w:rFonts w:asciiTheme="minorHAnsi" w:hAnsiTheme="minorHAnsi" w:cstheme="minorHAnsi"/>
          <w:lang w:val="en-US"/>
        </w:rPr>
        <w:t xml:space="preserve">g </w:t>
      </w:r>
      <w:r w:rsidR="003C3563" w:rsidRPr="003C3563">
        <w:rPr>
          <w:rFonts w:asciiTheme="minorHAnsi" w:hAnsiTheme="minorHAnsi" w:cstheme="minorHAnsi"/>
          <w:lang w:val="en-US"/>
        </w:rPr>
        <w:t xml:space="preserve">age-standardized annual rates </w:t>
      </w:r>
      <w:r w:rsidR="00DD2EEF">
        <w:rPr>
          <w:rFonts w:asciiTheme="minorHAnsi" w:hAnsiTheme="minorHAnsi" w:cstheme="minorHAnsi"/>
          <w:lang w:val="en-US"/>
        </w:rPr>
        <w:t>based on the population distribution of Qatari nationals.</w:t>
      </w:r>
      <w:r w:rsidR="00021D14">
        <w:rPr>
          <w:rFonts w:asciiTheme="minorHAnsi" w:hAnsiTheme="minorHAnsi" w:cstheme="minorHAnsi"/>
          <w:lang w:val="en-US"/>
        </w:rPr>
        <w:t xml:space="preserve"> </w:t>
      </w:r>
      <w:r w:rsidR="00303449">
        <w:rPr>
          <w:rFonts w:asciiTheme="minorHAnsi" w:hAnsiTheme="minorHAnsi" w:cstheme="minorHAnsi"/>
          <w:lang w:val="en-US"/>
        </w:rPr>
        <w:t xml:space="preserve"> </w:t>
      </w:r>
      <w:r w:rsidR="00021D14">
        <w:rPr>
          <w:rFonts w:asciiTheme="minorHAnsi" w:hAnsiTheme="minorHAnsi" w:cstheme="minorHAnsi"/>
          <w:lang w:val="en-US"/>
        </w:rPr>
        <w:t>Age and sex</w:t>
      </w:r>
      <w:r w:rsidR="00F51FC8">
        <w:rPr>
          <w:rFonts w:asciiTheme="minorHAnsi" w:hAnsiTheme="minorHAnsi" w:cstheme="minorHAnsi"/>
          <w:lang w:val="en-US"/>
        </w:rPr>
        <w:t>-</w:t>
      </w:r>
      <w:r w:rsidR="00021D14">
        <w:rPr>
          <w:rFonts w:asciiTheme="minorHAnsi" w:hAnsiTheme="minorHAnsi" w:cstheme="minorHAnsi"/>
          <w:lang w:val="en-US"/>
        </w:rPr>
        <w:t>specific</w:t>
      </w:r>
      <w:r w:rsidR="00F51FC8">
        <w:rPr>
          <w:rFonts w:asciiTheme="minorHAnsi" w:hAnsiTheme="minorHAnsi" w:cstheme="minorHAnsi"/>
          <w:lang w:val="en-US"/>
        </w:rPr>
        <w:t xml:space="preserve"> fracture</w:t>
      </w:r>
      <w:r w:rsidR="00021D14">
        <w:rPr>
          <w:rFonts w:asciiTheme="minorHAnsi" w:hAnsiTheme="minorHAnsi" w:cstheme="minorHAnsi"/>
          <w:lang w:val="en-US"/>
        </w:rPr>
        <w:t xml:space="preserve"> incidence was compared to d</w:t>
      </w:r>
      <w:r w:rsidR="00DF4C66">
        <w:rPr>
          <w:rFonts w:asciiTheme="minorHAnsi" w:hAnsiTheme="minorHAnsi" w:cstheme="minorHAnsi"/>
          <w:lang w:val="en-US"/>
        </w:rPr>
        <w:t>ata available for Abu Dhabi, K</w:t>
      </w:r>
      <w:r w:rsidR="008A54B9">
        <w:rPr>
          <w:rFonts w:asciiTheme="minorHAnsi" w:hAnsiTheme="minorHAnsi" w:cstheme="minorHAnsi"/>
          <w:lang w:val="en-US"/>
        </w:rPr>
        <w:t>uwait and Saudi Arabia</w:t>
      </w:r>
      <w:r w:rsidR="00A06F62">
        <w:rPr>
          <w:rFonts w:asciiTheme="minorHAnsi" w:hAnsiTheme="minorHAnsi" w:cstheme="minorHAnsi"/>
          <w:lang w:val="en-US"/>
        </w:rPr>
        <w:t>.</w:t>
      </w:r>
      <w:r w:rsidR="00384BF4">
        <w:rPr>
          <w:rFonts w:asciiTheme="minorHAnsi" w:hAnsiTheme="minorHAnsi" w:cstheme="minorHAnsi"/>
          <w:lang w:val="en-US"/>
        </w:rPr>
        <w:t xml:space="preserve"> </w:t>
      </w:r>
    </w:p>
    <w:p w14:paraId="4125A0C2" w14:textId="5B9509EB" w:rsidR="00A64C8B" w:rsidRDefault="00A64C8B" w:rsidP="00C11242">
      <w:pPr>
        <w:spacing w:line="276" w:lineRule="auto"/>
        <w:ind w:left="567" w:right="1133"/>
        <w:rPr>
          <w:rFonts w:asciiTheme="minorHAnsi" w:hAnsiTheme="minorHAnsi" w:cstheme="minorHAnsi"/>
          <w:lang w:val="en-US"/>
        </w:rPr>
      </w:pPr>
    </w:p>
    <w:p w14:paraId="14D0A6F1" w14:textId="77777777" w:rsidR="00A64C8B" w:rsidRPr="00A64C8B" w:rsidRDefault="00A64C8B" w:rsidP="00A64C8B">
      <w:pPr>
        <w:spacing w:line="276" w:lineRule="auto"/>
        <w:ind w:left="567" w:right="1133"/>
        <w:rPr>
          <w:rFonts w:asciiTheme="minorHAnsi" w:hAnsiTheme="minorHAnsi" w:cstheme="minorHAnsi"/>
          <w:i/>
          <w:iCs/>
          <w:lang w:val="en-US"/>
        </w:rPr>
      </w:pPr>
      <w:r w:rsidRPr="00A64C8B">
        <w:rPr>
          <w:rFonts w:asciiTheme="minorHAnsi" w:hAnsiTheme="minorHAnsi" w:cstheme="minorHAnsi"/>
          <w:i/>
          <w:iCs/>
          <w:lang w:val="en-US"/>
        </w:rPr>
        <w:t>FRAX model</w:t>
      </w:r>
    </w:p>
    <w:p w14:paraId="23A134D5" w14:textId="5ED7E97E" w:rsidR="00A64C8B" w:rsidRDefault="00A64C8B" w:rsidP="00A64C8B">
      <w:pPr>
        <w:spacing w:line="276" w:lineRule="auto"/>
        <w:ind w:left="567" w:right="1133"/>
        <w:rPr>
          <w:rFonts w:asciiTheme="minorHAnsi" w:hAnsiTheme="minorHAnsi" w:cstheme="minorHAnsi"/>
          <w:lang w:val="en-US"/>
        </w:rPr>
      </w:pPr>
      <w:r w:rsidRPr="00A64C8B">
        <w:rPr>
          <w:rFonts w:asciiTheme="minorHAnsi" w:hAnsiTheme="minorHAnsi" w:cstheme="minorHAnsi"/>
          <w:lang w:val="en-US"/>
        </w:rPr>
        <w:t xml:space="preserve">The data on hip fracture </w:t>
      </w:r>
      <w:r w:rsidR="00757ACC">
        <w:rPr>
          <w:rFonts w:asciiTheme="minorHAnsi" w:hAnsiTheme="minorHAnsi" w:cstheme="minorHAnsi"/>
          <w:lang w:val="en-US"/>
        </w:rPr>
        <w:t>in Qatar</w:t>
      </w:r>
      <w:r w:rsidR="00D11105">
        <w:rPr>
          <w:rFonts w:asciiTheme="minorHAnsi" w:hAnsiTheme="minorHAnsi" w:cstheme="minorHAnsi"/>
          <w:lang w:val="en-US"/>
        </w:rPr>
        <w:t>i</w:t>
      </w:r>
      <w:r w:rsidR="00757ACC">
        <w:rPr>
          <w:rFonts w:asciiTheme="minorHAnsi" w:hAnsiTheme="minorHAnsi" w:cstheme="minorHAnsi"/>
          <w:lang w:val="en-US"/>
        </w:rPr>
        <w:t xml:space="preserve"> nationals </w:t>
      </w:r>
      <w:r w:rsidRPr="00A64C8B">
        <w:rPr>
          <w:rFonts w:asciiTheme="minorHAnsi" w:hAnsiTheme="minorHAnsi" w:cstheme="minorHAnsi"/>
          <w:lang w:val="en-US"/>
        </w:rPr>
        <w:t>were used to construct the FRAX model.  For other major osteoporotic fractures (</w:t>
      </w:r>
      <w:r w:rsidR="002038F7">
        <w:rPr>
          <w:rFonts w:asciiTheme="minorHAnsi" w:hAnsiTheme="minorHAnsi" w:cstheme="minorHAnsi"/>
          <w:lang w:val="en-US"/>
        </w:rPr>
        <w:t xml:space="preserve">MOF; </w:t>
      </w:r>
      <w:r w:rsidRPr="00A64C8B">
        <w:rPr>
          <w:rFonts w:asciiTheme="minorHAnsi" w:hAnsiTheme="minorHAnsi" w:cstheme="minorHAnsi"/>
          <w:lang w:val="en-US"/>
        </w:rPr>
        <w:t xml:space="preserve">clinical spine, forearm and humeral fractures) it was assumed that the age- and sex-specific ratios of these fractures to hip fracture risk found in Sweden were comparable to those in Qatar. This assumption has been used for many of the FRAX models with incomplete epidemiological information. Available information suggests that the age- and sex-stratified pattern of fracture is very similar in the Western world, </w:t>
      </w:r>
      <w:r w:rsidR="009E6D76" w:rsidRPr="00A64C8B">
        <w:rPr>
          <w:rFonts w:asciiTheme="minorHAnsi" w:hAnsiTheme="minorHAnsi" w:cstheme="minorHAnsi"/>
          <w:lang w:val="en-US"/>
        </w:rPr>
        <w:t>Australia,</w:t>
      </w:r>
      <w:r w:rsidRPr="00A64C8B">
        <w:rPr>
          <w:rFonts w:asciiTheme="minorHAnsi" w:hAnsiTheme="minorHAnsi" w:cstheme="minorHAnsi"/>
          <w:lang w:val="en-US"/>
        </w:rPr>
        <w:t xml:space="preserve"> and Eastern </w:t>
      </w:r>
      <w:r w:rsidRPr="00C92452">
        <w:rPr>
          <w:rFonts w:asciiTheme="minorHAnsi" w:hAnsiTheme="minorHAnsi" w:cstheme="minorHAnsi"/>
          <w:lang w:val="en-US"/>
        </w:rPr>
        <w:t>Europe [</w:t>
      </w:r>
      <w:r w:rsidR="00E63A4E">
        <w:rPr>
          <w:rFonts w:asciiTheme="minorHAnsi" w:hAnsiTheme="minorHAnsi" w:cstheme="minorHAnsi"/>
          <w:lang w:val="en-US"/>
        </w:rPr>
        <w:t>12</w:t>
      </w:r>
      <w:r w:rsidRPr="00C92452">
        <w:rPr>
          <w:rFonts w:asciiTheme="minorHAnsi" w:hAnsiTheme="minorHAnsi" w:cstheme="minorHAnsi"/>
          <w:lang w:val="en-US"/>
        </w:rPr>
        <w:t xml:space="preserve">, </w:t>
      </w:r>
      <w:r w:rsidR="00201AF0">
        <w:rPr>
          <w:rFonts w:asciiTheme="minorHAnsi" w:hAnsiTheme="minorHAnsi" w:cstheme="minorHAnsi"/>
          <w:lang w:val="en-US"/>
        </w:rPr>
        <w:t>13</w:t>
      </w:r>
      <w:r w:rsidRPr="009E6D76">
        <w:rPr>
          <w:rFonts w:asciiTheme="minorHAnsi" w:hAnsiTheme="minorHAnsi" w:cstheme="minorHAnsi"/>
          <w:lang w:val="en-US"/>
        </w:rPr>
        <w:t xml:space="preserve">, </w:t>
      </w:r>
      <w:r w:rsidR="00201AF0" w:rsidRPr="009E6D76">
        <w:rPr>
          <w:rFonts w:asciiTheme="minorHAnsi" w:hAnsiTheme="minorHAnsi" w:cstheme="minorHAnsi"/>
          <w:lang w:val="en-US"/>
        </w:rPr>
        <w:t>14</w:t>
      </w:r>
      <w:r w:rsidRPr="009E6D76">
        <w:rPr>
          <w:rFonts w:asciiTheme="minorHAnsi" w:hAnsiTheme="minorHAnsi" w:cstheme="minorHAnsi"/>
          <w:lang w:val="en-US"/>
        </w:rPr>
        <w:t xml:space="preserve">, </w:t>
      </w:r>
      <w:r w:rsidR="00D95EDF" w:rsidRPr="009E6D76">
        <w:rPr>
          <w:rFonts w:asciiTheme="minorHAnsi" w:hAnsiTheme="minorHAnsi" w:cstheme="minorHAnsi"/>
          <w:lang w:val="en-US"/>
        </w:rPr>
        <w:t>15</w:t>
      </w:r>
      <w:r w:rsidRPr="009E6D76">
        <w:rPr>
          <w:rFonts w:asciiTheme="minorHAnsi" w:hAnsiTheme="minorHAnsi" w:cstheme="minorHAnsi"/>
          <w:lang w:val="en-US"/>
        </w:rPr>
        <w:t>].</w:t>
      </w:r>
    </w:p>
    <w:p w14:paraId="72F2CBD1" w14:textId="77777777" w:rsidR="00B24C90" w:rsidRPr="00A64C8B" w:rsidRDefault="00B24C90" w:rsidP="00A64C8B">
      <w:pPr>
        <w:spacing w:line="276" w:lineRule="auto"/>
        <w:ind w:left="567" w:right="1133"/>
        <w:rPr>
          <w:rFonts w:asciiTheme="minorHAnsi" w:hAnsiTheme="minorHAnsi" w:cstheme="minorHAnsi"/>
          <w:lang w:val="en-US"/>
        </w:rPr>
      </w:pPr>
    </w:p>
    <w:p w14:paraId="7FAA553C" w14:textId="448B4A6D" w:rsidR="00A64C8B" w:rsidRPr="009E6D76" w:rsidRDefault="00A64C8B" w:rsidP="00A64C8B">
      <w:pPr>
        <w:spacing w:line="276" w:lineRule="auto"/>
        <w:ind w:left="567" w:right="1133"/>
        <w:rPr>
          <w:rFonts w:asciiTheme="minorHAnsi" w:hAnsiTheme="minorHAnsi" w:cstheme="minorHAnsi"/>
          <w:lang w:val="en-US"/>
        </w:rPr>
      </w:pPr>
      <w:r w:rsidRPr="00A64C8B">
        <w:rPr>
          <w:rFonts w:asciiTheme="minorHAnsi" w:hAnsiTheme="minorHAnsi" w:cstheme="minorHAnsi"/>
          <w:lang w:val="en-US"/>
        </w:rPr>
        <w:t xml:space="preserve">The development and validation of FRAX have been extensively </w:t>
      </w:r>
      <w:r w:rsidRPr="00A87A2C">
        <w:rPr>
          <w:rFonts w:asciiTheme="minorHAnsi" w:hAnsiTheme="minorHAnsi" w:cstheme="minorHAnsi"/>
          <w:lang w:val="en-US"/>
        </w:rPr>
        <w:t>described [</w:t>
      </w:r>
      <w:r w:rsidR="0024547B" w:rsidRPr="00A87A2C">
        <w:rPr>
          <w:rFonts w:asciiTheme="minorHAnsi" w:hAnsiTheme="minorHAnsi" w:cstheme="minorHAnsi"/>
          <w:lang w:val="en-US"/>
        </w:rPr>
        <w:t>5</w:t>
      </w:r>
      <w:r w:rsidRPr="00A87A2C">
        <w:rPr>
          <w:rFonts w:asciiTheme="minorHAnsi" w:hAnsiTheme="minorHAnsi" w:cstheme="minorHAnsi"/>
          <w:lang w:val="en-US"/>
        </w:rPr>
        <w:t xml:space="preserve">, </w:t>
      </w:r>
      <w:r w:rsidR="00A87A2C" w:rsidRPr="00A87A2C">
        <w:rPr>
          <w:rFonts w:asciiTheme="minorHAnsi" w:hAnsiTheme="minorHAnsi" w:cstheme="minorHAnsi"/>
          <w:lang w:val="en-US"/>
        </w:rPr>
        <w:t>6</w:t>
      </w:r>
      <w:r w:rsidRPr="000C1DC4">
        <w:rPr>
          <w:rFonts w:asciiTheme="minorHAnsi" w:hAnsiTheme="minorHAnsi" w:cstheme="minorHAnsi"/>
          <w:lang w:val="en-US"/>
        </w:rPr>
        <w:t>].  The</w:t>
      </w:r>
      <w:r w:rsidRPr="00A64C8B">
        <w:rPr>
          <w:rFonts w:asciiTheme="minorHAnsi" w:hAnsiTheme="minorHAnsi" w:cstheme="minorHAnsi"/>
          <w:lang w:val="en-US"/>
        </w:rPr>
        <w:t xml:space="preserve"> risk factors used were based on a systematic set of meta-analyses of population-based cohorts worldwide and validated in independent cohorts with over 1 million patient-years of follow-up.  The construct of the FRAX model for Qatar retained the beta coefficients of the risk factors in the original FRAX model</w:t>
      </w:r>
      <w:r w:rsidR="00F51FC8">
        <w:rPr>
          <w:rFonts w:asciiTheme="minorHAnsi" w:hAnsiTheme="minorHAnsi" w:cstheme="minorHAnsi"/>
          <w:lang w:val="en-US"/>
        </w:rPr>
        <w:t>, together</w:t>
      </w:r>
      <w:r w:rsidRPr="00A64C8B">
        <w:rPr>
          <w:rFonts w:asciiTheme="minorHAnsi" w:hAnsiTheme="minorHAnsi" w:cstheme="minorHAnsi"/>
          <w:lang w:val="en-US"/>
        </w:rPr>
        <w:t xml:space="preserve"> with the incidence rates of hip fracture and mortality rates for Qatar</w:t>
      </w:r>
      <w:r w:rsidR="00A1457E">
        <w:rPr>
          <w:rFonts w:asciiTheme="minorHAnsi" w:hAnsiTheme="minorHAnsi" w:cstheme="minorHAnsi"/>
          <w:lang w:val="en-US"/>
        </w:rPr>
        <w:t>i nationals</w:t>
      </w:r>
      <w:r w:rsidRPr="00A64C8B">
        <w:rPr>
          <w:rFonts w:asciiTheme="minorHAnsi" w:hAnsiTheme="minorHAnsi" w:cstheme="minorHAnsi"/>
          <w:lang w:val="en-US"/>
        </w:rPr>
        <w:t xml:space="preserve">.  National mortality rates </w:t>
      </w:r>
      <w:r w:rsidR="005D638D">
        <w:rPr>
          <w:rFonts w:asciiTheme="minorHAnsi" w:hAnsiTheme="minorHAnsi" w:cstheme="minorHAnsi"/>
          <w:lang w:val="en-US"/>
        </w:rPr>
        <w:t>for Qatari national</w:t>
      </w:r>
      <w:r w:rsidR="00F23A3F">
        <w:rPr>
          <w:rFonts w:asciiTheme="minorHAnsi" w:hAnsiTheme="minorHAnsi" w:cstheme="minorHAnsi"/>
          <w:lang w:val="en-US"/>
        </w:rPr>
        <w:t xml:space="preserve">s </w:t>
      </w:r>
      <w:r w:rsidRPr="00A64C8B">
        <w:rPr>
          <w:rFonts w:asciiTheme="minorHAnsi" w:hAnsiTheme="minorHAnsi" w:cstheme="minorHAnsi"/>
          <w:lang w:val="en-US"/>
        </w:rPr>
        <w:t xml:space="preserve">for years 2018-2019 used data from the Planning and </w:t>
      </w:r>
      <w:r w:rsidRPr="009E6D76">
        <w:rPr>
          <w:rFonts w:asciiTheme="minorHAnsi" w:hAnsiTheme="minorHAnsi" w:cstheme="minorHAnsi"/>
          <w:lang w:val="en-US"/>
        </w:rPr>
        <w:t>Statistics Authority</w:t>
      </w:r>
      <w:r w:rsidR="00CC11F5" w:rsidRPr="009E6D76">
        <w:rPr>
          <w:rFonts w:asciiTheme="minorHAnsi" w:hAnsiTheme="minorHAnsi" w:cstheme="minorHAnsi"/>
          <w:lang w:val="en-US"/>
        </w:rPr>
        <w:t xml:space="preserve"> [</w:t>
      </w:r>
      <w:r w:rsidR="003A26E8" w:rsidRPr="009E6D76">
        <w:rPr>
          <w:rFonts w:asciiTheme="minorHAnsi" w:hAnsiTheme="minorHAnsi" w:cstheme="minorHAnsi"/>
          <w:lang w:val="en-US"/>
        </w:rPr>
        <w:t>16</w:t>
      </w:r>
      <w:r w:rsidR="00CC11F5" w:rsidRPr="009E6D76">
        <w:rPr>
          <w:rFonts w:asciiTheme="minorHAnsi" w:hAnsiTheme="minorHAnsi" w:cstheme="minorHAnsi"/>
          <w:lang w:val="en-US"/>
        </w:rPr>
        <w:t>]</w:t>
      </w:r>
      <w:r w:rsidR="00FE12D2" w:rsidRPr="009E6D76">
        <w:rPr>
          <w:rFonts w:asciiTheme="minorHAnsi" w:hAnsiTheme="minorHAnsi" w:cstheme="minorHAnsi"/>
          <w:lang w:val="en-US"/>
        </w:rPr>
        <w:t>.</w:t>
      </w:r>
      <w:r w:rsidRPr="009E6D76">
        <w:rPr>
          <w:rFonts w:asciiTheme="minorHAnsi" w:hAnsiTheme="minorHAnsi" w:cstheme="minorHAnsi"/>
          <w:lang w:val="en-US"/>
        </w:rPr>
        <w:t xml:space="preserve"> </w:t>
      </w:r>
      <w:r w:rsidR="00FE12D2" w:rsidRPr="009E6D76">
        <w:rPr>
          <w:rFonts w:asciiTheme="minorHAnsi" w:hAnsiTheme="minorHAnsi" w:cstheme="minorHAnsi"/>
          <w:lang w:val="en-US"/>
        </w:rPr>
        <w:t xml:space="preserve"> </w:t>
      </w:r>
      <w:r w:rsidRPr="009E6D76">
        <w:rPr>
          <w:rFonts w:asciiTheme="minorHAnsi" w:hAnsiTheme="minorHAnsi" w:cstheme="minorHAnsi"/>
          <w:lang w:val="en-US"/>
        </w:rPr>
        <w:t>Ten-year fracture probabilities were compared to those of the neighbouring countries where a FRAX model was available (Saudi Arabia, Kuwait and Abu Dhabi).</w:t>
      </w:r>
    </w:p>
    <w:p w14:paraId="0C90CEDB" w14:textId="77777777" w:rsidR="003C3563" w:rsidRPr="009E6D76" w:rsidRDefault="003C3563" w:rsidP="006D2317">
      <w:pPr>
        <w:spacing w:line="276" w:lineRule="auto"/>
        <w:ind w:left="567" w:right="1133"/>
        <w:rPr>
          <w:rFonts w:asciiTheme="minorHAnsi" w:hAnsiTheme="minorHAnsi" w:cstheme="minorHAnsi"/>
          <w:lang w:val="en-US"/>
        </w:rPr>
      </w:pPr>
    </w:p>
    <w:p w14:paraId="41EA5CF0" w14:textId="60CA4CEE" w:rsidR="000F5506" w:rsidRDefault="000E50FB" w:rsidP="000F5506">
      <w:pPr>
        <w:spacing w:line="276" w:lineRule="auto"/>
        <w:ind w:left="567" w:right="1133"/>
        <w:rPr>
          <w:rFonts w:asciiTheme="minorHAnsi" w:hAnsiTheme="minorHAnsi" w:cstheme="minorHAnsi"/>
          <w:lang w:val="en-US"/>
        </w:rPr>
      </w:pPr>
      <w:r w:rsidRPr="009E6D76">
        <w:rPr>
          <w:rFonts w:asciiTheme="minorHAnsi" w:hAnsiTheme="minorHAnsi" w:cstheme="minorHAnsi"/>
          <w:lang w:val="en-US"/>
        </w:rPr>
        <w:t xml:space="preserve">In order to compare </w:t>
      </w:r>
      <w:r w:rsidR="001E7EA1" w:rsidRPr="009E6D76">
        <w:rPr>
          <w:rFonts w:asciiTheme="minorHAnsi" w:hAnsiTheme="minorHAnsi" w:cstheme="minorHAnsi"/>
          <w:lang w:val="en-US"/>
        </w:rPr>
        <w:t>Qatari</w:t>
      </w:r>
      <w:r w:rsidRPr="009E6D76">
        <w:rPr>
          <w:rFonts w:asciiTheme="minorHAnsi" w:hAnsiTheme="minorHAnsi" w:cstheme="minorHAnsi"/>
          <w:lang w:val="en-US"/>
        </w:rPr>
        <w:t xml:space="preserve"> hip fracture probabilities with those </w:t>
      </w:r>
      <w:r w:rsidR="00D051AF" w:rsidRPr="009E6D76">
        <w:rPr>
          <w:rFonts w:asciiTheme="minorHAnsi" w:hAnsiTheme="minorHAnsi" w:cstheme="minorHAnsi"/>
          <w:lang w:val="en-US"/>
        </w:rPr>
        <w:t>in</w:t>
      </w:r>
      <w:r w:rsidRPr="009E6D76">
        <w:rPr>
          <w:rFonts w:asciiTheme="minorHAnsi" w:hAnsiTheme="minorHAnsi" w:cstheme="minorHAnsi"/>
          <w:lang w:val="en-US"/>
        </w:rPr>
        <w:t xml:space="preserve"> other regions of the world, the remaining lifetime probability of hip fracture from the age of 50 years was calculated for men and women, as described by Kanis et al. [</w:t>
      </w:r>
      <w:r w:rsidR="00FE4EEA" w:rsidRPr="009E6D76">
        <w:rPr>
          <w:rFonts w:asciiTheme="minorHAnsi" w:hAnsiTheme="minorHAnsi" w:cstheme="minorHAnsi"/>
          <w:lang w:val="en-US"/>
        </w:rPr>
        <w:t>17</w:t>
      </w:r>
      <w:r w:rsidRPr="009E6D76">
        <w:rPr>
          <w:rFonts w:asciiTheme="minorHAnsi" w:hAnsiTheme="minorHAnsi" w:cstheme="minorHAnsi"/>
          <w:lang w:val="en-US"/>
        </w:rPr>
        <w:t xml:space="preserve">]. In the present analysis, values for </w:t>
      </w:r>
      <w:r w:rsidR="007B4FF0" w:rsidRPr="009E6D76">
        <w:rPr>
          <w:rFonts w:asciiTheme="minorHAnsi" w:hAnsiTheme="minorHAnsi" w:cstheme="minorHAnsi"/>
          <w:lang w:val="en-US"/>
        </w:rPr>
        <w:t>Qatar</w:t>
      </w:r>
      <w:r w:rsidRPr="009E6D76">
        <w:rPr>
          <w:rFonts w:asciiTheme="minorHAnsi" w:hAnsiTheme="minorHAnsi" w:cstheme="minorHAnsi"/>
          <w:lang w:val="en-US"/>
        </w:rPr>
        <w:t xml:space="preserve"> were compared with those </w:t>
      </w:r>
      <w:r w:rsidR="00143C70" w:rsidRPr="009E6D76">
        <w:rPr>
          <w:rFonts w:asciiTheme="minorHAnsi" w:hAnsiTheme="minorHAnsi" w:cstheme="minorHAnsi"/>
          <w:lang w:val="en-US"/>
        </w:rPr>
        <w:t xml:space="preserve">for </w:t>
      </w:r>
      <w:r w:rsidR="000F5506" w:rsidRPr="009E6D76">
        <w:rPr>
          <w:rFonts w:asciiTheme="minorHAnsi" w:hAnsiTheme="minorHAnsi" w:cstheme="minorHAnsi"/>
          <w:lang w:val="en-US"/>
        </w:rPr>
        <w:t>Abu Dhabi, Botswana, Bulgaria, Canada, China (Hong Kong),</w:t>
      </w:r>
      <w:r w:rsidR="00436B0C" w:rsidRPr="009E6D76">
        <w:rPr>
          <w:rFonts w:asciiTheme="minorHAnsi" w:hAnsiTheme="minorHAnsi" w:cstheme="minorHAnsi"/>
          <w:lang w:val="en-US"/>
        </w:rPr>
        <w:t xml:space="preserve"> </w:t>
      </w:r>
      <w:r w:rsidR="000F5506" w:rsidRPr="009E6D76">
        <w:rPr>
          <w:rFonts w:asciiTheme="minorHAnsi" w:hAnsiTheme="minorHAnsi" w:cstheme="minorHAnsi"/>
          <w:lang w:val="en-US"/>
        </w:rPr>
        <w:t>Denmark, Finland, France, Germany,</w:t>
      </w:r>
      <w:r w:rsidR="00EF418D" w:rsidRPr="009E6D76">
        <w:rPr>
          <w:rFonts w:asciiTheme="minorHAnsi" w:hAnsiTheme="minorHAnsi" w:cstheme="minorHAnsi"/>
          <w:lang w:val="en-US"/>
        </w:rPr>
        <w:t xml:space="preserve"> </w:t>
      </w:r>
      <w:r w:rsidR="000F5506" w:rsidRPr="009E6D76">
        <w:rPr>
          <w:rFonts w:asciiTheme="minorHAnsi" w:hAnsiTheme="minorHAnsi" w:cstheme="minorHAnsi"/>
          <w:lang w:val="en-US"/>
        </w:rPr>
        <w:t>Greece,</w:t>
      </w:r>
      <w:r w:rsidR="00EF418D" w:rsidRPr="009E6D76">
        <w:rPr>
          <w:rFonts w:asciiTheme="minorHAnsi" w:hAnsiTheme="minorHAnsi" w:cstheme="minorHAnsi"/>
          <w:lang w:val="en-US"/>
        </w:rPr>
        <w:t xml:space="preserve"> </w:t>
      </w:r>
      <w:r w:rsidR="000F5506" w:rsidRPr="009E6D76">
        <w:rPr>
          <w:rFonts w:asciiTheme="minorHAnsi" w:hAnsiTheme="minorHAnsi" w:cstheme="minorHAnsi"/>
          <w:lang w:val="en-US"/>
        </w:rPr>
        <w:t>Hungary,</w:t>
      </w:r>
      <w:r w:rsidR="00EF418D" w:rsidRPr="009E6D76">
        <w:rPr>
          <w:rFonts w:asciiTheme="minorHAnsi" w:hAnsiTheme="minorHAnsi" w:cstheme="minorHAnsi"/>
          <w:lang w:val="en-US"/>
        </w:rPr>
        <w:t xml:space="preserve"> </w:t>
      </w:r>
      <w:r w:rsidR="000F5506" w:rsidRPr="009E6D76">
        <w:rPr>
          <w:rFonts w:asciiTheme="minorHAnsi" w:hAnsiTheme="minorHAnsi" w:cstheme="minorHAnsi"/>
          <w:lang w:val="en-US"/>
        </w:rPr>
        <w:t>Iran,</w:t>
      </w:r>
      <w:r w:rsidR="00EF418D" w:rsidRPr="009E6D76">
        <w:rPr>
          <w:rFonts w:asciiTheme="minorHAnsi" w:hAnsiTheme="minorHAnsi" w:cstheme="minorHAnsi"/>
          <w:lang w:val="en-US"/>
        </w:rPr>
        <w:t xml:space="preserve"> </w:t>
      </w:r>
      <w:r w:rsidR="000F5506" w:rsidRPr="009E6D76">
        <w:rPr>
          <w:rFonts w:asciiTheme="minorHAnsi" w:hAnsiTheme="minorHAnsi" w:cstheme="minorHAnsi"/>
          <w:lang w:val="en-US"/>
        </w:rPr>
        <w:t>Kazakhstan,</w:t>
      </w:r>
      <w:r w:rsidR="00EF418D" w:rsidRPr="009E6D76">
        <w:rPr>
          <w:rFonts w:asciiTheme="minorHAnsi" w:hAnsiTheme="minorHAnsi" w:cstheme="minorHAnsi"/>
          <w:lang w:val="en-US"/>
        </w:rPr>
        <w:t xml:space="preserve"> </w:t>
      </w:r>
      <w:r w:rsidR="000F5506" w:rsidRPr="009E6D76">
        <w:rPr>
          <w:rFonts w:asciiTheme="minorHAnsi" w:hAnsiTheme="minorHAnsi" w:cstheme="minorHAnsi"/>
          <w:lang w:val="en-US"/>
        </w:rPr>
        <w:t>Kuwait,</w:t>
      </w:r>
      <w:r w:rsidR="00EF418D" w:rsidRPr="009E6D76">
        <w:rPr>
          <w:rFonts w:asciiTheme="minorHAnsi" w:hAnsiTheme="minorHAnsi" w:cstheme="minorHAnsi"/>
          <w:lang w:val="en-US"/>
        </w:rPr>
        <w:t xml:space="preserve"> </w:t>
      </w:r>
      <w:r w:rsidR="000F5506" w:rsidRPr="009E6D76">
        <w:rPr>
          <w:rFonts w:asciiTheme="minorHAnsi" w:hAnsiTheme="minorHAnsi" w:cstheme="minorHAnsi"/>
          <w:lang w:val="en-US"/>
        </w:rPr>
        <w:t xml:space="preserve">Moldova, </w:t>
      </w:r>
      <w:r w:rsidR="00EF418D" w:rsidRPr="009E6D76">
        <w:rPr>
          <w:rFonts w:asciiTheme="minorHAnsi" w:hAnsiTheme="minorHAnsi" w:cstheme="minorHAnsi"/>
          <w:lang w:val="en-US"/>
        </w:rPr>
        <w:t>M</w:t>
      </w:r>
      <w:r w:rsidR="000F5506" w:rsidRPr="009E6D76">
        <w:rPr>
          <w:rFonts w:asciiTheme="minorHAnsi" w:hAnsiTheme="minorHAnsi" w:cstheme="minorHAnsi"/>
          <w:lang w:val="en-US"/>
        </w:rPr>
        <w:t>orocco,</w:t>
      </w:r>
      <w:r w:rsidR="00EF418D" w:rsidRPr="009E6D76">
        <w:rPr>
          <w:rFonts w:asciiTheme="minorHAnsi" w:hAnsiTheme="minorHAnsi" w:cstheme="minorHAnsi"/>
          <w:lang w:val="en-US"/>
        </w:rPr>
        <w:t xml:space="preserve"> </w:t>
      </w:r>
      <w:r w:rsidR="000F5506" w:rsidRPr="009E6D76">
        <w:rPr>
          <w:rFonts w:asciiTheme="minorHAnsi" w:hAnsiTheme="minorHAnsi" w:cstheme="minorHAnsi"/>
          <w:lang w:val="en-US"/>
        </w:rPr>
        <w:t>Netherlands,</w:t>
      </w:r>
      <w:r w:rsidR="00EF418D" w:rsidRPr="009E6D76">
        <w:rPr>
          <w:rFonts w:asciiTheme="minorHAnsi" w:hAnsiTheme="minorHAnsi" w:cstheme="minorHAnsi"/>
          <w:lang w:val="en-US"/>
        </w:rPr>
        <w:t xml:space="preserve"> </w:t>
      </w:r>
      <w:r w:rsidR="00436B0C" w:rsidRPr="009E6D76">
        <w:rPr>
          <w:rFonts w:asciiTheme="minorHAnsi" w:hAnsiTheme="minorHAnsi" w:cstheme="minorHAnsi"/>
          <w:lang w:val="en-US"/>
        </w:rPr>
        <w:t>Poland, Portugal</w:t>
      </w:r>
      <w:r w:rsidR="000F5506" w:rsidRPr="009E6D76">
        <w:rPr>
          <w:rFonts w:asciiTheme="minorHAnsi" w:hAnsiTheme="minorHAnsi" w:cstheme="minorHAnsi"/>
          <w:lang w:val="en-US"/>
        </w:rPr>
        <w:t>,</w:t>
      </w:r>
      <w:r w:rsidR="00EF418D" w:rsidRPr="009E6D76">
        <w:rPr>
          <w:rFonts w:asciiTheme="minorHAnsi" w:hAnsiTheme="minorHAnsi" w:cstheme="minorHAnsi"/>
          <w:lang w:val="en-US"/>
        </w:rPr>
        <w:t xml:space="preserve"> </w:t>
      </w:r>
      <w:r w:rsidR="000F5506" w:rsidRPr="009E6D76">
        <w:rPr>
          <w:rFonts w:asciiTheme="minorHAnsi" w:hAnsiTheme="minorHAnsi" w:cstheme="minorHAnsi"/>
          <w:lang w:val="en-US"/>
        </w:rPr>
        <w:t>Romania, Russia,</w:t>
      </w:r>
      <w:r w:rsidR="00EF418D" w:rsidRPr="009E6D76">
        <w:rPr>
          <w:rFonts w:asciiTheme="minorHAnsi" w:hAnsiTheme="minorHAnsi" w:cstheme="minorHAnsi"/>
          <w:lang w:val="en-US"/>
        </w:rPr>
        <w:t xml:space="preserve"> </w:t>
      </w:r>
      <w:r w:rsidR="000F5506" w:rsidRPr="009E6D76">
        <w:rPr>
          <w:rFonts w:asciiTheme="minorHAnsi" w:hAnsiTheme="minorHAnsi" w:cstheme="minorHAnsi"/>
          <w:lang w:val="en-US"/>
        </w:rPr>
        <w:t>Singapore, South Africa,</w:t>
      </w:r>
      <w:r w:rsidR="002964A0" w:rsidRPr="009E6D76">
        <w:rPr>
          <w:rFonts w:asciiTheme="minorHAnsi" w:hAnsiTheme="minorHAnsi" w:cstheme="minorHAnsi"/>
          <w:lang w:val="en-US"/>
        </w:rPr>
        <w:t xml:space="preserve"> </w:t>
      </w:r>
      <w:r w:rsidR="000F5506" w:rsidRPr="009E6D76">
        <w:rPr>
          <w:rFonts w:asciiTheme="minorHAnsi" w:hAnsiTheme="minorHAnsi" w:cstheme="minorHAnsi"/>
          <w:lang w:val="en-US"/>
        </w:rPr>
        <w:t>Spain,</w:t>
      </w:r>
      <w:r w:rsidR="002964A0" w:rsidRPr="009E6D76">
        <w:rPr>
          <w:rFonts w:asciiTheme="minorHAnsi" w:hAnsiTheme="minorHAnsi" w:cstheme="minorHAnsi"/>
          <w:lang w:val="en-US"/>
        </w:rPr>
        <w:t xml:space="preserve"> </w:t>
      </w:r>
      <w:r w:rsidR="000F5506" w:rsidRPr="009E6D76">
        <w:rPr>
          <w:rFonts w:asciiTheme="minorHAnsi" w:hAnsiTheme="minorHAnsi" w:cstheme="minorHAnsi"/>
          <w:lang w:val="en-US"/>
        </w:rPr>
        <w:t>Sweden,</w:t>
      </w:r>
      <w:r w:rsidR="002964A0" w:rsidRPr="009E6D76">
        <w:rPr>
          <w:rFonts w:asciiTheme="minorHAnsi" w:hAnsiTheme="minorHAnsi" w:cstheme="minorHAnsi"/>
          <w:lang w:val="en-US"/>
        </w:rPr>
        <w:t xml:space="preserve"> </w:t>
      </w:r>
      <w:r w:rsidR="000F5506" w:rsidRPr="009E6D76">
        <w:rPr>
          <w:rFonts w:asciiTheme="minorHAnsi" w:hAnsiTheme="minorHAnsi" w:cstheme="minorHAnsi"/>
          <w:lang w:val="en-US"/>
        </w:rPr>
        <w:t>Tunisia,</w:t>
      </w:r>
      <w:r w:rsidR="002964A0" w:rsidRPr="009E6D76">
        <w:rPr>
          <w:rFonts w:asciiTheme="minorHAnsi" w:hAnsiTheme="minorHAnsi" w:cstheme="minorHAnsi"/>
          <w:lang w:val="en-US"/>
        </w:rPr>
        <w:t xml:space="preserve"> </w:t>
      </w:r>
      <w:r w:rsidR="000F5506" w:rsidRPr="009E6D76">
        <w:rPr>
          <w:rFonts w:asciiTheme="minorHAnsi" w:hAnsiTheme="minorHAnsi" w:cstheme="minorHAnsi"/>
          <w:lang w:val="en-US"/>
        </w:rPr>
        <w:t>Turkey, UK,</w:t>
      </w:r>
      <w:r w:rsidR="002964A0" w:rsidRPr="009E6D76">
        <w:rPr>
          <w:rFonts w:asciiTheme="minorHAnsi" w:hAnsiTheme="minorHAnsi" w:cstheme="minorHAnsi"/>
          <w:lang w:val="en-US"/>
        </w:rPr>
        <w:t xml:space="preserve"> </w:t>
      </w:r>
      <w:r w:rsidR="000F5506" w:rsidRPr="009E6D76">
        <w:rPr>
          <w:rFonts w:asciiTheme="minorHAnsi" w:hAnsiTheme="minorHAnsi" w:cstheme="minorHAnsi"/>
          <w:lang w:val="en-US"/>
        </w:rPr>
        <w:t>Ukraine, USA and</w:t>
      </w:r>
      <w:r w:rsidR="002964A0" w:rsidRPr="009E6D76">
        <w:rPr>
          <w:rFonts w:asciiTheme="minorHAnsi" w:hAnsiTheme="minorHAnsi" w:cstheme="minorHAnsi"/>
          <w:lang w:val="en-US"/>
        </w:rPr>
        <w:t xml:space="preserve"> </w:t>
      </w:r>
      <w:r w:rsidR="000F5506" w:rsidRPr="009E6D76">
        <w:rPr>
          <w:rFonts w:asciiTheme="minorHAnsi" w:hAnsiTheme="minorHAnsi" w:cstheme="minorHAnsi"/>
          <w:lang w:val="en-US"/>
        </w:rPr>
        <w:t>Uzbekistan</w:t>
      </w:r>
      <w:r w:rsidR="002964A0" w:rsidRPr="009E6D76">
        <w:rPr>
          <w:rFonts w:asciiTheme="minorHAnsi" w:hAnsiTheme="minorHAnsi" w:cstheme="minorHAnsi"/>
          <w:lang w:val="en-US"/>
        </w:rPr>
        <w:t xml:space="preserve"> [</w:t>
      </w:r>
      <w:r w:rsidR="00F8111E" w:rsidRPr="009E6D76">
        <w:rPr>
          <w:rFonts w:asciiTheme="minorHAnsi" w:hAnsiTheme="minorHAnsi" w:cstheme="minorHAnsi"/>
          <w:lang w:val="en-US"/>
        </w:rPr>
        <w:t>18</w:t>
      </w:r>
      <w:r w:rsidR="002964A0" w:rsidRPr="009E6D76">
        <w:rPr>
          <w:rFonts w:asciiTheme="minorHAnsi" w:hAnsiTheme="minorHAnsi" w:cstheme="minorHAnsi"/>
          <w:lang w:val="en-US"/>
        </w:rPr>
        <w:t>].</w:t>
      </w:r>
    </w:p>
    <w:p w14:paraId="22EC87AD" w14:textId="77777777" w:rsidR="000F5506" w:rsidRDefault="000F5506" w:rsidP="000E50FB">
      <w:pPr>
        <w:spacing w:line="276" w:lineRule="auto"/>
        <w:ind w:left="567" w:right="1133"/>
        <w:rPr>
          <w:rFonts w:asciiTheme="minorHAnsi" w:hAnsiTheme="minorHAnsi" w:cstheme="minorHAnsi"/>
          <w:lang w:val="en-US"/>
        </w:rPr>
      </w:pPr>
    </w:p>
    <w:p w14:paraId="19A08ABB" w14:textId="0083734E" w:rsidR="00286D3C" w:rsidRPr="00147509" w:rsidRDefault="00147509" w:rsidP="00C11242">
      <w:pPr>
        <w:spacing w:line="276" w:lineRule="auto"/>
        <w:ind w:left="567" w:right="1133"/>
        <w:rPr>
          <w:rFonts w:asciiTheme="minorHAnsi" w:hAnsiTheme="minorHAnsi" w:cstheme="minorHAnsi"/>
          <w:b/>
          <w:lang w:val="en-US"/>
        </w:rPr>
      </w:pPr>
      <w:r w:rsidRPr="00147509">
        <w:rPr>
          <w:rFonts w:asciiTheme="minorHAnsi" w:hAnsiTheme="minorHAnsi" w:cstheme="minorHAnsi"/>
          <w:b/>
          <w:lang w:val="en-US"/>
        </w:rPr>
        <w:t>Results</w:t>
      </w:r>
      <w:r w:rsidR="00286D3C" w:rsidRPr="00147509">
        <w:rPr>
          <w:rFonts w:asciiTheme="minorHAnsi" w:hAnsiTheme="minorHAnsi" w:cstheme="minorHAnsi"/>
          <w:b/>
          <w:lang w:val="en-US"/>
        </w:rPr>
        <w:t xml:space="preserve"> </w:t>
      </w:r>
    </w:p>
    <w:p w14:paraId="539CAF41" w14:textId="3CFC2AAD" w:rsidR="00DC6594" w:rsidRDefault="00DC6594">
      <w:pPr>
        <w:spacing w:line="276" w:lineRule="auto"/>
        <w:ind w:left="567" w:right="1133"/>
        <w:rPr>
          <w:rFonts w:asciiTheme="minorHAnsi" w:eastAsia="Calibri" w:hAnsiTheme="minorHAnsi" w:cstheme="minorHAnsi"/>
          <w:highlight w:val="yellow"/>
          <w:lang w:val="en-US" w:bidi="lo-LA"/>
        </w:rPr>
      </w:pPr>
    </w:p>
    <w:p w14:paraId="30FE156D" w14:textId="51D3E721" w:rsidR="00DC6594" w:rsidRPr="001435F5" w:rsidRDefault="001435F5">
      <w:pPr>
        <w:spacing w:line="276" w:lineRule="auto"/>
        <w:ind w:left="567" w:right="1133"/>
        <w:rPr>
          <w:rFonts w:asciiTheme="minorHAnsi" w:eastAsia="Calibri" w:hAnsiTheme="minorHAnsi" w:cstheme="minorHAnsi"/>
          <w:lang w:val="en-US" w:bidi="lo-LA"/>
        </w:rPr>
      </w:pPr>
      <w:r w:rsidRPr="001435F5">
        <w:rPr>
          <w:rFonts w:asciiTheme="minorHAnsi" w:eastAsia="Calibri" w:hAnsiTheme="minorHAnsi" w:cstheme="minorHAnsi"/>
          <w:lang w:val="en-US" w:bidi="lo-LA"/>
        </w:rPr>
        <w:t>A total of</w:t>
      </w:r>
      <w:r>
        <w:rPr>
          <w:rFonts w:asciiTheme="minorHAnsi" w:eastAsia="Calibri" w:hAnsiTheme="minorHAnsi" w:cstheme="minorHAnsi"/>
          <w:lang w:val="en-US" w:bidi="lo-LA"/>
        </w:rPr>
        <w:t xml:space="preserve"> 492 hip fracture cases were </w:t>
      </w:r>
      <w:r w:rsidR="00951A16">
        <w:rPr>
          <w:rFonts w:asciiTheme="minorHAnsi" w:eastAsia="Calibri" w:hAnsiTheme="minorHAnsi" w:cstheme="minorHAnsi"/>
          <w:lang w:val="en-US" w:bidi="lo-LA"/>
        </w:rPr>
        <w:t>identified</w:t>
      </w:r>
      <w:r w:rsidR="00D17BF9">
        <w:rPr>
          <w:rFonts w:asciiTheme="minorHAnsi" w:eastAsia="Calibri" w:hAnsiTheme="minorHAnsi" w:cstheme="minorHAnsi"/>
          <w:lang w:val="en-US" w:bidi="lo-LA"/>
        </w:rPr>
        <w:t xml:space="preserve"> over the three-year interval.  </w:t>
      </w:r>
      <w:r w:rsidR="00BF4B0B">
        <w:rPr>
          <w:rFonts w:asciiTheme="minorHAnsi" w:eastAsia="Calibri" w:hAnsiTheme="minorHAnsi" w:cstheme="minorHAnsi"/>
          <w:lang w:val="en-US" w:bidi="lo-LA"/>
        </w:rPr>
        <w:t>Of these</w:t>
      </w:r>
      <w:r w:rsidR="00F51FC8">
        <w:rPr>
          <w:rFonts w:asciiTheme="minorHAnsi" w:eastAsia="Calibri" w:hAnsiTheme="minorHAnsi" w:cstheme="minorHAnsi"/>
          <w:lang w:val="en-US" w:bidi="lo-LA"/>
        </w:rPr>
        <w:t>,</w:t>
      </w:r>
      <w:r w:rsidR="00BF4B0B">
        <w:rPr>
          <w:rFonts w:asciiTheme="minorHAnsi" w:eastAsia="Calibri" w:hAnsiTheme="minorHAnsi" w:cstheme="minorHAnsi"/>
          <w:lang w:val="en-US" w:bidi="lo-LA"/>
        </w:rPr>
        <w:t xml:space="preserve"> </w:t>
      </w:r>
      <w:r w:rsidR="00CA1310">
        <w:rPr>
          <w:rFonts w:asciiTheme="minorHAnsi" w:eastAsia="Calibri" w:hAnsiTheme="minorHAnsi" w:cstheme="minorHAnsi"/>
          <w:lang w:val="en-US" w:bidi="lo-LA"/>
        </w:rPr>
        <w:t xml:space="preserve">151 </w:t>
      </w:r>
      <w:r w:rsidR="00154809">
        <w:rPr>
          <w:rFonts w:asciiTheme="minorHAnsi" w:eastAsia="Calibri" w:hAnsiTheme="minorHAnsi" w:cstheme="minorHAnsi"/>
          <w:lang w:val="en-US" w:bidi="lo-LA"/>
        </w:rPr>
        <w:t xml:space="preserve">(31%) arose in </w:t>
      </w:r>
      <w:r w:rsidR="00213421">
        <w:rPr>
          <w:rFonts w:asciiTheme="minorHAnsi" w:eastAsia="Calibri" w:hAnsiTheme="minorHAnsi" w:cstheme="minorHAnsi"/>
          <w:lang w:val="en-US" w:bidi="lo-LA"/>
        </w:rPr>
        <w:t xml:space="preserve">Qatari nationals.  </w:t>
      </w:r>
      <w:r w:rsidR="00875A6F">
        <w:rPr>
          <w:rFonts w:asciiTheme="minorHAnsi" w:eastAsia="Calibri" w:hAnsiTheme="minorHAnsi" w:cstheme="minorHAnsi"/>
          <w:lang w:val="en-US" w:bidi="lo-LA"/>
        </w:rPr>
        <w:t xml:space="preserve">Hip fracture rates were </w:t>
      </w:r>
      <w:r w:rsidR="00D0679A">
        <w:rPr>
          <w:rFonts w:asciiTheme="minorHAnsi" w:eastAsia="Calibri" w:hAnsiTheme="minorHAnsi" w:cstheme="minorHAnsi"/>
          <w:lang w:val="en-US" w:bidi="lo-LA"/>
        </w:rPr>
        <w:t xml:space="preserve">generally higher in women than in men and increased with age.  </w:t>
      </w:r>
      <w:r w:rsidR="00BE3BFF">
        <w:rPr>
          <w:rFonts w:asciiTheme="minorHAnsi" w:eastAsia="Calibri" w:hAnsiTheme="minorHAnsi" w:cstheme="minorHAnsi"/>
          <w:lang w:val="en-US" w:bidi="lo-LA"/>
        </w:rPr>
        <w:t>H</w:t>
      </w:r>
      <w:r w:rsidR="00ED2BEF">
        <w:rPr>
          <w:rFonts w:asciiTheme="minorHAnsi" w:eastAsia="Calibri" w:hAnsiTheme="minorHAnsi" w:cstheme="minorHAnsi"/>
          <w:lang w:val="en-US" w:bidi="lo-LA"/>
        </w:rPr>
        <w:t>ip fracture rates</w:t>
      </w:r>
      <w:r w:rsidR="00BE3BFF">
        <w:rPr>
          <w:rFonts w:asciiTheme="minorHAnsi" w:eastAsia="Calibri" w:hAnsiTheme="minorHAnsi" w:cstheme="minorHAnsi"/>
          <w:lang w:val="en-US" w:bidi="lo-LA"/>
        </w:rPr>
        <w:t xml:space="preserve"> were marginally lower</w:t>
      </w:r>
      <w:r w:rsidR="001467F1">
        <w:rPr>
          <w:rFonts w:asciiTheme="minorHAnsi" w:eastAsia="Calibri" w:hAnsiTheme="minorHAnsi" w:cstheme="minorHAnsi"/>
          <w:lang w:val="en-US" w:bidi="lo-LA"/>
        </w:rPr>
        <w:t xml:space="preserve"> in the Qatari population than in the entire population</w:t>
      </w:r>
      <w:r w:rsidR="00A953E2">
        <w:rPr>
          <w:rFonts w:asciiTheme="minorHAnsi" w:eastAsia="Calibri" w:hAnsiTheme="minorHAnsi" w:cstheme="minorHAnsi"/>
          <w:lang w:val="en-US" w:bidi="lo-LA"/>
        </w:rPr>
        <w:t>.  When</w:t>
      </w:r>
      <w:r w:rsidR="00170D1D">
        <w:rPr>
          <w:rFonts w:asciiTheme="minorHAnsi" w:eastAsia="Calibri" w:hAnsiTheme="minorHAnsi" w:cstheme="minorHAnsi"/>
          <w:lang w:val="en-US" w:bidi="lo-LA"/>
        </w:rPr>
        <w:t xml:space="preserve"> the Qatari population </w:t>
      </w:r>
      <w:r w:rsidR="00E64A2C">
        <w:rPr>
          <w:rFonts w:asciiTheme="minorHAnsi" w:eastAsia="Calibri" w:hAnsiTheme="minorHAnsi" w:cstheme="minorHAnsi"/>
          <w:lang w:val="en-US" w:bidi="lo-LA"/>
        </w:rPr>
        <w:t>was compared to the expatriate population</w:t>
      </w:r>
      <w:r w:rsidR="00B126F1">
        <w:rPr>
          <w:rFonts w:asciiTheme="minorHAnsi" w:eastAsia="Calibri" w:hAnsiTheme="minorHAnsi" w:cstheme="minorHAnsi"/>
          <w:lang w:val="en-US" w:bidi="lo-LA"/>
        </w:rPr>
        <w:t>, age</w:t>
      </w:r>
      <w:r w:rsidR="00230C72">
        <w:rPr>
          <w:rFonts w:asciiTheme="minorHAnsi" w:eastAsia="Calibri" w:hAnsiTheme="minorHAnsi" w:cstheme="minorHAnsi"/>
          <w:lang w:val="en-US" w:bidi="lo-LA"/>
        </w:rPr>
        <w:t>-</w:t>
      </w:r>
      <w:r w:rsidR="00B126F1">
        <w:rPr>
          <w:rFonts w:asciiTheme="minorHAnsi" w:eastAsia="Calibri" w:hAnsiTheme="minorHAnsi" w:cstheme="minorHAnsi"/>
          <w:lang w:val="en-US" w:bidi="lo-LA"/>
        </w:rPr>
        <w:t xml:space="preserve">standardized </w:t>
      </w:r>
      <w:r w:rsidR="00975E38">
        <w:rPr>
          <w:rFonts w:asciiTheme="minorHAnsi" w:eastAsia="Calibri" w:hAnsiTheme="minorHAnsi" w:cstheme="minorHAnsi"/>
          <w:lang w:val="en-US" w:bidi="lo-LA"/>
        </w:rPr>
        <w:t xml:space="preserve">annual </w:t>
      </w:r>
      <w:r w:rsidR="00B126F1">
        <w:rPr>
          <w:rFonts w:asciiTheme="minorHAnsi" w:eastAsia="Calibri" w:hAnsiTheme="minorHAnsi" w:cstheme="minorHAnsi"/>
          <w:lang w:val="en-US" w:bidi="lo-LA"/>
        </w:rPr>
        <w:t xml:space="preserve">rates </w:t>
      </w:r>
      <w:r w:rsidR="00975E38">
        <w:rPr>
          <w:rFonts w:asciiTheme="minorHAnsi" w:eastAsia="Calibri" w:hAnsiTheme="minorHAnsi" w:cstheme="minorHAnsi"/>
          <w:lang w:val="en-US" w:bidi="lo-LA"/>
        </w:rPr>
        <w:t xml:space="preserve">were </w:t>
      </w:r>
      <w:r w:rsidR="00040E8A">
        <w:rPr>
          <w:rFonts w:asciiTheme="minorHAnsi" w:eastAsia="Calibri" w:hAnsiTheme="minorHAnsi" w:cstheme="minorHAnsi"/>
          <w:lang w:val="en-US" w:bidi="lo-LA"/>
        </w:rPr>
        <w:t>not significantly different in men</w:t>
      </w:r>
      <w:r w:rsidR="00C315E4">
        <w:rPr>
          <w:rFonts w:asciiTheme="minorHAnsi" w:eastAsia="Calibri" w:hAnsiTheme="minorHAnsi" w:cstheme="minorHAnsi"/>
          <w:lang w:val="en-US" w:bidi="lo-LA"/>
        </w:rPr>
        <w:t xml:space="preserve"> (68</w:t>
      </w:r>
      <w:r w:rsidR="00B16C26">
        <w:rPr>
          <w:rFonts w:asciiTheme="minorHAnsi" w:eastAsia="Calibri" w:hAnsiTheme="minorHAnsi" w:cstheme="minorHAnsi"/>
          <w:lang w:val="en-US" w:bidi="lo-LA"/>
        </w:rPr>
        <w:t xml:space="preserve">; </w:t>
      </w:r>
      <w:r w:rsidR="0002096C">
        <w:rPr>
          <w:rFonts w:asciiTheme="minorHAnsi" w:eastAsia="Calibri" w:hAnsiTheme="minorHAnsi" w:cstheme="minorHAnsi"/>
          <w:lang w:val="en-US" w:bidi="lo-LA"/>
        </w:rPr>
        <w:t>95% CI = 5</w:t>
      </w:r>
      <w:r w:rsidR="00E63354">
        <w:rPr>
          <w:rFonts w:asciiTheme="minorHAnsi" w:eastAsia="Calibri" w:hAnsiTheme="minorHAnsi" w:cstheme="minorHAnsi"/>
          <w:lang w:val="en-US" w:bidi="lo-LA"/>
        </w:rPr>
        <w:t>3</w:t>
      </w:r>
      <w:r w:rsidR="0002096C">
        <w:rPr>
          <w:rFonts w:asciiTheme="minorHAnsi" w:eastAsia="Calibri" w:hAnsiTheme="minorHAnsi" w:cstheme="minorHAnsi"/>
          <w:lang w:val="en-US" w:bidi="lo-LA"/>
        </w:rPr>
        <w:t>-86</w:t>
      </w:r>
      <w:r w:rsidR="00975E38">
        <w:rPr>
          <w:rFonts w:asciiTheme="minorHAnsi" w:eastAsia="Calibri" w:hAnsiTheme="minorHAnsi" w:cstheme="minorHAnsi"/>
          <w:lang w:val="en-US" w:bidi="lo-LA"/>
        </w:rPr>
        <w:t>/100,000 vs</w:t>
      </w:r>
      <w:r w:rsidR="00036893">
        <w:rPr>
          <w:rFonts w:asciiTheme="minorHAnsi" w:eastAsia="Calibri" w:hAnsiTheme="minorHAnsi" w:cstheme="minorHAnsi"/>
          <w:lang w:val="en-US" w:bidi="lo-LA"/>
        </w:rPr>
        <w:t xml:space="preserve">. 82; 95% CI </w:t>
      </w:r>
      <w:r w:rsidR="00E63354">
        <w:rPr>
          <w:rFonts w:asciiTheme="minorHAnsi" w:eastAsia="Calibri" w:hAnsiTheme="minorHAnsi" w:cstheme="minorHAnsi"/>
          <w:lang w:val="en-US" w:bidi="lo-LA"/>
        </w:rPr>
        <w:t>=</w:t>
      </w:r>
      <w:r w:rsidR="002038F7">
        <w:rPr>
          <w:rFonts w:asciiTheme="minorHAnsi" w:eastAsia="Calibri" w:hAnsiTheme="minorHAnsi" w:cstheme="minorHAnsi"/>
          <w:lang w:val="en-US" w:bidi="lo-LA"/>
        </w:rPr>
        <w:t xml:space="preserve"> </w:t>
      </w:r>
      <w:r w:rsidR="00E63354">
        <w:rPr>
          <w:rFonts w:asciiTheme="minorHAnsi" w:eastAsia="Calibri" w:hAnsiTheme="minorHAnsi" w:cstheme="minorHAnsi"/>
          <w:lang w:val="en-US" w:bidi="lo-LA"/>
        </w:rPr>
        <w:t>65-102/</w:t>
      </w:r>
      <w:r w:rsidR="00E63354" w:rsidRPr="00E63354">
        <w:rPr>
          <w:rFonts w:asciiTheme="minorHAnsi" w:eastAsia="Calibri" w:hAnsiTheme="minorHAnsi" w:cstheme="minorHAnsi"/>
          <w:lang w:val="en-US" w:bidi="lo-LA"/>
        </w:rPr>
        <w:t>100,000</w:t>
      </w:r>
      <w:r w:rsidR="00E63354">
        <w:rPr>
          <w:rFonts w:asciiTheme="minorHAnsi" w:eastAsia="Calibri" w:hAnsiTheme="minorHAnsi" w:cstheme="minorHAnsi"/>
          <w:lang w:val="en-US" w:bidi="lo-LA"/>
        </w:rPr>
        <w:t>, respecti</w:t>
      </w:r>
      <w:r w:rsidR="00AE7DC2">
        <w:rPr>
          <w:rFonts w:asciiTheme="minorHAnsi" w:eastAsia="Calibri" w:hAnsiTheme="minorHAnsi" w:cstheme="minorHAnsi"/>
          <w:lang w:val="en-US" w:bidi="lo-LA"/>
        </w:rPr>
        <w:t>vely).  In women, however</w:t>
      </w:r>
      <w:r w:rsidR="000C0918">
        <w:rPr>
          <w:rFonts w:asciiTheme="minorHAnsi" w:eastAsia="Calibri" w:hAnsiTheme="minorHAnsi" w:cstheme="minorHAnsi"/>
          <w:lang w:val="en-US" w:bidi="lo-LA"/>
        </w:rPr>
        <w:t>,</w:t>
      </w:r>
      <w:r w:rsidR="00AE7DC2">
        <w:rPr>
          <w:rFonts w:asciiTheme="minorHAnsi" w:eastAsia="Calibri" w:hAnsiTheme="minorHAnsi" w:cstheme="minorHAnsi"/>
          <w:lang w:val="en-US" w:bidi="lo-LA"/>
        </w:rPr>
        <w:t xml:space="preserve"> </w:t>
      </w:r>
      <w:r w:rsidR="000C0918" w:rsidRPr="000C0918">
        <w:rPr>
          <w:rFonts w:asciiTheme="minorHAnsi" w:eastAsia="Calibri" w:hAnsiTheme="minorHAnsi" w:cstheme="minorHAnsi"/>
          <w:lang w:val="en-US" w:bidi="lo-LA"/>
        </w:rPr>
        <w:t>age</w:t>
      </w:r>
      <w:r w:rsidR="00230C72">
        <w:rPr>
          <w:rFonts w:asciiTheme="minorHAnsi" w:eastAsia="Calibri" w:hAnsiTheme="minorHAnsi" w:cstheme="minorHAnsi"/>
          <w:lang w:val="en-US" w:bidi="lo-LA"/>
        </w:rPr>
        <w:t>-</w:t>
      </w:r>
      <w:r w:rsidR="000C0918" w:rsidRPr="000C0918">
        <w:rPr>
          <w:rFonts w:asciiTheme="minorHAnsi" w:eastAsia="Calibri" w:hAnsiTheme="minorHAnsi" w:cstheme="minorHAnsi"/>
          <w:lang w:val="en-US" w:bidi="lo-LA"/>
        </w:rPr>
        <w:t xml:space="preserve">standardized annual rates were significantly </w:t>
      </w:r>
      <w:r w:rsidR="000C0918">
        <w:rPr>
          <w:rFonts w:asciiTheme="minorHAnsi" w:eastAsia="Calibri" w:hAnsiTheme="minorHAnsi" w:cstheme="minorHAnsi"/>
          <w:lang w:val="en-US" w:bidi="lo-LA"/>
        </w:rPr>
        <w:t>lower</w:t>
      </w:r>
      <w:r w:rsidR="000C0918" w:rsidRPr="000C0918">
        <w:rPr>
          <w:rFonts w:asciiTheme="minorHAnsi" w:eastAsia="Calibri" w:hAnsiTheme="minorHAnsi" w:cstheme="minorHAnsi"/>
          <w:lang w:val="en-US" w:bidi="lo-LA"/>
        </w:rPr>
        <w:t xml:space="preserve"> in </w:t>
      </w:r>
      <w:r w:rsidR="000C0918">
        <w:rPr>
          <w:rFonts w:asciiTheme="minorHAnsi" w:eastAsia="Calibri" w:hAnsiTheme="minorHAnsi" w:cstheme="minorHAnsi"/>
          <w:lang w:val="en-US" w:bidi="lo-LA"/>
        </w:rPr>
        <w:t xml:space="preserve">the </w:t>
      </w:r>
      <w:r w:rsidR="00995940">
        <w:rPr>
          <w:rFonts w:asciiTheme="minorHAnsi" w:eastAsia="Calibri" w:hAnsiTheme="minorHAnsi" w:cstheme="minorHAnsi"/>
          <w:lang w:val="en-US" w:bidi="lo-LA"/>
        </w:rPr>
        <w:t>Qatari population</w:t>
      </w:r>
      <w:r w:rsidR="000C0918" w:rsidRPr="000C0918">
        <w:rPr>
          <w:rFonts w:asciiTheme="minorHAnsi" w:eastAsia="Calibri" w:hAnsiTheme="minorHAnsi" w:cstheme="minorHAnsi"/>
          <w:lang w:val="en-US" w:bidi="lo-LA"/>
        </w:rPr>
        <w:t xml:space="preserve"> (</w:t>
      </w:r>
      <w:r w:rsidR="00635DFC">
        <w:rPr>
          <w:rFonts w:asciiTheme="minorHAnsi" w:eastAsia="Calibri" w:hAnsiTheme="minorHAnsi" w:cstheme="minorHAnsi"/>
          <w:lang w:val="en-US" w:bidi="lo-LA"/>
        </w:rPr>
        <w:t>74</w:t>
      </w:r>
      <w:r w:rsidR="000C0918" w:rsidRPr="000C0918">
        <w:rPr>
          <w:rFonts w:asciiTheme="minorHAnsi" w:eastAsia="Calibri" w:hAnsiTheme="minorHAnsi" w:cstheme="minorHAnsi"/>
          <w:lang w:val="en-US" w:bidi="lo-LA"/>
        </w:rPr>
        <w:t xml:space="preserve">; 95% CI = </w:t>
      </w:r>
      <w:r w:rsidR="00635DFC">
        <w:rPr>
          <w:rFonts w:asciiTheme="minorHAnsi" w:eastAsia="Calibri" w:hAnsiTheme="minorHAnsi" w:cstheme="minorHAnsi"/>
          <w:lang w:val="en-US" w:bidi="lo-LA"/>
        </w:rPr>
        <w:t>59</w:t>
      </w:r>
      <w:r w:rsidR="000C0918" w:rsidRPr="000C0918">
        <w:rPr>
          <w:rFonts w:asciiTheme="minorHAnsi" w:eastAsia="Calibri" w:hAnsiTheme="minorHAnsi" w:cstheme="minorHAnsi"/>
          <w:lang w:val="en-US" w:bidi="lo-LA"/>
        </w:rPr>
        <w:t>-</w:t>
      </w:r>
      <w:r w:rsidR="00635DFC">
        <w:rPr>
          <w:rFonts w:asciiTheme="minorHAnsi" w:eastAsia="Calibri" w:hAnsiTheme="minorHAnsi" w:cstheme="minorHAnsi"/>
          <w:lang w:val="en-US" w:bidi="lo-LA"/>
        </w:rPr>
        <w:t>91</w:t>
      </w:r>
      <w:r w:rsidR="000C0918" w:rsidRPr="000C0918">
        <w:rPr>
          <w:rFonts w:asciiTheme="minorHAnsi" w:eastAsia="Calibri" w:hAnsiTheme="minorHAnsi" w:cstheme="minorHAnsi"/>
          <w:lang w:val="en-US" w:bidi="lo-LA"/>
        </w:rPr>
        <w:t xml:space="preserve">/100,000 vs. </w:t>
      </w:r>
      <w:r w:rsidR="006F3728">
        <w:rPr>
          <w:rFonts w:asciiTheme="minorHAnsi" w:eastAsia="Calibri" w:hAnsiTheme="minorHAnsi" w:cstheme="minorHAnsi"/>
          <w:lang w:val="en-US" w:bidi="lo-LA"/>
        </w:rPr>
        <w:t>107</w:t>
      </w:r>
      <w:r w:rsidR="000C0918" w:rsidRPr="000C0918">
        <w:rPr>
          <w:rFonts w:asciiTheme="minorHAnsi" w:eastAsia="Calibri" w:hAnsiTheme="minorHAnsi" w:cstheme="minorHAnsi"/>
          <w:lang w:val="en-US" w:bidi="lo-LA"/>
        </w:rPr>
        <w:t>; 95% CI =</w:t>
      </w:r>
      <w:r w:rsidR="002038F7">
        <w:rPr>
          <w:rFonts w:asciiTheme="minorHAnsi" w:eastAsia="Calibri" w:hAnsiTheme="minorHAnsi" w:cstheme="minorHAnsi"/>
          <w:lang w:val="en-US" w:bidi="lo-LA"/>
        </w:rPr>
        <w:t xml:space="preserve"> </w:t>
      </w:r>
      <w:r w:rsidR="006F3728">
        <w:rPr>
          <w:rFonts w:asciiTheme="minorHAnsi" w:eastAsia="Calibri" w:hAnsiTheme="minorHAnsi" w:cstheme="minorHAnsi"/>
          <w:lang w:val="en-US" w:bidi="lo-LA"/>
        </w:rPr>
        <w:t>89</w:t>
      </w:r>
      <w:r w:rsidR="000C0918" w:rsidRPr="000C0918">
        <w:rPr>
          <w:rFonts w:asciiTheme="minorHAnsi" w:eastAsia="Calibri" w:hAnsiTheme="minorHAnsi" w:cstheme="minorHAnsi"/>
          <w:lang w:val="en-US" w:bidi="lo-LA"/>
        </w:rPr>
        <w:t>-1</w:t>
      </w:r>
      <w:r w:rsidR="00F3152C">
        <w:rPr>
          <w:rFonts w:asciiTheme="minorHAnsi" w:eastAsia="Calibri" w:hAnsiTheme="minorHAnsi" w:cstheme="minorHAnsi"/>
          <w:lang w:val="en-US" w:bidi="lo-LA"/>
        </w:rPr>
        <w:t>28</w:t>
      </w:r>
      <w:r w:rsidR="000C0918" w:rsidRPr="000C0918">
        <w:rPr>
          <w:rFonts w:asciiTheme="minorHAnsi" w:eastAsia="Calibri" w:hAnsiTheme="minorHAnsi" w:cstheme="minorHAnsi"/>
          <w:lang w:val="en-US" w:bidi="lo-LA"/>
        </w:rPr>
        <w:t>/100,000, respectively</w:t>
      </w:r>
      <w:r w:rsidR="00F3152C">
        <w:rPr>
          <w:rFonts w:asciiTheme="minorHAnsi" w:eastAsia="Calibri" w:hAnsiTheme="minorHAnsi" w:cstheme="minorHAnsi"/>
          <w:lang w:val="en-US" w:bidi="lo-LA"/>
        </w:rPr>
        <w:t>; p=</w:t>
      </w:r>
      <w:r w:rsidR="00B344DF">
        <w:rPr>
          <w:rFonts w:asciiTheme="minorHAnsi" w:eastAsia="Calibri" w:hAnsiTheme="minorHAnsi" w:cstheme="minorHAnsi"/>
          <w:lang w:val="en-US" w:bidi="lo-LA"/>
        </w:rPr>
        <w:t>0.0082</w:t>
      </w:r>
      <w:r w:rsidR="000C0918" w:rsidRPr="000C0918">
        <w:rPr>
          <w:rFonts w:asciiTheme="minorHAnsi" w:eastAsia="Calibri" w:hAnsiTheme="minorHAnsi" w:cstheme="minorHAnsi"/>
          <w:lang w:val="en-US" w:bidi="lo-LA"/>
        </w:rPr>
        <w:t>)</w:t>
      </w:r>
      <w:r w:rsidR="00B344DF">
        <w:rPr>
          <w:rFonts w:asciiTheme="minorHAnsi" w:eastAsia="Calibri" w:hAnsiTheme="minorHAnsi" w:cstheme="minorHAnsi"/>
          <w:lang w:val="en-US" w:bidi="lo-LA"/>
        </w:rPr>
        <w:t>.</w:t>
      </w:r>
      <w:r w:rsidR="008C0C8C">
        <w:rPr>
          <w:rFonts w:asciiTheme="minorHAnsi" w:eastAsia="Calibri" w:hAnsiTheme="minorHAnsi" w:cstheme="minorHAnsi"/>
          <w:lang w:val="en-US" w:bidi="lo-LA"/>
        </w:rPr>
        <w:t xml:space="preserve">  </w:t>
      </w:r>
      <w:r w:rsidR="0000061C">
        <w:rPr>
          <w:rFonts w:asciiTheme="minorHAnsi" w:eastAsia="Calibri" w:hAnsiTheme="minorHAnsi" w:cstheme="minorHAnsi"/>
          <w:lang w:val="en-US" w:bidi="lo-LA"/>
        </w:rPr>
        <w:t>Thus, f</w:t>
      </w:r>
      <w:r w:rsidR="008C0C8C">
        <w:rPr>
          <w:rFonts w:asciiTheme="minorHAnsi" w:eastAsia="Calibri" w:hAnsiTheme="minorHAnsi" w:cstheme="minorHAnsi"/>
          <w:lang w:val="en-US" w:bidi="lo-LA"/>
        </w:rPr>
        <w:t xml:space="preserve">or the development of the FRAX </w:t>
      </w:r>
      <w:r w:rsidR="00614EC2">
        <w:rPr>
          <w:rFonts w:asciiTheme="minorHAnsi" w:eastAsia="Calibri" w:hAnsiTheme="minorHAnsi" w:cstheme="minorHAnsi"/>
          <w:lang w:val="en-US" w:bidi="lo-LA"/>
        </w:rPr>
        <w:t>model, the</w:t>
      </w:r>
      <w:r w:rsidR="0000061C">
        <w:rPr>
          <w:rFonts w:asciiTheme="minorHAnsi" w:eastAsia="Calibri" w:hAnsiTheme="minorHAnsi" w:cstheme="minorHAnsi"/>
          <w:lang w:val="en-US" w:bidi="lo-LA"/>
        </w:rPr>
        <w:t xml:space="preserve"> incidence of Qatari </w:t>
      </w:r>
      <w:r w:rsidR="002A431E">
        <w:rPr>
          <w:rFonts w:asciiTheme="minorHAnsi" w:eastAsia="Calibri" w:hAnsiTheme="minorHAnsi" w:cstheme="minorHAnsi"/>
          <w:lang w:val="en-US" w:bidi="lo-LA"/>
        </w:rPr>
        <w:t>nationals was used</w:t>
      </w:r>
      <w:r w:rsidR="007C7CDA">
        <w:rPr>
          <w:rFonts w:asciiTheme="minorHAnsi" w:eastAsia="Calibri" w:hAnsiTheme="minorHAnsi" w:cstheme="minorHAnsi"/>
          <w:lang w:val="en-US" w:bidi="lo-LA"/>
        </w:rPr>
        <w:t xml:space="preserve"> for both men and women</w:t>
      </w:r>
      <w:r w:rsidR="002A431E">
        <w:rPr>
          <w:rFonts w:asciiTheme="minorHAnsi" w:eastAsia="Calibri" w:hAnsiTheme="minorHAnsi" w:cstheme="minorHAnsi"/>
          <w:lang w:val="en-US" w:bidi="lo-LA"/>
        </w:rPr>
        <w:t>.</w:t>
      </w:r>
    </w:p>
    <w:p w14:paraId="713688C7" w14:textId="542A28E3" w:rsidR="0011094E" w:rsidRDefault="0011094E">
      <w:pPr>
        <w:spacing w:line="276" w:lineRule="auto"/>
        <w:ind w:left="567" w:right="1133"/>
        <w:rPr>
          <w:rFonts w:asciiTheme="minorHAnsi" w:eastAsia="Calibri" w:hAnsiTheme="minorHAnsi" w:cstheme="minorHAnsi"/>
          <w:highlight w:val="yellow"/>
          <w:lang w:val="en-US" w:bidi="lo-LA"/>
        </w:rPr>
      </w:pPr>
    </w:p>
    <w:p w14:paraId="444794A6" w14:textId="4956C06B" w:rsidR="0011094E" w:rsidRPr="0011094E" w:rsidRDefault="0011094E" w:rsidP="0011094E">
      <w:pPr>
        <w:rPr>
          <w:rFonts w:ascii="Calibri" w:eastAsia="Calibri" w:hAnsi="Calibri" w:cs="Courier New"/>
          <w:sz w:val="22"/>
          <w:szCs w:val="22"/>
          <w:lang w:val="en-GB" w:eastAsia="en-US"/>
        </w:rPr>
      </w:pPr>
      <w:r w:rsidRPr="0011094E">
        <w:rPr>
          <w:rFonts w:ascii="Calibri" w:eastAsia="Calibri" w:hAnsi="Calibri" w:cs="Courier New"/>
          <w:b/>
          <w:bCs/>
          <w:sz w:val="22"/>
          <w:szCs w:val="22"/>
          <w:lang w:val="en-GB" w:eastAsia="en-US"/>
        </w:rPr>
        <w:t xml:space="preserve">Table </w:t>
      </w:r>
      <w:r w:rsidR="00951A16">
        <w:rPr>
          <w:rFonts w:ascii="Calibri" w:eastAsia="Calibri" w:hAnsi="Calibri" w:cs="Courier New"/>
          <w:b/>
          <w:bCs/>
          <w:sz w:val="22"/>
          <w:szCs w:val="22"/>
          <w:lang w:val="en-GB" w:eastAsia="en-US"/>
        </w:rPr>
        <w:t>1</w:t>
      </w:r>
      <w:r w:rsidRPr="0011094E">
        <w:rPr>
          <w:rFonts w:ascii="Calibri" w:eastAsia="Calibri" w:hAnsi="Calibri" w:cs="Courier New"/>
          <w:sz w:val="22"/>
          <w:szCs w:val="22"/>
          <w:lang w:val="en-GB" w:eastAsia="en-US"/>
        </w:rPr>
        <w:t>. Incidence of hip fracture per 100</w:t>
      </w:r>
      <w:r w:rsidR="002038F7">
        <w:rPr>
          <w:rFonts w:ascii="Calibri" w:eastAsia="Calibri" w:hAnsi="Calibri" w:cs="Courier New"/>
          <w:sz w:val="22"/>
          <w:szCs w:val="22"/>
          <w:lang w:val="en-GB" w:eastAsia="en-US"/>
        </w:rPr>
        <w:t>,</w:t>
      </w:r>
      <w:r w:rsidRPr="0011094E">
        <w:rPr>
          <w:rFonts w:ascii="Calibri" w:eastAsia="Calibri" w:hAnsi="Calibri" w:cs="Courier New"/>
          <w:sz w:val="22"/>
          <w:szCs w:val="22"/>
          <w:lang w:val="en-GB" w:eastAsia="en-US"/>
        </w:rPr>
        <w:t>000 and 95% confidence interval</w:t>
      </w:r>
      <w:r w:rsidR="002B0DC9">
        <w:rPr>
          <w:rFonts w:ascii="Calibri" w:eastAsia="Calibri" w:hAnsi="Calibri" w:cs="Courier New"/>
          <w:sz w:val="22"/>
          <w:szCs w:val="22"/>
          <w:lang w:val="en-GB" w:eastAsia="en-US"/>
        </w:rPr>
        <w:t xml:space="preserve"> in the whole population a</w:t>
      </w:r>
      <w:r w:rsidR="00C30A7C">
        <w:rPr>
          <w:rFonts w:ascii="Calibri" w:eastAsia="Calibri" w:hAnsi="Calibri" w:cs="Courier New"/>
          <w:sz w:val="22"/>
          <w:szCs w:val="22"/>
          <w:lang w:val="en-GB" w:eastAsia="en-US"/>
        </w:rPr>
        <w:t>nd in Qatari nationals.</w:t>
      </w:r>
    </w:p>
    <w:tbl>
      <w:tblPr>
        <w:tblStyle w:val="TableGrid4"/>
        <w:tblW w:w="0" w:type="auto"/>
        <w:tblLook w:val="04A0" w:firstRow="1" w:lastRow="0" w:firstColumn="1" w:lastColumn="0" w:noHBand="0" w:noVBand="1"/>
      </w:tblPr>
      <w:tblGrid>
        <w:gridCol w:w="780"/>
        <w:gridCol w:w="2083"/>
        <w:gridCol w:w="2083"/>
        <w:gridCol w:w="2083"/>
        <w:gridCol w:w="2083"/>
      </w:tblGrid>
      <w:tr w:rsidR="0011094E" w:rsidRPr="0011094E" w14:paraId="10F53BA3" w14:textId="77777777" w:rsidTr="008B50AA">
        <w:tc>
          <w:tcPr>
            <w:tcW w:w="0" w:type="auto"/>
          </w:tcPr>
          <w:p w14:paraId="091E6CD7" w14:textId="77777777" w:rsidR="0011094E" w:rsidRPr="0011094E" w:rsidRDefault="0011094E" w:rsidP="0011094E">
            <w:pPr>
              <w:jc w:val="center"/>
              <w:rPr>
                <w:rFonts w:ascii="Calibri" w:eastAsia="Calibri" w:hAnsi="Calibri" w:cs="Courier New"/>
                <w:sz w:val="22"/>
                <w:szCs w:val="22"/>
                <w:lang w:eastAsia="en-US"/>
              </w:rPr>
            </w:pPr>
          </w:p>
        </w:tc>
        <w:tc>
          <w:tcPr>
            <w:tcW w:w="0" w:type="auto"/>
            <w:gridSpan w:val="2"/>
          </w:tcPr>
          <w:p w14:paraId="6F4220FC" w14:textId="325A19F6" w:rsidR="0011094E" w:rsidRPr="0011094E" w:rsidRDefault="00805D93" w:rsidP="0011094E">
            <w:pPr>
              <w:jc w:val="center"/>
              <w:rPr>
                <w:rFonts w:ascii="Calibri" w:eastAsia="Calibri" w:hAnsi="Calibri" w:cs="Courier New"/>
                <w:sz w:val="22"/>
                <w:szCs w:val="22"/>
                <w:lang w:eastAsia="en-US"/>
              </w:rPr>
            </w:pPr>
            <w:r>
              <w:rPr>
                <w:rFonts w:ascii="Calibri" w:eastAsia="Calibri" w:hAnsi="Calibri" w:cs="Courier New"/>
                <w:sz w:val="22"/>
                <w:szCs w:val="22"/>
                <w:lang w:eastAsia="en-US"/>
              </w:rPr>
              <w:t>Entire</w:t>
            </w:r>
            <w:r w:rsidR="0011094E" w:rsidRPr="0011094E">
              <w:rPr>
                <w:rFonts w:ascii="Calibri" w:eastAsia="Calibri" w:hAnsi="Calibri" w:cs="Courier New"/>
                <w:sz w:val="22"/>
                <w:szCs w:val="22"/>
                <w:lang w:eastAsia="en-US"/>
              </w:rPr>
              <w:t xml:space="preserve"> population</w:t>
            </w:r>
          </w:p>
        </w:tc>
        <w:tc>
          <w:tcPr>
            <w:tcW w:w="0" w:type="auto"/>
            <w:gridSpan w:val="2"/>
          </w:tcPr>
          <w:p w14:paraId="56F85C2E" w14:textId="1B6270BD" w:rsidR="0011094E" w:rsidRPr="0011094E" w:rsidRDefault="0011094E" w:rsidP="0011094E">
            <w:pPr>
              <w:jc w:val="center"/>
              <w:rPr>
                <w:rFonts w:ascii="Calibri" w:eastAsia="Calibri" w:hAnsi="Calibri" w:cs="Courier New"/>
                <w:sz w:val="22"/>
                <w:szCs w:val="22"/>
                <w:lang w:eastAsia="en-US"/>
              </w:rPr>
            </w:pPr>
            <w:r w:rsidRPr="0011094E">
              <w:rPr>
                <w:rFonts w:ascii="Calibri" w:eastAsia="Calibri" w:hAnsi="Calibri" w:cs="Courier New"/>
                <w:sz w:val="22"/>
                <w:szCs w:val="22"/>
                <w:lang w:eastAsia="en-US"/>
              </w:rPr>
              <w:t>Qataris</w:t>
            </w:r>
          </w:p>
        </w:tc>
      </w:tr>
      <w:tr w:rsidR="0011094E" w:rsidRPr="0011094E" w14:paraId="1C12E33C" w14:textId="77777777" w:rsidTr="008B50AA">
        <w:tc>
          <w:tcPr>
            <w:tcW w:w="0" w:type="auto"/>
          </w:tcPr>
          <w:p w14:paraId="2AFD9769" w14:textId="77777777" w:rsidR="0011094E" w:rsidRPr="0011094E" w:rsidRDefault="0011094E" w:rsidP="0011094E">
            <w:pPr>
              <w:rPr>
                <w:rFonts w:ascii="Calibri" w:eastAsia="Calibri" w:hAnsi="Calibri" w:cs="Courier New"/>
                <w:sz w:val="22"/>
                <w:szCs w:val="22"/>
                <w:lang w:eastAsia="en-US"/>
              </w:rPr>
            </w:pPr>
          </w:p>
        </w:tc>
        <w:tc>
          <w:tcPr>
            <w:tcW w:w="0" w:type="auto"/>
          </w:tcPr>
          <w:p w14:paraId="5DA65DA7"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Male</w:t>
            </w:r>
          </w:p>
        </w:tc>
        <w:tc>
          <w:tcPr>
            <w:tcW w:w="0" w:type="auto"/>
          </w:tcPr>
          <w:p w14:paraId="5263A696"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Female</w:t>
            </w:r>
          </w:p>
        </w:tc>
        <w:tc>
          <w:tcPr>
            <w:tcW w:w="0" w:type="auto"/>
          </w:tcPr>
          <w:p w14:paraId="53FA96F1"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Male</w:t>
            </w:r>
          </w:p>
        </w:tc>
        <w:tc>
          <w:tcPr>
            <w:tcW w:w="0" w:type="auto"/>
          </w:tcPr>
          <w:p w14:paraId="4F7D7C35"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Female</w:t>
            </w:r>
          </w:p>
        </w:tc>
      </w:tr>
      <w:tr w:rsidR="0011094E" w:rsidRPr="0011094E" w14:paraId="7B07229C" w14:textId="77777777" w:rsidTr="008B50AA">
        <w:tc>
          <w:tcPr>
            <w:tcW w:w="0" w:type="auto"/>
          </w:tcPr>
          <w:p w14:paraId="1BA43071"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 xml:space="preserve"> 40-44 </w:t>
            </w:r>
          </w:p>
        </w:tc>
        <w:tc>
          <w:tcPr>
            <w:tcW w:w="0" w:type="auto"/>
          </w:tcPr>
          <w:p w14:paraId="04E32902"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5.3 (3.6-7.4)</w:t>
            </w:r>
          </w:p>
        </w:tc>
        <w:tc>
          <w:tcPr>
            <w:tcW w:w="0" w:type="auto"/>
          </w:tcPr>
          <w:p w14:paraId="19A8EFEB"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3.2 (1.0-7.5)</w:t>
            </w:r>
          </w:p>
        </w:tc>
        <w:tc>
          <w:tcPr>
            <w:tcW w:w="0" w:type="auto"/>
          </w:tcPr>
          <w:p w14:paraId="0108DB13"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9.1 (1.1-33.1)</w:t>
            </w:r>
          </w:p>
        </w:tc>
        <w:tc>
          <w:tcPr>
            <w:tcW w:w="0" w:type="auto"/>
          </w:tcPr>
          <w:p w14:paraId="4BC90D11"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12.0 (2.5-35.2)</w:t>
            </w:r>
          </w:p>
        </w:tc>
      </w:tr>
      <w:tr w:rsidR="0011094E" w:rsidRPr="0011094E" w14:paraId="256F2B1B" w14:textId="77777777" w:rsidTr="008B50AA">
        <w:tc>
          <w:tcPr>
            <w:tcW w:w="0" w:type="auto"/>
          </w:tcPr>
          <w:p w14:paraId="5BC7B361"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 xml:space="preserve"> 45-49</w:t>
            </w:r>
          </w:p>
        </w:tc>
        <w:tc>
          <w:tcPr>
            <w:tcW w:w="0" w:type="auto"/>
          </w:tcPr>
          <w:p w14:paraId="1739820F"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7.9 (5.5-11.1)</w:t>
            </w:r>
          </w:p>
        </w:tc>
        <w:tc>
          <w:tcPr>
            <w:tcW w:w="0" w:type="auto"/>
          </w:tcPr>
          <w:p w14:paraId="143F298E"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1.9 (0.2-6.9)</w:t>
            </w:r>
          </w:p>
        </w:tc>
        <w:tc>
          <w:tcPr>
            <w:tcW w:w="0" w:type="auto"/>
          </w:tcPr>
          <w:p w14:paraId="5629F797"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5.0 (0.1-28.1)</w:t>
            </w:r>
          </w:p>
        </w:tc>
        <w:tc>
          <w:tcPr>
            <w:tcW w:w="0" w:type="auto"/>
          </w:tcPr>
          <w:p w14:paraId="230C2EE1"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0.0 (0.0-16.6)</w:t>
            </w:r>
          </w:p>
        </w:tc>
      </w:tr>
      <w:tr w:rsidR="0011094E" w:rsidRPr="0011094E" w14:paraId="2AF00B02" w14:textId="77777777" w:rsidTr="008B50AA">
        <w:tc>
          <w:tcPr>
            <w:tcW w:w="0" w:type="auto"/>
          </w:tcPr>
          <w:p w14:paraId="34D57B95"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 xml:space="preserve"> 50-54</w:t>
            </w:r>
          </w:p>
        </w:tc>
        <w:tc>
          <w:tcPr>
            <w:tcW w:w="0" w:type="auto"/>
          </w:tcPr>
          <w:p w14:paraId="7CF2D59F"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8.6 (5.5-13.0)</w:t>
            </w:r>
          </w:p>
        </w:tc>
        <w:tc>
          <w:tcPr>
            <w:tcW w:w="0" w:type="auto"/>
          </w:tcPr>
          <w:p w14:paraId="0AFA3471"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14.3 (6.8-26.3)</w:t>
            </w:r>
          </w:p>
        </w:tc>
        <w:tc>
          <w:tcPr>
            <w:tcW w:w="0" w:type="auto"/>
          </w:tcPr>
          <w:p w14:paraId="3BBA9A4F"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29.9 (9.7-69.9)</w:t>
            </w:r>
          </w:p>
        </w:tc>
        <w:tc>
          <w:tcPr>
            <w:tcW w:w="0" w:type="auto"/>
          </w:tcPr>
          <w:p w14:paraId="00BE9894"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20.3 (5.5-51.9)</w:t>
            </w:r>
          </w:p>
        </w:tc>
      </w:tr>
      <w:tr w:rsidR="0011094E" w:rsidRPr="0011094E" w14:paraId="5C20A984" w14:textId="77777777" w:rsidTr="008B50AA">
        <w:tc>
          <w:tcPr>
            <w:tcW w:w="0" w:type="auto"/>
          </w:tcPr>
          <w:p w14:paraId="55E309C4"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 xml:space="preserve"> 55-59 </w:t>
            </w:r>
          </w:p>
        </w:tc>
        <w:tc>
          <w:tcPr>
            <w:tcW w:w="0" w:type="auto"/>
          </w:tcPr>
          <w:p w14:paraId="01FA98D5"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12.7 (8.0-19.3)</w:t>
            </w:r>
          </w:p>
        </w:tc>
        <w:tc>
          <w:tcPr>
            <w:tcW w:w="0" w:type="auto"/>
          </w:tcPr>
          <w:p w14:paraId="05C5DF7A"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30.4 (16.6-51.0)</w:t>
            </w:r>
          </w:p>
        </w:tc>
        <w:tc>
          <w:tcPr>
            <w:tcW w:w="0" w:type="auto"/>
          </w:tcPr>
          <w:p w14:paraId="131AF25D"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22.0 (4.5-64.3)</w:t>
            </w:r>
          </w:p>
        </w:tc>
        <w:tc>
          <w:tcPr>
            <w:tcW w:w="0" w:type="auto"/>
          </w:tcPr>
          <w:p w14:paraId="0BD0963F"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42.1 (16.9-86.7)</w:t>
            </w:r>
          </w:p>
        </w:tc>
      </w:tr>
      <w:tr w:rsidR="0011094E" w:rsidRPr="0011094E" w14:paraId="0C2CB679" w14:textId="77777777" w:rsidTr="008B50AA">
        <w:tc>
          <w:tcPr>
            <w:tcW w:w="0" w:type="auto"/>
          </w:tcPr>
          <w:p w14:paraId="6C141F1B"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 xml:space="preserve"> 60-64 </w:t>
            </w:r>
          </w:p>
        </w:tc>
        <w:tc>
          <w:tcPr>
            <w:tcW w:w="0" w:type="auto"/>
          </w:tcPr>
          <w:p w14:paraId="5AFA316A"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35.9 (23.6-52.2)</w:t>
            </w:r>
          </w:p>
        </w:tc>
        <w:tc>
          <w:tcPr>
            <w:tcW w:w="0" w:type="auto"/>
          </w:tcPr>
          <w:p w14:paraId="4B468AD8"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54.4 (30.4-89.8)</w:t>
            </w:r>
          </w:p>
        </w:tc>
        <w:tc>
          <w:tcPr>
            <w:tcW w:w="0" w:type="auto"/>
          </w:tcPr>
          <w:p w14:paraId="6C496A6A"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39.7 (10.7-101.7)</w:t>
            </w:r>
          </w:p>
        </w:tc>
        <w:tc>
          <w:tcPr>
            <w:tcW w:w="0" w:type="auto"/>
          </w:tcPr>
          <w:p w14:paraId="57845E91"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50.0 (18.3-108.8)</w:t>
            </w:r>
          </w:p>
        </w:tc>
      </w:tr>
      <w:tr w:rsidR="0011094E" w:rsidRPr="0011094E" w14:paraId="53EFF6CB" w14:textId="77777777" w:rsidTr="008B50AA">
        <w:tc>
          <w:tcPr>
            <w:tcW w:w="0" w:type="auto"/>
          </w:tcPr>
          <w:p w14:paraId="2A60F29C"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 xml:space="preserve"> 65-69 </w:t>
            </w:r>
          </w:p>
        </w:tc>
        <w:tc>
          <w:tcPr>
            <w:tcW w:w="0" w:type="auto"/>
          </w:tcPr>
          <w:p w14:paraId="64481C6B"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111.2 (77.9-154.0)</w:t>
            </w:r>
          </w:p>
        </w:tc>
        <w:tc>
          <w:tcPr>
            <w:tcW w:w="0" w:type="auto"/>
          </w:tcPr>
          <w:p w14:paraId="3D77153B"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169.2 (108.4-251.9)</w:t>
            </w:r>
          </w:p>
        </w:tc>
        <w:tc>
          <w:tcPr>
            <w:tcW w:w="0" w:type="auto"/>
          </w:tcPr>
          <w:p w14:paraId="1C76428A"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114.5 (46.0-236.0)</w:t>
            </w:r>
          </w:p>
        </w:tc>
        <w:tc>
          <w:tcPr>
            <w:tcW w:w="0" w:type="auto"/>
          </w:tcPr>
          <w:p w14:paraId="7FE37442"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177.5 (91.7-310.3)</w:t>
            </w:r>
          </w:p>
        </w:tc>
      </w:tr>
      <w:tr w:rsidR="0011094E" w:rsidRPr="0011094E" w14:paraId="0A6753D0" w14:textId="77777777" w:rsidTr="008B50AA">
        <w:tc>
          <w:tcPr>
            <w:tcW w:w="0" w:type="auto"/>
          </w:tcPr>
          <w:p w14:paraId="37DBBC76"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 xml:space="preserve"> 70-74 </w:t>
            </w:r>
          </w:p>
        </w:tc>
        <w:tc>
          <w:tcPr>
            <w:tcW w:w="0" w:type="auto"/>
          </w:tcPr>
          <w:p w14:paraId="03D9D83B"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284.7 (201.4-390.8)</w:t>
            </w:r>
          </w:p>
        </w:tc>
        <w:tc>
          <w:tcPr>
            <w:tcW w:w="0" w:type="auto"/>
          </w:tcPr>
          <w:p w14:paraId="57490F59"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210.2 (126.4-328.3)</w:t>
            </w:r>
          </w:p>
        </w:tc>
        <w:tc>
          <w:tcPr>
            <w:tcW w:w="0" w:type="auto"/>
          </w:tcPr>
          <w:p w14:paraId="28DEA0DA"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296.2 (161.8-497.3)</w:t>
            </w:r>
          </w:p>
        </w:tc>
        <w:tc>
          <w:tcPr>
            <w:tcW w:w="0" w:type="auto"/>
          </w:tcPr>
          <w:p w14:paraId="7FCD84A9"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176.4 (84.5-324.4)</w:t>
            </w:r>
          </w:p>
        </w:tc>
      </w:tr>
      <w:tr w:rsidR="0011094E" w:rsidRPr="0011094E" w14:paraId="2795352E" w14:textId="77777777" w:rsidTr="008B50AA">
        <w:tc>
          <w:tcPr>
            <w:tcW w:w="0" w:type="auto"/>
          </w:tcPr>
          <w:p w14:paraId="39071553"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 xml:space="preserve"> 75-79 </w:t>
            </w:r>
          </w:p>
        </w:tc>
        <w:tc>
          <w:tcPr>
            <w:tcW w:w="0" w:type="auto"/>
          </w:tcPr>
          <w:p w14:paraId="5FC9E4EC"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466.1 (314.4-665.6)</w:t>
            </w:r>
          </w:p>
        </w:tc>
        <w:tc>
          <w:tcPr>
            <w:tcW w:w="0" w:type="auto"/>
          </w:tcPr>
          <w:p w14:paraId="5F600E6B"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564.6 (375.1-816.3)</w:t>
            </w:r>
          </w:p>
        </w:tc>
        <w:tc>
          <w:tcPr>
            <w:tcW w:w="0" w:type="auto"/>
          </w:tcPr>
          <w:p w14:paraId="0316132A"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446.3 (230.4-780.0)</w:t>
            </w:r>
          </w:p>
        </w:tc>
        <w:tc>
          <w:tcPr>
            <w:tcW w:w="0" w:type="auto"/>
          </w:tcPr>
          <w:p w14:paraId="00E9E224"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512.3 (286.4-845.4)</w:t>
            </w:r>
          </w:p>
        </w:tc>
      </w:tr>
      <w:tr w:rsidR="0011094E" w:rsidRPr="0011094E" w14:paraId="75812A17" w14:textId="77777777" w:rsidTr="008B50AA">
        <w:tc>
          <w:tcPr>
            <w:tcW w:w="0" w:type="auto"/>
          </w:tcPr>
          <w:p w14:paraId="2225F5BB"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 xml:space="preserve"> 80+</w:t>
            </w:r>
          </w:p>
        </w:tc>
        <w:tc>
          <w:tcPr>
            <w:tcW w:w="0" w:type="auto"/>
          </w:tcPr>
          <w:p w14:paraId="2550CD55"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834.1 (612.8-1109.2)</w:t>
            </w:r>
          </w:p>
        </w:tc>
        <w:tc>
          <w:tcPr>
            <w:tcW w:w="0" w:type="auto"/>
          </w:tcPr>
          <w:p w14:paraId="27E1EF2A"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968.7 (723.3-1270.5)</w:t>
            </w:r>
          </w:p>
        </w:tc>
        <w:tc>
          <w:tcPr>
            <w:tcW w:w="0" w:type="auto"/>
          </w:tcPr>
          <w:p w14:paraId="21A0DFB6"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675.0 (406.1-1054.3)</w:t>
            </w:r>
          </w:p>
        </w:tc>
        <w:tc>
          <w:tcPr>
            <w:tcW w:w="0" w:type="auto"/>
          </w:tcPr>
          <w:p w14:paraId="33B302DA" w14:textId="77777777" w:rsidR="0011094E" w:rsidRPr="0011094E" w:rsidRDefault="0011094E" w:rsidP="0011094E">
            <w:pPr>
              <w:rPr>
                <w:rFonts w:ascii="Calibri" w:eastAsia="Calibri" w:hAnsi="Calibri" w:cs="Courier New"/>
                <w:sz w:val="22"/>
                <w:szCs w:val="22"/>
                <w:lang w:eastAsia="en-US"/>
              </w:rPr>
            </w:pPr>
            <w:r w:rsidRPr="0011094E">
              <w:rPr>
                <w:rFonts w:ascii="Calibri" w:eastAsia="Calibri" w:hAnsi="Calibri" w:cs="Courier New"/>
                <w:sz w:val="22"/>
                <w:szCs w:val="22"/>
                <w:lang w:eastAsia="en-US"/>
              </w:rPr>
              <w:t>885.8 (583.5-1289.2)</w:t>
            </w:r>
          </w:p>
        </w:tc>
      </w:tr>
    </w:tbl>
    <w:p w14:paraId="7738A216" w14:textId="4E473655" w:rsidR="008B50AA" w:rsidRPr="0011094E" w:rsidRDefault="0011094E" w:rsidP="008B50AA">
      <w:pPr>
        <w:rPr>
          <w:rFonts w:ascii="Calibri" w:eastAsia="Calibri" w:hAnsi="Calibri" w:cs="Courier New"/>
          <w:sz w:val="22"/>
          <w:szCs w:val="22"/>
          <w:lang w:val="en-GB" w:eastAsia="en-US"/>
        </w:rPr>
      </w:pPr>
      <w:r w:rsidRPr="0011094E">
        <w:rPr>
          <w:rFonts w:ascii="Calibri" w:eastAsia="Calibri" w:hAnsi="Calibri" w:cs="Courier New"/>
          <w:sz w:val="22"/>
          <w:szCs w:val="22"/>
          <w:lang w:val="en-GB" w:eastAsia="en-US"/>
        </w:rPr>
        <w:t xml:space="preserve"> </w:t>
      </w:r>
    </w:p>
    <w:p w14:paraId="52AF139D" w14:textId="04CAF71A" w:rsidR="0011094E" w:rsidRPr="0011094E" w:rsidRDefault="0011094E" w:rsidP="0011094E">
      <w:pPr>
        <w:rPr>
          <w:rFonts w:ascii="Calibri" w:eastAsia="Calibri" w:hAnsi="Calibri" w:cs="Courier New"/>
          <w:sz w:val="22"/>
          <w:szCs w:val="22"/>
          <w:lang w:val="en-GB" w:eastAsia="en-US"/>
        </w:rPr>
      </w:pPr>
    </w:p>
    <w:p w14:paraId="706F6A33" w14:textId="405B36B8" w:rsidR="0011094E" w:rsidRDefault="00087927">
      <w:pPr>
        <w:spacing w:line="276" w:lineRule="auto"/>
        <w:ind w:left="567" w:right="1133"/>
        <w:rPr>
          <w:rFonts w:asciiTheme="minorHAnsi" w:eastAsia="Calibri" w:hAnsiTheme="minorHAnsi" w:cstheme="minorHAnsi"/>
          <w:lang w:val="en-US" w:bidi="lo-LA"/>
        </w:rPr>
      </w:pPr>
      <w:r>
        <w:rPr>
          <w:noProof/>
          <w:lang w:val="en-GB" w:eastAsia="en-GB"/>
        </w:rPr>
        <w:drawing>
          <wp:anchor distT="0" distB="0" distL="114300" distR="114300" simplePos="0" relativeHeight="251660288" behindDoc="0" locked="0" layoutInCell="1" allowOverlap="1" wp14:anchorId="0E6604E8" wp14:editId="7AAE77AE">
            <wp:simplePos x="0" y="0"/>
            <wp:positionH relativeFrom="margin">
              <wp:align>right</wp:align>
            </wp:positionH>
            <wp:positionV relativeFrom="paragraph">
              <wp:posOffset>970280</wp:posOffset>
            </wp:positionV>
            <wp:extent cx="6210300" cy="2828925"/>
            <wp:effectExtent l="0" t="0" r="0" b="9525"/>
            <wp:wrapTopAndBottom/>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rcRect t="9952" b="9054"/>
                    <a:stretch/>
                  </pic:blipFill>
                  <pic:spPr bwMode="auto">
                    <a:xfrm>
                      <a:off x="0" y="0"/>
                      <a:ext cx="6210300" cy="28289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54791" w:rsidRPr="00054791">
        <w:rPr>
          <w:rFonts w:asciiTheme="minorHAnsi" w:eastAsia="Calibri" w:hAnsiTheme="minorHAnsi" w:cstheme="minorHAnsi"/>
          <w:lang w:val="en-US" w:bidi="lo-LA"/>
        </w:rPr>
        <w:t xml:space="preserve">Age-specific fracture rates were higher in women than in men except for </w:t>
      </w:r>
      <w:r w:rsidR="00DC73A6">
        <w:rPr>
          <w:rFonts w:asciiTheme="minorHAnsi" w:eastAsia="Calibri" w:hAnsiTheme="minorHAnsi" w:cstheme="minorHAnsi"/>
          <w:lang w:val="en-US" w:bidi="lo-LA"/>
        </w:rPr>
        <w:t xml:space="preserve">the </w:t>
      </w:r>
      <w:r w:rsidR="00054791" w:rsidRPr="00054791">
        <w:rPr>
          <w:rFonts w:asciiTheme="minorHAnsi" w:eastAsia="Calibri" w:hAnsiTheme="minorHAnsi" w:cstheme="minorHAnsi"/>
          <w:lang w:val="en-US" w:bidi="lo-LA"/>
        </w:rPr>
        <w:t>age interval</w:t>
      </w:r>
      <w:r w:rsidR="00D57415">
        <w:rPr>
          <w:rFonts w:asciiTheme="minorHAnsi" w:eastAsia="Calibri" w:hAnsiTheme="minorHAnsi" w:cstheme="minorHAnsi"/>
          <w:lang w:val="en-US" w:bidi="lo-LA"/>
        </w:rPr>
        <w:t>s</w:t>
      </w:r>
      <w:r w:rsidR="00054791" w:rsidRPr="00054791">
        <w:rPr>
          <w:rFonts w:asciiTheme="minorHAnsi" w:eastAsia="Calibri" w:hAnsiTheme="minorHAnsi" w:cstheme="minorHAnsi"/>
          <w:lang w:val="en-US" w:bidi="lo-LA"/>
        </w:rPr>
        <w:t xml:space="preserve"> 45-54 and 70-74 </w:t>
      </w:r>
      <w:r w:rsidR="00343FF3">
        <w:rPr>
          <w:rFonts w:asciiTheme="minorHAnsi" w:eastAsia="Calibri" w:hAnsiTheme="minorHAnsi" w:cstheme="minorHAnsi"/>
          <w:lang w:val="en-US" w:bidi="lo-LA"/>
        </w:rPr>
        <w:t xml:space="preserve">years </w:t>
      </w:r>
      <w:r w:rsidR="00054791" w:rsidRPr="00054791">
        <w:rPr>
          <w:rFonts w:asciiTheme="minorHAnsi" w:eastAsia="Calibri" w:hAnsiTheme="minorHAnsi" w:cstheme="minorHAnsi"/>
          <w:lang w:val="en-US" w:bidi="lo-LA"/>
        </w:rPr>
        <w:t>(Figure 1)</w:t>
      </w:r>
      <w:r w:rsidR="00D57415">
        <w:rPr>
          <w:rFonts w:asciiTheme="minorHAnsi" w:eastAsia="Calibri" w:hAnsiTheme="minorHAnsi" w:cstheme="minorHAnsi"/>
          <w:lang w:val="en-US" w:bidi="lo-LA"/>
        </w:rPr>
        <w:t xml:space="preserve"> with a </w:t>
      </w:r>
      <w:r w:rsidR="00B7690D">
        <w:rPr>
          <w:rFonts w:asciiTheme="minorHAnsi" w:eastAsia="Calibri" w:hAnsiTheme="minorHAnsi" w:cstheme="minorHAnsi"/>
          <w:lang w:val="en-US" w:bidi="lo-LA"/>
        </w:rPr>
        <w:t xml:space="preserve">crude </w:t>
      </w:r>
      <w:r w:rsidR="00D57415">
        <w:rPr>
          <w:rFonts w:asciiTheme="minorHAnsi" w:eastAsia="Calibri" w:hAnsiTheme="minorHAnsi" w:cstheme="minorHAnsi"/>
          <w:lang w:val="en-US" w:bidi="lo-LA"/>
        </w:rPr>
        <w:t>sex ratio</w:t>
      </w:r>
      <w:r w:rsidR="00761BD3">
        <w:rPr>
          <w:rFonts w:asciiTheme="minorHAnsi" w:eastAsia="Calibri" w:hAnsiTheme="minorHAnsi" w:cstheme="minorHAnsi"/>
          <w:lang w:val="en-US" w:bidi="lo-LA"/>
        </w:rPr>
        <w:t xml:space="preserve"> (</w:t>
      </w:r>
      <w:r w:rsidR="005A4F89">
        <w:rPr>
          <w:rFonts w:asciiTheme="minorHAnsi" w:eastAsia="Calibri" w:hAnsiTheme="minorHAnsi" w:cstheme="minorHAnsi"/>
          <w:lang w:val="en-US" w:bidi="lo-LA"/>
        </w:rPr>
        <w:t>F</w:t>
      </w:r>
      <w:r w:rsidR="00761BD3">
        <w:rPr>
          <w:rFonts w:asciiTheme="minorHAnsi" w:eastAsia="Calibri" w:hAnsiTheme="minorHAnsi" w:cstheme="minorHAnsi"/>
          <w:lang w:val="en-US" w:bidi="lo-LA"/>
        </w:rPr>
        <w:t xml:space="preserve">/M) </w:t>
      </w:r>
      <w:r w:rsidR="00DF4946">
        <w:rPr>
          <w:rFonts w:asciiTheme="minorHAnsi" w:eastAsia="Calibri" w:hAnsiTheme="minorHAnsi" w:cstheme="minorHAnsi"/>
          <w:lang w:val="en-US" w:bidi="lo-LA"/>
        </w:rPr>
        <w:t>of 1.25.</w:t>
      </w:r>
      <w:r w:rsidR="00F60AE8">
        <w:rPr>
          <w:rFonts w:asciiTheme="minorHAnsi" w:eastAsia="Calibri" w:hAnsiTheme="minorHAnsi" w:cstheme="minorHAnsi"/>
          <w:lang w:val="en-US" w:bidi="lo-LA"/>
        </w:rPr>
        <w:t xml:space="preserve">  Hip fracture rates were similar </w:t>
      </w:r>
      <w:r w:rsidR="00875994">
        <w:rPr>
          <w:rFonts w:asciiTheme="minorHAnsi" w:eastAsia="Calibri" w:hAnsiTheme="minorHAnsi" w:cstheme="minorHAnsi"/>
          <w:lang w:val="en-US" w:bidi="lo-LA"/>
        </w:rPr>
        <w:t>to those reported in Kuwait, Saudi Arabia and Abu Dhabi</w:t>
      </w:r>
      <w:r w:rsidR="00714ECF">
        <w:rPr>
          <w:rFonts w:asciiTheme="minorHAnsi" w:eastAsia="Calibri" w:hAnsiTheme="minorHAnsi" w:cstheme="minorHAnsi"/>
          <w:lang w:val="en-US" w:bidi="lo-LA"/>
        </w:rPr>
        <w:t>.</w:t>
      </w:r>
    </w:p>
    <w:p w14:paraId="7B7D47E7" w14:textId="367CA6C8" w:rsidR="00C05B4F" w:rsidRDefault="00C05B4F">
      <w:pPr>
        <w:spacing w:line="276" w:lineRule="auto"/>
        <w:ind w:left="567" w:right="1133"/>
        <w:rPr>
          <w:rFonts w:asciiTheme="minorHAnsi" w:eastAsia="Calibri" w:hAnsiTheme="minorHAnsi" w:cstheme="minorHAnsi"/>
          <w:lang w:val="en-US" w:bidi="lo-LA"/>
        </w:rPr>
      </w:pPr>
    </w:p>
    <w:p w14:paraId="4638D0C4" w14:textId="064F0EF5" w:rsidR="00DF4946" w:rsidRPr="00D34F3A" w:rsidRDefault="00087927">
      <w:pPr>
        <w:spacing w:line="276" w:lineRule="auto"/>
        <w:ind w:left="567" w:right="1133"/>
        <w:rPr>
          <w:rFonts w:asciiTheme="minorHAnsi" w:eastAsia="Calibri" w:hAnsiTheme="minorHAnsi" w:cstheme="minorHAnsi"/>
          <w:sz w:val="22"/>
          <w:szCs w:val="22"/>
          <w:lang w:val="en-US" w:bidi="lo-LA"/>
        </w:rPr>
      </w:pPr>
      <w:r w:rsidRPr="00D34F3A">
        <w:rPr>
          <w:rFonts w:asciiTheme="minorHAnsi" w:eastAsia="Calibri" w:hAnsiTheme="minorHAnsi" w:cstheme="minorHAnsi"/>
          <w:b/>
          <w:bCs/>
          <w:sz w:val="22"/>
          <w:szCs w:val="22"/>
          <w:lang w:val="en-US" w:bidi="lo-LA"/>
        </w:rPr>
        <w:t>Fig. 1</w:t>
      </w:r>
      <w:r w:rsidRPr="00D34F3A">
        <w:rPr>
          <w:rFonts w:asciiTheme="minorHAnsi" w:eastAsia="Calibri" w:hAnsiTheme="minorHAnsi" w:cstheme="minorHAnsi"/>
          <w:sz w:val="22"/>
          <w:szCs w:val="22"/>
          <w:lang w:val="en-US" w:bidi="lo-LA"/>
        </w:rPr>
        <w:t xml:space="preserve"> Annual incidence of hip fracture </w:t>
      </w:r>
      <w:r w:rsidR="00AD3510" w:rsidRPr="00D34F3A">
        <w:rPr>
          <w:rFonts w:asciiTheme="minorHAnsi" w:eastAsia="Calibri" w:hAnsiTheme="minorHAnsi" w:cstheme="minorHAnsi"/>
          <w:sz w:val="22"/>
          <w:szCs w:val="22"/>
          <w:lang w:val="en-US" w:bidi="lo-LA"/>
        </w:rPr>
        <w:t>in men</w:t>
      </w:r>
      <w:r w:rsidR="00670ECA" w:rsidRPr="00D34F3A">
        <w:rPr>
          <w:rFonts w:asciiTheme="minorHAnsi" w:eastAsia="Calibri" w:hAnsiTheme="minorHAnsi" w:cstheme="minorHAnsi"/>
          <w:sz w:val="22"/>
          <w:szCs w:val="22"/>
          <w:lang w:val="en-US" w:bidi="lo-LA"/>
        </w:rPr>
        <w:t xml:space="preserve"> </w:t>
      </w:r>
      <w:r w:rsidRPr="00D34F3A">
        <w:rPr>
          <w:rFonts w:asciiTheme="minorHAnsi" w:eastAsia="Calibri" w:hAnsiTheme="minorHAnsi" w:cstheme="minorHAnsi"/>
          <w:sz w:val="22"/>
          <w:szCs w:val="22"/>
          <w:lang w:val="en-US" w:bidi="lo-LA"/>
        </w:rPr>
        <w:t xml:space="preserve">(left hand panel) and </w:t>
      </w:r>
      <w:r w:rsidR="00AD3510" w:rsidRPr="00D34F3A">
        <w:rPr>
          <w:rFonts w:asciiTheme="minorHAnsi" w:eastAsia="Calibri" w:hAnsiTheme="minorHAnsi" w:cstheme="minorHAnsi"/>
          <w:sz w:val="22"/>
          <w:szCs w:val="22"/>
          <w:lang w:val="en-US" w:bidi="lo-LA"/>
        </w:rPr>
        <w:t>wome</w:t>
      </w:r>
      <w:r w:rsidR="00371EF3" w:rsidRPr="00D34F3A">
        <w:rPr>
          <w:rFonts w:asciiTheme="minorHAnsi" w:eastAsia="Calibri" w:hAnsiTheme="minorHAnsi" w:cstheme="minorHAnsi"/>
          <w:sz w:val="22"/>
          <w:szCs w:val="22"/>
          <w:lang w:val="en-US" w:bidi="lo-LA"/>
        </w:rPr>
        <w:t>n</w:t>
      </w:r>
      <w:r w:rsidRPr="00D34F3A">
        <w:rPr>
          <w:rFonts w:asciiTheme="minorHAnsi" w:eastAsia="Calibri" w:hAnsiTheme="minorHAnsi" w:cstheme="minorHAnsi"/>
          <w:sz w:val="22"/>
          <w:szCs w:val="22"/>
          <w:lang w:val="en-US" w:bidi="lo-LA"/>
        </w:rPr>
        <w:t xml:space="preserve"> (right</w:t>
      </w:r>
      <w:r w:rsidR="00670ECA" w:rsidRPr="00D34F3A">
        <w:rPr>
          <w:rFonts w:asciiTheme="minorHAnsi" w:eastAsia="Calibri" w:hAnsiTheme="minorHAnsi" w:cstheme="minorHAnsi"/>
          <w:sz w:val="22"/>
          <w:szCs w:val="22"/>
          <w:lang w:val="en-US" w:bidi="lo-LA"/>
        </w:rPr>
        <w:t xml:space="preserve"> panel</w:t>
      </w:r>
      <w:r w:rsidRPr="00D34F3A">
        <w:rPr>
          <w:rFonts w:asciiTheme="minorHAnsi" w:eastAsia="Calibri" w:hAnsiTheme="minorHAnsi" w:cstheme="minorHAnsi"/>
          <w:sz w:val="22"/>
          <w:szCs w:val="22"/>
          <w:lang w:val="en-US" w:bidi="lo-LA"/>
        </w:rPr>
        <w:t>) by age from Abu Dhabi, Kuwait</w:t>
      </w:r>
      <w:r w:rsidR="002038F7">
        <w:rPr>
          <w:rFonts w:asciiTheme="minorHAnsi" w:eastAsia="Calibri" w:hAnsiTheme="minorHAnsi" w:cstheme="minorHAnsi"/>
          <w:sz w:val="22"/>
          <w:szCs w:val="22"/>
          <w:lang w:val="en-US" w:bidi="lo-LA"/>
        </w:rPr>
        <w:t>,</w:t>
      </w:r>
      <w:r w:rsidRPr="00D34F3A">
        <w:rPr>
          <w:rFonts w:asciiTheme="minorHAnsi" w:eastAsia="Calibri" w:hAnsiTheme="minorHAnsi" w:cstheme="minorHAnsi"/>
          <w:sz w:val="22"/>
          <w:szCs w:val="22"/>
          <w:lang w:val="en-US" w:bidi="lo-LA"/>
        </w:rPr>
        <w:t xml:space="preserve"> Qatar, and</w:t>
      </w:r>
      <w:r w:rsidR="00AD3510" w:rsidRPr="00D34F3A">
        <w:rPr>
          <w:rFonts w:asciiTheme="minorHAnsi" w:eastAsia="Calibri" w:hAnsiTheme="minorHAnsi" w:cstheme="minorHAnsi"/>
          <w:sz w:val="22"/>
          <w:szCs w:val="22"/>
          <w:lang w:val="en-US" w:bidi="lo-LA"/>
        </w:rPr>
        <w:t xml:space="preserve"> Saudi Arabia</w:t>
      </w:r>
      <w:r w:rsidRPr="00D34F3A">
        <w:rPr>
          <w:rFonts w:asciiTheme="minorHAnsi" w:eastAsia="Calibri" w:hAnsiTheme="minorHAnsi" w:cstheme="minorHAnsi"/>
          <w:sz w:val="22"/>
          <w:szCs w:val="22"/>
          <w:lang w:val="en-US" w:bidi="lo-LA"/>
        </w:rPr>
        <w:t xml:space="preserve">.  </w:t>
      </w:r>
    </w:p>
    <w:p w14:paraId="109AB947" w14:textId="77777777" w:rsidR="00087927" w:rsidRDefault="00087927">
      <w:pPr>
        <w:spacing w:line="276" w:lineRule="auto"/>
        <w:ind w:left="567" w:right="1133"/>
        <w:rPr>
          <w:rFonts w:asciiTheme="minorHAnsi" w:eastAsia="Calibri" w:hAnsiTheme="minorHAnsi" w:cstheme="minorHAnsi"/>
          <w:lang w:val="en-US" w:bidi="lo-LA"/>
        </w:rPr>
      </w:pPr>
    </w:p>
    <w:p w14:paraId="36944D55" w14:textId="77777777" w:rsidR="00087927" w:rsidRDefault="00087927">
      <w:pPr>
        <w:spacing w:line="276" w:lineRule="auto"/>
        <w:ind w:left="567" w:right="1133"/>
        <w:rPr>
          <w:rFonts w:asciiTheme="minorHAnsi" w:eastAsia="Calibri" w:hAnsiTheme="minorHAnsi" w:cstheme="minorHAnsi"/>
          <w:lang w:val="en-US" w:bidi="lo-LA"/>
        </w:rPr>
      </w:pPr>
    </w:p>
    <w:p w14:paraId="6BE9B19E" w14:textId="2358649B" w:rsidR="00913A27" w:rsidRDefault="00132D9C">
      <w:pPr>
        <w:spacing w:line="276" w:lineRule="auto"/>
        <w:ind w:left="567" w:right="1133"/>
        <w:rPr>
          <w:rFonts w:ascii="Calibri" w:hAnsi="Calibri" w:cs="Calibri"/>
          <w:lang w:val="en-GB"/>
        </w:rPr>
      </w:pPr>
      <w:r w:rsidRPr="00132D9C">
        <w:rPr>
          <w:rFonts w:asciiTheme="minorHAnsi" w:eastAsia="Calibri" w:hAnsiTheme="minorHAnsi" w:cstheme="minorHAnsi"/>
          <w:lang w:val="en-US" w:bidi="lo-LA"/>
        </w:rPr>
        <w:t xml:space="preserve">Probabilities of a </w:t>
      </w:r>
      <w:r w:rsidR="0070461E">
        <w:rPr>
          <w:rFonts w:asciiTheme="minorHAnsi" w:eastAsia="Calibri" w:hAnsiTheme="minorHAnsi" w:cstheme="minorHAnsi"/>
          <w:lang w:val="en-US" w:bidi="lo-LA"/>
        </w:rPr>
        <w:t>hip</w:t>
      </w:r>
      <w:r w:rsidRPr="00132D9C">
        <w:rPr>
          <w:rFonts w:asciiTheme="minorHAnsi" w:eastAsia="Calibri" w:hAnsiTheme="minorHAnsi" w:cstheme="minorHAnsi"/>
          <w:lang w:val="en-US" w:bidi="lo-LA"/>
        </w:rPr>
        <w:t xml:space="preserve"> fracture are shown for women in Figure </w:t>
      </w:r>
      <w:r w:rsidR="0070461E">
        <w:rPr>
          <w:rFonts w:asciiTheme="minorHAnsi" w:eastAsia="Calibri" w:hAnsiTheme="minorHAnsi" w:cstheme="minorHAnsi"/>
          <w:lang w:val="en-US" w:bidi="lo-LA"/>
        </w:rPr>
        <w:t>2</w:t>
      </w:r>
      <w:r w:rsidRPr="00132D9C">
        <w:rPr>
          <w:rFonts w:asciiTheme="minorHAnsi" w:eastAsia="Calibri" w:hAnsiTheme="minorHAnsi" w:cstheme="minorHAnsi"/>
          <w:lang w:val="en-US" w:bidi="lo-LA"/>
        </w:rPr>
        <w:t xml:space="preserve">.  Probabilities </w:t>
      </w:r>
      <w:r w:rsidR="0070461E">
        <w:rPr>
          <w:rFonts w:asciiTheme="minorHAnsi" w:eastAsia="Calibri" w:hAnsiTheme="minorHAnsi" w:cstheme="minorHAnsi"/>
          <w:lang w:val="en-US" w:bidi="lo-LA"/>
        </w:rPr>
        <w:t>in the Qatari population</w:t>
      </w:r>
      <w:r w:rsidR="001641F7">
        <w:rPr>
          <w:rFonts w:asciiTheme="minorHAnsi" w:eastAsia="Calibri" w:hAnsiTheme="minorHAnsi" w:cstheme="minorHAnsi"/>
          <w:lang w:val="en-US" w:bidi="lo-LA"/>
        </w:rPr>
        <w:t xml:space="preserve"> </w:t>
      </w:r>
      <w:r w:rsidRPr="00132D9C">
        <w:rPr>
          <w:rFonts w:asciiTheme="minorHAnsi" w:eastAsia="Calibri" w:hAnsiTheme="minorHAnsi" w:cstheme="minorHAnsi"/>
          <w:lang w:val="en-US" w:bidi="lo-LA"/>
        </w:rPr>
        <w:t xml:space="preserve">rose with age up to the age of 80 years and </w:t>
      </w:r>
      <w:r w:rsidR="008C032F">
        <w:rPr>
          <w:rFonts w:asciiTheme="minorHAnsi" w:eastAsia="Calibri" w:hAnsiTheme="minorHAnsi" w:cstheme="minorHAnsi"/>
          <w:lang w:val="en-US" w:bidi="lo-LA"/>
        </w:rPr>
        <w:t>plateaued</w:t>
      </w:r>
      <w:r w:rsidRPr="00132D9C">
        <w:rPr>
          <w:rFonts w:asciiTheme="minorHAnsi" w:eastAsia="Calibri" w:hAnsiTheme="minorHAnsi" w:cstheme="minorHAnsi"/>
          <w:lang w:val="en-US" w:bidi="lo-LA"/>
        </w:rPr>
        <w:t xml:space="preserve"> thereafter due to the </w:t>
      </w:r>
      <w:r w:rsidRPr="006445DD">
        <w:rPr>
          <w:rFonts w:ascii="Calibri" w:eastAsia="Calibri" w:hAnsi="Calibri" w:cs="Calibri"/>
          <w:lang w:val="en-US" w:bidi="lo-LA"/>
        </w:rPr>
        <w:t>competing effect of mortality.</w:t>
      </w:r>
      <w:r w:rsidR="009638C7" w:rsidRPr="006445DD">
        <w:rPr>
          <w:rFonts w:ascii="Calibri" w:hAnsi="Calibri" w:cs="Calibri"/>
        </w:rPr>
        <w:t xml:space="preserve"> </w:t>
      </w:r>
      <w:r w:rsidR="004610CA" w:rsidRPr="006445DD">
        <w:rPr>
          <w:rFonts w:ascii="Calibri" w:hAnsi="Calibri" w:cs="Calibri"/>
          <w:lang w:val="en-GB"/>
        </w:rPr>
        <w:t>A similar pattern of hip fracture probabilities</w:t>
      </w:r>
      <w:r w:rsidR="00B23A10" w:rsidRPr="006445DD">
        <w:rPr>
          <w:rFonts w:ascii="Calibri" w:hAnsi="Calibri" w:cs="Calibri"/>
          <w:lang w:val="en-GB"/>
        </w:rPr>
        <w:t xml:space="preserve"> </w:t>
      </w:r>
      <w:r w:rsidR="006445DD" w:rsidRPr="006445DD">
        <w:rPr>
          <w:rFonts w:ascii="Calibri" w:hAnsi="Calibri" w:cs="Calibri"/>
          <w:lang w:val="en-GB"/>
        </w:rPr>
        <w:t>was</w:t>
      </w:r>
      <w:r w:rsidR="00B23A10" w:rsidRPr="006445DD">
        <w:rPr>
          <w:rFonts w:ascii="Calibri" w:hAnsi="Calibri" w:cs="Calibri"/>
          <w:lang w:val="en-GB"/>
        </w:rPr>
        <w:t xml:space="preserve"> observed in Abu Dhabi</w:t>
      </w:r>
      <w:r w:rsidR="00E45825" w:rsidRPr="006445DD">
        <w:rPr>
          <w:rFonts w:ascii="Calibri" w:hAnsi="Calibri" w:cs="Calibri"/>
          <w:lang w:val="en-GB"/>
        </w:rPr>
        <w:t>.  In contrast, hip frac</w:t>
      </w:r>
      <w:r w:rsidR="00EF5B90" w:rsidRPr="006445DD">
        <w:rPr>
          <w:rFonts w:ascii="Calibri" w:hAnsi="Calibri" w:cs="Calibri"/>
          <w:lang w:val="en-GB"/>
        </w:rPr>
        <w:t>ture probabilities</w:t>
      </w:r>
      <w:r w:rsidR="00047CE7">
        <w:rPr>
          <w:rFonts w:ascii="Calibri" w:hAnsi="Calibri" w:cs="Calibri"/>
          <w:lang w:val="en-GB"/>
        </w:rPr>
        <w:t xml:space="preserve">, similar at younger </w:t>
      </w:r>
      <w:r w:rsidR="00653FEE">
        <w:rPr>
          <w:rFonts w:ascii="Calibri" w:hAnsi="Calibri" w:cs="Calibri"/>
          <w:lang w:val="en-GB"/>
        </w:rPr>
        <w:t xml:space="preserve">ages, </w:t>
      </w:r>
      <w:r w:rsidR="00653FEE" w:rsidRPr="006445DD">
        <w:rPr>
          <w:rFonts w:ascii="Calibri" w:hAnsi="Calibri" w:cs="Calibri"/>
          <w:lang w:val="en-GB"/>
        </w:rPr>
        <w:t>rose</w:t>
      </w:r>
      <w:r w:rsidR="00EF5B90" w:rsidRPr="006445DD">
        <w:rPr>
          <w:rFonts w:ascii="Calibri" w:hAnsi="Calibri" w:cs="Calibri"/>
          <w:lang w:val="en-GB"/>
        </w:rPr>
        <w:t xml:space="preserve"> progressively with age </w:t>
      </w:r>
      <w:r w:rsidR="00FE2B66" w:rsidRPr="006445DD">
        <w:rPr>
          <w:rFonts w:ascii="Calibri" w:hAnsi="Calibri" w:cs="Calibri"/>
          <w:lang w:val="en-GB"/>
        </w:rPr>
        <w:t>in Kuwait</w:t>
      </w:r>
      <w:r w:rsidR="002A593B">
        <w:rPr>
          <w:rFonts w:ascii="Calibri" w:hAnsi="Calibri" w:cs="Calibri"/>
          <w:lang w:val="en-GB"/>
        </w:rPr>
        <w:t xml:space="preserve"> with no evidence of a </w:t>
      </w:r>
      <w:r w:rsidR="009D7991">
        <w:rPr>
          <w:rFonts w:ascii="Calibri" w:hAnsi="Calibri" w:cs="Calibri"/>
          <w:lang w:val="en-GB"/>
        </w:rPr>
        <w:t xml:space="preserve">plateau.  In the case of Saudi Arabia, </w:t>
      </w:r>
      <w:r w:rsidR="00653FEE" w:rsidRPr="00653FEE">
        <w:rPr>
          <w:rFonts w:ascii="Calibri" w:hAnsi="Calibri" w:cs="Calibri"/>
          <w:lang w:val="en-GB"/>
        </w:rPr>
        <w:t>hip fracture probabilities, similar at younger ages</w:t>
      </w:r>
      <w:r w:rsidR="00981491">
        <w:rPr>
          <w:rFonts w:ascii="Calibri" w:hAnsi="Calibri" w:cs="Calibri"/>
          <w:lang w:val="en-GB"/>
        </w:rPr>
        <w:t>, plateaued much earlier than in Qatar</w:t>
      </w:r>
      <w:r w:rsidR="006445DD" w:rsidRPr="006445DD">
        <w:rPr>
          <w:rFonts w:ascii="Calibri" w:hAnsi="Calibri" w:cs="Calibri"/>
          <w:lang w:val="en-GB"/>
        </w:rPr>
        <w:t xml:space="preserve">. </w:t>
      </w:r>
      <w:r w:rsidR="005928C2">
        <w:rPr>
          <w:rFonts w:ascii="Calibri" w:hAnsi="Calibri" w:cs="Calibri"/>
          <w:lang w:val="en-GB"/>
        </w:rPr>
        <w:t xml:space="preserve"> Thus</w:t>
      </w:r>
      <w:r w:rsidR="00A40F93">
        <w:rPr>
          <w:rFonts w:ascii="Calibri" w:hAnsi="Calibri" w:cs="Calibri"/>
          <w:lang w:val="en-GB"/>
        </w:rPr>
        <w:t>,</w:t>
      </w:r>
      <w:r w:rsidR="005928C2">
        <w:rPr>
          <w:rFonts w:ascii="Calibri" w:hAnsi="Calibri" w:cs="Calibri"/>
          <w:lang w:val="en-GB"/>
        </w:rPr>
        <w:t xml:space="preserve"> th</w:t>
      </w:r>
      <w:r w:rsidR="00235888">
        <w:rPr>
          <w:rFonts w:ascii="Calibri" w:hAnsi="Calibri" w:cs="Calibri"/>
          <w:lang w:val="en-GB"/>
        </w:rPr>
        <w:t xml:space="preserve">ere was a </w:t>
      </w:r>
      <w:r w:rsidR="00F54031">
        <w:rPr>
          <w:rFonts w:ascii="Calibri" w:hAnsi="Calibri" w:cs="Calibri"/>
          <w:lang w:val="en-GB"/>
        </w:rPr>
        <w:t xml:space="preserve">modest </w:t>
      </w:r>
      <w:r w:rsidR="00235888">
        <w:rPr>
          <w:rFonts w:ascii="Calibri" w:hAnsi="Calibri" w:cs="Calibri"/>
          <w:lang w:val="en-GB"/>
        </w:rPr>
        <w:t>difference in hip fracture probability at the age o</w:t>
      </w:r>
      <w:r w:rsidR="005D2964">
        <w:rPr>
          <w:rFonts w:ascii="Calibri" w:hAnsi="Calibri" w:cs="Calibri"/>
          <w:lang w:val="en-GB"/>
        </w:rPr>
        <w:t xml:space="preserve">f 50 years but a </w:t>
      </w:r>
      <w:r w:rsidR="00F54031">
        <w:rPr>
          <w:rFonts w:ascii="Calibri" w:hAnsi="Calibri" w:cs="Calibri"/>
          <w:lang w:val="en-GB"/>
        </w:rPr>
        <w:t>greater than 6</w:t>
      </w:r>
      <w:r w:rsidR="005D2964">
        <w:rPr>
          <w:rFonts w:ascii="Calibri" w:hAnsi="Calibri" w:cs="Calibri"/>
          <w:lang w:val="en-GB"/>
        </w:rPr>
        <w:t xml:space="preserve">-fold range at </w:t>
      </w:r>
      <w:r w:rsidR="007D545B">
        <w:rPr>
          <w:rFonts w:ascii="Calibri" w:hAnsi="Calibri" w:cs="Calibri"/>
          <w:lang w:val="en-GB"/>
        </w:rPr>
        <w:t>age 90 years</w:t>
      </w:r>
      <w:r w:rsidR="00F54031">
        <w:rPr>
          <w:rFonts w:ascii="Calibri" w:hAnsi="Calibri" w:cs="Calibri"/>
          <w:lang w:val="en-GB"/>
        </w:rPr>
        <w:t xml:space="preserve"> </w:t>
      </w:r>
      <w:r w:rsidR="00F919ED">
        <w:rPr>
          <w:rFonts w:ascii="Calibri" w:hAnsi="Calibri" w:cs="Calibri"/>
          <w:lang w:val="en-GB"/>
        </w:rPr>
        <w:t>(8.8% in Kuwait an</w:t>
      </w:r>
      <w:r w:rsidR="002038F7">
        <w:rPr>
          <w:rFonts w:ascii="Calibri" w:hAnsi="Calibri" w:cs="Calibri"/>
          <w:lang w:val="en-GB"/>
        </w:rPr>
        <w:t>d</w:t>
      </w:r>
      <w:r w:rsidR="00F919ED">
        <w:rPr>
          <w:rFonts w:ascii="Calibri" w:hAnsi="Calibri" w:cs="Calibri"/>
          <w:lang w:val="en-GB"/>
        </w:rPr>
        <w:t xml:space="preserve"> 1.3% in Saudi</w:t>
      </w:r>
      <w:r w:rsidR="00D34F3A">
        <w:rPr>
          <w:rFonts w:ascii="Calibri" w:hAnsi="Calibri" w:cs="Calibri"/>
          <w:lang w:val="en-GB"/>
        </w:rPr>
        <w:t xml:space="preserve"> Arabia</w:t>
      </w:r>
      <w:r w:rsidR="00F919ED">
        <w:rPr>
          <w:rFonts w:ascii="Calibri" w:hAnsi="Calibri" w:cs="Calibri"/>
          <w:lang w:val="en-GB"/>
        </w:rPr>
        <w:t>)</w:t>
      </w:r>
      <w:r w:rsidR="008B1853">
        <w:rPr>
          <w:rFonts w:ascii="Calibri" w:hAnsi="Calibri" w:cs="Calibri"/>
          <w:lang w:val="en-GB"/>
        </w:rPr>
        <w:t>.</w:t>
      </w:r>
      <w:r w:rsidR="002038F7">
        <w:rPr>
          <w:rFonts w:ascii="Calibri" w:hAnsi="Calibri" w:cs="Calibri"/>
          <w:lang w:val="en-GB"/>
        </w:rPr>
        <w:t xml:space="preserve"> The patterns for 10-year probabilities of a MOF were similar to those for hip fracture (</w:t>
      </w:r>
      <w:r w:rsidR="00343FF3">
        <w:rPr>
          <w:rFonts w:ascii="Calibri" w:hAnsi="Calibri" w:cs="Calibri"/>
          <w:lang w:val="en-GB"/>
        </w:rPr>
        <w:t xml:space="preserve">see </w:t>
      </w:r>
      <w:r w:rsidR="002038F7">
        <w:rPr>
          <w:rFonts w:ascii="Calibri" w:hAnsi="Calibri" w:cs="Calibri"/>
          <w:lang w:val="en-GB"/>
        </w:rPr>
        <w:t xml:space="preserve">Figure 2). </w:t>
      </w:r>
    </w:p>
    <w:p w14:paraId="7CEA9F52" w14:textId="77777777" w:rsidR="00087927" w:rsidRDefault="00087927">
      <w:pPr>
        <w:spacing w:line="276" w:lineRule="auto"/>
        <w:ind w:left="567" w:right="1133"/>
        <w:rPr>
          <w:rFonts w:asciiTheme="minorHAnsi" w:eastAsia="Calibri" w:hAnsiTheme="minorHAnsi" w:cstheme="minorHAnsi"/>
          <w:lang w:val="en-US" w:bidi="lo-LA"/>
        </w:rPr>
      </w:pPr>
    </w:p>
    <w:p w14:paraId="1EEF53C0" w14:textId="5E6CA88B" w:rsidR="00087927" w:rsidRDefault="00087927">
      <w:pPr>
        <w:spacing w:line="276" w:lineRule="auto"/>
        <w:ind w:left="567" w:right="1133"/>
        <w:rPr>
          <w:rFonts w:asciiTheme="minorHAnsi" w:eastAsia="Calibri" w:hAnsiTheme="minorHAnsi" w:cstheme="minorHAnsi"/>
          <w:lang w:val="en-US" w:bidi="lo-LA"/>
        </w:rPr>
      </w:pPr>
      <w:r>
        <w:rPr>
          <w:noProof/>
          <w:lang w:val="en-GB" w:eastAsia="en-GB"/>
        </w:rPr>
        <w:drawing>
          <wp:anchor distT="0" distB="0" distL="114300" distR="114300" simplePos="0" relativeHeight="251662336" behindDoc="0" locked="0" layoutInCell="1" allowOverlap="1" wp14:anchorId="098AB464" wp14:editId="29371647">
            <wp:simplePos x="0" y="0"/>
            <wp:positionH relativeFrom="column">
              <wp:posOffset>0</wp:posOffset>
            </wp:positionH>
            <wp:positionV relativeFrom="paragraph">
              <wp:posOffset>214630</wp:posOffset>
            </wp:positionV>
            <wp:extent cx="6210300" cy="3159760"/>
            <wp:effectExtent l="0" t="0" r="0" b="2540"/>
            <wp:wrapTopAndBottom/>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rcRect t="9544"/>
                    <a:stretch/>
                  </pic:blipFill>
                  <pic:spPr bwMode="auto">
                    <a:xfrm>
                      <a:off x="0" y="0"/>
                      <a:ext cx="6210300" cy="31597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3C408A0" w14:textId="57F883C4" w:rsidR="00DF4946" w:rsidRPr="00C26899" w:rsidRDefault="00F866D1">
      <w:pPr>
        <w:spacing w:line="276" w:lineRule="auto"/>
        <w:ind w:left="567" w:right="1133"/>
        <w:rPr>
          <w:rFonts w:asciiTheme="minorHAnsi" w:eastAsia="Calibri" w:hAnsiTheme="minorHAnsi" w:cstheme="minorHAnsi"/>
          <w:sz w:val="22"/>
          <w:szCs w:val="22"/>
          <w:highlight w:val="yellow"/>
          <w:lang w:val="en-US" w:bidi="lo-LA"/>
        </w:rPr>
      </w:pPr>
      <w:bookmarkStart w:id="5" w:name="_Hlk71564216"/>
      <w:r w:rsidRPr="00C26899">
        <w:rPr>
          <w:rFonts w:asciiTheme="minorHAnsi" w:eastAsia="Calibri" w:hAnsiTheme="minorHAnsi" w:cstheme="minorHAnsi"/>
          <w:b/>
          <w:bCs/>
          <w:sz w:val="22"/>
          <w:szCs w:val="22"/>
          <w:lang w:val="en-US" w:bidi="lo-LA"/>
        </w:rPr>
        <w:t>Fig. 2</w:t>
      </w:r>
      <w:r w:rsidRPr="00C26899">
        <w:rPr>
          <w:rFonts w:asciiTheme="minorHAnsi" w:eastAsia="Calibri" w:hAnsiTheme="minorHAnsi" w:cstheme="minorHAnsi"/>
          <w:sz w:val="22"/>
          <w:szCs w:val="22"/>
          <w:lang w:val="en-US" w:bidi="lo-LA"/>
        </w:rPr>
        <w:t xml:space="preserve"> 10-year probability of hip fracture (left hand panel) and major osteoporotic fracture (right</w:t>
      </w:r>
      <w:r w:rsidR="00371EF3" w:rsidRPr="00C26899">
        <w:rPr>
          <w:rFonts w:asciiTheme="minorHAnsi" w:eastAsia="Calibri" w:hAnsiTheme="minorHAnsi" w:cstheme="minorHAnsi"/>
          <w:sz w:val="22"/>
          <w:szCs w:val="22"/>
          <w:lang w:val="en-US" w:bidi="lo-LA"/>
        </w:rPr>
        <w:t xml:space="preserve"> panel</w:t>
      </w:r>
      <w:r w:rsidRPr="00C26899">
        <w:rPr>
          <w:rFonts w:asciiTheme="minorHAnsi" w:eastAsia="Calibri" w:hAnsiTheme="minorHAnsi" w:cstheme="minorHAnsi"/>
          <w:sz w:val="22"/>
          <w:szCs w:val="22"/>
          <w:lang w:val="en-US" w:bidi="lo-LA"/>
        </w:rPr>
        <w:t xml:space="preserve">) in women with no risk factors by age from </w:t>
      </w:r>
      <w:r w:rsidR="00FF71CF" w:rsidRPr="00C26899">
        <w:rPr>
          <w:rFonts w:asciiTheme="minorHAnsi" w:eastAsia="Calibri" w:hAnsiTheme="minorHAnsi" w:cstheme="minorHAnsi"/>
          <w:sz w:val="22"/>
          <w:szCs w:val="22"/>
          <w:lang w:val="en-US" w:bidi="lo-LA"/>
        </w:rPr>
        <w:t>Abu Dhabi</w:t>
      </w:r>
      <w:r w:rsidR="00974187" w:rsidRPr="00C26899">
        <w:rPr>
          <w:rFonts w:asciiTheme="minorHAnsi" w:eastAsia="Calibri" w:hAnsiTheme="minorHAnsi" w:cstheme="minorHAnsi"/>
          <w:sz w:val="22"/>
          <w:szCs w:val="22"/>
          <w:lang w:val="en-US" w:bidi="lo-LA"/>
        </w:rPr>
        <w:t>,</w:t>
      </w:r>
      <w:r w:rsidR="00FF71CF" w:rsidRPr="00C26899">
        <w:rPr>
          <w:rFonts w:asciiTheme="minorHAnsi" w:eastAsia="Calibri" w:hAnsiTheme="minorHAnsi" w:cstheme="minorHAnsi"/>
          <w:sz w:val="22"/>
          <w:szCs w:val="22"/>
          <w:lang w:val="en-US" w:bidi="lo-LA"/>
        </w:rPr>
        <w:t xml:space="preserve"> </w:t>
      </w:r>
      <w:r w:rsidR="00974187" w:rsidRPr="00C26899">
        <w:rPr>
          <w:rFonts w:asciiTheme="minorHAnsi" w:eastAsia="Calibri" w:hAnsiTheme="minorHAnsi" w:cstheme="minorHAnsi"/>
          <w:sz w:val="22"/>
          <w:szCs w:val="22"/>
          <w:lang w:val="en-US" w:bidi="lo-LA"/>
        </w:rPr>
        <w:t>Kuwait</w:t>
      </w:r>
      <w:r w:rsidR="002038F7">
        <w:rPr>
          <w:rFonts w:asciiTheme="minorHAnsi" w:eastAsia="Calibri" w:hAnsiTheme="minorHAnsi" w:cstheme="minorHAnsi"/>
          <w:sz w:val="22"/>
          <w:szCs w:val="22"/>
          <w:lang w:val="en-US" w:bidi="lo-LA"/>
        </w:rPr>
        <w:t>,</w:t>
      </w:r>
      <w:r w:rsidR="00974187" w:rsidRPr="00C26899">
        <w:rPr>
          <w:rFonts w:asciiTheme="minorHAnsi" w:eastAsia="Calibri" w:hAnsiTheme="minorHAnsi" w:cstheme="minorHAnsi"/>
          <w:sz w:val="22"/>
          <w:szCs w:val="22"/>
          <w:lang w:val="en-US" w:bidi="lo-LA"/>
        </w:rPr>
        <w:t xml:space="preserve"> </w:t>
      </w:r>
      <w:r w:rsidR="00FF71CF" w:rsidRPr="00C26899">
        <w:rPr>
          <w:rFonts w:asciiTheme="minorHAnsi" w:eastAsia="Calibri" w:hAnsiTheme="minorHAnsi" w:cstheme="minorHAnsi"/>
          <w:sz w:val="22"/>
          <w:szCs w:val="22"/>
          <w:lang w:val="en-US" w:bidi="lo-LA"/>
        </w:rPr>
        <w:t xml:space="preserve">Qatar, </w:t>
      </w:r>
      <w:r w:rsidRPr="00C26899">
        <w:rPr>
          <w:rFonts w:asciiTheme="minorHAnsi" w:eastAsia="Calibri" w:hAnsiTheme="minorHAnsi" w:cstheme="minorHAnsi"/>
          <w:sz w:val="22"/>
          <w:szCs w:val="22"/>
          <w:lang w:val="en-US" w:bidi="lo-LA"/>
        </w:rPr>
        <w:t>and</w:t>
      </w:r>
      <w:r w:rsidR="00371EF3" w:rsidRPr="00C26899">
        <w:rPr>
          <w:rFonts w:asciiTheme="minorHAnsi" w:eastAsia="Calibri" w:hAnsiTheme="minorHAnsi" w:cstheme="minorHAnsi"/>
          <w:sz w:val="22"/>
          <w:szCs w:val="22"/>
          <w:lang w:val="en-US" w:bidi="lo-LA"/>
        </w:rPr>
        <w:t xml:space="preserve"> </w:t>
      </w:r>
      <w:r w:rsidR="00393EA5" w:rsidRPr="00C26899">
        <w:rPr>
          <w:rFonts w:asciiTheme="minorHAnsi" w:eastAsia="Calibri" w:hAnsiTheme="minorHAnsi" w:cstheme="minorHAnsi"/>
          <w:sz w:val="22"/>
          <w:szCs w:val="22"/>
          <w:lang w:val="en-US" w:bidi="lo-LA"/>
        </w:rPr>
        <w:t>Saudi Arabia</w:t>
      </w:r>
      <w:r w:rsidRPr="00C26899">
        <w:rPr>
          <w:rFonts w:asciiTheme="minorHAnsi" w:eastAsia="Calibri" w:hAnsiTheme="minorHAnsi" w:cstheme="minorHAnsi"/>
          <w:sz w:val="22"/>
          <w:szCs w:val="22"/>
          <w:lang w:val="en-US" w:bidi="lo-LA"/>
        </w:rPr>
        <w:t xml:space="preserve">.  </w:t>
      </w:r>
      <w:bookmarkEnd w:id="5"/>
      <w:r w:rsidRPr="00C26899">
        <w:rPr>
          <w:rFonts w:asciiTheme="minorHAnsi" w:eastAsia="Calibri" w:hAnsiTheme="minorHAnsi" w:cstheme="minorHAnsi"/>
          <w:sz w:val="22"/>
          <w:szCs w:val="22"/>
          <w:lang w:val="en-US" w:bidi="lo-LA"/>
        </w:rPr>
        <w:t>Body mass index set to 25kg/m</w:t>
      </w:r>
      <w:r w:rsidRPr="00C26899">
        <w:rPr>
          <w:rFonts w:asciiTheme="minorHAnsi" w:eastAsia="Calibri" w:hAnsiTheme="minorHAnsi" w:cstheme="minorHAnsi"/>
          <w:sz w:val="22"/>
          <w:szCs w:val="22"/>
          <w:vertAlign w:val="superscript"/>
          <w:lang w:val="en-US" w:bidi="lo-LA"/>
        </w:rPr>
        <w:t>2</w:t>
      </w:r>
      <w:r w:rsidRPr="00C26899">
        <w:rPr>
          <w:rFonts w:asciiTheme="minorHAnsi" w:eastAsia="Calibri" w:hAnsiTheme="minorHAnsi" w:cstheme="minorHAnsi"/>
          <w:sz w:val="22"/>
          <w:szCs w:val="22"/>
          <w:lang w:val="en-US" w:bidi="lo-LA"/>
        </w:rPr>
        <w:t>.</w:t>
      </w:r>
    </w:p>
    <w:p w14:paraId="093BF3EE" w14:textId="4A8A4457" w:rsidR="00A75BB1" w:rsidRPr="0034216A" w:rsidRDefault="00A75BB1" w:rsidP="00C05B08">
      <w:pPr>
        <w:spacing w:line="276" w:lineRule="auto"/>
        <w:ind w:right="141"/>
        <w:rPr>
          <w:rFonts w:asciiTheme="minorHAnsi" w:hAnsiTheme="minorHAnsi" w:cstheme="minorHAnsi"/>
          <w:b/>
          <w:highlight w:val="yellow"/>
          <w:lang w:val="en-US"/>
        </w:rPr>
      </w:pPr>
      <w:bookmarkStart w:id="6" w:name="_Hlk1224717"/>
    </w:p>
    <w:bookmarkEnd w:id="6"/>
    <w:p w14:paraId="3E94068C" w14:textId="77777777" w:rsidR="00C80A40" w:rsidRPr="0034216A" w:rsidRDefault="00C80A40" w:rsidP="00045C87">
      <w:pPr>
        <w:ind w:left="567" w:right="1133"/>
        <w:rPr>
          <w:rFonts w:ascii="Calibri" w:eastAsia="Calibri" w:hAnsi="Calibri"/>
          <w:b/>
          <w:sz w:val="22"/>
          <w:szCs w:val="22"/>
          <w:highlight w:val="yellow"/>
          <w:lang w:val="en-GB" w:eastAsia="en-US"/>
        </w:rPr>
      </w:pPr>
    </w:p>
    <w:p w14:paraId="791C5AD1" w14:textId="77777777" w:rsidR="00203E50" w:rsidRPr="0034216A" w:rsidRDefault="00203E50" w:rsidP="00203E50">
      <w:pPr>
        <w:rPr>
          <w:highlight w:val="yellow"/>
          <w:lang w:val="en-US" w:eastAsia="en-US"/>
        </w:rPr>
      </w:pPr>
    </w:p>
    <w:p w14:paraId="38B692E5" w14:textId="7C55B395" w:rsidR="0085273D" w:rsidRPr="00346151" w:rsidRDefault="0085273D" w:rsidP="00C26899">
      <w:pPr>
        <w:autoSpaceDE w:val="0"/>
        <w:autoSpaceDN w:val="0"/>
        <w:adjustRightInd w:val="0"/>
        <w:spacing w:after="120" w:line="360" w:lineRule="auto"/>
        <w:ind w:left="567"/>
        <w:rPr>
          <w:rFonts w:asciiTheme="minorHAnsi" w:eastAsia="MS Mincho" w:hAnsiTheme="minorHAnsi" w:cstheme="minorHAnsi"/>
          <w:color w:val="000000"/>
          <w:lang w:val="en-GB" w:eastAsia="ja-JP"/>
        </w:rPr>
      </w:pPr>
      <w:r w:rsidRPr="007F4B4D">
        <w:rPr>
          <w:rFonts w:asciiTheme="minorHAnsi" w:eastAsia="MS Mincho" w:hAnsiTheme="minorHAnsi" w:cstheme="minorHAnsi"/>
          <w:color w:val="000000"/>
          <w:lang w:val="en-GB" w:eastAsia="ja-JP"/>
        </w:rPr>
        <w:t xml:space="preserve">Lifetime probabilities for </w:t>
      </w:r>
      <w:r w:rsidRPr="00E404A4">
        <w:rPr>
          <w:rFonts w:asciiTheme="minorHAnsi" w:eastAsia="MS Mincho" w:hAnsiTheme="minorHAnsi" w:cstheme="minorHAnsi"/>
          <w:color w:val="000000"/>
          <w:lang w:val="en-GB" w:eastAsia="ja-JP"/>
        </w:rPr>
        <w:t xml:space="preserve">hip fracture are shown in Table </w:t>
      </w:r>
      <w:r w:rsidR="007F4B4D" w:rsidRPr="00E404A4">
        <w:rPr>
          <w:rFonts w:asciiTheme="minorHAnsi" w:eastAsia="MS Mincho" w:hAnsiTheme="minorHAnsi" w:cstheme="minorHAnsi"/>
          <w:color w:val="000000"/>
          <w:lang w:val="en-GB" w:eastAsia="ja-JP"/>
        </w:rPr>
        <w:t>2</w:t>
      </w:r>
      <w:r w:rsidR="00E374A2" w:rsidRPr="00E404A4">
        <w:rPr>
          <w:rFonts w:asciiTheme="minorHAnsi" w:eastAsia="MS Mincho" w:hAnsiTheme="minorHAnsi" w:cstheme="minorHAnsi"/>
          <w:color w:val="000000"/>
          <w:lang w:val="en-GB" w:eastAsia="ja-JP"/>
        </w:rPr>
        <w:t>.</w:t>
      </w:r>
      <w:r w:rsidR="00346151" w:rsidRPr="00E404A4">
        <w:rPr>
          <w:rFonts w:asciiTheme="minorHAnsi" w:eastAsia="MS Mincho" w:hAnsiTheme="minorHAnsi" w:cstheme="minorHAnsi"/>
          <w:color w:val="000000"/>
          <w:lang w:val="en-GB" w:eastAsia="ja-JP"/>
        </w:rPr>
        <w:t xml:space="preserve"> For </w:t>
      </w:r>
      <w:r w:rsidR="0063123F" w:rsidRPr="00E404A4">
        <w:rPr>
          <w:rFonts w:asciiTheme="minorHAnsi" w:eastAsia="MS Mincho" w:hAnsiTheme="minorHAnsi" w:cstheme="minorHAnsi"/>
          <w:color w:val="000000"/>
          <w:lang w:val="en-GB" w:eastAsia="ja-JP"/>
        </w:rPr>
        <w:t>Qatar</w:t>
      </w:r>
      <w:r w:rsidR="00346151" w:rsidRPr="00346151">
        <w:rPr>
          <w:rFonts w:asciiTheme="minorHAnsi" w:eastAsia="MS Mincho" w:hAnsiTheme="minorHAnsi" w:cstheme="minorHAnsi"/>
          <w:color w:val="000000"/>
          <w:lang w:val="en-GB" w:eastAsia="ja-JP"/>
        </w:rPr>
        <w:t xml:space="preserve">, probabilities were </w:t>
      </w:r>
      <w:r w:rsidR="00DD1458">
        <w:rPr>
          <w:rFonts w:asciiTheme="minorHAnsi" w:eastAsia="MS Mincho" w:hAnsiTheme="minorHAnsi" w:cstheme="minorHAnsi"/>
          <w:color w:val="000000"/>
          <w:lang w:val="en-GB" w:eastAsia="ja-JP"/>
        </w:rPr>
        <w:t>approximately</w:t>
      </w:r>
      <w:r w:rsidR="00346151" w:rsidRPr="00346151">
        <w:rPr>
          <w:rFonts w:asciiTheme="minorHAnsi" w:eastAsia="MS Mincho" w:hAnsiTheme="minorHAnsi" w:cstheme="minorHAnsi"/>
          <w:color w:val="000000"/>
          <w:lang w:val="en-GB" w:eastAsia="ja-JP"/>
        </w:rPr>
        <w:t xml:space="preserve"> than 1 in </w:t>
      </w:r>
      <w:r w:rsidR="00DD1458">
        <w:rPr>
          <w:rFonts w:asciiTheme="minorHAnsi" w:eastAsia="MS Mincho" w:hAnsiTheme="minorHAnsi" w:cstheme="minorHAnsi"/>
          <w:color w:val="000000"/>
          <w:lang w:val="en-GB" w:eastAsia="ja-JP"/>
        </w:rPr>
        <w:t xml:space="preserve">10 </w:t>
      </w:r>
      <w:r w:rsidR="00245AD7">
        <w:rPr>
          <w:rFonts w:asciiTheme="minorHAnsi" w:eastAsia="MS Mincho" w:hAnsiTheme="minorHAnsi" w:cstheme="minorHAnsi"/>
          <w:color w:val="000000"/>
          <w:lang w:val="en-GB" w:eastAsia="ja-JP"/>
        </w:rPr>
        <w:t>women</w:t>
      </w:r>
      <w:r w:rsidR="00346151" w:rsidRPr="00346151">
        <w:rPr>
          <w:rFonts w:asciiTheme="minorHAnsi" w:eastAsia="MS Mincho" w:hAnsiTheme="minorHAnsi" w:cstheme="minorHAnsi"/>
          <w:color w:val="000000"/>
          <w:lang w:val="en-GB" w:eastAsia="ja-JP"/>
        </w:rPr>
        <w:t xml:space="preserve">, and similar to probabilities in </w:t>
      </w:r>
      <w:r w:rsidR="00245AD7">
        <w:rPr>
          <w:rFonts w:asciiTheme="minorHAnsi" w:eastAsia="MS Mincho" w:hAnsiTheme="minorHAnsi" w:cstheme="minorHAnsi"/>
          <w:color w:val="000000"/>
          <w:lang w:val="en-GB" w:eastAsia="ja-JP"/>
        </w:rPr>
        <w:t>Hungary</w:t>
      </w:r>
      <w:r w:rsidR="00346151" w:rsidRPr="00346151">
        <w:rPr>
          <w:rFonts w:asciiTheme="minorHAnsi" w:eastAsia="MS Mincho" w:hAnsiTheme="minorHAnsi" w:cstheme="minorHAnsi"/>
          <w:color w:val="000000"/>
          <w:lang w:val="en-GB" w:eastAsia="ja-JP"/>
        </w:rPr>
        <w:t xml:space="preserve"> and </w:t>
      </w:r>
      <w:r w:rsidR="00245AD7">
        <w:rPr>
          <w:rFonts w:asciiTheme="minorHAnsi" w:eastAsia="MS Mincho" w:hAnsiTheme="minorHAnsi" w:cstheme="minorHAnsi"/>
          <w:color w:val="000000"/>
          <w:lang w:val="en-GB" w:eastAsia="ja-JP"/>
        </w:rPr>
        <w:t>Bulgaria</w:t>
      </w:r>
      <w:r w:rsidR="00346151" w:rsidRPr="00346151">
        <w:rPr>
          <w:rFonts w:asciiTheme="minorHAnsi" w:eastAsia="MS Mincho" w:hAnsiTheme="minorHAnsi" w:cstheme="minorHAnsi"/>
          <w:color w:val="000000"/>
          <w:lang w:val="en-GB" w:eastAsia="ja-JP"/>
        </w:rPr>
        <w:t xml:space="preserve">.  As might be expected from the differences in mortality, probabilities were approximately </w:t>
      </w:r>
      <w:r w:rsidR="00E404A4">
        <w:rPr>
          <w:rFonts w:asciiTheme="minorHAnsi" w:eastAsia="MS Mincho" w:hAnsiTheme="minorHAnsi" w:cstheme="minorHAnsi"/>
          <w:color w:val="000000"/>
          <w:lang w:val="en-GB" w:eastAsia="ja-JP"/>
        </w:rPr>
        <w:t xml:space="preserve">double </w:t>
      </w:r>
      <w:r w:rsidR="00346151" w:rsidRPr="00346151">
        <w:rPr>
          <w:rFonts w:asciiTheme="minorHAnsi" w:eastAsia="MS Mincho" w:hAnsiTheme="minorHAnsi" w:cstheme="minorHAnsi"/>
          <w:color w:val="000000"/>
          <w:lang w:val="en-GB" w:eastAsia="ja-JP"/>
        </w:rPr>
        <w:t xml:space="preserve">that estimated for </w:t>
      </w:r>
      <w:r w:rsidR="00E404A4">
        <w:rPr>
          <w:rFonts w:asciiTheme="minorHAnsi" w:eastAsia="MS Mincho" w:hAnsiTheme="minorHAnsi" w:cstheme="minorHAnsi"/>
          <w:color w:val="000000"/>
          <w:lang w:val="en-GB" w:eastAsia="ja-JP"/>
        </w:rPr>
        <w:t>Saudi Arabia</w:t>
      </w:r>
      <w:r w:rsidR="00346151" w:rsidRPr="00346151">
        <w:rPr>
          <w:rFonts w:asciiTheme="minorHAnsi" w:eastAsia="MS Mincho" w:hAnsiTheme="minorHAnsi" w:cstheme="minorHAnsi"/>
          <w:color w:val="000000"/>
          <w:lang w:val="en-GB" w:eastAsia="ja-JP"/>
        </w:rPr>
        <w:t>.</w:t>
      </w:r>
    </w:p>
    <w:p w14:paraId="7AB152A6" w14:textId="77777777" w:rsidR="00B25854" w:rsidRPr="0034216A" w:rsidRDefault="00B25854" w:rsidP="001A00A2">
      <w:pPr>
        <w:autoSpaceDE w:val="0"/>
        <w:autoSpaceDN w:val="0"/>
        <w:adjustRightInd w:val="0"/>
        <w:spacing w:after="120" w:line="360" w:lineRule="auto"/>
        <w:rPr>
          <w:rFonts w:asciiTheme="minorHAnsi" w:eastAsia="MS Mincho" w:hAnsiTheme="minorHAnsi" w:cstheme="minorHAnsi"/>
          <w:b/>
          <w:color w:val="000000"/>
          <w:sz w:val="22"/>
          <w:szCs w:val="22"/>
          <w:highlight w:val="yellow"/>
          <w:lang w:val="en-GB" w:eastAsia="ja-JP"/>
        </w:rPr>
      </w:pPr>
    </w:p>
    <w:p w14:paraId="07A7D2C0" w14:textId="45991159" w:rsidR="00166393" w:rsidRPr="00166393" w:rsidRDefault="00166393" w:rsidP="00166393">
      <w:pPr>
        <w:autoSpaceDE w:val="0"/>
        <w:autoSpaceDN w:val="0"/>
        <w:adjustRightInd w:val="0"/>
        <w:spacing w:after="120" w:line="276" w:lineRule="auto"/>
        <w:ind w:left="567"/>
        <w:rPr>
          <w:rFonts w:ascii="Calibri" w:eastAsia="MS Mincho" w:hAnsi="Calibri" w:cs="Calibri"/>
          <w:color w:val="000000"/>
          <w:sz w:val="22"/>
          <w:szCs w:val="22"/>
          <w:lang w:val="en-GB" w:eastAsia="ja-JP"/>
        </w:rPr>
      </w:pPr>
      <w:r w:rsidRPr="00166393">
        <w:rPr>
          <w:rFonts w:ascii="Calibri" w:eastAsia="MS Mincho" w:hAnsi="Calibri" w:cs="Calibri"/>
          <w:b/>
          <w:color w:val="000000"/>
          <w:sz w:val="22"/>
          <w:szCs w:val="22"/>
          <w:lang w:val="en-GB" w:eastAsia="ja-JP"/>
        </w:rPr>
        <w:t xml:space="preserve">Table </w:t>
      </w:r>
      <w:r w:rsidR="002038F7">
        <w:rPr>
          <w:rFonts w:ascii="Calibri" w:eastAsia="MS Mincho" w:hAnsi="Calibri" w:cs="Calibri"/>
          <w:b/>
          <w:color w:val="000000"/>
          <w:sz w:val="22"/>
          <w:szCs w:val="22"/>
          <w:lang w:val="en-GB" w:eastAsia="ja-JP"/>
        </w:rPr>
        <w:t>2</w:t>
      </w:r>
      <w:r w:rsidRPr="00166393">
        <w:rPr>
          <w:rFonts w:ascii="Calibri" w:eastAsia="MS Mincho" w:hAnsi="Calibri" w:cs="Calibri"/>
          <w:b/>
          <w:color w:val="000000"/>
          <w:sz w:val="22"/>
          <w:szCs w:val="22"/>
          <w:lang w:val="en-GB" w:eastAsia="ja-JP"/>
        </w:rPr>
        <w:t>.</w:t>
      </w:r>
      <w:r w:rsidRPr="00166393">
        <w:rPr>
          <w:rFonts w:ascii="Calibri" w:eastAsia="MS Mincho" w:hAnsi="Calibri" w:cs="Calibri"/>
          <w:color w:val="000000"/>
          <w:sz w:val="22"/>
          <w:szCs w:val="22"/>
          <w:lang w:val="en-GB" w:eastAsia="ja-JP"/>
        </w:rPr>
        <w:t xml:space="preserve"> Life-time probability of hip fracture in the </w:t>
      </w:r>
      <w:r w:rsidR="00AA1A3F">
        <w:rPr>
          <w:rFonts w:ascii="Calibri" w:eastAsia="MS Mincho" w:hAnsi="Calibri" w:cs="Calibri"/>
          <w:color w:val="000000"/>
          <w:sz w:val="22"/>
          <w:szCs w:val="22"/>
          <w:lang w:val="en-GB" w:eastAsia="ja-JP"/>
        </w:rPr>
        <w:t>Qatari</w:t>
      </w:r>
      <w:r w:rsidRPr="00166393">
        <w:rPr>
          <w:rFonts w:ascii="Calibri" w:eastAsia="MS Mincho" w:hAnsi="Calibri" w:cs="Calibri"/>
          <w:color w:val="000000"/>
          <w:sz w:val="22"/>
          <w:szCs w:val="22"/>
          <w:lang w:val="en-GB" w:eastAsia="ja-JP"/>
        </w:rPr>
        <w:t xml:space="preserve"> population </w:t>
      </w:r>
      <w:r w:rsidR="00AA1A3F">
        <w:rPr>
          <w:rFonts w:ascii="Calibri" w:eastAsia="MS Mincho" w:hAnsi="Calibri" w:cs="Calibri"/>
          <w:color w:val="000000"/>
          <w:sz w:val="22"/>
          <w:szCs w:val="22"/>
          <w:lang w:val="en-GB" w:eastAsia="ja-JP"/>
        </w:rPr>
        <w:t>at</w:t>
      </w:r>
      <w:r w:rsidRPr="00166393">
        <w:rPr>
          <w:rFonts w:ascii="Calibri" w:eastAsia="MS Mincho" w:hAnsi="Calibri" w:cs="Calibri"/>
          <w:color w:val="000000"/>
          <w:sz w:val="22"/>
          <w:szCs w:val="22"/>
          <w:lang w:val="en-GB" w:eastAsia="ja-JP"/>
        </w:rPr>
        <w:t xml:space="preserve"> the age of 50 years compared with selected countries. </w:t>
      </w:r>
      <w:r w:rsidR="00AA1A3F">
        <w:rPr>
          <w:rFonts w:ascii="Calibri" w:eastAsia="MS Mincho" w:hAnsi="Calibri" w:cs="Calibri"/>
          <w:color w:val="000000"/>
          <w:sz w:val="22"/>
          <w:szCs w:val="22"/>
          <w:lang w:val="en-GB" w:eastAsia="ja-JP"/>
        </w:rPr>
        <w:t xml:space="preserve"> Data </w:t>
      </w:r>
      <w:r w:rsidR="00AA1A3F" w:rsidRPr="009E6D76">
        <w:rPr>
          <w:rFonts w:ascii="Calibri" w:eastAsia="MS Mincho" w:hAnsi="Calibri" w:cs="Calibri"/>
          <w:color w:val="000000"/>
          <w:sz w:val="22"/>
          <w:szCs w:val="22"/>
          <w:lang w:val="en-GB" w:eastAsia="ja-JP"/>
        </w:rPr>
        <w:t xml:space="preserve">from </w:t>
      </w:r>
      <w:r w:rsidR="00CC729A" w:rsidRPr="009E6D76">
        <w:rPr>
          <w:rFonts w:ascii="Calibri" w:eastAsia="MS Mincho" w:hAnsi="Calibri" w:cs="Calibri"/>
          <w:color w:val="000000"/>
          <w:sz w:val="22"/>
          <w:szCs w:val="22"/>
          <w:lang w:val="en-GB" w:eastAsia="ja-JP"/>
        </w:rPr>
        <w:t>[</w:t>
      </w:r>
      <w:r w:rsidR="00F8111E" w:rsidRPr="009E6D76">
        <w:rPr>
          <w:rFonts w:ascii="Calibri" w:eastAsia="MS Mincho" w:hAnsi="Calibri" w:cs="Calibri"/>
          <w:color w:val="000000"/>
          <w:sz w:val="22"/>
          <w:szCs w:val="22"/>
          <w:lang w:val="en-GB" w:eastAsia="ja-JP"/>
        </w:rPr>
        <w:t>18</w:t>
      </w:r>
      <w:r w:rsidR="00CC729A" w:rsidRPr="009E6D76">
        <w:rPr>
          <w:rFonts w:ascii="Calibri" w:eastAsia="MS Mincho" w:hAnsi="Calibri" w:cs="Calibri"/>
          <w:color w:val="000000"/>
          <w:sz w:val="22"/>
          <w:szCs w:val="22"/>
          <w:lang w:val="en-GB" w:eastAsia="ja-JP"/>
        </w:rPr>
        <w:t xml:space="preserve">] </w:t>
      </w:r>
      <w:r w:rsidR="000C703D" w:rsidRPr="009E6D76">
        <w:rPr>
          <w:rFonts w:ascii="Calibri" w:eastAsia="MS Mincho" w:hAnsi="Calibri" w:cs="Calibri"/>
          <w:color w:val="000000"/>
          <w:sz w:val="22"/>
          <w:szCs w:val="22"/>
          <w:lang w:val="en-GB" w:eastAsia="ja-JP"/>
        </w:rPr>
        <w:t>unless otherwise</w:t>
      </w:r>
      <w:r w:rsidR="000C703D">
        <w:rPr>
          <w:rFonts w:ascii="Calibri" w:eastAsia="MS Mincho" w:hAnsi="Calibri" w:cs="Calibri"/>
          <w:color w:val="000000"/>
          <w:sz w:val="22"/>
          <w:szCs w:val="22"/>
          <w:lang w:val="en-GB" w:eastAsia="ja-JP"/>
        </w:rPr>
        <w:t xml:space="preserve"> indicated</w:t>
      </w:r>
      <w:r w:rsidR="00F51FC8">
        <w:rPr>
          <w:rFonts w:ascii="Calibri" w:eastAsia="MS Mincho" w:hAnsi="Calibri" w:cs="Calibri"/>
          <w:color w:val="000000"/>
          <w:sz w:val="22"/>
          <w:szCs w:val="22"/>
          <w:lang w:val="en-GB" w:eastAsia="ja-JP"/>
        </w:rPr>
        <w:t>.</w:t>
      </w:r>
    </w:p>
    <w:tbl>
      <w:tblPr>
        <w:tblStyle w:val="TableGrid111"/>
        <w:tblW w:w="6276" w:type="dxa"/>
        <w:tblInd w:w="1384"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740"/>
        <w:gridCol w:w="2268"/>
      </w:tblGrid>
      <w:tr w:rsidR="00166393" w:rsidRPr="00166393" w14:paraId="489E9603" w14:textId="77777777" w:rsidTr="00366FF8">
        <w:tc>
          <w:tcPr>
            <w:tcW w:w="2268" w:type="dxa"/>
            <w:tcBorders>
              <w:bottom w:val="nil"/>
            </w:tcBorders>
          </w:tcPr>
          <w:p w14:paraId="4C4CB25E"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eastAsia="MS Mincho" w:hAnsiTheme="minorHAnsi" w:cs="Calibri"/>
                <w:sz w:val="20"/>
                <w:szCs w:val="22"/>
                <w:lang w:eastAsia="ja-JP"/>
              </w:rPr>
              <w:t>Country</w:t>
            </w:r>
          </w:p>
        </w:tc>
        <w:tc>
          <w:tcPr>
            <w:tcW w:w="4008" w:type="dxa"/>
            <w:gridSpan w:val="2"/>
            <w:tcBorders>
              <w:top w:val="single" w:sz="4" w:space="0" w:color="auto"/>
              <w:bottom w:val="single" w:sz="4" w:space="0" w:color="auto"/>
            </w:tcBorders>
          </w:tcPr>
          <w:p w14:paraId="356396D7"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eastAsia="MS Mincho" w:hAnsiTheme="minorHAnsi" w:cs="Calibri"/>
                <w:sz w:val="20"/>
                <w:szCs w:val="22"/>
                <w:lang w:eastAsia="ja-JP"/>
              </w:rPr>
              <w:t>Life-time risk at 50 years (%)</w:t>
            </w:r>
          </w:p>
        </w:tc>
      </w:tr>
      <w:tr w:rsidR="00166393" w:rsidRPr="00166393" w14:paraId="75D6563B" w14:textId="77777777" w:rsidTr="00366FF8">
        <w:tc>
          <w:tcPr>
            <w:tcW w:w="2268" w:type="dxa"/>
            <w:tcBorders>
              <w:top w:val="nil"/>
              <w:bottom w:val="single" w:sz="4" w:space="0" w:color="auto"/>
            </w:tcBorders>
          </w:tcPr>
          <w:p w14:paraId="06EDDE1D" w14:textId="77777777" w:rsidR="00166393" w:rsidRPr="00166393" w:rsidRDefault="00166393" w:rsidP="00166393">
            <w:pPr>
              <w:spacing w:after="160" w:line="256" w:lineRule="auto"/>
              <w:rPr>
                <w:rFonts w:asciiTheme="minorHAnsi" w:eastAsia="MS Mincho" w:hAnsiTheme="minorHAnsi" w:cs="Calibri"/>
                <w:sz w:val="20"/>
                <w:szCs w:val="22"/>
                <w:lang w:eastAsia="ja-JP"/>
              </w:rPr>
            </w:pPr>
          </w:p>
        </w:tc>
        <w:tc>
          <w:tcPr>
            <w:tcW w:w="1740" w:type="dxa"/>
            <w:tcBorders>
              <w:top w:val="single" w:sz="4" w:space="0" w:color="auto"/>
              <w:bottom w:val="single" w:sz="4" w:space="0" w:color="auto"/>
            </w:tcBorders>
          </w:tcPr>
          <w:p w14:paraId="6E6EBD06"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eastAsia="MS Mincho" w:hAnsiTheme="minorHAnsi" w:cs="Calibri"/>
                <w:sz w:val="20"/>
                <w:szCs w:val="22"/>
                <w:lang w:eastAsia="ja-JP"/>
              </w:rPr>
              <w:t>Women</w:t>
            </w:r>
          </w:p>
        </w:tc>
        <w:tc>
          <w:tcPr>
            <w:tcW w:w="2268" w:type="dxa"/>
            <w:tcBorders>
              <w:top w:val="single" w:sz="4" w:space="0" w:color="auto"/>
              <w:bottom w:val="single" w:sz="4" w:space="0" w:color="auto"/>
            </w:tcBorders>
          </w:tcPr>
          <w:p w14:paraId="29567BC1"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eastAsia="MS Mincho" w:hAnsiTheme="minorHAnsi" w:cs="Calibri"/>
                <w:sz w:val="20"/>
                <w:szCs w:val="22"/>
                <w:lang w:eastAsia="ja-JP"/>
              </w:rPr>
              <w:t>Men</w:t>
            </w:r>
          </w:p>
        </w:tc>
      </w:tr>
      <w:tr w:rsidR="00166393" w:rsidRPr="00166393" w14:paraId="785F089C" w14:textId="77777777" w:rsidTr="00366FF8">
        <w:tc>
          <w:tcPr>
            <w:tcW w:w="2268" w:type="dxa"/>
            <w:tcBorders>
              <w:top w:val="single" w:sz="4" w:space="0" w:color="auto"/>
              <w:bottom w:val="nil"/>
              <w:right w:val="nil"/>
            </w:tcBorders>
          </w:tcPr>
          <w:p w14:paraId="3AB6FB56"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Sweden</w:t>
            </w:r>
          </w:p>
        </w:tc>
        <w:tc>
          <w:tcPr>
            <w:tcW w:w="1740" w:type="dxa"/>
            <w:tcBorders>
              <w:top w:val="single" w:sz="4" w:space="0" w:color="auto"/>
              <w:left w:val="nil"/>
              <w:bottom w:val="nil"/>
              <w:right w:val="nil"/>
            </w:tcBorders>
          </w:tcPr>
          <w:p w14:paraId="18D4ED48"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25.6</w:t>
            </w:r>
          </w:p>
        </w:tc>
        <w:tc>
          <w:tcPr>
            <w:tcW w:w="2268" w:type="dxa"/>
            <w:tcBorders>
              <w:top w:val="single" w:sz="4" w:space="0" w:color="auto"/>
              <w:left w:val="nil"/>
              <w:bottom w:val="nil"/>
            </w:tcBorders>
          </w:tcPr>
          <w:p w14:paraId="3B9FB13B"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11.0</w:t>
            </w:r>
          </w:p>
        </w:tc>
      </w:tr>
      <w:tr w:rsidR="00166393" w:rsidRPr="00166393" w14:paraId="2CA708A4" w14:textId="77777777" w:rsidTr="00366FF8">
        <w:tc>
          <w:tcPr>
            <w:tcW w:w="2268" w:type="dxa"/>
            <w:tcBorders>
              <w:top w:val="nil"/>
              <w:right w:val="nil"/>
            </w:tcBorders>
          </w:tcPr>
          <w:p w14:paraId="70DA4340" w14:textId="77777777"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South Africa (white)</w:t>
            </w:r>
          </w:p>
        </w:tc>
        <w:tc>
          <w:tcPr>
            <w:tcW w:w="1740" w:type="dxa"/>
            <w:tcBorders>
              <w:top w:val="nil"/>
              <w:left w:val="nil"/>
              <w:right w:val="nil"/>
            </w:tcBorders>
          </w:tcPr>
          <w:p w14:paraId="0052F4C0"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23.4</w:t>
            </w:r>
          </w:p>
        </w:tc>
        <w:tc>
          <w:tcPr>
            <w:tcW w:w="2268" w:type="dxa"/>
            <w:tcBorders>
              <w:top w:val="nil"/>
              <w:left w:val="nil"/>
            </w:tcBorders>
          </w:tcPr>
          <w:p w14:paraId="09841F07"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7.7</w:t>
            </w:r>
          </w:p>
        </w:tc>
      </w:tr>
      <w:tr w:rsidR="00166393" w:rsidRPr="00166393" w14:paraId="49BF4B8F" w14:textId="77777777" w:rsidTr="00366FF8">
        <w:tc>
          <w:tcPr>
            <w:tcW w:w="2268" w:type="dxa"/>
            <w:tcBorders>
              <w:top w:val="nil"/>
            </w:tcBorders>
          </w:tcPr>
          <w:p w14:paraId="1F034D2B" w14:textId="77777777" w:rsidR="00166393" w:rsidRPr="00166393" w:rsidRDefault="00166393" w:rsidP="00166393">
            <w:pPr>
              <w:spacing w:after="160" w:line="256" w:lineRule="auto"/>
              <w:rPr>
                <w:rFonts w:asciiTheme="minorHAnsi" w:eastAsiaTheme="minorHAnsi" w:hAnsiTheme="minorHAnsi" w:cs="Calibri"/>
                <w:sz w:val="20"/>
                <w:szCs w:val="22"/>
                <w:lang w:eastAsia="en-US"/>
              </w:rPr>
            </w:pPr>
            <w:r w:rsidRPr="00166393">
              <w:rPr>
                <w:rFonts w:asciiTheme="minorHAnsi" w:hAnsiTheme="minorHAnsi" w:cs="Calibri"/>
                <w:sz w:val="20"/>
                <w:szCs w:val="22"/>
                <w:lang w:eastAsia="en-US"/>
              </w:rPr>
              <w:t>Denmark</w:t>
            </w:r>
          </w:p>
        </w:tc>
        <w:tc>
          <w:tcPr>
            <w:tcW w:w="1740" w:type="dxa"/>
            <w:tcBorders>
              <w:top w:val="nil"/>
            </w:tcBorders>
          </w:tcPr>
          <w:p w14:paraId="5CB42DCB" w14:textId="77777777" w:rsidR="00166393" w:rsidRPr="00166393" w:rsidRDefault="00166393" w:rsidP="00166393">
            <w:pPr>
              <w:spacing w:after="160" w:line="256" w:lineRule="auto"/>
              <w:jc w:val="center"/>
              <w:rPr>
                <w:rFonts w:asciiTheme="minorHAnsi" w:eastAsiaTheme="minorHAnsi" w:hAnsiTheme="minorHAnsi" w:cs="Calibri"/>
                <w:sz w:val="20"/>
                <w:szCs w:val="22"/>
                <w:lang w:eastAsia="en-US"/>
              </w:rPr>
            </w:pPr>
            <w:r w:rsidRPr="00166393">
              <w:rPr>
                <w:rFonts w:asciiTheme="minorHAnsi" w:hAnsiTheme="minorHAnsi" w:cs="Calibri"/>
                <w:sz w:val="20"/>
                <w:szCs w:val="22"/>
                <w:lang w:eastAsia="en-US"/>
              </w:rPr>
              <w:t>23.0</w:t>
            </w:r>
          </w:p>
        </w:tc>
        <w:tc>
          <w:tcPr>
            <w:tcW w:w="2268" w:type="dxa"/>
            <w:tcBorders>
              <w:top w:val="nil"/>
            </w:tcBorders>
          </w:tcPr>
          <w:p w14:paraId="074DABAA" w14:textId="77777777" w:rsidR="00166393" w:rsidRPr="00166393" w:rsidRDefault="00166393" w:rsidP="00166393">
            <w:pPr>
              <w:spacing w:after="160" w:line="256" w:lineRule="auto"/>
              <w:jc w:val="center"/>
              <w:rPr>
                <w:rFonts w:asciiTheme="minorHAnsi" w:eastAsiaTheme="minorHAnsi" w:hAnsiTheme="minorHAnsi" w:cs="Calibri"/>
                <w:sz w:val="20"/>
                <w:szCs w:val="22"/>
                <w:lang w:eastAsia="en-US"/>
              </w:rPr>
            </w:pPr>
            <w:r w:rsidRPr="00166393">
              <w:rPr>
                <w:rFonts w:asciiTheme="minorHAnsi" w:hAnsiTheme="minorHAnsi" w:cs="Calibri"/>
                <w:sz w:val="20"/>
                <w:szCs w:val="22"/>
                <w:lang w:eastAsia="en-US"/>
              </w:rPr>
              <w:t>11.3</w:t>
            </w:r>
          </w:p>
        </w:tc>
      </w:tr>
      <w:tr w:rsidR="00166393" w:rsidRPr="00166393" w14:paraId="57061D5C" w14:textId="77777777" w:rsidTr="00366FF8">
        <w:tc>
          <w:tcPr>
            <w:tcW w:w="2268" w:type="dxa"/>
            <w:tcBorders>
              <w:top w:val="nil"/>
            </w:tcBorders>
          </w:tcPr>
          <w:p w14:paraId="4AC28CA2"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France</w:t>
            </w:r>
          </w:p>
        </w:tc>
        <w:tc>
          <w:tcPr>
            <w:tcW w:w="1740" w:type="dxa"/>
            <w:tcBorders>
              <w:top w:val="nil"/>
            </w:tcBorders>
          </w:tcPr>
          <w:p w14:paraId="2499FAF8"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19.3</w:t>
            </w:r>
          </w:p>
        </w:tc>
        <w:tc>
          <w:tcPr>
            <w:tcW w:w="2268" w:type="dxa"/>
            <w:tcBorders>
              <w:top w:val="nil"/>
            </w:tcBorders>
          </w:tcPr>
          <w:p w14:paraId="423DC6F3"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5.9</w:t>
            </w:r>
          </w:p>
        </w:tc>
      </w:tr>
      <w:tr w:rsidR="00166393" w:rsidRPr="00166393" w14:paraId="214441FB" w14:textId="77777777" w:rsidTr="00366FF8">
        <w:tc>
          <w:tcPr>
            <w:tcW w:w="2268" w:type="dxa"/>
          </w:tcPr>
          <w:p w14:paraId="20A13E65" w14:textId="77777777" w:rsidR="00166393" w:rsidRPr="00166393" w:rsidRDefault="00166393" w:rsidP="00166393">
            <w:pPr>
              <w:spacing w:after="160" w:line="256" w:lineRule="auto"/>
              <w:rPr>
                <w:rFonts w:asciiTheme="minorHAnsi" w:eastAsiaTheme="minorHAnsi" w:hAnsiTheme="minorHAnsi" w:cs="Calibri"/>
                <w:sz w:val="20"/>
                <w:szCs w:val="22"/>
                <w:lang w:eastAsia="en-US"/>
              </w:rPr>
            </w:pPr>
            <w:r w:rsidRPr="00166393">
              <w:rPr>
                <w:rFonts w:asciiTheme="minorHAnsi" w:hAnsiTheme="minorHAnsi" w:cs="Calibri"/>
                <w:sz w:val="20"/>
                <w:szCs w:val="22"/>
                <w:lang w:eastAsia="en-US"/>
              </w:rPr>
              <w:t>China (Hong Kong)</w:t>
            </w:r>
          </w:p>
        </w:tc>
        <w:tc>
          <w:tcPr>
            <w:tcW w:w="1740" w:type="dxa"/>
          </w:tcPr>
          <w:p w14:paraId="64E378B7" w14:textId="77777777" w:rsidR="00166393" w:rsidRPr="00166393" w:rsidRDefault="00166393" w:rsidP="00166393">
            <w:pPr>
              <w:spacing w:after="160" w:line="256" w:lineRule="auto"/>
              <w:jc w:val="center"/>
              <w:rPr>
                <w:rFonts w:asciiTheme="minorHAnsi" w:eastAsiaTheme="minorHAnsi" w:hAnsiTheme="minorHAnsi" w:cs="Calibri"/>
                <w:sz w:val="20"/>
                <w:szCs w:val="22"/>
                <w:lang w:eastAsia="en-US"/>
              </w:rPr>
            </w:pPr>
            <w:r w:rsidRPr="00166393">
              <w:rPr>
                <w:rFonts w:asciiTheme="minorHAnsi" w:hAnsiTheme="minorHAnsi" w:cs="Calibri"/>
                <w:sz w:val="20"/>
                <w:szCs w:val="22"/>
                <w:lang w:eastAsia="en-US"/>
              </w:rPr>
              <w:t>17.7</w:t>
            </w:r>
          </w:p>
        </w:tc>
        <w:tc>
          <w:tcPr>
            <w:tcW w:w="2268" w:type="dxa"/>
          </w:tcPr>
          <w:p w14:paraId="059ADE06" w14:textId="77777777" w:rsidR="00166393" w:rsidRPr="00166393" w:rsidRDefault="00166393" w:rsidP="00166393">
            <w:pPr>
              <w:spacing w:after="160" w:line="256" w:lineRule="auto"/>
              <w:jc w:val="center"/>
              <w:rPr>
                <w:rFonts w:asciiTheme="minorHAnsi" w:eastAsiaTheme="minorHAnsi" w:hAnsiTheme="minorHAnsi" w:cs="Calibri"/>
                <w:sz w:val="20"/>
                <w:szCs w:val="22"/>
                <w:lang w:eastAsia="en-US"/>
              </w:rPr>
            </w:pPr>
            <w:r w:rsidRPr="00166393">
              <w:rPr>
                <w:rFonts w:asciiTheme="minorHAnsi" w:hAnsiTheme="minorHAnsi" w:cs="Calibri"/>
                <w:sz w:val="20"/>
                <w:szCs w:val="22"/>
                <w:lang w:eastAsia="en-US"/>
              </w:rPr>
              <w:t>7.6</w:t>
            </w:r>
          </w:p>
        </w:tc>
      </w:tr>
      <w:tr w:rsidR="00166393" w:rsidRPr="00166393" w14:paraId="1522F35F" w14:textId="77777777" w:rsidTr="00366FF8">
        <w:tc>
          <w:tcPr>
            <w:tcW w:w="2268" w:type="dxa"/>
          </w:tcPr>
          <w:p w14:paraId="52A3FDB1"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USA (Caucasian)</w:t>
            </w:r>
          </w:p>
        </w:tc>
        <w:tc>
          <w:tcPr>
            <w:tcW w:w="1740" w:type="dxa"/>
          </w:tcPr>
          <w:p w14:paraId="78486263"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16.1</w:t>
            </w:r>
          </w:p>
        </w:tc>
        <w:tc>
          <w:tcPr>
            <w:tcW w:w="2268" w:type="dxa"/>
          </w:tcPr>
          <w:p w14:paraId="0BF3702C"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7.5</w:t>
            </w:r>
          </w:p>
        </w:tc>
      </w:tr>
      <w:tr w:rsidR="00166393" w:rsidRPr="00166393" w14:paraId="62F8180D" w14:textId="77777777" w:rsidTr="00366FF8">
        <w:tc>
          <w:tcPr>
            <w:tcW w:w="2268" w:type="dxa"/>
          </w:tcPr>
          <w:p w14:paraId="78DF3D81" w14:textId="77777777" w:rsidR="00166393" w:rsidRPr="00166393" w:rsidRDefault="00166393" w:rsidP="00166393">
            <w:pPr>
              <w:spacing w:after="160" w:line="256" w:lineRule="auto"/>
              <w:rPr>
                <w:rFonts w:asciiTheme="minorHAnsi" w:eastAsiaTheme="minorHAnsi" w:hAnsiTheme="minorHAnsi" w:cs="Calibri"/>
                <w:sz w:val="20"/>
                <w:szCs w:val="22"/>
                <w:lang w:eastAsia="en-US"/>
              </w:rPr>
            </w:pPr>
            <w:r w:rsidRPr="00166393">
              <w:rPr>
                <w:rFonts w:asciiTheme="minorHAnsi" w:hAnsiTheme="minorHAnsi" w:cs="Calibri"/>
                <w:sz w:val="20"/>
                <w:szCs w:val="22"/>
                <w:lang w:eastAsia="en-US"/>
              </w:rPr>
              <w:t xml:space="preserve">Turkey </w:t>
            </w:r>
          </w:p>
        </w:tc>
        <w:tc>
          <w:tcPr>
            <w:tcW w:w="1740" w:type="dxa"/>
          </w:tcPr>
          <w:p w14:paraId="27476E55" w14:textId="77777777" w:rsidR="00166393" w:rsidRPr="00166393" w:rsidRDefault="00166393" w:rsidP="00166393">
            <w:pPr>
              <w:spacing w:after="160" w:line="256" w:lineRule="auto"/>
              <w:jc w:val="center"/>
              <w:rPr>
                <w:rFonts w:asciiTheme="minorHAnsi" w:eastAsiaTheme="minorHAnsi" w:hAnsiTheme="minorHAnsi" w:cs="Calibri"/>
                <w:sz w:val="20"/>
                <w:szCs w:val="22"/>
                <w:lang w:eastAsia="en-US"/>
              </w:rPr>
            </w:pPr>
            <w:r w:rsidRPr="00166393">
              <w:rPr>
                <w:rFonts w:asciiTheme="minorHAnsi" w:hAnsiTheme="minorHAnsi" w:cs="Calibri"/>
                <w:sz w:val="20"/>
                <w:szCs w:val="22"/>
                <w:lang w:eastAsia="en-US"/>
              </w:rPr>
              <w:t>15.9</w:t>
            </w:r>
          </w:p>
        </w:tc>
        <w:tc>
          <w:tcPr>
            <w:tcW w:w="2268" w:type="dxa"/>
          </w:tcPr>
          <w:p w14:paraId="7A607F14" w14:textId="77777777" w:rsidR="00166393" w:rsidRPr="00166393" w:rsidRDefault="00166393" w:rsidP="00166393">
            <w:pPr>
              <w:spacing w:after="160" w:line="256" w:lineRule="auto"/>
              <w:jc w:val="center"/>
              <w:rPr>
                <w:rFonts w:asciiTheme="minorHAnsi" w:eastAsiaTheme="minorHAnsi" w:hAnsiTheme="minorHAnsi" w:cs="Calibri"/>
                <w:sz w:val="20"/>
                <w:szCs w:val="22"/>
                <w:lang w:eastAsia="en-US"/>
              </w:rPr>
            </w:pPr>
            <w:r w:rsidRPr="00166393">
              <w:rPr>
                <w:rFonts w:asciiTheme="minorHAnsi" w:hAnsiTheme="minorHAnsi" w:cs="Calibri"/>
                <w:sz w:val="20"/>
                <w:szCs w:val="22"/>
                <w:lang w:eastAsia="en-US"/>
              </w:rPr>
              <w:t>3.6</w:t>
            </w:r>
          </w:p>
        </w:tc>
      </w:tr>
      <w:tr w:rsidR="00166393" w:rsidRPr="00166393" w14:paraId="7471CA73" w14:textId="77777777" w:rsidTr="00366FF8">
        <w:tc>
          <w:tcPr>
            <w:tcW w:w="2268" w:type="dxa"/>
          </w:tcPr>
          <w:p w14:paraId="62BF993D"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Canada</w:t>
            </w:r>
          </w:p>
        </w:tc>
        <w:tc>
          <w:tcPr>
            <w:tcW w:w="1740" w:type="dxa"/>
          </w:tcPr>
          <w:p w14:paraId="6B66B64A"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15.5</w:t>
            </w:r>
          </w:p>
        </w:tc>
        <w:tc>
          <w:tcPr>
            <w:tcW w:w="2268" w:type="dxa"/>
          </w:tcPr>
          <w:p w14:paraId="5E6C1BC2"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5.8</w:t>
            </w:r>
          </w:p>
        </w:tc>
      </w:tr>
      <w:tr w:rsidR="00166393" w:rsidRPr="00166393" w14:paraId="5915C35D" w14:textId="77777777" w:rsidTr="00366FF8">
        <w:tc>
          <w:tcPr>
            <w:tcW w:w="2268" w:type="dxa"/>
          </w:tcPr>
          <w:p w14:paraId="4C7089F9"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Greece</w:t>
            </w:r>
          </w:p>
        </w:tc>
        <w:tc>
          <w:tcPr>
            <w:tcW w:w="1740" w:type="dxa"/>
          </w:tcPr>
          <w:p w14:paraId="1469FA63"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15.4</w:t>
            </w:r>
          </w:p>
        </w:tc>
        <w:tc>
          <w:tcPr>
            <w:tcW w:w="2268" w:type="dxa"/>
          </w:tcPr>
          <w:p w14:paraId="40B77524"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6.8</w:t>
            </w:r>
          </w:p>
        </w:tc>
      </w:tr>
      <w:tr w:rsidR="00166393" w:rsidRPr="00166393" w14:paraId="47143DAD" w14:textId="77777777" w:rsidTr="00366FF8">
        <w:tc>
          <w:tcPr>
            <w:tcW w:w="2268" w:type="dxa"/>
          </w:tcPr>
          <w:p w14:paraId="32F4A618" w14:textId="77777777" w:rsidR="00166393" w:rsidRPr="00166393" w:rsidRDefault="00166393" w:rsidP="00166393">
            <w:pPr>
              <w:spacing w:after="160" w:line="256" w:lineRule="auto"/>
              <w:rPr>
                <w:rFonts w:asciiTheme="minorHAnsi" w:hAnsiTheme="minorHAnsi" w:cs="Calibri"/>
                <w:sz w:val="20"/>
                <w:szCs w:val="22"/>
                <w:lang w:eastAsia="en-US"/>
              </w:rPr>
            </w:pPr>
            <w:r w:rsidRPr="00166393">
              <w:rPr>
                <w:rFonts w:asciiTheme="minorHAnsi" w:hAnsiTheme="minorHAnsi" w:cs="Calibri"/>
                <w:sz w:val="20"/>
                <w:szCs w:val="22"/>
                <w:lang w:val="sv-SE" w:eastAsia="en-US"/>
              </w:rPr>
              <w:t>Uzbekistan</w:t>
            </w:r>
          </w:p>
        </w:tc>
        <w:tc>
          <w:tcPr>
            <w:tcW w:w="1740" w:type="dxa"/>
          </w:tcPr>
          <w:p w14:paraId="6E94C25B" w14:textId="77777777" w:rsidR="00166393" w:rsidRPr="00166393" w:rsidRDefault="00166393" w:rsidP="00166393">
            <w:pPr>
              <w:spacing w:after="160" w:line="256" w:lineRule="auto"/>
              <w:jc w:val="center"/>
              <w:rPr>
                <w:rFonts w:asciiTheme="minorHAnsi" w:hAnsiTheme="minorHAnsi" w:cs="Calibri"/>
                <w:sz w:val="20"/>
                <w:szCs w:val="22"/>
                <w:lang w:eastAsia="en-US"/>
              </w:rPr>
            </w:pPr>
            <w:r w:rsidRPr="00166393">
              <w:rPr>
                <w:rFonts w:asciiTheme="minorHAnsi" w:hAnsiTheme="minorHAnsi" w:cs="Calibri"/>
                <w:sz w:val="20"/>
                <w:szCs w:val="22"/>
                <w:lang w:val="sv-SE" w:eastAsia="en-US"/>
              </w:rPr>
              <w:t>14.7</w:t>
            </w:r>
          </w:p>
        </w:tc>
        <w:tc>
          <w:tcPr>
            <w:tcW w:w="2268" w:type="dxa"/>
          </w:tcPr>
          <w:p w14:paraId="5BF0FC84" w14:textId="77777777" w:rsidR="00166393" w:rsidRPr="00166393" w:rsidRDefault="00166393" w:rsidP="00166393">
            <w:pPr>
              <w:spacing w:after="160" w:line="256" w:lineRule="auto"/>
              <w:jc w:val="center"/>
              <w:rPr>
                <w:rFonts w:asciiTheme="minorHAnsi" w:hAnsiTheme="minorHAnsi" w:cs="Calibri"/>
                <w:sz w:val="20"/>
                <w:szCs w:val="22"/>
                <w:lang w:eastAsia="en-US"/>
              </w:rPr>
            </w:pPr>
            <w:r w:rsidRPr="00166393">
              <w:rPr>
                <w:rFonts w:asciiTheme="minorHAnsi" w:hAnsiTheme="minorHAnsi" w:cs="Calibri"/>
                <w:sz w:val="20"/>
                <w:szCs w:val="22"/>
                <w:lang w:val="sv-SE" w:eastAsia="en-US"/>
              </w:rPr>
              <w:t>8.7</w:t>
            </w:r>
          </w:p>
        </w:tc>
      </w:tr>
      <w:tr w:rsidR="00166393" w:rsidRPr="00166393" w14:paraId="6A4F9899" w14:textId="77777777" w:rsidTr="00366FF8">
        <w:tc>
          <w:tcPr>
            <w:tcW w:w="2268" w:type="dxa"/>
          </w:tcPr>
          <w:p w14:paraId="6E8EFB00"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UK</w:t>
            </w:r>
          </w:p>
        </w:tc>
        <w:tc>
          <w:tcPr>
            <w:tcW w:w="1740" w:type="dxa"/>
          </w:tcPr>
          <w:p w14:paraId="7E401114"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14.4</w:t>
            </w:r>
          </w:p>
        </w:tc>
        <w:tc>
          <w:tcPr>
            <w:tcW w:w="2268" w:type="dxa"/>
          </w:tcPr>
          <w:p w14:paraId="7ADC23A0"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5.0</w:t>
            </w:r>
          </w:p>
        </w:tc>
      </w:tr>
      <w:tr w:rsidR="00166393" w:rsidRPr="00166393" w14:paraId="283390C9" w14:textId="77777777" w:rsidTr="00366FF8">
        <w:tc>
          <w:tcPr>
            <w:tcW w:w="2268" w:type="dxa"/>
          </w:tcPr>
          <w:p w14:paraId="0A9E1FF2" w14:textId="77777777"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Germany</w:t>
            </w:r>
          </w:p>
        </w:tc>
        <w:tc>
          <w:tcPr>
            <w:tcW w:w="1740" w:type="dxa"/>
          </w:tcPr>
          <w:p w14:paraId="6F3C2BC7"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14.2</w:t>
            </w:r>
          </w:p>
        </w:tc>
        <w:tc>
          <w:tcPr>
            <w:tcW w:w="2268" w:type="dxa"/>
          </w:tcPr>
          <w:p w14:paraId="72685937"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5.3</w:t>
            </w:r>
          </w:p>
        </w:tc>
      </w:tr>
      <w:tr w:rsidR="00166393" w:rsidRPr="00166393" w14:paraId="4738C58A" w14:textId="77777777" w:rsidTr="00366FF8">
        <w:tc>
          <w:tcPr>
            <w:tcW w:w="2268" w:type="dxa"/>
          </w:tcPr>
          <w:p w14:paraId="5D4647F5"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Portugal</w:t>
            </w:r>
          </w:p>
        </w:tc>
        <w:tc>
          <w:tcPr>
            <w:tcW w:w="1740" w:type="dxa"/>
          </w:tcPr>
          <w:p w14:paraId="6C437325"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13.7</w:t>
            </w:r>
          </w:p>
        </w:tc>
        <w:tc>
          <w:tcPr>
            <w:tcW w:w="2268" w:type="dxa"/>
          </w:tcPr>
          <w:p w14:paraId="72A536EB"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4.8</w:t>
            </w:r>
          </w:p>
        </w:tc>
      </w:tr>
      <w:tr w:rsidR="00166393" w:rsidRPr="00166393" w14:paraId="606117F2" w14:textId="77777777" w:rsidTr="00366FF8">
        <w:tc>
          <w:tcPr>
            <w:tcW w:w="2268" w:type="dxa"/>
          </w:tcPr>
          <w:p w14:paraId="67FF15D3"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Finland</w:t>
            </w:r>
          </w:p>
        </w:tc>
        <w:tc>
          <w:tcPr>
            <w:tcW w:w="1740" w:type="dxa"/>
          </w:tcPr>
          <w:p w14:paraId="3FF51F90"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12.9</w:t>
            </w:r>
          </w:p>
        </w:tc>
        <w:tc>
          <w:tcPr>
            <w:tcW w:w="2268" w:type="dxa"/>
          </w:tcPr>
          <w:p w14:paraId="39C89DF8"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6.0</w:t>
            </w:r>
          </w:p>
        </w:tc>
      </w:tr>
      <w:tr w:rsidR="00166393" w:rsidRPr="00166393" w14:paraId="277FB210" w14:textId="77777777" w:rsidTr="00366FF8">
        <w:tc>
          <w:tcPr>
            <w:tcW w:w="2268" w:type="dxa"/>
          </w:tcPr>
          <w:p w14:paraId="07E08B7D"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Kazakhstan</w:t>
            </w:r>
          </w:p>
        </w:tc>
        <w:tc>
          <w:tcPr>
            <w:tcW w:w="1740" w:type="dxa"/>
          </w:tcPr>
          <w:p w14:paraId="4C53F574"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12.6</w:t>
            </w:r>
          </w:p>
        </w:tc>
        <w:tc>
          <w:tcPr>
            <w:tcW w:w="2268" w:type="dxa"/>
          </w:tcPr>
          <w:p w14:paraId="4BFC4213"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6.0</w:t>
            </w:r>
          </w:p>
        </w:tc>
      </w:tr>
      <w:tr w:rsidR="00166393" w:rsidRPr="00166393" w14:paraId="5B6C8303" w14:textId="77777777" w:rsidTr="00366FF8">
        <w:tc>
          <w:tcPr>
            <w:tcW w:w="2268" w:type="dxa"/>
          </w:tcPr>
          <w:p w14:paraId="68DEDD83"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Spain</w:t>
            </w:r>
          </w:p>
        </w:tc>
        <w:tc>
          <w:tcPr>
            <w:tcW w:w="1740" w:type="dxa"/>
          </w:tcPr>
          <w:p w14:paraId="48E4D24A"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12.6</w:t>
            </w:r>
          </w:p>
        </w:tc>
        <w:tc>
          <w:tcPr>
            <w:tcW w:w="2268" w:type="dxa"/>
          </w:tcPr>
          <w:p w14:paraId="0D6449B6"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4.2</w:t>
            </w:r>
          </w:p>
        </w:tc>
      </w:tr>
      <w:tr w:rsidR="00166393" w:rsidRPr="00166393" w14:paraId="50E87390" w14:textId="77777777" w:rsidTr="00366FF8">
        <w:tc>
          <w:tcPr>
            <w:tcW w:w="2268" w:type="dxa"/>
          </w:tcPr>
          <w:p w14:paraId="6CEAF742" w14:textId="77777777"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Netherlands</w:t>
            </w:r>
          </w:p>
        </w:tc>
        <w:tc>
          <w:tcPr>
            <w:tcW w:w="1740" w:type="dxa"/>
          </w:tcPr>
          <w:p w14:paraId="0D1C91C5"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12.5</w:t>
            </w:r>
          </w:p>
        </w:tc>
        <w:tc>
          <w:tcPr>
            <w:tcW w:w="2268" w:type="dxa"/>
          </w:tcPr>
          <w:p w14:paraId="1C10F089"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5.4</w:t>
            </w:r>
          </w:p>
        </w:tc>
      </w:tr>
      <w:tr w:rsidR="00166393" w:rsidRPr="00166393" w14:paraId="0057A398" w14:textId="77777777" w:rsidTr="00366FF8">
        <w:tc>
          <w:tcPr>
            <w:tcW w:w="2268" w:type="dxa"/>
          </w:tcPr>
          <w:p w14:paraId="00A63335" w14:textId="77777777"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 xml:space="preserve">Singapore (Indian) </w:t>
            </w:r>
          </w:p>
        </w:tc>
        <w:tc>
          <w:tcPr>
            <w:tcW w:w="1740" w:type="dxa"/>
          </w:tcPr>
          <w:p w14:paraId="03072E35"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12.5</w:t>
            </w:r>
          </w:p>
        </w:tc>
        <w:tc>
          <w:tcPr>
            <w:tcW w:w="2268" w:type="dxa"/>
          </w:tcPr>
          <w:p w14:paraId="45845257"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5.2</w:t>
            </w:r>
          </w:p>
        </w:tc>
      </w:tr>
      <w:tr w:rsidR="00166393" w:rsidRPr="00166393" w14:paraId="64E183C1" w14:textId="77777777" w:rsidTr="00366FF8">
        <w:tc>
          <w:tcPr>
            <w:tcW w:w="2268" w:type="dxa"/>
          </w:tcPr>
          <w:p w14:paraId="7C1971C1"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Bulgaria</w:t>
            </w:r>
          </w:p>
        </w:tc>
        <w:tc>
          <w:tcPr>
            <w:tcW w:w="1740" w:type="dxa"/>
          </w:tcPr>
          <w:p w14:paraId="772DF02C"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11.2</w:t>
            </w:r>
          </w:p>
        </w:tc>
        <w:tc>
          <w:tcPr>
            <w:tcW w:w="2268" w:type="dxa"/>
          </w:tcPr>
          <w:p w14:paraId="3863B9F3"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4.4</w:t>
            </w:r>
          </w:p>
        </w:tc>
      </w:tr>
      <w:tr w:rsidR="00343FF3" w:rsidRPr="00166393" w14:paraId="432E8042" w14:textId="77777777" w:rsidTr="00366FF8">
        <w:tc>
          <w:tcPr>
            <w:tcW w:w="2268" w:type="dxa"/>
          </w:tcPr>
          <w:p w14:paraId="45BD1EDD" w14:textId="4200A7A6" w:rsidR="00343FF3" w:rsidRPr="00166393" w:rsidRDefault="00343FF3" w:rsidP="00343FF3">
            <w:pPr>
              <w:spacing w:after="160" w:line="256" w:lineRule="auto"/>
              <w:rPr>
                <w:rFonts w:asciiTheme="minorHAnsi" w:hAnsiTheme="minorHAnsi" w:cs="Calibri"/>
                <w:sz w:val="20"/>
                <w:szCs w:val="22"/>
                <w:lang w:eastAsia="en-US"/>
              </w:rPr>
            </w:pPr>
            <w:r>
              <w:rPr>
                <w:rFonts w:asciiTheme="minorHAnsi" w:hAnsiTheme="minorHAnsi" w:cs="Calibri"/>
                <w:sz w:val="20"/>
                <w:szCs w:val="22"/>
                <w:lang w:val="sv-SE" w:eastAsia="en-US"/>
              </w:rPr>
              <w:t>Qatar*</w:t>
            </w:r>
          </w:p>
        </w:tc>
        <w:tc>
          <w:tcPr>
            <w:tcW w:w="1740" w:type="dxa"/>
          </w:tcPr>
          <w:p w14:paraId="0355D19D" w14:textId="11389EA7" w:rsidR="00343FF3" w:rsidRPr="00166393" w:rsidRDefault="00343FF3" w:rsidP="00343FF3">
            <w:pPr>
              <w:spacing w:after="160" w:line="256" w:lineRule="auto"/>
              <w:jc w:val="center"/>
              <w:rPr>
                <w:rFonts w:asciiTheme="minorHAnsi" w:hAnsiTheme="minorHAnsi" w:cs="Calibri"/>
                <w:sz w:val="20"/>
                <w:szCs w:val="22"/>
                <w:lang w:eastAsia="en-US"/>
              </w:rPr>
            </w:pPr>
            <w:r>
              <w:rPr>
                <w:rFonts w:asciiTheme="minorHAnsi" w:hAnsiTheme="minorHAnsi" w:cs="Calibri"/>
                <w:sz w:val="20"/>
                <w:szCs w:val="22"/>
                <w:lang w:val="sv-SE" w:eastAsia="en-US"/>
              </w:rPr>
              <w:t>11.0</w:t>
            </w:r>
          </w:p>
        </w:tc>
        <w:tc>
          <w:tcPr>
            <w:tcW w:w="2268" w:type="dxa"/>
          </w:tcPr>
          <w:p w14:paraId="0E5738E6" w14:textId="442B32E0" w:rsidR="00343FF3" w:rsidRPr="00166393" w:rsidRDefault="00343FF3" w:rsidP="00343FF3">
            <w:pPr>
              <w:spacing w:after="160" w:line="256" w:lineRule="auto"/>
              <w:jc w:val="center"/>
              <w:rPr>
                <w:rFonts w:asciiTheme="minorHAnsi" w:hAnsiTheme="minorHAnsi" w:cs="Calibri"/>
                <w:sz w:val="20"/>
                <w:szCs w:val="22"/>
                <w:lang w:eastAsia="en-US"/>
              </w:rPr>
            </w:pPr>
            <w:r>
              <w:rPr>
                <w:rFonts w:asciiTheme="minorHAnsi" w:hAnsiTheme="minorHAnsi" w:cs="Calibri"/>
                <w:sz w:val="20"/>
                <w:szCs w:val="22"/>
                <w:lang w:val="sv-SE" w:eastAsia="en-US"/>
              </w:rPr>
              <w:t>8.8</w:t>
            </w:r>
          </w:p>
        </w:tc>
      </w:tr>
      <w:tr w:rsidR="00166393" w:rsidRPr="00166393" w14:paraId="641AB896" w14:textId="77777777" w:rsidTr="00366FF8">
        <w:tc>
          <w:tcPr>
            <w:tcW w:w="2268" w:type="dxa"/>
          </w:tcPr>
          <w:p w14:paraId="3A887335"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Hungary</w:t>
            </w:r>
          </w:p>
        </w:tc>
        <w:tc>
          <w:tcPr>
            <w:tcW w:w="1740" w:type="dxa"/>
          </w:tcPr>
          <w:p w14:paraId="1FB887E8"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10.8</w:t>
            </w:r>
          </w:p>
        </w:tc>
        <w:tc>
          <w:tcPr>
            <w:tcW w:w="2268" w:type="dxa"/>
          </w:tcPr>
          <w:p w14:paraId="054285FC"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4.2</w:t>
            </w:r>
          </w:p>
        </w:tc>
      </w:tr>
      <w:tr w:rsidR="00166393" w:rsidRPr="00166393" w14:paraId="5F019774" w14:textId="77777777" w:rsidTr="00366FF8">
        <w:tc>
          <w:tcPr>
            <w:tcW w:w="2268" w:type="dxa"/>
          </w:tcPr>
          <w:p w14:paraId="70283A7D"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 xml:space="preserve">Poland </w:t>
            </w:r>
          </w:p>
        </w:tc>
        <w:tc>
          <w:tcPr>
            <w:tcW w:w="1740" w:type="dxa"/>
          </w:tcPr>
          <w:p w14:paraId="5258D21B"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10.1</w:t>
            </w:r>
          </w:p>
        </w:tc>
        <w:tc>
          <w:tcPr>
            <w:tcW w:w="2268" w:type="dxa"/>
          </w:tcPr>
          <w:p w14:paraId="34814A06"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4.2</w:t>
            </w:r>
          </w:p>
        </w:tc>
      </w:tr>
      <w:tr w:rsidR="00166393" w:rsidRPr="00166393" w14:paraId="6D62F8C0" w14:textId="77777777" w:rsidTr="00366FF8">
        <w:tc>
          <w:tcPr>
            <w:tcW w:w="2268" w:type="dxa"/>
          </w:tcPr>
          <w:p w14:paraId="5B1C1DB9"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 xml:space="preserve">Moldova </w:t>
            </w:r>
          </w:p>
        </w:tc>
        <w:tc>
          <w:tcPr>
            <w:tcW w:w="1740" w:type="dxa"/>
          </w:tcPr>
          <w:p w14:paraId="60AD2137"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9.3</w:t>
            </w:r>
          </w:p>
        </w:tc>
        <w:tc>
          <w:tcPr>
            <w:tcW w:w="2268" w:type="dxa"/>
          </w:tcPr>
          <w:p w14:paraId="6CE0211B"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5.7</w:t>
            </w:r>
          </w:p>
        </w:tc>
      </w:tr>
      <w:tr w:rsidR="00166393" w:rsidRPr="00166393" w14:paraId="07375A60" w14:textId="77777777" w:rsidTr="00366FF8">
        <w:tc>
          <w:tcPr>
            <w:tcW w:w="2268" w:type="dxa"/>
          </w:tcPr>
          <w:p w14:paraId="08EDC5FB" w14:textId="77777777"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Kuwait</w:t>
            </w:r>
          </w:p>
        </w:tc>
        <w:tc>
          <w:tcPr>
            <w:tcW w:w="1740" w:type="dxa"/>
          </w:tcPr>
          <w:p w14:paraId="24D0D4C6"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9.2</w:t>
            </w:r>
          </w:p>
        </w:tc>
        <w:tc>
          <w:tcPr>
            <w:tcW w:w="2268" w:type="dxa"/>
          </w:tcPr>
          <w:p w14:paraId="7A7F784F"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7.6</w:t>
            </w:r>
          </w:p>
        </w:tc>
      </w:tr>
      <w:tr w:rsidR="00166393" w:rsidRPr="00166393" w14:paraId="35BA9763" w14:textId="77777777" w:rsidTr="00366FF8">
        <w:tc>
          <w:tcPr>
            <w:tcW w:w="2268" w:type="dxa"/>
          </w:tcPr>
          <w:p w14:paraId="7192C919" w14:textId="77777777"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Abu Dhabi</w:t>
            </w:r>
          </w:p>
        </w:tc>
        <w:tc>
          <w:tcPr>
            <w:tcW w:w="1740" w:type="dxa"/>
          </w:tcPr>
          <w:p w14:paraId="2739B513"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8.9</w:t>
            </w:r>
          </w:p>
        </w:tc>
        <w:tc>
          <w:tcPr>
            <w:tcW w:w="2268" w:type="dxa"/>
          </w:tcPr>
          <w:p w14:paraId="6BE47071"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8.1</w:t>
            </w:r>
          </w:p>
        </w:tc>
      </w:tr>
      <w:tr w:rsidR="00166393" w:rsidRPr="00166393" w14:paraId="0303C46E" w14:textId="77777777" w:rsidTr="00366FF8">
        <w:tc>
          <w:tcPr>
            <w:tcW w:w="2268" w:type="dxa"/>
          </w:tcPr>
          <w:p w14:paraId="524E8003" w14:textId="77777777"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Iran</w:t>
            </w:r>
          </w:p>
        </w:tc>
        <w:tc>
          <w:tcPr>
            <w:tcW w:w="1740" w:type="dxa"/>
          </w:tcPr>
          <w:p w14:paraId="2891E522"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8.3</w:t>
            </w:r>
          </w:p>
        </w:tc>
        <w:tc>
          <w:tcPr>
            <w:tcW w:w="2268" w:type="dxa"/>
          </w:tcPr>
          <w:p w14:paraId="00100E5D"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5.5</w:t>
            </w:r>
          </w:p>
        </w:tc>
      </w:tr>
      <w:tr w:rsidR="00166393" w:rsidRPr="00166393" w14:paraId="050607FD" w14:textId="77777777" w:rsidTr="00366FF8">
        <w:tc>
          <w:tcPr>
            <w:tcW w:w="2268" w:type="dxa"/>
          </w:tcPr>
          <w:p w14:paraId="42935DBE" w14:textId="77777777" w:rsidR="00166393" w:rsidRPr="00166393" w:rsidRDefault="00166393" w:rsidP="00166393">
            <w:pPr>
              <w:spacing w:after="160" w:line="256" w:lineRule="auto"/>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 xml:space="preserve">Russia </w:t>
            </w:r>
          </w:p>
        </w:tc>
        <w:tc>
          <w:tcPr>
            <w:tcW w:w="1740" w:type="dxa"/>
          </w:tcPr>
          <w:p w14:paraId="2A8028D8"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7.7</w:t>
            </w:r>
          </w:p>
        </w:tc>
        <w:tc>
          <w:tcPr>
            <w:tcW w:w="2268" w:type="dxa"/>
          </w:tcPr>
          <w:p w14:paraId="11ABC089" w14:textId="77777777" w:rsidR="00166393" w:rsidRPr="00166393" w:rsidRDefault="00166393" w:rsidP="00166393">
            <w:pPr>
              <w:spacing w:after="160" w:line="256" w:lineRule="auto"/>
              <w:jc w:val="center"/>
              <w:rPr>
                <w:rFonts w:asciiTheme="minorHAnsi" w:eastAsia="MS Mincho" w:hAnsiTheme="minorHAnsi" w:cs="Calibri"/>
                <w:sz w:val="20"/>
                <w:szCs w:val="22"/>
                <w:lang w:eastAsia="ja-JP"/>
              </w:rPr>
            </w:pPr>
            <w:r w:rsidRPr="00166393">
              <w:rPr>
                <w:rFonts w:asciiTheme="minorHAnsi" w:hAnsiTheme="minorHAnsi" w:cs="Calibri"/>
                <w:sz w:val="20"/>
                <w:szCs w:val="22"/>
                <w:lang w:eastAsia="en-US"/>
              </w:rPr>
              <w:t>3.8</w:t>
            </w:r>
          </w:p>
        </w:tc>
      </w:tr>
      <w:tr w:rsidR="00166393" w:rsidRPr="00166393" w14:paraId="787BCADC" w14:textId="77777777" w:rsidTr="00366FF8">
        <w:tc>
          <w:tcPr>
            <w:tcW w:w="2268" w:type="dxa"/>
            <w:tcBorders>
              <w:bottom w:val="nil"/>
            </w:tcBorders>
          </w:tcPr>
          <w:p w14:paraId="536D1B93" w14:textId="77777777" w:rsidR="00166393" w:rsidRPr="00166393" w:rsidRDefault="00166393" w:rsidP="00166393">
            <w:pPr>
              <w:spacing w:after="160" w:line="256" w:lineRule="auto"/>
              <w:rPr>
                <w:rFonts w:asciiTheme="minorHAnsi" w:hAnsiTheme="minorHAnsi" w:cs="Calibri"/>
                <w:sz w:val="20"/>
                <w:szCs w:val="22"/>
                <w:lang w:eastAsia="en-US"/>
              </w:rPr>
            </w:pPr>
            <w:r w:rsidRPr="00166393">
              <w:rPr>
                <w:rFonts w:asciiTheme="minorHAnsi" w:eastAsia="MS Mincho" w:hAnsiTheme="minorHAnsi" w:cs="Calibri"/>
                <w:sz w:val="20"/>
                <w:szCs w:val="22"/>
                <w:lang w:eastAsia="ja-JP"/>
              </w:rPr>
              <w:t xml:space="preserve">Romania </w:t>
            </w:r>
          </w:p>
        </w:tc>
        <w:tc>
          <w:tcPr>
            <w:tcW w:w="1740" w:type="dxa"/>
            <w:tcBorders>
              <w:bottom w:val="nil"/>
            </w:tcBorders>
          </w:tcPr>
          <w:p w14:paraId="1BC7A5C1" w14:textId="77777777" w:rsidR="00166393" w:rsidRPr="00166393" w:rsidRDefault="00166393" w:rsidP="00166393">
            <w:pPr>
              <w:spacing w:after="160" w:line="256" w:lineRule="auto"/>
              <w:jc w:val="center"/>
              <w:rPr>
                <w:rFonts w:asciiTheme="minorHAnsi" w:hAnsiTheme="minorHAnsi" w:cs="Calibri"/>
                <w:sz w:val="20"/>
                <w:szCs w:val="22"/>
                <w:lang w:eastAsia="en-US"/>
              </w:rPr>
            </w:pPr>
            <w:r w:rsidRPr="00166393">
              <w:rPr>
                <w:rFonts w:asciiTheme="minorHAnsi" w:eastAsia="MS Mincho" w:hAnsiTheme="minorHAnsi" w:cs="Calibri"/>
                <w:sz w:val="20"/>
                <w:szCs w:val="22"/>
                <w:lang w:eastAsia="ja-JP"/>
              </w:rPr>
              <w:t>7.0</w:t>
            </w:r>
          </w:p>
        </w:tc>
        <w:tc>
          <w:tcPr>
            <w:tcW w:w="2268" w:type="dxa"/>
            <w:tcBorders>
              <w:bottom w:val="nil"/>
            </w:tcBorders>
          </w:tcPr>
          <w:p w14:paraId="552E9E4D" w14:textId="77777777" w:rsidR="00166393" w:rsidRPr="00166393" w:rsidRDefault="00166393" w:rsidP="00166393">
            <w:pPr>
              <w:spacing w:after="160" w:line="256" w:lineRule="auto"/>
              <w:jc w:val="center"/>
              <w:rPr>
                <w:rFonts w:asciiTheme="minorHAnsi" w:hAnsiTheme="minorHAnsi" w:cs="Calibri"/>
                <w:sz w:val="20"/>
                <w:szCs w:val="22"/>
                <w:lang w:eastAsia="en-US"/>
              </w:rPr>
            </w:pPr>
            <w:r w:rsidRPr="00166393">
              <w:rPr>
                <w:rFonts w:asciiTheme="minorHAnsi" w:eastAsia="MS Mincho" w:hAnsiTheme="minorHAnsi" w:cs="Calibri"/>
                <w:sz w:val="20"/>
                <w:szCs w:val="22"/>
                <w:lang w:eastAsia="ja-JP"/>
              </w:rPr>
              <w:t>3.8</w:t>
            </w:r>
          </w:p>
        </w:tc>
      </w:tr>
      <w:tr w:rsidR="00166393" w:rsidRPr="00166393" w14:paraId="61D27025" w14:textId="77777777" w:rsidTr="00366FF8">
        <w:tc>
          <w:tcPr>
            <w:tcW w:w="2268" w:type="dxa"/>
            <w:tcBorders>
              <w:bottom w:val="nil"/>
            </w:tcBorders>
          </w:tcPr>
          <w:p w14:paraId="4127F300" w14:textId="77777777" w:rsidR="00166393" w:rsidRPr="00166393" w:rsidRDefault="00166393" w:rsidP="00166393">
            <w:pPr>
              <w:spacing w:after="160" w:line="256" w:lineRule="auto"/>
              <w:rPr>
                <w:rFonts w:asciiTheme="minorHAnsi" w:eastAsia="MS Mincho" w:hAnsiTheme="minorHAnsi" w:cs="Calibri"/>
                <w:sz w:val="20"/>
                <w:szCs w:val="22"/>
                <w:lang w:val="sv-SE" w:eastAsia="ja-JP"/>
              </w:rPr>
            </w:pPr>
            <w:r w:rsidRPr="00166393">
              <w:rPr>
                <w:rFonts w:asciiTheme="minorHAnsi" w:eastAsia="MS Mincho" w:hAnsiTheme="minorHAnsi" w:cs="Calibri"/>
                <w:sz w:val="20"/>
                <w:szCs w:val="22"/>
                <w:lang w:val="sv-SE" w:eastAsia="ja-JP"/>
              </w:rPr>
              <w:t>USA (black)</w:t>
            </w:r>
          </w:p>
        </w:tc>
        <w:tc>
          <w:tcPr>
            <w:tcW w:w="1740" w:type="dxa"/>
            <w:tcBorders>
              <w:bottom w:val="nil"/>
            </w:tcBorders>
          </w:tcPr>
          <w:p w14:paraId="34A21381" w14:textId="77777777" w:rsidR="00166393" w:rsidRPr="00166393" w:rsidRDefault="00166393" w:rsidP="00166393">
            <w:pPr>
              <w:spacing w:after="160" w:line="256" w:lineRule="auto"/>
              <w:jc w:val="center"/>
              <w:rPr>
                <w:rFonts w:asciiTheme="minorHAnsi" w:eastAsia="MS Mincho" w:hAnsiTheme="minorHAnsi" w:cs="Calibri"/>
                <w:sz w:val="20"/>
                <w:szCs w:val="22"/>
                <w:lang w:val="sv-SE" w:eastAsia="ja-JP"/>
              </w:rPr>
            </w:pPr>
            <w:r w:rsidRPr="00166393">
              <w:rPr>
                <w:rFonts w:asciiTheme="minorHAnsi" w:eastAsia="MS Mincho" w:hAnsiTheme="minorHAnsi" w:cs="Calibri"/>
                <w:sz w:val="20"/>
                <w:szCs w:val="22"/>
                <w:lang w:val="sv-SE" w:eastAsia="ja-JP"/>
              </w:rPr>
              <w:t>5.9</w:t>
            </w:r>
          </w:p>
        </w:tc>
        <w:tc>
          <w:tcPr>
            <w:tcW w:w="2268" w:type="dxa"/>
            <w:tcBorders>
              <w:bottom w:val="nil"/>
            </w:tcBorders>
          </w:tcPr>
          <w:p w14:paraId="48D300CC" w14:textId="77777777" w:rsidR="00166393" w:rsidRPr="00166393" w:rsidRDefault="00166393" w:rsidP="00166393">
            <w:pPr>
              <w:spacing w:after="160" w:line="256" w:lineRule="auto"/>
              <w:jc w:val="center"/>
              <w:rPr>
                <w:rFonts w:asciiTheme="minorHAnsi" w:eastAsia="MS Mincho" w:hAnsiTheme="minorHAnsi" w:cs="Calibri"/>
                <w:sz w:val="20"/>
                <w:szCs w:val="22"/>
                <w:lang w:val="sv-SE" w:eastAsia="ja-JP"/>
              </w:rPr>
            </w:pPr>
            <w:r w:rsidRPr="00166393">
              <w:rPr>
                <w:rFonts w:asciiTheme="minorHAnsi" w:eastAsia="MS Mincho" w:hAnsiTheme="minorHAnsi" w:cs="Calibri"/>
                <w:sz w:val="20"/>
                <w:szCs w:val="22"/>
                <w:lang w:val="sv-SE" w:eastAsia="ja-JP"/>
              </w:rPr>
              <w:t>2.7</w:t>
            </w:r>
          </w:p>
        </w:tc>
      </w:tr>
      <w:tr w:rsidR="00166393" w:rsidRPr="00166393" w14:paraId="599C51BF" w14:textId="77777777" w:rsidTr="00366FF8">
        <w:tc>
          <w:tcPr>
            <w:tcW w:w="2268" w:type="dxa"/>
            <w:tcBorders>
              <w:top w:val="nil"/>
              <w:bottom w:val="nil"/>
            </w:tcBorders>
          </w:tcPr>
          <w:p w14:paraId="612513B5" w14:textId="77777777" w:rsidR="00166393" w:rsidRPr="00166393" w:rsidRDefault="00166393" w:rsidP="00166393">
            <w:pPr>
              <w:spacing w:after="160" w:line="256" w:lineRule="auto"/>
              <w:rPr>
                <w:rFonts w:asciiTheme="minorHAnsi" w:hAnsiTheme="minorHAnsi" w:cs="Calibri"/>
                <w:sz w:val="20"/>
                <w:szCs w:val="22"/>
                <w:lang w:eastAsia="en-US"/>
              </w:rPr>
            </w:pPr>
            <w:r w:rsidRPr="00166393">
              <w:rPr>
                <w:rFonts w:asciiTheme="minorHAnsi" w:hAnsiTheme="minorHAnsi" w:cs="Calibri"/>
                <w:sz w:val="20"/>
                <w:szCs w:val="22"/>
                <w:lang w:eastAsia="en-US"/>
              </w:rPr>
              <w:t xml:space="preserve">Ukraine </w:t>
            </w:r>
          </w:p>
        </w:tc>
        <w:tc>
          <w:tcPr>
            <w:tcW w:w="1740" w:type="dxa"/>
            <w:tcBorders>
              <w:top w:val="nil"/>
              <w:bottom w:val="nil"/>
            </w:tcBorders>
          </w:tcPr>
          <w:p w14:paraId="6671DF8B" w14:textId="77777777" w:rsidR="00166393" w:rsidRPr="00166393" w:rsidRDefault="00166393" w:rsidP="00166393">
            <w:pPr>
              <w:spacing w:after="160" w:line="256" w:lineRule="auto"/>
              <w:jc w:val="center"/>
              <w:rPr>
                <w:rFonts w:asciiTheme="minorHAnsi" w:hAnsiTheme="minorHAnsi" w:cs="Calibri"/>
                <w:sz w:val="20"/>
                <w:szCs w:val="22"/>
                <w:lang w:eastAsia="en-US"/>
              </w:rPr>
            </w:pPr>
            <w:r w:rsidRPr="00166393">
              <w:rPr>
                <w:rFonts w:asciiTheme="minorHAnsi" w:hAnsiTheme="minorHAnsi" w:cs="Calibri"/>
                <w:sz w:val="20"/>
                <w:szCs w:val="22"/>
                <w:lang w:eastAsia="en-US"/>
              </w:rPr>
              <w:t>5.6</w:t>
            </w:r>
          </w:p>
        </w:tc>
        <w:tc>
          <w:tcPr>
            <w:tcW w:w="2268" w:type="dxa"/>
            <w:tcBorders>
              <w:top w:val="nil"/>
              <w:bottom w:val="nil"/>
            </w:tcBorders>
          </w:tcPr>
          <w:p w14:paraId="3999BAB4" w14:textId="77777777" w:rsidR="00166393" w:rsidRPr="00166393" w:rsidRDefault="00166393" w:rsidP="00166393">
            <w:pPr>
              <w:spacing w:after="160" w:line="256" w:lineRule="auto"/>
              <w:jc w:val="center"/>
              <w:rPr>
                <w:rFonts w:asciiTheme="minorHAnsi" w:hAnsiTheme="minorHAnsi" w:cs="Calibri"/>
                <w:sz w:val="20"/>
                <w:szCs w:val="22"/>
                <w:lang w:eastAsia="en-US"/>
              </w:rPr>
            </w:pPr>
            <w:r w:rsidRPr="00166393">
              <w:rPr>
                <w:rFonts w:asciiTheme="minorHAnsi" w:hAnsiTheme="minorHAnsi" w:cs="Calibri"/>
                <w:sz w:val="20"/>
                <w:szCs w:val="22"/>
                <w:lang w:eastAsia="en-US"/>
              </w:rPr>
              <w:t>2.9</w:t>
            </w:r>
          </w:p>
        </w:tc>
      </w:tr>
      <w:tr w:rsidR="00343FF3" w:rsidRPr="00166393" w14:paraId="12F3848D" w14:textId="77777777" w:rsidTr="00020E00">
        <w:tc>
          <w:tcPr>
            <w:tcW w:w="2268" w:type="dxa"/>
          </w:tcPr>
          <w:p w14:paraId="0D341A38" w14:textId="761937AD" w:rsidR="00343FF3" w:rsidRPr="00166393" w:rsidRDefault="00343FF3" w:rsidP="00343FF3">
            <w:pPr>
              <w:spacing w:after="160" w:line="256" w:lineRule="auto"/>
              <w:rPr>
                <w:rFonts w:asciiTheme="minorHAnsi" w:hAnsiTheme="minorHAnsi" w:cs="Calibri"/>
                <w:sz w:val="20"/>
                <w:szCs w:val="22"/>
                <w:lang w:eastAsia="en-US"/>
              </w:rPr>
            </w:pPr>
            <w:r>
              <w:rPr>
                <w:rFonts w:asciiTheme="minorHAnsi" w:hAnsiTheme="minorHAnsi" w:cs="Calibri"/>
                <w:sz w:val="20"/>
                <w:szCs w:val="22"/>
                <w:lang w:val="sv-SE" w:eastAsia="en-US"/>
              </w:rPr>
              <w:t>Saudi Arabia**</w:t>
            </w:r>
          </w:p>
        </w:tc>
        <w:tc>
          <w:tcPr>
            <w:tcW w:w="1740" w:type="dxa"/>
          </w:tcPr>
          <w:p w14:paraId="22DE9D27" w14:textId="34A33D46" w:rsidR="00343FF3" w:rsidRPr="00166393" w:rsidRDefault="00343FF3" w:rsidP="00343FF3">
            <w:pPr>
              <w:spacing w:after="160" w:line="256" w:lineRule="auto"/>
              <w:jc w:val="center"/>
              <w:rPr>
                <w:rFonts w:asciiTheme="minorHAnsi" w:hAnsiTheme="minorHAnsi" w:cs="Calibri"/>
                <w:sz w:val="20"/>
                <w:szCs w:val="22"/>
                <w:lang w:eastAsia="en-US"/>
              </w:rPr>
            </w:pPr>
            <w:r>
              <w:rPr>
                <w:rFonts w:asciiTheme="minorHAnsi" w:hAnsiTheme="minorHAnsi" w:cs="Calibri"/>
                <w:sz w:val="20"/>
                <w:szCs w:val="22"/>
                <w:lang w:val="sv-SE" w:eastAsia="en-US"/>
              </w:rPr>
              <w:t>4.6</w:t>
            </w:r>
          </w:p>
        </w:tc>
        <w:tc>
          <w:tcPr>
            <w:tcW w:w="2268" w:type="dxa"/>
          </w:tcPr>
          <w:p w14:paraId="513FAD98" w14:textId="75726E5C" w:rsidR="00343FF3" w:rsidRPr="00166393" w:rsidRDefault="00343FF3" w:rsidP="00343FF3">
            <w:pPr>
              <w:spacing w:after="160" w:line="256" w:lineRule="auto"/>
              <w:jc w:val="center"/>
              <w:rPr>
                <w:rFonts w:asciiTheme="minorHAnsi" w:hAnsiTheme="minorHAnsi" w:cs="Calibri"/>
                <w:sz w:val="20"/>
                <w:szCs w:val="22"/>
                <w:lang w:eastAsia="en-US"/>
              </w:rPr>
            </w:pPr>
            <w:r>
              <w:rPr>
                <w:rFonts w:asciiTheme="minorHAnsi" w:hAnsiTheme="minorHAnsi" w:cs="Calibri"/>
                <w:sz w:val="20"/>
                <w:szCs w:val="22"/>
                <w:lang w:val="sv-SE" w:eastAsia="en-US"/>
              </w:rPr>
              <w:t>3.7</w:t>
            </w:r>
          </w:p>
        </w:tc>
      </w:tr>
      <w:tr w:rsidR="00166393" w:rsidRPr="00166393" w14:paraId="4742F4ED" w14:textId="77777777" w:rsidTr="00366FF8">
        <w:tc>
          <w:tcPr>
            <w:tcW w:w="2268" w:type="dxa"/>
            <w:tcBorders>
              <w:top w:val="nil"/>
              <w:bottom w:val="nil"/>
            </w:tcBorders>
          </w:tcPr>
          <w:p w14:paraId="5CF8FBBB" w14:textId="12832816"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South Africa (</w:t>
            </w:r>
            <w:r w:rsidR="001D7470">
              <w:rPr>
                <w:rFonts w:asciiTheme="minorHAnsi" w:hAnsiTheme="minorHAnsi" w:cs="Calibri"/>
                <w:sz w:val="20"/>
                <w:szCs w:val="22"/>
                <w:lang w:val="sv-SE" w:eastAsia="en-US"/>
              </w:rPr>
              <w:t>Black</w:t>
            </w:r>
            <w:r w:rsidRPr="00166393">
              <w:rPr>
                <w:rFonts w:asciiTheme="minorHAnsi" w:hAnsiTheme="minorHAnsi" w:cs="Calibri"/>
                <w:sz w:val="20"/>
                <w:szCs w:val="22"/>
                <w:lang w:val="sv-SE" w:eastAsia="en-US"/>
              </w:rPr>
              <w:t>)</w:t>
            </w:r>
          </w:p>
        </w:tc>
        <w:tc>
          <w:tcPr>
            <w:tcW w:w="1740" w:type="dxa"/>
            <w:tcBorders>
              <w:top w:val="nil"/>
              <w:bottom w:val="nil"/>
            </w:tcBorders>
          </w:tcPr>
          <w:p w14:paraId="56DE0BA0"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4.5</w:t>
            </w:r>
          </w:p>
        </w:tc>
        <w:tc>
          <w:tcPr>
            <w:tcW w:w="2268" w:type="dxa"/>
            <w:tcBorders>
              <w:top w:val="nil"/>
              <w:bottom w:val="nil"/>
            </w:tcBorders>
          </w:tcPr>
          <w:p w14:paraId="1F70D909"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1.9</w:t>
            </w:r>
          </w:p>
        </w:tc>
      </w:tr>
      <w:tr w:rsidR="00166393" w:rsidRPr="00166393" w14:paraId="56FCB2F7" w14:textId="77777777" w:rsidTr="00366FF8">
        <w:tc>
          <w:tcPr>
            <w:tcW w:w="2268" w:type="dxa"/>
            <w:tcBorders>
              <w:top w:val="nil"/>
              <w:bottom w:val="nil"/>
            </w:tcBorders>
          </w:tcPr>
          <w:p w14:paraId="6EBB0CF3" w14:textId="77777777"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Morocco</w:t>
            </w:r>
          </w:p>
        </w:tc>
        <w:tc>
          <w:tcPr>
            <w:tcW w:w="1740" w:type="dxa"/>
            <w:tcBorders>
              <w:top w:val="nil"/>
              <w:bottom w:val="nil"/>
            </w:tcBorders>
          </w:tcPr>
          <w:p w14:paraId="18ECB2DA"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4.1</w:t>
            </w:r>
          </w:p>
        </w:tc>
        <w:tc>
          <w:tcPr>
            <w:tcW w:w="2268" w:type="dxa"/>
            <w:tcBorders>
              <w:top w:val="nil"/>
              <w:bottom w:val="nil"/>
            </w:tcBorders>
          </w:tcPr>
          <w:p w14:paraId="4B961050"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3.1</w:t>
            </w:r>
          </w:p>
        </w:tc>
      </w:tr>
      <w:tr w:rsidR="00166393" w:rsidRPr="00166393" w14:paraId="6F46F4B2" w14:textId="77777777" w:rsidTr="00366FF8">
        <w:tc>
          <w:tcPr>
            <w:tcW w:w="2268" w:type="dxa"/>
            <w:tcBorders>
              <w:top w:val="nil"/>
              <w:bottom w:val="nil"/>
            </w:tcBorders>
          </w:tcPr>
          <w:p w14:paraId="376A88C5" w14:textId="77777777"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Botswana</w:t>
            </w:r>
          </w:p>
        </w:tc>
        <w:tc>
          <w:tcPr>
            <w:tcW w:w="1740" w:type="dxa"/>
            <w:tcBorders>
              <w:top w:val="nil"/>
              <w:bottom w:val="nil"/>
            </w:tcBorders>
          </w:tcPr>
          <w:p w14:paraId="0D0DBBA5"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1.1</w:t>
            </w:r>
          </w:p>
        </w:tc>
        <w:tc>
          <w:tcPr>
            <w:tcW w:w="2268" w:type="dxa"/>
            <w:tcBorders>
              <w:top w:val="nil"/>
              <w:bottom w:val="nil"/>
            </w:tcBorders>
          </w:tcPr>
          <w:p w14:paraId="62E466C1"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1.4</w:t>
            </w:r>
          </w:p>
        </w:tc>
      </w:tr>
      <w:tr w:rsidR="00166393" w:rsidRPr="00166393" w14:paraId="0FC4930C" w14:textId="77777777" w:rsidTr="00366FF8">
        <w:tc>
          <w:tcPr>
            <w:tcW w:w="2268" w:type="dxa"/>
            <w:tcBorders>
              <w:top w:val="nil"/>
              <w:bottom w:val="nil"/>
            </w:tcBorders>
          </w:tcPr>
          <w:p w14:paraId="102630CD" w14:textId="77777777" w:rsidR="00166393" w:rsidRPr="00166393" w:rsidRDefault="00166393" w:rsidP="00166393">
            <w:pPr>
              <w:spacing w:after="160" w:line="256" w:lineRule="auto"/>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Tunisia</w:t>
            </w:r>
          </w:p>
        </w:tc>
        <w:tc>
          <w:tcPr>
            <w:tcW w:w="1740" w:type="dxa"/>
            <w:tcBorders>
              <w:top w:val="nil"/>
              <w:bottom w:val="nil"/>
            </w:tcBorders>
          </w:tcPr>
          <w:p w14:paraId="242ADDC0"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0.7</w:t>
            </w:r>
          </w:p>
        </w:tc>
        <w:tc>
          <w:tcPr>
            <w:tcW w:w="2268" w:type="dxa"/>
            <w:tcBorders>
              <w:top w:val="nil"/>
              <w:bottom w:val="nil"/>
            </w:tcBorders>
          </w:tcPr>
          <w:p w14:paraId="1B89C7D9" w14:textId="77777777" w:rsidR="00166393" w:rsidRPr="00166393" w:rsidRDefault="00166393" w:rsidP="00166393">
            <w:pPr>
              <w:spacing w:after="160" w:line="256" w:lineRule="auto"/>
              <w:jc w:val="center"/>
              <w:rPr>
                <w:rFonts w:asciiTheme="minorHAnsi" w:hAnsiTheme="minorHAnsi" w:cs="Calibri"/>
                <w:sz w:val="20"/>
                <w:szCs w:val="22"/>
                <w:lang w:val="sv-SE" w:eastAsia="en-US"/>
              </w:rPr>
            </w:pPr>
            <w:r w:rsidRPr="00166393">
              <w:rPr>
                <w:rFonts w:asciiTheme="minorHAnsi" w:hAnsiTheme="minorHAnsi" w:cs="Calibri"/>
                <w:sz w:val="20"/>
                <w:szCs w:val="22"/>
                <w:lang w:val="sv-SE" w:eastAsia="en-US"/>
              </w:rPr>
              <w:t>0.7</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1A00A2" w:rsidRPr="00AA5E91" w14:paraId="5A40ACAB" w14:textId="77777777" w:rsidTr="00777516">
        <w:tc>
          <w:tcPr>
            <w:tcW w:w="8522" w:type="dxa"/>
            <w:tcBorders>
              <w:top w:val="single" w:sz="12" w:space="0" w:color="auto"/>
            </w:tcBorders>
            <w:shd w:val="clear" w:color="auto" w:fill="auto"/>
          </w:tcPr>
          <w:p w14:paraId="7120D28A" w14:textId="39B467EF" w:rsidR="000F5725" w:rsidRPr="00792AC3" w:rsidRDefault="00343FF3" w:rsidP="00C602B4">
            <w:pPr>
              <w:spacing w:before="60" w:after="60"/>
              <w:rPr>
                <w:rFonts w:ascii="Calibri" w:eastAsia="MS Mincho" w:hAnsi="Calibri" w:cs="Calibri"/>
                <w:sz w:val="22"/>
                <w:szCs w:val="22"/>
                <w:lang w:eastAsia="ja-JP"/>
              </w:rPr>
            </w:pPr>
            <w:r w:rsidRPr="00792AC3">
              <w:rPr>
                <w:rFonts w:ascii="Calibri" w:eastAsia="MS Mincho" w:hAnsi="Calibri" w:cs="Calibri"/>
                <w:sz w:val="22"/>
                <w:szCs w:val="22"/>
                <w:lang w:eastAsia="ja-JP"/>
              </w:rPr>
              <w:t xml:space="preserve">* Present </w:t>
            </w:r>
            <w:r w:rsidR="00DE111C" w:rsidRPr="00792AC3">
              <w:rPr>
                <w:rFonts w:ascii="Calibri" w:eastAsia="MS Mincho" w:hAnsi="Calibri" w:cs="Calibri"/>
                <w:sz w:val="22"/>
                <w:szCs w:val="22"/>
                <w:lang w:eastAsia="ja-JP"/>
              </w:rPr>
              <w:t>study;</w:t>
            </w:r>
            <w:r w:rsidRPr="00792AC3">
              <w:rPr>
                <w:rFonts w:ascii="Calibri" w:eastAsia="MS Mincho" w:hAnsi="Calibri" w:cs="Calibri"/>
                <w:sz w:val="22"/>
                <w:szCs w:val="22"/>
                <w:lang w:eastAsia="ja-JP"/>
              </w:rPr>
              <w:t xml:space="preserve"> ** </w:t>
            </w:r>
            <w:r w:rsidR="00214EAA">
              <w:rPr>
                <w:rFonts w:ascii="Calibri" w:eastAsia="MS Mincho" w:hAnsi="Calibri" w:cs="Calibri"/>
                <w:sz w:val="22"/>
                <w:szCs w:val="22"/>
                <w:lang w:eastAsia="ja-JP"/>
              </w:rPr>
              <w:t>JA Kanis, personal communication</w:t>
            </w:r>
          </w:p>
          <w:p w14:paraId="0F375EE8" w14:textId="43AB9D63" w:rsidR="00735C21" w:rsidRPr="00792AC3" w:rsidRDefault="00735C21" w:rsidP="001A00A2">
            <w:pPr>
              <w:spacing w:before="60" w:after="60"/>
              <w:rPr>
                <w:rFonts w:ascii="Calibri" w:eastAsia="MS Mincho" w:hAnsi="Calibri" w:cs="Calibri"/>
                <w:sz w:val="22"/>
                <w:szCs w:val="22"/>
                <w:lang w:eastAsia="ja-JP"/>
              </w:rPr>
            </w:pPr>
          </w:p>
        </w:tc>
      </w:tr>
    </w:tbl>
    <w:p w14:paraId="02FE4CB0" w14:textId="77777777" w:rsidR="001A00A2" w:rsidRPr="00792AC3" w:rsidRDefault="001A00A2" w:rsidP="001A00A2">
      <w:pPr>
        <w:spacing w:line="276" w:lineRule="auto"/>
        <w:ind w:right="1275"/>
        <w:rPr>
          <w:rFonts w:asciiTheme="minorHAnsi" w:eastAsia="Calibri" w:hAnsiTheme="minorHAnsi" w:cstheme="minorHAnsi"/>
          <w:lang w:val="en-GB" w:eastAsia="en-US"/>
        </w:rPr>
      </w:pPr>
    </w:p>
    <w:p w14:paraId="4A8473A0" w14:textId="6BA905CA" w:rsidR="00BD6A1A" w:rsidRPr="008E56E5" w:rsidRDefault="00BD6A1A" w:rsidP="0030661D">
      <w:pPr>
        <w:pStyle w:val="Heading1"/>
        <w:spacing w:line="276" w:lineRule="auto"/>
        <w:ind w:left="567" w:right="1275" w:firstLine="0"/>
        <w:jc w:val="left"/>
        <w:rPr>
          <w:rFonts w:asciiTheme="minorHAnsi" w:hAnsiTheme="minorHAnsi" w:cstheme="minorHAnsi"/>
          <w:b/>
          <w:color w:val="auto"/>
          <w:sz w:val="24"/>
          <w:szCs w:val="24"/>
          <w:lang w:val="en-US"/>
        </w:rPr>
      </w:pPr>
      <w:r w:rsidRPr="008E56E5">
        <w:rPr>
          <w:rFonts w:asciiTheme="minorHAnsi" w:hAnsiTheme="minorHAnsi" w:cstheme="minorHAnsi"/>
          <w:b/>
          <w:color w:val="auto"/>
          <w:sz w:val="24"/>
          <w:szCs w:val="24"/>
          <w:lang w:val="en-US"/>
        </w:rPr>
        <w:t xml:space="preserve">Discussion </w:t>
      </w:r>
    </w:p>
    <w:p w14:paraId="4E500FFE" w14:textId="77777777" w:rsidR="00D1174C" w:rsidRPr="00D22EB2" w:rsidRDefault="00D1174C" w:rsidP="0030661D">
      <w:pPr>
        <w:spacing w:line="276" w:lineRule="auto"/>
        <w:ind w:left="567" w:right="1275"/>
        <w:rPr>
          <w:rFonts w:eastAsia="Calibri"/>
          <w:lang w:val="en-US" w:eastAsia="en-US"/>
        </w:rPr>
      </w:pPr>
    </w:p>
    <w:p w14:paraId="0F901CA9" w14:textId="1843E273" w:rsidR="00BD1612" w:rsidRDefault="00360742" w:rsidP="00BD1612">
      <w:pPr>
        <w:spacing w:line="276" w:lineRule="auto"/>
        <w:ind w:left="567" w:right="1275"/>
        <w:rPr>
          <w:rFonts w:asciiTheme="minorHAnsi" w:hAnsiTheme="minorHAnsi" w:cstheme="minorHAnsi"/>
          <w:lang w:val="en-US"/>
        </w:rPr>
      </w:pPr>
      <w:r w:rsidRPr="00586710">
        <w:rPr>
          <w:rFonts w:asciiTheme="minorHAnsi" w:hAnsiTheme="minorHAnsi" w:cstheme="minorHAnsi"/>
          <w:lang w:val="en-US"/>
        </w:rPr>
        <w:t>This study</w:t>
      </w:r>
      <w:r w:rsidR="00BD6A1A" w:rsidRPr="00586710">
        <w:rPr>
          <w:rFonts w:asciiTheme="minorHAnsi" w:hAnsiTheme="minorHAnsi" w:cstheme="minorHAnsi"/>
          <w:lang w:val="en-US"/>
        </w:rPr>
        <w:t xml:space="preserve"> documented the </w:t>
      </w:r>
      <w:r w:rsidR="00BD6A1A" w:rsidRPr="00F232E7">
        <w:rPr>
          <w:rFonts w:asciiTheme="minorHAnsi" w:hAnsiTheme="minorHAnsi" w:cstheme="minorHAnsi"/>
          <w:lang w:val="en-US"/>
        </w:rPr>
        <w:t>incidence of hip</w:t>
      </w:r>
      <w:r w:rsidR="007355C2" w:rsidRPr="00F232E7">
        <w:rPr>
          <w:rFonts w:asciiTheme="minorHAnsi" w:hAnsiTheme="minorHAnsi" w:cstheme="minorHAnsi"/>
          <w:lang w:val="en-US"/>
        </w:rPr>
        <w:t xml:space="preserve"> </w:t>
      </w:r>
      <w:r w:rsidR="00BD6A1A" w:rsidRPr="00F232E7">
        <w:rPr>
          <w:rFonts w:asciiTheme="minorHAnsi" w:hAnsiTheme="minorHAnsi" w:cstheme="minorHAnsi"/>
          <w:lang w:val="en-US"/>
        </w:rPr>
        <w:t>fracture</w:t>
      </w:r>
      <w:r w:rsidR="00B266CE" w:rsidRPr="00F232E7">
        <w:rPr>
          <w:rFonts w:asciiTheme="minorHAnsi" w:hAnsiTheme="minorHAnsi" w:cstheme="minorHAnsi"/>
          <w:lang w:val="en-US"/>
        </w:rPr>
        <w:t>s</w:t>
      </w:r>
      <w:r w:rsidR="00BD6A1A" w:rsidRPr="00F232E7">
        <w:rPr>
          <w:rFonts w:asciiTheme="minorHAnsi" w:hAnsiTheme="minorHAnsi" w:cstheme="minorHAnsi"/>
          <w:lang w:val="en-US"/>
        </w:rPr>
        <w:t xml:space="preserve"> in </w:t>
      </w:r>
      <w:r w:rsidR="00F210BF" w:rsidRPr="00F232E7">
        <w:rPr>
          <w:rFonts w:asciiTheme="minorHAnsi" w:hAnsiTheme="minorHAnsi" w:cstheme="minorHAnsi"/>
          <w:lang w:val="en-US"/>
        </w:rPr>
        <w:t>Qatar</w:t>
      </w:r>
      <w:r w:rsidR="00E4096A">
        <w:rPr>
          <w:rFonts w:asciiTheme="minorHAnsi" w:hAnsiTheme="minorHAnsi" w:cstheme="minorHAnsi"/>
          <w:lang w:val="en-US"/>
        </w:rPr>
        <w:t xml:space="preserve"> in order to permit the construction of a FRAX model</w:t>
      </w:r>
      <w:r w:rsidR="00475099">
        <w:rPr>
          <w:rFonts w:asciiTheme="minorHAnsi" w:hAnsiTheme="minorHAnsi" w:cstheme="minorHAnsi"/>
          <w:lang w:val="en-US"/>
        </w:rPr>
        <w:t xml:space="preserve">. </w:t>
      </w:r>
      <w:r w:rsidR="002C1B50">
        <w:rPr>
          <w:rFonts w:asciiTheme="minorHAnsi" w:hAnsiTheme="minorHAnsi" w:cstheme="minorHAnsi"/>
          <w:lang w:val="en-US"/>
        </w:rPr>
        <w:t>Qatari citi</w:t>
      </w:r>
      <w:r w:rsidR="00100BD6">
        <w:rPr>
          <w:rFonts w:asciiTheme="minorHAnsi" w:hAnsiTheme="minorHAnsi" w:cstheme="minorHAnsi"/>
          <w:lang w:val="en-US"/>
        </w:rPr>
        <w:t>zens were found to h</w:t>
      </w:r>
      <w:r w:rsidR="00637D40">
        <w:rPr>
          <w:rFonts w:asciiTheme="minorHAnsi" w:hAnsiTheme="minorHAnsi" w:cstheme="minorHAnsi"/>
          <w:lang w:val="en-US"/>
        </w:rPr>
        <w:t>a</w:t>
      </w:r>
      <w:r w:rsidR="00100BD6">
        <w:rPr>
          <w:rFonts w:asciiTheme="minorHAnsi" w:hAnsiTheme="minorHAnsi" w:cstheme="minorHAnsi"/>
          <w:lang w:val="en-US"/>
        </w:rPr>
        <w:t xml:space="preserve">ve a </w:t>
      </w:r>
      <w:r w:rsidR="00637D40">
        <w:rPr>
          <w:rFonts w:asciiTheme="minorHAnsi" w:hAnsiTheme="minorHAnsi" w:cstheme="minorHAnsi"/>
          <w:lang w:val="en-US"/>
        </w:rPr>
        <w:t>lower incidence</w:t>
      </w:r>
      <w:r w:rsidR="005123F1">
        <w:rPr>
          <w:rFonts w:asciiTheme="minorHAnsi" w:hAnsiTheme="minorHAnsi" w:cstheme="minorHAnsi"/>
          <w:lang w:val="en-US"/>
        </w:rPr>
        <w:t xml:space="preserve"> of hip fracture than the expatriate </w:t>
      </w:r>
      <w:r w:rsidR="000037ED">
        <w:rPr>
          <w:rFonts w:asciiTheme="minorHAnsi" w:hAnsiTheme="minorHAnsi" w:cstheme="minorHAnsi"/>
          <w:lang w:val="en-US"/>
        </w:rPr>
        <w:t>population,</w:t>
      </w:r>
      <w:r w:rsidR="002C08CF">
        <w:rPr>
          <w:rFonts w:asciiTheme="minorHAnsi" w:hAnsiTheme="minorHAnsi" w:cstheme="minorHAnsi"/>
          <w:lang w:val="en-US"/>
        </w:rPr>
        <w:t xml:space="preserve"> </w:t>
      </w:r>
      <w:r w:rsidR="00F51FC8">
        <w:rPr>
          <w:rFonts w:asciiTheme="minorHAnsi" w:hAnsiTheme="minorHAnsi" w:cstheme="minorHAnsi"/>
          <w:lang w:val="en-US"/>
        </w:rPr>
        <w:t>and so the Qatari rates were</w:t>
      </w:r>
      <w:r w:rsidR="002C08CF">
        <w:rPr>
          <w:rFonts w:asciiTheme="minorHAnsi" w:hAnsiTheme="minorHAnsi" w:cstheme="minorHAnsi"/>
          <w:lang w:val="en-US"/>
        </w:rPr>
        <w:t xml:space="preserve"> used</w:t>
      </w:r>
      <w:r w:rsidR="003763E5">
        <w:rPr>
          <w:rFonts w:asciiTheme="minorHAnsi" w:hAnsiTheme="minorHAnsi" w:cstheme="minorHAnsi"/>
          <w:lang w:val="en-US"/>
        </w:rPr>
        <w:t xml:space="preserve"> </w:t>
      </w:r>
      <w:r w:rsidR="002C08CF">
        <w:rPr>
          <w:rFonts w:asciiTheme="minorHAnsi" w:hAnsiTheme="minorHAnsi" w:cstheme="minorHAnsi"/>
          <w:lang w:val="en-US"/>
        </w:rPr>
        <w:t>in the construct of the FRAX model</w:t>
      </w:r>
      <w:r w:rsidR="007355C2" w:rsidRPr="00F232E7">
        <w:rPr>
          <w:rFonts w:asciiTheme="minorHAnsi" w:hAnsiTheme="minorHAnsi" w:cstheme="minorHAnsi"/>
          <w:lang w:val="en-US"/>
        </w:rPr>
        <w:t>.</w:t>
      </w:r>
      <w:r w:rsidR="00BD6A1A" w:rsidRPr="00F232E7">
        <w:rPr>
          <w:rFonts w:asciiTheme="minorHAnsi" w:hAnsiTheme="minorHAnsi" w:cstheme="minorHAnsi"/>
          <w:lang w:val="en-US"/>
        </w:rPr>
        <w:t xml:space="preserve"> </w:t>
      </w:r>
      <w:r w:rsidR="00CB793C">
        <w:rPr>
          <w:rFonts w:asciiTheme="minorHAnsi" w:hAnsiTheme="minorHAnsi" w:cstheme="minorHAnsi"/>
          <w:lang w:val="en-US"/>
        </w:rPr>
        <w:t xml:space="preserve"> </w:t>
      </w:r>
      <w:r w:rsidR="00D13E30" w:rsidRPr="00F232E7">
        <w:rPr>
          <w:rFonts w:asciiTheme="minorHAnsi" w:hAnsiTheme="minorHAnsi" w:cstheme="minorHAnsi"/>
          <w:lang w:val="en-US"/>
        </w:rPr>
        <w:t>As expected, hip fractures</w:t>
      </w:r>
      <w:r w:rsidR="00EE6968" w:rsidRPr="00F232E7">
        <w:rPr>
          <w:rFonts w:asciiTheme="minorHAnsi" w:hAnsiTheme="minorHAnsi" w:cstheme="minorHAnsi"/>
          <w:lang w:val="en-US"/>
        </w:rPr>
        <w:t xml:space="preserve"> </w:t>
      </w:r>
      <w:r w:rsidR="00CF32CE" w:rsidRPr="00F232E7">
        <w:rPr>
          <w:rFonts w:asciiTheme="minorHAnsi" w:hAnsiTheme="minorHAnsi" w:cstheme="minorHAnsi"/>
          <w:lang w:val="en-US"/>
        </w:rPr>
        <w:t xml:space="preserve">rates </w:t>
      </w:r>
      <w:r w:rsidR="00EE6968" w:rsidRPr="00F232E7">
        <w:rPr>
          <w:rFonts w:asciiTheme="minorHAnsi" w:hAnsiTheme="minorHAnsi" w:cstheme="minorHAnsi"/>
          <w:lang w:val="en-US"/>
        </w:rPr>
        <w:t xml:space="preserve">were </w:t>
      </w:r>
      <w:r w:rsidR="00CF32CE" w:rsidRPr="00F232E7">
        <w:rPr>
          <w:rFonts w:asciiTheme="minorHAnsi" w:hAnsiTheme="minorHAnsi" w:cstheme="minorHAnsi"/>
          <w:lang w:val="en-US"/>
        </w:rPr>
        <w:t>higher</w:t>
      </w:r>
      <w:r w:rsidR="00852305" w:rsidRPr="00F232E7">
        <w:rPr>
          <w:rFonts w:asciiTheme="minorHAnsi" w:hAnsiTheme="minorHAnsi" w:cstheme="minorHAnsi"/>
          <w:lang w:val="en-US"/>
        </w:rPr>
        <w:t xml:space="preserve"> in women than in men (female/male ratio</w:t>
      </w:r>
      <w:r w:rsidR="00BF35DA" w:rsidRPr="00F232E7">
        <w:rPr>
          <w:rFonts w:asciiTheme="minorHAnsi" w:hAnsiTheme="minorHAnsi" w:cstheme="minorHAnsi"/>
          <w:lang w:val="en-US"/>
        </w:rPr>
        <w:t xml:space="preserve"> =</w:t>
      </w:r>
      <w:r w:rsidR="00F232E7" w:rsidRPr="00F232E7">
        <w:rPr>
          <w:rFonts w:asciiTheme="minorHAnsi" w:hAnsiTheme="minorHAnsi" w:cstheme="minorHAnsi"/>
          <w:lang w:val="en-US"/>
        </w:rPr>
        <w:t xml:space="preserve"> 1</w:t>
      </w:r>
      <w:r w:rsidR="00CF32CE" w:rsidRPr="00F232E7">
        <w:rPr>
          <w:rFonts w:asciiTheme="minorHAnsi" w:hAnsiTheme="minorHAnsi" w:cstheme="minorHAnsi"/>
          <w:lang w:val="en-US"/>
        </w:rPr>
        <w:t>.25</w:t>
      </w:r>
      <w:r w:rsidR="00BF35DA" w:rsidRPr="00537C71">
        <w:rPr>
          <w:rFonts w:asciiTheme="minorHAnsi" w:hAnsiTheme="minorHAnsi" w:cstheme="minorHAnsi"/>
          <w:lang w:val="en-US"/>
        </w:rPr>
        <w:t xml:space="preserve">). </w:t>
      </w:r>
      <w:r w:rsidR="00D13E30" w:rsidRPr="00537C71">
        <w:rPr>
          <w:rFonts w:asciiTheme="minorHAnsi" w:hAnsiTheme="minorHAnsi" w:cstheme="minorHAnsi"/>
          <w:lang w:val="en-US"/>
        </w:rPr>
        <w:t xml:space="preserve"> </w:t>
      </w:r>
      <w:r w:rsidR="005A05BD" w:rsidRPr="005A05BD">
        <w:rPr>
          <w:rFonts w:asciiTheme="minorHAnsi" w:hAnsiTheme="minorHAnsi" w:cstheme="minorHAnsi"/>
          <w:lang w:val="en-US"/>
        </w:rPr>
        <w:t>In both sexes, the incidence increased with age</w:t>
      </w:r>
      <w:r w:rsidR="002A3A70">
        <w:rPr>
          <w:rFonts w:asciiTheme="minorHAnsi" w:hAnsiTheme="minorHAnsi" w:cstheme="minorHAnsi"/>
          <w:lang w:val="en-US"/>
        </w:rPr>
        <w:t xml:space="preserve">. </w:t>
      </w:r>
      <w:r w:rsidR="005A05BD" w:rsidRPr="005A05BD">
        <w:rPr>
          <w:rFonts w:asciiTheme="minorHAnsi" w:hAnsiTheme="minorHAnsi" w:cstheme="minorHAnsi"/>
          <w:lang w:val="en-US"/>
        </w:rPr>
        <w:t xml:space="preserve"> </w:t>
      </w:r>
      <w:r w:rsidR="00881DD4" w:rsidRPr="00537C71">
        <w:rPr>
          <w:rFonts w:asciiTheme="minorHAnsi" w:hAnsiTheme="minorHAnsi" w:cstheme="minorHAnsi"/>
          <w:lang w:val="en-US"/>
        </w:rPr>
        <w:t xml:space="preserve">In an international perspective hip fracture </w:t>
      </w:r>
      <w:r w:rsidR="00537C71" w:rsidRPr="00537C71">
        <w:rPr>
          <w:rFonts w:asciiTheme="minorHAnsi" w:hAnsiTheme="minorHAnsi" w:cstheme="minorHAnsi"/>
          <w:lang w:val="en-US"/>
        </w:rPr>
        <w:t>incidence</w:t>
      </w:r>
      <w:r w:rsidR="00881DD4" w:rsidRPr="00537C71">
        <w:rPr>
          <w:rFonts w:asciiTheme="minorHAnsi" w:hAnsiTheme="minorHAnsi" w:cstheme="minorHAnsi"/>
          <w:lang w:val="en-US"/>
        </w:rPr>
        <w:t xml:space="preserve"> </w:t>
      </w:r>
      <w:r w:rsidR="00537C71" w:rsidRPr="00537C71">
        <w:rPr>
          <w:rFonts w:asciiTheme="minorHAnsi" w:hAnsiTheme="minorHAnsi" w:cstheme="minorHAnsi"/>
          <w:lang w:val="en-US"/>
        </w:rPr>
        <w:t>was low</w:t>
      </w:r>
      <w:r w:rsidR="00394802">
        <w:rPr>
          <w:rFonts w:asciiTheme="minorHAnsi" w:hAnsiTheme="minorHAnsi" w:cstheme="minorHAnsi"/>
          <w:lang w:val="en-US"/>
        </w:rPr>
        <w:t xml:space="preserve"> in both men and </w:t>
      </w:r>
      <w:r w:rsidR="00047965" w:rsidRPr="00ED4BAB">
        <w:rPr>
          <w:rFonts w:asciiTheme="minorHAnsi" w:hAnsiTheme="minorHAnsi" w:cstheme="minorHAnsi"/>
          <w:lang w:val="en-US"/>
        </w:rPr>
        <w:t>women</w:t>
      </w:r>
      <w:r w:rsidR="002C66AB" w:rsidRPr="00ED4BAB">
        <w:rPr>
          <w:rFonts w:asciiTheme="minorHAnsi" w:hAnsiTheme="minorHAnsi" w:cstheme="minorHAnsi"/>
          <w:lang w:val="en-US"/>
        </w:rPr>
        <w:t xml:space="preserve"> </w:t>
      </w:r>
      <w:r w:rsidR="00F229B8" w:rsidRPr="00ED4BAB">
        <w:rPr>
          <w:rFonts w:asciiTheme="minorHAnsi" w:hAnsiTheme="minorHAnsi" w:cstheme="minorHAnsi"/>
          <w:lang w:val="en-US"/>
        </w:rPr>
        <w:t>[</w:t>
      </w:r>
      <w:r w:rsidR="003762D4">
        <w:rPr>
          <w:rFonts w:asciiTheme="minorHAnsi" w:hAnsiTheme="minorHAnsi" w:cstheme="minorHAnsi"/>
          <w:lang w:val="en-US"/>
        </w:rPr>
        <w:t>3</w:t>
      </w:r>
      <w:r w:rsidR="00F229B8" w:rsidRPr="00ED4BAB">
        <w:rPr>
          <w:rFonts w:asciiTheme="minorHAnsi" w:hAnsiTheme="minorHAnsi" w:cstheme="minorHAnsi"/>
          <w:lang w:val="en-US"/>
        </w:rPr>
        <w:t>]</w:t>
      </w:r>
      <w:r w:rsidR="00537C71" w:rsidRPr="00ED4BAB">
        <w:rPr>
          <w:rFonts w:asciiTheme="minorHAnsi" w:hAnsiTheme="minorHAnsi" w:cstheme="minorHAnsi"/>
          <w:lang w:val="en-US"/>
        </w:rPr>
        <w:t xml:space="preserve">. </w:t>
      </w:r>
      <w:r w:rsidR="00285E59" w:rsidRPr="00ED4BAB">
        <w:rPr>
          <w:rFonts w:asciiTheme="minorHAnsi" w:hAnsiTheme="minorHAnsi" w:cstheme="minorHAnsi"/>
          <w:lang w:val="en-US"/>
        </w:rPr>
        <w:t xml:space="preserve"> It</w:t>
      </w:r>
      <w:r w:rsidR="00285E59">
        <w:rPr>
          <w:rFonts w:asciiTheme="minorHAnsi" w:hAnsiTheme="minorHAnsi" w:cstheme="minorHAnsi"/>
          <w:lang w:val="en-US"/>
        </w:rPr>
        <w:t xml:space="preserve"> is of interest that </w:t>
      </w:r>
      <w:r w:rsidR="00070D5F">
        <w:rPr>
          <w:rFonts w:asciiTheme="minorHAnsi" w:hAnsiTheme="minorHAnsi" w:cstheme="minorHAnsi"/>
          <w:lang w:val="en-US"/>
        </w:rPr>
        <w:t>t</w:t>
      </w:r>
      <w:r w:rsidR="00077817" w:rsidRPr="00077817">
        <w:rPr>
          <w:rFonts w:asciiTheme="minorHAnsi" w:hAnsiTheme="minorHAnsi" w:cstheme="minorHAnsi"/>
          <w:lang w:val="en-US"/>
        </w:rPr>
        <w:t xml:space="preserve">he incidence of hip fracture </w:t>
      </w:r>
      <w:r w:rsidR="00070D5F">
        <w:rPr>
          <w:rFonts w:asciiTheme="minorHAnsi" w:hAnsiTheme="minorHAnsi" w:cstheme="minorHAnsi"/>
          <w:lang w:val="en-US"/>
        </w:rPr>
        <w:t>was</w:t>
      </w:r>
      <w:r w:rsidR="00077817" w:rsidRPr="00077817">
        <w:rPr>
          <w:rFonts w:asciiTheme="minorHAnsi" w:hAnsiTheme="minorHAnsi" w:cstheme="minorHAnsi"/>
          <w:lang w:val="en-US"/>
        </w:rPr>
        <w:t xml:space="preserve"> rather similar to that reported for </w:t>
      </w:r>
      <w:r w:rsidR="00070D5F">
        <w:rPr>
          <w:rFonts w:asciiTheme="minorHAnsi" w:hAnsiTheme="minorHAnsi" w:cstheme="minorHAnsi"/>
          <w:lang w:val="en-US"/>
        </w:rPr>
        <w:t>Saudi Arabia</w:t>
      </w:r>
      <w:r w:rsidR="00841E4A">
        <w:rPr>
          <w:rFonts w:asciiTheme="minorHAnsi" w:hAnsiTheme="minorHAnsi" w:cstheme="minorHAnsi"/>
          <w:lang w:val="en-US"/>
        </w:rPr>
        <w:t xml:space="preserve">, </w:t>
      </w:r>
      <w:r w:rsidR="00077817" w:rsidRPr="00077817">
        <w:rPr>
          <w:rFonts w:asciiTheme="minorHAnsi" w:hAnsiTheme="minorHAnsi" w:cstheme="minorHAnsi"/>
          <w:lang w:val="en-US"/>
        </w:rPr>
        <w:t xml:space="preserve">Kuwait and Abu Dhabi.  There </w:t>
      </w:r>
      <w:r w:rsidR="00841E4A">
        <w:rPr>
          <w:rFonts w:asciiTheme="minorHAnsi" w:hAnsiTheme="minorHAnsi" w:cstheme="minorHAnsi"/>
          <w:lang w:val="en-US"/>
        </w:rPr>
        <w:t>wa</w:t>
      </w:r>
      <w:r w:rsidR="00077817" w:rsidRPr="00077817">
        <w:rPr>
          <w:rFonts w:asciiTheme="minorHAnsi" w:hAnsiTheme="minorHAnsi" w:cstheme="minorHAnsi"/>
          <w:lang w:val="en-US"/>
        </w:rPr>
        <w:t>s, however, a ve</w:t>
      </w:r>
      <w:r w:rsidR="00F51FC8">
        <w:rPr>
          <w:rFonts w:asciiTheme="minorHAnsi" w:hAnsiTheme="minorHAnsi" w:cstheme="minorHAnsi"/>
          <w:lang w:val="en-US"/>
        </w:rPr>
        <w:t>r</w:t>
      </w:r>
      <w:r w:rsidR="00077817" w:rsidRPr="00077817">
        <w:rPr>
          <w:rFonts w:asciiTheme="minorHAnsi" w:hAnsiTheme="minorHAnsi" w:cstheme="minorHAnsi"/>
          <w:lang w:val="en-US"/>
        </w:rPr>
        <w:t>y marked difference in fracture probability between countries</w:t>
      </w:r>
      <w:r w:rsidR="00C9658E">
        <w:rPr>
          <w:rFonts w:asciiTheme="minorHAnsi" w:hAnsiTheme="minorHAnsi" w:cstheme="minorHAnsi"/>
          <w:lang w:val="en-US"/>
        </w:rPr>
        <w:t xml:space="preserve"> with advancing age</w:t>
      </w:r>
      <w:r w:rsidR="00077817" w:rsidRPr="00077817">
        <w:rPr>
          <w:rFonts w:asciiTheme="minorHAnsi" w:hAnsiTheme="minorHAnsi" w:cstheme="minorHAnsi"/>
          <w:lang w:val="en-US"/>
        </w:rPr>
        <w:t xml:space="preserve">.  The explanation for the difference lies in the assumptions for mortality since fracture probability integrates the fracture hazard with the competing effect of mortality.  </w:t>
      </w:r>
      <w:r w:rsidR="00896771">
        <w:rPr>
          <w:rFonts w:asciiTheme="minorHAnsi" w:hAnsiTheme="minorHAnsi" w:cstheme="minorHAnsi"/>
          <w:lang w:val="en-US"/>
        </w:rPr>
        <w:t xml:space="preserve">Thus, the </w:t>
      </w:r>
      <w:r w:rsidR="00404FCE">
        <w:rPr>
          <w:rFonts w:asciiTheme="minorHAnsi" w:hAnsiTheme="minorHAnsi" w:cstheme="minorHAnsi"/>
          <w:lang w:val="en-US"/>
        </w:rPr>
        <w:t>death hazard was highest with advancing age in Saudi Ara</w:t>
      </w:r>
      <w:r w:rsidR="00BA0620">
        <w:rPr>
          <w:rFonts w:asciiTheme="minorHAnsi" w:hAnsiTheme="minorHAnsi" w:cstheme="minorHAnsi"/>
          <w:lang w:val="en-US"/>
        </w:rPr>
        <w:t xml:space="preserve">bia, lowest in </w:t>
      </w:r>
      <w:r w:rsidR="00BC588C">
        <w:rPr>
          <w:rFonts w:asciiTheme="minorHAnsi" w:hAnsiTheme="minorHAnsi" w:cstheme="minorHAnsi"/>
          <w:lang w:val="en-US"/>
        </w:rPr>
        <w:t xml:space="preserve">Kuwait and intermediate for Abu Dhabi and </w:t>
      </w:r>
      <w:r w:rsidR="003B4538">
        <w:rPr>
          <w:rFonts w:asciiTheme="minorHAnsi" w:hAnsiTheme="minorHAnsi" w:cstheme="minorHAnsi"/>
          <w:lang w:val="en-US"/>
        </w:rPr>
        <w:t xml:space="preserve">Qatar. </w:t>
      </w:r>
      <w:r w:rsidR="00BA0620">
        <w:rPr>
          <w:rFonts w:asciiTheme="minorHAnsi" w:hAnsiTheme="minorHAnsi" w:cstheme="minorHAnsi"/>
          <w:lang w:val="en-US"/>
        </w:rPr>
        <w:t xml:space="preserve"> </w:t>
      </w:r>
      <w:r w:rsidR="00BD1612" w:rsidRPr="00BD1612">
        <w:rPr>
          <w:rFonts w:asciiTheme="minorHAnsi" w:hAnsiTheme="minorHAnsi" w:cstheme="minorHAnsi"/>
          <w:lang w:val="en-US"/>
        </w:rPr>
        <w:t xml:space="preserve">These observations </w:t>
      </w:r>
      <w:r w:rsidR="00F51FC8" w:rsidRPr="00BD1612">
        <w:rPr>
          <w:rFonts w:asciiTheme="minorHAnsi" w:hAnsiTheme="minorHAnsi" w:cstheme="minorHAnsi"/>
          <w:lang w:val="en-US"/>
        </w:rPr>
        <w:t>emphasize</w:t>
      </w:r>
      <w:r w:rsidR="00BD1612" w:rsidRPr="00BD1612">
        <w:rPr>
          <w:rFonts w:asciiTheme="minorHAnsi" w:hAnsiTheme="minorHAnsi" w:cstheme="minorHAnsi"/>
          <w:lang w:val="en-US"/>
        </w:rPr>
        <w:t xml:space="preserve"> the importance of the death hazard as well as the fracture hazard in the determination of fracture probability.</w:t>
      </w:r>
    </w:p>
    <w:p w14:paraId="1505287E" w14:textId="77777777" w:rsidR="005300A7" w:rsidRPr="00BD1612" w:rsidRDefault="005300A7" w:rsidP="00BD1612">
      <w:pPr>
        <w:spacing w:line="276" w:lineRule="auto"/>
        <w:ind w:left="567" w:right="1275"/>
        <w:rPr>
          <w:rFonts w:asciiTheme="minorHAnsi" w:hAnsiTheme="minorHAnsi" w:cstheme="minorHAnsi"/>
          <w:lang w:val="en-US"/>
        </w:rPr>
      </w:pPr>
    </w:p>
    <w:p w14:paraId="13BC9791" w14:textId="0CEED5AA" w:rsidR="00077817" w:rsidRDefault="00BD1612" w:rsidP="00BD1612">
      <w:pPr>
        <w:spacing w:line="276" w:lineRule="auto"/>
        <w:ind w:left="567" w:right="1275"/>
        <w:rPr>
          <w:rFonts w:asciiTheme="minorHAnsi" w:hAnsiTheme="minorHAnsi" w:cstheme="minorHAnsi"/>
          <w:lang w:val="en-US"/>
        </w:rPr>
      </w:pPr>
      <w:r w:rsidRPr="00BD1612">
        <w:rPr>
          <w:rFonts w:asciiTheme="minorHAnsi" w:hAnsiTheme="minorHAnsi" w:cstheme="minorHAnsi"/>
          <w:lang w:val="en-US"/>
        </w:rPr>
        <w:t>A minority of countries that have a FRAX model also have robust information on the risk of other major osteoporotic fractures.  In the absence of such information, FRAX models are based on the assumption that the age- and sex-specific pattern of these fractures is similar to that observed in Malmo, Sweden [</w:t>
      </w:r>
      <w:r w:rsidR="00CC04C2">
        <w:rPr>
          <w:rFonts w:asciiTheme="minorHAnsi" w:hAnsiTheme="minorHAnsi" w:cstheme="minorHAnsi"/>
          <w:lang w:val="en-US"/>
        </w:rPr>
        <w:t>13</w:t>
      </w:r>
      <w:r w:rsidRPr="00ED4BAB">
        <w:rPr>
          <w:rFonts w:asciiTheme="minorHAnsi" w:hAnsiTheme="minorHAnsi" w:cstheme="minorHAnsi"/>
          <w:lang w:val="en-US"/>
        </w:rPr>
        <w:t>].  The</w:t>
      </w:r>
      <w:r w:rsidRPr="00BD1612">
        <w:rPr>
          <w:rFonts w:asciiTheme="minorHAnsi" w:hAnsiTheme="minorHAnsi" w:cstheme="minorHAnsi"/>
          <w:lang w:val="en-US"/>
        </w:rPr>
        <w:t xml:space="preserve"> </w:t>
      </w:r>
      <w:r w:rsidRPr="00117873">
        <w:rPr>
          <w:rFonts w:asciiTheme="minorHAnsi" w:hAnsiTheme="minorHAnsi" w:cstheme="minorHAnsi"/>
          <w:lang w:val="en-US"/>
        </w:rPr>
        <w:t>assumption has been validated in studies from Canada [</w:t>
      </w:r>
      <w:r w:rsidR="00CC04C2" w:rsidRPr="00117873">
        <w:rPr>
          <w:rFonts w:asciiTheme="minorHAnsi" w:hAnsiTheme="minorHAnsi" w:cstheme="minorHAnsi"/>
          <w:lang w:val="en-US"/>
        </w:rPr>
        <w:t>15</w:t>
      </w:r>
      <w:r w:rsidRPr="00117873">
        <w:rPr>
          <w:rFonts w:asciiTheme="minorHAnsi" w:hAnsiTheme="minorHAnsi" w:cstheme="minorHAnsi"/>
          <w:lang w:val="en-US"/>
        </w:rPr>
        <w:t>], Iceland [</w:t>
      </w:r>
      <w:r w:rsidR="00CC04C2" w:rsidRPr="00117873">
        <w:rPr>
          <w:rFonts w:asciiTheme="minorHAnsi" w:hAnsiTheme="minorHAnsi" w:cstheme="minorHAnsi"/>
          <w:lang w:val="en-US"/>
        </w:rPr>
        <w:t>14</w:t>
      </w:r>
      <w:r w:rsidRPr="00117873">
        <w:rPr>
          <w:rFonts w:asciiTheme="minorHAnsi" w:hAnsiTheme="minorHAnsi" w:cstheme="minorHAnsi"/>
          <w:lang w:val="en-US"/>
        </w:rPr>
        <w:t>], US [</w:t>
      </w:r>
      <w:r w:rsidR="0044409E" w:rsidRPr="00117873">
        <w:rPr>
          <w:rFonts w:asciiTheme="minorHAnsi" w:hAnsiTheme="minorHAnsi" w:cstheme="minorHAnsi"/>
          <w:lang w:val="en-US"/>
        </w:rPr>
        <w:t>19</w:t>
      </w:r>
      <w:r w:rsidRPr="00117873">
        <w:rPr>
          <w:rFonts w:asciiTheme="minorHAnsi" w:hAnsiTheme="minorHAnsi" w:cstheme="minorHAnsi"/>
          <w:lang w:val="en-US"/>
        </w:rPr>
        <w:t>], UK [</w:t>
      </w:r>
      <w:r w:rsidR="0044409E" w:rsidRPr="00117873">
        <w:rPr>
          <w:rFonts w:asciiTheme="minorHAnsi" w:hAnsiTheme="minorHAnsi" w:cstheme="minorHAnsi"/>
          <w:lang w:val="en-US"/>
        </w:rPr>
        <w:t>20</w:t>
      </w:r>
      <w:r w:rsidRPr="00117873">
        <w:rPr>
          <w:rFonts w:asciiTheme="minorHAnsi" w:hAnsiTheme="minorHAnsi" w:cstheme="minorHAnsi"/>
          <w:lang w:val="en-US"/>
        </w:rPr>
        <w:t>], Australia [</w:t>
      </w:r>
      <w:r w:rsidR="0044409E" w:rsidRPr="00117873">
        <w:rPr>
          <w:rFonts w:asciiTheme="minorHAnsi" w:hAnsiTheme="minorHAnsi" w:cstheme="minorHAnsi"/>
          <w:lang w:val="en-US"/>
        </w:rPr>
        <w:t>10</w:t>
      </w:r>
      <w:r w:rsidRPr="00117873">
        <w:rPr>
          <w:rFonts w:asciiTheme="minorHAnsi" w:hAnsiTheme="minorHAnsi" w:cstheme="minorHAnsi"/>
          <w:lang w:val="en-US"/>
        </w:rPr>
        <w:t>] and Eurasia [</w:t>
      </w:r>
      <w:r w:rsidR="0044409E" w:rsidRPr="00117873">
        <w:rPr>
          <w:rFonts w:asciiTheme="minorHAnsi" w:hAnsiTheme="minorHAnsi" w:cstheme="minorHAnsi"/>
          <w:lang w:val="en-US"/>
        </w:rPr>
        <w:t>12</w:t>
      </w:r>
      <w:r w:rsidRPr="00117873">
        <w:rPr>
          <w:rFonts w:asciiTheme="minorHAnsi" w:hAnsiTheme="minorHAnsi" w:cstheme="minorHAnsi"/>
          <w:lang w:val="en-US"/>
        </w:rPr>
        <w:t xml:space="preserve">] despite </w:t>
      </w:r>
      <w:r w:rsidR="0044409E" w:rsidRPr="00117873">
        <w:rPr>
          <w:rFonts w:asciiTheme="minorHAnsi" w:hAnsiTheme="minorHAnsi" w:cstheme="minorHAnsi"/>
          <w:lang w:val="en-US"/>
        </w:rPr>
        <w:t xml:space="preserve">very marked </w:t>
      </w:r>
      <w:r w:rsidRPr="00117873">
        <w:rPr>
          <w:rFonts w:asciiTheme="minorHAnsi" w:hAnsiTheme="minorHAnsi" w:cstheme="minorHAnsi"/>
          <w:lang w:val="en-US"/>
        </w:rPr>
        <w:t>differences in incidence [</w:t>
      </w:r>
      <w:r w:rsidR="0041168D" w:rsidRPr="00117873">
        <w:rPr>
          <w:rFonts w:asciiTheme="minorHAnsi" w:hAnsiTheme="minorHAnsi" w:cstheme="minorHAnsi"/>
          <w:lang w:val="en-US"/>
        </w:rPr>
        <w:t>3</w:t>
      </w:r>
      <w:r w:rsidRPr="00117873">
        <w:rPr>
          <w:rFonts w:asciiTheme="minorHAnsi" w:hAnsiTheme="minorHAnsi" w:cstheme="minorHAnsi"/>
          <w:lang w:val="en-US"/>
        </w:rPr>
        <w:t>].  This commonality of pattern is supported by register studies, which indicate that in those regions where hip fracture rates are high, so too is the risk of forearm fracture and spine fractures (requiring hospital admission) [</w:t>
      </w:r>
      <w:r w:rsidR="0041168D" w:rsidRPr="00117873">
        <w:rPr>
          <w:rFonts w:asciiTheme="minorHAnsi" w:hAnsiTheme="minorHAnsi" w:cstheme="minorHAnsi"/>
          <w:lang w:val="en-US"/>
        </w:rPr>
        <w:t>21</w:t>
      </w:r>
      <w:r w:rsidRPr="00117873">
        <w:rPr>
          <w:rFonts w:asciiTheme="minorHAnsi" w:hAnsiTheme="minorHAnsi" w:cstheme="minorHAnsi"/>
          <w:lang w:val="en-US"/>
        </w:rPr>
        <w:t xml:space="preserve">, </w:t>
      </w:r>
      <w:r w:rsidR="007956BE" w:rsidRPr="00117873">
        <w:rPr>
          <w:rFonts w:asciiTheme="minorHAnsi" w:hAnsiTheme="minorHAnsi" w:cstheme="minorHAnsi"/>
          <w:lang w:val="en-US"/>
        </w:rPr>
        <w:t>22</w:t>
      </w:r>
      <w:r w:rsidRPr="00117873">
        <w:rPr>
          <w:rFonts w:asciiTheme="minorHAnsi" w:hAnsiTheme="minorHAnsi" w:cstheme="minorHAnsi"/>
          <w:lang w:val="en-US"/>
        </w:rPr>
        <w:t xml:space="preserve">]. </w:t>
      </w:r>
      <w:r w:rsidR="003E6FC4" w:rsidRPr="00117873">
        <w:rPr>
          <w:rFonts w:asciiTheme="minorHAnsi" w:hAnsiTheme="minorHAnsi" w:cstheme="minorHAnsi"/>
          <w:lang w:val="en-US"/>
        </w:rPr>
        <w:t xml:space="preserve"> </w:t>
      </w:r>
      <w:r w:rsidRPr="00117873">
        <w:rPr>
          <w:rFonts w:asciiTheme="minorHAnsi" w:hAnsiTheme="minorHAnsi" w:cstheme="minorHAnsi"/>
          <w:lang w:val="en-US"/>
        </w:rPr>
        <w:t>Studies of incidence rather than prevalence of vertebral fracture confirm a much higher incidence of vertebral fracture in US blacks than whites [</w:t>
      </w:r>
      <w:r w:rsidR="003E6FC4" w:rsidRPr="00117873">
        <w:rPr>
          <w:rFonts w:asciiTheme="minorHAnsi" w:hAnsiTheme="minorHAnsi" w:cstheme="minorHAnsi"/>
          <w:lang w:val="en-US"/>
        </w:rPr>
        <w:t>23</w:t>
      </w:r>
      <w:r w:rsidRPr="00117873">
        <w:rPr>
          <w:rFonts w:asciiTheme="minorHAnsi" w:hAnsiTheme="minorHAnsi" w:cstheme="minorHAnsi"/>
          <w:lang w:val="en-US"/>
        </w:rPr>
        <w:t>].</w:t>
      </w:r>
    </w:p>
    <w:p w14:paraId="0FA0D134" w14:textId="278676FB" w:rsidR="009B7B59" w:rsidRDefault="009B7B59" w:rsidP="00BD1612">
      <w:pPr>
        <w:spacing w:line="276" w:lineRule="auto"/>
        <w:ind w:left="567" w:right="1275"/>
        <w:rPr>
          <w:rFonts w:asciiTheme="minorHAnsi" w:hAnsiTheme="minorHAnsi" w:cstheme="minorHAnsi"/>
          <w:lang w:val="en-US"/>
        </w:rPr>
      </w:pPr>
    </w:p>
    <w:p w14:paraId="7EBFF102" w14:textId="51B86DCF" w:rsidR="00E611AF" w:rsidRPr="005C1611" w:rsidRDefault="009B7B59" w:rsidP="00BD1612">
      <w:pPr>
        <w:spacing w:line="276" w:lineRule="auto"/>
        <w:ind w:left="567" w:right="1275"/>
        <w:rPr>
          <w:rFonts w:asciiTheme="minorHAnsi" w:hAnsiTheme="minorHAnsi" w:cstheme="minorHAnsi"/>
          <w:lang w:val="en-US"/>
        </w:rPr>
      </w:pPr>
      <w:r w:rsidRPr="005C1611">
        <w:rPr>
          <w:rFonts w:asciiTheme="minorHAnsi" w:hAnsiTheme="minorHAnsi" w:cstheme="minorHAnsi"/>
          <w:lang w:val="en-US"/>
        </w:rPr>
        <w:t xml:space="preserve">Whereas the Qatari </w:t>
      </w:r>
      <w:r w:rsidR="00F349F3" w:rsidRPr="005C1611">
        <w:rPr>
          <w:rFonts w:asciiTheme="minorHAnsi" w:hAnsiTheme="minorHAnsi" w:cstheme="minorHAnsi"/>
          <w:lang w:val="en-US"/>
        </w:rPr>
        <w:t xml:space="preserve">FRAX </w:t>
      </w:r>
      <w:r w:rsidRPr="005C1611">
        <w:rPr>
          <w:rFonts w:asciiTheme="minorHAnsi" w:hAnsiTheme="minorHAnsi" w:cstheme="minorHAnsi"/>
          <w:lang w:val="en-US"/>
        </w:rPr>
        <w:t>model permits the assessment of fracture probability</w:t>
      </w:r>
      <w:r w:rsidR="00F349F3" w:rsidRPr="005C1611">
        <w:rPr>
          <w:rFonts w:asciiTheme="minorHAnsi" w:hAnsiTheme="minorHAnsi" w:cstheme="minorHAnsi"/>
          <w:lang w:val="en-US"/>
        </w:rPr>
        <w:t xml:space="preserve"> </w:t>
      </w:r>
      <w:r w:rsidR="00E611AF" w:rsidRPr="005C1611">
        <w:rPr>
          <w:rFonts w:asciiTheme="minorHAnsi" w:hAnsiTheme="minorHAnsi" w:cstheme="minorHAnsi"/>
          <w:lang w:val="en-US"/>
        </w:rPr>
        <w:t>i</w:t>
      </w:r>
      <w:r w:rsidR="00F349F3" w:rsidRPr="005C1611">
        <w:rPr>
          <w:rFonts w:asciiTheme="minorHAnsi" w:hAnsiTheme="minorHAnsi" w:cstheme="minorHAnsi"/>
          <w:lang w:val="en-US"/>
        </w:rPr>
        <w:t>n Qatari citizens, the question arises</w:t>
      </w:r>
      <w:r w:rsidR="00F51FC8" w:rsidRPr="005C1611">
        <w:rPr>
          <w:rFonts w:asciiTheme="minorHAnsi" w:hAnsiTheme="minorHAnsi" w:cstheme="minorHAnsi"/>
          <w:lang w:val="en-US"/>
        </w:rPr>
        <w:t xml:space="preserve"> of</w:t>
      </w:r>
      <w:r w:rsidR="00D76793" w:rsidRPr="005C1611">
        <w:rPr>
          <w:rFonts w:asciiTheme="minorHAnsi" w:hAnsiTheme="minorHAnsi" w:cstheme="minorHAnsi"/>
          <w:lang w:val="en-US"/>
        </w:rPr>
        <w:t xml:space="preserve"> ho</w:t>
      </w:r>
      <w:r w:rsidR="00E611AF" w:rsidRPr="005C1611">
        <w:rPr>
          <w:rFonts w:asciiTheme="minorHAnsi" w:hAnsiTheme="minorHAnsi" w:cstheme="minorHAnsi"/>
          <w:lang w:val="en-US"/>
        </w:rPr>
        <w:t>w</w:t>
      </w:r>
      <w:r w:rsidR="00D76793" w:rsidRPr="005C1611">
        <w:rPr>
          <w:rFonts w:asciiTheme="minorHAnsi" w:hAnsiTheme="minorHAnsi" w:cstheme="minorHAnsi"/>
          <w:lang w:val="en-US"/>
        </w:rPr>
        <w:t xml:space="preserve"> to assess fracture risk in expatriates</w:t>
      </w:r>
      <w:r w:rsidR="00467A9F" w:rsidRPr="005C1611">
        <w:rPr>
          <w:rFonts w:asciiTheme="minorHAnsi" w:hAnsiTheme="minorHAnsi" w:cstheme="minorHAnsi"/>
          <w:lang w:val="en-US"/>
        </w:rPr>
        <w:t xml:space="preserve">.  </w:t>
      </w:r>
      <w:r w:rsidR="0050028E" w:rsidRPr="005C1611">
        <w:rPr>
          <w:rFonts w:asciiTheme="minorHAnsi" w:hAnsiTheme="minorHAnsi" w:cstheme="minorHAnsi"/>
          <w:lang w:val="en-US"/>
        </w:rPr>
        <w:t>This community is ethnically very diverse</w:t>
      </w:r>
      <w:r w:rsidR="00E611AF" w:rsidRPr="005C1611">
        <w:rPr>
          <w:rFonts w:asciiTheme="minorHAnsi" w:hAnsiTheme="minorHAnsi" w:cstheme="minorHAnsi"/>
          <w:lang w:val="en-US"/>
        </w:rPr>
        <w:t xml:space="preserve"> and current evidence indicates that expatriates retain the </w:t>
      </w:r>
      <w:r w:rsidR="00CB7723" w:rsidRPr="005C1611">
        <w:rPr>
          <w:rFonts w:asciiTheme="minorHAnsi" w:hAnsiTheme="minorHAnsi" w:cstheme="minorHAnsi"/>
          <w:lang w:val="en-US"/>
        </w:rPr>
        <w:t xml:space="preserve">risk </w:t>
      </w:r>
      <w:r w:rsidR="0077626D" w:rsidRPr="005C1611">
        <w:rPr>
          <w:rFonts w:asciiTheme="minorHAnsi" w:hAnsiTheme="minorHAnsi" w:cstheme="minorHAnsi"/>
          <w:lang w:val="en-US"/>
        </w:rPr>
        <w:t>characteristics</w:t>
      </w:r>
      <w:r w:rsidR="00CB7723" w:rsidRPr="005C1611">
        <w:rPr>
          <w:rFonts w:asciiTheme="minorHAnsi" w:hAnsiTheme="minorHAnsi" w:cstheme="minorHAnsi"/>
          <w:lang w:val="en-US"/>
        </w:rPr>
        <w:t xml:space="preserve"> of their country of </w:t>
      </w:r>
      <w:r w:rsidR="0077626D" w:rsidRPr="005C1611">
        <w:rPr>
          <w:rFonts w:asciiTheme="minorHAnsi" w:hAnsiTheme="minorHAnsi" w:cstheme="minorHAnsi"/>
          <w:lang w:val="en-US"/>
        </w:rPr>
        <w:t>origin</w:t>
      </w:r>
      <w:r w:rsidR="00C61A27" w:rsidRPr="005C1611">
        <w:rPr>
          <w:rFonts w:asciiTheme="minorHAnsi" w:hAnsiTheme="minorHAnsi" w:cstheme="minorHAnsi"/>
          <w:lang w:val="en-US"/>
        </w:rPr>
        <w:t xml:space="preserve"> [</w:t>
      </w:r>
      <w:r w:rsidR="003E6FC4" w:rsidRPr="005C1611">
        <w:rPr>
          <w:rFonts w:asciiTheme="minorHAnsi" w:hAnsiTheme="minorHAnsi" w:cstheme="minorHAnsi"/>
          <w:lang w:val="en-US"/>
        </w:rPr>
        <w:t>24</w:t>
      </w:r>
      <w:r w:rsidR="0071730B" w:rsidRPr="005C1611">
        <w:rPr>
          <w:rFonts w:asciiTheme="minorHAnsi" w:hAnsiTheme="minorHAnsi" w:cstheme="minorHAnsi"/>
          <w:lang w:val="en-US"/>
        </w:rPr>
        <w:t xml:space="preserve">, </w:t>
      </w:r>
      <w:r w:rsidR="003E6FC4" w:rsidRPr="005C1611">
        <w:rPr>
          <w:rFonts w:asciiTheme="minorHAnsi" w:hAnsiTheme="minorHAnsi" w:cstheme="minorHAnsi"/>
          <w:lang w:val="en-US"/>
        </w:rPr>
        <w:t>25</w:t>
      </w:r>
      <w:r w:rsidR="00C61A27" w:rsidRPr="005C1611">
        <w:rPr>
          <w:rFonts w:asciiTheme="minorHAnsi" w:hAnsiTheme="minorHAnsi" w:cstheme="minorHAnsi"/>
          <w:lang w:val="en-US"/>
        </w:rPr>
        <w:t>]</w:t>
      </w:r>
      <w:r w:rsidR="00F51FC8" w:rsidRPr="005C1611">
        <w:rPr>
          <w:rFonts w:asciiTheme="minorHAnsi" w:hAnsiTheme="minorHAnsi" w:cstheme="minorHAnsi"/>
          <w:lang w:val="en-US"/>
        </w:rPr>
        <w:t>, so should be assessed as such.</w:t>
      </w:r>
      <w:r w:rsidR="0050028E" w:rsidRPr="005C1611">
        <w:rPr>
          <w:rFonts w:asciiTheme="minorHAnsi" w:hAnsiTheme="minorHAnsi" w:cstheme="minorHAnsi"/>
          <w:lang w:val="en-US"/>
        </w:rPr>
        <w:t xml:space="preserve"> </w:t>
      </w:r>
    </w:p>
    <w:p w14:paraId="6EE328BE" w14:textId="77777777" w:rsidR="00E611AF" w:rsidRPr="005C1611" w:rsidRDefault="00E611AF" w:rsidP="00BD1612">
      <w:pPr>
        <w:spacing w:line="276" w:lineRule="auto"/>
        <w:ind w:left="567" w:right="1275"/>
        <w:rPr>
          <w:rFonts w:asciiTheme="minorHAnsi" w:hAnsiTheme="minorHAnsi" w:cstheme="minorHAnsi"/>
          <w:lang w:val="en-US"/>
        </w:rPr>
      </w:pPr>
    </w:p>
    <w:p w14:paraId="6122231A" w14:textId="52CDB885" w:rsidR="00C125D5" w:rsidRDefault="00E611AF" w:rsidP="007740C5">
      <w:pPr>
        <w:spacing w:line="276" w:lineRule="auto"/>
        <w:ind w:left="567" w:right="1275"/>
        <w:rPr>
          <w:rFonts w:asciiTheme="minorHAnsi" w:hAnsiTheme="minorHAnsi" w:cstheme="minorHAnsi"/>
          <w:color w:val="131413"/>
          <w:lang w:val="en-US"/>
        </w:rPr>
      </w:pPr>
      <w:r w:rsidRPr="005C1611">
        <w:rPr>
          <w:rFonts w:asciiTheme="minorHAnsi" w:hAnsiTheme="minorHAnsi" w:cstheme="minorHAnsi"/>
          <w:lang w:val="en-US"/>
        </w:rPr>
        <w:t xml:space="preserve">The limitations of the present study relate predominately to the accuracy of </w:t>
      </w:r>
      <w:r w:rsidR="00530AAD" w:rsidRPr="005C1611">
        <w:rPr>
          <w:rFonts w:asciiTheme="minorHAnsi" w:hAnsiTheme="minorHAnsi" w:cstheme="minorHAnsi"/>
          <w:lang w:val="en-US"/>
        </w:rPr>
        <w:t>the</w:t>
      </w:r>
      <w:r w:rsidRPr="005C1611">
        <w:rPr>
          <w:rFonts w:asciiTheme="minorHAnsi" w:hAnsiTheme="minorHAnsi" w:cstheme="minorHAnsi"/>
          <w:lang w:val="en-US"/>
        </w:rPr>
        <w:t xml:space="preserve"> FRAX model.  This in turn is dependent on the accuracy of the fracture and death hazards used in the construction of the FRAX model.  Whereas death rates </w:t>
      </w:r>
      <w:r w:rsidR="00CD2E9C" w:rsidRPr="005C1611">
        <w:rPr>
          <w:rFonts w:asciiTheme="minorHAnsi" w:hAnsiTheme="minorHAnsi" w:cstheme="minorHAnsi"/>
          <w:lang w:val="en-US"/>
        </w:rPr>
        <w:t>for the general population</w:t>
      </w:r>
      <w:r w:rsidRPr="005C1611">
        <w:rPr>
          <w:rFonts w:asciiTheme="minorHAnsi" w:hAnsiTheme="minorHAnsi" w:cstheme="minorHAnsi"/>
          <w:lang w:val="en-US"/>
        </w:rPr>
        <w:t xml:space="preserve"> </w:t>
      </w:r>
      <w:r w:rsidR="00243166" w:rsidRPr="005C1611">
        <w:rPr>
          <w:rFonts w:asciiTheme="minorHAnsi" w:hAnsiTheme="minorHAnsi" w:cstheme="minorHAnsi"/>
          <w:lang w:val="en-US"/>
        </w:rPr>
        <w:t xml:space="preserve">are likely to be </w:t>
      </w:r>
      <w:r w:rsidR="00A3122C" w:rsidRPr="005C1611">
        <w:rPr>
          <w:rFonts w:asciiTheme="minorHAnsi" w:hAnsiTheme="minorHAnsi" w:cstheme="minorHAnsi"/>
          <w:lang w:val="en-US"/>
        </w:rPr>
        <w:t>robust, the</w:t>
      </w:r>
      <w:r w:rsidR="00243166" w:rsidRPr="005C1611">
        <w:rPr>
          <w:rFonts w:asciiTheme="minorHAnsi" w:hAnsiTheme="minorHAnsi" w:cstheme="minorHAnsi"/>
          <w:lang w:val="en-US"/>
        </w:rPr>
        <w:t xml:space="preserve"> number of h</w:t>
      </w:r>
      <w:r w:rsidR="00E679DB" w:rsidRPr="005C1611">
        <w:rPr>
          <w:rFonts w:asciiTheme="minorHAnsi" w:hAnsiTheme="minorHAnsi" w:cstheme="minorHAnsi"/>
          <w:lang w:val="en-US"/>
        </w:rPr>
        <w:t xml:space="preserve">ip fractures were </w:t>
      </w:r>
      <w:r w:rsidR="00A1570E" w:rsidRPr="005C1611">
        <w:rPr>
          <w:rFonts w:asciiTheme="minorHAnsi" w:hAnsiTheme="minorHAnsi" w:cstheme="minorHAnsi"/>
          <w:lang w:val="en-US"/>
        </w:rPr>
        <w:t>few</w:t>
      </w:r>
      <w:r w:rsidR="00E679DB" w:rsidRPr="005C1611">
        <w:rPr>
          <w:rFonts w:asciiTheme="minorHAnsi" w:hAnsiTheme="minorHAnsi" w:cstheme="minorHAnsi"/>
          <w:lang w:val="en-US"/>
        </w:rPr>
        <w:t xml:space="preserve"> </w:t>
      </w:r>
      <w:r w:rsidR="008268D9" w:rsidRPr="005C1611">
        <w:rPr>
          <w:rFonts w:asciiTheme="minorHAnsi" w:hAnsiTheme="minorHAnsi" w:cstheme="minorHAnsi"/>
          <w:lang w:val="en-US"/>
        </w:rPr>
        <w:t xml:space="preserve">(n=151) </w:t>
      </w:r>
      <w:r w:rsidR="00E679DB" w:rsidRPr="005C1611">
        <w:rPr>
          <w:rFonts w:asciiTheme="minorHAnsi" w:hAnsiTheme="minorHAnsi" w:cstheme="minorHAnsi"/>
          <w:lang w:val="en-US"/>
        </w:rPr>
        <w:t>despite th</w:t>
      </w:r>
      <w:r w:rsidR="002038F7" w:rsidRPr="005C1611">
        <w:rPr>
          <w:rFonts w:asciiTheme="minorHAnsi" w:hAnsiTheme="minorHAnsi" w:cstheme="minorHAnsi"/>
          <w:lang w:val="en-US"/>
        </w:rPr>
        <w:t>e</w:t>
      </w:r>
      <w:r w:rsidR="00E679DB" w:rsidRPr="005C1611">
        <w:rPr>
          <w:rFonts w:asciiTheme="minorHAnsi" w:hAnsiTheme="minorHAnsi" w:cstheme="minorHAnsi"/>
          <w:lang w:val="en-US"/>
        </w:rPr>
        <w:t xml:space="preserve"> national </w:t>
      </w:r>
      <w:r w:rsidR="00946E7F" w:rsidRPr="005C1611">
        <w:rPr>
          <w:rFonts w:asciiTheme="minorHAnsi" w:hAnsiTheme="minorHAnsi" w:cstheme="minorHAnsi"/>
          <w:lang w:val="en-US"/>
        </w:rPr>
        <w:t>catchment</w:t>
      </w:r>
      <w:r w:rsidR="00E679DB" w:rsidRPr="005C1611">
        <w:rPr>
          <w:rFonts w:asciiTheme="minorHAnsi" w:hAnsiTheme="minorHAnsi" w:cstheme="minorHAnsi"/>
          <w:lang w:val="en-US"/>
        </w:rPr>
        <w:t xml:space="preserve"> an</w:t>
      </w:r>
      <w:r w:rsidR="00A3122C" w:rsidRPr="005C1611">
        <w:rPr>
          <w:rFonts w:asciiTheme="minorHAnsi" w:hAnsiTheme="minorHAnsi" w:cstheme="minorHAnsi"/>
          <w:lang w:val="en-US"/>
        </w:rPr>
        <w:t xml:space="preserve">d 3-year study interval. </w:t>
      </w:r>
      <w:r w:rsidR="00125E03" w:rsidRPr="005C1611">
        <w:rPr>
          <w:rFonts w:asciiTheme="minorHAnsi" w:hAnsiTheme="minorHAnsi" w:cstheme="minorHAnsi"/>
          <w:lang w:val="en-US"/>
        </w:rPr>
        <w:t xml:space="preserve"> Thus</w:t>
      </w:r>
      <w:r w:rsidR="000D040A" w:rsidRPr="005C1611">
        <w:rPr>
          <w:rFonts w:asciiTheme="minorHAnsi" w:hAnsiTheme="minorHAnsi" w:cstheme="minorHAnsi"/>
          <w:lang w:val="en-US"/>
        </w:rPr>
        <w:t>,</w:t>
      </w:r>
      <w:r w:rsidR="00125E03" w:rsidRPr="005C1611">
        <w:rPr>
          <w:rFonts w:asciiTheme="minorHAnsi" w:hAnsiTheme="minorHAnsi" w:cstheme="minorHAnsi"/>
          <w:lang w:val="en-US"/>
        </w:rPr>
        <w:t xml:space="preserve"> age</w:t>
      </w:r>
      <w:r w:rsidR="00F51FC8" w:rsidRPr="005C1611">
        <w:rPr>
          <w:rFonts w:asciiTheme="minorHAnsi" w:hAnsiTheme="minorHAnsi" w:cstheme="minorHAnsi"/>
          <w:lang w:val="en-US"/>
        </w:rPr>
        <w:t>-</w:t>
      </w:r>
      <w:r w:rsidR="00125E03" w:rsidRPr="005C1611">
        <w:rPr>
          <w:rFonts w:asciiTheme="minorHAnsi" w:hAnsiTheme="minorHAnsi" w:cstheme="minorHAnsi"/>
          <w:lang w:val="en-US"/>
        </w:rPr>
        <w:t xml:space="preserve"> and sex</w:t>
      </w:r>
      <w:r w:rsidR="003E6FC4" w:rsidRPr="005C1611">
        <w:rPr>
          <w:rFonts w:asciiTheme="minorHAnsi" w:hAnsiTheme="minorHAnsi" w:cstheme="minorHAnsi"/>
          <w:lang w:val="en-US"/>
        </w:rPr>
        <w:t>-</w:t>
      </w:r>
      <w:r w:rsidR="00125E03" w:rsidRPr="005C1611">
        <w:rPr>
          <w:rFonts w:asciiTheme="minorHAnsi" w:hAnsiTheme="minorHAnsi" w:cstheme="minorHAnsi"/>
          <w:lang w:val="en-US"/>
        </w:rPr>
        <w:t xml:space="preserve">specific hip </w:t>
      </w:r>
      <w:r w:rsidR="000D040A" w:rsidRPr="005C1611">
        <w:rPr>
          <w:rFonts w:asciiTheme="minorHAnsi" w:hAnsiTheme="minorHAnsi" w:cstheme="minorHAnsi"/>
          <w:lang w:val="en-US"/>
        </w:rPr>
        <w:t>fracture</w:t>
      </w:r>
      <w:r w:rsidR="00125E03" w:rsidRPr="005C1611">
        <w:rPr>
          <w:rFonts w:asciiTheme="minorHAnsi" w:hAnsiTheme="minorHAnsi" w:cstheme="minorHAnsi"/>
          <w:lang w:val="en-US"/>
        </w:rPr>
        <w:t xml:space="preserve"> rates</w:t>
      </w:r>
      <w:r w:rsidR="000D040A" w:rsidRPr="005C1611">
        <w:rPr>
          <w:rFonts w:asciiTheme="minorHAnsi" w:hAnsiTheme="minorHAnsi" w:cstheme="minorHAnsi"/>
          <w:lang w:val="en-US"/>
        </w:rPr>
        <w:t xml:space="preserve"> </w:t>
      </w:r>
      <w:r w:rsidR="00125E03" w:rsidRPr="005C1611">
        <w:rPr>
          <w:rFonts w:asciiTheme="minorHAnsi" w:hAnsiTheme="minorHAnsi" w:cstheme="minorHAnsi"/>
          <w:lang w:val="en-US"/>
        </w:rPr>
        <w:t>a</w:t>
      </w:r>
      <w:r w:rsidR="007740C5" w:rsidRPr="005C1611">
        <w:rPr>
          <w:rFonts w:asciiTheme="minorHAnsi" w:hAnsiTheme="minorHAnsi" w:cstheme="minorHAnsi"/>
          <w:lang w:val="en-US"/>
        </w:rPr>
        <w:t>r</w:t>
      </w:r>
      <w:r w:rsidR="00125E03" w:rsidRPr="005C1611">
        <w:rPr>
          <w:rFonts w:asciiTheme="minorHAnsi" w:hAnsiTheme="minorHAnsi" w:cstheme="minorHAnsi"/>
          <w:lang w:val="en-US"/>
        </w:rPr>
        <w:t xml:space="preserve">e </w:t>
      </w:r>
      <w:r w:rsidR="000D040A" w:rsidRPr="005C1611">
        <w:rPr>
          <w:rFonts w:asciiTheme="minorHAnsi" w:hAnsiTheme="minorHAnsi" w:cstheme="minorHAnsi"/>
          <w:lang w:val="en-US"/>
        </w:rPr>
        <w:t>bound by wide confidence intervals</w:t>
      </w:r>
      <w:r w:rsidR="007740C5" w:rsidRPr="005C1611">
        <w:rPr>
          <w:rFonts w:asciiTheme="minorHAnsi" w:hAnsiTheme="minorHAnsi" w:cstheme="minorHAnsi"/>
          <w:lang w:val="en-US"/>
        </w:rPr>
        <w:t xml:space="preserve">.  </w:t>
      </w:r>
      <w:r w:rsidR="00C90A66" w:rsidRPr="005C1611">
        <w:rPr>
          <w:rFonts w:asciiTheme="minorHAnsi" w:hAnsiTheme="minorHAnsi" w:cstheme="minorHAnsi"/>
          <w:lang w:val="en-US"/>
        </w:rPr>
        <w:t>It i</w:t>
      </w:r>
      <w:r w:rsidR="00AE77A1" w:rsidRPr="005C1611">
        <w:rPr>
          <w:rFonts w:asciiTheme="minorHAnsi" w:hAnsiTheme="minorHAnsi" w:cstheme="minorHAnsi"/>
          <w:lang w:val="en-US"/>
        </w:rPr>
        <w:t>s</w:t>
      </w:r>
      <w:r w:rsidR="00C90A66" w:rsidRPr="005C1611">
        <w:rPr>
          <w:rFonts w:asciiTheme="minorHAnsi" w:hAnsiTheme="minorHAnsi" w:cstheme="minorHAnsi"/>
          <w:lang w:val="en-US"/>
        </w:rPr>
        <w:t xml:space="preserve"> relevant</w:t>
      </w:r>
      <w:r w:rsidR="007B0188" w:rsidRPr="005C1611">
        <w:rPr>
          <w:rFonts w:asciiTheme="minorHAnsi" w:hAnsiTheme="minorHAnsi" w:cstheme="minorHAnsi"/>
          <w:lang w:val="en-US"/>
        </w:rPr>
        <w:t xml:space="preserve">, </w:t>
      </w:r>
      <w:r w:rsidR="00550E55" w:rsidRPr="005C1611">
        <w:rPr>
          <w:rFonts w:asciiTheme="minorHAnsi" w:hAnsiTheme="minorHAnsi" w:cstheme="minorHAnsi"/>
          <w:lang w:val="en-US"/>
        </w:rPr>
        <w:t>however, that</w:t>
      </w:r>
      <w:r w:rsidR="00C125D5" w:rsidRPr="005C1611">
        <w:rPr>
          <w:rFonts w:asciiTheme="minorHAnsi" w:hAnsiTheme="minorHAnsi" w:cstheme="minorHAnsi"/>
          <w:color w:val="131413"/>
          <w:lang w:val="en-US"/>
        </w:rPr>
        <w:t>, accuracy errors have little impact on the rank order with which the FRAX tool categorizes risk in a given population</w:t>
      </w:r>
      <w:r w:rsidR="00AE77A1" w:rsidRPr="005C1611">
        <w:rPr>
          <w:rFonts w:asciiTheme="minorHAnsi" w:hAnsiTheme="minorHAnsi" w:cstheme="minorHAnsi"/>
          <w:color w:val="131413"/>
          <w:lang w:val="en-US"/>
        </w:rPr>
        <w:t xml:space="preserve"> [</w:t>
      </w:r>
      <w:r w:rsidR="0091793D" w:rsidRPr="005C1611">
        <w:rPr>
          <w:rFonts w:asciiTheme="minorHAnsi" w:hAnsiTheme="minorHAnsi" w:cstheme="minorHAnsi"/>
          <w:color w:val="131413"/>
          <w:lang w:val="en-US"/>
        </w:rPr>
        <w:t>26</w:t>
      </w:r>
      <w:r w:rsidR="008E4CC4" w:rsidRPr="005C1611">
        <w:rPr>
          <w:rFonts w:asciiTheme="minorHAnsi" w:hAnsiTheme="minorHAnsi" w:cstheme="minorHAnsi"/>
          <w:color w:val="131413"/>
          <w:lang w:val="en-US"/>
        </w:rPr>
        <w:t xml:space="preserve">, </w:t>
      </w:r>
      <w:r w:rsidR="0091793D" w:rsidRPr="005C1611">
        <w:rPr>
          <w:rFonts w:asciiTheme="minorHAnsi" w:hAnsiTheme="minorHAnsi" w:cstheme="minorHAnsi"/>
          <w:color w:val="131413"/>
          <w:lang w:val="en-US"/>
        </w:rPr>
        <w:t>27</w:t>
      </w:r>
      <w:r w:rsidR="00AE77A1" w:rsidRPr="005C1611">
        <w:rPr>
          <w:rFonts w:asciiTheme="minorHAnsi" w:hAnsiTheme="minorHAnsi" w:cstheme="minorHAnsi"/>
          <w:color w:val="131413"/>
          <w:lang w:val="en-US"/>
        </w:rPr>
        <w:t>]</w:t>
      </w:r>
      <w:r w:rsidR="00C125D5" w:rsidRPr="005C1611">
        <w:rPr>
          <w:rFonts w:asciiTheme="minorHAnsi" w:hAnsiTheme="minorHAnsi" w:cstheme="minorHAnsi"/>
          <w:color w:val="131413"/>
          <w:lang w:val="en-US"/>
        </w:rPr>
        <w:t xml:space="preserve"> but they do change the absolute number generated and thus have implications where</w:t>
      </w:r>
      <w:r w:rsidR="00C125D5" w:rsidRPr="008C6EA1">
        <w:rPr>
          <w:rFonts w:asciiTheme="minorHAnsi" w:hAnsiTheme="minorHAnsi" w:cstheme="minorHAnsi"/>
          <w:color w:val="131413"/>
          <w:lang w:val="en-US"/>
        </w:rPr>
        <w:t xml:space="preserve"> treatment guidelines are based on cost-effectiveness or the economic burden of disease.</w:t>
      </w:r>
      <w:r w:rsidR="00962FF0" w:rsidRPr="008C6EA1">
        <w:rPr>
          <w:rFonts w:asciiTheme="minorHAnsi" w:hAnsiTheme="minorHAnsi" w:cstheme="minorHAnsi"/>
          <w:color w:val="131413"/>
          <w:lang w:val="en-US"/>
        </w:rPr>
        <w:t xml:space="preserve"> </w:t>
      </w:r>
      <w:r w:rsidR="00D0388C" w:rsidRPr="008C6EA1">
        <w:rPr>
          <w:rFonts w:asciiTheme="minorHAnsi" w:hAnsiTheme="minorHAnsi" w:cstheme="minorHAnsi"/>
          <w:color w:val="131413"/>
          <w:lang w:val="en-US"/>
        </w:rPr>
        <w:t xml:space="preserve"> In order to address these limitations</w:t>
      </w:r>
      <w:r w:rsidR="00574AD9" w:rsidRPr="008C6EA1">
        <w:rPr>
          <w:rFonts w:asciiTheme="minorHAnsi" w:hAnsiTheme="minorHAnsi" w:cstheme="minorHAnsi"/>
          <w:color w:val="131413"/>
          <w:lang w:val="en-US"/>
        </w:rPr>
        <w:t>, populations representati</w:t>
      </w:r>
      <w:r w:rsidR="00A121CE" w:rsidRPr="008C6EA1">
        <w:rPr>
          <w:rFonts w:asciiTheme="minorHAnsi" w:hAnsiTheme="minorHAnsi" w:cstheme="minorHAnsi"/>
          <w:color w:val="131413"/>
          <w:lang w:val="en-US"/>
        </w:rPr>
        <w:t>ve of the general population at risk would need to be studied</w:t>
      </w:r>
      <w:r w:rsidR="007C196D" w:rsidRPr="008C6EA1">
        <w:rPr>
          <w:rFonts w:asciiTheme="minorHAnsi" w:hAnsiTheme="minorHAnsi" w:cstheme="minorHAnsi"/>
          <w:color w:val="131413"/>
          <w:lang w:val="en-US"/>
        </w:rPr>
        <w:t xml:space="preserve"> prospectively, preferably over a 10-year time </w:t>
      </w:r>
      <w:r w:rsidR="004F3307" w:rsidRPr="008C6EA1">
        <w:rPr>
          <w:rFonts w:asciiTheme="minorHAnsi" w:hAnsiTheme="minorHAnsi" w:cstheme="minorHAnsi"/>
          <w:color w:val="131413"/>
          <w:lang w:val="en-US"/>
        </w:rPr>
        <w:t>horizon.</w:t>
      </w:r>
    </w:p>
    <w:p w14:paraId="119A2660" w14:textId="77777777" w:rsidR="008C6EA1" w:rsidRPr="008C6EA1" w:rsidRDefault="008C6EA1" w:rsidP="007740C5">
      <w:pPr>
        <w:spacing w:line="276" w:lineRule="auto"/>
        <w:ind w:left="567" w:right="1275"/>
        <w:rPr>
          <w:rFonts w:asciiTheme="minorHAnsi" w:hAnsiTheme="minorHAnsi" w:cstheme="minorHAnsi"/>
          <w:color w:val="131413"/>
          <w:lang w:val="en-US"/>
        </w:rPr>
      </w:pPr>
    </w:p>
    <w:p w14:paraId="0F2ACE44" w14:textId="658AE453" w:rsidR="0034001A" w:rsidRPr="00CF2873" w:rsidRDefault="00F33E11" w:rsidP="0030661D">
      <w:pPr>
        <w:spacing w:after="200" w:line="276" w:lineRule="auto"/>
        <w:ind w:left="567" w:right="1275"/>
        <w:rPr>
          <w:rFonts w:asciiTheme="minorHAnsi" w:hAnsiTheme="minorHAnsi" w:cstheme="minorHAnsi"/>
          <w:lang w:val="en-US"/>
        </w:rPr>
      </w:pPr>
      <w:r w:rsidRPr="00CF2873">
        <w:rPr>
          <w:rFonts w:asciiTheme="minorHAnsi" w:hAnsiTheme="minorHAnsi" w:cstheme="minorHAnsi"/>
          <w:lang w:val="en-US"/>
        </w:rPr>
        <w:t xml:space="preserve">In summary, </w:t>
      </w:r>
      <w:r w:rsidR="0009472B" w:rsidRPr="00CF2873">
        <w:rPr>
          <w:rFonts w:asciiTheme="minorHAnsi" w:hAnsiTheme="minorHAnsi" w:cstheme="minorHAnsi"/>
          <w:lang w:val="en-US"/>
        </w:rPr>
        <w:t>a</w:t>
      </w:r>
      <w:r w:rsidRPr="00CF2873">
        <w:rPr>
          <w:rFonts w:asciiTheme="minorHAnsi" w:hAnsiTheme="minorHAnsi" w:cstheme="minorHAnsi"/>
          <w:lang w:val="en-US"/>
        </w:rPr>
        <w:t xml:space="preserve"> FRAX model has been created</w:t>
      </w:r>
      <w:r w:rsidR="002D79C4" w:rsidRPr="00CF2873">
        <w:rPr>
          <w:rFonts w:asciiTheme="minorHAnsi" w:hAnsiTheme="minorHAnsi" w:cstheme="minorHAnsi"/>
          <w:lang w:val="en-US"/>
        </w:rPr>
        <w:t xml:space="preserve"> </w:t>
      </w:r>
      <w:r w:rsidRPr="00CF2873">
        <w:rPr>
          <w:rFonts w:asciiTheme="minorHAnsi" w:hAnsiTheme="minorHAnsi" w:cstheme="minorHAnsi"/>
          <w:lang w:val="en-US"/>
        </w:rPr>
        <w:t xml:space="preserve">for the </w:t>
      </w:r>
      <w:r w:rsidR="0012097A" w:rsidRPr="00CF2873">
        <w:rPr>
          <w:rFonts w:asciiTheme="minorHAnsi" w:hAnsiTheme="minorHAnsi" w:cstheme="minorHAnsi"/>
          <w:lang w:val="en-US"/>
        </w:rPr>
        <w:t>State of Qatar</w:t>
      </w:r>
      <w:r w:rsidRPr="00CF2873">
        <w:rPr>
          <w:rFonts w:asciiTheme="minorHAnsi" w:hAnsiTheme="minorHAnsi" w:cstheme="minorHAnsi"/>
          <w:lang w:val="en-US"/>
        </w:rPr>
        <w:t xml:space="preserve"> based on a </w:t>
      </w:r>
      <w:r w:rsidR="00210E58" w:rsidRPr="00CF2873">
        <w:rPr>
          <w:rFonts w:asciiTheme="minorHAnsi" w:hAnsiTheme="minorHAnsi" w:cstheme="minorHAnsi"/>
          <w:lang w:val="en-US"/>
        </w:rPr>
        <w:t>national</w:t>
      </w:r>
      <w:r w:rsidR="00924750" w:rsidRPr="00CF2873">
        <w:rPr>
          <w:rFonts w:asciiTheme="minorHAnsi" w:hAnsiTheme="minorHAnsi" w:cstheme="minorHAnsi"/>
          <w:lang w:val="en-US"/>
        </w:rPr>
        <w:t xml:space="preserve"> estimate of </w:t>
      </w:r>
      <w:r w:rsidR="00A8718A" w:rsidRPr="00CF2873">
        <w:rPr>
          <w:rFonts w:asciiTheme="minorHAnsi" w:hAnsiTheme="minorHAnsi" w:cstheme="minorHAnsi"/>
          <w:lang w:val="en-US"/>
        </w:rPr>
        <w:t xml:space="preserve">the incidence of </w:t>
      </w:r>
      <w:r w:rsidRPr="00CF2873">
        <w:rPr>
          <w:rFonts w:asciiTheme="minorHAnsi" w:hAnsiTheme="minorHAnsi" w:cstheme="minorHAnsi"/>
          <w:lang w:val="en-US"/>
        </w:rPr>
        <w:t>hip fracture</w:t>
      </w:r>
      <w:r w:rsidR="00A8718A" w:rsidRPr="00CF2873">
        <w:rPr>
          <w:rFonts w:asciiTheme="minorHAnsi" w:hAnsiTheme="minorHAnsi" w:cstheme="minorHAnsi"/>
          <w:lang w:val="en-US"/>
        </w:rPr>
        <w:t>s</w:t>
      </w:r>
      <w:r w:rsidRPr="00CF2873">
        <w:rPr>
          <w:rFonts w:asciiTheme="minorHAnsi" w:hAnsiTheme="minorHAnsi" w:cstheme="minorHAnsi"/>
          <w:lang w:val="en-US"/>
        </w:rPr>
        <w:t>. Th</w:t>
      </w:r>
      <w:r w:rsidR="00A8718A" w:rsidRPr="00CF2873">
        <w:rPr>
          <w:rFonts w:asciiTheme="minorHAnsi" w:hAnsiTheme="minorHAnsi" w:cstheme="minorHAnsi"/>
          <w:lang w:val="en-US"/>
        </w:rPr>
        <w:t>e</w:t>
      </w:r>
      <w:r w:rsidRPr="00CF2873">
        <w:rPr>
          <w:rFonts w:asciiTheme="minorHAnsi" w:hAnsiTheme="minorHAnsi" w:cstheme="minorHAnsi"/>
          <w:lang w:val="en-US"/>
        </w:rPr>
        <w:t xml:space="preserve"> model should enhance accuracy of determining fracture probability among the </w:t>
      </w:r>
      <w:r w:rsidR="00CF2873" w:rsidRPr="00CF2873">
        <w:rPr>
          <w:rFonts w:asciiTheme="minorHAnsi" w:hAnsiTheme="minorHAnsi" w:cstheme="minorHAnsi"/>
          <w:lang w:val="en-US"/>
        </w:rPr>
        <w:t>Qatari</w:t>
      </w:r>
      <w:r w:rsidRPr="00CF2873">
        <w:rPr>
          <w:rFonts w:asciiTheme="minorHAnsi" w:hAnsiTheme="minorHAnsi" w:cstheme="minorHAnsi"/>
          <w:lang w:val="en-US"/>
        </w:rPr>
        <w:t xml:space="preserve"> population and help to guide decisions about treatment.</w:t>
      </w:r>
    </w:p>
    <w:p w14:paraId="03AF833A" w14:textId="74D4BFFA" w:rsidR="00A71745" w:rsidRPr="00A16677" w:rsidRDefault="00A71745" w:rsidP="0030661D">
      <w:pPr>
        <w:spacing w:after="200" w:line="276" w:lineRule="auto"/>
        <w:ind w:left="567" w:right="1275"/>
        <w:rPr>
          <w:rFonts w:asciiTheme="minorHAnsi" w:hAnsiTheme="minorHAnsi" w:cstheme="minorHAnsi"/>
          <w:color w:val="000000"/>
          <w:highlight w:val="yellow"/>
          <w:shd w:val="clear" w:color="auto" w:fill="FFFFFF"/>
          <w:lang w:val="en-US"/>
        </w:rPr>
      </w:pPr>
    </w:p>
    <w:p w14:paraId="29D4B2C8" w14:textId="5FDB59BA" w:rsidR="00CE4DCC" w:rsidRDefault="00CE4DCC" w:rsidP="0030661D">
      <w:pPr>
        <w:spacing w:line="276" w:lineRule="auto"/>
        <w:ind w:left="567" w:right="1275"/>
        <w:rPr>
          <w:rFonts w:asciiTheme="minorHAnsi" w:hAnsiTheme="minorHAnsi" w:cstheme="minorHAnsi"/>
          <w:lang w:val="en-US"/>
        </w:rPr>
      </w:pPr>
    </w:p>
    <w:p w14:paraId="7D0E21D0" w14:textId="5C1D794A" w:rsidR="00CE4DCC" w:rsidRDefault="00CE4DCC" w:rsidP="0030661D">
      <w:pPr>
        <w:spacing w:line="276" w:lineRule="auto"/>
        <w:ind w:left="567" w:right="1275"/>
        <w:rPr>
          <w:rFonts w:asciiTheme="minorHAnsi" w:hAnsiTheme="minorHAnsi" w:cstheme="minorHAnsi"/>
          <w:b/>
          <w:lang w:val="en-US"/>
        </w:rPr>
      </w:pPr>
      <w:r w:rsidRPr="00CE4DCC">
        <w:rPr>
          <w:rFonts w:asciiTheme="minorHAnsi" w:hAnsiTheme="minorHAnsi" w:cstheme="minorHAnsi"/>
          <w:b/>
          <w:lang w:val="en-US"/>
        </w:rPr>
        <w:t>References</w:t>
      </w:r>
    </w:p>
    <w:p w14:paraId="71C2F036" w14:textId="5E8629C6" w:rsidR="00A2696C" w:rsidRDefault="00A2696C" w:rsidP="0030661D">
      <w:pPr>
        <w:spacing w:line="276" w:lineRule="auto"/>
        <w:ind w:left="567" w:right="1275"/>
        <w:rPr>
          <w:rFonts w:asciiTheme="minorHAnsi" w:hAnsiTheme="minorHAnsi" w:cstheme="minorHAnsi"/>
          <w:b/>
          <w:lang w:val="en-US"/>
        </w:rPr>
      </w:pPr>
    </w:p>
    <w:tbl>
      <w:tblPr>
        <w:tblStyle w:val="TableGrid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080"/>
      </w:tblGrid>
      <w:tr w:rsidR="001669E8" w:rsidRPr="00E91E95" w14:paraId="50421F12" w14:textId="77777777" w:rsidTr="00BD0C03">
        <w:tc>
          <w:tcPr>
            <w:tcW w:w="567" w:type="dxa"/>
          </w:tcPr>
          <w:p w14:paraId="2DCD687C" w14:textId="77777777" w:rsidR="001669E8" w:rsidRPr="00C92452"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w:t>
            </w:r>
          </w:p>
        </w:tc>
        <w:tc>
          <w:tcPr>
            <w:tcW w:w="8080" w:type="dxa"/>
          </w:tcPr>
          <w:p w14:paraId="3C2E1E03" w14:textId="616B2CA2" w:rsidR="001669E8" w:rsidRPr="00C92452" w:rsidRDefault="001669E8" w:rsidP="00B9037B">
            <w:pPr>
              <w:spacing w:after="240"/>
              <w:rPr>
                <w:rFonts w:ascii="Calibri" w:eastAsia="Calibri" w:hAnsi="Calibri" w:cs="Calibri"/>
                <w:sz w:val="20"/>
                <w:szCs w:val="20"/>
                <w:lang w:eastAsia="en-US"/>
              </w:rPr>
            </w:pPr>
            <w:r w:rsidRPr="00C92452">
              <w:rPr>
                <w:rFonts w:ascii="Calibri" w:eastAsia="Calibri" w:hAnsi="Calibri" w:cs="Calibri"/>
                <w:sz w:val="20"/>
                <w:szCs w:val="20"/>
                <w:lang w:eastAsia="en-US"/>
              </w:rPr>
              <w:t>Kanis JA, McCloskey EV, Johansson H, Oden A, Melton LJ, 3rd, Khaltaev N (2008) A reference standard for the description of osteoporosis. Bone 42:467-475 18180210</w:t>
            </w:r>
          </w:p>
        </w:tc>
      </w:tr>
      <w:tr w:rsidR="001669E8" w:rsidRPr="00E91E95" w14:paraId="576D2484" w14:textId="77777777" w:rsidTr="00BD0C03">
        <w:tc>
          <w:tcPr>
            <w:tcW w:w="567" w:type="dxa"/>
          </w:tcPr>
          <w:p w14:paraId="13AEE868" w14:textId="77777777" w:rsidR="001669E8" w:rsidRPr="00C92452"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2.</w:t>
            </w:r>
          </w:p>
        </w:tc>
        <w:tc>
          <w:tcPr>
            <w:tcW w:w="8080" w:type="dxa"/>
          </w:tcPr>
          <w:p w14:paraId="3816A2B7" w14:textId="77777777" w:rsidR="001669E8" w:rsidRPr="00C92452" w:rsidRDefault="001669E8" w:rsidP="00B9037B">
            <w:pPr>
              <w:spacing w:after="240"/>
              <w:rPr>
                <w:rFonts w:ascii="Calibri" w:eastAsia="Calibri" w:hAnsi="Calibri" w:cs="Calibri"/>
                <w:sz w:val="20"/>
                <w:szCs w:val="20"/>
                <w:lang w:eastAsia="en-US"/>
              </w:rPr>
            </w:pPr>
            <w:r w:rsidRPr="00C92452">
              <w:rPr>
                <w:rFonts w:ascii="Calibri" w:eastAsia="Calibri" w:hAnsi="Calibri" w:cs="Calibri"/>
                <w:sz w:val="20"/>
                <w:szCs w:val="20"/>
                <w:lang w:eastAsia="en-US"/>
              </w:rPr>
              <w:t>WHO (1994) Assessment of fracture risk and its application to screening for postmenopausal osteoporosis. World Health Organization, Geneva</w:t>
            </w:r>
          </w:p>
        </w:tc>
      </w:tr>
      <w:tr w:rsidR="001669E8" w:rsidRPr="00E91E95" w14:paraId="00D67890" w14:textId="77777777" w:rsidTr="00BD0C03">
        <w:tc>
          <w:tcPr>
            <w:tcW w:w="567" w:type="dxa"/>
          </w:tcPr>
          <w:p w14:paraId="111EB439" w14:textId="77777777" w:rsidR="001669E8" w:rsidRPr="00C92452"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3.</w:t>
            </w:r>
          </w:p>
        </w:tc>
        <w:tc>
          <w:tcPr>
            <w:tcW w:w="8080" w:type="dxa"/>
          </w:tcPr>
          <w:p w14:paraId="61F4A122" w14:textId="77777777" w:rsidR="001669E8" w:rsidRPr="00C92452" w:rsidRDefault="001669E8" w:rsidP="00B9037B">
            <w:pPr>
              <w:spacing w:after="240"/>
              <w:rPr>
                <w:rFonts w:ascii="Calibri" w:eastAsia="Calibri" w:hAnsi="Calibri" w:cs="Calibri"/>
                <w:sz w:val="20"/>
                <w:szCs w:val="20"/>
                <w:lang w:eastAsia="en-US"/>
              </w:rPr>
            </w:pPr>
            <w:r w:rsidRPr="00C92452">
              <w:rPr>
                <w:rFonts w:ascii="Calibri" w:eastAsia="Calibri" w:hAnsi="Calibri" w:cs="Calibri"/>
                <w:sz w:val="20"/>
                <w:szCs w:val="20"/>
                <w:lang w:eastAsia="en-US"/>
              </w:rPr>
              <w:t>Kanis JA, Odén A, McCloskey EV, Johansson H, Wahl D, Cyrus Cooper C on behalf of the IOF Working Group on Epidemiology and Quality of Life (2012) A systematic review of hip fracture incidence and probability of fracture worldwide. Osteoporos Int 23: 2239-2256.</w:t>
            </w:r>
          </w:p>
        </w:tc>
      </w:tr>
      <w:tr w:rsidR="001669E8" w:rsidRPr="00E91E95" w14:paraId="6EE1E45D" w14:textId="77777777" w:rsidTr="00BD0C03">
        <w:tc>
          <w:tcPr>
            <w:tcW w:w="567" w:type="dxa"/>
          </w:tcPr>
          <w:p w14:paraId="3EDBCC4F" w14:textId="77777777" w:rsidR="001669E8" w:rsidRPr="00C92452"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4.</w:t>
            </w:r>
          </w:p>
        </w:tc>
        <w:tc>
          <w:tcPr>
            <w:tcW w:w="8080" w:type="dxa"/>
          </w:tcPr>
          <w:p w14:paraId="1139BBAF" w14:textId="77777777" w:rsidR="001669E8" w:rsidRPr="00C92452" w:rsidRDefault="001669E8" w:rsidP="00B9037B">
            <w:pPr>
              <w:spacing w:after="240"/>
              <w:rPr>
                <w:rFonts w:ascii="Calibri" w:eastAsia="Calibri" w:hAnsi="Calibri" w:cs="Calibri"/>
                <w:sz w:val="20"/>
                <w:szCs w:val="20"/>
                <w:lang w:eastAsia="en-US"/>
              </w:rPr>
            </w:pPr>
            <w:r w:rsidRPr="00C92452">
              <w:rPr>
                <w:rFonts w:ascii="Calibri" w:eastAsia="Calibri" w:hAnsi="Calibri" w:cs="Calibri"/>
                <w:sz w:val="20"/>
                <w:szCs w:val="20"/>
                <w:lang w:eastAsia="en-US"/>
              </w:rPr>
              <w:t>Kanis JA, McCloskey EV, Harvey NC, Johansson H, Leslie WD (2015) Intervention thresholds and the diagnosis of osteoporosis. J Bone Miner Res 30: 1747-1753.</w:t>
            </w:r>
          </w:p>
        </w:tc>
      </w:tr>
      <w:tr w:rsidR="001669E8" w:rsidRPr="00E91E95" w14:paraId="5D51564E" w14:textId="77777777" w:rsidTr="00BD0C03">
        <w:tc>
          <w:tcPr>
            <w:tcW w:w="567" w:type="dxa"/>
          </w:tcPr>
          <w:p w14:paraId="6B02C209" w14:textId="77777777" w:rsidR="001669E8" w:rsidRPr="00C92452"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5.</w:t>
            </w:r>
          </w:p>
        </w:tc>
        <w:tc>
          <w:tcPr>
            <w:tcW w:w="8080" w:type="dxa"/>
          </w:tcPr>
          <w:p w14:paraId="63DAD604" w14:textId="77777777" w:rsidR="001669E8" w:rsidRPr="00C92452" w:rsidRDefault="001669E8" w:rsidP="00B9037B">
            <w:pPr>
              <w:spacing w:after="240"/>
              <w:rPr>
                <w:rFonts w:ascii="Calibri" w:eastAsia="Calibri" w:hAnsi="Calibri" w:cs="Calibri"/>
                <w:sz w:val="20"/>
                <w:szCs w:val="20"/>
                <w:lang w:eastAsia="en-US"/>
              </w:rPr>
            </w:pPr>
            <w:r w:rsidRPr="00C92452">
              <w:rPr>
                <w:rFonts w:ascii="Calibri" w:eastAsia="Calibri" w:hAnsi="Calibri" w:cs="Calibri"/>
                <w:sz w:val="20"/>
                <w:szCs w:val="20"/>
                <w:lang w:eastAsia="en-US"/>
              </w:rPr>
              <w:t>Kanis JA on behalf of the World Health Organization Scientific Group (2007) Assessment of osteoporosis at the primary health-care level. Technical Report. WHO Collaborating Centre, University of Sheffield, UK. Available at http://www.shef.ac.uk/FRAX/index.htm</w:t>
            </w:r>
          </w:p>
        </w:tc>
      </w:tr>
      <w:tr w:rsidR="001669E8" w:rsidRPr="00E91E95" w14:paraId="19598E3C" w14:textId="77777777" w:rsidTr="00BD0C03">
        <w:tc>
          <w:tcPr>
            <w:tcW w:w="567" w:type="dxa"/>
          </w:tcPr>
          <w:p w14:paraId="1468DC09" w14:textId="79A6E8E9" w:rsidR="001669E8" w:rsidRPr="000C1DC4" w:rsidRDefault="001669E8" w:rsidP="00F40D2C">
            <w:pPr>
              <w:tabs>
                <w:tab w:val="left" w:pos="278"/>
              </w:tabs>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6.</w:t>
            </w:r>
          </w:p>
        </w:tc>
        <w:tc>
          <w:tcPr>
            <w:tcW w:w="8080" w:type="dxa"/>
          </w:tcPr>
          <w:p w14:paraId="15CDF5C0" w14:textId="77777777" w:rsidR="001669E8" w:rsidRPr="000C1DC4" w:rsidRDefault="001669E8" w:rsidP="00B9037B">
            <w:pPr>
              <w:spacing w:after="240"/>
              <w:rPr>
                <w:rFonts w:ascii="Calibri" w:eastAsia="Calibri" w:hAnsi="Calibri" w:cs="Calibri"/>
                <w:sz w:val="20"/>
                <w:szCs w:val="20"/>
                <w:lang w:eastAsia="en-US"/>
              </w:rPr>
            </w:pPr>
            <w:r w:rsidRPr="000C1DC4">
              <w:rPr>
                <w:rFonts w:ascii="Calibri" w:eastAsia="Calibri" w:hAnsi="Calibri" w:cs="Calibri"/>
                <w:bCs/>
                <w:sz w:val="20"/>
                <w:szCs w:val="20"/>
                <w:lang w:eastAsia="en-US"/>
              </w:rPr>
              <w:t>Kanis JA, Harvey NC, Cooper C, Johansson H, Odén A, McCloskey EV and the Advisory Board of the National Osteoporosis Guideline Group (2016)</w:t>
            </w:r>
            <w:r w:rsidRPr="000C1DC4">
              <w:rPr>
                <w:rFonts w:ascii="Calibri" w:eastAsia="Calibri" w:hAnsi="Calibri" w:cs="Calibri"/>
                <w:sz w:val="20"/>
                <w:szCs w:val="20"/>
                <w:lang w:eastAsia="en-US"/>
              </w:rPr>
              <w:t xml:space="preserve"> </w:t>
            </w:r>
            <w:r w:rsidRPr="000C1DC4">
              <w:rPr>
                <w:rFonts w:ascii="Calibri" w:eastAsia="Calibri" w:hAnsi="Calibri" w:cs="Calibri"/>
                <w:bCs/>
                <w:sz w:val="20"/>
                <w:szCs w:val="20"/>
                <w:lang w:eastAsia="en-US"/>
              </w:rPr>
              <w:t>A systematic review of intervention thresholds based on FRAX. Arch Osteoporos 11: 25. doi: 10.1007/s11657-016-0278-z</w:t>
            </w:r>
          </w:p>
        </w:tc>
      </w:tr>
      <w:tr w:rsidR="001669E8" w:rsidRPr="00E91E95" w14:paraId="22CF94E0" w14:textId="77777777" w:rsidTr="00BD0C03">
        <w:tc>
          <w:tcPr>
            <w:tcW w:w="567" w:type="dxa"/>
          </w:tcPr>
          <w:p w14:paraId="1BB25237" w14:textId="134232ED" w:rsidR="001669E8" w:rsidRPr="00C92452" w:rsidRDefault="001669E8" w:rsidP="00F40D2C">
            <w:pPr>
              <w:tabs>
                <w:tab w:val="left" w:pos="338"/>
              </w:tabs>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7.</w:t>
            </w:r>
          </w:p>
        </w:tc>
        <w:tc>
          <w:tcPr>
            <w:tcW w:w="8080" w:type="dxa"/>
          </w:tcPr>
          <w:p w14:paraId="2308C739" w14:textId="2BDA3E7B" w:rsidR="001669E8" w:rsidRPr="00C92452" w:rsidRDefault="001669E8" w:rsidP="00B9037B">
            <w:pPr>
              <w:spacing w:after="240"/>
              <w:rPr>
                <w:rFonts w:ascii="Calibri" w:eastAsia="Calibri" w:hAnsi="Calibri" w:cs="Calibri"/>
                <w:sz w:val="20"/>
                <w:szCs w:val="20"/>
                <w:lang w:eastAsia="en-US"/>
              </w:rPr>
            </w:pPr>
            <w:r w:rsidRPr="00C92452">
              <w:rPr>
                <w:rFonts w:ascii="Calibri" w:eastAsia="Calibri" w:hAnsi="Calibri" w:cs="Calibri"/>
                <w:sz w:val="20"/>
                <w:szCs w:val="20"/>
                <w:lang w:eastAsia="en-US"/>
              </w:rPr>
              <w:t>Kanis JA, Johnell O, Oden A, Johansson H, McCloskey EV (2008) FRAX™ and the assessment of fracture probability in men and women from the UK.  Osteoporos Int 19: 385-397.</w:t>
            </w:r>
          </w:p>
        </w:tc>
      </w:tr>
      <w:tr w:rsidR="001669E8" w:rsidRPr="00E91E95" w14:paraId="6FA58126" w14:textId="77777777" w:rsidTr="00BD0C03">
        <w:tc>
          <w:tcPr>
            <w:tcW w:w="567" w:type="dxa"/>
          </w:tcPr>
          <w:p w14:paraId="108F0D93" w14:textId="77777777" w:rsidR="001669E8" w:rsidRPr="00C92452"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8.</w:t>
            </w:r>
          </w:p>
        </w:tc>
        <w:tc>
          <w:tcPr>
            <w:tcW w:w="8080" w:type="dxa"/>
          </w:tcPr>
          <w:p w14:paraId="5B087CB8" w14:textId="77777777" w:rsidR="001669E8" w:rsidRPr="00C92452" w:rsidRDefault="001669E8" w:rsidP="00B9037B">
            <w:pPr>
              <w:spacing w:after="240"/>
              <w:rPr>
                <w:rFonts w:ascii="Calibri" w:eastAsia="Calibri" w:hAnsi="Calibri" w:cs="Calibri"/>
                <w:sz w:val="20"/>
                <w:szCs w:val="20"/>
                <w:lang w:eastAsia="en-US"/>
              </w:rPr>
            </w:pPr>
            <w:r w:rsidRPr="00C92452">
              <w:rPr>
                <w:rFonts w:ascii="Calibri" w:eastAsia="Calibri" w:hAnsi="Calibri" w:cs="Calibri"/>
                <w:sz w:val="20"/>
                <w:szCs w:val="20"/>
                <w:lang w:eastAsia="en-US"/>
              </w:rPr>
              <w:t>Al-Saleh Y, Al-Daghri NM, Sabico S, Alessa T, Al Emadi S, Alawadi F, Al Qasaabi S, Alfutaisi A, Al Izzi M, Mukhaimer J, Suhaili AR, Reginster JY, Sulimani R (2020) Diagnosis and management of osteoporosis in postmenopausal women in Gulf Cooperation Council (GCC) countries: consensus statement of the GCC countries' osteoporosis societies under the auspices of the European Society for Clinical and Economic Aspects of Osteoporosis and Osteoarthritis (ESCEO). Arch Osteoporos 15(1):109. doi: 10.1007/s11657-020-00778-5.</w:t>
            </w:r>
          </w:p>
        </w:tc>
      </w:tr>
      <w:tr w:rsidR="004F1B51" w:rsidRPr="00E91E95" w14:paraId="67E2706C" w14:textId="77777777" w:rsidTr="00BD0C03">
        <w:tc>
          <w:tcPr>
            <w:tcW w:w="567" w:type="dxa"/>
          </w:tcPr>
          <w:p w14:paraId="3D9A9F13" w14:textId="3DE929D0" w:rsidR="004F1B51" w:rsidRDefault="0058489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9.</w:t>
            </w:r>
          </w:p>
        </w:tc>
        <w:tc>
          <w:tcPr>
            <w:tcW w:w="8080" w:type="dxa"/>
          </w:tcPr>
          <w:p w14:paraId="6FD56076" w14:textId="466B7197" w:rsidR="004F1B51" w:rsidRPr="00E44D86" w:rsidRDefault="00584898" w:rsidP="00B9037B">
            <w:pPr>
              <w:spacing w:after="240"/>
              <w:rPr>
                <w:rFonts w:ascii="Calibri" w:eastAsia="Calibri" w:hAnsi="Calibri" w:cs="Calibri"/>
                <w:sz w:val="20"/>
                <w:szCs w:val="20"/>
                <w:lang w:eastAsia="en-US"/>
              </w:rPr>
            </w:pPr>
            <w:r w:rsidRPr="00584898">
              <w:rPr>
                <w:rFonts w:ascii="Calibri" w:eastAsia="Calibri" w:hAnsi="Calibri" w:cs="Calibri"/>
                <w:sz w:val="20"/>
                <w:szCs w:val="20"/>
                <w:lang w:eastAsia="en-US"/>
              </w:rPr>
              <w:t>Planning and Statistics Authority (2021</w:t>
            </w:r>
            <w:r w:rsidR="00183786">
              <w:rPr>
                <w:rFonts w:ascii="Calibri" w:eastAsia="Calibri" w:hAnsi="Calibri" w:cs="Calibri"/>
                <w:sz w:val="20"/>
                <w:szCs w:val="20"/>
                <w:lang w:eastAsia="en-US"/>
              </w:rPr>
              <w:t xml:space="preserve"> </w:t>
            </w:r>
            <w:r w:rsidRPr="00584898">
              <w:rPr>
                <w:rFonts w:ascii="Calibri" w:eastAsia="Calibri" w:hAnsi="Calibri" w:cs="Calibri"/>
                <w:sz w:val="20"/>
                <w:szCs w:val="20"/>
                <w:lang w:eastAsia="en-US"/>
              </w:rPr>
              <w:t>)</w:t>
            </w:r>
            <w:r w:rsidR="00183786">
              <w:rPr>
                <w:rFonts w:ascii="Calibri" w:eastAsia="Calibri" w:hAnsi="Calibri" w:cs="Calibri"/>
                <w:sz w:val="20"/>
                <w:szCs w:val="20"/>
                <w:lang w:eastAsia="en-US"/>
              </w:rPr>
              <w:t xml:space="preserve"> </w:t>
            </w:r>
            <w:r w:rsidRPr="00584898">
              <w:rPr>
                <w:rFonts w:ascii="Calibri" w:eastAsia="Calibri" w:hAnsi="Calibri" w:cs="Calibri"/>
                <w:sz w:val="20"/>
                <w:szCs w:val="20"/>
                <w:lang w:eastAsia="en-US"/>
              </w:rPr>
              <w:t xml:space="preserve">Qatar Census 2020 Main Results. </w:t>
            </w:r>
            <w:hyperlink r:id="rId13" w:history="1">
              <w:r w:rsidR="003019F7" w:rsidRPr="002710F5">
                <w:rPr>
                  <w:rStyle w:val="Hyperlink"/>
                  <w:rFonts w:ascii="Calibri" w:eastAsia="Calibri" w:hAnsi="Calibri" w:cs="Calibri"/>
                  <w:sz w:val="20"/>
                  <w:szCs w:val="20"/>
                  <w:lang w:eastAsia="en-US"/>
                </w:rPr>
                <w:t>https://www.psa.gov.qa/en/statistics1/StatisticsSite/Census/census2020/Pages/default.aspx</w:t>
              </w:r>
            </w:hyperlink>
            <w:r w:rsidR="003019F7">
              <w:rPr>
                <w:rFonts w:ascii="Calibri" w:eastAsia="Calibri" w:hAnsi="Calibri" w:cs="Calibri"/>
                <w:sz w:val="20"/>
                <w:szCs w:val="20"/>
                <w:lang w:eastAsia="en-US"/>
              </w:rPr>
              <w:t xml:space="preserve">, </w:t>
            </w:r>
            <w:r w:rsidRPr="00584898">
              <w:rPr>
                <w:rFonts w:ascii="Calibri" w:eastAsia="Calibri" w:hAnsi="Calibri" w:cs="Calibri"/>
                <w:sz w:val="20"/>
                <w:szCs w:val="20"/>
                <w:lang w:eastAsia="en-US"/>
              </w:rPr>
              <w:t xml:space="preserve"> Accessed 11th November 2021</w:t>
            </w:r>
          </w:p>
        </w:tc>
      </w:tr>
      <w:tr w:rsidR="001669E8" w:rsidRPr="00E91E95" w14:paraId="06C18A08" w14:textId="77777777" w:rsidTr="00BD0C03">
        <w:tc>
          <w:tcPr>
            <w:tcW w:w="567" w:type="dxa"/>
          </w:tcPr>
          <w:p w14:paraId="0A9FB929" w14:textId="77777777" w:rsidR="001669E8" w:rsidRPr="00ED4BAB" w:rsidRDefault="001669E8" w:rsidP="00EA50DA">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10.</w:t>
            </w:r>
          </w:p>
        </w:tc>
        <w:tc>
          <w:tcPr>
            <w:tcW w:w="8080" w:type="dxa"/>
            <w:shd w:val="clear" w:color="auto" w:fill="auto"/>
          </w:tcPr>
          <w:p w14:paraId="2C8F0BB9" w14:textId="77777777" w:rsidR="001669E8" w:rsidRPr="00ED4BAB" w:rsidRDefault="001669E8" w:rsidP="00EA50DA">
            <w:pPr>
              <w:spacing w:after="240"/>
              <w:rPr>
                <w:rFonts w:ascii="Calibri" w:eastAsia="Calibri" w:hAnsi="Calibri" w:cs="Calibri"/>
                <w:sz w:val="20"/>
                <w:szCs w:val="20"/>
                <w:lang w:eastAsia="en-US"/>
              </w:rPr>
            </w:pPr>
            <w:r w:rsidRPr="00ED4BAB">
              <w:rPr>
                <w:rFonts w:ascii="Calibri" w:hAnsi="Calibri" w:cs="Calibri"/>
                <w:bCs/>
                <w:sz w:val="20"/>
                <w:szCs w:val="20"/>
                <w:lang w:eastAsia="en-US"/>
              </w:rPr>
              <w:t>Sanders KM, Seeman E, Ugoni AM, Pasco JA, Martin TJ, Skoric B, Nicholson GC, Kotowicz MA (1999) Age- and gender speciﬁc rate of fractures in Australia: a population-based study. Osteoporos Int 10:2 40–7.</w:t>
            </w:r>
          </w:p>
        </w:tc>
      </w:tr>
      <w:tr w:rsidR="001669E8" w:rsidRPr="00E91E95" w14:paraId="410CF024" w14:textId="77777777" w:rsidTr="00BD0C03">
        <w:tc>
          <w:tcPr>
            <w:tcW w:w="567" w:type="dxa"/>
          </w:tcPr>
          <w:p w14:paraId="49D915DE" w14:textId="77777777" w:rsidR="001669E8" w:rsidRPr="00ED4BAB" w:rsidRDefault="001669E8" w:rsidP="008876C1">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11.</w:t>
            </w:r>
          </w:p>
        </w:tc>
        <w:tc>
          <w:tcPr>
            <w:tcW w:w="8080" w:type="dxa"/>
          </w:tcPr>
          <w:p w14:paraId="2828D1FF" w14:textId="46599646" w:rsidR="001669E8" w:rsidRPr="00ED4BAB" w:rsidRDefault="00DE272C" w:rsidP="008876C1">
            <w:pPr>
              <w:spacing w:after="240"/>
              <w:rPr>
                <w:rFonts w:ascii="Calibri" w:hAnsi="Calibri" w:cs="Calibri"/>
                <w:sz w:val="20"/>
                <w:szCs w:val="20"/>
              </w:rPr>
            </w:pPr>
            <w:r w:rsidRPr="00DE272C">
              <w:rPr>
                <w:rFonts w:ascii="Calibri" w:hAnsi="Calibri" w:cs="Calibri"/>
                <w:sz w:val="20"/>
                <w:szCs w:val="20"/>
              </w:rPr>
              <w:t xml:space="preserve">Leslie WD, Schousboe JT, Morin SN, Martineau P, Lix JM, Johansson H, McCloskey EV, Harvey NC, Kanis JA (2020) Fracture risk following high-trauma versus non-trauma fracture: A registry-based cohort study.  Osteoporos Int 31: 1059–1067.  </w:t>
            </w:r>
          </w:p>
        </w:tc>
      </w:tr>
      <w:tr w:rsidR="001669E8" w:rsidRPr="00E91E95" w14:paraId="19F3BAE5" w14:textId="77777777" w:rsidTr="00BD0C03">
        <w:tc>
          <w:tcPr>
            <w:tcW w:w="567" w:type="dxa"/>
          </w:tcPr>
          <w:p w14:paraId="28655A04" w14:textId="77777777" w:rsidR="001669E8" w:rsidRPr="00C92452"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12.</w:t>
            </w:r>
          </w:p>
        </w:tc>
        <w:tc>
          <w:tcPr>
            <w:tcW w:w="8080" w:type="dxa"/>
          </w:tcPr>
          <w:p w14:paraId="533B0320" w14:textId="77777777" w:rsidR="001669E8" w:rsidRPr="00C92452" w:rsidRDefault="001669E8" w:rsidP="00B9037B">
            <w:pPr>
              <w:spacing w:after="240"/>
              <w:rPr>
                <w:rFonts w:ascii="Calibri" w:eastAsia="Calibri" w:hAnsi="Calibri" w:cs="Calibri"/>
                <w:sz w:val="20"/>
                <w:szCs w:val="20"/>
                <w:lang w:eastAsia="en-US"/>
              </w:rPr>
            </w:pPr>
            <w:r w:rsidRPr="00C92452">
              <w:rPr>
                <w:rFonts w:ascii="Calibri" w:eastAsia="Calibri" w:hAnsi="Calibri" w:cs="Calibri"/>
                <w:sz w:val="20"/>
                <w:szCs w:val="20"/>
                <w:lang w:eastAsia="en-US"/>
              </w:rPr>
              <w:t>Zakroyeva A, Lesnyak O, Cazac V, Groppa L, Russu E, Chislari L, Rotaru L, Johansson H, Harvey NC, McCloskey E, Kanis JA (2020) Epidemiology of osteoporotic fracture in Moldova and development of a country specific FRAX model.  Arch Osteoporos 15: 13. doi.org/10.1007/s11657-019-0669-z.</w:t>
            </w:r>
          </w:p>
        </w:tc>
      </w:tr>
      <w:tr w:rsidR="001669E8" w:rsidRPr="00E91E95" w14:paraId="67FF4DAA" w14:textId="77777777" w:rsidTr="00BD0C03">
        <w:tc>
          <w:tcPr>
            <w:tcW w:w="567" w:type="dxa"/>
          </w:tcPr>
          <w:p w14:paraId="3655959E" w14:textId="77777777" w:rsidR="001669E8" w:rsidRPr="00C92452"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13.</w:t>
            </w:r>
          </w:p>
        </w:tc>
        <w:tc>
          <w:tcPr>
            <w:tcW w:w="8080" w:type="dxa"/>
          </w:tcPr>
          <w:p w14:paraId="0C59B19B" w14:textId="77777777" w:rsidR="001669E8" w:rsidRPr="00C92452" w:rsidRDefault="001669E8" w:rsidP="00B9037B">
            <w:pPr>
              <w:spacing w:after="240"/>
              <w:rPr>
                <w:rFonts w:ascii="Calibri" w:eastAsia="Calibri" w:hAnsi="Calibri" w:cs="Calibri"/>
                <w:sz w:val="20"/>
                <w:szCs w:val="20"/>
                <w:lang w:eastAsia="en-US"/>
              </w:rPr>
            </w:pPr>
            <w:r w:rsidRPr="00C92452">
              <w:rPr>
                <w:rFonts w:ascii="Calibri" w:hAnsi="Calibri" w:cs="Calibri"/>
                <w:sz w:val="20"/>
                <w:szCs w:val="20"/>
              </w:rPr>
              <w:t>Kanis JA, Oden A, Johnell O, Jonsson B, de Laet C, Dawson A (2001) The burden of osteoporotic fractures: a method for setting intervention thresholds. Osteoporos Int 12:417–427.</w:t>
            </w:r>
          </w:p>
        </w:tc>
      </w:tr>
      <w:tr w:rsidR="001669E8" w:rsidRPr="00E91E95" w14:paraId="62E05C9F" w14:textId="77777777" w:rsidTr="00BD0C03">
        <w:tc>
          <w:tcPr>
            <w:tcW w:w="567" w:type="dxa"/>
          </w:tcPr>
          <w:p w14:paraId="4853621A" w14:textId="77777777" w:rsidR="001669E8" w:rsidRPr="00ED4BAB" w:rsidRDefault="001669E8" w:rsidP="008876C1">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14.</w:t>
            </w:r>
          </w:p>
        </w:tc>
        <w:tc>
          <w:tcPr>
            <w:tcW w:w="8080" w:type="dxa"/>
          </w:tcPr>
          <w:p w14:paraId="41E75623" w14:textId="77777777" w:rsidR="001669E8" w:rsidRPr="00ED4BAB" w:rsidRDefault="001669E8" w:rsidP="008876C1">
            <w:pPr>
              <w:spacing w:after="240"/>
              <w:rPr>
                <w:rFonts w:ascii="Calibri" w:eastAsia="Calibri" w:hAnsi="Calibri" w:cs="Calibri"/>
                <w:sz w:val="20"/>
                <w:szCs w:val="20"/>
                <w:lang w:eastAsia="en-US"/>
              </w:rPr>
            </w:pPr>
            <w:r w:rsidRPr="00ED4BAB">
              <w:rPr>
                <w:rFonts w:ascii="Calibri" w:hAnsi="Calibri" w:cs="Calibri"/>
                <w:sz w:val="20"/>
                <w:szCs w:val="20"/>
              </w:rPr>
              <w:t>Siggeirsdottir K, Aspelund T, Johansson H, Gudmundsson EF, Mogensen B, Jonsson BY, Gudnason V, McCloskey E, Oden A, Sigurdsson G, Kanis JA (2014) The incidence of a first major osteoporotic fracture in Iceland and implications for FRAX. Osteoporos Int 25:2445–2451</w:t>
            </w:r>
          </w:p>
        </w:tc>
      </w:tr>
      <w:tr w:rsidR="001669E8" w:rsidRPr="00E91E95" w14:paraId="125D3CCD" w14:textId="77777777" w:rsidTr="00BD0C03">
        <w:tc>
          <w:tcPr>
            <w:tcW w:w="567" w:type="dxa"/>
          </w:tcPr>
          <w:p w14:paraId="544E2CC8" w14:textId="77777777" w:rsidR="001669E8" w:rsidRPr="00ED4BAB" w:rsidRDefault="001669E8" w:rsidP="008876C1">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15.</w:t>
            </w:r>
          </w:p>
        </w:tc>
        <w:tc>
          <w:tcPr>
            <w:tcW w:w="8080" w:type="dxa"/>
          </w:tcPr>
          <w:p w14:paraId="5618D982" w14:textId="77777777" w:rsidR="001669E8" w:rsidRPr="00ED4BAB" w:rsidRDefault="001669E8" w:rsidP="008876C1">
            <w:pPr>
              <w:spacing w:after="240"/>
              <w:rPr>
                <w:rFonts w:ascii="Calibri" w:eastAsia="Calibri" w:hAnsi="Calibri" w:cs="Calibri"/>
                <w:sz w:val="20"/>
                <w:szCs w:val="20"/>
                <w:lang w:eastAsia="en-US"/>
              </w:rPr>
            </w:pPr>
            <w:r w:rsidRPr="00ED4BAB">
              <w:rPr>
                <w:rFonts w:ascii="Calibri" w:hAnsi="Calibri" w:cs="Calibri"/>
                <w:sz w:val="20"/>
                <w:szCs w:val="20"/>
              </w:rPr>
              <w:t>Lam A, LeslieWD, Lix LM, Yogendran M, Morin SN, Majumdar SR (2014) Major osteoporotic to hip fracture ratios in Canadian men and women with Swedish comparisons: a population-based analysis. J Bone Miner Res 29:1067–1073</w:t>
            </w:r>
          </w:p>
        </w:tc>
      </w:tr>
      <w:tr w:rsidR="001669E8" w:rsidRPr="00E91E95" w14:paraId="2B65A8A0" w14:textId="77777777" w:rsidTr="00BD0C03">
        <w:tc>
          <w:tcPr>
            <w:tcW w:w="567" w:type="dxa"/>
          </w:tcPr>
          <w:p w14:paraId="1DF23F85" w14:textId="77777777" w:rsidR="001669E8" w:rsidRPr="00ED4BAB"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16.</w:t>
            </w:r>
          </w:p>
        </w:tc>
        <w:tc>
          <w:tcPr>
            <w:tcW w:w="8080" w:type="dxa"/>
          </w:tcPr>
          <w:p w14:paraId="717B89E2" w14:textId="77777777" w:rsidR="001669E8" w:rsidRPr="00ED4BAB" w:rsidRDefault="001669E8" w:rsidP="00B9037B">
            <w:pPr>
              <w:spacing w:after="240"/>
              <w:rPr>
                <w:rFonts w:ascii="Calibri" w:eastAsia="Calibri" w:hAnsi="Calibri" w:cs="Calibri"/>
                <w:sz w:val="20"/>
                <w:szCs w:val="20"/>
                <w:lang w:eastAsia="en-US"/>
              </w:rPr>
            </w:pPr>
            <w:r w:rsidRPr="00ED4BAB">
              <w:rPr>
                <w:rFonts w:ascii="Calibri" w:eastAsia="Calibri" w:hAnsi="Calibri" w:cs="Calibri"/>
                <w:sz w:val="20"/>
                <w:szCs w:val="20"/>
                <w:lang w:eastAsia="en-US"/>
              </w:rPr>
              <w:t>Planning and Statistics Authority (2021) https://www.psa.gov.qa/en/statistics1/pages/topicslisting.aspx?parent=Population&amp;child=BirthsDeaths, accessed 11 May 2021</w:t>
            </w:r>
          </w:p>
        </w:tc>
      </w:tr>
      <w:tr w:rsidR="001669E8" w:rsidRPr="00E91E95" w14:paraId="1EBF6E74" w14:textId="77777777" w:rsidTr="00BD0C03">
        <w:tc>
          <w:tcPr>
            <w:tcW w:w="567" w:type="dxa"/>
          </w:tcPr>
          <w:p w14:paraId="7602CFF9" w14:textId="77777777" w:rsidR="001669E8" w:rsidRPr="00ED4BAB" w:rsidRDefault="001669E8" w:rsidP="00C001DA">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17.</w:t>
            </w:r>
          </w:p>
        </w:tc>
        <w:tc>
          <w:tcPr>
            <w:tcW w:w="8080" w:type="dxa"/>
          </w:tcPr>
          <w:p w14:paraId="64F17918" w14:textId="77777777" w:rsidR="001669E8" w:rsidRPr="00ED4BAB" w:rsidRDefault="001669E8" w:rsidP="00C001DA">
            <w:pPr>
              <w:spacing w:after="240"/>
              <w:rPr>
                <w:rFonts w:ascii="Calibri" w:eastAsia="Calibri" w:hAnsi="Calibri" w:cs="Calibri"/>
                <w:sz w:val="20"/>
                <w:szCs w:val="20"/>
                <w:lang w:eastAsia="en-US"/>
              </w:rPr>
            </w:pPr>
            <w:r w:rsidRPr="00ED4BAB">
              <w:rPr>
                <w:rFonts w:ascii="Calibri" w:eastAsia="Calibri" w:hAnsi="Calibri" w:cs="Calibri"/>
                <w:sz w:val="20"/>
                <w:szCs w:val="20"/>
                <w:lang w:eastAsia="en-US"/>
              </w:rPr>
              <w:t>Kanis JA, Johnell O, De Laet C, Jonsson B, Oden A, Ogelsby AK (2002) International variations in hip fracture probabilities: implications for risk assessment. J Bone Miner Res 17:1237–1244</w:t>
            </w:r>
          </w:p>
        </w:tc>
      </w:tr>
      <w:tr w:rsidR="001669E8" w:rsidRPr="00E91E95" w14:paraId="371BCC0C" w14:textId="77777777" w:rsidTr="00BD0C03">
        <w:tc>
          <w:tcPr>
            <w:tcW w:w="567" w:type="dxa"/>
          </w:tcPr>
          <w:p w14:paraId="30FD1EB9" w14:textId="77777777" w:rsidR="001669E8" w:rsidRPr="00ED4BAB"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18.</w:t>
            </w:r>
          </w:p>
        </w:tc>
        <w:tc>
          <w:tcPr>
            <w:tcW w:w="8080" w:type="dxa"/>
          </w:tcPr>
          <w:p w14:paraId="79907D17" w14:textId="77777777" w:rsidR="001669E8" w:rsidRPr="00ED4BAB" w:rsidRDefault="001669E8" w:rsidP="00B9037B">
            <w:pPr>
              <w:spacing w:after="240"/>
              <w:rPr>
                <w:rFonts w:ascii="Calibri" w:eastAsia="Calibri" w:hAnsi="Calibri" w:cs="Calibri"/>
                <w:sz w:val="20"/>
                <w:szCs w:val="20"/>
                <w:lang w:eastAsia="en-US"/>
              </w:rPr>
            </w:pPr>
            <w:bookmarkStart w:id="7" w:name="_Hlk71647723"/>
            <w:r w:rsidRPr="00ED4BAB">
              <w:rPr>
                <w:rFonts w:ascii="Calibri" w:eastAsia="Calibri" w:hAnsi="Calibri" w:cs="Calibri"/>
                <w:sz w:val="20"/>
                <w:szCs w:val="20"/>
                <w:lang w:eastAsia="en-US"/>
              </w:rPr>
              <w:t>Kebaetse</w:t>
            </w:r>
            <w:bookmarkEnd w:id="7"/>
            <w:r w:rsidRPr="00ED4BAB">
              <w:rPr>
                <w:rFonts w:ascii="Calibri" w:eastAsia="Calibri" w:hAnsi="Calibri" w:cs="Calibri"/>
                <w:sz w:val="20"/>
                <w:szCs w:val="20"/>
                <w:lang w:eastAsia="en-US"/>
              </w:rPr>
              <w:t xml:space="preserve"> M, Nkhwa S, Mogodi M, Masunge J, Gureja YP, Ramabu M, Mmopelwa T, Sharif I, Orford A, Johansson H, Harvey NC, McCloskey EV, Cauley JA, Kanis JA (2021) Epidemiology of hip fracture in Botswana.  Arc Osteoporos 16: 24 DOI: 10.1007/s11657-021-00885-x.</w:t>
            </w:r>
          </w:p>
        </w:tc>
      </w:tr>
      <w:tr w:rsidR="001669E8" w:rsidRPr="00E91E95" w14:paraId="2D68636C" w14:textId="77777777" w:rsidTr="00BD0C03">
        <w:tc>
          <w:tcPr>
            <w:tcW w:w="567" w:type="dxa"/>
          </w:tcPr>
          <w:p w14:paraId="406FC964" w14:textId="77777777" w:rsidR="001669E8" w:rsidRPr="00ED4BAB" w:rsidRDefault="001669E8" w:rsidP="00EA50DA">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19.</w:t>
            </w:r>
          </w:p>
        </w:tc>
        <w:tc>
          <w:tcPr>
            <w:tcW w:w="8080" w:type="dxa"/>
            <w:shd w:val="clear" w:color="auto" w:fill="auto"/>
          </w:tcPr>
          <w:p w14:paraId="1B8DE3C9" w14:textId="77777777" w:rsidR="001669E8" w:rsidRPr="00ED4BAB" w:rsidRDefault="001669E8" w:rsidP="00EA50DA">
            <w:pPr>
              <w:spacing w:after="240"/>
              <w:rPr>
                <w:rFonts w:ascii="Calibri" w:eastAsia="Calibri" w:hAnsi="Calibri" w:cs="Calibri"/>
                <w:sz w:val="20"/>
                <w:szCs w:val="20"/>
                <w:lang w:eastAsia="en-US"/>
              </w:rPr>
            </w:pPr>
            <w:r w:rsidRPr="00ED4BAB">
              <w:rPr>
                <w:rFonts w:ascii="Calibri" w:hAnsi="Calibri" w:cs="Calibri"/>
                <w:sz w:val="20"/>
                <w:szCs w:val="20"/>
              </w:rPr>
              <w:t>Melton LJ, Crowson CS, O’Fallon WM (1999) Fracture incidence in Olmsted County, Minnesota: comparison of urban and with rural rates and changes in urban rates over time. Osteoporos Int 9: 29–37.</w:t>
            </w:r>
          </w:p>
        </w:tc>
      </w:tr>
      <w:tr w:rsidR="001669E8" w:rsidRPr="00E91E95" w14:paraId="2F73493D" w14:textId="77777777" w:rsidTr="00BD0C03">
        <w:tc>
          <w:tcPr>
            <w:tcW w:w="567" w:type="dxa"/>
          </w:tcPr>
          <w:p w14:paraId="18BAF211" w14:textId="77777777" w:rsidR="001669E8" w:rsidRPr="00ED4BAB" w:rsidRDefault="001669E8" w:rsidP="00EA50DA">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20.</w:t>
            </w:r>
          </w:p>
        </w:tc>
        <w:tc>
          <w:tcPr>
            <w:tcW w:w="8080" w:type="dxa"/>
            <w:shd w:val="clear" w:color="auto" w:fill="auto"/>
          </w:tcPr>
          <w:p w14:paraId="56E522C2" w14:textId="77777777" w:rsidR="001669E8" w:rsidRPr="00ED4BAB" w:rsidRDefault="001669E8" w:rsidP="00EA50DA">
            <w:pPr>
              <w:spacing w:after="240"/>
              <w:rPr>
                <w:rFonts w:ascii="Calibri" w:eastAsia="Calibri" w:hAnsi="Calibri" w:cs="Calibri"/>
                <w:sz w:val="20"/>
                <w:szCs w:val="20"/>
                <w:lang w:eastAsia="en-US"/>
              </w:rPr>
            </w:pPr>
            <w:r w:rsidRPr="00ED4BAB">
              <w:rPr>
                <w:rFonts w:ascii="Calibri" w:hAnsi="Calibri" w:cs="Calibri"/>
                <w:bCs/>
                <w:sz w:val="20"/>
                <w:szCs w:val="20"/>
                <w:lang w:eastAsia="en-US"/>
              </w:rPr>
              <w:t>Singer BR, McLauchlan CJ, Robinson CM, Christie J (1998) Epidemiology of fracture in 15.000 adults. The influence of age and gender. J Bone Joint Surg 80B: 234–8</w:t>
            </w:r>
          </w:p>
        </w:tc>
      </w:tr>
      <w:tr w:rsidR="001669E8" w:rsidRPr="00E91E95" w14:paraId="13C01B18" w14:textId="77777777" w:rsidTr="00BD0C03">
        <w:tc>
          <w:tcPr>
            <w:tcW w:w="567" w:type="dxa"/>
          </w:tcPr>
          <w:p w14:paraId="74CD7E0D" w14:textId="77777777" w:rsidR="001669E8" w:rsidRPr="00ED4BAB" w:rsidRDefault="001669E8" w:rsidP="00C001DA">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21.</w:t>
            </w:r>
          </w:p>
        </w:tc>
        <w:tc>
          <w:tcPr>
            <w:tcW w:w="8080" w:type="dxa"/>
            <w:shd w:val="clear" w:color="auto" w:fill="auto"/>
          </w:tcPr>
          <w:p w14:paraId="0A69B136" w14:textId="77777777" w:rsidR="001669E8" w:rsidRPr="00ED4BAB" w:rsidRDefault="001669E8" w:rsidP="00C001DA">
            <w:pPr>
              <w:spacing w:after="240"/>
              <w:rPr>
                <w:rFonts w:ascii="Calibri" w:eastAsia="Calibri" w:hAnsi="Calibri" w:cs="Calibri"/>
                <w:sz w:val="20"/>
                <w:szCs w:val="20"/>
                <w:lang w:eastAsia="en-US"/>
              </w:rPr>
            </w:pPr>
            <w:r w:rsidRPr="00ED4BAB">
              <w:rPr>
                <w:rFonts w:ascii="Calibri" w:hAnsi="Calibri" w:cs="Calibri"/>
                <w:bCs/>
                <w:sz w:val="20"/>
                <w:szCs w:val="20"/>
                <w:lang w:eastAsia="en-US"/>
              </w:rPr>
              <w:t>Johnell O, Gullberg B, Kanis JA (1997) The hospital burden of vertebral fracture in Europe: a study of national register sources.  Osteoporos Int 7: 138-144</w:t>
            </w:r>
          </w:p>
        </w:tc>
      </w:tr>
      <w:tr w:rsidR="001669E8" w:rsidRPr="00E91E95" w14:paraId="4B74FC2E" w14:textId="77777777" w:rsidTr="00BD0C03">
        <w:tc>
          <w:tcPr>
            <w:tcW w:w="567" w:type="dxa"/>
          </w:tcPr>
          <w:p w14:paraId="4BDC1D38" w14:textId="77777777" w:rsidR="001669E8" w:rsidRPr="00ED4BAB" w:rsidRDefault="001669E8" w:rsidP="001B15C2">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22.</w:t>
            </w:r>
          </w:p>
        </w:tc>
        <w:tc>
          <w:tcPr>
            <w:tcW w:w="8080" w:type="dxa"/>
            <w:shd w:val="clear" w:color="auto" w:fill="auto"/>
          </w:tcPr>
          <w:p w14:paraId="5659BB58" w14:textId="77777777" w:rsidR="001669E8" w:rsidRPr="00ED4BAB" w:rsidRDefault="001669E8" w:rsidP="001B15C2">
            <w:pPr>
              <w:spacing w:after="240"/>
              <w:rPr>
                <w:rFonts w:ascii="Calibri" w:eastAsia="Calibri" w:hAnsi="Calibri" w:cs="Calibri"/>
                <w:sz w:val="20"/>
                <w:szCs w:val="20"/>
                <w:lang w:eastAsia="en-US"/>
              </w:rPr>
            </w:pPr>
            <w:r w:rsidRPr="00ED4BAB">
              <w:rPr>
                <w:rFonts w:ascii="Calibri" w:hAnsi="Calibri" w:cs="Calibri"/>
                <w:sz w:val="20"/>
                <w:szCs w:val="20"/>
              </w:rPr>
              <w:t>Melton LJ (1995) Epidemiology of fractures. In: Riggs BL, Melton LJ (eds) Osteoporosis: etiology, diagnosis and management, 2ndedn. Lippincott-Raven, Philadelphia, pp 225–227</w:t>
            </w:r>
          </w:p>
        </w:tc>
      </w:tr>
      <w:tr w:rsidR="001669E8" w:rsidRPr="00E91E95" w14:paraId="0CDEE8C5" w14:textId="77777777" w:rsidTr="00BD0C03">
        <w:tc>
          <w:tcPr>
            <w:tcW w:w="567" w:type="dxa"/>
          </w:tcPr>
          <w:p w14:paraId="61FB490D" w14:textId="77777777" w:rsidR="001669E8" w:rsidRPr="00ED4BAB" w:rsidRDefault="001669E8" w:rsidP="001B15C2">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23.</w:t>
            </w:r>
          </w:p>
        </w:tc>
        <w:tc>
          <w:tcPr>
            <w:tcW w:w="8080" w:type="dxa"/>
            <w:shd w:val="clear" w:color="auto" w:fill="auto"/>
          </w:tcPr>
          <w:p w14:paraId="002E577C" w14:textId="77777777" w:rsidR="001669E8" w:rsidRPr="00ED4BAB" w:rsidRDefault="001669E8" w:rsidP="001B15C2">
            <w:pPr>
              <w:spacing w:after="240"/>
              <w:rPr>
                <w:rFonts w:ascii="Calibri" w:eastAsia="Calibri" w:hAnsi="Calibri" w:cs="Calibri"/>
                <w:sz w:val="20"/>
                <w:szCs w:val="20"/>
                <w:lang w:eastAsia="en-US"/>
              </w:rPr>
            </w:pPr>
            <w:r w:rsidRPr="00ED4BAB">
              <w:rPr>
                <w:rFonts w:ascii="Calibri" w:hAnsi="Calibri" w:cs="Calibri"/>
                <w:sz w:val="20"/>
                <w:szCs w:val="20"/>
              </w:rPr>
              <w:t>Jacobsen SJ, Cooper C, Gottlieb MS, Goldberg J, Yahnke DP, Melton LJ 3rd (1992) Hospitalization with vertebral fracture among the aged: a national population-based study, 1986–1989. Epidemiol 3: 515–8</w:t>
            </w:r>
          </w:p>
        </w:tc>
      </w:tr>
      <w:tr w:rsidR="001669E8" w:rsidRPr="00E91E95" w14:paraId="70BFD691" w14:textId="77777777" w:rsidTr="00BD0C03">
        <w:tc>
          <w:tcPr>
            <w:tcW w:w="567" w:type="dxa"/>
          </w:tcPr>
          <w:p w14:paraId="5E94944C" w14:textId="77777777" w:rsidR="001669E8" w:rsidRPr="00ED4BAB"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24.</w:t>
            </w:r>
          </w:p>
        </w:tc>
        <w:tc>
          <w:tcPr>
            <w:tcW w:w="8080" w:type="dxa"/>
          </w:tcPr>
          <w:p w14:paraId="050A21D0" w14:textId="77777777" w:rsidR="001669E8" w:rsidRPr="00ED4BAB" w:rsidRDefault="001669E8" w:rsidP="00B9037B">
            <w:pPr>
              <w:spacing w:after="240"/>
              <w:rPr>
                <w:rFonts w:ascii="Calibri" w:eastAsia="Calibri" w:hAnsi="Calibri" w:cs="Calibri"/>
                <w:sz w:val="20"/>
                <w:szCs w:val="20"/>
                <w:lang w:eastAsia="en-US"/>
              </w:rPr>
            </w:pPr>
            <w:r w:rsidRPr="00ED4BAB">
              <w:rPr>
                <w:rFonts w:ascii="Calibri" w:eastAsia="Calibri" w:hAnsi="Calibri" w:cs="Calibri"/>
                <w:sz w:val="20"/>
                <w:szCs w:val="20"/>
                <w:lang w:eastAsia="en-US"/>
              </w:rPr>
              <w:t>Johansson H, Odén A, Lorentzon M, McCloskey E, Harvey N, Kanis JA, Karlsson M Mellström D (2015) Is the Swedish FRAX model appropriate for Swedish immigrants? Osteoporos Int 26: 2617-2622.</w:t>
            </w:r>
          </w:p>
        </w:tc>
      </w:tr>
      <w:tr w:rsidR="001669E8" w:rsidRPr="00E91E95" w14:paraId="515258DD" w14:textId="77777777" w:rsidTr="00BD0C03">
        <w:tc>
          <w:tcPr>
            <w:tcW w:w="567" w:type="dxa"/>
          </w:tcPr>
          <w:p w14:paraId="0A9766C0" w14:textId="77777777" w:rsidR="001669E8" w:rsidRPr="00ED4BAB"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25.</w:t>
            </w:r>
          </w:p>
        </w:tc>
        <w:tc>
          <w:tcPr>
            <w:tcW w:w="8080" w:type="dxa"/>
          </w:tcPr>
          <w:p w14:paraId="6D4D80C8" w14:textId="77777777" w:rsidR="001669E8" w:rsidRPr="00ED4BAB" w:rsidRDefault="001669E8" w:rsidP="00B9037B">
            <w:pPr>
              <w:spacing w:after="240"/>
              <w:rPr>
                <w:rFonts w:ascii="Calibri" w:eastAsia="Calibri" w:hAnsi="Calibri" w:cs="Calibri"/>
                <w:sz w:val="20"/>
                <w:szCs w:val="20"/>
                <w:lang w:eastAsia="en-US"/>
              </w:rPr>
            </w:pPr>
            <w:bookmarkStart w:id="8" w:name="_Hlk71651167"/>
            <w:r w:rsidRPr="00ED4BAB">
              <w:rPr>
                <w:rFonts w:ascii="Calibri" w:eastAsia="Calibri" w:hAnsi="Calibri" w:cs="Calibri"/>
                <w:sz w:val="20"/>
                <w:szCs w:val="20"/>
                <w:lang w:eastAsia="en-US"/>
              </w:rPr>
              <w:t>Wändell</w:t>
            </w:r>
            <w:bookmarkEnd w:id="8"/>
            <w:r w:rsidRPr="00ED4BAB">
              <w:rPr>
                <w:rFonts w:ascii="Calibri" w:eastAsia="Calibri" w:hAnsi="Calibri" w:cs="Calibri"/>
                <w:sz w:val="20"/>
                <w:szCs w:val="20"/>
                <w:lang w:eastAsia="en-US"/>
              </w:rPr>
              <w:t xml:space="preserve"> P, Li X, Carlsson AC, Sundquist J, Sundquist K (2021) Osteoporotic fractures among foreign-born individuals: a national Swedish study. Osteoporos Int 32: 343-352.</w:t>
            </w:r>
          </w:p>
        </w:tc>
      </w:tr>
      <w:tr w:rsidR="001669E8" w:rsidRPr="00E91E95" w14:paraId="483FB151" w14:textId="77777777" w:rsidTr="00BD0C03">
        <w:tc>
          <w:tcPr>
            <w:tcW w:w="567" w:type="dxa"/>
          </w:tcPr>
          <w:p w14:paraId="5F27F8D0" w14:textId="77777777" w:rsidR="001669E8" w:rsidRPr="00ED4BAB"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26.</w:t>
            </w:r>
          </w:p>
        </w:tc>
        <w:tc>
          <w:tcPr>
            <w:tcW w:w="8080" w:type="dxa"/>
          </w:tcPr>
          <w:p w14:paraId="1B813E4C" w14:textId="77777777" w:rsidR="001669E8" w:rsidRPr="00ED4BAB" w:rsidRDefault="001669E8" w:rsidP="00B9037B">
            <w:pPr>
              <w:spacing w:after="240"/>
              <w:rPr>
                <w:rFonts w:ascii="Calibri" w:eastAsia="Calibri" w:hAnsi="Calibri" w:cs="Calibri"/>
                <w:sz w:val="20"/>
                <w:szCs w:val="20"/>
                <w:lang w:eastAsia="en-US"/>
              </w:rPr>
            </w:pPr>
            <w:r w:rsidRPr="00ED4BAB">
              <w:rPr>
                <w:rFonts w:ascii="Calibri" w:eastAsia="Calibri" w:hAnsi="Calibri" w:cs="Calibri"/>
                <w:sz w:val="20"/>
                <w:szCs w:val="20"/>
                <w:lang w:eastAsia="en-US"/>
              </w:rPr>
              <w:t>Lesnyak O, Sahakyan S, Zakroyeva A, Bilezikian JP, Hutchings N, Galstyan R, Lebedev A, Johansson H, Harvey NC, McCloskey E, Kanis JA (2017) Epidemiology of fractures in Armenia: Development of a country-specific FRAX model and comparison to its surrogate. Arch Osteoporos 12(1): 98. doi: 10.1007/s11657-017-0392-6</w:t>
            </w:r>
          </w:p>
        </w:tc>
      </w:tr>
      <w:tr w:rsidR="001669E8" w:rsidRPr="00E91E95" w14:paraId="6DC313C6" w14:textId="77777777" w:rsidTr="00BD0C03">
        <w:tc>
          <w:tcPr>
            <w:tcW w:w="567" w:type="dxa"/>
          </w:tcPr>
          <w:p w14:paraId="4E8243BF" w14:textId="77777777" w:rsidR="001669E8" w:rsidRPr="00ED4BAB" w:rsidRDefault="001669E8" w:rsidP="00B9037B">
            <w:pPr>
              <w:spacing w:after="240"/>
              <w:jc w:val="right"/>
              <w:rPr>
                <w:rFonts w:ascii="Calibri" w:eastAsia="Calibri" w:hAnsi="Calibri" w:cs="Calibri"/>
                <w:sz w:val="20"/>
                <w:szCs w:val="20"/>
                <w:lang w:eastAsia="en-US"/>
              </w:rPr>
            </w:pPr>
            <w:r>
              <w:rPr>
                <w:rFonts w:ascii="Calibri" w:eastAsia="Calibri" w:hAnsi="Calibri" w:cs="Calibri"/>
                <w:sz w:val="20"/>
                <w:szCs w:val="20"/>
                <w:lang w:eastAsia="en-US"/>
              </w:rPr>
              <w:t>27.</w:t>
            </w:r>
          </w:p>
        </w:tc>
        <w:tc>
          <w:tcPr>
            <w:tcW w:w="8080" w:type="dxa"/>
          </w:tcPr>
          <w:p w14:paraId="766DCFA0" w14:textId="77777777" w:rsidR="001669E8" w:rsidRPr="00ED4BAB" w:rsidRDefault="001669E8" w:rsidP="00B9037B">
            <w:pPr>
              <w:spacing w:after="240"/>
              <w:rPr>
                <w:rFonts w:ascii="Calibri" w:eastAsia="Calibri" w:hAnsi="Calibri" w:cs="Calibri"/>
                <w:sz w:val="20"/>
                <w:szCs w:val="20"/>
                <w:lang w:eastAsia="en-US"/>
              </w:rPr>
            </w:pPr>
            <w:r w:rsidRPr="00ED4BAB">
              <w:rPr>
                <w:rFonts w:ascii="Calibri" w:eastAsia="Calibri" w:hAnsi="Calibri" w:cs="Calibri"/>
                <w:sz w:val="20"/>
                <w:szCs w:val="20"/>
                <w:lang w:eastAsia="en-US"/>
              </w:rPr>
              <w:t>Kanis JA, Johansson H, Oden A, Dawson-Hughes B, Melton LJ 3rd, McCloskey EV (2010) The effects of a FRAX® revision for the USA. Osteoporos Int 21:35–40</w:t>
            </w:r>
          </w:p>
        </w:tc>
      </w:tr>
    </w:tbl>
    <w:p w14:paraId="5BFD68F8" w14:textId="77777777" w:rsidR="00A2696C" w:rsidRDefault="00A2696C" w:rsidP="0030661D">
      <w:pPr>
        <w:spacing w:line="276" w:lineRule="auto"/>
        <w:ind w:left="567" w:right="1275"/>
        <w:rPr>
          <w:rFonts w:asciiTheme="minorHAnsi" w:hAnsiTheme="minorHAnsi" w:cstheme="minorHAnsi"/>
          <w:b/>
          <w:lang w:val="en-US"/>
        </w:rPr>
      </w:pPr>
    </w:p>
    <w:p w14:paraId="6B4439D9" w14:textId="336C34A4" w:rsidR="001C5287" w:rsidRDefault="001C5287" w:rsidP="0030661D">
      <w:pPr>
        <w:spacing w:line="276" w:lineRule="auto"/>
        <w:ind w:left="567" w:right="1275"/>
        <w:rPr>
          <w:rFonts w:asciiTheme="minorHAnsi" w:hAnsiTheme="minorHAnsi" w:cstheme="minorHAnsi"/>
          <w:b/>
          <w:lang w:val="en-US"/>
        </w:rPr>
      </w:pPr>
    </w:p>
    <w:sectPr w:rsidR="001C5287" w:rsidSect="00F85546">
      <w:footerReference w:type="default" r:id="rId14"/>
      <w:type w:val="continuous"/>
      <w:pgSz w:w="11906" w:h="16838"/>
      <w:pgMar w:top="851" w:right="1276"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3D26" w14:textId="77777777" w:rsidR="00037D53" w:rsidRDefault="00037D53" w:rsidP="00B56470">
      <w:r>
        <w:separator/>
      </w:r>
    </w:p>
  </w:endnote>
  <w:endnote w:type="continuationSeparator" w:id="0">
    <w:p w14:paraId="624C0EC3" w14:textId="77777777" w:rsidR="00037D53" w:rsidRDefault="00037D53" w:rsidP="00B5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553192"/>
      <w:docPartObj>
        <w:docPartGallery w:val="Page Numbers (Bottom of Page)"/>
        <w:docPartUnique/>
      </w:docPartObj>
    </w:sdtPr>
    <w:sdtEndPr>
      <w:rPr>
        <w:noProof/>
      </w:rPr>
    </w:sdtEndPr>
    <w:sdtContent>
      <w:p w14:paraId="0E00C729" w14:textId="7EAFB213" w:rsidR="00B14416" w:rsidRDefault="00B14416">
        <w:pPr>
          <w:pStyle w:val="Footer"/>
          <w:jc w:val="right"/>
        </w:pPr>
        <w:r>
          <w:fldChar w:fldCharType="begin"/>
        </w:r>
        <w:r>
          <w:instrText xml:space="preserve"> PAGE   \* MERGEFORMAT </w:instrText>
        </w:r>
        <w:r>
          <w:fldChar w:fldCharType="separate"/>
        </w:r>
        <w:r w:rsidR="00333FB1">
          <w:rPr>
            <w:noProof/>
          </w:rPr>
          <w:t>1</w:t>
        </w:r>
        <w:r>
          <w:rPr>
            <w:noProof/>
          </w:rPr>
          <w:fldChar w:fldCharType="end"/>
        </w:r>
      </w:p>
    </w:sdtContent>
  </w:sdt>
  <w:p w14:paraId="04E13F1E" w14:textId="77777777" w:rsidR="00366FF8" w:rsidRDefault="00366F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5F21" w14:textId="77777777" w:rsidR="00037D53" w:rsidRDefault="00037D53" w:rsidP="00B56470">
      <w:r>
        <w:separator/>
      </w:r>
    </w:p>
  </w:footnote>
  <w:footnote w:type="continuationSeparator" w:id="0">
    <w:p w14:paraId="51F4DAFC" w14:textId="77777777" w:rsidR="00037D53" w:rsidRDefault="00037D53" w:rsidP="00B56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7C0"/>
    <w:multiLevelType w:val="hybridMultilevel"/>
    <w:tmpl w:val="1EAABCDC"/>
    <w:lvl w:ilvl="0" w:tplc="DF80E04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F3528"/>
    <w:multiLevelType w:val="hybridMultilevel"/>
    <w:tmpl w:val="C8C47BF4"/>
    <w:lvl w:ilvl="0" w:tplc="BADAE77A">
      <w:numFmt w:val="bullet"/>
      <w:lvlText w:val=""/>
      <w:lvlJc w:val="left"/>
      <w:pPr>
        <w:ind w:left="927" w:hanging="360"/>
      </w:pPr>
      <w:rPr>
        <w:rFonts w:ascii="Symbol" w:eastAsia="MS Mincho"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1D25694"/>
    <w:multiLevelType w:val="hybridMultilevel"/>
    <w:tmpl w:val="620CD692"/>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BC004F"/>
    <w:multiLevelType w:val="hybridMultilevel"/>
    <w:tmpl w:val="04B290C2"/>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A4850"/>
    <w:multiLevelType w:val="hybridMultilevel"/>
    <w:tmpl w:val="E11C98BE"/>
    <w:lvl w:ilvl="0" w:tplc="92F65FE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944992"/>
    <w:multiLevelType w:val="hybridMultilevel"/>
    <w:tmpl w:val="0A64FCAE"/>
    <w:lvl w:ilvl="0" w:tplc="DF80E04C">
      <w:start w:val="1"/>
      <w:numFmt w:val="decimal"/>
      <w:lvlText w:val="%1."/>
      <w:lvlJc w:val="left"/>
      <w:pPr>
        <w:ind w:left="7023" w:hanging="360"/>
      </w:pPr>
      <w:rPr>
        <w:rFonts w:hint="default"/>
      </w:rPr>
    </w:lvl>
    <w:lvl w:ilvl="1" w:tplc="04190019" w:tentative="1">
      <w:start w:val="1"/>
      <w:numFmt w:val="lowerLetter"/>
      <w:lvlText w:val="%2."/>
      <w:lvlJc w:val="left"/>
      <w:pPr>
        <w:ind w:left="7536" w:hanging="360"/>
      </w:pPr>
    </w:lvl>
    <w:lvl w:ilvl="2" w:tplc="0419001B" w:tentative="1">
      <w:start w:val="1"/>
      <w:numFmt w:val="lowerRoman"/>
      <w:lvlText w:val="%3."/>
      <w:lvlJc w:val="right"/>
      <w:pPr>
        <w:ind w:left="8256" w:hanging="180"/>
      </w:pPr>
    </w:lvl>
    <w:lvl w:ilvl="3" w:tplc="0419000F" w:tentative="1">
      <w:start w:val="1"/>
      <w:numFmt w:val="decimal"/>
      <w:lvlText w:val="%4."/>
      <w:lvlJc w:val="left"/>
      <w:pPr>
        <w:ind w:left="8976" w:hanging="360"/>
      </w:pPr>
    </w:lvl>
    <w:lvl w:ilvl="4" w:tplc="04190019" w:tentative="1">
      <w:start w:val="1"/>
      <w:numFmt w:val="lowerLetter"/>
      <w:lvlText w:val="%5."/>
      <w:lvlJc w:val="left"/>
      <w:pPr>
        <w:ind w:left="9696" w:hanging="360"/>
      </w:pPr>
    </w:lvl>
    <w:lvl w:ilvl="5" w:tplc="0419001B" w:tentative="1">
      <w:start w:val="1"/>
      <w:numFmt w:val="lowerRoman"/>
      <w:lvlText w:val="%6."/>
      <w:lvlJc w:val="right"/>
      <w:pPr>
        <w:ind w:left="10416" w:hanging="180"/>
      </w:pPr>
    </w:lvl>
    <w:lvl w:ilvl="6" w:tplc="0419000F" w:tentative="1">
      <w:start w:val="1"/>
      <w:numFmt w:val="decimal"/>
      <w:lvlText w:val="%7."/>
      <w:lvlJc w:val="left"/>
      <w:pPr>
        <w:ind w:left="11136" w:hanging="360"/>
      </w:pPr>
    </w:lvl>
    <w:lvl w:ilvl="7" w:tplc="04190019" w:tentative="1">
      <w:start w:val="1"/>
      <w:numFmt w:val="lowerLetter"/>
      <w:lvlText w:val="%8."/>
      <w:lvlJc w:val="left"/>
      <w:pPr>
        <w:ind w:left="11856" w:hanging="360"/>
      </w:pPr>
    </w:lvl>
    <w:lvl w:ilvl="8" w:tplc="0419001B" w:tentative="1">
      <w:start w:val="1"/>
      <w:numFmt w:val="lowerRoman"/>
      <w:lvlText w:val="%9."/>
      <w:lvlJc w:val="right"/>
      <w:pPr>
        <w:ind w:left="12576" w:hanging="180"/>
      </w:pPr>
    </w:lvl>
  </w:abstractNum>
  <w:abstractNum w:abstractNumId="6" w15:restartNumberingAfterBreak="0">
    <w:nsid w:val="356C2DA7"/>
    <w:multiLevelType w:val="hybridMultilevel"/>
    <w:tmpl w:val="A29606BA"/>
    <w:lvl w:ilvl="0" w:tplc="4DA671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70DD8"/>
    <w:multiLevelType w:val="hybridMultilevel"/>
    <w:tmpl w:val="0A64FCAE"/>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EB3134B"/>
    <w:multiLevelType w:val="hybridMultilevel"/>
    <w:tmpl w:val="D74AE680"/>
    <w:lvl w:ilvl="0" w:tplc="DF044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673AFB"/>
    <w:multiLevelType w:val="hybridMultilevel"/>
    <w:tmpl w:val="C70CD0AA"/>
    <w:lvl w:ilvl="0" w:tplc="DF0449C8">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4B47585"/>
    <w:multiLevelType w:val="hybridMultilevel"/>
    <w:tmpl w:val="7CF6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265E5A"/>
    <w:multiLevelType w:val="hybridMultilevel"/>
    <w:tmpl w:val="0A64FCAE"/>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0DA62B7"/>
    <w:multiLevelType w:val="hybridMultilevel"/>
    <w:tmpl w:val="6706C100"/>
    <w:lvl w:ilvl="0" w:tplc="DF80E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AA01F80"/>
    <w:multiLevelType w:val="hybridMultilevel"/>
    <w:tmpl w:val="72F21CB8"/>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0"/>
  </w:num>
  <w:num w:numId="5">
    <w:abstractNumId w:val="5"/>
  </w:num>
  <w:num w:numId="6">
    <w:abstractNumId w:val="13"/>
  </w:num>
  <w:num w:numId="7">
    <w:abstractNumId w:val="2"/>
  </w:num>
  <w:num w:numId="8">
    <w:abstractNumId w:val="7"/>
  </w:num>
  <w:num w:numId="9">
    <w:abstractNumId w:val="10"/>
  </w:num>
  <w:num w:numId="10">
    <w:abstractNumId w:val="6"/>
  </w:num>
  <w:num w:numId="11">
    <w:abstractNumId w:val="11"/>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C6DDC4-6984-4DC6-AF66-B7951E2E568A}"/>
    <w:docVar w:name="dgnword-eventsink" w:val="1731323708896"/>
  </w:docVars>
  <w:rsids>
    <w:rsidRoot w:val="007965BA"/>
    <w:rsid w:val="0000000D"/>
    <w:rsid w:val="0000061C"/>
    <w:rsid w:val="0000237C"/>
    <w:rsid w:val="000037ED"/>
    <w:rsid w:val="00003F34"/>
    <w:rsid w:val="00004BFE"/>
    <w:rsid w:val="00007251"/>
    <w:rsid w:val="00007904"/>
    <w:rsid w:val="000109AA"/>
    <w:rsid w:val="00010C83"/>
    <w:rsid w:val="000127C9"/>
    <w:rsid w:val="00016430"/>
    <w:rsid w:val="0001695E"/>
    <w:rsid w:val="000178ED"/>
    <w:rsid w:val="000208E0"/>
    <w:rsid w:val="0002096C"/>
    <w:rsid w:val="00021D14"/>
    <w:rsid w:val="00022E6B"/>
    <w:rsid w:val="0002341E"/>
    <w:rsid w:val="0002469D"/>
    <w:rsid w:val="00024907"/>
    <w:rsid w:val="00025503"/>
    <w:rsid w:val="000261C0"/>
    <w:rsid w:val="000261F2"/>
    <w:rsid w:val="000263E5"/>
    <w:rsid w:val="000265AB"/>
    <w:rsid w:val="0002784F"/>
    <w:rsid w:val="000300FE"/>
    <w:rsid w:val="00030253"/>
    <w:rsid w:val="00030EE0"/>
    <w:rsid w:val="00031126"/>
    <w:rsid w:val="00032C64"/>
    <w:rsid w:val="0003446C"/>
    <w:rsid w:val="00036619"/>
    <w:rsid w:val="00036893"/>
    <w:rsid w:val="00037B26"/>
    <w:rsid w:val="00037C5B"/>
    <w:rsid w:val="00037D53"/>
    <w:rsid w:val="000405A5"/>
    <w:rsid w:val="00040E8A"/>
    <w:rsid w:val="0004349A"/>
    <w:rsid w:val="00044D22"/>
    <w:rsid w:val="0004595A"/>
    <w:rsid w:val="00045C87"/>
    <w:rsid w:val="00047965"/>
    <w:rsid w:val="00047B91"/>
    <w:rsid w:val="00047CE7"/>
    <w:rsid w:val="0005235C"/>
    <w:rsid w:val="00052669"/>
    <w:rsid w:val="00052BAA"/>
    <w:rsid w:val="00053151"/>
    <w:rsid w:val="00054791"/>
    <w:rsid w:val="00055DD8"/>
    <w:rsid w:val="00055E51"/>
    <w:rsid w:val="00056285"/>
    <w:rsid w:val="000578AF"/>
    <w:rsid w:val="00057BD7"/>
    <w:rsid w:val="00061D43"/>
    <w:rsid w:val="000630DA"/>
    <w:rsid w:val="0006536B"/>
    <w:rsid w:val="00065418"/>
    <w:rsid w:val="00065759"/>
    <w:rsid w:val="0006672B"/>
    <w:rsid w:val="00067752"/>
    <w:rsid w:val="00070D5F"/>
    <w:rsid w:val="00071091"/>
    <w:rsid w:val="000711A8"/>
    <w:rsid w:val="000719E4"/>
    <w:rsid w:val="00073523"/>
    <w:rsid w:val="00075C04"/>
    <w:rsid w:val="00075F39"/>
    <w:rsid w:val="00077812"/>
    <w:rsid w:val="00077817"/>
    <w:rsid w:val="00081543"/>
    <w:rsid w:val="000848A0"/>
    <w:rsid w:val="00084D6F"/>
    <w:rsid w:val="00085483"/>
    <w:rsid w:val="000855FA"/>
    <w:rsid w:val="00087927"/>
    <w:rsid w:val="0009472B"/>
    <w:rsid w:val="000949F4"/>
    <w:rsid w:val="00095229"/>
    <w:rsid w:val="000958C9"/>
    <w:rsid w:val="00097407"/>
    <w:rsid w:val="000A15BE"/>
    <w:rsid w:val="000A28CE"/>
    <w:rsid w:val="000A32D3"/>
    <w:rsid w:val="000A389F"/>
    <w:rsid w:val="000A40DC"/>
    <w:rsid w:val="000A5885"/>
    <w:rsid w:val="000A62C6"/>
    <w:rsid w:val="000A6CA4"/>
    <w:rsid w:val="000A763D"/>
    <w:rsid w:val="000B1281"/>
    <w:rsid w:val="000B1D9B"/>
    <w:rsid w:val="000B27DE"/>
    <w:rsid w:val="000B2CCF"/>
    <w:rsid w:val="000B3200"/>
    <w:rsid w:val="000B42A1"/>
    <w:rsid w:val="000B484B"/>
    <w:rsid w:val="000B533E"/>
    <w:rsid w:val="000B5A7F"/>
    <w:rsid w:val="000B6D4C"/>
    <w:rsid w:val="000C060C"/>
    <w:rsid w:val="000C0918"/>
    <w:rsid w:val="000C0EA4"/>
    <w:rsid w:val="000C1DC4"/>
    <w:rsid w:val="000C3606"/>
    <w:rsid w:val="000C434D"/>
    <w:rsid w:val="000C44D7"/>
    <w:rsid w:val="000C4F4B"/>
    <w:rsid w:val="000C703D"/>
    <w:rsid w:val="000C7EAA"/>
    <w:rsid w:val="000D040A"/>
    <w:rsid w:val="000D0DE5"/>
    <w:rsid w:val="000D4671"/>
    <w:rsid w:val="000D4F45"/>
    <w:rsid w:val="000D68DF"/>
    <w:rsid w:val="000E0380"/>
    <w:rsid w:val="000E0A7D"/>
    <w:rsid w:val="000E0E43"/>
    <w:rsid w:val="000E2ABC"/>
    <w:rsid w:val="000E3E2A"/>
    <w:rsid w:val="000E4512"/>
    <w:rsid w:val="000E4920"/>
    <w:rsid w:val="000E4CC0"/>
    <w:rsid w:val="000E50FB"/>
    <w:rsid w:val="000E588F"/>
    <w:rsid w:val="000E6C19"/>
    <w:rsid w:val="000E7672"/>
    <w:rsid w:val="000E7CBE"/>
    <w:rsid w:val="000F0EBA"/>
    <w:rsid w:val="000F3657"/>
    <w:rsid w:val="000F36B0"/>
    <w:rsid w:val="000F3E59"/>
    <w:rsid w:val="000F4627"/>
    <w:rsid w:val="000F4C12"/>
    <w:rsid w:val="000F5506"/>
    <w:rsid w:val="000F5725"/>
    <w:rsid w:val="000F5A87"/>
    <w:rsid w:val="000F5E04"/>
    <w:rsid w:val="000F6C73"/>
    <w:rsid w:val="000F6E45"/>
    <w:rsid w:val="0010041D"/>
    <w:rsid w:val="00100BD6"/>
    <w:rsid w:val="00103E00"/>
    <w:rsid w:val="00105472"/>
    <w:rsid w:val="00105ECA"/>
    <w:rsid w:val="001079FC"/>
    <w:rsid w:val="001103E6"/>
    <w:rsid w:val="001104CA"/>
    <w:rsid w:val="0011094E"/>
    <w:rsid w:val="00112816"/>
    <w:rsid w:val="00113B77"/>
    <w:rsid w:val="00113E92"/>
    <w:rsid w:val="00115BA1"/>
    <w:rsid w:val="00116E0F"/>
    <w:rsid w:val="00117873"/>
    <w:rsid w:val="00117EEF"/>
    <w:rsid w:val="0012097A"/>
    <w:rsid w:val="00120C48"/>
    <w:rsid w:val="001211B2"/>
    <w:rsid w:val="00122144"/>
    <w:rsid w:val="00122582"/>
    <w:rsid w:val="00124C96"/>
    <w:rsid w:val="00125BA4"/>
    <w:rsid w:val="00125E03"/>
    <w:rsid w:val="00125E57"/>
    <w:rsid w:val="00125FD2"/>
    <w:rsid w:val="00130C2B"/>
    <w:rsid w:val="001317CB"/>
    <w:rsid w:val="00131E95"/>
    <w:rsid w:val="00131F9B"/>
    <w:rsid w:val="00132515"/>
    <w:rsid w:val="00132A16"/>
    <w:rsid w:val="00132D9C"/>
    <w:rsid w:val="00132E14"/>
    <w:rsid w:val="00133070"/>
    <w:rsid w:val="001330C5"/>
    <w:rsid w:val="00137ACC"/>
    <w:rsid w:val="00140D86"/>
    <w:rsid w:val="00140F40"/>
    <w:rsid w:val="001419A2"/>
    <w:rsid w:val="00142BD0"/>
    <w:rsid w:val="001435F5"/>
    <w:rsid w:val="00143C70"/>
    <w:rsid w:val="001440C0"/>
    <w:rsid w:val="001442E3"/>
    <w:rsid w:val="00144740"/>
    <w:rsid w:val="001448A5"/>
    <w:rsid w:val="00144A9F"/>
    <w:rsid w:val="00144FBF"/>
    <w:rsid w:val="0014548F"/>
    <w:rsid w:val="00146564"/>
    <w:rsid w:val="00146696"/>
    <w:rsid w:val="001467F1"/>
    <w:rsid w:val="001473CB"/>
    <w:rsid w:val="00147509"/>
    <w:rsid w:val="00147523"/>
    <w:rsid w:val="00150323"/>
    <w:rsid w:val="00151676"/>
    <w:rsid w:val="00152848"/>
    <w:rsid w:val="001534AD"/>
    <w:rsid w:val="00154472"/>
    <w:rsid w:val="00154809"/>
    <w:rsid w:val="00154A9D"/>
    <w:rsid w:val="00155AE8"/>
    <w:rsid w:val="00156220"/>
    <w:rsid w:val="00156994"/>
    <w:rsid w:val="00156AC7"/>
    <w:rsid w:val="001615C1"/>
    <w:rsid w:val="00162612"/>
    <w:rsid w:val="001633D5"/>
    <w:rsid w:val="00163B69"/>
    <w:rsid w:val="00163BA9"/>
    <w:rsid w:val="001641F7"/>
    <w:rsid w:val="00166393"/>
    <w:rsid w:val="001669E8"/>
    <w:rsid w:val="001709A2"/>
    <w:rsid w:val="00170CF2"/>
    <w:rsid w:val="00170D1D"/>
    <w:rsid w:val="001727D3"/>
    <w:rsid w:val="00172882"/>
    <w:rsid w:val="00173FAB"/>
    <w:rsid w:val="00174103"/>
    <w:rsid w:val="00176E51"/>
    <w:rsid w:val="00177E99"/>
    <w:rsid w:val="0018279D"/>
    <w:rsid w:val="00183786"/>
    <w:rsid w:val="00185557"/>
    <w:rsid w:val="001859CF"/>
    <w:rsid w:val="00185C74"/>
    <w:rsid w:val="00187528"/>
    <w:rsid w:val="00187A67"/>
    <w:rsid w:val="001936E5"/>
    <w:rsid w:val="00193C69"/>
    <w:rsid w:val="001951FD"/>
    <w:rsid w:val="0019580C"/>
    <w:rsid w:val="001A00A2"/>
    <w:rsid w:val="001A01ED"/>
    <w:rsid w:val="001A3B75"/>
    <w:rsid w:val="001A3C47"/>
    <w:rsid w:val="001A7443"/>
    <w:rsid w:val="001A74A9"/>
    <w:rsid w:val="001A7EC7"/>
    <w:rsid w:val="001B15C2"/>
    <w:rsid w:val="001B198B"/>
    <w:rsid w:val="001B26CD"/>
    <w:rsid w:val="001B36F0"/>
    <w:rsid w:val="001B428B"/>
    <w:rsid w:val="001B4A9C"/>
    <w:rsid w:val="001B4CE6"/>
    <w:rsid w:val="001B5390"/>
    <w:rsid w:val="001B58B1"/>
    <w:rsid w:val="001B5BCA"/>
    <w:rsid w:val="001B632A"/>
    <w:rsid w:val="001B7B99"/>
    <w:rsid w:val="001C028B"/>
    <w:rsid w:val="001C02C2"/>
    <w:rsid w:val="001C0930"/>
    <w:rsid w:val="001C0D4A"/>
    <w:rsid w:val="001C1D06"/>
    <w:rsid w:val="001C203F"/>
    <w:rsid w:val="001C2BFE"/>
    <w:rsid w:val="001C3D40"/>
    <w:rsid w:val="001C5287"/>
    <w:rsid w:val="001C7BAA"/>
    <w:rsid w:val="001D3ED7"/>
    <w:rsid w:val="001D5D96"/>
    <w:rsid w:val="001D6810"/>
    <w:rsid w:val="001D717C"/>
    <w:rsid w:val="001D7470"/>
    <w:rsid w:val="001E0F92"/>
    <w:rsid w:val="001E13EE"/>
    <w:rsid w:val="001E1A12"/>
    <w:rsid w:val="001E4655"/>
    <w:rsid w:val="001E52F2"/>
    <w:rsid w:val="001E5684"/>
    <w:rsid w:val="001E62AE"/>
    <w:rsid w:val="001E7EA1"/>
    <w:rsid w:val="001F06E6"/>
    <w:rsid w:val="001F2828"/>
    <w:rsid w:val="001F3473"/>
    <w:rsid w:val="001F418F"/>
    <w:rsid w:val="001F4793"/>
    <w:rsid w:val="001F62EA"/>
    <w:rsid w:val="002014E3"/>
    <w:rsid w:val="00201AF0"/>
    <w:rsid w:val="00202E57"/>
    <w:rsid w:val="002038F7"/>
    <w:rsid w:val="00203E50"/>
    <w:rsid w:val="002049F3"/>
    <w:rsid w:val="00204D48"/>
    <w:rsid w:val="00205865"/>
    <w:rsid w:val="00205EC5"/>
    <w:rsid w:val="00206338"/>
    <w:rsid w:val="002063E9"/>
    <w:rsid w:val="00206A0E"/>
    <w:rsid w:val="00207461"/>
    <w:rsid w:val="00210755"/>
    <w:rsid w:val="00210E58"/>
    <w:rsid w:val="00210EE3"/>
    <w:rsid w:val="002117E2"/>
    <w:rsid w:val="002123FB"/>
    <w:rsid w:val="00213421"/>
    <w:rsid w:val="00214EAA"/>
    <w:rsid w:val="00217F70"/>
    <w:rsid w:val="0022114F"/>
    <w:rsid w:val="002239DD"/>
    <w:rsid w:val="00224275"/>
    <w:rsid w:val="002242CC"/>
    <w:rsid w:val="002260F2"/>
    <w:rsid w:val="002275A7"/>
    <w:rsid w:val="00230183"/>
    <w:rsid w:val="00230C2F"/>
    <w:rsid w:val="00230C72"/>
    <w:rsid w:val="00231589"/>
    <w:rsid w:val="002323E8"/>
    <w:rsid w:val="00233DD3"/>
    <w:rsid w:val="00235888"/>
    <w:rsid w:val="00235BFD"/>
    <w:rsid w:val="00237A66"/>
    <w:rsid w:val="0024048F"/>
    <w:rsid w:val="00240532"/>
    <w:rsid w:val="00240AF6"/>
    <w:rsid w:val="00242516"/>
    <w:rsid w:val="00243166"/>
    <w:rsid w:val="002433EC"/>
    <w:rsid w:val="00243CD8"/>
    <w:rsid w:val="00243E51"/>
    <w:rsid w:val="00244326"/>
    <w:rsid w:val="0024541D"/>
    <w:rsid w:val="0024547B"/>
    <w:rsid w:val="00245AD7"/>
    <w:rsid w:val="00251802"/>
    <w:rsid w:val="00252D36"/>
    <w:rsid w:val="00256297"/>
    <w:rsid w:val="0025665E"/>
    <w:rsid w:val="002618F5"/>
    <w:rsid w:val="00263381"/>
    <w:rsid w:val="00266A37"/>
    <w:rsid w:val="00266A97"/>
    <w:rsid w:val="0026741A"/>
    <w:rsid w:val="0027021A"/>
    <w:rsid w:val="00270252"/>
    <w:rsid w:val="00273AB4"/>
    <w:rsid w:val="00276A66"/>
    <w:rsid w:val="002774EA"/>
    <w:rsid w:val="00281A53"/>
    <w:rsid w:val="00282A6A"/>
    <w:rsid w:val="00283D8F"/>
    <w:rsid w:val="0028461C"/>
    <w:rsid w:val="00285E59"/>
    <w:rsid w:val="00286D3C"/>
    <w:rsid w:val="00291000"/>
    <w:rsid w:val="00291189"/>
    <w:rsid w:val="002918B3"/>
    <w:rsid w:val="002960AC"/>
    <w:rsid w:val="002964A0"/>
    <w:rsid w:val="0029721B"/>
    <w:rsid w:val="002A375C"/>
    <w:rsid w:val="002A3A70"/>
    <w:rsid w:val="002A3B9D"/>
    <w:rsid w:val="002A431E"/>
    <w:rsid w:val="002A55EC"/>
    <w:rsid w:val="002A593B"/>
    <w:rsid w:val="002A5A1C"/>
    <w:rsid w:val="002A5EF5"/>
    <w:rsid w:val="002A73D8"/>
    <w:rsid w:val="002A7FB6"/>
    <w:rsid w:val="002B0949"/>
    <w:rsid w:val="002B0DC9"/>
    <w:rsid w:val="002B21D7"/>
    <w:rsid w:val="002B34B7"/>
    <w:rsid w:val="002B37F4"/>
    <w:rsid w:val="002B3D2A"/>
    <w:rsid w:val="002B4D78"/>
    <w:rsid w:val="002B4F53"/>
    <w:rsid w:val="002B68DC"/>
    <w:rsid w:val="002B6FBA"/>
    <w:rsid w:val="002B6FDF"/>
    <w:rsid w:val="002C05DD"/>
    <w:rsid w:val="002C08CF"/>
    <w:rsid w:val="002C1B50"/>
    <w:rsid w:val="002C230A"/>
    <w:rsid w:val="002C24DE"/>
    <w:rsid w:val="002C2AB0"/>
    <w:rsid w:val="002C44F3"/>
    <w:rsid w:val="002C59A2"/>
    <w:rsid w:val="002C63B2"/>
    <w:rsid w:val="002C66AB"/>
    <w:rsid w:val="002C7C74"/>
    <w:rsid w:val="002D0E63"/>
    <w:rsid w:val="002D1828"/>
    <w:rsid w:val="002D2804"/>
    <w:rsid w:val="002D3138"/>
    <w:rsid w:val="002D44E0"/>
    <w:rsid w:val="002D5667"/>
    <w:rsid w:val="002D5CC3"/>
    <w:rsid w:val="002D5E5A"/>
    <w:rsid w:val="002D69F6"/>
    <w:rsid w:val="002D6AAA"/>
    <w:rsid w:val="002D79C4"/>
    <w:rsid w:val="002E2F17"/>
    <w:rsid w:val="002E4226"/>
    <w:rsid w:val="002E733E"/>
    <w:rsid w:val="002F0190"/>
    <w:rsid w:val="002F0AEE"/>
    <w:rsid w:val="002F4596"/>
    <w:rsid w:val="002F4C58"/>
    <w:rsid w:val="002F4EF9"/>
    <w:rsid w:val="002F5179"/>
    <w:rsid w:val="00300509"/>
    <w:rsid w:val="00300CA3"/>
    <w:rsid w:val="003019F7"/>
    <w:rsid w:val="003020A6"/>
    <w:rsid w:val="0030252F"/>
    <w:rsid w:val="00302D59"/>
    <w:rsid w:val="00303449"/>
    <w:rsid w:val="0030467B"/>
    <w:rsid w:val="0030479E"/>
    <w:rsid w:val="0030661D"/>
    <w:rsid w:val="003102DC"/>
    <w:rsid w:val="0031090C"/>
    <w:rsid w:val="00313586"/>
    <w:rsid w:val="00314BA2"/>
    <w:rsid w:val="00316CE1"/>
    <w:rsid w:val="00316D91"/>
    <w:rsid w:val="003174F8"/>
    <w:rsid w:val="003200A9"/>
    <w:rsid w:val="00320952"/>
    <w:rsid w:val="00320C65"/>
    <w:rsid w:val="00320E36"/>
    <w:rsid w:val="00320E71"/>
    <w:rsid w:val="00321CC8"/>
    <w:rsid w:val="00322BF5"/>
    <w:rsid w:val="00322F15"/>
    <w:rsid w:val="00324075"/>
    <w:rsid w:val="0032501E"/>
    <w:rsid w:val="00326E47"/>
    <w:rsid w:val="003273F8"/>
    <w:rsid w:val="003307AE"/>
    <w:rsid w:val="00330C99"/>
    <w:rsid w:val="00333EC3"/>
    <w:rsid w:val="00333FB1"/>
    <w:rsid w:val="00334AAB"/>
    <w:rsid w:val="003354EC"/>
    <w:rsid w:val="00335EA4"/>
    <w:rsid w:val="0033633A"/>
    <w:rsid w:val="003369FA"/>
    <w:rsid w:val="00336CC8"/>
    <w:rsid w:val="003376A3"/>
    <w:rsid w:val="003376EF"/>
    <w:rsid w:val="003379A3"/>
    <w:rsid w:val="0034001A"/>
    <w:rsid w:val="003408B6"/>
    <w:rsid w:val="00340EF7"/>
    <w:rsid w:val="003410F1"/>
    <w:rsid w:val="0034216A"/>
    <w:rsid w:val="00343FF3"/>
    <w:rsid w:val="0034403C"/>
    <w:rsid w:val="00345488"/>
    <w:rsid w:val="00346151"/>
    <w:rsid w:val="00347923"/>
    <w:rsid w:val="00347B3A"/>
    <w:rsid w:val="00352039"/>
    <w:rsid w:val="0035476C"/>
    <w:rsid w:val="0035542C"/>
    <w:rsid w:val="00355EB7"/>
    <w:rsid w:val="00356570"/>
    <w:rsid w:val="00357E57"/>
    <w:rsid w:val="003602E0"/>
    <w:rsid w:val="00360742"/>
    <w:rsid w:val="00360CF1"/>
    <w:rsid w:val="0036172A"/>
    <w:rsid w:val="0036364D"/>
    <w:rsid w:val="00363BE7"/>
    <w:rsid w:val="00366FF8"/>
    <w:rsid w:val="00367F8E"/>
    <w:rsid w:val="003708D5"/>
    <w:rsid w:val="00371EF3"/>
    <w:rsid w:val="00372D33"/>
    <w:rsid w:val="0037300E"/>
    <w:rsid w:val="003762D4"/>
    <w:rsid w:val="003763E5"/>
    <w:rsid w:val="00376BA6"/>
    <w:rsid w:val="00376CDF"/>
    <w:rsid w:val="003779C6"/>
    <w:rsid w:val="003808C6"/>
    <w:rsid w:val="00380EB7"/>
    <w:rsid w:val="00383283"/>
    <w:rsid w:val="00383ADB"/>
    <w:rsid w:val="00383BA6"/>
    <w:rsid w:val="003846C8"/>
    <w:rsid w:val="0038488D"/>
    <w:rsid w:val="00384BF4"/>
    <w:rsid w:val="003907CC"/>
    <w:rsid w:val="00391CF1"/>
    <w:rsid w:val="00392513"/>
    <w:rsid w:val="00393B3C"/>
    <w:rsid w:val="00393EA5"/>
    <w:rsid w:val="003945DB"/>
    <w:rsid w:val="00394802"/>
    <w:rsid w:val="003960CF"/>
    <w:rsid w:val="0039725D"/>
    <w:rsid w:val="003A0848"/>
    <w:rsid w:val="003A0C87"/>
    <w:rsid w:val="003A0EF5"/>
    <w:rsid w:val="003A0FE9"/>
    <w:rsid w:val="003A17B5"/>
    <w:rsid w:val="003A2432"/>
    <w:rsid w:val="003A264E"/>
    <w:rsid w:val="003A26E8"/>
    <w:rsid w:val="003B0786"/>
    <w:rsid w:val="003B199D"/>
    <w:rsid w:val="003B210D"/>
    <w:rsid w:val="003B4538"/>
    <w:rsid w:val="003B47FC"/>
    <w:rsid w:val="003B59BB"/>
    <w:rsid w:val="003B5CE6"/>
    <w:rsid w:val="003B5F39"/>
    <w:rsid w:val="003B70E3"/>
    <w:rsid w:val="003C0734"/>
    <w:rsid w:val="003C085E"/>
    <w:rsid w:val="003C1FDD"/>
    <w:rsid w:val="003C3563"/>
    <w:rsid w:val="003C36CC"/>
    <w:rsid w:val="003C4AA2"/>
    <w:rsid w:val="003C53D7"/>
    <w:rsid w:val="003C7763"/>
    <w:rsid w:val="003D16EE"/>
    <w:rsid w:val="003D180F"/>
    <w:rsid w:val="003D1E61"/>
    <w:rsid w:val="003D30C5"/>
    <w:rsid w:val="003D415A"/>
    <w:rsid w:val="003D41E7"/>
    <w:rsid w:val="003D7335"/>
    <w:rsid w:val="003D7EED"/>
    <w:rsid w:val="003E11E9"/>
    <w:rsid w:val="003E2A1C"/>
    <w:rsid w:val="003E3E64"/>
    <w:rsid w:val="003E4358"/>
    <w:rsid w:val="003E4A7D"/>
    <w:rsid w:val="003E5CEC"/>
    <w:rsid w:val="003E6FC4"/>
    <w:rsid w:val="003E704C"/>
    <w:rsid w:val="003E7398"/>
    <w:rsid w:val="003F10E3"/>
    <w:rsid w:val="003F27AA"/>
    <w:rsid w:val="003F501B"/>
    <w:rsid w:val="003F52BE"/>
    <w:rsid w:val="003F6FCC"/>
    <w:rsid w:val="003F7379"/>
    <w:rsid w:val="003F79B1"/>
    <w:rsid w:val="003F7D16"/>
    <w:rsid w:val="004022AF"/>
    <w:rsid w:val="00403D97"/>
    <w:rsid w:val="00403DEF"/>
    <w:rsid w:val="00404FCE"/>
    <w:rsid w:val="004059D7"/>
    <w:rsid w:val="00405B37"/>
    <w:rsid w:val="00406F03"/>
    <w:rsid w:val="004101FE"/>
    <w:rsid w:val="0041168D"/>
    <w:rsid w:val="004132E4"/>
    <w:rsid w:val="00413452"/>
    <w:rsid w:val="004162E0"/>
    <w:rsid w:val="00416677"/>
    <w:rsid w:val="00416C18"/>
    <w:rsid w:val="004170DD"/>
    <w:rsid w:val="0041726A"/>
    <w:rsid w:val="00421268"/>
    <w:rsid w:val="00423AE6"/>
    <w:rsid w:val="00423E4D"/>
    <w:rsid w:val="00425853"/>
    <w:rsid w:val="00427068"/>
    <w:rsid w:val="0043287C"/>
    <w:rsid w:val="00432894"/>
    <w:rsid w:val="004350BD"/>
    <w:rsid w:val="00436B0C"/>
    <w:rsid w:val="0044014F"/>
    <w:rsid w:val="00440F1D"/>
    <w:rsid w:val="00441110"/>
    <w:rsid w:val="0044252F"/>
    <w:rsid w:val="004425E5"/>
    <w:rsid w:val="004425E6"/>
    <w:rsid w:val="004429A2"/>
    <w:rsid w:val="00442CB3"/>
    <w:rsid w:val="00443B37"/>
    <w:rsid w:val="0044409E"/>
    <w:rsid w:val="0044579D"/>
    <w:rsid w:val="00447A28"/>
    <w:rsid w:val="00447D43"/>
    <w:rsid w:val="004506DF"/>
    <w:rsid w:val="004507D1"/>
    <w:rsid w:val="0045255C"/>
    <w:rsid w:val="00452AD5"/>
    <w:rsid w:val="00453717"/>
    <w:rsid w:val="00453B89"/>
    <w:rsid w:val="00454CC2"/>
    <w:rsid w:val="004561C6"/>
    <w:rsid w:val="0045634A"/>
    <w:rsid w:val="004610CA"/>
    <w:rsid w:val="0046125D"/>
    <w:rsid w:val="00462466"/>
    <w:rsid w:val="00462A5D"/>
    <w:rsid w:val="0046396C"/>
    <w:rsid w:val="0046566C"/>
    <w:rsid w:val="0046752A"/>
    <w:rsid w:val="00467A9F"/>
    <w:rsid w:val="00467FCC"/>
    <w:rsid w:val="00472171"/>
    <w:rsid w:val="00474D25"/>
    <w:rsid w:val="00475099"/>
    <w:rsid w:val="0047660B"/>
    <w:rsid w:val="004862C8"/>
    <w:rsid w:val="00486CC2"/>
    <w:rsid w:val="00490211"/>
    <w:rsid w:val="00490CD4"/>
    <w:rsid w:val="004914C0"/>
    <w:rsid w:val="00492443"/>
    <w:rsid w:val="00492702"/>
    <w:rsid w:val="00492869"/>
    <w:rsid w:val="00492893"/>
    <w:rsid w:val="00493F5E"/>
    <w:rsid w:val="004948F1"/>
    <w:rsid w:val="004949BD"/>
    <w:rsid w:val="00495704"/>
    <w:rsid w:val="004A0283"/>
    <w:rsid w:val="004A28E7"/>
    <w:rsid w:val="004A44D4"/>
    <w:rsid w:val="004A4C82"/>
    <w:rsid w:val="004A5EFB"/>
    <w:rsid w:val="004A7321"/>
    <w:rsid w:val="004A78C4"/>
    <w:rsid w:val="004B076F"/>
    <w:rsid w:val="004B0A35"/>
    <w:rsid w:val="004B1CBC"/>
    <w:rsid w:val="004B4322"/>
    <w:rsid w:val="004B548E"/>
    <w:rsid w:val="004C0367"/>
    <w:rsid w:val="004C0E62"/>
    <w:rsid w:val="004C1646"/>
    <w:rsid w:val="004C68A5"/>
    <w:rsid w:val="004C78A6"/>
    <w:rsid w:val="004D0710"/>
    <w:rsid w:val="004D1A2C"/>
    <w:rsid w:val="004D3A45"/>
    <w:rsid w:val="004D4778"/>
    <w:rsid w:val="004D7AE4"/>
    <w:rsid w:val="004D7D0E"/>
    <w:rsid w:val="004D7EFD"/>
    <w:rsid w:val="004E0073"/>
    <w:rsid w:val="004E17D8"/>
    <w:rsid w:val="004E190C"/>
    <w:rsid w:val="004E2685"/>
    <w:rsid w:val="004E3705"/>
    <w:rsid w:val="004E376A"/>
    <w:rsid w:val="004E4FC0"/>
    <w:rsid w:val="004E51CA"/>
    <w:rsid w:val="004E5FD0"/>
    <w:rsid w:val="004F00C4"/>
    <w:rsid w:val="004F0548"/>
    <w:rsid w:val="004F0803"/>
    <w:rsid w:val="004F14CA"/>
    <w:rsid w:val="004F1B51"/>
    <w:rsid w:val="004F3307"/>
    <w:rsid w:val="004F79BF"/>
    <w:rsid w:val="004F7F4B"/>
    <w:rsid w:val="00500271"/>
    <w:rsid w:val="0050028E"/>
    <w:rsid w:val="005002D7"/>
    <w:rsid w:val="0050054B"/>
    <w:rsid w:val="0050055A"/>
    <w:rsid w:val="0050056C"/>
    <w:rsid w:val="00501803"/>
    <w:rsid w:val="00504CAA"/>
    <w:rsid w:val="0051009A"/>
    <w:rsid w:val="005119DC"/>
    <w:rsid w:val="00511E60"/>
    <w:rsid w:val="005123F1"/>
    <w:rsid w:val="00513B6A"/>
    <w:rsid w:val="00514F98"/>
    <w:rsid w:val="00515BAB"/>
    <w:rsid w:val="005211D0"/>
    <w:rsid w:val="00523F9A"/>
    <w:rsid w:val="00525C8B"/>
    <w:rsid w:val="005300A7"/>
    <w:rsid w:val="00530A30"/>
    <w:rsid w:val="00530AAD"/>
    <w:rsid w:val="00532355"/>
    <w:rsid w:val="00534073"/>
    <w:rsid w:val="005341E3"/>
    <w:rsid w:val="005347D9"/>
    <w:rsid w:val="0053533F"/>
    <w:rsid w:val="00535A68"/>
    <w:rsid w:val="00537C71"/>
    <w:rsid w:val="00540A94"/>
    <w:rsid w:val="00541573"/>
    <w:rsid w:val="005445BF"/>
    <w:rsid w:val="00544B01"/>
    <w:rsid w:val="00544D72"/>
    <w:rsid w:val="005472B7"/>
    <w:rsid w:val="0054761F"/>
    <w:rsid w:val="00550E55"/>
    <w:rsid w:val="005515CD"/>
    <w:rsid w:val="005548B5"/>
    <w:rsid w:val="00557D6F"/>
    <w:rsid w:val="005612C8"/>
    <w:rsid w:val="00563952"/>
    <w:rsid w:val="00564317"/>
    <w:rsid w:val="00564B9B"/>
    <w:rsid w:val="00565E64"/>
    <w:rsid w:val="00572341"/>
    <w:rsid w:val="00572B2D"/>
    <w:rsid w:val="00574AD9"/>
    <w:rsid w:val="00575191"/>
    <w:rsid w:val="00582527"/>
    <w:rsid w:val="00584898"/>
    <w:rsid w:val="00585765"/>
    <w:rsid w:val="00586380"/>
    <w:rsid w:val="00586710"/>
    <w:rsid w:val="00586D06"/>
    <w:rsid w:val="00592778"/>
    <w:rsid w:val="005928C2"/>
    <w:rsid w:val="005942EA"/>
    <w:rsid w:val="00597694"/>
    <w:rsid w:val="00597CCF"/>
    <w:rsid w:val="00597E46"/>
    <w:rsid w:val="005A05BD"/>
    <w:rsid w:val="005A1F95"/>
    <w:rsid w:val="005A27BD"/>
    <w:rsid w:val="005A2B0D"/>
    <w:rsid w:val="005A3B66"/>
    <w:rsid w:val="005A3CBE"/>
    <w:rsid w:val="005A4DA8"/>
    <w:rsid w:val="005A4F89"/>
    <w:rsid w:val="005A6340"/>
    <w:rsid w:val="005A738A"/>
    <w:rsid w:val="005B043E"/>
    <w:rsid w:val="005B072D"/>
    <w:rsid w:val="005B0931"/>
    <w:rsid w:val="005B10A9"/>
    <w:rsid w:val="005B131C"/>
    <w:rsid w:val="005B1502"/>
    <w:rsid w:val="005B1B15"/>
    <w:rsid w:val="005B2D19"/>
    <w:rsid w:val="005B50D3"/>
    <w:rsid w:val="005B67D3"/>
    <w:rsid w:val="005C077C"/>
    <w:rsid w:val="005C0881"/>
    <w:rsid w:val="005C1352"/>
    <w:rsid w:val="005C1611"/>
    <w:rsid w:val="005C17C0"/>
    <w:rsid w:val="005C2A7E"/>
    <w:rsid w:val="005C2C16"/>
    <w:rsid w:val="005C43F3"/>
    <w:rsid w:val="005C5005"/>
    <w:rsid w:val="005C60E8"/>
    <w:rsid w:val="005C61FF"/>
    <w:rsid w:val="005C699D"/>
    <w:rsid w:val="005C7552"/>
    <w:rsid w:val="005D121D"/>
    <w:rsid w:val="005D2964"/>
    <w:rsid w:val="005D37D4"/>
    <w:rsid w:val="005D4366"/>
    <w:rsid w:val="005D58C5"/>
    <w:rsid w:val="005D638D"/>
    <w:rsid w:val="005D728E"/>
    <w:rsid w:val="005D78DB"/>
    <w:rsid w:val="005E2A5E"/>
    <w:rsid w:val="005E2E83"/>
    <w:rsid w:val="005E3BB8"/>
    <w:rsid w:val="005E450B"/>
    <w:rsid w:val="005F2360"/>
    <w:rsid w:val="005F32C2"/>
    <w:rsid w:val="005F3A82"/>
    <w:rsid w:val="005F4F06"/>
    <w:rsid w:val="005F5963"/>
    <w:rsid w:val="005F5C6B"/>
    <w:rsid w:val="005F62CE"/>
    <w:rsid w:val="005F6A90"/>
    <w:rsid w:val="005F7E9A"/>
    <w:rsid w:val="006001BB"/>
    <w:rsid w:val="00600326"/>
    <w:rsid w:val="006008E7"/>
    <w:rsid w:val="00601D59"/>
    <w:rsid w:val="006055F3"/>
    <w:rsid w:val="00605EEA"/>
    <w:rsid w:val="006065D8"/>
    <w:rsid w:val="0060660E"/>
    <w:rsid w:val="0060734E"/>
    <w:rsid w:val="00607D9C"/>
    <w:rsid w:val="00610DB3"/>
    <w:rsid w:val="00610E48"/>
    <w:rsid w:val="0061329B"/>
    <w:rsid w:val="00613FA3"/>
    <w:rsid w:val="00614EC2"/>
    <w:rsid w:val="00615D57"/>
    <w:rsid w:val="006163C7"/>
    <w:rsid w:val="00616AB2"/>
    <w:rsid w:val="00620808"/>
    <w:rsid w:val="00621592"/>
    <w:rsid w:val="00621F58"/>
    <w:rsid w:val="00622938"/>
    <w:rsid w:val="00624038"/>
    <w:rsid w:val="00627B7A"/>
    <w:rsid w:val="006308AC"/>
    <w:rsid w:val="00630ECC"/>
    <w:rsid w:val="0063123F"/>
    <w:rsid w:val="0063198B"/>
    <w:rsid w:val="00635DFC"/>
    <w:rsid w:val="00636EF3"/>
    <w:rsid w:val="00637229"/>
    <w:rsid w:val="00637580"/>
    <w:rsid w:val="006378C5"/>
    <w:rsid w:val="00637D40"/>
    <w:rsid w:val="00640A1B"/>
    <w:rsid w:val="00641566"/>
    <w:rsid w:val="006445DD"/>
    <w:rsid w:val="00644777"/>
    <w:rsid w:val="00644A50"/>
    <w:rsid w:val="006450FB"/>
    <w:rsid w:val="006463D1"/>
    <w:rsid w:val="00650FF3"/>
    <w:rsid w:val="00652B9E"/>
    <w:rsid w:val="00653FEE"/>
    <w:rsid w:val="00654103"/>
    <w:rsid w:val="00657EB4"/>
    <w:rsid w:val="0066193F"/>
    <w:rsid w:val="00662167"/>
    <w:rsid w:val="00666BC4"/>
    <w:rsid w:val="006675D7"/>
    <w:rsid w:val="00670ECA"/>
    <w:rsid w:val="00671DA2"/>
    <w:rsid w:val="00671FD7"/>
    <w:rsid w:val="006720EC"/>
    <w:rsid w:val="00673388"/>
    <w:rsid w:val="006733F9"/>
    <w:rsid w:val="00674053"/>
    <w:rsid w:val="00674299"/>
    <w:rsid w:val="00674EC7"/>
    <w:rsid w:val="00674FDB"/>
    <w:rsid w:val="00677079"/>
    <w:rsid w:val="00680744"/>
    <w:rsid w:val="0068178A"/>
    <w:rsid w:val="00682832"/>
    <w:rsid w:val="006846CD"/>
    <w:rsid w:val="00684C23"/>
    <w:rsid w:val="006869B9"/>
    <w:rsid w:val="00687D99"/>
    <w:rsid w:val="00690158"/>
    <w:rsid w:val="00690E0F"/>
    <w:rsid w:val="00691A76"/>
    <w:rsid w:val="00694755"/>
    <w:rsid w:val="00695490"/>
    <w:rsid w:val="00697AC5"/>
    <w:rsid w:val="006A1B89"/>
    <w:rsid w:val="006A1CB1"/>
    <w:rsid w:val="006A225C"/>
    <w:rsid w:val="006A43B4"/>
    <w:rsid w:val="006A4D89"/>
    <w:rsid w:val="006B031A"/>
    <w:rsid w:val="006B0E92"/>
    <w:rsid w:val="006B1E1B"/>
    <w:rsid w:val="006B216B"/>
    <w:rsid w:val="006B4969"/>
    <w:rsid w:val="006B682E"/>
    <w:rsid w:val="006C059B"/>
    <w:rsid w:val="006C2504"/>
    <w:rsid w:val="006C7056"/>
    <w:rsid w:val="006C72C7"/>
    <w:rsid w:val="006C7585"/>
    <w:rsid w:val="006D2317"/>
    <w:rsid w:val="006D6107"/>
    <w:rsid w:val="006D7C21"/>
    <w:rsid w:val="006E0B7E"/>
    <w:rsid w:val="006E1FB5"/>
    <w:rsid w:val="006E2DBE"/>
    <w:rsid w:val="006E2F26"/>
    <w:rsid w:val="006E444B"/>
    <w:rsid w:val="006E4BCB"/>
    <w:rsid w:val="006E56B6"/>
    <w:rsid w:val="006E6BFF"/>
    <w:rsid w:val="006E7872"/>
    <w:rsid w:val="006F0FF8"/>
    <w:rsid w:val="006F1638"/>
    <w:rsid w:val="006F28BB"/>
    <w:rsid w:val="006F2B1E"/>
    <w:rsid w:val="006F3728"/>
    <w:rsid w:val="006F39E6"/>
    <w:rsid w:val="006F74F8"/>
    <w:rsid w:val="006F7ED6"/>
    <w:rsid w:val="006F7F3C"/>
    <w:rsid w:val="007011B1"/>
    <w:rsid w:val="00701B1E"/>
    <w:rsid w:val="00703605"/>
    <w:rsid w:val="00704131"/>
    <w:rsid w:val="007042CF"/>
    <w:rsid w:val="0070461E"/>
    <w:rsid w:val="00704981"/>
    <w:rsid w:val="007054FF"/>
    <w:rsid w:val="00710B10"/>
    <w:rsid w:val="00710E1B"/>
    <w:rsid w:val="00710FB8"/>
    <w:rsid w:val="00714ECF"/>
    <w:rsid w:val="00715E20"/>
    <w:rsid w:val="00716413"/>
    <w:rsid w:val="00716F7B"/>
    <w:rsid w:val="0071730B"/>
    <w:rsid w:val="00717323"/>
    <w:rsid w:val="00717484"/>
    <w:rsid w:val="007177E8"/>
    <w:rsid w:val="00720BE5"/>
    <w:rsid w:val="00721CDE"/>
    <w:rsid w:val="00723B20"/>
    <w:rsid w:val="00723D6C"/>
    <w:rsid w:val="00723EE0"/>
    <w:rsid w:val="007266F8"/>
    <w:rsid w:val="0072737D"/>
    <w:rsid w:val="00727DF6"/>
    <w:rsid w:val="00727E13"/>
    <w:rsid w:val="00731124"/>
    <w:rsid w:val="00731980"/>
    <w:rsid w:val="00733676"/>
    <w:rsid w:val="0073393D"/>
    <w:rsid w:val="0073552B"/>
    <w:rsid w:val="007355C2"/>
    <w:rsid w:val="007356BA"/>
    <w:rsid w:val="00735C21"/>
    <w:rsid w:val="00735FAA"/>
    <w:rsid w:val="00737CF4"/>
    <w:rsid w:val="00742444"/>
    <w:rsid w:val="00742DD6"/>
    <w:rsid w:val="0074349C"/>
    <w:rsid w:val="00745B06"/>
    <w:rsid w:val="007519BC"/>
    <w:rsid w:val="00751B8E"/>
    <w:rsid w:val="00752792"/>
    <w:rsid w:val="00754586"/>
    <w:rsid w:val="00754FF8"/>
    <w:rsid w:val="007559B8"/>
    <w:rsid w:val="00756045"/>
    <w:rsid w:val="00756AC4"/>
    <w:rsid w:val="0075719F"/>
    <w:rsid w:val="00757ACC"/>
    <w:rsid w:val="00761204"/>
    <w:rsid w:val="00761BD3"/>
    <w:rsid w:val="0076286F"/>
    <w:rsid w:val="007663A9"/>
    <w:rsid w:val="00770655"/>
    <w:rsid w:val="00770F4D"/>
    <w:rsid w:val="00771FDD"/>
    <w:rsid w:val="00772C05"/>
    <w:rsid w:val="007740C5"/>
    <w:rsid w:val="00774244"/>
    <w:rsid w:val="00774C41"/>
    <w:rsid w:val="00776071"/>
    <w:rsid w:val="0077626D"/>
    <w:rsid w:val="007763B6"/>
    <w:rsid w:val="00777516"/>
    <w:rsid w:val="00777695"/>
    <w:rsid w:val="00777D9E"/>
    <w:rsid w:val="00780A05"/>
    <w:rsid w:val="00781050"/>
    <w:rsid w:val="00783DAF"/>
    <w:rsid w:val="00783F7C"/>
    <w:rsid w:val="00785E10"/>
    <w:rsid w:val="00786511"/>
    <w:rsid w:val="00787AB5"/>
    <w:rsid w:val="007903F4"/>
    <w:rsid w:val="00791431"/>
    <w:rsid w:val="00792AC3"/>
    <w:rsid w:val="00794A76"/>
    <w:rsid w:val="00794AB2"/>
    <w:rsid w:val="007956BE"/>
    <w:rsid w:val="007965BA"/>
    <w:rsid w:val="00796691"/>
    <w:rsid w:val="007A152A"/>
    <w:rsid w:val="007A2265"/>
    <w:rsid w:val="007A2408"/>
    <w:rsid w:val="007A24C6"/>
    <w:rsid w:val="007A59C9"/>
    <w:rsid w:val="007B0188"/>
    <w:rsid w:val="007B0795"/>
    <w:rsid w:val="007B1959"/>
    <w:rsid w:val="007B2D99"/>
    <w:rsid w:val="007B4D4B"/>
    <w:rsid w:val="007B4FF0"/>
    <w:rsid w:val="007B5448"/>
    <w:rsid w:val="007B63C6"/>
    <w:rsid w:val="007B6BF6"/>
    <w:rsid w:val="007B7375"/>
    <w:rsid w:val="007B7733"/>
    <w:rsid w:val="007C196D"/>
    <w:rsid w:val="007C2399"/>
    <w:rsid w:val="007C351C"/>
    <w:rsid w:val="007C3C30"/>
    <w:rsid w:val="007C4F51"/>
    <w:rsid w:val="007C5486"/>
    <w:rsid w:val="007C5DFE"/>
    <w:rsid w:val="007C6477"/>
    <w:rsid w:val="007C7CDA"/>
    <w:rsid w:val="007D070D"/>
    <w:rsid w:val="007D0871"/>
    <w:rsid w:val="007D10BF"/>
    <w:rsid w:val="007D25BB"/>
    <w:rsid w:val="007D273F"/>
    <w:rsid w:val="007D36EB"/>
    <w:rsid w:val="007D545B"/>
    <w:rsid w:val="007D5649"/>
    <w:rsid w:val="007D6674"/>
    <w:rsid w:val="007D6B63"/>
    <w:rsid w:val="007E1B78"/>
    <w:rsid w:val="007E1F75"/>
    <w:rsid w:val="007E66EF"/>
    <w:rsid w:val="007F07D5"/>
    <w:rsid w:val="007F09AA"/>
    <w:rsid w:val="007F1B04"/>
    <w:rsid w:val="007F25D4"/>
    <w:rsid w:val="007F29B3"/>
    <w:rsid w:val="007F3393"/>
    <w:rsid w:val="007F35E9"/>
    <w:rsid w:val="007F4B4D"/>
    <w:rsid w:val="007F5521"/>
    <w:rsid w:val="00800710"/>
    <w:rsid w:val="008010D3"/>
    <w:rsid w:val="00801D30"/>
    <w:rsid w:val="008021FE"/>
    <w:rsid w:val="00805D93"/>
    <w:rsid w:val="00810D23"/>
    <w:rsid w:val="00813A48"/>
    <w:rsid w:val="00815AE6"/>
    <w:rsid w:val="0081656D"/>
    <w:rsid w:val="00820B2E"/>
    <w:rsid w:val="00821838"/>
    <w:rsid w:val="00821D9A"/>
    <w:rsid w:val="00822C20"/>
    <w:rsid w:val="00823CE2"/>
    <w:rsid w:val="00823E36"/>
    <w:rsid w:val="008261C4"/>
    <w:rsid w:val="008268D9"/>
    <w:rsid w:val="00827B99"/>
    <w:rsid w:val="0083063A"/>
    <w:rsid w:val="00830F68"/>
    <w:rsid w:val="008323C5"/>
    <w:rsid w:val="00833E8D"/>
    <w:rsid w:val="00837B91"/>
    <w:rsid w:val="008406A0"/>
    <w:rsid w:val="008407D3"/>
    <w:rsid w:val="00840C9A"/>
    <w:rsid w:val="00841425"/>
    <w:rsid w:val="0084155C"/>
    <w:rsid w:val="00841604"/>
    <w:rsid w:val="00841E4A"/>
    <w:rsid w:val="00843604"/>
    <w:rsid w:val="008438CC"/>
    <w:rsid w:val="00844567"/>
    <w:rsid w:val="00844D2E"/>
    <w:rsid w:val="0084536F"/>
    <w:rsid w:val="008504C6"/>
    <w:rsid w:val="0085052A"/>
    <w:rsid w:val="00852305"/>
    <w:rsid w:val="0085273D"/>
    <w:rsid w:val="00853549"/>
    <w:rsid w:val="00853D2E"/>
    <w:rsid w:val="00854718"/>
    <w:rsid w:val="00855F32"/>
    <w:rsid w:val="00860DC6"/>
    <w:rsid w:val="008612D0"/>
    <w:rsid w:val="008624D0"/>
    <w:rsid w:val="0086510F"/>
    <w:rsid w:val="008666F0"/>
    <w:rsid w:val="00871FFA"/>
    <w:rsid w:val="008721CE"/>
    <w:rsid w:val="00874B0C"/>
    <w:rsid w:val="00875994"/>
    <w:rsid w:val="00875A6F"/>
    <w:rsid w:val="00876294"/>
    <w:rsid w:val="0087650C"/>
    <w:rsid w:val="00880B75"/>
    <w:rsid w:val="00881DD4"/>
    <w:rsid w:val="008822CD"/>
    <w:rsid w:val="00882DAB"/>
    <w:rsid w:val="008849DE"/>
    <w:rsid w:val="00887407"/>
    <w:rsid w:val="00887412"/>
    <w:rsid w:val="008876C1"/>
    <w:rsid w:val="00887708"/>
    <w:rsid w:val="00887D18"/>
    <w:rsid w:val="0089015C"/>
    <w:rsid w:val="00890AB6"/>
    <w:rsid w:val="0089260F"/>
    <w:rsid w:val="0089476A"/>
    <w:rsid w:val="00894BD4"/>
    <w:rsid w:val="00894CD5"/>
    <w:rsid w:val="0089541E"/>
    <w:rsid w:val="008963C4"/>
    <w:rsid w:val="00896771"/>
    <w:rsid w:val="00897EC1"/>
    <w:rsid w:val="008A0185"/>
    <w:rsid w:val="008A1C3F"/>
    <w:rsid w:val="008A2600"/>
    <w:rsid w:val="008A54B9"/>
    <w:rsid w:val="008A5873"/>
    <w:rsid w:val="008A6F04"/>
    <w:rsid w:val="008A76F1"/>
    <w:rsid w:val="008B0C10"/>
    <w:rsid w:val="008B1853"/>
    <w:rsid w:val="008B2D05"/>
    <w:rsid w:val="008B3727"/>
    <w:rsid w:val="008B474B"/>
    <w:rsid w:val="008B481B"/>
    <w:rsid w:val="008B50AA"/>
    <w:rsid w:val="008B6487"/>
    <w:rsid w:val="008B7AD2"/>
    <w:rsid w:val="008C032F"/>
    <w:rsid w:val="008C0C8C"/>
    <w:rsid w:val="008C3050"/>
    <w:rsid w:val="008C5DCB"/>
    <w:rsid w:val="008C6EA1"/>
    <w:rsid w:val="008D04D1"/>
    <w:rsid w:val="008D04E0"/>
    <w:rsid w:val="008D0E7F"/>
    <w:rsid w:val="008D124D"/>
    <w:rsid w:val="008D2983"/>
    <w:rsid w:val="008D2C1B"/>
    <w:rsid w:val="008D3A96"/>
    <w:rsid w:val="008D3F5E"/>
    <w:rsid w:val="008D5FCE"/>
    <w:rsid w:val="008D642D"/>
    <w:rsid w:val="008D6B30"/>
    <w:rsid w:val="008D7E31"/>
    <w:rsid w:val="008E03B2"/>
    <w:rsid w:val="008E28BB"/>
    <w:rsid w:val="008E3385"/>
    <w:rsid w:val="008E3E10"/>
    <w:rsid w:val="008E4CC4"/>
    <w:rsid w:val="008E4ED3"/>
    <w:rsid w:val="008E56E5"/>
    <w:rsid w:val="008E6DBC"/>
    <w:rsid w:val="008F231A"/>
    <w:rsid w:val="008F2F5E"/>
    <w:rsid w:val="008F301C"/>
    <w:rsid w:val="008F3697"/>
    <w:rsid w:val="008F37BA"/>
    <w:rsid w:val="008F3865"/>
    <w:rsid w:val="008F3932"/>
    <w:rsid w:val="008F51DB"/>
    <w:rsid w:val="008F6139"/>
    <w:rsid w:val="00900230"/>
    <w:rsid w:val="0090100D"/>
    <w:rsid w:val="0090152B"/>
    <w:rsid w:val="009021E9"/>
    <w:rsid w:val="009024F5"/>
    <w:rsid w:val="0090372F"/>
    <w:rsid w:val="00912AD6"/>
    <w:rsid w:val="00912D9E"/>
    <w:rsid w:val="009138B2"/>
    <w:rsid w:val="00913A27"/>
    <w:rsid w:val="00913AB2"/>
    <w:rsid w:val="009146DE"/>
    <w:rsid w:val="00914E2C"/>
    <w:rsid w:val="00915196"/>
    <w:rsid w:val="00915ADE"/>
    <w:rsid w:val="00916585"/>
    <w:rsid w:val="009173BD"/>
    <w:rsid w:val="0091793D"/>
    <w:rsid w:val="00920D1E"/>
    <w:rsid w:val="009216B8"/>
    <w:rsid w:val="009223F3"/>
    <w:rsid w:val="00922ED1"/>
    <w:rsid w:val="00924750"/>
    <w:rsid w:val="00925B8F"/>
    <w:rsid w:val="009268C2"/>
    <w:rsid w:val="00927295"/>
    <w:rsid w:val="009324E9"/>
    <w:rsid w:val="00932B47"/>
    <w:rsid w:val="00933DF0"/>
    <w:rsid w:val="00933E77"/>
    <w:rsid w:val="00934B3E"/>
    <w:rsid w:val="0093722C"/>
    <w:rsid w:val="00937697"/>
    <w:rsid w:val="00940388"/>
    <w:rsid w:val="00941EE6"/>
    <w:rsid w:val="00942125"/>
    <w:rsid w:val="00943126"/>
    <w:rsid w:val="009440F8"/>
    <w:rsid w:val="009454D6"/>
    <w:rsid w:val="00945F91"/>
    <w:rsid w:val="00946DD7"/>
    <w:rsid w:val="00946E7F"/>
    <w:rsid w:val="00946FA0"/>
    <w:rsid w:val="00950C83"/>
    <w:rsid w:val="009510E4"/>
    <w:rsid w:val="00951456"/>
    <w:rsid w:val="00951A16"/>
    <w:rsid w:val="00952856"/>
    <w:rsid w:val="00953B2C"/>
    <w:rsid w:val="009546BB"/>
    <w:rsid w:val="00954AEA"/>
    <w:rsid w:val="00956B6A"/>
    <w:rsid w:val="0096013C"/>
    <w:rsid w:val="009616D1"/>
    <w:rsid w:val="00962FF0"/>
    <w:rsid w:val="009638C7"/>
    <w:rsid w:val="00966197"/>
    <w:rsid w:val="0096632E"/>
    <w:rsid w:val="00967966"/>
    <w:rsid w:val="00972AC4"/>
    <w:rsid w:val="00974187"/>
    <w:rsid w:val="00975398"/>
    <w:rsid w:val="00975711"/>
    <w:rsid w:val="00975E38"/>
    <w:rsid w:val="00975EDA"/>
    <w:rsid w:val="00977641"/>
    <w:rsid w:val="00981491"/>
    <w:rsid w:val="00984D5E"/>
    <w:rsid w:val="009853A5"/>
    <w:rsid w:val="0098591E"/>
    <w:rsid w:val="00985D04"/>
    <w:rsid w:val="00987608"/>
    <w:rsid w:val="00990A5F"/>
    <w:rsid w:val="00991444"/>
    <w:rsid w:val="009918B5"/>
    <w:rsid w:val="00994ABE"/>
    <w:rsid w:val="00995761"/>
    <w:rsid w:val="00995939"/>
    <w:rsid w:val="00995940"/>
    <w:rsid w:val="00995FB0"/>
    <w:rsid w:val="0099710D"/>
    <w:rsid w:val="009A00A1"/>
    <w:rsid w:val="009A1792"/>
    <w:rsid w:val="009A3F82"/>
    <w:rsid w:val="009A44BB"/>
    <w:rsid w:val="009A6CFB"/>
    <w:rsid w:val="009A7762"/>
    <w:rsid w:val="009B176E"/>
    <w:rsid w:val="009B2D49"/>
    <w:rsid w:val="009B3702"/>
    <w:rsid w:val="009B40B4"/>
    <w:rsid w:val="009B5ACA"/>
    <w:rsid w:val="009B6CE7"/>
    <w:rsid w:val="009B7B59"/>
    <w:rsid w:val="009B7C1F"/>
    <w:rsid w:val="009B7D41"/>
    <w:rsid w:val="009C1449"/>
    <w:rsid w:val="009C179D"/>
    <w:rsid w:val="009C4F7B"/>
    <w:rsid w:val="009C50D9"/>
    <w:rsid w:val="009C52A3"/>
    <w:rsid w:val="009C5B66"/>
    <w:rsid w:val="009C71ED"/>
    <w:rsid w:val="009D0CAB"/>
    <w:rsid w:val="009D162B"/>
    <w:rsid w:val="009D1BF8"/>
    <w:rsid w:val="009D2A0B"/>
    <w:rsid w:val="009D44EB"/>
    <w:rsid w:val="009D4770"/>
    <w:rsid w:val="009D48B2"/>
    <w:rsid w:val="009D6775"/>
    <w:rsid w:val="009D763F"/>
    <w:rsid w:val="009D7991"/>
    <w:rsid w:val="009E400F"/>
    <w:rsid w:val="009E4D5B"/>
    <w:rsid w:val="009E57DF"/>
    <w:rsid w:val="009E657D"/>
    <w:rsid w:val="009E6D76"/>
    <w:rsid w:val="009F289F"/>
    <w:rsid w:val="009F48D1"/>
    <w:rsid w:val="009F4F0C"/>
    <w:rsid w:val="009F7055"/>
    <w:rsid w:val="00A002BE"/>
    <w:rsid w:val="00A004CD"/>
    <w:rsid w:val="00A0095C"/>
    <w:rsid w:val="00A014FB"/>
    <w:rsid w:val="00A01839"/>
    <w:rsid w:val="00A0215C"/>
    <w:rsid w:val="00A03B57"/>
    <w:rsid w:val="00A044E3"/>
    <w:rsid w:val="00A06048"/>
    <w:rsid w:val="00A069BF"/>
    <w:rsid w:val="00A06F62"/>
    <w:rsid w:val="00A07416"/>
    <w:rsid w:val="00A0746A"/>
    <w:rsid w:val="00A121CE"/>
    <w:rsid w:val="00A127C5"/>
    <w:rsid w:val="00A1457E"/>
    <w:rsid w:val="00A1570E"/>
    <w:rsid w:val="00A15D1D"/>
    <w:rsid w:val="00A16358"/>
    <w:rsid w:val="00A16677"/>
    <w:rsid w:val="00A16BB3"/>
    <w:rsid w:val="00A200E4"/>
    <w:rsid w:val="00A21F1F"/>
    <w:rsid w:val="00A227B5"/>
    <w:rsid w:val="00A2696C"/>
    <w:rsid w:val="00A27A68"/>
    <w:rsid w:val="00A3122A"/>
    <w:rsid w:val="00A3122C"/>
    <w:rsid w:val="00A321B3"/>
    <w:rsid w:val="00A35E1B"/>
    <w:rsid w:val="00A376DD"/>
    <w:rsid w:val="00A40D70"/>
    <w:rsid w:val="00A40F93"/>
    <w:rsid w:val="00A416C1"/>
    <w:rsid w:val="00A41A43"/>
    <w:rsid w:val="00A44AA0"/>
    <w:rsid w:val="00A47FCD"/>
    <w:rsid w:val="00A50882"/>
    <w:rsid w:val="00A50DC6"/>
    <w:rsid w:val="00A51809"/>
    <w:rsid w:val="00A52408"/>
    <w:rsid w:val="00A53249"/>
    <w:rsid w:val="00A53D6C"/>
    <w:rsid w:val="00A55B35"/>
    <w:rsid w:val="00A566BA"/>
    <w:rsid w:val="00A61DB2"/>
    <w:rsid w:val="00A62882"/>
    <w:rsid w:val="00A64C8B"/>
    <w:rsid w:val="00A64FE8"/>
    <w:rsid w:val="00A658D0"/>
    <w:rsid w:val="00A65B93"/>
    <w:rsid w:val="00A67248"/>
    <w:rsid w:val="00A706C9"/>
    <w:rsid w:val="00A70D83"/>
    <w:rsid w:val="00A710B8"/>
    <w:rsid w:val="00A71745"/>
    <w:rsid w:val="00A7293B"/>
    <w:rsid w:val="00A72968"/>
    <w:rsid w:val="00A73179"/>
    <w:rsid w:val="00A73948"/>
    <w:rsid w:val="00A74422"/>
    <w:rsid w:val="00A75488"/>
    <w:rsid w:val="00A75607"/>
    <w:rsid w:val="00A75BB1"/>
    <w:rsid w:val="00A76CDC"/>
    <w:rsid w:val="00A80113"/>
    <w:rsid w:val="00A807B1"/>
    <w:rsid w:val="00A82832"/>
    <w:rsid w:val="00A82D8E"/>
    <w:rsid w:val="00A83761"/>
    <w:rsid w:val="00A84FC2"/>
    <w:rsid w:val="00A864AA"/>
    <w:rsid w:val="00A8718A"/>
    <w:rsid w:val="00A872EE"/>
    <w:rsid w:val="00A8740A"/>
    <w:rsid w:val="00A87894"/>
    <w:rsid w:val="00A87A2C"/>
    <w:rsid w:val="00A91C88"/>
    <w:rsid w:val="00A95022"/>
    <w:rsid w:val="00A953E2"/>
    <w:rsid w:val="00AA0833"/>
    <w:rsid w:val="00AA135C"/>
    <w:rsid w:val="00AA1A3F"/>
    <w:rsid w:val="00AA2817"/>
    <w:rsid w:val="00AA5E91"/>
    <w:rsid w:val="00AA6079"/>
    <w:rsid w:val="00AA6AA1"/>
    <w:rsid w:val="00AB28C6"/>
    <w:rsid w:val="00AB3203"/>
    <w:rsid w:val="00AB33E4"/>
    <w:rsid w:val="00AB42A3"/>
    <w:rsid w:val="00AB4509"/>
    <w:rsid w:val="00AB5AB3"/>
    <w:rsid w:val="00AB663B"/>
    <w:rsid w:val="00AB7543"/>
    <w:rsid w:val="00AB769F"/>
    <w:rsid w:val="00AC107A"/>
    <w:rsid w:val="00AC1106"/>
    <w:rsid w:val="00AC1B6F"/>
    <w:rsid w:val="00AC2107"/>
    <w:rsid w:val="00AC3AC7"/>
    <w:rsid w:val="00AC4279"/>
    <w:rsid w:val="00AC5043"/>
    <w:rsid w:val="00AC50A3"/>
    <w:rsid w:val="00AC5172"/>
    <w:rsid w:val="00AD0296"/>
    <w:rsid w:val="00AD3510"/>
    <w:rsid w:val="00AD3EA3"/>
    <w:rsid w:val="00AD405A"/>
    <w:rsid w:val="00AD45DE"/>
    <w:rsid w:val="00AE0D3A"/>
    <w:rsid w:val="00AE3571"/>
    <w:rsid w:val="00AE46AE"/>
    <w:rsid w:val="00AE6A20"/>
    <w:rsid w:val="00AE6CA4"/>
    <w:rsid w:val="00AE7376"/>
    <w:rsid w:val="00AE77A1"/>
    <w:rsid w:val="00AE7B3D"/>
    <w:rsid w:val="00AE7DC2"/>
    <w:rsid w:val="00AF00A8"/>
    <w:rsid w:val="00AF0DBD"/>
    <w:rsid w:val="00AF2ABE"/>
    <w:rsid w:val="00AF3308"/>
    <w:rsid w:val="00B04888"/>
    <w:rsid w:val="00B04D80"/>
    <w:rsid w:val="00B0542F"/>
    <w:rsid w:val="00B06C3B"/>
    <w:rsid w:val="00B071C6"/>
    <w:rsid w:val="00B103E3"/>
    <w:rsid w:val="00B126F1"/>
    <w:rsid w:val="00B12F81"/>
    <w:rsid w:val="00B14416"/>
    <w:rsid w:val="00B1674C"/>
    <w:rsid w:val="00B16C26"/>
    <w:rsid w:val="00B1750E"/>
    <w:rsid w:val="00B20206"/>
    <w:rsid w:val="00B22336"/>
    <w:rsid w:val="00B22A7B"/>
    <w:rsid w:val="00B23A10"/>
    <w:rsid w:val="00B24C90"/>
    <w:rsid w:val="00B24E53"/>
    <w:rsid w:val="00B24F5E"/>
    <w:rsid w:val="00B24FEB"/>
    <w:rsid w:val="00B25854"/>
    <w:rsid w:val="00B266CE"/>
    <w:rsid w:val="00B274DD"/>
    <w:rsid w:val="00B30A2D"/>
    <w:rsid w:val="00B317D0"/>
    <w:rsid w:val="00B31A72"/>
    <w:rsid w:val="00B32AA9"/>
    <w:rsid w:val="00B32CD3"/>
    <w:rsid w:val="00B331C4"/>
    <w:rsid w:val="00B3394D"/>
    <w:rsid w:val="00B344DF"/>
    <w:rsid w:val="00B37F40"/>
    <w:rsid w:val="00B40BA3"/>
    <w:rsid w:val="00B42C84"/>
    <w:rsid w:val="00B42CA2"/>
    <w:rsid w:val="00B431C9"/>
    <w:rsid w:val="00B43464"/>
    <w:rsid w:val="00B440EB"/>
    <w:rsid w:val="00B455A8"/>
    <w:rsid w:val="00B45689"/>
    <w:rsid w:val="00B47A91"/>
    <w:rsid w:val="00B501AC"/>
    <w:rsid w:val="00B522F8"/>
    <w:rsid w:val="00B52530"/>
    <w:rsid w:val="00B56470"/>
    <w:rsid w:val="00B57CF4"/>
    <w:rsid w:val="00B60718"/>
    <w:rsid w:val="00B6208D"/>
    <w:rsid w:val="00B6471F"/>
    <w:rsid w:val="00B64A0E"/>
    <w:rsid w:val="00B64B88"/>
    <w:rsid w:val="00B653F3"/>
    <w:rsid w:val="00B66F4A"/>
    <w:rsid w:val="00B73507"/>
    <w:rsid w:val="00B7469B"/>
    <w:rsid w:val="00B7631B"/>
    <w:rsid w:val="00B7690D"/>
    <w:rsid w:val="00B76CD9"/>
    <w:rsid w:val="00B76E1E"/>
    <w:rsid w:val="00B77F7B"/>
    <w:rsid w:val="00B82BAD"/>
    <w:rsid w:val="00B84165"/>
    <w:rsid w:val="00B85ABA"/>
    <w:rsid w:val="00B8622D"/>
    <w:rsid w:val="00B86361"/>
    <w:rsid w:val="00B878E1"/>
    <w:rsid w:val="00B9037B"/>
    <w:rsid w:val="00B90502"/>
    <w:rsid w:val="00B921E7"/>
    <w:rsid w:val="00B9502C"/>
    <w:rsid w:val="00B961D4"/>
    <w:rsid w:val="00BA0620"/>
    <w:rsid w:val="00BA153D"/>
    <w:rsid w:val="00BA2ADA"/>
    <w:rsid w:val="00BA2C8C"/>
    <w:rsid w:val="00BA3F70"/>
    <w:rsid w:val="00BA5D17"/>
    <w:rsid w:val="00BA63CC"/>
    <w:rsid w:val="00BA6B29"/>
    <w:rsid w:val="00BA7CB2"/>
    <w:rsid w:val="00BB0D77"/>
    <w:rsid w:val="00BB22CF"/>
    <w:rsid w:val="00BB298C"/>
    <w:rsid w:val="00BB44DE"/>
    <w:rsid w:val="00BB4951"/>
    <w:rsid w:val="00BB49EA"/>
    <w:rsid w:val="00BB4B5A"/>
    <w:rsid w:val="00BB6502"/>
    <w:rsid w:val="00BB7E1D"/>
    <w:rsid w:val="00BC4E2A"/>
    <w:rsid w:val="00BC54B1"/>
    <w:rsid w:val="00BC588C"/>
    <w:rsid w:val="00BD0C03"/>
    <w:rsid w:val="00BD1612"/>
    <w:rsid w:val="00BD3BE2"/>
    <w:rsid w:val="00BD4B6E"/>
    <w:rsid w:val="00BD6A1A"/>
    <w:rsid w:val="00BD7932"/>
    <w:rsid w:val="00BD7E55"/>
    <w:rsid w:val="00BE2D12"/>
    <w:rsid w:val="00BE39BC"/>
    <w:rsid w:val="00BE3BFF"/>
    <w:rsid w:val="00BE4487"/>
    <w:rsid w:val="00BE4657"/>
    <w:rsid w:val="00BE466E"/>
    <w:rsid w:val="00BE46C7"/>
    <w:rsid w:val="00BF0117"/>
    <w:rsid w:val="00BF0DEE"/>
    <w:rsid w:val="00BF288A"/>
    <w:rsid w:val="00BF322E"/>
    <w:rsid w:val="00BF35DA"/>
    <w:rsid w:val="00BF4B0B"/>
    <w:rsid w:val="00BF54ED"/>
    <w:rsid w:val="00BF5846"/>
    <w:rsid w:val="00BF630E"/>
    <w:rsid w:val="00BF6919"/>
    <w:rsid w:val="00BF6B01"/>
    <w:rsid w:val="00C001DA"/>
    <w:rsid w:val="00C023D6"/>
    <w:rsid w:val="00C04C26"/>
    <w:rsid w:val="00C05B08"/>
    <w:rsid w:val="00C05B4F"/>
    <w:rsid w:val="00C0711E"/>
    <w:rsid w:val="00C105B0"/>
    <w:rsid w:val="00C11242"/>
    <w:rsid w:val="00C113C4"/>
    <w:rsid w:val="00C11587"/>
    <w:rsid w:val="00C125D5"/>
    <w:rsid w:val="00C12855"/>
    <w:rsid w:val="00C13348"/>
    <w:rsid w:val="00C13D0C"/>
    <w:rsid w:val="00C148B9"/>
    <w:rsid w:val="00C15B59"/>
    <w:rsid w:val="00C1695C"/>
    <w:rsid w:val="00C171C4"/>
    <w:rsid w:val="00C20040"/>
    <w:rsid w:val="00C20AAD"/>
    <w:rsid w:val="00C216B0"/>
    <w:rsid w:val="00C22B8F"/>
    <w:rsid w:val="00C239B2"/>
    <w:rsid w:val="00C24757"/>
    <w:rsid w:val="00C252D1"/>
    <w:rsid w:val="00C26899"/>
    <w:rsid w:val="00C279A0"/>
    <w:rsid w:val="00C30A7C"/>
    <w:rsid w:val="00C315E4"/>
    <w:rsid w:val="00C34006"/>
    <w:rsid w:val="00C34460"/>
    <w:rsid w:val="00C35E43"/>
    <w:rsid w:val="00C4183C"/>
    <w:rsid w:val="00C434DC"/>
    <w:rsid w:val="00C43829"/>
    <w:rsid w:val="00C439EE"/>
    <w:rsid w:val="00C44434"/>
    <w:rsid w:val="00C4458C"/>
    <w:rsid w:val="00C45D0E"/>
    <w:rsid w:val="00C47033"/>
    <w:rsid w:val="00C47BA4"/>
    <w:rsid w:val="00C47D1E"/>
    <w:rsid w:val="00C50036"/>
    <w:rsid w:val="00C50C6D"/>
    <w:rsid w:val="00C51258"/>
    <w:rsid w:val="00C514A9"/>
    <w:rsid w:val="00C52E87"/>
    <w:rsid w:val="00C53216"/>
    <w:rsid w:val="00C54225"/>
    <w:rsid w:val="00C576F5"/>
    <w:rsid w:val="00C602B4"/>
    <w:rsid w:val="00C61215"/>
    <w:rsid w:val="00C61A27"/>
    <w:rsid w:val="00C62768"/>
    <w:rsid w:val="00C6411A"/>
    <w:rsid w:val="00C70BCD"/>
    <w:rsid w:val="00C7144A"/>
    <w:rsid w:val="00C728E3"/>
    <w:rsid w:val="00C7469E"/>
    <w:rsid w:val="00C753C1"/>
    <w:rsid w:val="00C77983"/>
    <w:rsid w:val="00C77A37"/>
    <w:rsid w:val="00C80225"/>
    <w:rsid w:val="00C804A2"/>
    <w:rsid w:val="00C80A40"/>
    <w:rsid w:val="00C81AFF"/>
    <w:rsid w:val="00C82267"/>
    <w:rsid w:val="00C82C5D"/>
    <w:rsid w:val="00C8621D"/>
    <w:rsid w:val="00C906DA"/>
    <w:rsid w:val="00C90A66"/>
    <w:rsid w:val="00C91C96"/>
    <w:rsid w:val="00C92323"/>
    <w:rsid w:val="00C92452"/>
    <w:rsid w:val="00C925F3"/>
    <w:rsid w:val="00C929AF"/>
    <w:rsid w:val="00C92CC9"/>
    <w:rsid w:val="00C94E2F"/>
    <w:rsid w:val="00C94FBB"/>
    <w:rsid w:val="00C9517D"/>
    <w:rsid w:val="00C95666"/>
    <w:rsid w:val="00C96457"/>
    <w:rsid w:val="00C9658E"/>
    <w:rsid w:val="00C97564"/>
    <w:rsid w:val="00CA0932"/>
    <w:rsid w:val="00CA1310"/>
    <w:rsid w:val="00CA32BE"/>
    <w:rsid w:val="00CA5486"/>
    <w:rsid w:val="00CB02C4"/>
    <w:rsid w:val="00CB147C"/>
    <w:rsid w:val="00CB3828"/>
    <w:rsid w:val="00CB3D16"/>
    <w:rsid w:val="00CB4B35"/>
    <w:rsid w:val="00CB5CFE"/>
    <w:rsid w:val="00CB6A41"/>
    <w:rsid w:val="00CB6FBD"/>
    <w:rsid w:val="00CB7723"/>
    <w:rsid w:val="00CB793C"/>
    <w:rsid w:val="00CC04C2"/>
    <w:rsid w:val="00CC0A54"/>
    <w:rsid w:val="00CC11F5"/>
    <w:rsid w:val="00CC1D50"/>
    <w:rsid w:val="00CC6C76"/>
    <w:rsid w:val="00CC729A"/>
    <w:rsid w:val="00CC793B"/>
    <w:rsid w:val="00CD012E"/>
    <w:rsid w:val="00CD131C"/>
    <w:rsid w:val="00CD26D6"/>
    <w:rsid w:val="00CD2E9C"/>
    <w:rsid w:val="00CD3DB9"/>
    <w:rsid w:val="00CD6595"/>
    <w:rsid w:val="00CD7015"/>
    <w:rsid w:val="00CE1DF3"/>
    <w:rsid w:val="00CE28ED"/>
    <w:rsid w:val="00CE2B23"/>
    <w:rsid w:val="00CE4DCC"/>
    <w:rsid w:val="00CE629C"/>
    <w:rsid w:val="00CE6AEC"/>
    <w:rsid w:val="00CE6C31"/>
    <w:rsid w:val="00CE704A"/>
    <w:rsid w:val="00CE7426"/>
    <w:rsid w:val="00CF0362"/>
    <w:rsid w:val="00CF0C57"/>
    <w:rsid w:val="00CF1F93"/>
    <w:rsid w:val="00CF2873"/>
    <w:rsid w:val="00CF32CE"/>
    <w:rsid w:val="00CF3A36"/>
    <w:rsid w:val="00CF44D3"/>
    <w:rsid w:val="00D0121D"/>
    <w:rsid w:val="00D016CB"/>
    <w:rsid w:val="00D01B1B"/>
    <w:rsid w:val="00D0388C"/>
    <w:rsid w:val="00D0400E"/>
    <w:rsid w:val="00D045A8"/>
    <w:rsid w:val="00D04826"/>
    <w:rsid w:val="00D051AF"/>
    <w:rsid w:val="00D05C1C"/>
    <w:rsid w:val="00D063CC"/>
    <w:rsid w:val="00D0679A"/>
    <w:rsid w:val="00D079B2"/>
    <w:rsid w:val="00D11105"/>
    <w:rsid w:val="00D1174C"/>
    <w:rsid w:val="00D12484"/>
    <w:rsid w:val="00D13E30"/>
    <w:rsid w:val="00D14A3C"/>
    <w:rsid w:val="00D14B3C"/>
    <w:rsid w:val="00D15FBC"/>
    <w:rsid w:val="00D1647E"/>
    <w:rsid w:val="00D16DBF"/>
    <w:rsid w:val="00D17358"/>
    <w:rsid w:val="00D17BF9"/>
    <w:rsid w:val="00D17F66"/>
    <w:rsid w:val="00D20B4C"/>
    <w:rsid w:val="00D22EB2"/>
    <w:rsid w:val="00D22FAB"/>
    <w:rsid w:val="00D23181"/>
    <w:rsid w:val="00D24F77"/>
    <w:rsid w:val="00D25078"/>
    <w:rsid w:val="00D25F4F"/>
    <w:rsid w:val="00D30A55"/>
    <w:rsid w:val="00D31C1A"/>
    <w:rsid w:val="00D32D97"/>
    <w:rsid w:val="00D342F3"/>
    <w:rsid w:val="00D345F4"/>
    <w:rsid w:val="00D3494C"/>
    <w:rsid w:val="00D34AB0"/>
    <w:rsid w:val="00D34C1C"/>
    <w:rsid w:val="00D34D1F"/>
    <w:rsid w:val="00D34F3A"/>
    <w:rsid w:val="00D363A4"/>
    <w:rsid w:val="00D36710"/>
    <w:rsid w:val="00D4205C"/>
    <w:rsid w:val="00D42583"/>
    <w:rsid w:val="00D4286B"/>
    <w:rsid w:val="00D44A0B"/>
    <w:rsid w:val="00D45673"/>
    <w:rsid w:val="00D4617D"/>
    <w:rsid w:val="00D4622D"/>
    <w:rsid w:val="00D46FC5"/>
    <w:rsid w:val="00D471E3"/>
    <w:rsid w:val="00D506DB"/>
    <w:rsid w:val="00D51F09"/>
    <w:rsid w:val="00D527F2"/>
    <w:rsid w:val="00D57415"/>
    <w:rsid w:val="00D604AC"/>
    <w:rsid w:val="00D6534A"/>
    <w:rsid w:val="00D654F6"/>
    <w:rsid w:val="00D65AFD"/>
    <w:rsid w:val="00D664AA"/>
    <w:rsid w:val="00D67A37"/>
    <w:rsid w:val="00D7039D"/>
    <w:rsid w:val="00D70742"/>
    <w:rsid w:val="00D72513"/>
    <w:rsid w:val="00D73B35"/>
    <w:rsid w:val="00D74F07"/>
    <w:rsid w:val="00D76434"/>
    <w:rsid w:val="00D76468"/>
    <w:rsid w:val="00D76793"/>
    <w:rsid w:val="00D77285"/>
    <w:rsid w:val="00D81A0B"/>
    <w:rsid w:val="00D81CB2"/>
    <w:rsid w:val="00D830E6"/>
    <w:rsid w:val="00D836BA"/>
    <w:rsid w:val="00D84079"/>
    <w:rsid w:val="00D85DD7"/>
    <w:rsid w:val="00D87171"/>
    <w:rsid w:val="00D91FA5"/>
    <w:rsid w:val="00D92395"/>
    <w:rsid w:val="00D9283C"/>
    <w:rsid w:val="00D92B52"/>
    <w:rsid w:val="00D93203"/>
    <w:rsid w:val="00D935CE"/>
    <w:rsid w:val="00D941C3"/>
    <w:rsid w:val="00D94884"/>
    <w:rsid w:val="00D95EDF"/>
    <w:rsid w:val="00D9601A"/>
    <w:rsid w:val="00D9615F"/>
    <w:rsid w:val="00D96FD5"/>
    <w:rsid w:val="00D97E28"/>
    <w:rsid w:val="00DA23E7"/>
    <w:rsid w:val="00DA3265"/>
    <w:rsid w:val="00DA3ED6"/>
    <w:rsid w:val="00DA6AF7"/>
    <w:rsid w:val="00DA7A72"/>
    <w:rsid w:val="00DA7A95"/>
    <w:rsid w:val="00DB33C4"/>
    <w:rsid w:val="00DB50F5"/>
    <w:rsid w:val="00DC06E5"/>
    <w:rsid w:val="00DC0B94"/>
    <w:rsid w:val="00DC2102"/>
    <w:rsid w:val="00DC3477"/>
    <w:rsid w:val="00DC56AC"/>
    <w:rsid w:val="00DC6594"/>
    <w:rsid w:val="00DC676C"/>
    <w:rsid w:val="00DC6E0E"/>
    <w:rsid w:val="00DC70AE"/>
    <w:rsid w:val="00DC73A6"/>
    <w:rsid w:val="00DC7FEF"/>
    <w:rsid w:val="00DD11F1"/>
    <w:rsid w:val="00DD1458"/>
    <w:rsid w:val="00DD2363"/>
    <w:rsid w:val="00DD263B"/>
    <w:rsid w:val="00DD2EEF"/>
    <w:rsid w:val="00DD3439"/>
    <w:rsid w:val="00DD644F"/>
    <w:rsid w:val="00DD7101"/>
    <w:rsid w:val="00DD7DFE"/>
    <w:rsid w:val="00DE08A5"/>
    <w:rsid w:val="00DE0D8E"/>
    <w:rsid w:val="00DE111C"/>
    <w:rsid w:val="00DE272C"/>
    <w:rsid w:val="00DE3395"/>
    <w:rsid w:val="00DE4FBE"/>
    <w:rsid w:val="00DE5B33"/>
    <w:rsid w:val="00DE5F15"/>
    <w:rsid w:val="00DE6EA5"/>
    <w:rsid w:val="00DE7F10"/>
    <w:rsid w:val="00DF0117"/>
    <w:rsid w:val="00DF0786"/>
    <w:rsid w:val="00DF114B"/>
    <w:rsid w:val="00DF4946"/>
    <w:rsid w:val="00DF4B22"/>
    <w:rsid w:val="00DF4C66"/>
    <w:rsid w:val="00DF5303"/>
    <w:rsid w:val="00DF5513"/>
    <w:rsid w:val="00DF5EDF"/>
    <w:rsid w:val="00DF6696"/>
    <w:rsid w:val="00E00924"/>
    <w:rsid w:val="00E01CA1"/>
    <w:rsid w:val="00E03694"/>
    <w:rsid w:val="00E03AA0"/>
    <w:rsid w:val="00E044AB"/>
    <w:rsid w:val="00E05088"/>
    <w:rsid w:val="00E054B3"/>
    <w:rsid w:val="00E07B30"/>
    <w:rsid w:val="00E10492"/>
    <w:rsid w:val="00E106A4"/>
    <w:rsid w:val="00E10BBF"/>
    <w:rsid w:val="00E10D53"/>
    <w:rsid w:val="00E1153C"/>
    <w:rsid w:val="00E14AEE"/>
    <w:rsid w:val="00E150B8"/>
    <w:rsid w:val="00E1648A"/>
    <w:rsid w:val="00E171D1"/>
    <w:rsid w:val="00E176EE"/>
    <w:rsid w:val="00E23642"/>
    <w:rsid w:val="00E24679"/>
    <w:rsid w:val="00E254B2"/>
    <w:rsid w:val="00E26450"/>
    <w:rsid w:val="00E26CA1"/>
    <w:rsid w:val="00E30D2E"/>
    <w:rsid w:val="00E31128"/>
    <w:rsid w:val="00E33098"/>
    <w:rsid w:val="00E34AFB"/>
    <w:rsid w:val="00E34B38"/>
    <w:rsid w:val="00E372F1"/>
    <w:rsid w:val="00E374A2"/>
    <w:rsid w:val="00E376EB"/>
    <w:rsid w:val="00E404A4"/>
    <w:rsid w:val="00E4096A"/>
    <w:rsid w:val="00E40D18"/>
    <w:rsid w:val="00E415E9"/>
    <w:rsid w:val="00E42860"/>
    <w:rsid w:val="00E42E40"/>
    <w:rsid w:val="00E44D86"/>
    <w:rsid w:val="00E45655"/>
    <w:rsid w:val="00E45825"/>
    <w:rsid w:val="00E459FB"/>
    <w:rsid w:val="00E46E24"/>
    <w:rsid w:val="00E47804"/>
    <w:rsid w:val="00E51098"/>
    <w:rsid w:val="00E51E53"/>
    <w:rsid w:val="00E52DA8"/>
    <w:rsid w:val="00E53A01"/>
    <w:rsid w:val="00E561D2"/>
    <w:rsid w:val="00E609E1"/>
    <w:rsid w:val="00E611AF"/>
    <w:rsid w:val="00E63354"/>
    <w:rsid w:val="00E63A4E"/>
    <w:rsid w:val="00E64A2C"/>
    <w:rsid w:val="00E66BA4"/>
    <w:rsid w:val="00E675F0"/>
    <w:rsid w:val="00E679DB"/>
    <w:rsid w:val="00E7046F"/>
    <w:rsid w:val="00E7143D"/>
    <w:rsid w:val="00E71D76"/>
    <w:rsid w:val="00E73CB3"/>
    <w:rsid w:val="00E744E9"/>
    <w:rsid w:val="00E74EAD"/>
    <w:rsid w:val="00E756A4"/>
    <w:rsid w:val="00E76041"/>
    <w:rsid w:val="00E76239"/>
    <w:rsid w:val="00E77DB0"/>
    <w:rsid w:val="00E80F7D"/>
    <w:rsid w:val="00E84441"/>
    <w:rsid w:val="00E851C8"/>
    <w:rsid w:val="00E90807"/>
    <w:rsid w:val="00E908C8"/>
    <w:rsid w:val="00E91E26"/>
    <w:rsid w:val="00E91E95"/>
    <w:rsid w:val="00E92C10"/>
    <w:rsid w:val="00E93553"/>
    <w:rsid w:val="00E94EE6"/>
    <w:rsid w:val="00E971DE"/>
    <w:rsid w:val="00EA042C"/>
    <w:rsid w:val="00EA072A"/>
    <w:rsid w:val="00EA0EA5"/>
    <w:rsid w:val="00EA25E7"/>
    <w:rsid w:val="00EA50DA"/>
    <w:rsid w:val="00EA5F0F"/>
    <w:rsid w:val="00EA74AE"/>
    <w:rsid w:val="00EB0169"/>
    <w:rsid w:val="00EB019D"/>
    <w:rsid w:val="00EB01CF"/>
    <w:rsid w:val="00EB17A2"/>
    <w:rsid w:val="00EB18B5"/>
    <w:rsid w:val="00EB251C"/>
    <w:rsid w:val="00EB4497"/>
    <w:rsid w:val="00EB4C63"/>
    <w:rsid w:val="00EB5EE2"/>
    <w:rsid w:val="00EC0993"/>
    <w:rsid w:val="00EC146D"/>
    <w:rsid w:val="00EC23E2"/>
    <w:rsid w:val="00EC26E2"/>
    <w:rsid w:val="00EC31A2"/>
    <w:rsid w:val="00EC7097"/>
    <w:rsid w:val="00ED0335"/>
    <w:rsid w:val="00ED0D96"/>
    <w:rsid w:val="00ED2BEF"/>
    <w:rsid w:val="00ED3A3B"/>
    <w:rsid w:val="00ED3C6D"/>
    <w:rsid w:val="00ED4B1C"/>
    <w:rsid w:val="00ED4BAB"/>
    <w:rsid w:val="00ED5671"/>
    <w:rsid w:val="00ED587C"/>
    <w:rsid w:val="00ED6EFE"/>
    <w:rsid w:val="00EE061F"/>
    <w:rsid w:val="00EE17DE"/>
    <w:rsid w:val="00EE23AA"/>
    <w:rsid w:val="00EE2C93"/>
    <w:rsid w:val="00EE4F81"/>
    <w:rsid w:val="00EE563D"/>
    <w:rsid w:val="00EE669B"/>
    <w:rsid w:val="00EE6968"/>
    <w:rsid w:val="00EE799F"/>
    <w:rsid w:val="00EF040A"/>
    <w:rsid w:val="00EF173D"/>
    <w:rsid w:val="00EF1FAE"/>
    <w:rsid w:val="00EF34BE"/>
    <w:rsid w:val="00EF3572"/>
    <w:rsid w:val="00EF418D"/>
    <w:rsid w:val="00EF4227"/>
    <w:rsid w:val="00EF4660"/>
    <w:rsid w:val="00EF4972"/>
    <w:rsid w:val="00EF5B90"/>
    <w:rsid w:val="00F02C9D"/>
    <w:rsid w:val="00F05E2C"/>
    <w:rsid w:val="00F0691A"/>
    <w:rsid w:val="00F126EC"/>
    <w:rsid w:val="00F14022"/>
    <w:rsid w:val="00F1602A"/>
    <w:rsid w:val="00F17252"/>
    <w:rsid w:val="00F17533"/>
    <w:rsid w:val="00F17CF3"/>
    <w:rsid w:val="00F210BF"/>
    <w:rsid w:val="00F229B8"/>
    <w:rsid w:val="00F232E7"/>
    <w:rsid w:val="00F23A3F"/>
    <w:rsid w:val="00F24C17"/>
    <w:rsid w:val="00F25FB6"/>
    <w:rsid w:val="00F26177"/>
    <w:rsid w:val="00F264CA"/>
    <w:rsid w:val="00F26A0A"/>
    <w:rsid w:val="00F26FE7"/>
    <w:rsid w:val="00F270C7"/>
    <w:rsid w:val="00F27680"/>
    <w:rsid w:val="00F2778C"/>
    <w:rsid w:val="00F305E1"/>
    <w:rsid w:val="00F3152C"/>
    <w:rsid w:val="00F32D13"/>
    <w:rsid w:val="00F33E11"/>
    <w:rsid w:val="00F3483F"/>
    <w:rsid w:val="00F349F3"/>
    <w:rsid w:val="00F35044"/>
    <w:rsid w:val="00F35997"/>
    <w:rsid w:val="00F35EDE"/>
    <w:rsid w:val="00F3706F"/>
    <w:rsid w:val="00F37744"/>
    <w:rsid w:val="00F40B09"/>
    <w:rsid w:val="00F40D2C"/>
    <w:rsid w:val="00F41AF9"/>
    <w:rsid w:val="00F41E26"/>
    <w:rsid w:val="00F4342F"/>
    <w:rsid w:val="00F453B7"/>
    <w:rsid w:val="00F4600E"/>
    <w:rsid w:val="00F460E4"/>
    <w:rsid w:val="00F47089"/>
    <w:rsid w:val="00F47988"/>
    <w:rsid w:val="00F508E3"/>
    <w:rsid w:val="00F50E65"/>
    <w:rsid w:val="00F511FE"/>
    <w:rsid w:val="00F51FC8"/>
    <w:rsid w:val="00F52937"/>
    <w:rsid w:val="00F53689"/>
    <w:rsid w:val="00F54031"/>
    <w:rsid w:val="00F54D53"/>
    <w:rsid w:val="00F567F2"/>
    <w:rsid w:val="00F573AB"/>
    <w:rsid w:val="00F60AE8"/>
    <w:rsid w:val="00F60F1E"/>
    <w:rsid w:val="00F61E2C"/>
    <w:rsid w:val="00F626D9"/>
    <w:rsid w:val="00F63CC1"/>
    <w:rsid w:val="00F65B6C"/>
    <w:rsid w:val="00F6667E"/>
    <w:rsid w:val="00F67655"/>
    <w:rsid w:val="00F67F96"/>
    <w:rsid w:val="00F713C1"/>
    <w:rsid w:val="00F719D5"/>
    <w:rsid w:val="00F71F5A"/>
    <w:rsid w:val="00F72C24"/>
    <w:rsid w:val="00F768D5"/>
    <w:rsid w:val="00F8111E"/>
    <w:rsid w:val="00F83E05"/>
    <w:rsid w:val="00F8467F"/>
    <w:rsid w:val="00F8471C"/>
    <w:rsid w:val="00F85546"/>
    <w:rsid w:val="00F8665B"/>
    <w:rsid w:val="00F866D1"/>
    <w:rsid w:val="00F86E4C"/>
    <w:rsid w:val="00F878BA"/>
    <w:rsid w:val="00F919ED"/>
    <w:rsid w:val="00F94319"/>
    <w:rsid w:val="00F95416"/>
    <w:rsid w:val="00F96F42"/>
    <w:rsid w:val="00FA05D2"/>
    <w:rsid w:val="00FA1649"/>
    <w:rsid w:val="00FA1CDD"/>
    <w:rsid w:val="00FA2974"/>
    <w:rsid w:val="00FA5277"/>
    <w:rsid w:val="00FA74C1"/>
    <w:rsid w:val="00FA7645"/>
    <w:rsid w:val="00FA7BD1"/>
    <w:rsid w:val="00FB03D9"/>
    <w:rsid w:val="00FB0E33"/>
    <w:rsid w:val="00FB47BF"/>
    <w:rsid w:val="00FB5944"/>
    <w:rsid w:val="00FB630A"/>
    <w:rsid w:val="00FB65FB"/>
    <w:rsid w:val="00FB6CF1"/>
    <w:rsid w:val="00FB783A"/>
    <w:rsid w:val="00FC0062"/>
    <w:rsid w:val="00FC27FE"/>
    <w:rsid w:val="00FC460B"/>
    <w:rsid w:val="00FC562E"/>
    <w:rsid w:val="00FC59DA"/>
    <w:rsid w:val="00FC6469"/>
    <w:rsid w:val="00FD0E88"/>
    <w:rsid w:val="00FD0F07"/>
    <w:rsid w:val="00FD25E0"/>
    <w:rsid w:val="00FD47E2"/>
    <w:rsid w:val="00FE0A0B"/>
    <w:rsid w:val="00FE0DD0"/>
    <w:rsid w:val="00FE12D2"/>
    <w:rsid w:val="00FE2B66"/>
    <w:rsid w:val="00FE2FCD"/>
    <w:rsid w:val="00FE3AB9"/>
    <w:rsid w:val="00FE4EEA"/>
    <w:rsid w:val="00FF02E8"/>
    <w:rsid w:val="00FF20AC"/>
    <w:rsid w:val="00FF232A"/>
    <w:rsid w:val="00FF4E35"/>
    <w:rsid w:val="00FF6203"/>
    <w:rsid w:val="00FF7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9E0A"/>
  <w15:docId w15:val="{EB119F7F-03B5-4747-965A-688E6D29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AC3AC7"/>
    <w:pPr>
      <w:keepNext/>
      <w:keepLines/>
      <w:spacing w:before="240" w:line="259" w:lineRule="auto"/>
      <w:ind w:firstLine="709"/>
      <w:jc w:val="center"/>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C4F4B"/>
    <w:pPr>
      <w:keepNext/>
      <w:keepLines/>
      <w:spacing w:before="40" w:line="259" w:lineRule="auto"/>
      <w:ind w:firstLine="709"/>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B47A91"/>
    <w:pPr>
      <w:spacing w:before="100" w:beforeAutospacing="1" w:after="100" w:afterAutospacing="1"/>
      <w:ind w:firstLine="709"/>
      <w:outlineLvl w:val="2"/>
    </w:pPr>
    <w:rPr>
      <w:b/>
      <w:bCs/>
      <w:sz w:val="27"/>
      <w:szCs w:val="27"/>
    </w:rPr>
  </w:style>
  <w:style w:type="paragraph" w:styleId="Heading4">
    <w:name w:val="heading 4"/>
    <w:basedOn w:val="Normal"/>
    <w:next w:val="Normal"/>
    <w:link w:val="Heading4Char"/>
    <w:uiPriority w:val="9"/>
    <w:unhideWhenUsed/>
    <w:qFormat/>
    <w:rsid w:val="000C4F4B"/>
    <w:pPr>
      <w:keepNext/>
      <w:keepLines/>
      <w:spacing w:before="40" w:line="259" w:lineRule="auto"/>
      <w:ind w:firstLine="709"/>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A91"/>
    <w:rPr>
      <w:b/>
      <w:bCs/>
    </w:rPr>
  </w:style>
  <w:style w:type="character" w:customStyle="1" w:styleId="Heading3Char">
    <w:name w:val="Heading 3 Char"/>
    <w:basedOn w:val="DefaultParagraphFont"/>
    <w:link w:val="Heading3"/>
    <w:uiPriority w:val="9"/>
    <w:rsid w:val="00B47A91"/>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B47A91"/>
    <w:pPr>
      <w:spacing w:before="100" w:beforeAutospacing="1" w:after="100" w:afterAutospacing="1"/>
      <w:ind w:firstLine="709"/>
    </w:pPr>
  </w:style>
  <w:style w:type="character" w:styleId="Hyperlink">
    <w:name w:val="Hyperlink"/>
    <w:basedOn w:val="DefaultParagraphFont"/>
    <w:uiPriority w:val="99"/>
    <w:unhideWhenUsed/>
    <w:rsid w:val="00B47A91"/>
    <w:rPr>
      <w:color w:val="0563C1" w:themeColor="hyperlink"/>
      <w:u w:val="single"/>
    </w:rPr>
  </w:style>
  <w:style w:type="character" w:customStyle="1" w:styleId="1">
    <w:name w:val="Неразрешенное упоминание1"/>
    <w:basedOn w:val="DefaultParagraphFont"/>
    <w:uiPriority w:val="99"/>
    <w:semiHidden/>
    <w:unhideWhenUsed/>
    <w:rsid w:val="00B47A91"/>
    <w:rPr>
      <w:color w:val="808080"/>
      <w:shd w:val="clear" w:color="auto" w:fill="E6E6E6"/>
    </w:rPr>
  </w:style>
  <w:style w:type="character" w:customStyle="1" w:styleId="stats">
    <w:name w:val="stats"/>
    <w:basedOn w:val="DefaultParagraphFont"/>
    <w:rsid w:val="00F26A0A"/>
  </w:style>
  <w:style w:type="character" w:customStyle="1" w:styleId="Heading1Char">
    <w:name w:val="Heading 1 Char"/>
    <w:basedOn w:val="DefaultParagraphFont"/>
    <w:link w:val="Heading1"/>
    <w:uiPriority w:val="9"/>
    <w:rsid w:val="00AC3AC7"/>
    <w:rPr>
      <w:rFonts w:asciiTheme="majorHAnsi" w:eastAsiaTheme="majorEastAsia" w:hAnsiTheme="majorHAnsi" w:cstheme="majorBidi"/>
      <w:color w:val="2F5496" w:themeColor="accent1" w:themeShade="BF"/>
      <w:sz w:val="32"/>
      <w:szCs w:val="32"/>
    </w:rPr>
  </w:style>
  <w:style w:type="character" w:customStyle="1" w:styleId="shorttext">
    <w:name w:val="short_text"/>
    <w:basedOn w:val="DefaultParagraphFont"/>
    <w:rsid w:val="00D9601A"/>
  </w:style>
  <w:style w:type="paragraph" w:styleId="ListParagraph">
    <w:name w:val="List Paragraph"/>
    <w:basedOn w:val="Normal"/>
    <w:uiPriority w:val="34"/>
    <w:qFormat/>
    <w:rsid w:val="002A55EC"/>
    <w:pPr>
      <w:spacing w:after="200" w:line="276" w:lineRule="auto"/>
      <w:ind w:left="720" w:firstLine="709"/>
    </w:pPr>
    <w:rPr>
      <w:rFonts w:ascii="Calibri" w:hAnsi="Calibri" w:cs="Calibri"/>
      <w:sz w:val="22"/>
      <w:szCs w:val="22"/>
      <w:lang w:eastAsia="en-US"/>
    </w:rPr>
  </w:style>
  <w:style w:type="character" w:customStyle="1" w:styleId="2">
    <w:name w:val="Неразрешенное упоминание2"/>
    <w:basedOn w:val="DefaultParagraphFont"/>
    <w:uiPriority w:val="99"/>
    <w:semiHidden/>
    <w:unhideWhenUsed/>
    <w:rsid w:val="00BA7CB2"/>
    <w:rPr>
      <w:color w:val="605E5C"/>
      <w:shd w:val="clear" w:color="auto" w:fill="E1DFDD"/>
    </w:rPr>
  </w:style>
  <w:style w:type="character" w:customStyle="1" w:styleId="left">
    <w:name w:val="left"/>
    <w:basedOn w:val="DefaultParagraphFont"/>
    <w:rsid w:val="009A1792"/>
  </w:style>
  <w:style w:type="character" w:customStyle="1" w:styleId="right">
    <w:name w:val="right"/>
    <w:basedOn w:val="DefaultParagraphFont"/>
    <w:rsid w:val="009A1792"/>
  </w:style>
  <w:style w:type="table" w:styleId="TableGrid">
    <w:name w:val="Table Grid"/>
    <w:basedOn w:val="TableNormal"/>
    <w:uiPriority w:val="59"/>
    <w:rsid w:val="001A744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F3308"/>
    <w:pPr>
      <w:ind w:firstLine="709"/>
    </w:pPr>
    <w:rPr>
      <w:rFonts w:ascii="Consolas" w:eastAsia="Calibri" w:hAnsi="Consolas"/>
      <w:sz w:val="21"/>
      <w:szCs w:val="21"/>
      <w:lang w:val="sv-SE" w:eastAsia="en-US"/>
    </w:rPr>
  </w:style>
  <w:style w:type="character" w:customStyle="1" w:styleId="PlainTextChar">
    <w:name w:val="Plain Text Char"/>
    <w:basedOn w:val="DefaultParagraphFont"/>
    <w:link w:val="PlainText"/>
    <w:uiPriority w:val="99"/>
    <w:rsid w:val="00AF3308"/>
    <w:rPr>
      <w:rFonts w:ascii="Consolas" w:eastAsia="Calibri" w:hAnsi="Consolas" w:cs="Times New Roman"/>
      <w:sz w:val="21"/>
      <w:szCs w:val="21"/>
      <w:lang w:val="sv-SE"/>
    </w:rPr>
  </w:style>
  <w:style w:type="paragraph" w:styleId="NoSpacing">
    <w:name w:val="No Spacing"/>
    <w:uiPriority w:val="1"/>
    <w:qFormat/>
    <w:rsid w:val="000C4F4B"/>
    <w:pPr>
      <w:spacing w:after="0" w:line="240" w:lineRule="auto"/>
      <w:ind w:firstLine="709"/>
    </w:pPr>
  </w:style>
  <w:style w:type="character" w:customStyle="1" w:styleId="Heading2Char">
    <w:name w:val="Heading 2 Char"/>
    <w:basedOn w:val="DefaultParagraphFont"/>
    <w:link w:val="Heading2"/>
    <w:uiPriority w:val="9"/>
    <w:rsid w:val="000C4F4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C4F4B"/>
    <w:rPr>
      <w:rFonts w:asciiTheme="majorHAnsi" w:eastAsiaTheme="majorEastAsia" w:hAnsiTheme="majorHAnsi" w:cstheme="majorBidi"/>
      <w:i/>
      <w:iCs/>
      <w:color w:val="2F5496" w:themeColor="accent1" w:themeShade="BF"/>
    </w:rPr>
  </w:style>
  <w:style w:type="paragraph" w:customStyle="1" w:styleId="10">
    <w:name w:val="Стиль1"/>
    <w:basedOn w:val="Heading4"/>
    <w:link w:val="11"/>
    <w:qFormat/>
    <w:rsid w:val="000C4F4B"/>
  </w:style>
  <w:style w:type="paragraph" w:customStyle="1" w:styleId="a">
    <w:name w:val="таблица"/>
    <w:basedOn w:val="10"/>
    <w:link w:val="a0"/>
    <w:qFormat/>
    <w:rsid w:val="000C4F4B"/>
    <w:pPr>
      <w:spacing w:before="0"/>
      <w:ind w:firstLine="0"/>
    </w:pPr>
    <w:rPr>
      <w:rFonts w:asciiTheme="minorHAnsi" w:hAnsiTheme="minorHAnsi"/>
      <w:i w:val="0"/>
      <w:color w:val="000000" w:themeColor="text1"/>
      <w:sz w:val="20"/>
    </w:rPr>
  </w:style>
  <w:style w:type="character" w:customStyle="1" w:styleId="11">
    <w:name w:val="Стиль1 Знак"/>
    <w:basedOn w:val="Heading4Char"/>
    <w:link w:val="10"/>
    <w:rsid w:val="000C4F4B"/>
    <w:rPr>
      <w:rFonts w:asciiTheme="majorHAnsi" w:eastAsiaTheme="majorEastAsia" w:hAnsiTheme="majorHAnsi" w:cstheme="majorBidi"/>
      <w:i/>
      <w:iCs/>
      <w:color w:val="2F5496" w:themeColor="accent1" w:themeShade="BF"/>
    </w:rPr>
  </w:style>
  <w:style w:type="character" w:styleId="CommentReference">
    <w:name w:val="annotation reference"/>
    <w:uiPriority w:val="99"/>
    <w:semiHidden/>
    <w:unhideWhenUsed/>
    <w:rsid w:val="00844567"/>
    <w:rPr>
      <w:sz w:val="16"/>
      <w:szCs w:val="16"/>
    </w:rPr>
  </w:style>
  <w:style w:type="character" w:customStyle="1" w:styleId="a0">
    <w:name w:val="таблица Знак"/>
    <w:basedOn w:val="11"/>
    <w:link w:val="a"/>
    <w:rsid w:val="000C4F4B"/>
    <w:rPr>
      <w:rFonts w:asciiTheme="majorHAnsi" w:eastAsiaTheme="majorEastAsia" w:hAnsiTheme="majorHAnsi" w:cstheme="majorBidi"/>
      <w:i w:val="0"/>
      <w:iCs/>
      <w:color w:val="000000" w:themeColor="text1"/>
      <w:sz w:val="20"/>
    </w:rPr>
  </w:style>
  <w:style w:type="paragraph" w:customStyle="1" w:styleId="12">
    <w:name w:val="Заголовок1"/>
    <w:basedOn w:val="Normal"/>
    <w:rsid w:val="00D045A8"/>
    <w:pPr>
      <w:spacing w:before="100" w:beforeAutospacing="1" w:after="100" w:afterAutospacing="1"/>
    </w:pPr>
  </w:style>
  <w:style w:type="paragraph" w:customStyle="1" w:styleId="desc">
    <w:name w:val="desc"/>
    <w:basedOn w:val="Normal"/>
    <w:rsid w:val="00D045A8"/>
    <w:pPr>
      <w:spacing w:before="100" w:beforeAutospacing="1" w:after="100" w:afterAutospacing="1"/>
    </w:pPr>
  </w:style>
  <w:style w:type="paragraph" w:customStyle="1" w:styleId="details">
    <w:name w:val="details"/>
    <w:basedOn w:val="Normal"/>
    <w:rsid w:val="00D045A8"/>
    <w:pPr>
      <w:spacing w:before="100" w:beforeAutospacing="1" w:after="100" w:afterAutospacing="1"/>
    </w:pPr>
  </w:style>
  <w:style w:type="character" w:customStyle="1" w:styleId="jrnl">
    <w:name w:val="jrnl"/>
    <w:basedOn w:val="DefaultParagraphFont"/>
    <w:rsid w:val="00D045A8"/>
  </w:style>
  <w:style w:type="character" w:customStyle="1" w:styleId="highlight">
    <w:name w:val="highlight"/>
    <w:basedOn w:val="DefaultParagraphFont"/>
    <w:rsid w:val="00934B3E"/>
  </w:style>
  <w:style w:type="character" w:customStyle="1" w:styleId="ui-ncbitoggler-master-text">
    <w:name w:val="ui-ncbitoggler-master-text"/>
    <w:basedOn w:val="DefaultParagraphFont"/>
    <w:rsid w:val="00CD131C"/>
  </w:style>
  <w:style w:type="paragraph" w:styleId="BalloonText">
    <w:name w:val="Balloon Text"/>
    <w:basedOn w:val="Normal"/>
    <w:link w:val="BalloonTextChar"/>
    <w:uiPriority w:val="99"/>
    <w:semiHidden/>
    <w:unhideWhenUsed/>
    <w:rsid w:val="00607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9C"/>
    <w:rPr>
      <w:rFonts w:ascii="Segoe UI" w:eastAsia="Times New Roman" w:hAnsi="Segoe UI" w:cs="Segoe UI"/>
      <w:sz w:val="18"/>
      <w:szCs w:val="18"/>
      <w:lang w:eastAsia="ru-RU"/>
    </w:rPr>
  </w:style>
  <w:style w:type="paragraph" w:styleId="CommentText">
    <w:name w:val="annotation text"/>
    <w:basedOn w:val="Normal"/>
    <w:link w:val="CommentTextChar"/>
    <w:uiPriority w:val="99"/>
    <w:semiHidden/>
    <w:unhideWhenUsed/>
    <w:rsid w:val="006C059B"/>
    <w:rPr>
      <w:sz w:val="20"/>
      <w:szCs w:val="20"/>
    </w:rPr>
  </w:style>
  <w:style w:type="character" w:customStyle="1" w:styleId="CommentTextChar">
    <w:name w:val="Comment Text Char"/>
    <w:basedOn w:val="DefaultParagraphFont"/>
    <w:link w:val="CommentText"/>
    <w:uiPriority w:val="99"/>
    <w:semiHidden/>
    <w:rsid w:val="006C059B"/>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6C059B"/>
    <w:rPr>
      <w:b/>
      <w:bCs/>
    </w:rPr>
  </w:style>
  <w:style w:type="character" w:customStyle="1" w:styleId="CommentSubjectChar">
    <w:name w:val="Comment Subject Char"/>
    <w:basedOn w:val="CommentTextChar"/>
    <w:link w:val="CommentSubject"/>
    <w:uiPriority w:val="99"/>
    <w:semiHidden/>
    <w:rsid w:val="006C059B"/>
    <w:rPr>
      <w:rFonts w:ascii="Times New Roman" w:eastAsia="Times New Roman" w:hAnsi="Times New Roman" w:cs="Times New Roman"/>
      <w:b/>
      <w:bCs/>
      <w:sz w:val="20"/>
      <w:szCs w:val="20"/>
      <w:lang w:eastAsia="ru-RU"/>
    </w:rPr>
  </w:style>
  <w:style w:type="character" w:customStyle="1" w:styleId="3">
    <w:name w:val="Неразрешенное упоминание3"/>
    <w:basedOn w:val="DefaultParagraphFont"/>
    <w:uiPriority w:val="99"/>
    <w:semiHidden/>
    <w:unhideWhenUsed/>
    <w:rsid w:val="002D6AAA"/>
    <w:rPr>
      <w:color w:val="605E5C"/>
      <w:shd w:val="clear" w:color="auto" w:fill="E1DFDD"/>
    </w:rPr>
  </w:style>
  <w:style w:type="character" w:styleId="FollowedHyperlink">
    <w:name w:val="FollowedHyperlink"/>
    <w:basedOn w:val="DefaultParagraphFont"/>
    <w:uiPriority w:val="99"/>
    <w:semiHidden/>
    <w:unhideWhenUsed/>
    <w:rsid w:val="00FF02E8"/>
    <w:rPr>
      <w:color w:val="954F72" w:themeColor="followedHyperlink"/>
      <w:u w:val="single"/>
    </w:rPr>
  </w:style>
  <w:style w:type="character" w:customStyle="1" w:styleId="UnresolvedMention1">
    <w:name w:val="Unresolved Mention1"/>
    <w:basedOn w:val="DefaultParagraphFont"/>
    <w:uiPriority w:val="99"/>
    <w:semiHidden/>
    <w:unhideWhenUsed/>
    <w:rsid w:val="00F35044"/>
    <w:rPr>
      <w:color w:val="605E5C"/>
      <w:shd w:val="clear" w:color="auto" w:fill="E1DFDD"/>
    </w:rPr>
  </w:style>
  <w:style w:type="character" w:customStyle="1" w:styleId="UnresolvedMention">
    <w:name w:val="Unresolved Mention"/>
    <w:basedOn w:val="DefaultParagraphFont"/>
    <w:uiPriority w:val="99"/>
    <w:semiHidden/>
    <w:unhideWhenUsed/>
    <w:rsid w:val="00A53D6C"/>
    <w:rPr>
      <w:color w:val="605E5C"/>
      <w:shd w:val="clear" w:color="auto" w:fill="E1DFDD"/>
    </w:rPr>
  </w:style>
  <w:style w:type="paragraph" w:styleId="Header">
    <w:name w:val="header"/>
    <w:basedOn w:val="Normal"/>
    <w:link w:val="HeaderChar"/>
    <w:uiPriority w:val="99"/>
    <w:unhideWhenUsed/>
    <w:rsid w:val="00B56470"/>
    <w:pPr>
      <w:tabs>
        <w:tab w:val="center" w:pos="4513"/>
        <w:tab w:val="right" w:pos="9026"/>
      </w:tabs>
    </w:pPr>
  </w:style>
  <w:style w:type="character" w:customStyle="1" w:styleId="HeaderChar">
    <w:name w:val="Header Char"/>
    <w:basedOn w:val="DefaultParagraphFont"/>
    <w:link w:val="Header"/>
    <w:uiPriority w:val="99"/>
    <w:rsid w:val="00B5647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B56470"/>
    <w:pPr>
      <w:tabs>
        <w:tab w:val="center" w:pos="4513"/>
        <w:tab w:val="right" w:pos="9026"/>
      </w:tabs>
    </w:pPr>
  </w:style>
  <w:style w:type="character" w:customStyle="1" w:styleId="FooterChar">
    <w:name w:val="Footer Char"/>
    <w:basedOn w:val="DefaultParagraphFont"/>
    <w:link w:val="Footer"/>
    <w:uiPriority w:val="99"/>
    <w:rsid w:val="00B56470"/>
    <w:rPr>
      <w:rFonts w:ascii="Times New Roman" w:eastAsia="Times New Roman" w:hAnsi="Times New Roman" w:cs="Times New Roman"/>
      <w:sz w:val="24"/>
      <w:szCs w:val="24"/>
      <w:lang w:eastAsia="ru-RU"/>
    </w:rPr>
  </w:style>
  <w:style w:type="table" w:customStyle="1" w:styleId="TableGrid1">
    <w:name w:val="Table Grid1"/>
    <w:basedOn w:val="TableNormal"/>
    <w:next w:val="TableGrid"/>
    <w:uiPriority w:val="59"/>
    <w:rsid w:val="001A00A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579D"/>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5D96"/>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rnalref">
    <w:name w:val="externalref"/>
    <w:basedOn w:val="DefaultParagraphFont"/>
    <w:rsid w:val="001C5287"/>
  </w:style>
  <w:style w:type="character" w:customStyle="1" w:styleId="refsource">
    <w:name w:val="refsource"/>
    <w:basedOn w:val="DefaultParagraphFont"/>
    <w:rsid w:val="001C5287"/>
  </w:style>
  <w:style w:type="table" w:customStyle="1" w:styleId="TableGrid4">
    <w:name w:val="Table Grid4"/>
    <w:basedOn w:val="TableNormal"/>
    <w:next w:val="TableGrid"/>
    <w:uiPriority w:val="39"/>
    <w:rsid w:val="00720B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6639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52B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0121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5758">
      <w:bodyDiv w:val="1"/>
      <w:marLeft w:val="0"/>
      <w:marRight w:val="0"/>
      <w:marTop w:val="0"/>
      <w:marBottom w:val="0"/>
      <w:divBdr>
        <w:top w:val="none" w:sz="0" w:space="0" w:color="auto"/>
        <w:left w:val="none" w:sz="0" w:space="0" w:color="auto"/>
        <w:bottom w:val="none" w:sz="0" w:space="0" w:color="auto"/>
        <w:right w:val="none" w:sz="0" w:space="0" w:color="auto"/>
      </w:divBdr>
    </w:div>
    <w:div w:id="92359743">
      <w:bodyDiv w:val="1"/>
      <w:marLeft w:val="0"/>
      <w:marRight w:val="0"/>
      <w:marTop w:val="0"/>
      <w:marBottom w:val="0"/>
      <w:divBdr>
        <w:top w:val="none" w:sz="0" w:space="0" w:color="auto"/>
        <w:left w:val="none" w:sz="0" w:space="0" w:color="auto"/>
        <w:bottom w:val="none" w:sz="0" w:space="0" w:color="auto"/>
        <w:right w:val="none" w:sz="0" w:space="0" w:color="auto"/>
      </w:divBdr>
    </w:div>
    <w:div w:id="134493762">
      <w:bodyDiv w:val="1"/>
      <w:marLeft w:val="0"/>
      <w:marRight w:val="0"/>
      <w:marTop w:val="0"/>
      <w:marBottom w:val="0"/>
      <w:divBdr>
        <w:top w:val="none" w:sz="0" w:space="0" w:color="auto"/>
        <w:left w:val="none" w:sz="0" w:space="0" w:color="auto"/>
        <w:bottom w:val="none" w:sz="0" w:space="0" w:color="auto"/>
        <w:right w:val="none" w:sz="0" w:space="0" w:color="auto"/>
      </w:divBdr>
      <w:divsChild>
        <w:div w:id="939803286">
          <w:marLeft w:val="0"/>
          <w:marRight w:val="0"/>
          <w:marTop w:val="34"/>
          <w:marBottom w:val="34"/>
          <w:divBdr>
            <w:top w:val="none" w:sz="0" w:space="0" w:color="auto"/>
            <w:left w:val="none" w:sz="0" w:space="0" w:color="auto"/>
            <w:bottom w:val="none" w:sz="0" w:space="0" w:color="auto"/>
            <w:right w:val="none" w:sz="0" w:space="0" w:color="auto"/>
          </w:divBdr>
        </w:div>
      </w:divsChild>
    </w:div>
    <w:div w:id="335422750">
      <w:bodyDiv w:val="1"/>
      <w:marLeft w:val="0"/>
      <w:marRight w:val="0"/>
      <w:marTop w:val="0"/>
      <w:marBottom w:val="0"/>
      <w:divBdr>
        <w:top w:val="none" w:sz="0" w:space="0" w:color="auto"/>
        <w:left w:val="none" w:sz="0" w:space="0" w:color="auto"/>
        <w:bottom w:val="none" w:sz="0" w:space="0" w:color="auto"/>
        <w:right w:val="none" w:sz="0" w:space="0" w:color="auto"/>
      </w:divBdr>
    </w:div>
    <w:div w:id="389156030">
      <w:bodyDiv w:val="1"/>
      <w:marLeft w:val="0"/>
      <w:marRight w:val="0"/>
      <w:marTop w:val="0"/>
      <w:marBottom w:val="0"/>
      <w:divBdr>
        <w:top w:val="none" w:sz="0" w:space="0" w:color="auto"/>
        <w:left w:val="none" w:sz="0" w:space="0" w:color="auto"/>
        <w:bottom w:val="none" w:sz="0" w:space="0" w:color="auto"/>
        <w:right w:val="none" w:sz="0" w:space="0" w:color="auto"/>
      </w:divBdr>
    </w:div>
    <w:div w:id="402142882">
      <w:bodyDiv w:val="1"/>
      <w:marLeft w:val="0"/>
      <w:marRight w:val="0"/>
      <w:marTop w:val="0"/>
      <w:marBottom w:val="0"/>
      <w:divBdr>
        <w:top w:val="none" w:sz="0" w:space="0" w:color="auto"/>
        <w:left w:val="none" w:sz="0" w:space="0" w:color="auto"/>
        <w:bottom w:val="none" w:sz="0" w:space="0" w:color="auto"/>
        <w:right w:val="none" w:sz="0" w:space="0" w:color="auto"/>
      </w:divBdr>
    </w:div>
    <w:div w:id="559485497">
      <w:bodyDiv w:val="1"/>
      <w:marLeft w:val="0"/>
      <w:marRight w:val="0"/>
      <w:marTop w:val="0"/>
      <w:marBottom w:val="0"/>
      <w:divBdr>
        <w:top w:val="none" w:sz="0" w:space="0" w:color="auto"/>
        <w:left w:val="none" w:sz="0" w:space="0" w:color="auto"/>
        <w:bottom w:val="none" w:sz="0" w:space="0" w:color="auto"/>
        <w:right w:val="none" w:sz="0" w:space="0" w:color="auto"/>
      </w:divBdr>
    </w:div>
    <w:div w:id="685912628">
      <w:bodyDiv w:val="1"/>
      <w:marLeft w:val="0"/>
      <w:marRight w:val="0"/>
      <w:marTop w:val="0"/>
      <w:marBottom w:val="0"/>
      <w:divBdr>
        <w:top w:val="none" w:sz="0" w:space="0" w:color="auto"/>
        <w:left w:val="none" w:sz="0" w:space="0" w:color="auto"/>
        <w:bottom w:val="none" w:sz="0" w:space="0" w:color="auto"/>
        <w:right w:val="none" w:sz="0" w:space="0" w:color="auto"/>
      </w:divBdr>
      <w:divsChild>
        <w:div w:id="1048260806">
          <w:marLeft w:val="0"/>
          <w:marRight w:val="0"/>
          <w:marTop w:val="120"/>
          <w:marBottom w:val="360"/>
          <w:divBdr>
            <w:top w:val="none" w:sz="0" w:space="0" w:color="auto"/>
            <w:left w:val="none" w:sz="0" w:space="0" w:color="auto"/>
            <w:bottom w:val="none" w:sz="0" w:space="0" w:color="auto"/>
            <w:right w:val="none" w:sz="0" w:space="0" w:color="auto"/>
          </w:divBdr>
          <w:divsChild>
            <w:div w:id="499464881">
              <w:marLeft w:val="0"/>
              <w:marRight w:val="0"/>
              <w:marTop w:val="0"/>
              <w:marBottom w:val="0"/>
              <w:divBdr>
                <w:top w:val="none" w:sz="0" w:space="0" w:color="auto"/>
                <w:left w:val="none" w:sz="0" w:space="0" w:color="auto"/>
                <w:bottom w:val="none" w:sz="0" w:space="0" w:color="auto"/>
                <w:right w:val="none" w:sz="0" w:space="0" w:color="auto"/>
              </w:divBdr>
            </w:div>
            <w:div w:id="8528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107">
      <w:bodyDiv w:val="1"/>
      <w:marLeft w:val="0"/>
      <w:marRight w:val="0"/>
      <w:marTop w:val="0"/>
      <w:marBottom w:val="0"/>
      <w:divBdr>
        <w:top w:val="none" w:sz="0" w:space="0" w:color="auto"/>
        <w:left w:val="none" w:sz="0" w:space="0" w:color="auto"/>
        <w:bottom w:val="none" w:sz="0" w:space="0" w:color="auto"/>
        <w:right w:val="none" w:sz="0" w:space="0" w:color="auto"/>
      </w:divBdr>
    </w:div>
    <w:div w:id="826480431">
      <w:bodyDiv w:val="1"/>
      <w:marLeft w:val="0"/>
      <w:marRight w:val="0"/>
      <w:marTop w:val="0"/>
      <w:marBottom w:val="0"/>
      <w:divBdr>
        <w:top w:val="none" w:sz="0" w:space="0" w:color="auto"/>
        <w:left w:val="none" w:sz="0" w:space="0" w:color="auto"/>
        <w:bottom w:val="none" w:sz="0" w:space="0" w:color="auto"/>
        <w:right w:val="none" w:sz="0" w:space="0" w:color="auto"/>
      </w:divBdr>
    </w:div>
    <w:div w:id="842159704">
      <w:bodyDiv w:val="1"/>
      <w:marLeft w:val="0"/>
      <w:marRight w:val="0"/>
      <w:marTop w:val="0"/>
      <w:marBottom w:val="0"/>
      <w:divBdr>
        <w:top w:val="none" w:sz="0" w:space="0" w:color="auto"/>
        <w:left w:val="none" w:sz="0" w:space="0" w:color="auto"/>
        <w:bottom w:val="none" w:sz="0" w:space="0" w:color="auto"/>
        <w:right w:val="none" w:sz="0" w:space="0" w:color="auto"/>
      </w:divBdr>
    </w:div>
    <w:div w:id="855003386">
      <w:bodyDiv w:val="1"/>
      <w:marLeft w:val="0"/>
      <w:marRight w:val="0"/>
      <w:marTop w:val="0"/>
      <w:marBottom w:val="0"/>
      <w:divBdr>
        <w:top w:val="none" w:sz="0" w:space="0" w:color="auto"/>
        <w:left w:val="none" w:sz="0" w:space="0" w:color="auto"/>
        <w:bottom w:val="none" w:sz="0" w:space="0" w:color="auto"/>
        <w:right w:val="none" w:sz="0" w:space="0" w:color="auto"/>
      </w:divBdr>
    </w:div>
    <w:div w:id="937522144">
      <w:bodyDiv w:val="1"/>
      <w:marLeft w:val="0"/>
      <w:marRight w:val="0"/>
      <w:marTop w:val="0"/>
      <w:marBottom w:val="0"/>
      <w:divBdr>
        <w:top w:val="none" w:sz="0" w:space="0" w:color="auto"/>
        <w:left w:val="none" w:sz="0" w:space="0" w:color="auto"/>
        <w:bottom w:val="none" w:sz="0" w:space="0" w:color="auto"/>
        <w:right w:val="none" w:sz="0" w:space="0" w:color="auto"/>
      </w:divBdr>
    </w:div>
    <w:div w:id="989018461">
      <w:bodyDiv w:val="1"/>
      <w:marLeft w:val="0"/>
      <w:marRight w:val="0"/>
      <w:marTop w:val="0"/>
      <w:marBottom w:val="0"/>
      <w:divBdr>
        <w:top w:val="none" w:sz="0" w:space="0" w:color="auto"/>
        <w:left w:val="none" w:sz="0" w:space="0" w:color="auto"/>
        <w:bottom w:val="none" w:sz="0" w:space="0" w:color="auto"/>
        <w:right w:val="none" w:sz="0" w:space="0" w:color="auto"/>
      </w:divBdr>
      <w:divsChild>
        <w:div w:id="628587728">
          <w:marLeft w:val="0"/>
          <w:marRight w:val="0"/>
          <w:marTop w:val="0"/>
          <w:marBottom w:val="0"/>
          <w:divBdr>
            <w:top w:val="none" w:sz="0" w:space="0" w:color="auto"/>
            <w:left w:val="none" w:sz="0" w:space="0" w:color="auto"/>
            <w:bottom w:val="none" w:sz="0" w:space="0" w:color="auto"/>
            <w:right w:val="none" w:sz="0" w:space="0" w:color="auto"/>
          </w:divBdr>
        </w:div>
        <w:div w:id="770585166">
          <w:marLeft w:val="0"/>
          <w:marRight w:val="0"/>
          <w:marTop w:val="0"/>
          <w:marBottom w:val="0"/>
          <w:divBdr>
            <w:top w:val="none" w:sz="0" w:space="0" w:color="auto"/>
            <w:left w:val="none" w:sz="0" w:space="0" w:color="auto"/>
            <w:bottom w:val="none" w:sz="0" w:space="0" w:color="auto"/>
            <w:right w:val="none" w:sz="0" w:space="0" w:color="auto"/>
          </w:divBdr>
        </w:div>
        <w:div w:id="1586106671">
          <w:marLeft w:val="0"/>
          <w:marRight w:val="0"/>
          <w:marTop w:val="0"/>
          <w:marBottom w:val="0"/>
          <w:divBdr>
            <w:top w:val="none" w:sz="0" w:space="0" w:color="auto"/>
            <w:left w:val="none" w:sz="0" w:space="0" w:color="auto"/>
            <w:bottom w:val="none" w:sz="0" w:space="0" w:color="auto"/>
            <w:right w:val="none" w:sz="0" w:space="0" w:color="auto"/>
          </w:divBdr>
        </w:div>
        <w:div w:id="1927228587">
          <w:marLeft w:val="0"/>
          <w:marRight w:val="0"/>
          <w:marTop w:val="0"/>
          <w:marBottom w:val="0"/>
          <w:divBdr>
            <w:top w:val="none" w:sz="0" w:space="0" w:color="auto"/>
            <w:left w:val="none" w:sz="0" w:space="0" w:color="auto"/>
            <w:bottom w:val="none" w:sz="0" w:space="0" w:color="auto"/>
            <w:right w:val="none" w:sz="0" w:space="0" w:color="auto"/>
          </w:divBdr>
        </w:div>
        <w:div w:id="1929077903">
          <w:marLeft w:val="0"/>
          <w:marRight w:val="0"/>
          <w:marTop w:val="0"/>
          <w:marBottom w:val="0"/>
          <w:divBdr>
            <w:top w:val="none" w:sz="0" w:space="0" w:color="auto"/>
            <w:left w:val="none" w:sz="0" w:space="0" w:color="auto"/>
            <w:bottom w:val="none" w:sz="0" w:space="0" w:color="auto"/>
            <w:right w:val="none" w:sz="0" w:space="0" w:color="auto"/>
          </w:divBdr>
        </w:div>
        <w:div w:id="2010012585">
          <w:marLeft w:val="0"/>
          <w:marRight w:val="0"/>
          <w:marTop w:val="0"/>
          <w:marBottom w:val="0"/>
          <w:divBdr>
            <w:top w:val="none" w:sz="0" w:space="0" w:color="auto"/>
            <w:left w:val="none" w:sz="0" w:space="0" w:color="auto"/>
            <w:bottom w:val="none" w:sz="0" w:space="0" w:color="auto"/>
            <w:right w:val="none" w:sz="0" w:space="0" w:color="auto"/>
          </w:divBdr>
        </w:div>
      </w:divsChild>
    </w:div>
    <w:div w:id="989943267">
      <w:bodyDiv w:val="1"/>
      <w:marLeft w:val="0"/>
      <w:marRight w:val="0"/>
      <w:marTop w:val="0"/>
      <w:marBottom w:val="0"/>
      <w:divBdr>
        <w:top w:val="none" w:sz="0" w:space="0" w:color="auto"/>
        <w:left w:val="none" w:sz="0" w:space="0" w:color="auto"/>
        <w:bottom w:val="none" w:sz="0" w:space="0" w:color="auto"/>
        <w:right w:val="none" w:sz="0" w:space="0" w:color="auto"/>
      </w:divBdr>
    </w:div>
    <w:div w:id="1018965009">
      <w:bodyDiv w:val="1"/>
      <w:marLeft w:val="0"/>
      <w:marRight w:val="0"/>
      <w:marTop w:val="0"/>
      <w:marBottom w:val="0"/>
      <w:divBdr>
        <w:top w:val="none" w:sz="0" w:space="0" w:color="auto"/>
        <w:left w:val="none" w:sz="0" w:space="0" w:color="auto"/>
        <w:bottom w:val="none" w:sz="0" w:space="0" w:color="auto"/>
        <w:right w:val="none" w:sz="0" w:space="0" w:color="auto"/>
      </w:divBdr>
    </w:div>
    <w:div w:id="1039863675">
      <w:bodyDiv w:val="1"/>
      <w:marLeft w:val="0"/>
      <w:marRight w:val="0"/>
      <w:marTop w:val="0"/>
      <w:marBottom w:val="0"/>
      <w:divBdr>
        <w:top w:val="none" w:sz="0" w:space="0" w:color="auto"/>
        <w:left w:val="none" w:sz="0" w:space="0" w:color="auto"/>
        <w:bottom w:val="none" w:sz="0" w:space="0" w:color="auto"/>
        <w:right w:val="none" w:sz="0" w:space="0" w:color="auto"/>
      </w:divBdr>
    </w:div>
    <w:div w:id="1063404185">
      <w:bodyDiv w:val="1"/>
      <w:marLeft w:val="0"/>
      <w:marRight w:val="0"/>
      <w:marTop w:val="0"/>
      <w:marBottom w:val="0"/>
      <w:divBdr>
        <w:top w:val="none" w:sz="0" w:space="0" w:color="auto"/>
        <w:left w:val="none" w:sz="0" w:space="0" w:color="auto"/>
        <w:bottom w:val="none" w:sz="0" w:space="0" w:color="auto"/>
        <w:right w:val="none" w:sz="0" w:space="0" w:color="auto"/>
      </w:divBdr>
    </w:div>
    <w:div w:id="1143698151">
      <w:bodyDiv w:val="1"/>
      <w:marLeft w:val="0"/>
      <w:marRight w:val="0"/>
      <w:marTop w:val="0"/>
      <w:marBottom w:val="0"/>
      <w:divBdr>
        <w:top w:val="none" w:sz="0" w:space="0" w:color="auto"/>
        <w:left w:val="none" w:sz="0" w:space="0" w:color="auto"/>
        <w:bottom w:val="none" w:sz="0" w:space="0" w:color="auto"/>
        <w:right w:val="none" w:sz="0" w:space="0" w:color="auto"/>
      </w:divBdr>
    </w:div>
    <w:div w:id="1237285656">
      <w:bodyDiv w:val="1"/>
      <w:marLeft w:val="0"/>
      <w:marRight w:val="0"/>
      <w:marTop w:val="0"/>
      <w:marBottom w:val="0"/>
      <w:divBdr>
        <w:top w:val="none" w:sz="0" w:space="0" w:color="auto"/>
        <w:left w:val="none" w:sz="0" w:space="0" w:color="auto"/>
        <w:bottom w:val="none" w:sz="0" w:space="0" w:color="auto"/>
        <w:right w:val="none" w:sz="0" w:space="0" w:color="auto"/>
      </w:divBdr>
    </w:div>
    <w:div w:id="1244530065">
      <w:bodyDiv w:val="1"/>
      <w:marLeft w:val="0"/>
      <w:marRight w:val="0"/>
      <w:marTop w:val="0"/>
      <w:marBottom w:val="0"/>
      <w:divBdr>
        <w:top w:val="none" w:sz="0" w:space="0" w:color="auto"/>
        <w:left w:val="none" w:sz="0" w:space="0" w:color="auto"/>
        <w:bottom w:val="none" w:sz="0" w:space="0" w:color="auto"/>
        <w:right w:val="none" w:sz="0" w:space="0" w:color="auto"/>
      </w:divBdr>
    </w:div>
    <w:div w:id="1265915243">
      <w:bodyDiv w:val="1"/>
      <w:marLeft w:val="0"/>
      <w:marRight w:val="0"/>
      <w:marTop w:val="0"/>
      <w:marBottom w:val="0"/>
      <w:divBdr>
        <w:top w:val="none" w:sz="0" w:space="0" w:color="auto"/>
        <w:left w:val="none" w:sz="0" w:space="0" w:color="auto"/>
        <w:bottom w:val="none" w:sz="0" w:space="0" w:color="auto"/>
        <w:right w:val="none" w:sz="0" w:space="0" w:color="auto"/>
      </w:divBdr>
    </w:div>
    <w:div w:id="1269003131">
      <w:bodyDiv w:val="1"/>
      <w:marLeft w:val="0"/>
      <w:marRight w:val="0"/>
      <w:marTop w:val="0"/>
      <w:marBottom w:val="0"/>
      <w:divBdr>
        <w:top w:val="none" w:sz="0" w:space="0" w:color="auto"/>
        <w:left w:val="none" w:sz="0" w:space="0" w:color="auto"/>
        <w:bottom w:val="none" w:sz="0" w:space="0" w:color="auto"/>
        <w:right w:val="none" w:sz="0" w:space="0" w:color="auto"/>
      </w:divBdr>
      <w:divsChild>
        <w:div w:id="1991054529">
          <w:marLeft w:val="0"/>
          <w:marRight w:val="0"/>
          <w:marTop w:val="34"/>
          <w:marBottom w:val="34"/>
          <w:divBdr>
            <w:top w:val="none" w:sz="0" w:space="0" w:color="auto"/>
            <w:left w:val="none" w:sz="0" w:space="0" w:color="auto"/>
            <w:bottom w:val="none" w:sz="0" w:space="0" w:color="auto"/>
            <w:right w:val="none" w:sz="0" w:space="0" w:color="auto"/>
          </w:divBdr>
        </w:div>
      </w:divsChild>
    </w:div>
    <w:div w:id="1354529139">
      <w:bodyDiv w:val="1"/>
      <w:marLeft w:val="0"/>
      <w:marRight w:val="0"/>
      <w:marTop w:val="0"/>
      <w:marBottom w:val="0"/>
      <w:divBdr>
        <w:top w:val="none" w:sz="0" w:space="0" w:color="auto"/>
        <w:left w:val="none" w:sz="0" w:space="0" w:color="auto"/>
        <w:bottom w:val="none" w:sz="0" w:space="0" w:color="auto"/>
        <w:right w:val="none" w:sz="0" w:space="0" w:color="auto"/>
      </w:divBdr>
    </w:div>
    <w:div w:id="1540430662">
      <w:bodyDiv w:val="1"/>
      <w:marLeft w:val="0"/>
      <w:marRight w:val="0"/>
      <w:marTop w:val="0"/>
      <w:marBottom w:val="0"/>
      <w:divBdr>
        <w:top w:val="none" w:sz="0" w:space="0" w:color="auto"/>
        <w:left w:val="none" w:sz="0" w:space="0" w:color="auto"/>
        <w:bottom w:val="none" w:sz="0" w:space="0" w:color="auto"/>
        <w:right w:val="none" w:sz="0" w:space="0" w:color="auto"/>
      </w:divBdr>
    </w:div>
    <w:div w:id="1721131151">
      <w:bodyDiv w:val="1"/>
      <w:marLeft w:val="0"/>
      <w:marRight w:val="0"/>
      <w:marTop w:val="0"/>
      <w:marBottom w:val="0"/>
      <w:divBdr>
        <w:top w:val="none" w:sz="0" w:space="0" w:color="auto"/>
        <w:left w:val="none" w:sz="0" w:space="0" w:color="auto"/>
        <w:bottom w:val="none" w:sz="0" w:space="0" w:color="auto"/>
        <w:right w:val="none" w:sz="0" w:space="0" w:color="auto"/>
      </w:divBdr>
      <w:divsChild>
        <w:div w:id="467744701">
          <w:marLeft w:val="0"/>
          <w:marRight w:val="0"/>
          <w:marTop w:val="34"/>
          <w:marBottom w:val="34"/>
          <w:divBdr>
            <w:top w:val="none" w:sz="0" w:space="0" w:color="auto"/>
            <w:left w:val="none" w:sz="0" w:space="0" w:color="auto"/>
            <w:bottom w:val="none" w:sz="0" w:space="0" w:color="auto"/>
            <w:right w:val="none" w:sz="0" w:space="0" w:color="auto"/>
          </w:divBdr>
        </w:div>
      </w:divsChild>
    </w:div>
    <w:div w:id="1751341921">
      <w:bodyDiv w:val="1"/>
      <w:marLeft w:val="0"/>
      <w:marRight w:val="0"/>
      <w:marTop w:val="0"/>
      <w:marBottom w:val="0"/>
      <w:divBdr>
        <w:top w:val="none" w:sz="0" w:space="0" w:color="auto"/>
        <w:left w:val="none" w:sz="0" w:space="0" w:color="auto"/>
        <w:bottom w:val="none" w:sz="0" w:space="0" w:color="auto"/>
        <w:right w:val="none" w:sz="0" w:space="0" w:color="auto"/>
      </w:divBdr>
      <w:divsChild>
        <w:div w:id="939263044">
          <w:marLeft w:val="0"/>
          <w:marRight w:val="0"/>
          <w:marTop w:val="0"/>
          <w:marBottom w:val="166"/>
          <w:divBdr>
            <w:top w:val="none" w:sz="0" w:space="0" w:color="auto"/>
            <w:left w:val="none" w:sz="0" w:space="0" w:color="auto"/>
            <w:bottom w:val="none" w:sz="0" w:space="0" w:color="auto"/>
            <w:right w:val="none" w:sz="0" w:space="0" w:color="auto"/>
          </w:divBdr>
          <w:divsChild>
            <w:div w:id="220480685">
              <w:marLeft w:val="0"/>
              <w:marRight w:val="0"/>
              <w:marTop w:val="0"/>
              <w:marBottom w:val="0"/>
              <w:divBdr>
                <w:top w:val="none" w:sz="0" w:space="0" w:color="auto"/>
                <w:left w:val="none" w:sz="0" w:space="0" w:color="auto"/>
                <w:bottom w:val="none" w:sz="0" w:space="0" w:color="auto"/>
                <w:right w:val="none" w:sz="0" w:space="0" w:color="auto"/>
              </w:divBdr>
              <w:divsChild>
                <w:div w:id="1987396927">
                  <w:marLeft w:val="0"/>
                  <w:marRight w:val="0"/>
                  <w:marTop w:val="0"/>
                  <w:marBottom w:val="0"/>
                  <w:divBdr>
                    <w:top w:val="none" w:sz="0" w:space="0" w:color="auto"/>
                    <w:left w:val="none" w:sz="0" w:space="0" w:color="auto"/>
                    <w:bottom w:val="none" w:sz="0" w:space="0" w:color="auto"/>
                    <w:right w:val="none" w:sz="0" w:space="0" w:color="auto"/>
                  </w:divBdr>
                  <w:divsChild>
                    <w:div w:id="180319810">
                      <w:marLeft w:val="0"/>
                      <w:marRight w:val="0"/>
                      <w:marTop w:val="0"/>
                      <w:marBottom w:val="0"/>
                      <w:divBdr>
                        <w:top w:val="none" w:sz="0" w:space="0" w:color="auto"/>
                        <w:left w:val="none" w:sz="0" w:space="0" w:color="auto"/>
                        <w:bottom w:val="none" w:sz="0" w:space="0" w:color="auto"/>
                        <w:right w:val="none" w:sz="0" w:space="0" w:color="auto"/>
                      </w:divBdr>
                    </w:div>
                    <w:div w:id="8802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470">
              <w:marLeft w:val="0"/>
              <w:marRight w:val="0"/>
              <w:marTop w:val="0"/>
              <w:marBottom w:val="0"/>
              <w:divBdr>
                <w:top w:val="none" w:sz="0" w:space="0" w:color="auto"/>
                <w:left w:val="none" w:sz="0" w:space="0" w:color="auto"/>
                <w:bottom w:val="none" w:sz="0" w:space="0" w:color="auto"/>
                <w:right w:val="none" w:sz="0" w:space="0" w:color="auto"/>
              </w:divBdr>
              <w:divsChild>
                <w:div w:id="443883282">
                  <w:marLeft w:val="0"/>
                  <w:marRight w:val="0"/>
                  <w:marTop w:val="0"/>
                  <w:marBottom w:val="0"/>
                  <w:divBdr>
                    <w:top w:val="none" w:sz="0" w:space="0" w:color="auto"/>
                    <w:left w:val="none" w:sz="0" w:space="0" w:color="auto"/>
                    <w:bottom w:val="none" w:sz="0" w:space="0" w:color="auto"/>
                    <w:right w:val="none" w:sz="0" w:space="0" w:color="auto"/>
                  </w:divBdr>
                </w:div>
                <w:div w:id="11776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904">
          <w:marLeft w:val="0"/>
          <w:marRight w:val="0"/>
          <w:marTop w:val="166"/>
          <w:marBottom w:val="166"/>
          <w:divBdr>
            <w:top w:val="none" w:sz="0" w:space="0" w:color="auto"/>
            <w:left w:val="none" w:sz="0" w:space="0" w:color="auto"/>
            <w:bottom w:val="none" w:sz="0" w:space="0" w:color="auto"/>
            <w:right w:val="none" w:sz="0" w:space="0" w:color="auto"/>
          </w:divBdr>
          <w:divsChild>
            <w:div w:id="9561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7129">
      <w:bodyDiv w:val="1"/>
      <w:marLeft w:val="0"/>
      <w:marRight w:val="0"/>
      <w:marTop w:val="0"/>
      <w:marBottom w:val="0"/>
      <w:divBdr>
        <w:top w:val="none" w:sz="0" w:space="0" w:color="auto"/>
        <w:left w:val="none" w:sz="0" w:space="0" w:color="auto"/>
        <w:bottom w:val="none" w:sz="0" w:space="0" w:color="auto"/>
        <w:right w:val="none" w:sz="0" w:space="0" w:color="auto"/>
      </w:divBdr>
      <w:divsChild>
        <w:div w:id="1344550925">
          <w:marLeft w:val="0"/>
          <w:marRight w:val="0"/>
          <w:marTop w:val="120"/>
          <w:marBottom w:val="360"/>
          <w:divBdr>
            <w:top w:val="none" w:sz="0" w:space="0" w:color="auto"/>
            <w:left w:val="none" w:sz="0" w:space="0" w:color="auto"/>
            <w:bottom w:val="none" w:sz="0" w:space="0" w:color="auto"/>
            <w:right w:val="none" w:sz="0" w:space="0" w:color="auto"/>
          </w:divBdr>
          <w:divsChild>
            <w:div w:id="264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0636">
      <w:bodyDiv w:val="1"/>
      <w:marLeft w:val="0"/>
      <w:marRight w:val="0"/>
      <w:marTop w:val="0"/>
      <w:marBottom w:val="0"/>
      <w:divBdr>
        <w:top w:val="none" w:sz="0" w:space="0" w:color="auto"/>
        <w:left w:val="none" w:sz="0" w:space="0" w:color="auto"/>
        <w:bottom w:val="none" w:sz="0" w:space="0" w:color="auto"/>
        <w:right w:val="none" w:sz="0" w:space="0" w:color="auto"/>
      </w:divBdr>
    </w:div>
    <w:div w:id="1856308522">
      <w:bodyDiv w:val="1"/>
      <w:marLeft w:val="0"/>
      <w:marRight w:val="0"/>
      <w:marTop w:val="0"/>
      <w:marBottom w:val="0"/>
      <w:divBdr>
        <w:top w:val="none" w:sz="0" w:space="0" w:color="auto"/>
        <w:left w:val="none" w:sz="0" w:space="0" w:color="auto"/>
        <w:bottom w:val="none" w:sz="0" w:space="0" w:color="auto"/>
        <w:right w:val="none" w:sz="0" w:space="0" w:color="auto"/>
      </w:divBdr>
    </w:div>
    <w:div w:id="1885217211">
      <w:bodyDiv w:val="1"/>
      <w:marLeft w:val="0"/>
      <w:marRight w:val="0"/>
      <w:marTop w:val="0"/>
      <w:marBottom w:val="0"/>
      <w:divBdr>
        <w:top w:val="none" w:sz="0" w:space="0" w:color="auto"/>
        <w:left w:val="none" w:sz="0" w:space="0" w:color="auto"/>
        <w:bottom w:val="none" w:sz="0" w:space="0" w:color="auto"/>
        <w:right w:val="none" w:sz="0" w:space="0" w:color="auto"/>
      </w:divBdr>
    </w:div>
    <w:div w:id="1899658233">
      <w:bodyDiv w:val="1"/>
      <w:marLeft w:val="0"/>
      <w:marRight w:val="0"/>
      <w:marTop w:val="0"/>
      <w:marBottom w:val="0"/>
      <w:divBdr>
        <w:top w:val="none" w:sz="0" w:space="0" w:color="auto"/>
        <w:left w:val="none" w:sz="0" w:space="0" w:color="auto"/>
        <w:bottom w:val="none" w:sz="0" w:space="0" w:color="auto"/>
        <w:right w:val="none" w:sz="0" w:space="0" w:color="auto"/>
      </w:divBdr>
      <w:divsChild>
        <w:div w:id="789057920">
          <w:marLeft w:val="0"/>
          <w:marRight w:val="0"/>
          <w:marTop w:val="34"/>
          <w:marBottom w:val="34"/>
          <w:divBdr>
            <w:top w:val="none" w:sz="0" w:space="0" w:color="auto"/>
            <w:left w:val="none" w:sz="0" w:space="0" w:color="auto"/>
            <w:bottom w:val="none" w:sz="0" w:space="0" w:color="auto"/>
            <w:right w:val="none" w:sz="0" w:space="0" w:color="auto"/>
          </w:divBdr>
        </w:div>
      </w:divsChild>
    </w:div>
    <w:div w:id="1927760755">
      <w:bodyDiv w:val="1"/>
      <w:marLeft w:val="0"/>
      <w:marRight w:val="0"/>
      <w:marTop w:val="0"/>
      <w:marBottom w:val="0"/>
      <w:divBdr>
        <w:top w:val="none" w:sz="0" w:space="0" w:color="auto"/>
        <w:left w:val="none" w:sz="0" w:space="0" w:color="auto"/>
        <w:bottom w:val="none" w:sz="0" w:space="0" w:color="auto"/>
        <w:right w:val="none" w:sz="0" w:space="0" w:color="auto"/>
      </w:divBdr>
    </w:div>
    <w:div w:id="1935163579">
      <w:bodyDiv w:val="1"/>
      <w:marLeft w:val="0"/>
      <w:marRight w:val="0"/>
      <w:marTop w:val="0"/>
      <w:marBottom w:val="0"/>
      <w:divBdr>
        <w:top w:val="none" w:sz="0" w:space="0" w:color="auto"/>
        <w:left w:val="none" w:sz="0" w:space="0" w:color="auto"/>
        <w:bottom w:val="none" w:sz="0" w:space="0" w:color="auto"/>
        <w:right w:val="none" w:sz="0" w:space="0" w:color="auto"/>
      </w:divBdr>
    </w:div>
    <w:div w:id="2038309267">
      <w:bodyDiv w:val="1"/>
      <w:marLeft w:val="0"/>
      <w:marRight w:val="0"/>
      <w:marTop w:val="0"/>
      <w:marBottom w:val="0"/>
      <w:divBdr>
        <w:top w:val="none" w:sz="0" w:space="0" w:color="auto"/>
        <w:left w:val="none" w:sz="0" w:space="0" w:color="auto"/>
        <w:bottom w:val="none" w:sz="0" w:space="0" w:color="auto"/>
        <w:right w:val="none" w:sz="0" w:space="0" w:color="auto"/>
      </w:divBdr>
    </w:div>
    <w:div w:id="2054381360">
      <w:bodyDiv w:val="1"/>
      <w:marLeft w:val="0"/>
      <w:marRight w:val="0"/>
      <w:marTop w:val="0"/>
      <w:marBottom w:val="0"/>
      <w:divBdr>
        <w:top w:val="none" w:sz="0" w:space="0" w:color="auto"/>
        <w:left w:val="none" w:sz="0" w:space="0" w:color="auto"/>
        <w:bottom w:val="none" w:sz="0" w:space="0" w:color="auto"/>
        <w:right w:val="none" w:sz="0" w:space="0" w:color="auto"/>
      </w:divBdr>
      <w:divsChild>
        <w:div w:id="138151666">
          <w:marLeft w:val="0"/>
          <w:marRight w:val="0"/>
          <w:marTop w:val="0"/>
          <w:marBottom w:val="0"/>
          <w:divBdr>
            <w:top w:val="none" w:sz="0" w:space="0" w:color="auto"/>
            <w:left w:val="none" w:sz="0" w:space="0" w:color="auto"/>
            <w:bottom w:val="none" w:sz="0" w:space="0" w:color="auto"/>
            <w:right w:val="none" w:sz="0" w:space="0" w:color="auto"/>
          </w:divBdr>
        </w:div>
        <w:div w:id="371269560">
          <w:marLeft w:val="0"/>
          <w:marRight w:val="0"/>
          <w:marTop w:val="0"/>
          <w:marBottom w:val="0"/>
          <w:divBdr>
            <w:top w:val="none" w:sz="0" w:space="0" w:color="auto"/>
            <w:left w:val="none" w:sz="0" w:space="0" w:color="auto"/>
            <w:bottom w:val="none" w:sz="0" w:space="0" w:color="auto"/>
            <w:right w:val="none" w:sz="0" w:space="0" w:color="auto"/>
          </w:divBdr>
        </w:div>
        <w:div w:id="655114736">
          <w:marLeft w:val="0"/>
          <w:marRight w:val="0"/>
          <w:marTop w:val="0"/>
          <w:marBottom w:val="0"/>
          <w:divBdr>
            <w:top w:val="none" w:sz="0" w:space="0" w:color="auto"/>
            <w:left w:val="none" w:sz="0" w:space="0" w:color="auto"/>
            <w:bottom w:val="none" w:sz="0" w:space="0" w:color="auto"/>
            <w:right w:val="none" w:sz="0" w:space="0" w:color="auto"/>
          </w:divBdr>
        </w:div>
        <w:div w:id="664819387">
          <w:marLeft w:val="0"/>
          <w:marRight w:val="0"/>
          <w:marTop w:val="0"/>
          <w:marBottom w:val="0"/>
          <w:divBdr>
            <w:top w:val="none" w:sz="0" w:space="0" w:color="auto"/>
            <w:left w:val="none" w:sz="0" w:space="0" w:color="auto"/>
            <w:bottom w:val="none" w:sz="0" w:space="0" w:color="auto"/>
            <w:right w:val="none" w:sz="0" w:space="0" w:color="auto"/>
          </w:divBdr>
        </w:div>
        <w:div w:id="713579526">
          <w:marLeft w:val="0"/>
          <w:marRight w:val="0"/>
          <w:marTop w:val="0"/>
          <w:marBottom w:val="0"/>
          <w:divBdr>
            <w:top w:val="none" w:sz="0" w:space="0" w:color="auto"/>
            <w:left w:val="none" w:sz="0" w:space="0" w:color="auto"/>
            <w:bottom w:val="none" w:sz="0" w:space="0" w:color="auto"/>
            <w:right w:val="none" w:sz="0" w:space="0" w:color="auto"/>
          </w:divBdr>
        </w:div>
        <w:div w:id="913705733">
          <w:marLeft w:val="0"/>
          <w:marRight w:val="0"/>
          <w:marTop w:val="0"/>
          <w:marBottom w:val="0"/>
          <w:divBdr>
            <w:top w:val="none" w:sz="0" w:space="0" w:color="auto"/>
            <w:left w:val="none" w:sz="0" w:space="0" w:color="auto"/>
            <w:bottom w:val="none" w:sz="0" w:space="0" w:color="auto"/>
            <w:right w:val="none" w:sz="0" w:space="0" w:color="auto"/>
          </w:divBdr>
        </w:div>
        <w:div w:id="1043795746">
          <w:marLeft w:val="0"/>
          <w:marRight w:val="0"/>
          <w:marTop w:val="0"/>
          <w:marBottom w:val="0"/>
          <w:divBdr>
            <w:top w:val="none" w:sz="0" w:space="0" w:color="auto"/>
            <w:left w:val="none" w:sz="0" w:space="0" w:color="auto"/>
            <w:bottom w:val="none" w:sz="0" w:space="0" w:color="auto"/>
            <w:right w:val="none" w:sz="0" w:space="0" w:color="auto"/>
          </w:divBdr>
        </w:div>
        <w:div w:id="1346400847">
          <w:marLeft w:val="0"/>
          <w:marRight w:val="0"/>
          <w:marTop w:val="0"/>
          <w:marBottom w:val="0"/>
          <w:divBdr>
            <w:top w:val="none" w:sz="0" w:space="0" w:color="auto"/>
            <w:left w:val="none" w:sz="0" w:space="0" w:color="auto"/>
            <w:bottom w:val="none" w:sz="0" w:space="0" w:color="auto"/>
            <w:right w:val="none" w:sz="0" w:space="0" w:color="auto"/>
          </w:divBdr>
        </w:div>
        <w:div w:id="1487285486">
          <w:marLeft w:val="0"/>
          <w:marRight w:val="0"/>
          <w:marTop w:val="0"/>
          <w:marBottom w:val="0"/>
          <w:divBdr>
            <w:top w:val="none" w:sz="0" w:space="0" w:color="auto"/>
            <w:left w:val="none" w:sz="0" w:space="0" w:color="auto"/>
            <w:bottom w:val="none" w:sz="0" w:space="0" w:color="auto"/>
            <w:right w:val="none" w:sz="0" w:space="0" w:color="auto"/>
          </w:divBdr>
        </w:div>
        <w:div w:id="1691369063">
          <w:marLeft w:val="0"/>
          <w:marRight w:val="0"/>
          <w:marTop w:val="0"/>
          <w:marBottom w:val="0"/>
          <w:divBdr>
            <w:top w:val="none" w:sz="0" w:space="0" w:color="auto"/>
            <w:left w:val="none" w:sz="0" w:space="0" w:color="auto"/>
            <w:bottom w:val="none" w:sz="0" w:space="0" w:color="auto"/>
            <w:right w:val="none" w:sz="0" w:space="0" w:color="auto"/>
          </w:divBdr>
        </w:div>
        <w:div w:id="1847163033">
          <w:marLeft w:val="0"/>
          <w:marRight w:val="0"/>
          <w:marTop w:val="0"/>
          <w:marBottom w:val="0"/>
          <w:divBdr>
            <w:top w:val="none" w:sz="0" w:space="0" w:color="auto"/>
            <w:left w:val="none" w:sz="0" w:space="0" w:color="auto"/>
            <w:bottom w:val="none" w:sz="0" w:space="0" w:color="auto"/>
            <w:right w:val="none" w:sz="0" w:space="0" w:color="auto"/>
          </w:divBdr>
        </w:div>
        <w:div w:id="1952085694">
          <w:marLeft w:val="0"/>
          <w:marRight w:val="0"/>
          <w:marTop w:val="0"/>
          <w:marBottom w:val="0"/>
          <w:divBdr>
            <w:top w:val="none" w:sz="0" w:space="0" w:color="auto"/>
            <w:left w:val="none" w:sz="0" w:space="0" w:color="auto"/>
            <w:bottom w:val="none" w:sz="0" w:space="0" w:color="auto"/>
            <w:right w:val="none" w:sz="0" w:space="0" w:color="auto"/>
          </w:divBdr>
        </w:div>
      </w:divsChild>
    </w:div>
    <w:div w:id="2127036672">
      <w:bodyDiv w:val="1"/>
      <w:marLeft w:val="0"/>
      <w:marRight w:val="0"/>
      <w:marTop w:val="0"/>
      <w:marBottom w:val="0"/>
      <w:divBdr>
        <w:top w:val="none" w:sz="0" w:space="0" w:color="auto"/>
        <w:left w:val="none" w:sz="0" w:space="0" w:color="auto"/>
        <w:bottom w:val="none" w:sz="0" w:space="0" w:color="auto"/>
        <w:right w:val="none" w:sz="0" w:space="0" w:color="auto"/>
      </w:divBdr>
    </w:div>
    <w:div w:id="21296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field.ac.uk" TargetMode="External"/><Relationship Id="rId13" Type="http://schemas.openxmlformats.org/officeDocument/2006/relationships/hyperlink" Target="https://www.psa.gov.qa/en/statistics1/StatisticsSite/Census/census2020/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F9563-E0B8-44E2-9795-B6B9220A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3899</Words>
  <Characters>22228</Characters>
  <Application>Microsoft Office Word</Application>
  <DocSecurity>4</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Закроева</dc:creator>
  <cp:keywords/>
  <dc:description/>
  <cp:lastModifiedBy>Karen Drake</cp:lastModifiedBy>
  <cp:revision>2</cp:revision>
  <cp:lastPrinted>2022-03-22T09:56:00Z</cp:lastPrinted>
  <dcterms:created xsi:type="dcterms:W3CDTF">2022-03-22T12:18:00Z</dcterms:created>
  <dcterms:modified xsi:type="dcterms:W3CDTF">2022-03-22T12:18:00Z</dcterms:modified>
</cp:coreProperties>
</file>