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EB50" w14:textId="305CCD48" w:rsidR="00673BAD" w:rsidRPr="004624D3" w:rsidRDefault="00EE44C7" w:rsidP="00431C7A">
      <w:pPr>
        <w:spacing w:after="0" w:line="360" w:lineRule="auto"/>
        <w:rPr>
          <w:bCs/>
        </w:rPr>
      </w:pPr>
      <w:r w:rsidRPr="004624D3">
        <w:rPr>
          <w:b/>
        </w:rPr>
        <w:t>C</w:t>
      </w:r>
      <w:r w:rsidR="007B306B" w:rsidRPr="004624D3">
        <w:rPr>
          <w:b/>
        </w:rPr>
        <w:t>aring trajectories</w:t>
      </w:r>
      <w:r w:rsidRPr="004624D3">
        <w:rPr>
          <w:b/>
        </w:rPr>
        <w:t xml:space="preserve"> and health</w:t>
      </w:r>
      <w:r w:rsidR="007B306B" w:rsidRPr="004624D3">
        <w:rPr>
          <w:b/>
        </w:rPr>
        <w:t xml:space="preserve"> </w:t>
      </w:r>
      <w:r w:rsidR="0002639B" w:rsidRPr="004624D3">
        <w:rPr>
          <w:b/>
        </w:rPr>
        <w:t>in</w:t>
      </w:r>
      <w:r w:rsidR="007B306B" w:rsidRPr="004624D3">
        <w:rPr>
          <w:b/>
        </w:rPr>
        <w:t xml:space="preserve"> mid-life</w:t>
      </w:r>
      <w:r w:rsidR="00673BAD" w:rsidRPr="004624D3">
        <w:rPr>
          <w:bCs/>
        </w:rPr>
        <w:t xml:space="preserve"> </w:t>
      </w:r>
    </w:p>
    <w:p w14:paraId="3F4D0F02" w14:textId="77777777" w:rsidR="00856C69" w:rsidRPr="004624D3" w:rsidRDefault="00856C69" w:rsidP="00A55DB6">
      <w:pPr>
        <w:spacing w:after="0" w:line="360" w:lineRule="auto"/>
      </w:pPr>
    </w:p>
    <w:p w14:paraId="7E545913" w14:textId="347DA635" w:rsidR="007B306B" w:rsidRPr="004624D3" w:rsidRDefault="007B306B" w:rsidP="00A55DB6">
      <w:pPr>
        <w:spacing w:after="0" w:line="360" w:lineRule="auto"/>
      </w:pPr>
    </w:p>
    <w:p w14:paraId="535DFD98" w14:textId="0E5536D9" w:rsidR="00656788" w:rsidRPr="004624D3" w:rsidRDefault="00656788" w:rsidP="00431C7A">
      <w:pPr>
        <w:spacing w:line="480" w:lineRule="auto"/>
      </w:pPr>
      <w:r w:rsidRPr="004624D3">
        <w:t>Abs</w:t>
      </w:r>
      <w:r w:rsidR="0002639B" w:rsidRPr="004624D3">
        <w:t>tr</w:t>
      </w:r>
      <w:r w:rsidRPr="004624D3">
        <w:t>act</w:t>
      </w:r>
    </w:p>
    <w:p w14:paraId="37F3C0F6" w14:textId="3D990C79" w:rsidR="00431C7A" w:rsidRPr="004624D3" w:rsidRDefault="0081347B" w:rsidP="00A55DB6">
      <w:pPr>
        <w:spacing w:after="0" w:line="480" w:lineRule="auto"/>
        <w:jc w:val="both"/>
        <w:rPr>
          <w:rFonts w:cstheme="majorBidi"/>
          <w:bCs/>
          <w:iCs/>
        </w:rPr>
      </w:pPr>
      <w:r w:rsidRPr="0081347B">
        <w:rPr>
          <w:rFonts w:cstheme="minorHAnsi"/>
        </w:rPr>
        <w:t xml:space="preserve">Previous research has found varied effects of informal care provision on the carer’s health status. Few studies have however examined this relationship dynamically. </w:t>
      </w:r>
      <w:r w:rsidRPr="0081347B">
        <w:rPr>
          <w:rFonts w:cstheme="minorHAnsi"/>
          <w:highlight w:val="yellow"/>
        </w:rPr>
        <w:t>This paper is the first to analyse trajectories of care among men and women in mid-life and their impact on health outcomes using a nationally representative prospective cohort study.</w:t>
      </w:r>
      <w:r w:rsidRPr="0081347B">
        <w:rPr>
          <w:rFonts w:cstheme="minorHAnsi"/>
        </w:rPr>
        <w:t xml:space="preserve"> </w:t>
      </w:r>
      <w:r w:rsidR="001D2903" w:rsidRPr="0081347B">
        <w:rPr>
          <w:rFonts w:cstheme="minorHAnsi"/>
          <w:bCs/>
          <w:iCs/>
        </w:rPr>
        <w:t xml:space="preserve"> </w:t>
      </w:r>
      <w:r w:rsidRPr="0081347B">
        <w:rPr>
          <w:rFonts w:cstheme="minorHAnsi"/>
        </w:rPr>
        <w:t xml:space="preserve">Data from three waves of the UK National Child Development Study </w:t>
      </w:r>
      <w:r w:rsidRPr="0081347B">
        <w:rPr>
          <w:rFonts w:cstheme="minorHAnsi"/>
          <w:highlight w:val="yellow"/>
        </w:rPr>
        <w:t>(N=7,465),</w:t>
      </w:r>
      <w:r w:rsidRPr="0081347B">
        <w:rPr>
          <w:rFonts w:cstheme="minorHAnsi"/>
        </w:rPr>
        <w:t xml:space="preserve"> when the respondents were aged 46, 50 and 55 years old, are used to derive care trajectories capturing the dynamics of care provision and its intensity.</w:t>
      </w:r>
      <w:r w:rsidRPr="0081347B">
        <w:rPr>
          <w:rFonts w:cstheme="minorHAnsi"/>
          <w:sz w:val="24"/>
          <w:szCs w:val="24"/>
        </w:rPr>
        <w:t xml:space="preserve"> </w:t>
      </w:r>
      <w:r w:rsidRPr="0081347B">
        <w:rPr>
          <w:rFonts w:cstheme="minorHAnsi"/>
          <w:sz w:val="24"/>
          <w:szCs w:val="24"/>
        </w:rPr>
        <w:t xml:space="preserve">Logistic regression </w:t>
      </w:r>
      <w:r w:rsidRPr="008109D5">
        <w:rPr>
          <w:rFonts w:cstheme="minorHAnsi"/>
        </w:rPr>
        <w:t xml:space="preserve">investigates the impact of caring between age 46 and 55 on the carers’ report of depression and </w:t>
      </w:r>
      <w:r w:rsidRPr="008109D5">
        <w:rPr>
          <w:rFonts w:cstheme="minorHAnsi"/>
          <w:highlight w:val="yellow"/>
        </w:rPr>
        <w:t>poor health</w:t>
      </w:r>
      <w:r w:rsidRPr="008109D5">
        <w:rPr>
          <w:rFonts w:cstheme="minorHAnsi"/>
        </w:rPr>
        <w:t xml:space="preserve"> at age 55. At age 46, 9 per cent of men and 16 per cent of women provided some level of </w:t>
      </w:r>
      <w:r w:rsidRPr="008109D5">
        <w:rPr>
          <w:rFonts w:cstheme="minorHAnsi"/>
          <w:highlight w:val="yellow"/>
        </w:rPr>
        <w:t>informal care</w:t>
      </w:r>
      <w:r w:rsidRPr="008109D5">
        <w:rPr>
          <w:rFonts w:cstheme="minorHAnsi"/>
        </w:rPr>
        <w:t xml:space="preserve">; rising to 60 per cent for both genders at age 50 and 55. </w:t>
      </w:r>
      <w:r w:rsidRPr="008109D5">
        <w:rPr>
          <w:rFonts w:cstheme="minorHAnsi"/>
          <w:highlight w:val="yellow"/>
        </w:rPr>
        <w:t>Just 7 per cen</w:t>
      </w:r>
      <w:r w:rsidR="009F3880">
        <w:rPr>
          <w:rFonts w:cstheme="minorHAnsi"/>
          <w:highlight w:val="yellow"/>
        </w:rPr>
        <w:t>t of</w:t>
      </w:r>
      <w:r w:rsidRPr="008109D5">
        <w:rPr>
          <w:rFonts w:cstheme="minorHAnsi"/>
          <w:highlight w:val="yellow"/>
        </w:rPr>
        <w:t xml:space="preserve"> women and 4 per cent of men provided care at all observation points,</w:t>
      </w:r>
      <w:r w:rsidRPr="008109D5">
        <w:rPr>
          <w:rFonts w:cstheme="minorHAnsi"/>
        </w:rPr>
        <w:t xml:space="preserve"> with the most common trajectory being ‘starting to care’ at age 50 or 55.</w:t>
      </w:r>
      <w:r w:rsidRPr="008109D5">
        <w:rPr>
          <w:rFonts w:ascii="Times New Roman" w:hAnsi="Times New Roman" w:cs="Times New Roman"/>
        </w:rPr>
        <w:t xml:space="preserve"> </w:t>
      </w:r>
      <w:r w:rsidR="008109D5" w:rsidRPr="008109D5">
        <w:rPr>
          <w:rFonts w:cstheme="minorHAnsi"/>
          <w:highlight w:val="yellow"/>
        </w:rPr>
        <w:t>New carers experienced a lower risk of depression at age 55, reflecting that they may not have experienced the caring role long enough to have an adverse impact on their wellbeing.</w:t>
      </w:r>
      <w:r w:rsidR="008109D5" w:rsidRPr="008109D5">
        <w:rPr>
          <w:rFonts w:cstheme="minorHAnsi"/>
          <w:sz w:val="24"/>
          <w:szCs w:val="24"/>
          <w:highlight w:val="yellow"/>
        </w:rPr>
        <w:t xml:space="preserve"> </w:t>
      </w:r>
      <w:r w:rsidR="008109D5" w:rsidRPr="008109D5">
        <w:rPr>
          <w:rFonts w:cstheme="minorHAnsi"/>
          <w:highlight w:val="yellow"/>
        </w:rPr>
        <w:t xml:space="preserve">The findings highlight that the majority of individuals with surviving parents experience caring at some point during mid-life, underlining the need for further longitudinal research to better understand the complex relationships between caregiving and health for different groups of </w:t>
      </w:r>
      <w:r w:rsidR="008109D5" w:rsidRPr="008109D5">
        <w:rPr>
          <w:rFonts w:cstheme="minorHAnsi"/>
          <w:highlight w:val="yellow"/>
        </w:rPr>
        <w:t>cares.</w:t>
      </w:r>
      <w:r w:rsidR="008109D5">
        <w:rPr>
          <w:rFonts w:ascii="Times New Roman" w:hAnsi="Times New Roman" w:cs="Times New Roman"/>
          <w:sz w:val="24"/>
          <w:szCs w:val="24"/>
        </w:rPr>
        <w:t xml:space="preserve"> </w:t>
      </w:r>
    </w:p>
    <w:p w14:paraId="7A2372FE" w14:textId="77777777" w:rsidR="001D2903" w:rsidRPr="004624D3" w:rsidRDefault="001D2903" w:rsidP="00A55DB6">
      <w:pPr>
        <w:spacing w:after="0" w:line="480" w:lineRule="auto"/>
        <w:jc w:val="both"/>
        <w:rPr>
          <w:rFonts w:cstheme="majorBidi"/>
          <w:bCs/>
          <w:iCs/>
        </w:rPr>
      </w:pPr>
    </w:p>
    <w:p w14:paraId="7E545918" w14:textId="33810B39" w:rsidR="007A73C8" w:rsidRPr="004624D3" w:rsidRDefault="007A73C8" w:rsidP="00A55DB6">
      <w:pPr>
        <w:spacing w:after="0" w:line="480" w:lineRule="auto"/>
        <w:jc w:val="both"/>
        <w:rPr>
          <w:rFonts w:cstheme="majorBidi"/>
          <w:bCs/>
          <w:iCs/>
        </w:rPr>
      </w:pPr>
      <w:r w:rsidRPr="004624D3">
        <w:rPr>
          <w:rFonts w:cstheme="majorBidi"/>
          <w:b/>
          <w:bCs/>
          <w:i/>
          <w:iCs/>
        </w:rPr>
        <w:t>Ke</w:t>
      </w:r>
      <w:r w:rsidR="00656788" w:rsidRPr="004624D3">
        <w:rPr>
          <w:rFonts w:cstheme="majorBidi"/>
          <w:b/>
          <w:bCs/>
          <w:i/>
          <w:iCs/>
        </w:rPr>
        <w:t>y</w:t>
      </w:r>
      <w:r w:rsidRPr="004624D3">
        <w:rPr>
          <w:rFonts w:cstheme="majorBidi"/>
          <w:b/>
          <w:bCs/>
          <w:i/>
          <w:iCs/>
        </w:rPr>
        <w:t>words:</w:t>
      </w:r>
      <w:r w:rsidRPr="004624D3">
        <w:rPr>
          <w:rFonts w:cstheme="majorBidi"/>
          <w:b/>
          <w:bCs/>
        </w:rPr>
        <w:t xml:space="preserve"> </w:t>
      </w:r>
      <w:r w:rsidR="00261054" w:rsidRPr="004624D3">
        <w:rPr>
          <w:rFonts w:cstheme="majorBidi"/>
        </w:rPr>
        <w:t>informal</w:t>
      </w:r>
      <w:r w:rsidR="00261054" w:rsidRPr="004624D3">
        <w:rPr>
          <w:rFonts w:cstheme="majorBidi"/>
          <w:b/>
          <w:bCs/>
        </w:rPr>
        <w:t xml:space="preserve"> </w:t>
      </w:r>
      <w:r w:rsidR="00A0521F" w:rsidRPr="004624D3">
        <w:rPr>
          <w:rFonts w:cstheme="majorBidi"/>
        </w:rPr>
        <w:t>car</w:t>
      </w:r>
      <w:r w:rsidR="00261054" w:rsidRPr="004624D3">
        <w:rPr>
          <w:rFonts w:cstheme="majorBidi"/>
        </w:rPr>
        <w:t>e</w:t>
      </w:r>
      <w:r w:rsidR="00A0521F" w:rsidRPr="004624D3">
        <w:rPr>
          <w:rFonts w:cstheme="majorBidi"/>
        </w:rPr>
        <w:t>, cohort, intensity, mid-life, depression, health, education, NCDS</w:t>
      </w:r>
    </w:p>
    <w:p w14:paraId="34796BBA" w14:textId="77777777" w:rsidR="00431C7A" w:rsidRPr="004624D3" w:rsidRDefault="00431C7A" w:rsidP="00380F1F">
      <w:pPr>
        <w:spacing w:after="0" w:line="360" w:lineRule="auto"/>
        <w:rPr>
          <w:b/>
        </w:rPr>
      </w:pPr>
    </w:p>
    <w:p w14:paraId="2E1CA390" w14:textId="77777777" w:rsidR="00431C7A" w:rsidRPr="004624D3" w:rsidRDefault="00431C7A" w:rsidP="00380F1F">
      <w:pPr>
        <w:spacing w:after="0" w:line="360" w:lineRule="auto"/>
        <w:rPr>
          <w:b/>
        </w:rPr>
      </w:pPr>
    </w:p>
    <w:p w14:paraId="06FB2F05" w14:textId="77777777" w:rsidR="00431C7A" w:rsidRPr="004624D3" w:rsidRDefault="00431C7A" w:rsidP="00380F1F">
      <w:pPr>
        <w:spacing w:after="0" w:line="360" w:lineRule="auto"/>
        <w:rPr>
          <w:b/>
        </w:rPr>
      </w:pPr>
    </w:p>
    <w:p w14:paraId="31B502DB" w14:textId="77777777" w:rsidR="004522CA" w:rsidRPr="004624D3" w:rsidRDefault="004522CA">
      <w:pPr>
        <w:rPr>
          <w:b/>
        </w:rPr>
      </w:pPr>
      <w:r w:rsidRPr="004624D3">
        <w:rPr>
          <w:b/>
        </w:rPr>
        <w:br w:type="page"/>
      </w:r>
    </w:p>
    <w:p w14:paraId="5B46F0A6" w14:textId="62C4C48B" w:rsidR="00380F1F" w:rsidRPr="004624D3" w:rsidRDefault="00EE44C7" w:rsidP="00380F1F">
      <w:pPr>
        <w:spacing w:after="0" w:line="360" w:lineRule="auto"/>
        <w:rPr>
          <w:b/>
        </w:rPr>
      </w:pPr>
      <w:r w:rsidRPr="004624D3">
        <w:rPr>
          <w:b/>
        </w:rPr>
        <w:lastRenderedPageBreak/>
        <w:t>C</w:t>
      </w:r>
      <w:r w:rsidR="00380F1F" w:rsidRPr="004624D3">
        <w:rPr>
          <w:b/>
        </w:rPr>
        <w:t>aring trajectories</w:t>
      </w:r>
      <w:r w:rsidRPr="004624D3">
        <w:rPr>
          <w:b/>
        </w:rPr>
        <w:t xml:space="preserve"> and health</w:t>
      </w:r>
      <w:r w:rsidR="00380F1F" w:rsidRPr="004624D3">
        <w:rPr>
          <w:b/>
        </w:rPr>
        <w:t xml:space="preserve"> in mid-life</w:t>
      </w:r>
    </w:p>
    <w:p w14:paraId="3A184B09" w14:textId="77777777" w:rsidR="00D96979" w:rsidRPr="004624D3" w:rsidRDefault="00D96979" w:rsidP="00591D41">
      <w:pPr>
        <w:spacing w:after="0" w:line="480" w:lineRule="auto"/>
        <w:jc w:val="both"/>
        <w:rPr>
          <w:rFonts w:cstheme="majorBidi"/>
        </w:rPr>
      </w:pPr>
    </w:p>
    <w:p w14:paraId="7E54591B" w14:textId="62A65ADD" w:rsidR="007A73C8" w:rsidRPr="004624D3" w:rsidRDefault="00B605AB" w:rsidP="00A55DB6">
      <w:pPr>
        <w:pStyle w:val="ListParagraph"/>
        <w:numPr>
          <w:ilvl w:val="0"/>
          <w:numId w:val="10"/>
        </w:numPr>
        <w:spacing w:after="0" w:line="480" w:lineRule="auto"/>
        <w:rPr>
          <w:b/>
        </w:rPr>
      </w:pPr>
      <w:r w:rsidRPr="004624D3">
        <w:rPr>
          <w:b/>
        </w:rPr>
        <w:t>Introduc</w:t>
      </w:r>
      <w:r w:rsidR="00FE613E" w:rsidRPr="004624D3">
        <w:rPr>
          <w:b/>
        </w:rPr>
        <w:t>tion and background</w:t>
      </w:r>
    </w:p>
    <w:p w14:paraId="6FAD18D2" w14:textId="5E9E1D3C" w:rsidR="000E431B" w:rsidRPr="004624D3" w:rsidRDefault="000E431B" w:rsidP="00A55DB6">
      <w:pPr>
        <w:spacing w:after="0" w:line="480" w:lineRule="auto"/>
      </w:pPr>
    </w:p>
    <w:p w14:paraId="01B44085" w14:textId="401D4E48" w:rsidR="00A04D55" w:rsidRPr="004624D3" w:rsidRDefault="000E431B" w:rsidP="00A55DB6">
      <w:pPr>
        <w:spacing w:after="0" w:line="480" w:lineRule="auto"/>
      </w:pPr>
      <w:r w:rsidRPr="004624D3">
        <w:t xml:space="preserve">Providing </w:t>
      </w:r>
      <w:r w:rsidR="00247118" w:rsidRPr="004624D3">
        <w:t xml:space="preserve">informal </w:t>
      </w:r>
      <w:r w:rsidRPr="004624D3">
        <w:t xml:space="preserve">care </w:t>
      </w:r>
      <w:r w:rsidR="0033272F">
        <w:t xml:space="preserve">for a frail older relative or friend </w:t>
      </w:r>
      <w:r w:rsidRPr="004624D3">
        <w:t>is an increasingly common experience for individuals, primarily as a result of increasing longevity (Pickard, 2015</w:t>
      </w:r>
      <w:r w:rsidR="00801649" w:rsidRPr="004624D3">
        <w:t xml:space="preserve">; </w:t>
      </w:r>
      <w:r w:rsidR="00520CE5">
        <w:t xml:space="preserve">Broese </w:t>
      </w:r>
      <w:r w:rsidR="00801649" w:rsidRPr="004624D3">
        <w:t>van Groenou and De Boer, 2016</w:t>
      </w:r>
      <w:r w:rsidRPr="004624D3">
        <w:t>)</w:t>
      </w:r>
      <w:r w:rsidR="00133F1A" w:rsidRPr="004624D3">
        <w:t xml:space="preserve">. Previous research </w:t>
      </w:r>
      <w:r w:rsidR="004522CA" w:rsidRPr="004624D3">
        <w:t xml:space="preserve">has </w:t>
      </w:r>
      <w:r w:rsidR="00133F1A" w:rsidRPr="004624D3">
        <w:t>show</w:t>
      </w:r>
      <w:r w:rsidR="004522CA" w:rsidRPr="004624D3">
        <w:t>n</w:t>
      </w:r>
      <w:r w:rsidR="00133F1A" w:rsidRPr="004624D3">
        <w:t xml:space="preserve"> that </w:t>
      </w:r>
      <w:r w:rsidRPr="004624D3">
        <w:t>mid-life (i</w:t>
      </w:r>
      <w:r w:rsidR="00772367" w:rsidRPr="004624D3">
        <w:t>.</w:t>
      </w:r>
      <w:r w:rsidRPr="004624D3">
        <w:t xml:space="preserve">e. between ages 45-55) is the </w:t>
      </w:r>
      <w:r w:rsidR="00D06D37" w:rsidRPr="004624D3">
        <w:t xml:space="preserve">age at which </w:t>
      </w:r>
      <w:r w:rsidRPr="004624D3">
        <w:t xml:space="preserve">one’s risk of providing </w:t>
      </w:r>
      <w:r w:rsidR="0033272F">
        <w:t xml:space="preserve">informal </w:t>
      </w:r>
      <w:r w:rsidRPr="004624D3">
        <w:t xml:space="preserve">care </w:t>
      </w:r>
      <w:r w:rsidR="00D06D37" w:rsidRPr="004624D3">
        <w:t xml:space="preserve">peaks </w:t>
      </w:r>
      <w:r w:rsidRPr="004624D3">
        <w:t>across the lifecourse</w:t>
      </w:r>
      <w:r w:rsidR="00133F1A" w:rsidRPr="004624D3">
        <w:t xml:space="preserve">, </w:t>
      </w:r>
      <w:r w:rsidR="00772367" w:rsidRPr="004624D3">
        <w:t xml:space="preserve">with implications for </w:t>
      </w:r>
      <w:r w:rsidR="00133F1A" w:rsidRPr="004624D3">
        <w:t xml:space="preserve">individuals’ </w:t>
      </w:r>
      <w:r w:rsidR="008F4C19" w:rsidRPr="004624D3">
        <w:t>health and economic participation</w:t>
      </w:r>
      <w:r w:rsidRPr="004624D3">
        <w:t xml:space="preserve"> (</w:t>
      </w:r>
      <w:r w:rsidR="00772367" w:rsidRPr="004624D3">
        <w:t xml:space="preserve">Dykstra and Komter, 2012; </w:t>
      </w:r>
      <w:r w:rsidRPr="004624D3">
        <w:t xml:space="preserve">Evandrou </w:t>
      </w:r>
      <w:r w:rsidRPr="004624D3">
        <w:rPr>
          <w:i/>
          <w:iCs/>
        </w:rPr>
        <w:t>et al.</w:t>
      </w:r>
      <w:r w:rsidR="00D41BA7" w:rsidRPr="004624D3">
        <w:t>,</w:t>
      </w:r>
      <w:r w:rsidRPr="004624D3">
        <w:t xml:space="preserve"> 2015</w:t>
      </w:r>
      <w:r w:rsidR="00801649" w:rsidRPr="004624D3">
        <w:t xml:space="preserve">; </w:t>
      </w:r>
      <w:r w:rsidR="008F4C19" w:rsidRPr="004624D3">
        <w:t xml:space="preserve">Bardoel and Drago, 2016; </w:t>
      </w:r>
      <w:r w:rsidR="00801649" w:rsidRPr="004624D3">
        <w:t>Hanson and Starr, 2017</w:t>
      </w:r>
      <w:r w:rsidRPr="004624D3">
        <w:t xml:space="preserve">). Since the inclusion of a question </w:t>
      </w:r>
      <w:r w:rsidR="00D06D37" w:rsidRPr="004624D3">
        <w:t>regarding</w:t>
      </w:r>
      <w:r w:rsidRPr="004624D3">
        <w:t xml:space="preserve"> informal care provision in the UK Census 2001</w:t>
      </w:r>
      <w:r w:rsidR="00133F1A" w:rsidRPr="004624D3">
        <w:t xml:space="preserve">, repeated in 2011, </w:t>
      </w:r>
      <w:r w:rsidRPr="004624D3">
        <w:t xml:space="preserve">and the </w:t>
      </w:r>
      <w:r w:rsidR="00D06D37" w:rsidRPr="004624D3">
        <w:t xml:space="preserve">increased </w:t>
      </w:r>
      <w:r w:rsidRPr="004624D3">
        <w:t>availability of longitudinal data</w:t>
      </w:r>
      <w:r w:rsidR="00133F1A" w:rsidRPr="004624D3">
        <w:t xml:space="preserve"> internationally such as the </w:t>
      </w:r>
      <w:r w:rsidR="000D2FE3" w:rsidRPr="004624D3">
        <w:t>Survey of Health, Ageing and Retirement in Europe (SHARE)</w:t>
      </w:r>
      <w:r w:rsidRPr="004624D3">
        <w:t>, a substantial body of literature has examined patterns of informal care provision across different age groups, as well as the more detailed nature of the caregiving activity</w:t>
      </w:r>
      <w:r w:rsidR="00D06D37" w:rsidRPr="004624D3">
        <w:t xml:space="preserve"> </w:t>
      </w:r>
      <w:r w:rsidRPr="004624D3">
        <w:t>such as the number of hours dedicated to care, the relationship between the person caring and the person cared for, and whether they live in the same household (</w:t>
      </w:r>
      <w:r w:rsidR="00801649" w:rsidRPr="004624D3">
        <w:t xml:space="preserve">Dahlberg </w:t>
      </w:r>
      <w:r w:rsidR="00801649" w:rsidRPr="004624D3">
        <w:rPr>
          <w:i/>
          <w:iCs/>
        </w:rPr>
        <w:t>et al.</w:t>
      </w:r>
      <w:r w:rsidR="00D41BA7" w:rsidRPr="004624D3">
        <w:t>,</w:t>
      </w:r>
      <w:r w:rsidR="00801649" w:rsidRPr="004624D3">
        <w:t xml:space="preserve"> 2007; </w:t>
      </w:r>
      <w:r w:rsidRPr="004624D3">
        <w:t xml:space="preserve">Norman and Purdam, 2013, Robards </w:t>
      </w:r>
      <w:r w:rsidRPr="004624D3">
        <w:rPr>
          <w:i/>
          <w:iCs/>
        </w:rPr>
        <w:t>et al.</w:t>
      </w:r>
      <w:r w:rsidR="00D41BA7" w:rsidRPr="004624D3">
        <w:t>,</w:t>
      </w:r>
      <w:r w:rsidRPr="004624D3">
        <w:t xml:space="preserve"> 2015).</w:t>
      </w:r>
    </w:p>
    <w:p w14:paraId="7910AAA4" w14:textId="77777777" w:rsidR="00A04D55" w:rsidRPr="004624D3" w:rsidRDefault="00A04D55" w:rsidP="00A55DB6">
      <w:pPr>
        <w:spacing w:after="0" w:line="480" w:lineRule="auto"/>
      </w:pPr>
    </w:p>
    <w:p w14:paraId="06CE4215" w14:textId="44FD65F2" w:rsidR="00A04D55" w:rsidRPr="004624D3" w:rsidRDefault="000E431B" w:rsidP="00A55DB6">
      <w:pPr>
        <w:spacing w:after="0" w:line="480" w:lineRule="auto"/>
      </w:pPr>
      <w:r w:rsidRPr="004624D3">
        <w:t xml:space="preserve">A </w:t>
      </w:r>
      <w:r w:rsidR="00D06D37" w:rsidRPr="004624D3">
        <w:t xml:space="preserve">more limited </w:t>
      </w:r>
      <w:r w:rsidRPr="004624D3">
        <w:t>body of work has focused on the relationship between care provision and the health of the carer, producing mixed results</w:t>
      </w:r>
      <w:r w:rsidR="00A24225" w:rsidRPr="004624D3">
        <w:t xml:space="preserve"> depending on whether the study is cross-sectional or longitudinal (Vlachantoni </w:t>
      </w:r>
      <w:r w:rsidR="00A24225" w:rsidRPr="004624D3">
        <w:rPr>
          <w:i/>
          <w:iCs/>
        </w:rPr>
        <w:t>et al</w:t>
      </w:r>
      <w:r w:rsidR="00A24225" w:rsidRPr="004624D3">
        <w:t>.</w:t>
      </w:r>
      <w:r w:rsidR="00D41BA7" w:rsidRPr="004624D3">
        <w:t>,</w:t>
      </w:r>
      <w:r w:rsidR="00A24225" w:rsidRPr="004624D3">
        <w:t xml:space="preserve"> 2013)</w:t>
      </w:r>
      <w:r w:rsidRPr="004624D3">
        <w:t>.</w:t>
      </w:r>
      <w:r w:rsidR="00A04D55" w:rsidRPr="004624D3">
        <w:t xml:space="preserve"> This paper </w:t>
      </w:r>
      <w:r w:rsidR="00A93998" w:rsidRPr="004624D3">
        <w:t>analyses</w:t>
      </w:r>
      <w:r w:rsidR="00A04D55" w:rsidRPr="004624D3">
        <w:t xml:space="preserve"> </w:t>
      </w:r>
      <w:r w:rsidR="000D2FE3" w:rsidRPr="004624D3">
        <w:t xml:space="preserve">prospectively collected </w:t>
      </w:r>
      <w:r w:rsidR="00A04D55" w:rsidRPr="004624D3">
        <w:t>data from a UK cohort study to describe trajectories of care provision</w:t>
      </w:r>
      <w:r w:rsidR="00247118" w:rsidRPr="004624D3">
        <w:t xml:space="preserve"> </w:t>
      </w:r>
      <w:r w:rsidR="00A04D55" w:rsidRPr="004624D3">
        <w:t>in mid-life for men and women</w:t>
      </w:r>
      <w:r w:rsidR="00D06D37" w:rsidRPr="004624D3">
        <w:t xml:space="preserve">. </w:t>
      </w:r>
      <w:r w:rsidR="002A230F" w:rsidRPr="004624D3">
        <w:t>It</w:t>
      </w:r>
      <w:r w:rsidR="00D06D37" w:rsidRPr="004624D3">
        <w:t xml:space="preserve"> then </w:t>
      </w:r>
      <w:r w:rsidR="00A93998" w:rsidRPr="004624D3">
        <w:t>investigate</w:t>
      </w:r>
      <w:r w:rsidR="002A230F" w:rsidRPr="004624D3">
        <w:t>s</w:t>
      </w:r>
      <w:r w:rsidR="00A04D55" w:rsidRPr="004624D3">
        <w:t xml:space="preserve"> how different care trajectories </w:t>
      </w:r>
      <w:r w:rsidR="0033272F">
        <w:t xml:space="preserve">are associated with </w:t>
      </w:r>
      <w:r w:rsidR="00A04D55" w:rsidRPr="004624D3">
        <w:t>carer</w:t>
      </w:r>
      <w:r w:rsidR="00D06D37" w:rsidRPr="004624D3">
        <w:t>s</w:t>
      </w:r>
      <w:r w:rsidR="00A04D55" w:rsidRPr="004624D3">
        <w:t>’ health status measured in two different ways: report of depression</w:t>
      </w:r>
      <w:r w:rsidR="00D06D37" w:rsidRPr="004624D3">
        <w:t xml:space="preserve">, </w:t>
      </w:r>
      <w:r w:rsidR="00A04D55" w:rsidRPr="004624D3">
        <w:t>reflect</w:t>
      </w:r>
      <w:r w:rsidR="00D06D37" w:rsidRPr="004624D3">
        <w:t xml:space="preserve">ing </w:t>
      </w:r>
      <w:r w:rsidR="00A04D55" w:rsidRPr="004624D3">
        <w:t>mental health</w:t>
      </w:r>
      <w:r w:rsidR="00D06D37" w:rsidRPr="004624D3">
        <w:t>;</w:t>
      </w:r>
      <w:r w:rsidR="00A04D55" w:rsidRPr="004624D3">
        <w:t xml:space="preserve"> and self-reported general health, </w:t>
      </w:r>
      <w:r w:rsidR="00D06D37" w:rsidRPr="004624D3">
        <w:t xml:space="preserve">reflecting </w:t>
      </w:r>
      <w:r w:rsidR="00A04D55" w:rsidRPr="004624D3">
        <w:t xml:space="preserve">overall health status. The findings </w:t>
      </w:r>
      <w:r w:rsidR="002A230F" w:rsidRPr="004624D3">
        <w:t>address</w:t>
      </w:r>
      <w:r w:rsidR="00A04D55" w:rsidRPr="004624D3">
        <w:t xml:space="preserve"> an important gap in the literature</w:t>
      </w:r>
      <w:r w:rsidR="00247118" w:rsidRPr="004624D3">
        <w:t xml:space="preserve"> in two ways</w:t>
      </w:r>
      <w:r w:rsidR="00A04D55" w:rsidRPr="004624D3">
        <w:t xml:space="preserve">. </w:t>
      </w:r>
      <w:r w:rsidR="00A9743B" w:rsidRPr="004624D3">
        <w:t>First</w:t>
      </w:r>
      <w:r w:rsidR="00247118" w:rsidRPr="004624D3">
        <w:t>ly</w:t>
      </w:r>
      <w:r w:rsidR="00A9743B" w:rsidRPr="004624D3">
        <w:t xml:space="preserve">, </w:t>
      </w:r>
      <w:r w:rsidR="00971F26" w:rsidRPr="004624D3">
        <w:t>previous literature on caring trajectories and their impact on the carers’ health has tended to focus on broad age groups covering the whole adult population</w:t>
      </w:r>
      <w:r w:rsidR="00D06D37" w:rsidRPr="004624D3">
        <w:t xml:space="preserve">; here </w:t>
      </w:r>
      <w:r w:rsidR="002A230F" w:rsidRPr="004624D3">
        <w:t>the research</w:t>
      </w:r>
      <w:r w:rsidR="00971F26" w:rsidRPr="004624D3">
        <w:t xml:space="preserve"> </w:t>
      </w:r>
      <w:r w:rsidR="00D06D37" w:rsidRPr="004624D3">
        <w:t xml:space="preserve">explicitly </w:t>
      </w:r>
      <w:r w:rsidR="002A230F" w:rsidRPr="004624D3">
        <w:t xml:space="preserve">focusses </w:t>
      </w:r>
      <w:r w:rsidR="00971F26" w:rsidRPr="004624D3">
        <w:lastRenderedPageBreak/>
        <w:t>on the experience of mid-life individuals who are</w:t>
      </w:r>
      <w:r w:rsidR="00247118" w:rsidRPr="004624D3">
        <w:t xml:space="preserve"> at the highest risk of </w:t>
      </w:r>
      <w:r w:rsidR="00971F26" w:rsidRPr="004624D3">
        <w:t>‘juggling’ the demand for care provision towards older relatives with caring for younger relatives</w:t>
      </w:r>
      <w:r w:rsidR="006724C8" w:rsidRPr="004624D3">
        <w:t xml:space="preserve"> (Vlachantoni </w:t>
      </w:r>
      <w:r w:rsidR="006724C8" w:rsidRPr="004624D3">
        <w:rPr>
          <w:i/>
          <w:iCs/>
        </w:rPr>
        <w:t>et al</w:t>
      </w:r>
      <w:r w:rsidR="006724C8" w:rsidRPr="004624D3">
        <w:t>.</w:t>
      </w:r>
      <w:r w:rsidR="00D41BA7" w:rsidRPr="004624D3">
        <w:t>,</w:t>
      </w:r>
      <w:r w:rsidR="006724C8" w:rsidRPr="004624D3">
        <w:t xml:space="preserve"> 2020)</w:t>
      </w:r>
      <w:r w:rsidR="00A9743B" w:rsidRPr="004624D3">
        <w:t xml:space="preserve">. Secondly, </w:t>
      </w:r>
      <w:r w:rsidR="007D4BF1" w:rsidRPr="004624D3">
        <w:t xml:space="preserve">the study of caring patterns during mid-life has implications for </w:t>
      </w:r>
      <w:r w:rsidR="00B474A5" w:rsidRPr="004624D3">
        <w:t xml:space="preserve">other life domains for individuals at this </w:t>
      </w:r>
      <w:r w:rsidR="00247118" w:rsidRPr="004624D3">
        <w:t xml:space="preserve">important </w:t>
      </w:r>
      <w:r w:rsidR="00B474A5" w:rsidRPr="004624D3">
        <w:t xml:space="preserve">stage of the lifecourse, including their </w:t>
      </w:r>
      <w:r w:rsidR="00247118" w:rsidRPr="004624D3">
        <w:t>continu</w:t>
      </w:r>
      <w:r w:rsidR="002A230F" w:rsidRPr="004624D3">
        <w:t>ed</w:t>
      </w:r>
      <w:r w:rsidR="00247118" w:rsidRPr="004624D3">
        <w:t xml:space="preserve"> </w:t>
      </w:r>
      <w:r w:rsidR="00B474A5" w:rsidRPr="004624D3">
        <w:t xml:space="preserve">economic activity patterns </w:t>
      </w:r>
      <w:r w:rsidR="00247118" w:rsidRPr="004624D3">
        <w:t xml:space="preserve">as they approach retirement </w:t>
      </w:r>
      <w:r w:rsidR="00B474A5" w:rsidRPr="004624D3">
        <w:t xml:space="preserve">and their relationships with both younger and older generations of relatives </w:t>
      </w:r>
      <w:r w:rsidR="00A9743B" w:rsidRPr="004624D3">
        <w:t>(</w:t>
      </w:r>
      <w:r w:rsidR="00B474A5" w:rsidRPr="004624D3">
        <w:t xml:space="preserve">Evandrou </w:t>
      </w:r>
      <w:r w:rsidR="00B474A5" w:rsidRPr="004624D3">
        <w:rPr>
          <w:i/>
          <w:iCs/>
        </w:rPr>
        <w:t>et al.</w:t>
      </w:r>
      <w:r w:rsidR="00D41BA7" w:rsidRPr="004624D3">
        <w:t>,</w:t>
      </w:r>
      <w:r w:rsidR="00B474A5" w:rsidRPr="004624D3">
        <w:t xml:space="preserve"> 2018</w:t>
      </w:r>
      <w:r w:rsidR="006724C8" w:rsidRPr="004624D3">
        <w:t>;</w:t>
      </w:r>
      <w:r w:rsidR="00B474A5" w:rsidRPr="004624D3">
        <w:t xml:space="preserve"> G</w:t>
      </w:r>
      <w:r w:rsidR="00D5584A" w:rsidRPr="004624D3">
        <w:t>ó</w:t>
      </w:r>
      <w:r w:rsidR="00B474A5" w:rsidRPr="004624D3">
        <w:t>mez-</w:t>
      </w:r>
      <w:r w:rsidR="004931A2" w:rsidRPr="004624D3">
        <w:t>Le</w:t>
      </w:r>
      <w:r w:rsidR="00D5584A" w:rsidRPr="004624D3">
        <w:t>ó</w:t>
      </w:r>
      <w:r w:rsidR="004931A2" w:rsidRPr="004624D3">
        <w:t>n</w:t>
      </w:r>
      <w:r w:rsidR="00B474A5" w:rsidRPr="004624D3">
        <w:t xml:space="preserve"> </w:t>
      </w:r>
      <w:r w:rsidR="00B474A5" w:rsidRPr="004624D3">
        <w:rPr>
          <w:i/>
          <w:iCs/>
        </w:rPr>
        <w:t>et al.</w:t>
      </w:r>
      <w:r w:rsidR="00D41BA7" w:rsidRPr="004624D3">
        <w:t>,</w:t>
      </w:r>
      <w:r w:rsidR="00B474A5" w:rsidRPr="004624D3">
        <w:t xml:space="preserve"> 2019</w:t>
      </w:r>
      <w:r w:rsidR="00A9743B" w:rsidRPr="004624D3">
        <w:t xml:space="preserve">). </w:t>
      </w:r>
    </w:p>
    <w:p w14:paraId="68115BC9" w14:textId="7CFB0F93" w:rsidR="00A9743B" w:rsidRPr="004624D3" w:rsidRDefault="00A9743B" w:rsidP="00A55DB6">
      <w:pPr>
        <w:spacing w:after="0" w:line="480" w:lineRule="auto"/>
      </w:pPr>
    </w:p>
    <w:p w14:paraId="46916746" w14:textId="32A7934D" w:rsidR="00A9743B" w:rsidRPr="004624D3" w:rsidRDefault="00A9743B" w:rsidP="00A55DB6">
      <w:pPr>
        <w:spacing w:after="0" w:line="480" w:lineRule="auto"/>
      </w:pPr>
      <w:r w:rsidRPr="004624D3">
        <w:t>This paper is the first</w:t>
      </w:r>
      <w:r w:rsidR="002A230F" w:rsidRPr="004624D3">
        <w:t>,</w:t>
      </w:r>
      <w:r w:rsidRPr="004624D3">
        <w:t xml:space="preserve"> to our knowledge</w:t>
      </w:r>
      <w:r w:rsidR="002A230F" w:rsidRPr="004624D3">
        <w:t>,</w:t>
      </w:r>
      <w:r w:rsidRPr="004624D3">
        <w:t xml:space="preserve"> to </w:t>
      </w:r>
      <w:r w:rsidR="00247118" w:rsidRPr="004624D3">
        <w:t xml:space="preserve">use </w:t>
      </w:r>
      <w:r w:rsidR="00D06D37" w:rsidRPr="004624D3">
        <w:t xml:space="preserve">prospectively collected </w:t>
      </w:r>
      <w:r w:rsidR="00247118" w:rsidRPr="004624D3">
        <w:t>cohort data</w:t>
      </w:r>
      <w:r w:rsidR="00D06D37" w:rsidRPr="004624D3">
        <w:t xml:space="preserve"> </w:t>
      </w:r>
      <w:r w:rsidR="00247118" w:rsidRPr="004624D3">
        <w:t xml:space="preserve">to </w:t>
      </w:r>
      <w:r w:rsidRPr="004624D3">
        <w:t>map the caring trajectories of individuals</w:t>
      </w:r>
      <w:r w:rsidR="00247118" w:rsidRPr="004624D3">
        <w:t xml:space="preserve"> across </w:t>
      </w:r>
      <w:r w:rsidRPr="004624D3">
        <w:t xml:space="preserve">mid-life in the UK, and to assess the impact of such trajectories on the individuals’ health status. The analysis allows us to take into account a range of factors which have been </w:t>
      </w:r>
      <w:r w:rsidR="00D06D37" w:rsidRPr="004624D3">
        <w:t xml:space="preserve">found to be important </w:t>
      </w:r>
      <w:r w:rsidRPr="004624D3">
        <w:t xml:space="preserve">in previous research in this area, such as the carer’s gender and the number of hours of care provided during a week, reflecting the intensity of the care provided. </w:t>
      </w:r>
    </w:p>
    <w:p w14:paraId="678DF5CC" w14:textId="22F8C2DA" w:rsidR="00FC026A" w:rsidRPr="004624D3" w:rsidRDefault="00FC026A" w:rsidP="00A55DB6">
      <w:pPr>
        <w:spacing w:after="0" w:line="480" w:lineRule="auto"/>
      </w:pPr>
    </w:p>
    <w:p w14:paraId="3C57F49F" w14:textId="3FB9D520" w:rsidR="00FE613E" w:rsidRPr="004624D3" w:rsidRDefault="00FE613E" w:rsidP="00A55DB6">
      <w:pPr>
        <w:pStyle w:val="ListParagraph"/>
        <w:numPr>
          <w:ilvl w:val="0"/>
          <w:numId w:val="10"/>
        </w:numPr>
        <w:spacing w:after="0" w:line="480" w:lineRule="auto"/>
        <w:rPr>
          <w:b/>
          <w:bCs/>
        </w:rPr>
      </w:pPr>
      <w:r w:rsidRPr="004624D3">
        <w:rPr>
          <w:b/>
          <w:bCs/>
        </w:rPr>
        <w:t>Review of the literature</w:t>
      </w:r>
    </w:p>
    <w:p w14:paraId="53480688" w14:textId="08C1ECB4" w:rsidR="00A174F5" w:rsidRPr="004624D3" w:rsidRDefault="00FC6AD3" w:rsidP="00DD13B4">
      <w:pPr>
        <w:spacing w:after="0" w:line="480" w:lineRule="auto"/>
      </w:pPr>
      <w:bookmarkStart w:id="0" w:name="_Hlk90295358"/>
      <w:r w:rsidRPr="004624D3">
        <w:t xml:space="preserve">To provide the broader context for </w:t>
      </w:r>
      <w:r w:rsidR="00DD13B4" w:rsidRPr="004624D3">
        <w:t xml:space="preserve">this </w:t>
      </w:r>
      <w:r w:rsidRPr="004624D3">
        <w:t xml:space="preserve">research, it is first important to outline the </w:t>
      </w:r>
      <w:r w:rsidR="003966AB" w:rsidRPr="004624D3">
        <w:t>so</w:t>
      </w:r>
      <w:r w:rsidRPr="004624D3">
        <w:t>cial care landscape within which our analysis is located. In the UK, i</w:t>
      </w:r>
      <w:r w:rsidR="00DD13B4" w:rsidRPr="004624D3">
        <w:t xml:space="preserve">ndividuals who need </w:t>
      </w:r>
      <w:r w:rsidRPr="004624D3">
        <w:t xml:space="preserve">social </w:t>
      </w:r>
      <w:r w:rsidR="00DD13B4" w:rsidRPr="004624D3">
        <w:t xml:space="preserve">support can receive such support from a range of sources, including informal sources (e.g. family members), formal state sources (e.g. local government </w:t>
      </w:r>
      <w:r w:rsidRPr="004624D3">
        <w:t>services</w:t>
      </w:r>
      <w:r w:rsidR="00DD13B4" w:rsidRPr="004624D3">
        <w:t xml:space="preserve">), or formal paid sources (e.g. private sector). However, as in many other countries, the majority of care is provided by family, particularly by female partners or daughters over most of the life course (Maplethorpe </w:t>
      </w:r>
      <w:r w:rsidR="00DD13B4" w:rsidRPr="004624D3">
        <w:rPr>
          <w:i/>
          <w:iCs/>
        </w:rPr>
        <w:t>et al</w:t>
      </w:r>
      <w:r w:rsidR="00DD13B4" w:rsidRPr="004624D3">
        <w:t xml:space="preserve">., 2015), and male spouses in later life (Robards </w:t>
      </w:r>
      <w:r w:rsidR="00DD13B4" w:rsidRPr="004624D3">
        <w:rPr>
          <w:i/>
          <w:iCs/>
        </w:rPr>
        <w:t>et al</w:t>
      </w:r>
      <w:r w:rsidR="00DD13B4" w:rsidRPr="004624D3">
        <w:t>., 2015).</w:t>
      </w:r>
      <w:r w:rsidR="00A174F5" w:rsidRPr="004624D3">
        <w:t xml:space="preserve"> </w:t>
      </w:r>
      <w:r w:rsidRPr="004624D3">
        <w:t xml:space="preserve">There are some differences in the way formal social care is organised across the countries of the </w:t>
      </w:r>
      <w:r w:rsidR="006E73ED" w:rsidRPr="004624D3">
        <w:t>UK</w:t>
      </w:r>
      <w:r w:rsidRPr="004624D3">
        <w:t xml:space="preserve">. </w:t>
      </w:r>
      <w:r w:rsidR="00A174F5" w:rsidRPr="004624D3">
        <w:t xml:space="preserve">Within </w:t>
      </w:r>
      <w:r w:rsidR="00DD13B4" w:rsidRPr="004624D3">
        <w:t>England</w:t>
      </w:r>
      <w:r w:rsidR="009C3105" w:rsidRPr="004624D3">
        <w:t>,</w:t>
      </w:r>
      <w:r w:rsidR="00A174F5" w:rsidRPr="004624D3">
        <w:t xml:space="preserve"> where the majority of the UK population resides</w:t>
      </w:r>
      <w:r w:rsidR="00DD13B4" w:rsidRPr="004624D3">
        <w:t xml:space="preserve">, local authorities are </w:t>
      </w:r>
      <w:r w:rsidR="00A174F5" w:rsidRPr="004624D3">
        <w:t xml:space="preserve">legally </w:t>
      </w:r>
      <w:r w:rsidR="00DD13B4" w:rsidRPr="004624D3">
        <w:t xml:space="preserve">responsible for adult social care, </w:t>
      </w:r>
      <w:r w:rsidR="00A174F5" w:rsidRPr="004624D3">
        <w:t xml:space="preserve">and both carers and care recipients are assessed </w:t>
      </w:r>
      <w:r w:rsidR="00B065C0" w:rsidRPr="004624D3">
        <w:t>before any support can be provided in the form of a caring allowance and/or support with day-to-day activities in the home of the care recipient. For individuals who are middle-</w:t>
      </w:r>
      <w:r w:rsidR="00B065C0" w:rsidRPr="004624D3">
        <w:lastRenderedPageBreak/>
        <w:t>aged themselves, and are providing care to older relatives, the receipt of support from the state often interacts with their economic activity patterns (and earnings). Existing research has aimed to disentangle the interactions between economically active individuals’ work and caregiving, indicating for instance that many female carers remain ‘trapped’ in low-paid jobs in order to combine their paid work with their caring obligations, whilst at the same time receiving some support from the state (Buckner and Yeandle, 2006</w:t>
      </w:r>
      <w:r w:rsidR="00C813C5" w:rsidRPr="004624D3">
        <w:t>; Carmichael and Charles, 2003</w:t>
      </w:r>
      <w:r w:rsidR="00B065C0" w:rsidRPr="004624D3">
        <w:t xml:space="preserve">). </w:t>
      </w:r>
    </w:p>
    <w:bookmarkEnd w:id="0"/>
    <w:p w14:paraId="6555A501" w14:textId="77777777" w:rsidR="00FE7A3D" w:rsidRPr="004624D3" w:rsidRDefault="00FE7A3D" w:rsidP="00A55DB6">
      <w:pPr>
        <w:spacing w:after="0" w:line="480" w:lineRule="auto"/>
      </w:pPr>
    </w:p>
    <w:p w14:paraId="74596A31" w14:textId="0AD85DFD" w:rsidR="0077269D" w:rsidRPr="004624D3" w:rsidRDefault="003B752B" w:rsidP="00A55DB6">
      <w:pPr>
        <w:spacing w:after="0" w:line="480" w:lineRule="auto"/>
      </w:pPr>
      <w:r w:rsidRPr="004624D3">
        <w:t xml:space="preserve">Existing research on the impact of care provision on the carer’s health has shown mixed results, depending on the nature of the data analysed. </w:t>
      </w:r>
      <w:r w:rsidR="007007A6" w:rsidRPr="004624D3">
        <w:t>From an empirical viewpoint, c</w:t>
      </w:r>
      <w:r w:rsidR="000E431B" w:rsidRPr="004624D3">
        <w:t xml:space="preserve">ross-sectional research </w:t>
      </w:r>
      <w:r w:rsidR="00A24225" w:rsidRPr="004624D3">
        <w:t>has broadly shown that care provision is associated with poor health for the carer, although there exist differences depending on the specific health outcome measured (</w:t>
      </w:r>
      <w:r w:rsidR="00FC026A" w:rsidRPr="004624D3">
        <w:t>Young</w:t>
      </w:r>
      <w:r w:rsidR="0077269D" w:rsidRPr="004624D3">
        <w:t>, Grundy and Kalogirou,</w:t>
      </w:r>
      <w:r w:rsidR="00FC026A" w:rsidRPr="004624D3">
        <w:t xml:space="preserve"> 2005; </w:t>
      </w:r>
      <w:r w:rsidR="00A24225" w:rsidRPr="004624D3">
        <w:t>Brown and Brown, 2014), and the health</w:t>
      </w:r>
      <w:r w:rsidR="0077269D" w:rsidRPr="004624D3">
        <w:t xml:space="preserve"> and demographic</w:t>
      </w:r>
      <w:r w:rsidR="00A24225" w:rsidRPr="004624D3">
        <w:t xml:space="preserve"> characteristics of the person cared for (</w:t>
      </w:r>
      <w:r w:rsidR="00FC026A" w:rsidRPr="004624D3">
        <w:t xml:space="preserve">O’Reilly </w:t>
      </w:r>
      <w:r w:rsidR="00FC026A" w:rsidRPr="004624D3">
        <w:rPr>
          <w:i/>
          <w:iCs/>
        </w:rPr>
        <w:t>et al</w:t>
      </w:r>
      <w:r w:rsidR="00FC026A" w:rsidRPr="004624D3">
        <w:t>.</w:t>
      </w:r>
      <w:r w:rsidR="00D41BA7" w:rsidRPr="004624D3">
        <w:t>,</w:t>
      </w:r>
      <w:r w:rsidR="00FC026A" w:rsidRPr="004624D3">
        <w:t xml:space="preserve"> 2008; </w:t>
      </w:r>
      <w:r w:rsidR="00A24225" w:rsidRPr="004624D3">
        <w:t xml:space="preserve">Capistrant </w:t>
      </w:r>
      <w:r w:rsidR="00A24225" w:rsidRPr="004624D3">
        <w:rPr>
          <w:i/>
          <w:iCs/>
        </w:rPr>
        <w:t>et al</w:t>
      </w:r>
      <w:r w:rsidR="00A24225" w:rsidRPr="004624D3">
        <w:t>.</w:t>
      </w:r>
      <w:r w:rsidR="00D41BA7" w:rsidRPr="004624D3">
        <w:t>,</w:t>
      </w:r>
      <w:r w:rsidR="00A24225" w:rsidRPr="004624D3">
        <w:t xml:space="preserve"> 2012).</w:t>
      </w:r>
      <w:r w:rsidR="0077269D" w:rsidRPr="004624D3">
        <w:t xml:space="preserve"> For example, Doran </w:t>
      </w:r>
      <w:r w:rsidR="0077269D" w:rsidRPr="004624D3">
        <w:rPr>
          <w:i/>
          <w:iCs/>
        </w:rPr>
        <w:t>et al</w:t>
      </w:r>
      <w:r w:rsidR="0077269D" w:rsidRPr="004624D3">
        <w:t>. (2003) analysed data from the 2001 UK Census</w:t>
      </w:r>
      <w:r w:rsidR="002C6D7E" w:rsidRPr="004624D3">
        <w:t xml:space="preserve"> and found</w:t>
      </w:r>
      <w:r w:rsidR="0077269D" w:rsidRPr="004624D3">
        <w:t xml:space="preserve"> that individuals who did not provide any care were somewhat more likely to report good health compared to individuals who were providing care. However, research by O’Reilly </w:t>
      </w:r>
      <w:r w:rsidR="0077269D" w:rsidRPr="004624D3">
        <w:rPr>
          <w:i/>
          <w:iCs/>
        </w:rPr>
        <w:t>et al</w:t>
      </w:r>
      <w:r w:rsidR="0077269D" w:rsidRPr="004624D3">
        <w:t xml:space="preserve">. (2008) using the 2001 Northern Ireland Census introduced the intensity of care provided in the </w:t>
      </w:r>
      <w:r w:rsidR="00DC5A25" w:rsidRPr="004624D3">
        <w:t>equation and</w:t>
      </w:r>
      <w:r w:rsidR="0077269D" w:rsidRPr="004624D3">
        <w:t xml:space="preserve"> showed that although overall carers were indeed less likely than non-carers to report a limiting long-term illness (LLTI), it was those who provided more than 50 hours of care per week who showed the worst health outcomes. Also using the 2001 UK Census and focusing on couples aged 65 and over where at least one of the spouses reported a LLTI, Young, Grundy and Kalogirou (2005) </w:t>
      </w:r>
      <w:r w:rsidR="002C6D7E" w:rsidRPr="004624D3">
        <w:t>found</w:t>
      </w:r>
      <w:r w:rsidR="0077269D" w:rsidRPr="004624D3">
        <w:t xml:space="preserve"> that individuals who provided more intense care (i.e. more than 20 hours per week) were more likely to report poor health than those who provided less intense care.</w:t>
      </w:r>
      <w:r w:rsidR="00903C5F" w:rsidRPr="004624D3">
        <w:t xml:space="preserve"> Along similar lines, Harris and colleagues (2020) used data from the Health and Employment After Fifty study, a cross-sectional sample of individuals aged 50-64 recruited from general practices, to show that men and women caring for more than 20 hours per week were more likely to report health </w:t>
      </w:r>
      <w:r w:rsidR="00903C5F" w:rsidRPr="004624D3">
        <w:lastRenderedPageBreak/>
        <w:t>problems such as musculoskeletal pain, poor or fair self-rated health, depression and sleep problems.</w:t>
      </w:r>
    </w:p>
    <w:p w14:paraId="6A72C49F" w14:textId="77777777" w:rsidR="0077269D" w:rsidRPr="004624D3" w:rsidRDefault="0077269D" w:rsidP="00A55DB6">
      <w:pPr>
        <w:spacing w:after="0" w:line="480" w:lineRule="auto"/>
      </w:pPr>
    </w:p>
    <w:p w14:paraId="69CB6FAD" w14:textId="6240FF04" w:rsidR="00FE7A3D" w:rsidRPr="004624D3" w:rsidRDefault="00FC026A" w:rsidP="00A55DB6">
      <w:pPr>
        <w:spacing w:after="0" w:line="480" w:lineRule="auto"/>
      </w:pPr>
      <w:r w:rsidRPr="004624D3">
        <w:t xml:space="preserve">By contrast, longitudinal analysis </w:t>
      </w:r>
      <w:r w:rsidR="00D24FE9" w:rsidRPr="004624D3">
        <w:t xml:space="preserve">from the UK and elsewhere </w:t>
      </w:r>
      <w:r w:rsidRPr="004624D3">
        <w:t>has examine</w:t>
      </w:r>
      <w:r w:rsidR="00D9101C" w:rsidRPr="004624D3">
        <w:t>d</w:t>
      </w:r>
      <w:r w:rsidRPr="004624D3">
        <w:t xml:space="preserve"> the impact of care trajectories on the carers’ wellbeing over </w:t>
      </w:r>
      <w:r w:rsidR="00DC5A25" w:rsidRPr="004624D3">
        <w:t>time and</w:t>
      </w:r>
      <w:r w:rsidRPr="004624D3">
        <w:t xml:space="preserve"> has either shown care provision to have no negative effect on the carer’s health (</w:t>
      </w:r>
      <w:r w:rsidR="0077269D" w:rsidRPr="004624D3">
        <w:t>see for example,</w:t>
      </w:r>
      <w:r w:rsidRPr="004624D3">
        <w:t xml:space="preserve"> Rahrig Jenkins </w:t>
      </w:r>
      <w:r w:rsidRPr="004624D3">
        <w:rPr>
          <w:i/>
          <w:iCs/>
        </w:rPr>
        <w:t>et al</w:t>
      </w:r>
      <w:r w:rsidRPr="004624D3">
        <w:t>.</w:t>
      </w:r>
      <w:r w:rsidR="00D41BA7" w:rsidRPr="004624D3">
        <w:t>,</w:t>
      </w:r>
      <w:r w:rsidRPr="004624D3">
        <w:t xml:space="preserve"> 2009</w:t>
      </w:r>
      <w:r w:rsidR="00801649" w:rsidRPr="004624D3">
        <w:t>; Tooth and Mishra, 2014</w:t>
      </w:r>
      <w:r w:rsidRPr="004624D3">
        <w:t>), or it has shown a slightly lower mortality risk among carers compared to non-carers</w:t>
      </w:r>
      <w:r w:rsidR="002C6D7E" w:rsidRPr="004624D3">
        <w:t xml:space="preserve"> once a </w:t>
      </w:r>
      <w:r w:rsidRPr="004624D3">
        <w:t>range of demographic and socio-economic characteristics</w:t>
      </w:r>
      <w:r w:rsidR="002C6D7E" w:rsidRPr="004624D3">
        <w:t xml:space="preserve"> are controlled for</w:t>
      </w:r>
      <w:r w:rsidRPr="004624D3">
        <w:t xml:space="preserve">. For example, O’Reilly </w:t>
      </w:r>
      <w:r w:rsidRPr="004624D3">
        <w:rPr>
          <w:i/>
          <w:iCs/>
        </w:rPr>
        <w:t>et al.</w:t>
      </w:r>
      <w:r w:rsidRPr="004624D3">
        <w:t xml:space="preserve"> (2008) used </w:t>
      </w:r>
      <w:r w:rsidR="00D9101C" w:rsidRPr="004624D3">
        <w:t xml:space="preserve">linked </w:t>
      </w:r>
      <w:r w:rsidRPr="004624D3">
        <w:t xml:space="preserve">data from the 2001 Northern Ireland Census </w:t>
      </w:r>
      <w:r w:rsidR="00512C5A" w:rsidRPr="004624D3">
        <w:t>to examine</w:t>
      </w:r>
      <w:r w:rsidR="002941D6" w:rsidRPr="004624D3">
        <w:t xml:space="preserve"> </w:t>
      </w:r>
      <w:r w:rsidRPr="004624D3">
        <w:t xml:space="preserve">the health of informal carers and their mortality risk four years </w:t>
      </w:r>
      <w:r w:rsidR="00DC5A25" w:rsidRPr="004624D3">
        <w:t>later and</w:t>
      </w:r>
      <w:r w:rsidR="00CE7931" w:rsidRPr="004624D3">
        <w:t xml:space="preserve"> </w:t>
      </w:r>
      <w:r w:rsidRPr="004624D3">
        <w:t xml:space="preserve">found that caregivers had </w:t>
      </w:r>
      <w:r w:rsidR="004C608A" w:rsidRPr="004624D3">
        <w:t xml:space="preserve">a </w:t>
      </w:r>
      <w:r w:rsidRPr="004624D3">
        <w:t xml:space="preserve">lower </w:t>
      </w:r>
      <w:r w:rsidR="00D9101C" w:rsidRPr="004624D3">
        <w:t xml:space="preserve">mortality </w:t>
      </w:r>
      <w:r w:rsidRPr="004624D3">
        <w:t>risk than non-caregivers</w:t>
      </w:r>
      <w:r w:rsidR="002C6D7E" w:rsidRPr="004624D3">
        <w:t>,</w:t>
      </w:r>
      <w:r w:rsidRPr="004624D3">
        <w:t xml:space="preserve"> but such risk increased among caregivers as the number of hours of care provided increased. </w:t>
      </w:r>
      <w:r w:rsidR="00D24FE9" w:rsidRPr="004624D3">
        <w:t xml:space="preserve">Fredman </w:t>
      </w:r>
      <w:r w:rsidR="00D24FE9" w:rsidRPr="004624D3">
        <w:rPr>
          <w:i/>
          <w:iCs/>
        </w:rPr>
        <w:t>et al.</w:t>
      </w:r>
      <w:r w:rsidR="00D24FE9" w:rsidRPr="004624D3">
        <w:t xml:space="preserve"> (2010) </w:t>
      </w:r>
      <w:r w:rsidR="002C6ACB" w:rsidRPr="004624D3">
        <w:t>analysed data between 1999-2007 on caregivers and non-caregivers in the US</w:t>
      </w:r>
      <w:r w:rsidR="002C6D7E" w:rsidRPr="004624D3">
        <w:t xml:space="preserve">; they </w:t>
      </w:r>
      <w:r w:rsidR="00D24FE9" w:rsidRPr="004624D3">
        <w:t>also found that overall care</w:t>
      </w:r>
      <w:r w:rsidR="002C6ACB" w:rsidRPr="004624D3">
        <w:t>givers</w:t>
      </w:r>
      <w:r w:rsidR="00D24FE9" w:rsidRPr="004624D3">
        <w:t xml:space="preserve"> </w:t>
      </w:r>
      <w:r w:rsidR="002C6ACB" w:rsidRPr="004624D3">
        <w:t xml:space="preserve">face a lower mortality risk than non-caregivers, </w:t>
      </w:r>
      <w:r w:rsidR="00D24FE9" w:rsidRPr="004624D3">
        <w:t>although care</w:t>
      </w:r>
      <w:r w:rsidR="002C6ACB" w:rsidRPr="004624D3">
        <w:t>givers</w:t>
      </w:r>
      <w:r w:rsidR="00D24FE9" w:rsidRPr="004624D3">
        <w:t xml:space="preserve"> are more likely to report specific types of conditions such as stress. By contrast, </w:t>
      </w:r>
      <w:r w:rsidR="001C1ADB" w:rsidRPr="004624D3">
        <w:t xml:space="preserve">Lawton </w:t>
      </w:r>
      <w:r w:rsidR="001C1ADB" w:rsidRPr="004624D3">
        <w:rPr>
          <w:i/>
          <w:iCs/>
        </w:rPr>
        <w:t>et al</w:t>
      </w:r>
      <w:r w:rsidR="001C1ADB" w:rsidRPr="004624D3">
        <w:t xml:space="preserve">. (2000) analysed data </w:t>
      </w:r>
      <w:r w:rsidR="00D9101C" w:rsidRPr="004624D3">
        <w:t xml:space="preserve">over a </w:t>
      </w:r>
      <w:r w:rsidR="00DC5A25" w:rsidRPr="004624D3">
        <w:t>four-year</w:t>
      </w:r>
      <w:r w:rsidR="00D9101C" w:rsidRPr="004624D3">
        <w:t xml:space="preserve"> period for m</w:t>
      </w:r>
      <w:r w:rsidR="001C1ADB" w:rsidRPr="004624D3">
        <w:t xml:space="preserve">ore than 600 women aged 65 and over, and found that women who had provided care for at least 12 months were more likely to report poor physical and mental health compared to those who had not provided any care or care of a shorter duration over the </w:t>
      </w:r>
      <w:r w:rsidR="00D9101C" w:rsidRPr="004624D3">
        <w:t xml:space="preserve">four </w:t>
      </w:r>
      <w:r w:rsidR="001C1ADB" w:rsidRPr="004624D3">
        <w:t xml:space="preserve">years. </w:t>
      </w:r>
      <w:r w:rsidR="00D24FE9" w:rsidRPr="004624D3">
        <w:t>Oth</w:t>
      </w:r>
      <w:r w:rsidR="00641978" w:rsidRPr="004624D3">
        <w:t xml:space="preserve">er recent research has also found adverse effects </w:t>
      </w:r>
      <w:r w:rsidR="00D96D65" w:rsidRPr="004624D3">
        <w:t>on</w:t>
      </w:r>
      <w:r w:rsidR="00641978" w:rsidRPr="004624D3">
        <w:t xml:space="preserve"> informal carers</w:t>
      </w:r>
      <w:r w:rsidR="00737819" w:rsidRPr="004624D3">
        <w:t>;</w:t>
      </w:r>
      <w:r w:rsidR="00641978" w:rsidRPr="004624D3">
        <w:t xml:space="preserve"> for example, u</w:t>
      </w:r>
      <w:r w:rsidR="00B37B0F" w:rsidRPr="004624D3">
        <w:t>sing data from three waves of the Korean Longitudinal Study of Aging, Kyung Do and colleagues (2014) showed that providing informa</w:t>
      </w:r>
      <w:r w:rsidR="00737819" w:rsidRPr="004624D3">
        <w:t>l</w:t>
      </w:r>
      <w:r w:rsidR="00B37B0F" w:rsidRPr="004624D3">
        <w:t xml:space="preserve"> care to one’s parents-in-law has significant adverse health effects </w:t>
      </w:r>
      <w:r w:rsidR="00D96D65" w:rsidRPr="004624D3">
        <w:t>on</w:t>
      </w:r>
      <w:r w:rsidR="00B37B0F" w:rsidRPr="004624D3">
        <w:t xml:space="preserve"> daughters-in-law along multiple health dimensions, such as the report of pain during daily activities, worsening self-reported general health and regular prescription drug use. </w:t>
      </w:r>
      <w:r w:rsidR="00D0544C" w:rsidRPr="004624D3">
        <w:t xml:space="preserve">Finally, Barbosa </w:t>
      </w:r>
      <w:r w:rsidR="00D0544C" w:rsidRPr="004624D3">
        <w:rPr>
          <w:i/>
          <w:iCs/>
        </w:rPr>
        <w:t>et al</w:t>
      </w:r>
      <w:r w:rsidR="00D0544C" w:rsidRPr="004624D3">
        <w:t xml:space="preserve">. (2020) used data from the SHARE to show that co-residential carers aged 50+ in Portugal at wave 4 were 60 per cent more likely than non-carers to report depressive symptoms at wave 6. </w:t>
      </w:r>
    </w:p>
    <w:p w14:paraId="4DE39460" w14:textId="54CE3779" w:rsidR="00FE7A3D" w:rsidRPr="004624D3" w:rsidRDefault="00FE7A3D" w:rsidP="00A55DB6">
      <w:pPr>
        <w:spacing w:after="0" w:line="480" w:lineRule="auto"/>
      </w:pPr>
    </w:p>
    <w:p w14:paraId="069F6775" w14:textId="1B67F1B8" w:rsidR="004E604F" w:rsidRPr="004624D3" w:rsidRDefault="000F4060" w:rsidP="00372B1C">
      <w:pPr>
        <w:spacing w:after="0" w:line="480" w:lineRule="auto"/>
      </w:pPr>
      <w:r w:rsidRPr="004624D3">
        <w:lastRenderedPageBreak/>
        <w:t>Research examining t</w:t>
      </w:r>
      <w:r w:rsidR="006C7C8D" w:rsidRPr="004624D3">
        <w:t xml:space="preserve">he </w:t>
      </w:r>
      <w:r w:rsidR="004813C7" w:rsidRPr="004624D3">
        <w:t xml:space="preserve">health </w:t>
      </w:r>
      <w:r w:rsidR="006C7C8D" w:rsidRPr="004624D3">
        <w:t xml:space="preserve">impact of movements into and out of the caring role has </w:t>
      </w:r>
      <w:r w:rsidR="00B54E0E" w:rsidRPr="004624D3">
        <w:t>also offered valuable empirical insights, highlighting the role of the relationship between the care provider and the care recipient in this respect</w:t>
      </w:r>
      <w:r w:rsidR="006C7C8D" w:rsidRPr="004624D3">
        <w:t xml:space="preserve">. Ross and colleagues </w:t>
      </w:r>
      <w:r w:rsidR="000A02F6" w:rsidRPr="004624D3">
        <w:t xml:space="preserve">(2008) </w:t>
      </w:r>
      <w:r w:rsidRPr="004624D3">
        <w:t>investigat</w:t>
      </w:r>
      <w:r w:rsidR="006C7C8D" w:rsidRPr="004624D3">
        <w:t xml:space="preserve">ed the impact of moving into or out of caring between 2004 and 2006 and </w:t>
      </w:r>
      <w:r w:rsidR="000A02F6" w:rsidRPr="004624D3">
        <w:t>found that there were</w:t>
      </w:r>
      <w:r w:rsidR="006C7C8D" w:rsidRPr="004624D3">
        <w:t xml:space="preserve"> no differences in </w:t>
      </w:r>
      <w:r w:rsidR="000A02F6" w:rsidRPr="004624D3">
        <w:t xml:space="preserve">the </w:t>
      </w:r>
      <w:r w:rsidR="006C7C8D" w:rsidRPr="004624D3">
        <w:t>health</w:t>
      </w:r>
      <w:r w:rsidR="000A02F6" w:rsidRPr="004624D3">
        <w:t xml:space="preserve"> of carers</w:t>
      </w:r>
      <w:r w:rsidR="006C7C8D" w:rsidRPr="004624D3">
        <w:t xml:space="preserve"> between the two time points. However, those who moved out of caring between 2004 and 2006 were slightly more likely to report poor health in 2006.</w:t>
      </w:r>
      <w:r w:rsidR="000A02F6" w:rsidRPr="004624D3">
        <w:t xml:space="preserve"> </w:t>
      </w:r>
      <w:r w:rsidR="004E604F" w:rsidRPr="004624D3">
        <w:t xml:space="preserve">Kaufman and colleagues (2019) analysed data from four waves of the HRS and also found elevated symptoms of depression among exit caregivers, as well as among new and continuing care-givers, compared to non-carers. </w:t>
      </w:r>
      <w:r w:rsidR="000A02F6" w:rsidRPr="004624D3">
        <w:t>Exploring the impact of juggling multiple roles simultaneously (e.g. carer, parent, paid worker), Glaser and colleagues (2005) analysed data from the 1988–1989 and 1994 longitudinal Retirement Survey and found that occupying multiple roles between 1988–1989 resulted in poorer health outcomes in 1994</w:t>
      </w:r>
      <w:r w:rsidR="0090665B" w:rsidRPr="004624D3">
        <w:t>.</w:t>
      </w:r>
      <w:r w:rsidR="00B54E0E" w:rsidRPr="004624D3">
        <w:t xml:space="preserve"> The analysis of ELSA data in 2004/5 and 2006/7 showed that compared to non-caregiving, entry into spousal or child caregiving was associated with a decline in the carer’s quality of life</w:t>
      </w:r>
      <w:r w:rsidR="001C1280" w:rsidRPr="004624D3">
        <w:t xml:space="preserve"> (although entry into caregiving for other kin relations increased life satisfaction and lowered depressive symptoms), while exiting caregiving was related to increased depression in both spousal/ child carers and carers of other kin relations (Rafnsson </w:t>
      </w:r>
      <w:r w:rsidR="001C1280" w:rsidRPr="004624D3">
        <w:rPr>
          <w:i/>
          <w:iCs/>
        </w:rPr>
        <w:t>et al</w:t>
      </w:r>
      <w:r w:rsidR="001C1280" w:rsidRPr="004624D3">
        <w:t>. 2017).</w:t>
      </w:r>
      <w:r w:rsidR="004207B5" w:rsidRPr="004624D3">
        <w:t xml:space="preserve"> </w:t>
      </w:r>
      <w:r w:rsidR="00B54E0E" w:rsidRPr="004624D3">
        <w:t>Along the same lines, more recent cross-national analysis</w:t>
      </w:r>
      <w:r w:rsidR="004207B5" w:rsidRPr="004624D3">
        <w:t xml:space="preserve"> by</w:t>
      </w:r>
      <w:r w:rsidR="00107407" w:rsidRPr="004624D3">
        <w:t xml:space="preserve"> </w:t>
      </w:r>
      <w:r w:rsidR="00B54E0E" w:rsidRPr="004624D3">
        <w:t xml:space="preserve">Uccheddu </w:t>
      </w:r>
      <w:r w:rsidR="00B54E0E" w:rsidRPr="004624D3">
        <w:rPr>
          <w:i/>
          <w:iCs/>
        </w:rPr>
        <w:t>et al</w:t>
      </w:r>
      <w:r w:rsidR="00B54E0E" w:rsidRPr="004624D3">
        <w:t>. (2019) focusing on spousal care provision over five waves of the SHARE, showed</w:t>
      </w:r>
      <w:r w:rsidR="004207B5" w:rsidRPr="004624D3">
        <w:t xml:space="preserve"> </w:t>
      </w:r>
      <w:r w:rsidR="00B54E0E" w:rsidRPr="004624D3">
        <w:t xml:space="preserve">that although transitions into caregiving have a detrimental effect on the carer’s health, nevertheless transitions out of caregiving, in most cases, do not have beneficial effects on the carer’s health. </w:t>
      </w:r>
    </w:p>
    <w:p w14:paraId="323D83FD" w14:textId="77777777" w:rsidR="0090665B" w:rsidRPr="004624D3" w:rsidRDefault="0090665B" w:rsidP="00A55DB6">
      <w:pPr>
        <w:spacing w:after="0" w:line="480" w:lineRule="auto"/>
      </w:pPr>
    </w:p>
    <w:p w14:paraId="51ABD18C" w14:textId="15F31A61" w:rsidR="00123A66" w:rsidRPr="004624D3" w:rsidRDefault="004E604F" w:rsidP="00A55DB6">
      <w:pPr>
        <w:spacing w:after="0" w:line="480" w:lineRule="auto"/>
      </w:pPr>
      <w:r w:rsidRPr="004624D3">
        <w:t xml:space="preserve">Taking </w:t>
      </w:r>
      <w:r w:rsidR="00045E9F" w:rsidRPr="004624D3">
        <w:t xml:space="preserve">into account </w:t>
      </w:r>
      <w:r w:rsidRPr="004624D3">
        <w:t xml:space="preserve">the intensity of the care provided has also been shown to be an important dimension when exploring the impact of caregiving over time. </w:t>
      </w:r>
      <w:r w:rsidR="000A02F6" w:rsidRPr="004624D3">
        <w:t xml:space="preserve">Vlachantoni </w:t>
      </w:r>
      <w:r w:rsidR="000A02F6" w:rsidRPr="004624D3">
        <w:rPr>
          <w:i/>
          <w:iCs/>
        </w:rPr>
        <w:t>et al</w:t>
      </w:r>
      <w:r w:rsidR="000A02F6" w:rsidRPr="004624D3">
        <w:t xml:space="preserve">. (2016) analysed data from the Office for National Statistics Longitudinal Study, linking the 2001 and 2011 UK Census respondents for England and Wales, and found that individuals who provided care in 2011 (regardless of their caring status ten years earlier) were less likely to report poor health in 2011 than </w:t>
      </w:r>
      <w:r w:rsidR="000A02F6" w:rsidRPr="004624D3">
        <w:lastRenderedPageBreak/>
        <w:t>those who had not provided care in 2001 and 2011; while those providing more than 20 hours of care per week in 2001 who were not caring in 2011, faced a higher risk of poor health than non-carers at the two time points.</w:t>
      </w:r>
      <w:r w:rsidR="004813C7" w:rsidRPr="004624D3">
        <w:t xml:space="preserve"> </w:t>
      </w:r>
      <w:r w:rsidRPr="004624D3">
        <w:t xml:space="preserve">Finally, using a shorter timeframe with data on women aged between 21-53 years between 2004-9 from the China Health and Nutrition Survey, </w:t>
      </w:r>
      <w:r w:rsidR="004813C7" w:rsidRPr="004624D3">
        <w:t xml:space="preserve">Lu and colleagues (2019) found that ‘rising-to-high-intense’ and ‘stable-low-intense’ caregivers </w:t>
      </w:r>
      <w:r w:rsidRPr="004624D3">
        <w:t xml:space="preserve">of parents/ parents-in-law </w:t>
      </w:r>
      <w:r w:rsidR="00533B0C" w:rsidRPr="004624D3">
        <w:t xml:space="preserve">faced a higher risk of metabolic syndrome compared to non-caregivers. </w:t>
      </w:r>
    </w:p>
    <w:p w14:paraId="2A47B9F4" w14:textId="1CB5A0C2" w:rsidR="00107407" w:rsidRPr="004624D3" w:rsidRDefault="00107407" w:rsidP="00A55DB6">
      <w:pPr>
        <w:spacing w:after="0" w:line="480" w:lineRule="auto"/>
      </w:pPr>
    </w:p>
    <w:p w14:paraId="7EE4E127" w14:textId="39878504" w:rsidR="00107407" w:rsidRPr="004624D3" w:rsidRDefault="00107407" w:rsidP="00A55DB6">
      <w:pPr>
        <w:spacing w:after="0" w:line="480" w:lineRule="auto"/>
      </w:pPr>
      <w:r w:rsidRPr="004624D3">
        <w:t xml:space="preserve">The theoretical framework for the analysis in this paper draws on the caregiving and stress model (Pearlin </w:t>
      </w:r>
      <w:r w:rsidRPr="004624D3">
        <w:rPr>
          <w:i/>
          <w:iCs/>
        </w:rPr>
        <w:t>et al</w:t>
      </w:r>
      <w:r w:rsidRPr="004624D3">
        <w:t xml:space="preserve">. 1990) and the earlier transactional model of stress and care (Lazarus and Folkman, 1984). These models point to the potentially adverse effect of caregiving-related factors such as the nature, duration and intensity of care provided, on the carer’s health over time, and have been utilised in previous research examining the impact of caregiving on the carer’s health and mortality outcomes (see for example, Fredman </w:t>
      </w:r>
      <w:r w:rsidRPr="004624D3">
        <w:rPr>
          <w:i/>
          <w:iCs/>
        </w:rPr>
        <w:t>et al</w:t>
      </w:r>
      <w:r w:rsidRPr="004624D3">
        <w:t xml:space="preserve">. 2010). Two possible outcomes to this process have been identified in the literature. The ‘wear-and-tear’ hypothesis indicates that there is an accumulation of demands and stress, measured with a variety of indicators, which results in the continuous deterioration of the carer’s wellbeing and coping resources. By contrast, the ‘adaptation’ hypothesis points to the gradual adjustment on the carer’s part to the demands of the caregiving process, with a less adverse impact on their own health and wellbeing. Our paper considers key caregiving-related factors such as the intensity of care provided over three points in </w:t>
      </w:r>
      <w:r w:rsidR="00DC5A25" w:rsidRPr="004624D3">
        <w:t>time and</w:t>
      </w:r>
      <w:r w:rsidRPr="004624D3">
        <w:t xml:space="preserve"> takes into account two distinct indicators of wellbeing on the part of the carer (self-reported health, depression). The ‘wear-and-tear’ hypothesis would predict worse self-reported health and a higher risk of depression for all carers, compared to the baseline; while the ‘adaptation’ hypothesis would predict a decline in the carer’s wellbeing earlier in the caregiving process (i</w:t>
      </w:r>
      <w:r w:rsidR="00C51EB2" w:rsidRPr="004624D3">
        <w:t>.</w:t>
      </w:r>
      <w:r w:rsidRPr="004624D3">
        <w:t>e. when starting caregiving) compared to carers who have provided care at more than one point in time.</w:t>
      </w:r>
    </w:p>
    <w:p w14:paraId="093E78D8" w14:textId="77777777" w:rsidR="00D0544C" w:rsidRPr="004624D3" w:rsidRDefault="00D0544C" w:rsidP="00A55DB6">
      <w:pPr>
        <w:spacing w:after="0" w:line="480" w:lineRule="auto"/>
      </w:pPr>
    </w:p>
    <w:p w14:paraId="0BD4F10A" w14:textId="15D88A69" w:rsidR="00861B6C" w:rsidRPr="004624D3" w:rsidRDefault="00FE7A3D" w:rsidP="00A55DB6">
      <w:pPr>
        <w:spacing w:after="0" w:line="480" w:lineRule="auto"/>
      </w:pPr>
      <w:r w:rsidRPr="004624D3">
        <w:lastRenderedPageBreak/>
        <w:t xml:space="preserve">Considering the key </w:t>
      </w:r>
      <w:r w:rsidR="007007A6" w:rsidRPr="004624D3">
        <w:t xml:space="preserve">empirical </w:t>
      </w:r>
      <w:r w:rsidRPr="004624D3">
        <w:t>findings of existing research</w:t>
      </w:r>
      <w:r w:rsidR="005F3785" w:rsidRPr="004624D3">
        <w:t xml:space="preserve"> and our theoretically-based expectations</w:t>
      </w:r>
      <w:r w:rsidRPr="004624D3">
        <w:t xml:space="preserve">, it is possible that mid-life carers </w:t>
      </w:r>
      <w:r w:rsidR="00B37B0F" w:rsidRPr="004624D3">
        <w:t xml:space="preserve">are overall more likely to report poor health compared to non-carers. Among those who provide care, </w:t>
      </w:r>
      <w:r w:rsidR="004E604F" w:rsidRPr="004624D3">
        <w:t xml:space="preserve">the intensity of the care provided is likely to be pivotal, with </w:t>
      </w:r>
      <w:r w:rsidR="00B37B0F" w:rsidRPr="004624D3">
        <w:t xml:space="preserve">those </w:t>
      </w:r>
      <w:r w:rsidRPr="004624D3">
        <w:t xml:space="preserve">who provide less intense care during a week </w:t>
      </w:r>
      <w:r w:rsidR="004E604F" w:rsidRPr="004624D3">
        <w:t xml:space="preserve">expected to be </w:t>
      </w:r>
      <w:r w:rsidRPr="004624D3">
        <w:t xml:space="preserve">less likely to report poor health outcomes, taking into account their health status at baseline. </w:t>
      </w:r>
      <w:r w:rsidR="00B235C5" w:rsidRPr="004624D3">
        <w:t xml:space="preserve">However, </w:t>
      </w:r>
      <w:r w:rsidR="00B37B0F" w:rsidRPr="004624D3">
        <w:t xml:space="preserve">some of the empirical evidence behind </w:t>
      </w:r>
      <w:r w:rsidRPr="004624D3">
        <w:t xml:space="preserve">such an expectation is based on research </w:t>
      </w:r>
      <w:r w:rsidR="00851B3D" w:rsidRPr="004624D3">
        <w:t>using</w:t>
      </w:r>
      <w:r w:rsidR="00B235C5" w:rsidRPr="004624D3">
        <w:t xml:space="preserve"> </w:t>
      </w:r>
      <w:r w:rsidR="002C6D7E" w:rsidRPr="004624D3">
        <w:t xml:space="preserve">linked census </w:t>
      </w:r>
      <w:r w:rsidR="00B235C5" w:rsidRPr="004624D3">
        <w:t xml:space="preserve">data </w:t>
      </w:r>
      <w:r w:rsidR="002C6D7E" w:rsidRPr="004624D3">
        <w:t xml:space="preserve">where observations are </w:t>
      </w:r>
      <w:r w:rsidR="00B235C5" w:rsidRPr="004624D3">
        <w:t>a decade apart, with no knowledge of care provision patterns between the time points under study</w:t>
      </w:r>
      <w:r w:rsidR="002C6D7E" w:rsidRPr="004624D3">
        <w:t xml:space="preserve">; </w:t>
      </w:r>
      <w:r w:rsidRPr="004624D3">
        <w:t>having more detailed information in the intervening period</w:t>
      </w:r>
      <w:r w:rsidR="002C6D7E" w:rsidRPr="004624D3">
        <w:t>s</w:t>
      </w:r>
      <w:r w:rsidRPr="004624D3">
        <w:t xml:space="preserve"> could yield different results. </w:t>
      </w:r>
      <w:r w:rsidR="00B37B0F" w:rsidRPr="004624D3">
        <w:t xml:space="preserve">The analysis in this paper allows us to consider a number of control variables utilised in previous research, such as the carer’s marital status </w:t>
      </w:r>
      <w:r w:rsidR="00C9180B" w:rsidRPr="004624D3">
        <w:t>(</w:t>
      </w:r>
      <w:r w:rsidR="004E604F" w:rsidRPr="004624D3">
        <w:t xml:space="preserve">Lu </w:t>
      </w:r>
      <w:r w:rsidR="004E604F" w:rsidRPr="004624D3">
        <w:rPr>
          <w:i/>
          <w:iCs/>
        </w:rPr>
        <w:t>et al</w:t>
      </w:r>
      <w:r w:rsidR="004E604F" w:rsidRPr="004624D3">
        <w:t>.</w:t>
      </w:r>
      <w:r w:rsidR="00D41BA7" w:rsidRPr="004624D3">
        <w:t>,</w:t>
      </w:r>
      <w:r w:rsidR="004E604F" w:rsidRPr="004624D3">
        <w:t xml:space="preserve"> 2019; </w:t>
      </w:r>
      <w:r w:rsidR="00C9180B" w:rsidRPr="004624D3">
        <w:t xml:space="preserve">Vlachantoni </w:t>
      </w:r>
      <w:r w:rsidR="00C9180B" w:rsidRPr="004624D3">
        <w:rPr>
          <w:i/>
          <w:iCs/>
        </w:rPr>
        <w:t>et al</w:t>
      </w:r>
      <w:r w:rsidR="00C9180B" w:rsidRPr="004624D3">
        <w:t>.</w:t>
      </w:r>
      <w:r w:rsidR="00D41BA7" w:rsidRPr="004624D3">
        <w:t>,</w:t>
      </w:r>
      <w:r w:rsidR="00C9180B" w:rsidRPr="004624D3">
        <w:t xml:space="preserve"> 2016) </w:t>
      </w:r>
      <w:r w:rsidR="00B37B0F" w:rsidRPr="004624D3">
        <w:t>and their educational qualifications</w:t>
      </w:r>
      <w:r w:rsidR="00C9180B" w:rsidRPr="004624D3">
        <w:t xml:space="preserve"> (Kyung Do </w:t>
      </w:r>
      <w:r w:rsidR="00C9180B" w:rsidRPr="004624D3">
        <w:rPr>
          <w:i/>
          <w:iCs/>
        </w:rPr>
        <w:t>et al.</w:t>
      </w:r>
      <w:r w:rsidR="00D41BA7" w:rsidRPr="004624D3">
        <w:t>,</w:t>
      </w:r>
      <w:r w:rsidR="00C9180B" w:rsidRPr="004624D3">
        <w:t xml:space="preserve"> 2014)</w:t>
      </w:r>
      <w:r w:rsidR="00B37B0F" w:rsidRPr="004624D3">
        <w:t xml:space="preserve">, </w:t>
      </w:r>
      <w:r w:rsidR="002C6D7E" w:rsidRPr="004624D3">
        <w:t>following a cohort of individuals born in 1958 through mid-life</w:t>
      </w:r>
      <w:r w:rsidR="00B37B0F" w:rsidRPr="004624D3">
        <w:t>.</w:t>
      </w:r>
    </w:p>
    <w:p w14:paraId="51874B14" w14:textId="77777777" w:rsidR="00861B6C" w:rsidRPr="004624D3" w:rsidRDefault="00861B6C" w:rsidP="00A55DB6">
      <w:pPr>
        <w:spacing w:after="0" w:line="480" w:lineRule="auto"/>
      </w:pPr>
    </w:p>
    <w:p w14:paraId="33A7E67E" w14:textId="5EB1BE4F" w:rsidR="00FE613E" w:rsidRPr="004624D3" w:rsidRDefault="00FE613E" w:rsidP="00A55DB6">
      <w:pPr>
        <w:pStyle w:val="ListParagraph"/>
        <w:numPr>
          <w:ilvl w:val="0"/>
          <w:numId w:val="10"/>
        </w:numPr>
        <w:spacing w:after="0" w:line="480" w:lineRule="auto"/>
        <w:rPr>
          <w:b/>
          <w:bCs/>
        </w:rPr>
      </w:pPr>
      <w:r w:rsidRPr="004624D3">
        <w:rPr>
          <w:b/>
          <w:bCs/>
        </w:rPr>
        <w:t>Research questions</w:t>
      </w:r>
    </w:p>
    <w:p w14:paraId="46BEB859" w14:textId="77777777" w:rsidR="00FE613E" w:rsidRPr="004624D3" w:rsidRDefault="00FE613E" w:rsidP="00A55DB6">
      <w:pPr>
        <w:spacing w:after="0" w:line="480" w:lineRule="auto"/>
      </w:pPr>
    </w:p>
    <w:p w14:paraId="72D464D4" w14:textId="319EBECA" w:rsidR="000E431B" w:rsidRPr="004624D3" w:rsidRDefault="002C6D7E" w:rsidP="00A55DB6">
      <w:pPr>
        <w:spacing w:after="0" w:line="480" w:lineRule="auto"/>
      </w:pPr>
      <w:r w:rsidRPr="004624D3">
        <w:t>T</w:t>
      </w:r>
      <w:r w:rsidR="00B235C5" w:rsidRPr="004624D3">
        <w:t xml:space="preserve">his paper </w:t>
      </w:r>
      <w:r w:rsidR="00A93998" w:rsidRPr="004624D3">
        <w:t>employs</w:t>
      </w:r>
      <w:r w:rsidR="00B235C5" w:rsidRPr="004624D3">
        <w:t xml:space="preserve"> three waves from a </w:t>
      </w:r>
      <w:r w:rsidR="00E5715C" w:rsidRPr="004624D3">
        <w:t>British</w:t>
      </w:r>
      <w:r w:rsidR="00B235C5" w:rsidRPr="004624D3">
        <w:t xml:space="preserve"> cohort study, the National Child Development Study, in order to address the following research questions:</w:t>
      </w:r>
    </w:p>
    <w:p w14:paraId="33ED1342" w14:textId="61B12666" w:rsidR="00B235C5" w:rsidRPr="004624D3" w:rsidRDefault="00B235C5" w:rsidP="00A55DB6">
      <w:pPr>
        <w:pStyle w:val="ListParagraph"/>
        <w:numPr>
          <w:ilvl w:val="0"/>
          <w:numId w:val="12"/>
        </w:numPr>
        <w:spacing w:after="0" w:line="480" w:lineRule="auto"/>
      </w:pPr>
      <w:r w:rsidRPr="004624D3">
        <w:t xml:space="preserve">What </w:t>
      </w:r>
      <w:r w:rsidR="0047299D" w:rsidRPr="004624D3">
        <w:t>is</w:t>
      </w:r>
      <w:r w:rsidRPr="004624D3">
        <w:t xml:space="preserve"> the </w:t>
      </w:r>
      <w:r w:rsidR="0047299D" w:rsidRPr="004624D3">
        <w:t xml:space="preserve">pattern of </w:t>
      </w:r>
      <w:r w:rsidRPr="004624D3">
        <w:t>caring trajectories (i</w:t>
      </w:r>
      <w:r w:rsidR="002D3B54" w:rsidRPr="004624D3">
        <w:t>.</w:t>
      </w:r>
      <w:r w:rsidRPr="004624D3">
        <w:t xml:space="preserve">e. in and out of care provision) </w:t>
      </w:r>
      <w:r w:rsidR="002C6D7E" w:rsidRPr="004624D3">
        <w:t>during mid-life</w:t>
      </w:r>
      <w:r w:rsidRPr="004624D3">
        <w:t>?</w:t>
      </w:r>
    </w:p>
    <w:p w14:paraId="021B2462" w14:textId="5336FB26" w:rsidR="00B235C5" w:rsidRPr="004624D3" w:rsidRDefault="00B235C5" w:rsidP="00A55DB6">
      <w:pPr>
        <w:pStyle w:val="ListParagraph"/>
        <w:numPr>
          <w:ilvl w:val="0"/>
          <w:numId w:val="12"/>
        </w:numPr>
        <w:spacing w:after="0" w:line="480" w:lineRule="auto"/>
      </w:pPr>
      <w:r w:rsidRPr="004624D3">
        <w:t xml:space="preserve">Among male and female carers, how does the intensity </w:t>
      </w:r>
      <w:r w:rsidR="00AF284D" w:rsidRPr="004624D3">
        <w:t xml:space="preserve">of caring </w:t>
      </w:r>
      <w:r w:rsidR="00E373D1" w:rsidRPr="004624D3">
        <w:t>vary</w:t>
      </w:r>
      <w:r w:rsidRPr="004624D3">
        <w:t xml:space="preserve"> between ages 46 and 55?</w:t>
      </w:r>
    </w:p>
    <w:p w14:paraId="32791E36" w14:textId="31F9677D" w:rsidR="00B235C5" w:rsidRPr="004624D3" w:rsidRDefault="00B235C5" w:rsidP="00A55DB6">
      <w:pPr>
        <w:pStyle w:val="ListParagraph"/>
        <w:numPr>
          <w:ilvl w:val="0"/>
          <w:numId w:val="12"/>
        </w:numPr>
        <w:spacing w:after="0" w:line="480" w:lineRule="auto"/>
      </w:pPr>
      <w:r w:rsidRPr="004624D3">
        <w:t>How are different caring trajectories between ages 46</w:t>
      </w:r>
      <w:r w:rsidR="002C695F" w:rsidRPr="004624D3">
        <w:t xml:space="preserve"> </w:t>
      </w:r>
      <w:r w:rsidR="00E373D1" w:rsidRPr="004624D3">
        <w:t xml:space="preserve">and </w:t>
      </w:r>
      <w:r w:rsidRPr="004624D3">
        <w:t>55 associated with the carer’s health outcomes at age 55, and what are the gender differences in this respect?</w:t>
      </w:r>
    </w:p>
    <w:p w14:paraId="37C3FED2" w14:textId="2C3460D8" w:rsidR="00B235C5" w:rsidRPr="004624D3" w:rsidRDefault="00B235C5" w:rsidP="00A55DB6">
      <w:pPr>
        <w:spacing w:after="0" w:line="480" w:lineRule="auto"/>
      </w:pPr>
    </w:p>
    <w:p w14:paraId="70741A41" w14:textId="0CF79CCE" w:rsidR="00B235C5" w:rsidRPr="004624D3" w:rsidRDefault="00B235C5" w:rsidP="00A55DB6">
      <w:pPr>
        <w:spacing w:after="0" w:line="480" w:lineRule="auto"/>
      </w:pPr>
      <w:r w:rsidRPr="004624D3">
        <w:t>The focus of the paper is on mid-life carers (aged between 46-55) who provide care to their parents or parents-in-law. As such, this paper makes an original contribution to the body of work examining adult children’s care provision towards their parents</w:t>
      </w:r>
      <w:r w:rsidR="00482E2A" w:rsidRPr="004624D3">
        <w:t xml:space="preserve"> from a dynamic, lifecourse perspective (Alessie </w:t>
      </w:r>
      <w:r w:rsidR="00482E2A" w:rsidRPr="004624D3">
        <w:rPr>
          <w:i/>
          <w:iCs/>
        </w:rPr>
        <w:lastRenderedPageBreak/>
        <w:t>et al.</w:t>
      </w:r>
      <w:r w:rsidR="00D41BA7" w:rsidRPr="004624D3">
        <w:t>,</w:t>
      </w:r>
      <w:r w:rsidR="00482E2A" w:rsidRPr="004624D3">
        <w:t xml:space="preserve"> 2014; Evandrou </w:t>
      </w:r>
      <w:r w:rsidR="00482E2A" w:rsidRPr="004624D3">
        <w:rPr>
          <w:i/>
          <w:iCs/>
        </w:rPr>
        <w:t>et al</w:t>
      </w:r>
      <w:r w:rsidR="00482E2A" w:rsidRPr="004624D3">
        <w:t>.</w:t>
      </w:r>
      <w:r w:rsidR="00D41BA7" w:rsidRPr="004624D3">
        <w:t>,</w:t>
      </w:r>
      <w:r w:rsidR="00482E2A" w:rsidRPr="004624D3">
        <w:t xml:space="preserve"> 2016). </w:t>
      </w:r>
      <w:r w:rsidR="00500239" w:rsidRPr="004624D3">
        <w:t>T</w:t>
      </w:r>
      <w:r w:rsidR="00482E2A" w:rsidRPr="004624D3">
        <w:t>wo health outcomes</w:t>
      </w:r>
      <w:r w:rsidR="00500239" w:rsidRPr="004624D3">
        <w:t xml:space="preserve"> are focussed upon</w:t>
      </w:r>
      <w:r w:rsidR="00482E2A" w:rsidRPr="004624D3">
        <w:t>, reflect</w:t>
      </w:r>
      <w:r w:rsidR="00500239" w:rsidRPr="004624D3">
        <w:t>ing</w:t>
      </w:r>
      <w:r w:rsidR="00482E2A" w:rsidRPr="004624D3">
        <w:t xml:space="preserve"> different aspects of an individual’s health status: self-reported health and diagnosis of depression. </w:t>
      </w:r>
    </w:p>
    <w:p w14:paraId="7E545922" w14:textId="669F21F7" w:rsidR="00005C9B" w:rsidRPr="004624D3" w:rsidRDefault="00005C9B" w:rsidP="00A55DB6">
      <w:pPr>
        <w:spacing w:after="0" w:line="480" w:lineRule="auto"/>
        <w:rPr>
          <w:rFonts w:cstheme="majorBidi"/>
          <w:b/>
          <w:bCs/>
        </w:rPr>
      </w:pPr>
    </w:p>
    <w:p w14:paraId="7E545923" w14:textId="251A2B07" w:rsidR="008F0556" w:rsidRPr="004624D3" w:rsidRDefault="00B605AB" w:rsidP="00A55DB6">
      <w:pPr>
        <w:pStyle w:val="ListParagraph"/>
        <w:numPr>
          <w:ilvl w:val="0"/>
          <w:numId w:val="10"/>
        </w:numPr>
        <w:spacing w:after="0" w:line="480" w:lineRule="auto"/>
        <w:jc w:val="both"/>
        <w:outlineLvl w:val="0"/>
        <w:rPr>
          <w:rFonts w:cstheme="majorBidi"/>
          <w:b/>
          <w:bCs/>
        </w:rPr>
      </w:pPr>
      <w:r w:rsidRPr="004624D3">
        <w:rPr>
          <w:rFonts w:cstheme="majorBidi"/>
          <w:b/>
          <w:bCs/>
        </w:rPr>
        <w:t>Empirical strategy</w:t>
      </w:r>
    </w:p>
    <w:p w14:paraId="55BCCAD7" w14:textId="48B58507" w:rsidR="00B605AB" w:rsidRPr="004624D3" w:rsidRDefault="00B605AB" w:rsidP="00A55DB6">
      <w:pPr>
        <w:spacing w:after="0" w:line="480" w:lineRule="auto"/>
        <w:ind w:left="360"/>
        <w:jc w:val="both"/>
        <w:outlineLvl w:val="0"/>
        <w:rPr>
          <w:rFonts w:cstheme="majorBidi"/>
          <w:b/>
          <w:bCs/>
        </w:rPr>
      </w:pPr>
    </w:p>
    <w:p w14:paraId="76BD3E7F" w14:textId="29D2F337" w:rsidR="00B605AB" w:rsidRPr="004624D3" w:rsidRDefault="006D36BB" w:rsidP="00A55DB6">
      <w:pPr>
        <w:spacing w:after="0" w:line="480" w:lineRule="auto"/>
        <w:ind w:left="360"/>
        <w:jc w:val="both"/>
        <w:outlineLvl w:val="0"/>
        <w:rPr>
          <w:rFonts w:cstheme="majorBidi"/>
          <w:b/>
          <w:bCs/>
        </w:rPr>
      </w:pPr>
      <w:r w:rsidRPr="004624D3">
        <w:rPr>
          <w:rFonts w:cstheme="majorBidi"/>
          <w:b/>
          <w:bCs/>
        </w:rPr>
        <w:t>4</w:t>
      </w:r>
      <w:r w:rsidR="00B605AB" w:rsidRPr="004624D3">
        <w:rPr>
          <w:rFonts w:cstheme="majorBidi"/>
          <w:b/>
          <w:bCs/>
        </w:rPr>
        <w:t>.1 Data</w:t>
      </w:r>
      <w:r w:rsidR="00DF3AB1" w:rsidRPr="004624D3">
        <w:rPr>
          <w:rFonts w:cstheme="majorBidi"/>
          <w:b/>
          <w:bCs/>
        </w:rPr>
        <w:t xml:space="preserve"> and analytical sample</w:t>
      </w:r>
    </w:p>
    <w:p w14:paraId="5339DCAE" w14:textId="14407C71" w:rsidR="00413D62" w:rsidRPr="004624D3" w:rsidRDefault="00413D62" w:rsidP="00413D62">
      <w:pPr>
        <w:spacing w:after="0" w:line="480" w:lineRule="auto"/>
        <w:jc w:val="both"/>
        <w:rPr>
          <w:rFonts w:cs="Times New Roman"/>
        </w:rPr>
      </w:pPr>
      <w:bookmarkStart w:id="1" w:name="_Hlk90297816"/>
      <w:r w:rsidRPr="004624D3">
        <w:rPr>
          <w:rFonts w:cs="Times New Roman"/>
        </w:rPr>
        <w:t xml:space="preserve">To date there is relatively little empirical research that has involved analysis of caring trajectories. Keating et al. (2019) hypothesised three family care trajectories which they labelled generational, career and serial. Their subsequent empirical analysis using Statistical Canada’s General Social Survey on Caregiving and Care Receiving operationalised four components of care trajectories: age of onset of the first care episode; number of episodes of care in the individual’s lifecourse; total duration of all episodes of care; and the extent to which episodes overlapped one another (Fast et al, 2021). Latent Profile Analysis (LPA) was then used to create a set of caring trajectories using this retrospectively collected data. This study differs in its approach, utilising prospectively collected cohort data. </w:t>
      </w:r>
    </w:p>
    <w:bookmarkEnd w:id="1"/>
    <w:p w14:paraId="76D82FC0" w14:textId="77777777" w:rsidR="00413D62" w:rsidRPr="004624D3" w:rsidRDefault="00413D62" w:rsidP="00413D62">
      <w:pPr>
        <w:spacing w:after="0" w:line="480" w:lineRule="auto"/>
        <w:jc w:val="both"/>
        <w:rPr>
          <w:rFonts w:cs="Times New Roman"/>
        </w:rPr>
      </w:pPr>
    </w:p>
    <w:p w14:paraId="7E545925" w14:textId="7B493E03" w:rsidR="007533E6" w:rsidRPr="004624D3" w:rsidRDefault="008F0556" w:rsidP="00A55DB6">
      <w:pPr>
        <w:spacing w:after="0" w:line="480" w:lineRule="auto"/>
        <w:jc w:val="both"/>
      </w:pPr>
      <w:r w:rsidRPr="004624D3">
        <w:rPr>
          <w:rFonts w:cs="Times New Roman"/>
        </w:rPr>
        <w:t>Th</w:t>
      </w:r>
      <w:r w:rsidR="00FE7A3D" w:rsidRPr="004624D3">
        <w:rPr>
          <w:rFonts w:cs="Times New Roman"/>
        </w:rPr>
        <w:t>e</w:t>
      </w:r>
      <w:r w:rsidR="00263217" w:rsidRPr="004624D3">
        <w:rPr>
          <w:rFonts w:cs="Times New Roman"/>
        </w:rPr>
        <w:t xml:space="preserve"> paper </w:t>
      </w:r>
      <w:r w:rsidR="009B2C27" w:rsidRPr="004624D3">
        <w:rPr>
          <w:rFonts w:cs="Times New Roman"/>
        </w:rPr>
        <w:t>analyses</w:t>
      </w:r>
      <w:r w:rsidRPr="004624D3">
        <w:rPr>
          <w:rFonts w:cs="Times New Roman"/>
        </w:rPr>
        <w:t xml:space="preserve"> data from three waves (waves 7, 8 &amp; 9) of the National Child Development Study (NCDS), a cohort study of </w:t>
      </w:r>
      <w:r w:rsidR="008422DF" w:rsidRPr="004624D3">
        <w:rPr>
          <w:rFonts w:cs="Times New Roman"/>
        </w:rPr>
        <w:t>more than 17,000</w:t>
      </w:r>
      <w:r w:rsidR="00263217" w:rsidRPr="004624D3">
        <w:rPr>
          <w:rFonts w:cs="Times New Roman"/>
        </w:rPr>
        <w:t xml:space="preserve"> children</w:t>
      </w:r>
      <w:r w:rsidR="008422DF" w:rsidRPr="004624D3">
        <w:rPr>
          <w:rFonts w:cs="Times New Roman"/>
        </w:rPr>
        <w:t xml:space="preserve"> </w:t>
      </w:r>
      <w:r w:rsidRPr="004624D3">
        <w:rPr>
          <w:rFonts w:cs="Times New Roman"/>
        </w:rPr>
        <w:t xml:space="preserve">born in a single week in March 1958 in Britain </w:t>
      </w:r>
      <w:r w:rsidR="00E373D1" w:rsidRPr="004624D3">
        <w:rPr>
          <w:rFonts w:cs="Times New Roman"/>
        </w:rPr>
        <w:t>who</w:t>
      </w:r>
      <w:r w:rsidRPr="004624D3">
        <w:rPr>
          <w:rFonts w:cs="Times New Roman"/>
        </w:rPr>
        <w:t xml:space="preserve"> have been followed up through the course of their lives </w:t>
      </w:r>
      <w:r w:rsidRPr="004624D3">
        <w:rPr>
          <w:rFonts w:cs="Times New Roman"/>
          <w:noProof/>
        </w:rPr>
        <w:t>(University of London, Institute of Education and Centre for Longitudinal Studies</w:t>
      </w:r>
      <w:r w:rsidR="00357746" w:rsidRPr="004624D3">
        <w:rPr>
          <w:rFonts w:cs="Times New Roman"/>
          <w:noProof/>
        </w:rPr>
        <w:t>,</w:t>
      </w:r>
      <w:r w:rsidRPr="004624D3">
        <w:rPr>
          <w:rFonts w:cs="Times New Roman"/>
          <w:noProof/>
        </w:rPr>
        <w:t xml:space="preserve"> 2008)</w:t>
      </w:r>
      <w:r w:rsidRPr="004624D3">
        <w:rPr>
          <w:rFonts w:cs="Times New Roman"/>
        </w:rPr>
        <w:t xml:space="preserve">. The information </w:t>
      </w:r>
      <w:r w:rsidR="009B2C27" w:rsidRPr="004624D3">
        <w:rPr>
          <w:rFonts w:cs="Times New Roman"/>
        </w:rPr>
        <w:t>employ</w:t>
      </w:r>
      <w:r w:rsidR="008422DF" w:rsidRPr="004624D3">
        <w:rPr>
          <w:rFonts w:cs="Times New Roman"/>
        </w:rPr>
        <w:t>ed in this study was</w:t>
      </w:r>
      <w:r w:rsidRPr="004624D3">
        <w:rPr>
          <w:rFonts w:cs="Times New Roman"/>
        </w:rPr>
        <w:t xml:space="preserve"> collected when the cohort</w:t>
      </w:r>
      <w:r w:rsidR="0080330B" w:rsidRPr="004624D3">
        <w:rPr>
          <w:rFonts w:cs="Times New Roman"/>
        </w:rPr>
        <w:t xml:space="preserve"> members</w:t>
      </w:r>
      <w:r w:rsidRPr="004624D3">
        <w:rPr>
          <w:rFonts w:cs="Times New Roman"/>
        </w:rPr>
        <w:t xml:space="preserve"> were aged 46, 50 and 55</w:t>
      </w:r>
      <w:r w:rsidR="0080330B" w:rsidRPr="004624D3">
        <w:rPr>
          <w:rFonts w:cs="Times New Roman"/>
        </w:rPr>
        <w:t>,</w:t>
      </w:r>
      <w:r w:rsidRPr="004624D3">
        <w:rPr>
          <w:rFonts w:cs="Times New Roman"/>
        </w:rPr>
        <w:t xml:space="preserve"> respectively. From a total sample of 7,469 individuals interviewed at least once between </w:t>
      </w:r>
      <w:r w:rsidR="00263217" w:rsidRPr="004624D3">
        <w:rPr>
          <w:rFonts w:cs="Times New Roman"/>
        </w:rPr>
        <w:t xml:space="preserve">the </w:t>
      </w:r>
      <w:r w:rsidRPr="004624D3">
        <w:rPr>
          <w:rFonts w:cs="Times New Roman"/>
        </w:rPr>
        <w:t>age</w:t>
      </w:r>
      <w:r w:rsidR="00263217" w:rsidRPr="004624D3">
        <w:rPr>
          <w:rFonts w:cs="Times New Roman"/>
        </w:rPr>
        <w:t>s of</w:t>
      </w:r>
      <w:r w:rsidRPr="004624D3">
        <w:rPr>
          <w:rFonts w:cs="Times New Roman"/>
        </w:rPr>
        <w:t xml:space="preserve"> 46 and 55, the analysis here is restricted to those individuals who are ‘at risk’ of providing parental care </w:t>
      </w:r>
      <w:r w:rsidR="00182B16" w:rsidRPr="004624D3">
        <w:rPr>
          <w:rFonts w:cs="Times New Roman"/>
        </w:rPr>
        <w:t>i.e.,</w:t>
      </w:r>
      <w:r w:rsidRPr="004624D3">
        <w:rPr>
          <w:rFonts w:cs="Times New Roman"/>
        </w:rPr>
        <w:t xml:space="preserve"> who ha</w:t>
      </w:r>
      <w:r w:rsidR="00263217" w:rsidRPr="004624D3">
        <w:rPr>
          <w:rFonts w:cs="Times New Roman"/>
        </w:rPr>
        <w:t>d</w:t>
      </w:r>
      <w:r w:rsidRPr="004624D3">
        <w:rPr>
          <w:rFonts w:cs="Times New Roman"/>
        </w:rPr>
        <w:t xml:space="preserve"> at least one living parent/parent-in-law at </w:t>
      </w:r>
      <w:r w:rsidR="007533E6" w:rsidRPr="004624D3">
        <w:rPr>
          <w:rFonts w:cs="Times New Roman"/>
        </w:rPr>
        <w:t xml:space="preserve">any of the three points in time, </w:t>
      </w:r>
      <w:r w:rsidR="006270E7" w:rsidRPr="004624D3">
        <w:rPr>
          <w:rFonts w:cs="Times New Roman"/>
        </w:rPr>
        <w:t xml:space="preserve">resulting in </w:t>
      </w:r>
      <w:r w:rsidR="007533E6" w:rsidRPr="004624D3">
        <w:rPr>
          <w:rFonts w:cs="Times New Roman"/>
        </w:rPr>
        <w:t xml:space="preserve">a </w:t>
      </w:r>
      <w:r w:rsidRPr="004624D3">
        <w:rPr>
          <w:rFonts w:cs="Times New Roman"/>
        </w:rPr>
        <w:t xml:space="preserve">final analytical sample </w:t>
      </w:r>
      <w:r w:rsidR="007533E6" w:rsidRPr="004624D3">
        <w:rPr>
          <w:rFonts w:cs="Times New Roman"/>
        </w:rPr>
        <w:t>of 7,013</w:t>
      </w:r>
      <w:r w:rsidRPr="004624D3">
        <w:rPr>
          <w:rFonts w:cs="Times New Roman"/>
        </w:rPr>
        <w:t xml:space="preserve"> individuals.</w:t>
      </w:r>
      <w:r w:rsidR="007533E6" w:rsidRPr="004624D3">
        <w:t xml:space="preserve"> </w:t>
      </w:r>
    </w:p>
    <w:p w14:paraId="4A6E7D3D" w14:textId="77777777" w:rsidR="006D2DB6" w:rsidRPr="004624D3" w:rsidRDefault="006D2DB6" w:rsidP="00A55DB6">
      <w:pPr>
        <w:spacing w:after="0" w:line="480" w:lineRule="auto"/>
        <w:jc w:val="both"/>
        <w:rPr>
          <w:rFonts w:cs="Times New Roman"/>
        </w:rPr>
      </w:pPr>
    </w:p>
    <w:p w14:paraId="630A26BD" w14:textId="27452087" w:rsidR="00DF3AB1" w:rsidRPr="004624D3" w:rsidRDefault="00DF3AB1" w:rsidP="00DF3AB1">
      <w:pPr>
        <w:spacing w:after="0" w:line="480" w:lineRule="auto"/>
        <w:jc w:val="both"/>
      </w:pPr>
      <w:r w:rsidRPr="004624D3">
        <w:rPr>
          <w:rFonts w:cs="Times New Roman"/>
        </w:rPr>
        <w:lastRenderedPageBreak/>
        <w:t xml:space="preserve">Table 1 shows the number of individuals (and sample proportion) who were at risk of caring for their parents/parents-in-law. </w:t>
      </w:r>
      <w:r w:rsidRPr="004624D3">
        <w:t xml:space="preserve">Most of the cohort members were at risk of providing help to parents/ parents-in-law at all three </w:t>
      </w:r>
      <w:r w:rsidR="007D5361" w:rsidRPr="004624D3">
        <w:t xml:space="preserve">observation </w:t>
      </w:r>
      <w:r w:rsidRPr="004624D3">
        <w:t>points, i</w:t>
      </w:r>
      <w:r w:rsidR="001405E4" w:rsidRPr="004624D3">
        <w:t>.</w:t>
      </w:r>
      <w:r w:rsidRPr="004624D3">
        <w:t>e. at ages 46, 50 and 55. A</w:t>
      </w:r>
      <w:r w:rsidR="006270E7" w:rsidRPr="004624D3">
        <w:t>pproximately</w:t>
      </w:r>
      <w:r w:rsidRPr="004624D3">
        <w:t xml:space="preserve"> </w:t>
      </w:r>
      <w:r w:rsidR="001405E4" w:rsidRPr="004624D3">
        <w:t>13</w:t>
      </w:r>
      <w:r w:rsidR="003456D1" w:rsidRPr="004624D3">
        <w:t xml:space="preserve"> per cent</w:t>
      </w:r>
      <w:r w:rsidRPr="004624D3">
        <w:t xml:space="preserve"> and </w:t>
      </w:r>
      <w:r w:rsidR="001405E4" w:rsidRPr="004624D3">
        <w:t>19</w:t>
      </w:r>
      <w:r w:rsidR="003456D1" w:rsidRPr="004624D3">
        <w:t xml:space="preserve"> per cent</w:t>
      </w:r>
      <w:r w:rsidRPr="004624D3">
        <w:t xml:space="preserve"> of men and women respectively, faced an intermittent risk of caring, meaning that they were at risk in one or two waves</w:t>
      </w:r>
      <w:r w:rsidR="00985997" w:rsidRPr="004624D3">
        <w:t>; this group includes those cohort members whose parent died during the period of study; as we are interested in caring trajectories</w:t>
      </w:r>
      <w:r w:rsidR="00E373D1" w:rsidRPr="004624D3">
        <w:t>,</w:t>
      </w:r>
      <w:r w:rsidR="00985997" w:rsidRPr="004624D3">
        <w:t xml:space="preserve"> it was felt important to retain these individuals in the analytical sample so as to capture those who cease caring during mid-life due to bereavement. </w:t>
      </w:r>
      <w:r w:rsidR="007D5361" w:rsidRPr="004624D3">
        <w:t xml:space="preserve">The sample </w:t>
      </w:r>
      <w:r w:rsidR="00985997" w:rsidRPr="004624D3">
        <w:t xml:space="preserve">may also include those cohort members who gain a parent-in-law during mid-life through marriage and thus become at risk of providing care.  </w:t>
      </w:r>
      <w:r w:rsidR="007D5361" w:rsidRPr="004624D3">
        <w:t xml:space="preserve">Just </w:t>
      </w:r>
      <w:r w:rsidR="001405E4" w:rsidRPr="004624D3">
        <w:t>5</w:t>
      </w:r>
      <w:r w:rsidR="003456D1" w:rsidRPr="004624D3">
        <w:t xml:space="preserve"> per cent</w:t>
      </w:r>
      <w:r w:rsidR="001C0720" w:rsidRPr="004624D3">
        <w:t xml:space="preserve"> </w:t>
      </w:r>
      <w:r w:rsidR="001405E4" w:rsidRPr="004624D3">
        <w:t>of m</w:t>
      </w:r>
      <w:r w:rsidR="00AA6DF2" w:rsidRPr="004624D3">
        <w:t>ale</w:t>
      </w:r>
      <w:r w:rsidR="001405E4" w:rsidRPr="004624D3">
        <w:t xml:space="preserve"> and 7</w:t>
      </w:r>
      <w:r w:rsidR="003456D1" w:rsidRPr="004624D3">
        <w:t xml:space="preserve"> per cent</w:t>
      </w:r>
      <w:r w:rsidR="001405E4" w:rsidRPr="004624D3">
        <w:t xml:space="preserve"> of </w:t>
      </w:r>
      <w:r w:rsidR="00AA6DF2" w:rsidRPr="004624D3">
        <w:t>female cohort members</w:t>
      </w:r>
      <w:r w:rsidR="001405E4" w:rsidRPr="004624D3">
        <w:t xml:space="preserve"> did not have a surviving parent or parent-in-law at any observation point and so were </w:t>
      </w:r>
      <w:r w:rsidR="001C0720" w:rsidRPr="004624D3">
        <w:t>excluded from the final analytical sample.</w:t>
      </w:r>
    </w:p>
    <w:p w14:paraId="7703A390" w14:textId="48F68056" w:rsidR="00CA3FA8" w:rsidRPr="004624D3" w:rsidRDefault="00CA3FA8" w:rsidP="00DF3AB1">
      <w:pPr>
        <w:spacing w:after="0" w:line="480" w:lineRule="auto"/>
        <w:jc w:val="both"/>
      </w:pPr>
    </w:p>
    <w:p w14:paraId="33A64A1F" w14:textId="77B8FE18" w:rsidR="00690754" w:rsidRPr="004624D3" w:rsidRDefault="00690754" w:rsidP="00690754">
      <w:pPr>
        <w:spacing w:after="0" w:line="480" w:lineRule="auto"/>
        <w:jc w:val="center"/>
      </w:pPr>
      <w:r w:rsidRPr="004624D3">
        <w:t>&lt;Table 1 here&gt;</w:t>
      </w:r>
    </w:p>
    <w:p w14:paraId="0DF9FC57" w14:textId="77777777" w:rsidR="00690754" w:rsidRPr="004624D3" w:rsidRDefault="00690754" w:rsidP="00DF3AB1">
      <w:pPr>
        <w:spacing w:after="0" w:line="480" w:lineRule="auto"/>
        <w:jc w:val="both"/>
      </w:pPr>
    </w:p>
    <w:p w14:paraId="571DF47B" w14:textId="77777777" w:rsidR="00CA3FA8" w:rsidRPr="004624D3" w:rsidRDefault="00CA3FA8" w:rsidP="00DF3AB1">
      <w:pPr>
        <w:spacing w:after="0" w:line="480" w:lineRule="auto"/>
        <w:jc w:val="both"/>
        <w:rPr>
          <w:rFonts w:cs="Times New Roman"/>
        </w:rPr>
      </w:pPr>
    </w:p>
    <w:p w14:paraId="0534B9CD" w14:textId="08ACEEBB" w:rsidR="00DF3AB1" w:rsidRPr="004624D3" w:rsidRDefault="00DF3AB1" w:rsidP="00DF3AB1">
      <w:pPr>
        <w:spacing w:after="0" w:line="480" w:lineRule="auto"/>
        <w:jc w:val="both"/>
        <w:rPr>
          <w:rFonts w:cs="Times New Roman"/>
        </w:rPr>
      </w:pPr>
      <w:r w:rsidRPr="004624D3">
        <w:rPr>
          <w:rFonts w:cs="Times New Roman"/>
        </w:rPr>
        <w:t xml:space="preserve">As is the case with most longitudinal studies, the NCDS is affected by attrition. </w:t>
      </w:r>
      <w:r w:rsidR="007D5361" w:rsidRPr="004624D3">
        <w:rPr>
          <w:rFonts w:cs="Times New Roman"/>
        </w:rPr>
        <w:t>Previous</w:t>
      </w:r>
      <w:r w:rsidRPr="004624D3">
        <w:rPr>
          <w:rFonts w:cs="Times New Roman"/>
        </w:rPr>
        <w:t xml:space="preserve"> analysis of attrition and missing data in this dataset has found that attrition is higher among male respondents, among individuals with a lower socio-economic status and those with lower educational qualifications </w:t>
      </w:r>
      <w:r w:rsidRPr="004624D3">
        <w:rPr>
          <w:rFonts w:cs="Times New Roman"/>
          <w:noProof/>
        </w:rPr>
        <w:t>(Hawkes and Plewis, 2006)</w:t>
      </w:r>
      <w:r w:rsidRPr="004624D3">
        <w:rPr>
          <w:rFonts w:cs="Times New Roman"/>
        </w:rPr>
        <w:t xml:space="preserve">. The </w:t>
      </w:r>
      <w:r w:rsidR="00CA3FA8" w:rsidRPr="004624D3">
        <w:rPr>
          <w:rFonts w:cs="Times New Roman"/>
        </w:rPr>
        <w:t xml:space="preserve">analytical </w:t>
      </w:r>
      <w:r w:rsidRPr="004624D3">
        <w:rPr>
          <w:rFonts w:cs="Times New Roman"/>
        </w:rPr>
        <w:t xml:space="preserve">sample </w:t>
      </w:r>
      <w:r w:rsidR="00CA3FA8" w:rsidRPr="004624D3">
        <w:rPr>
          <w:rFonts w:cs="Times New Roman"/>
        </w:rPr>
        <w:t xml:space="preserve">used here </w:t>
      </w:r>
      <w:r w:rsidRPr="004624D3">
        <w:rPr>
          <w:rFonts w:cs="Times New Roman"/>
        </w:rPr>
        <w:t>may also be affected by differential mortality amongst the respondents’ older parents (Office for National Statistics, 2018). Given this, gender, socio-economic status and education were all included as control variables in the analysis.</w:t>
      </w:r>
    </w:p>
    <w:p w14:paraId="7E5459CA" w14:textId="77777777" w:rsidR="00547BDB" w:rsidRPr="004624D3" w:rsidRDefault="00547BDB" w:rsidP="00A55DB6">
      <w:pPr>
        <w:pStyle w:val="Heading2"/>
        <w:spacing w:line="480" w:lineRule="auto"/>
      </w:pPr>
    </w:p>
    <w:p w14:paraId="7E5459CB" w14:textId="6CD1C160" w:rsidR="008F0556" w:rsidRPr="004624D3" w:rsidRDefault="007533E6" w:rsidP="00A55DB6">
      <w:pPr>
        <w:pStyle w:val="Heading2"/>
        <w:numPr>
          <w:ilvl w:val="1"/>
          <w:numId w:val="10"/>
        </w:numPr>
        <w:spacing w:line="480" w:lineRule="auto"/>
      </w:pPr>
      <w:r w:rsidRPr="004624D3">
        <w:t>Definition</w:t>
      </w:r>
      <w:r w:rsidR="00B605AB" w:rsidRPr="004624D3">
        <w:t xml:space="preserve"> of key variables</w:t>
      </w:r>
    </w:p>
    <w:p w14:paraId="2ADF5483" w14:textId="77777777" w:rsidR="001F45F8" w:rsidRPr="004624D3" w:rsidRDefault="00800A9A" w:rsidP="00A55DB6">
      <w:pPr>
        <w:spacing w:after="0" w:line="480" w:lineRule="auto"/>
        <w:jc w:val="both"/>
        <w:rPr>
          <w:b/>
          <w:bCs/>
        </w:rPr>
      </w:pPr>
      <w:r w:rsidRPr="004624D3">
        <w:rPr>
          <w:b/>
          <w:bCs/>
        </w:rPr>
        <w:t>Caring trajectories and caring intensity:</w:t>
      </w:r>
    </w:p>
    <w:p w14:paraId="352CA12C" w14:textId="7CAA0043" w:rsidR="00800A9A" w:rsidRPr="004624D3" w:rsidRDefault="007533E6" w:rsidP="00A55DB6">
      <w:pPr>
        <w:spacing w:after="0" w:line="480" w:lineRule="auto"/>
        <w:jc w:val="both"/>
        <w:rPr>
          <w:rFonts w:cs="Times New Roman"/>
        </w:rPr>
      </w:pPr>
      <w:r w:rsidRPr="004624D3">
        <w:rPr>
          <w:rFonts w:cstheme="majorBidi"/>
        </w:rPr>
        <w:t>The NCDS collected</w:t>
      </w:r>
      <w:r w:rsidR="00AF284D" w:rsidRPr="004624D3">
        <w:rPr>
          <w:rFonts w:cstheme="majorBidi"/>
        </w:rPr>
        <w:t xml:space="preserve"> a range </w:t>
      </w:r>
      <w:r w:rsidRPr="004624D3">
        <w:rPr>
          <w:rFonts w:cstheme="majorBidi"/>
        </w:rPr>
        <w:t xml:space="preserve">information on the provision of </w:t>
      </w:r>
      <w:r w:rsidR="009E5DC1" w:rsidRPr="004624D3">
        <w:rPr>
          <w:rFonts w:cstheme="majorBidi"/>
        </w:rPr>
        <w:t>informal</w:t>
      </w:r>
      <w:r w:rsidR="00F21BC6" w:rsidRPr="004624D3">
        <w:rPr>
          <w:rFonts w:cstheme="majorBidi"/>
        </w:rPr>
        <w:t xml:space="preserve"> care</w:t>
      </w:r>
      <w:r w:rsidR="00800A9A" w:rsidRPr="004624D3">
        <w:rPr>
          <w:rFonts w:cstheme="majorBidi"/>
        </w:rPr>
        <w:t xml:space="preserve"> </w:t>
      </w:r>
      <w:r w:rsidR="00E373D1" w:rsidRPr="004624D3">
        <w:rPr>
          <w:rFonts w:cstheme="majorBidi"/>
        </w:rPr>
        <w:t>which</w:t>
      </w:r>
      <w:r w:rsidR="00800A9A" w:rsidRPr="004624D3">
        <w:rPr>
          <w:rFonts w:cstheme="majorBidi"/>
        </w:rPr>
        <w:t xml:space="preserve"> allows us to derive two measures of caregiving a) intensity of caregiving and b) caregiving trajectories</w:t>
      </w:r>
      <w:r w:rsidRPr="004624D3">
        <w:rPr>
          <w:rFonts w:cs="Times New Roman"/>
        </w:rPr>
        <w:t xml:space="preserve">. </w:t>
      </w:r>
      <w:r w:rsidR="00AF284D" w:rsidRPr="004624D3">
        <w:rPr>
          <w:rFonts w:cs="Times New Roman"/>
        </w:rPr>
        <w:t xml:space="preserve"> </w:t>
      </w:r>
    </w:p>
    <w:p w14:paraId="7E5459CD" w14:textId="567BDDEB" w:rsidR="007533E6" w:rsidRPr="004624D3" w:rsidRDefault="000865A5" w:rsidP="00A55DB6">
      <w:pPr>
        <w:spacing w:after="0" w:line="480" w:lineRule="auto"/>
        <w:jc w:val="both"/>
        <w:rPr>
          <w:rFonts w:cstheme="majorBidi"/>
        </w:rPr>
      </w:pPr>
      <w:r w:rsidRPr="004624D3">
        <w:rPr>
          <w:rFonts w:cstheme="majorBidi"/>
        </w:rPr>
        <w:lastRenderedPageBreak/>
        <w:t>T</w:t>
      </w:r>
      <w:r w:rsidR="006D36DC" w:rsidRPr="004624D3">
        <w:rPr>
          <w:rFonts w:cstheme="majorBidi"/>
        </w:rPr>
        <w:t xml:space="preserve">he following question </w:t>
      </w:r>
      <w:r w:rsidRPr="004624D3">
        <w:rPr>
          <w:rFonts w:cstheme="majorBidi"/>
        </w:rPr>
        <w:t xml:space="preserve">was used </w:t>
      </w:r>
      <w:r w:rsidR="006D36DC" w:rsidRPr="004624D3">
        <w:rPr>
          <w:rFonts w:cstheme="majorBidi"/>
        </w:rPr>
        <w:t xml:space="preserve">to construct </w:t>
      </w:r>
      <w:r w:rsidR="00800A9A" w:rsidRPr="004624D3">
        <w:rPr>
          <w:rFonts w:cstheme="majorBidi"/>
        </w:rPr>
        <w:t>a</w:t>
      </w:r>
      <w:r w:rsidR="009E5DC1" w:rsidRPr="004624D3">
        <w:rPr>
          <w:rFonts w:cstheme="majorBidi"/>
        </w:rPr>
        <w:t xml:space="preserve"> variable </w:t>
      </w:r>
      <w:r w:rsidR="00800A9A" w:rsidRPr="004624D3">
        <w:rPr>
          <w:rFonts w:cstheme="majorBidi"/>
        </w:rPr>
        <w:t>on</w:t>
      </w:r>
      <w:r w:rsidR="009E5DC1" w:rsidRPr="004624D3">
        <w:rPr>
          <w:rFonts w:cstheme="majorBidi"/>
        </w:rPr>
        <w:t xml:space="preserve"> </w:t>
      </w:r>
      <w:r w:rsidR="006D36DC" w:rsidRPr="004624D3">
        <w:rPr>
          <w:rFonts w:cstheme="majorBidi"/>
        </w:rPr>
        <w:t>“</w:t>
      </w:r>
      <w:r w:rsidR="006D36DC" w:rsidRPr="004624D3">
        <w:rPr>
          <w:rFonts w:cstheme="majorBidi"/>
          <w:iCs/>
        </w:rPr>
        <w:t>Caring for parents/ parents-in-law”</w:t>
      </w:r>
      <w:r w:rsidR="00800A9A" w:rsidRPr="004624D3">
        <w:rPr>
          <w:rFonts w:cstheme="majorBidi"/>
        </w:rPr>
        <w:t xml:space="preserve"> at ages 46, 50 and 55, </w:t>
      </w:r>
      <w:r w:rsidR="00F21BC6" w:rsidRPr="004624D3">
        <w:rPr>
          <w:rFonts w:cstheme="majorBidi"/>
        </w:rPr>
        <w:t xml:space="preserve">the question wording being </w:t>
      </w:r>
      <w:r w:rsidR="006D36DC" w:rsidRPr="004624D3">
        <w:rPr>
          <w:rFonts w:cstheme="majorBidi"/>
        </w:rPr>
        <w:t xml:space="preserve">the same in </w:t>
      </w:r>
      <w:r w:rsidR="00F21BC6" w:rsidRPr="004624D3">
        <w:rPr>
          <w:rFonts w:cstheme="majorBidi"/>
        </w:rPr>
        <w:t xml:space="preserve">each of </w:t>
      </w:r>
      <w:r w:rsidR="006D36DC" w:rsidRPr="004624D3">
        <w:rPr>
          <w:rFonts w:cstheme="majorBidi"/>
        </w:rPr>
        <w:t xml:space="preserve">the </w:t>
      </w:r>
      <w:r w:rsidR="009E5DC1" w:rsidRPr="004624D3">
        <w:rPr>
          <w:rFonts w:cstheme="majorBidi"/>
        </w:rPr>
        <w:t>three</w:t>
      </w:r>
      <w:r w:rsidR="006D36DC" w:rsidRPr="004624D3">
        <w:rPr>
          <w:rFonts w:cstheme="majorBidi"/>
        </w:rPr>
        <w:t xml:space="preserve"> waves </w:t>
      </w:r>
      <w:r w:rsidR="009E5DC1" w:rsidRPr="004624D3">
        <w:rPr>
          <w:rFonts w:cstheme="majorBidi"/>
        </w:rPr>
        <w:t>analysed</w:t>
      </w:r>
      <w:r w:rsidR="006D36DC" w:rsidRPr="004624D3">
        <w:rPr>
          <w:rFonts w:cstheme="majorBidi"/>
        </w:rPr>
        <w:t xml:space="preserve"> here:</w:t>
      </w:r>
    </w:p>
    <w:p w14:paraId="7E5459CE" w14:textId="77777777" w:rsidR="007533E6" w:rsidRPr="004624D3" w:rsidRDefault="007533E6" w:rsidP="00A55DB6">
      <w:pPr>
        <w:spacing w:after="0" w:line="480" w:lineRule="auto"/>
        <w:ind w:left="567" w:right="804"/>
        <w:jc w:val="both"/>
        <w:rPr>
          <w:rFonts w:cstheme="majorBidi"/>
        </w:rPr>
      </w:pPr>
      <w:r w:rsidRPr="004624D3">
        <w:rPr>
          <w:rFonts w:cstheme="majorBidi"/>
          <w:i/>
        </w:rPr>
        <w:t>Do you regularly or frequently do any of the things listed for your parents</w:t>
      </w:r>
      <w:r w:rsidR="0070430C" w:rsidRPr="004624D3">
        <w:rPr>
          <w:rFonts w:cs="Times New Roman"/>
          <w:i/>
          <w:iCs/>
        </w:rPr>
        <w:t xml:space="preserve"> or parents-in-law</w:t>
      </w:r>
      <w:r w:rsidRPr="004624D3">
        <w:rPr>
          <w:rFonts w:cstheme="majorBidi"/>
        </w:rPr>
        <w:t xml:space="preserve">? Response: Please select Yes or No for each activity listed below: </w:t>
      </w:r>
    </w:p>
    <w:p w14:paraId="7E5459CF" w14:textId="4F2A8542" w:rsidR="007533E6" w:rsidRPr="004624D3" w:rsidRDefault="007533E6" w:rsidP="00A55DB6">
      <w:pPr>
        <w:spacing w:after="0" w:line="480" w:lineRule="auto"/>
        <w:ind w:left="567" w:right="804"/>
        <w:jc w:val="both"/>
        <w:rPr>
          <w:rFonts w:cstheme="majorBidi"/>
        </w:rPr>
      </w:pPr>
      <w:r w:rsidRPr="004624D3">
        <w:rPr>
          <w:rFonts w:cstheme="majorBidi"/>
        </w:rPr>
        <w:t>Dressing, eating, bathing, washing, ironing, cleaning, cooking, financial assistance, shopping, transportation, gardening and others</w:t>
      </w:r>
      <w:r w:rsidR="0070430C" w:rsidRPr="004624D3">
        <w:rPr>
          <w:rFonts w:cstheme="majorBidi"/>
        </w:rPr>
        <w:t>, none of these</w:t>
      </w:r>
      <w:r w:rsidR="009E5DC1" w:rsidRPr="004624D3">
        <w:rPr>
          <w:rFonts w:cstheme="majorBidi"/>
        </w:rPr>
        <w:t>.</w:t>
      </w:r>
    </w:p>
    <w:p w14:paraId="5B03252F" w14:textId="77777777" w:rsidR="00800A9A" w:rsidRPr="004624D3" w:rsidRDefault="00800A9A" w:rsidP="00A55DB6">
      <w:pPr>
        <w:spacing w:after="0" w:line="480" w:lineRule="auto"/>
        <w:jc w:val="both"/>
        <w:rPr>
          <w:rFonts w:cstheme="majorBidi"/>
        </w:rPr>
      </w:pPr>
    </w:p>
    <w:p w14:paraId="7E5459D1" w14:textId="68FD5DC4" w:rsidR="007533E6" w:rsidRPr="004624D3" w:rsidRDefault="0070430C" w:rsidP="00A55DB6">
      <w:pPr>
        <w:spacing w:after="0" w:line="480" w:lineRule="auto"/>
        <w:jc w:val="both"/>
        <w:rPr>
          <w:rFonts w:cstheme="majorBidi"/>
        </w:rPr>
      </w:pPr>
      <w:r w:rsidRPr="004624D3">
        <w:rPr>
          <w:rFonts w:cstheme="majorBidi"/>
        </w:rPr>
        <w:t xml:space="preserve">For those who mentioned they did provide </w:t>
      </w:r>
      <w:r w:rsidR="009E5DC1" w:rsidRPr="004624D3">
        <w:rPr>
          <w:rFonts w:cstheme="majorBidi"/>
        </w:rPr>
        <w:t>care</w:t>
      </w:r>
      <w:r w:rsidRPr="004624D3">
        <w:rPr>
          <w:rFonts w:cstheme="majorBidi"/>
        </w:rPr>
        <w:t xml:space="preserve"> with at least one of these tasks, </w:t>
      </w:r>
      <w:r w:rsidR="006D36DC" w:rsidRPr="004624D3">
        <w:rPr>
          <w:rFonts w:cstheme="majorBidi"/>
        </w:rPr>
        <w:t>t</w:t>
      </w:r>
      <w:r w:rsidR="007533E6" w:rsidRPr="004624D3">
        <w:rPr>
          <w:rFonts w:cstheme="majorBidi"/>
        </w:rPr>
        <w:t>he survey</w:t>
      </w:r>
      <w:r w:rsidR="00F21BC6" w:rsidRPr="004624D3">
        <w:rPr>
          <w:rFonts w:cstheme="majorBidi"/>
        </w:rPr>
        <w:t xml:space="preserve"> then</w:t>
      </w:r>
      <w:r w:rsidR="007533E6" w:rsidRPr="004624D3">
        <w:rPr>
          <w:rFonts w:cstheme="majorBidi"/>
        </w:rPr>
        <w:t xml:space="preserve"> include</w:t>
      </w:r>
      <w:r w:rsidR="00F21BC6" w:rsidRPr="004624D3">
        <w:rPr>
          <w:rFonts w:cstheme="majorBidi"/>
        </w:rPr>
        <w:t>d</w:t>
      </w:r>
      <w:r w:rsidR="007533E6" w:rsidRPr="004624D3">
        <w:rPr>
          <w:rFonts w:cstheme="majorBidi"/>
        </w:rPr>
        <w:t xml:space="preserve"> information on how much time they spent </w:t>
      </w:r>
      <w:r w:rsidR="006D36DC" w:rsidRPr="004624D3">
        <w:rPr>
          <w:rFonts w:cstheme="majorBidi"/>
        </w:rPr>
        <w:t xml:space="preserve">providing </w:t>
      </w:r>
      <w:r w:rsidR="009E5DC1" w:rsidRPr="004624D3">
        <w:rPr>
          <w:rFonts w:cstheme="majorBidi"/>
        </w:rPr>
        <w:t>care.</w:t>
      </w:r>
      <w:r w:rsidR="00312BB5" w:rsidRPr="004624D3">
        <w:rPr>
          <w:rFonts w:cstheme="majorBidi"/>
        </w:rPr>
        <w:t xml:space="preserve"> </w:t>
      </w:r>
      <w:r w:rsidR="007533E6" w:rsidRPr="004624D3">
        <w:rPr>
          <w:rFonts w:cstheme="majorBidi"/>
        </w:rPr>
        <w:t>Th</w:t>
      </w:r>
      <w:r w:rsidR="009E5DC1" w:rsidRPr="004624D3">
        <w:rPr>
          <w:rFonts w:cstheme="majorBidi"/>
        </w:rPr>
        <w:t>is</w:t>
      </w:r>
      <w:r w:rsidR="007533E6" w:rsidRPr="004624D3">
        <w:rPr>
          <w:rFonts w:cstheme="majorBidi"/>
        </w:rPr>
        <w:t xml:space="preserve"> question was asked of </w:t>
      </w:r>
      <w:r w:rsidR="009E5DC1" w:rsidRPr="004624D3">
        <w:rPr>
          <w:rFonts w:cstheme="majorBidi"/>
        </w:rPr>
        <w:t xml:space="preserve">respondents </w:t>
      </w:r>
      <w:r w:rsidR="007533E6" w:rsidRPr="004624D3">
        <w:rPr>
          <w:rFonts w:cstheme="majorBidi"/>
        </w:rPr>
        <w:t>who</w:t>
      </w:r>
      <w:r w:rsidR="009E5DC1" w:rsidRPr="004624D3">
        <w:rPr>
          <w:rFonts w:cstheme="majorBidi"/>
        </w:rPr>
        <w:t xml:space="preserve"> provide care</w:t>
      </w:r>
      <w:r w:rsidR="007533E6" w:rsidRPr="004624D3">
        <w:rPr>
          <w:rFonts w:cstheme="majorBidi"/>
        </w:rPr>
        <w:t xml:space="preserve"> with </w:t>
      </w:r>
      <w:r w:rsidR="007533E6" w:rsidRPr="004624D3">
        <w:rPr>
          <w:rFonts w:cstheme="majorBidi"/>
          <w:i/>
          <w:iCs/>
        </w:rPr>
        <w:t>any</w:t>
      </w:r>
      <w:r w:rsidR="009E5DC1" w:rsidRPr="004624D3">
        <w:rPr>
          <w:rFonts w:cstheme="majorBidi"/>
        </w:rPr>
        <w:t xml:space="preserve"> of the aforementioned</w:t>
      </w:r>
      <w:r w:rsidR="007533E6" w:rsidRPr="004624D3">
        <w:rPr>
          <w:rFonts w:cstheme="majorBidi"/>
        </w:rPr>
        <w:t xml:space="preserve"> task</w:t>
      </w:r>
      <w:r w:rsidR="009E5DC1" w:rsidRPr="004624D3">
        <w:rPr>
          <w:rFonts w:cstheme="majorBidi"/>
        </w:rPr>
        <w:t>s</w:t>
      </w:r>
      <w:r w:rsidR="007533E6" w:rsidRPr="004624D3">
        <w:rPr>
          <w:rFonts w:cstheme="majorBidi"/>
        </w:rPr>
        <w:t>:</w:t>
      </w:r>
    </w:p>
    <w:p w14:paraId="7E5459D2" w14:textId="3FE5A42B" w:rsidR="006D36DC" w:rsidRPr="004624D3" w:rsidRDefault="007533E6" w:rsidP="00A55DB6">
      <w:pPr>
        <w:spacing w:after="0" w:line="480" w:lineRule="auto"/>
        <w:ind w:left="567" w:right="804"/>
        <w:jc w:val="both"/>
        <w:rPr>
          <w:rFonts w:cstheme="majorBidi"/>
          <w:i/>
        </w:rPr>
      </w:pPr>
      <w:r w:rsidRPr="004624D3">
        <w:rPr>
          <w:rFonts w:cstheme="majorBidi"/>
          <w:i/>
        </w:rPr>
        <w:t xml:space="preserve">How many hours do you spend doing this/these things for [parents or parents-in-law] in a typical week? </w:t>
      </w:r>
    </w:p>
    <w:p w14:paraId="7E5459D3" w14:textId="4F3F3761" w:rsidR="006D36DC" w:rsidRPr="004624D3" w:rsidRDefault="00AF284D" w:rsidP="00A55DB6">
      <w:pPr>
        <w:spacing w:after="0" w:line="480" w:lineRule="auto"/>
        <w:ind w:right="804"/>
        <w:jc w:val="both"/>
        <w:rPr>
          <w:rFonts w:cstheme="majorBidi"/>
        </w:rPr>
      </w:pPr>
      <w:r w:rsidRPr="004624D3">
        <w:rPr>
          <w:rFonts w:cstheme="majorBidi"/>
        </w:rPr>
        <w:t xml:space="preserve">Although the question </w:t>
      </w:r>
      <w:r w:rsidR="00F21BC6" w:rsidRPr="004624D3">
        <w:rPr>
          <w:rFonts w:cstheme="majorBidi"/>
        </w:rPr>
        <w:t>wa</w:t>
      </w:r>
      <w:r w:rsidRPr="004624D3">
        <w:rPr>
          <w:rFonts w:cstheme="majorBidi"/>
        </w:rPr>
        <w:t xml:space="preserve">s consistent between the three waves, the response categories differed slightly. </w:t>
      </w:r>
      <w:r w:rsidR="0070430C" w:rsidRPr="004624D3">
        <w:rPr>
          <w:rFonts w:cstheme="majorBidi"/>
        </w:rPr>
        <w:t>In wave</w:t>
      </w:r>
      <w:r w:rsidR="009E5DC1" w:rsidRPr="004624D3">
        <w:rPr>
          <w:rFonts w:cstheme="majorBidi"/>
        </w:rPr>
        <w:t>s</w:t>
      </w:r>
      <w:r w:rsidR="0070430C" w:rsidRPr="004624D3">
        <w:rPr>
          <w:rFonts w:cstheme="majorBidi"/>
        </w:rPr>
        <w:t xml:space="preserve"> 8 and 9 the response is </w:t>
      </w:r>
      <w:r w:rsidR="009E5DC1" w:rsidRPr="004624D3">
        <w:rPr>
          <w:rFonts w:cstheme="majorBidi"/>
        </w:rPr>
        <w:t>continuous</w:t>
      </w:r>
      <w:r w:rsidR="0070430C" w:rsidRPr="004624D3">
        <w:rPr>
          <w:rFonts w:cstheme="majorBidi"/>
        </w:rPr>
        <w:t>,</w:t>
      </w:r>
      <w:r w:rsidR="009E5DC1" w:rsidRPr="004624D3">
        <w:rPr>
          <w:rFonts w:cstheme="majorBidi"/>
        </w:rPr>
        <w:t xml:space="preserve"> ranging</w:t>
      </w:r>
      <w:r w:rsidR="0070430C" w:rsidRPr="004624D3">
        <w:rPr>
          <w:rFonts w:cstheme="majorBidi"/>
        </w:rPr>
        <w:t xml:space="preserve"> from 0 to 168 hours. </w:t>
      </w:r>
      <w:r w:rsidR="009E5DC1" w:rsidRPr="004624D3">
        <w:rPr>
          <w:rFonts w:cstheme="majorBidi"/>
        </w:rPr>
        <w:t>However, i</w:t>
      </w:r>
      <w:r w:rsidR="006D36DC" w:rsidRPr="004624D3">
        <w:rPr>
          <w:rFonts w:cstheme="majorBidi"/>
        </w:rPr>
        <w:t xml:space="preserve">n wave 7, </w:t>
      </w:r>
      <w:r w:rsidR="009E5DC1" w:rsidRPr="004624D3">
        <w:rPr>
          <w:rFonts w:cstheme="majorBidi"/>
        </w:rPr>
        <w:t xml:space="preserve">the </w:t>
      </w:r>
      <w:r w:rsidR="006D36DC" w:rsidRPr="004624D3">
        <w:rPr>
          <w:rFonts w:cstheme="majorBidi"/>
        </w:rPr>
        <w:t xml:space="preserve">response includes the following categories: </w:t>
      </w:r>
    </w:p>
    <w:p w14:paraId="7E5459D4" w14:textId="77777777" w:rsidR="006D36DC" w:rsidRPr="004624D3" w:rsidRDefault="006D36DC" w:rsidP="00A55DB6">
      <w:pPr>
        <w:spacing w:after="0" w:line="480" w:lineRule="auto"/>
        <w:ind w:right="804"/>
        <w:jc w:val="both"/>
        <w:rPr>
          <w:rFonts w:cstheme="majorBidi"/>
        </w:rPr>
        <w:sectPr w:rsidR="006D36DC" w:rsidRPr="004624D3">
          <w:footerReference w:type="default" r:id="rId8"/>
          <w:pgSz w:w="11906" w:h="16838"/>
          <w:pgMar w:top="1440" w:right="1440" w:bottom="1440" w:left="1440" w:header="708" w:footer="708" w:gutter="0"/>
          <w:cols w:space="708"/>
          <w:docGrid w:linePitch="360"/>
        </w:sectPr>
      </w:pPr>
    </w:p>
    <w:p w14:paraId="7E5459D5" w14:textId="77777777" w:rsidR="006D36DC" w:rsidRPr="004624D3" w:rsidRDefault="006D36DC" w:rsidP="00A55DB6">
      <w:pPr>
        <w:spacing w:after="0" w:line="480" w:lineRule="auto"/>
        <w:ind w:right="804"/>
        <w:jc w:val="center"/>
        <w:rPr>
          <w:rFonts w:cstheme="majorBidi"/>
        </w:rPr>
      </w:pPr>
      <w:r w:rsidRPr="004624D3">
        <w:rPr>
          <w:rFonts w:cstheme="majorBidi"/>
        </w:rPr>
        <w:t>"Not caring"</w:t>
      </w:r>
    </w:p>
    <w:p w14:paraId="7E5459D6" w14:textId="77777777" w:rsidR="006D36DC" w:rsidRPr="004624D3" w:rsidRDefault="006D36DC" w:rsidP="00A55DB6">
      <w:pPr>
        <w:spacing w:after="0" w:line="480" w:lineRule="auto"/>
        <w:ind w:right="804"/>
        <w:jc w:val="center"/>
        <w:rPr>
          <w:rFonts w:cstheme="majorBidi"/>
          <w:lang w:val="de-DE"/>
        </w:rPr>
      </w:pPr>
      <w:r w:rsidRPr="004624D3">
        <w:rPr>
          <w:rFonts w:cstheme="majorBidi"/>
          <w:lang w:val="de-DE"/>
        </w:rPr>
        <w:t>"0-9 hrs"</w:t>
      </w:r>
    </w:p>
    <w:p w14:paraId="7E5459D7" w14:textId="5144B748" w:rsidR="006D36DC" w:rsidRPr="004624D3" w:rsidRDefault="006D36DC" w:rsidP="00A55DB6">
      <w:pPr>
        <w:spacing w:after="0" w:line="480" w:lineRule="auto"/>
        <w:ind w:right="804"/>
        <w:jc w:val="center"/>
        <w:rPr>
          <w:rFonts w:cstheme="majorBidi"/>
          <w:lang w:val="de-DE"/>
        </w:rPr>
      </w:pPr>
      <w:r w:rsidRPr="004624D3">
        <w:rPr>
          <w:rFonts w:cstheme="majorBidi"/>
          <w:lang w:val="de-DE"/>
        </w:rPr>
        <w:t>"10-19</w:t>
      </w:r>
      <w:r w:rsidR="00FE7A3D" w:rsidRPr="004624D3">
        <w:rPr>
          <w:rFonts w:cstheme="majorBidi"/>
          <w:lang w:val="de-DE"/>
        </w:rPr>
        <w:t xml:space="preserve"> </w:t>
      </w:r>
      <w:r w:rsidRPr="004624D3">
        <w:rPr>
          <w:rFonts w:cstheme="majorBidi"/>
          <w:lang w:val="de-DE"/>
        </w:rPr>
        <w:t>hrs"</w:t>
      </w:r>
    </w:p>
    <w:p w14:paraId="7E5459D8" w14:textId="54383878" w:rsidR="006D36DC" w:rsidRPr="004624D3" w:rsidRDefault="006D36DC" w:rsidP="00A55DB6">
      <w:pPr>
        <w:spacing w:after="0" w:line="480" w:lineRule="auto"/>
        <w:ind w:right="804"/>
        <w:jc w:val="center"/>
        <w:rPr>
          <w:rFonts w:cstheme="majorBidi"/>
          <w:lang w:val="de-DE"/>
        </w:rPr>
      </w:pPr>
      <w:r w:rsidRPr="004624D3">
        <w:rPr>
          <w:rFonts w:cstheme="majorBidi"/>
          <w:lang w:val="de-DE"/>
        </w:rPr>
        <w:t>"20-34</w:t>
      </w:r>
      <w:r w:rsidR="00FE7A3D" w:rsidRPr="004624D3">
        <w:rPr>
          <w:rFonts w:cstheme="majorBidi"/>
          <w:lang w:val="de-DE"/>
        </w:rPr>
        <w:t xml:space="preserve"> </w:t>
      </w:r>
      <w:r w:rsidRPr="004624D3">
        <w:rPr>
          <w:rFonts w:cstheme="majorBidi"/>
          <w:lang w:val="de-DE"/>
        </w:rPr>
        <w:t>hrs</w:t>
      </w:r>
    </w:p>
    <w:p w14:paraId="7E5459D9" w14:textId="0BDB4257" w:rsidR="006D36DC" w:rsidRPr="004624D3" w:rsidRDefault="006D36DC" w:rsidP="00A55DB6">
      <w:pPr>
        <w:spacing w:after="0" w:line="480" w:lineRule="auto"/>
        <w:ind w:right="804"/>
        <w:jc w:val="center"/>
        <w:rPr>
          <w:rFonts w:cstheme="majorBidi"/>
          <w:lang w:val="de-DE"/>
        </w:rPr>
      </w:pPr>
      <w:r w:rsidRPr="004624D3">
        <w:rPr>
          <w:rFonts w:cstheme="majorBidi"/>
          <w:lang w:val="de-DE"/>
        </w:rPr>
        <w:t>"35-49</w:t>
      </w:r>
      <w:r w:rsidR="00FE7A3D" w:rsidRPr="004624D3">
        <w:rPr>
          <w:rFonts w:cstheme="majorBidi"/>
          <w:lang w:val="de-DE"/>
        </w:rPr>
        <w:t xml:space="preserve"> </w:t>
      </w:r>
      <w:r w:rsidRPr="004624D3">
        <w:rPr>
          <w:rFonts w:cstheme="majorBidi"/>
          <w:lang w:val="de-DE"/>
        </w:rPr>
        <w:t>hrs"</w:t>
      </w:r>
    </w:p>
    <w:p w14:paraId="7E5459DA" w14:textId="758CC8E9" w:rsidR="006D36DC" w:rsidRPr="004624D3" w:rsidRDefault="006D36DC" w:rsidP="00A55DB6">
      <w:pPr>
        <w:spacing w:after="0" w:line="480" w:lineRule="auto"/>
        <w:ind w:right="804"/>
        <w:jc w:val="center"/>
        <w:rPr>
          <w:rFonts w:cstheme="majorBidi"/>
          <w:lang w:val="de-DE"/>
        </w:rPr>
      </w:pPr>
      <w:r w:rsidRPr="004624D3">
        <w:rPr>
          <w:rFonts w:cstheme="majorBidi"/>
          <w:lang w:val="de-DE"/>
        </w:rPr>
        <w:t>"50-99</w:t>
      </w:r>
      <w:r w:rsidR="00FE7A3D" w:rsidRPr="004624D3">
        <w:rPr>
          <w:rFonts w:cstheme="majorBidi"/>
          <w:lang w:val="de-DE"/>
        </w:rPr>
        <w:t xml:space="preserve"> </w:t>
      </w:r>
      <w:r w:rsidRPr="004624D3">
        <w:rPr>
          <w:rFonts w:cstheme="majorBidi"/>
          <w:lang w:val="de-DE"/>
        </w:rPr>
        <w:t>hrs"</w:t>
      </w:r>
    </w:p>
    <w:p w14:paraId="7E5459DB" w14:textId="35049386" w:rsidR="006D36DC" w:rsidRPr="004624D3" w:rsidRDefault="006D36DC" w:rsidP="00A55DB6">
      <w:pPr>
        <w:spacing w:after="0" w:line="480" w:lineRule="auto"/>
        <w:ind w:right="804"/>
        <w:jc w:val="center"/>
        <w:rPr>
          <w:rFonts w:cstheme="majorBidi"/>
        </w:rPr>
      </w:pPr>
      <w:r w:rsidRPr="004624D3">
        <w:rPr>
          <w:rFonts w:cstheme="majorBidi"/>
        </w:rPr>
        <w:t>“100+</w:t>
      </w:r>
      <w:r w:rsidR="00FE7A3D" w:rsidRPr="004624D3">
        <w:rPr>
          <w:rFonts w:cstheme="majorBidi"/>
        </w:rPr>
        <w:t xml:space="preserve"> </w:t>
      </w:r>
      <w:r w:rsidRPr="004624D3">
        <w:rPr>
          <w:rFonts w:cstheme="majorBidi"/>
        </w:rPr>
        <w:t>hrs"</w:t>
      </w:r>
    </w:p>
    <w:p w14:paraId="7E5459DC" w14:textId="77777777" w:rsidR="006D36DC" w:rsidRPr="004624D3" w:rsidRDefault="0070430C" w:rsidP="00A55DB6">
      <w:pPr>
        <w:spacing w:after="0" w:line="480" w:lineRule="auto"/>
        <w:ind w:right="804"/>
        <w:jc w:val="center"/>
        <w:rPr>
          <w:rFonts w:cstheme="majorBidi"/>
        </w:rPr>
      </w:pPr>
      <w:r w:rsidRPr="004624D3">
        <w:rPr>
          <w:rFonts w:cstheme="majorBidi"/>
        </w:rPr>
        <w:t>"It varies/Other"</w:t>
      </w:r>
    </w:p>
    <w:p w14:paraId="7E5459DD" w14:textId="77777777" w:rsidR="0070430C" w:rsidRPr="004624D3" w:rsidRDefault="0070430C" w:rsidP="00A55DB6">
      <w:pPr>
        <w:spacing w:after="0" w:line="480" w:lineRule="auto"/>
        <w:ind w:right="804"/>
        <w:jc w:val="center"/>
        <w:rPr>
          <w:rFonts w:cstheme="majorBidi"/>
        </w:rPr>
        <w:sectPr w:rsidR="0070430C" w:rsidRPr="004624D3" w:rsidSect="006D36DC">
          <w:type w:val="continuous"/>
          <w:pgSz w:w="11906" w:h="16838"/>
          <w:pgMar w:top="1440" w:right="1440" w:bottom="1440" w:left="1440" w:header="708" w:footer="708" w:gutter="0"/>
          <w:cols w:num="2" w:space="708"/>
          <w:docGrid w:linePitch="360"/>
        </w:sectPr>
      </w:pPr>
    </w:p>
    <w:p w14:paraId="7E5459DF" w14:textId="124739E5" w:rsidR="006D36DC" w:rsidRPr="004624D3" w:rsidRDefault="00F21BC6" w:rsidP="00F21BC6">
      <w:pPr>
        <w:spacing w:after="0" w:line="480" w:lineRule="auto"/>
        <w:ind w:right="804"/>
        <w:jc w:val="both"/>
        <w:rPr>
          <w:rFonts w:cstheme="majorBidi"/>
        </w:rPr>
      </w:pPr>
      <w:r w:rsidRPr="004624D3">
        <w:rPr>
          <w:rFonts w:cstheme="majorBidi"/>
        </w:rPr>
        <w:t xml:space="preserve">Responses were therefore combined to derive a </w:t>
      </w:r>
      <w:r w:rsidR="009E5DC1" w:rsidRPr="004624D3">
        <w:rPr>
          <w:rFonts w:cstheme="majorBidi"/>
        </w:rPr>
        <w:t xml:space="preserve">new variable called </w:t>
      </w:r>
      <w:r w:rsidR="00312BB5" w:rsidRPr="004624D3">
        <w:rPr>
          <w:rFonts w:cstheme="majorBidi"/>
        </w:rPr>
        <w:t>“</w:t>
      </w:r>
      <w:r w:rsidR="007533E6" w:rsidRPr="004624D3">
        <w:rPr>
          <w:rFonts w:cstheme="majorBidi"/>
          <w:iCs/>
        </w:rPr>
        <w:t>Caring intensity</w:t>
      </w:r>
      <w:r w:rsidR="00312BB5" w:rsidRPr="004624D3">
        <w:rPr>
          <w:rFonts w:cstheme="majorBidi"/>
          <w:iCs/>
        </w:rPr>
        <w:t>”</w:t>
      </w:r>
      <w:r w:rsidR="007533E6" w:rsidRPr="004624D3">
        <w:rPr>
          <w:rFonts w:cstheme="majorBidi"/>
        </w:rPr>
        <w:t xml:space="preserve"> </w:t>
      </w:r>
      <w:r w:rsidR="009E5DC1" w:rsidRPr="004624D3">
        <w:rPr>
          <w:rFonts w:cstheme="majorBidi"/>
        </w:rPr>
        <w:t>which</w:t>
      </w:r>
      <w:r w:rsidR="007533E6" w:rsidRPr="004624D3">
        <w:rPr>
          <w:rFonts w:cstheme="majorBidi"/>
        </w:rPr>
        <w:t xml:space="preserve"> show</w:t>
      </w:r>
      <w:r w:rsidR="009E5DC1" w:rsidRPr="004624D3">
        <w:rPr>
          <w:rFonts w:cstheme="majorBidi"/>
        </w:rPr>
        <w:t>ed</w:t>
      </w:r>
      <w:r w:rsidR="007533E6" w:rsidRPr="004624D3">
        <w:rPr>
          <w:rFonts w:cstheme="majorBidi"/>
        </w:rPr>
        <w:t xml:space="preserve"> the intensity of car</w:t>
      </w:r>
      <w:r w:rsidR="009E5DC1" w:rsidRPr="004624D3">
        <w:rPr>
          <w:rFonts w:cstheme="majorBidi"/>
        </w:rPr>
        <w:t xml:space="preserve">e provision in </w:t>
      </w:r>
      <w:r w:rsidR="006D36DC" w:rsidRPr="004624D3">
        <w:rPr>
          <w:rFonts w:cstheme="majorBidi"/>
        </w:rPr>
        <w:t>four categories</w:t>
      </w:r>
      <w:r w:rsidR="007533E6" w:rsidRPr="004624D3">
        <w:rPr>
          <w:rFonts w:cstheme="majorBidi"/>
        </w:rPr>
        <w:t xml:space="preserve">: Not caring/ 9 or </w:t>
      </w:r>
      <w:r w:rsidR="009E5DC1" w:rsidRPr="004624D3">
        <w:rPr>
          <w:rFonts w:cstheme="majorBidi"/>
        </w:rPr>
        <w:t>fewer</w:t>
      </w:r>
      <w:r w:rsidR="007533E6" w:rsidRPr="004624D3">
        <w:rPr>
          <w:rFonts w:cstheme="majorBidi"/>
        </w:rPr>
        <w:t xml:space="preserve"> hours a week / 10-19 hours a week /20+ hours a week.</w:t>
      </w:r>
      <w:r w:rsidR="009E5DC1" w:rsidRPr="004624D3">
        <w:rPr>
          <w:rFonts w:cstheme="majorBidi"/>
        </w:rPr>
        <w:t xml:space="preserve"> This categorisation has been applied </w:t>
      </w:r>
      <w:r w:rsidR="000865A5" w:rsidRPr="004624D3">
        <w:rPr>
          <w:rFonts w:cstheme="majorBidi"/>
        </w:rPr>
        <w:t>by</w:t>
      </w:r>
      <w:r w:rsidR="009E5DC1" w:rsidRPr="004624D3">
        <w:rPr>
          <w:rFonts w:cstheme="majorBidi"/>
        </w:rPr>
        <w:t xml:space="preserve"> other </w:t>
      </w:r>
      <w:r w:rsidR="009B2C27" w:rsidRPr="004624D3">
        <w:rPr>
          <w:rFonts w:cstheme="majorBidi"/>
        </w:rPr>
        <w:t xml:space="preserve">published </w:t>
      </w:r>
      <w:r w:rsidR="009E5DC1" w:rsidRPr="004624D3">
        <w:rPr>
          <w:rFonts w:cstheme="majorBidi"/>
        </w:rPr>
        <w:t xml:space="preserve">research </w:t>
      </w:r>
      <w:r w:rsidR="000865A5" w:rsidRPr="004624D3">
        <w:rPr>
          <w:rFonts w:cstheme="majorBidi"/>
        </w:rPr>
        <w:t>o</w:t>
      </w:r>
      <w:r w:rsidR="009E5DC1" w:rsidRPr="004624D3">
        <w:rPr>
          <w:rFonts w:cstheme="majorBidi"/>
        </w:rPr>
        <w:t>n the same topic (</w:t>
      </w:r>
      <w:r w:rsidR="000865A5" w:rsidRPr="004624D3">
        <w:rPr>
          <w:rFonts w:cstheme="majorBidi"/>
        </w:rPr>
        <w:t xml:space="preserve">e.g. </w:t>
      </w:r>
      <w:r w:rsidR="00312BB5" w:rsidRPr="004624D3">
        <w:rPr>
          <w:rFonts w:cstheme="majorBidi"/>
        </w:rPr>
        <w:t xml:space="preserve">Evandrou </w:t>
      </w:r>
      <w:r w:rsidR="00312BB5" w:rsidRPr="004624D3">
        <w:rPr>
          <w:rFonts w:cstheme="majorBidi"/>
          <w:i/>
          <w:iCs/>
        </w:rPr>
        <w:t>et al</w:t>
      </w:r>
      <w:r w:rsidR="00312BB5" w:rsidRPr="004624D3">
        <w:rPr>
          <w:rFonts w:cstheme="majorBidi"/>
        </w:rPr>
        <w:t>.</w:t>
      </w:r>
      <w:r w:rsidR="00D41BA7" w:rsidRPr="004624D3">
        <w:rPr>
          <w:rFonts w:cstheme="majorBidi"/>
        </w:rPr>
        <w:t>,</w:t>
      </w:r>
      <w:r w:rsidR="00312BB5" w:rsidRPr="004624D3">
        <w:rPr>
          <w:rFonts w:cstheme="majorBidi"/>
        </w:rPr>
        <w:t xml:space="preserve"> 2016</w:t>
      </w:r>
      <w:r w:rsidR="009E5DC1" w:rsidRPr="004624D3">
        <w:rPr>
          <w:rFonts w:cstheme="majorBidi"/>
        </w:rPr>
        <w:t xml:space="preserve">). </w:t>
      </w:r>
      <w:r w:rsidR="007533E6" w:rsidRPr="004624D3">
        <w:rPr>
          <w:rFonts w:cstheme="majorBidi"/>
        </w:rPr>
        <w:t xml:space="preserve"> </w:t>
      </w:r>
    </w:p>
    <w:p w14:paraId="7E5459E0" w14:textId="77777777" w:rsidR="006D36DC" w:rsidRPr="004624D3" w:rsidRDefault="006D36DC" w:rsidP="00A55DB6">
      <w:pPr>
        <w:spacing w:after="0" w:line="480" w:lineRule="auto"/>
        <w:jc w:val="both"/>
        <w:rPr>
          <w:rFonts w:cstheme="majorBidi"/>
        </w:rPr>
      </w:pPr>
    </w:p>
    <w:p w14:paraId="2AFA59F2" w14:textId="0A7E39EC" w:rsidR="00C51EB2" w:rsidRPr="004624D3" w:rsidRDefault="00F21BC6" w:rsidP="00C51EB2">
      <w:pPr>
        <w:spacing w:after="0" w:line="480" w:lineRule="auto"/>
        <w:jc w:val="both"/>
        <w:rPr>
          <w:rFonts w:cs="Times New Roman"/>
        </w:rPr>
      </w:pPr>
      <w:r w:rsidRPr="004624D3">
        <w:rPr>
          <w:rFonts w:cs="Times New Roman"/>
        </w:rPr>
        <w:lastRenderedPageBreak/>
        <w:t xml:space="preserve">In order to examine </w:t>
      </w:r>
      <w:r w:rsidR="008F0556" w:rsidRPr="004624D3">
        <w:rPr>
          <w:rFonts w:cs="Times New Roman"/>
        </w:rPr>
        <w:t xml:space="preserve">the caregiving role from a dynamic perspective, </w:t>
      </w:r>
      <w:r w:rsidRPr="004624D3">
        <w:rPr>
          <w:rFonts w:cs="Times New Roman"/>
        </w:rPr>
        <w:t>a</w:t>
      </w:r>
      <w:r w:rsidR="008F0556" w:rsidRPr="004624D3">
        <w:rPr>
          <w:rFonts w:cs="Times New Roman"/>
        </w:rPr>
        <w:t xml:space="preserve"> ‘</w:t>
      </w:r>
      <w:r w:rsidR="006D6851" w:rsidRPr="004624D3">
        <w:rPr>
          <w:rFonts w:cs="Times New Roman"/>
          <w:iCs/>
        </w:rPr>
        <w:t>c</w:t>
      </w:r>
      <w:r w:rsidR="008F0556" w:rsidRPr="004624D3">
        <w:rPr>
          <w:rFonts w:cs="Times New Roman"/>
          <w:iCs/>
        </w:rPr>
        <w:t>aregiving trajectories’</w:t>
      </w:r>
      <w:r w:rsidR="008F0556" w:rsidRPr="004624D3">
        <w:rPr>
          <w:rFonts w:cs="Times New Roman"/>
        </w:rPr>
        <w:t xml:space="preserve"> variable </w:t>
      </w:r>
      <w:r w:rsidRPr="004624D3">
        <w:rPr>
          <w:rFonts w:cs="Times New Roman"/>
        </w:rPr>
        <w:t xml:space="preserve">was </w:t>
      </w:r>
      <w:r w:rsidR="00800A9A" w:rsidRPr="004624D3">
        <w:rPr>
          <w:rFonts w:cs="Times New Roman"/>
        </w:rPr>
        <w:t xml:space="preserve">then </w:t>
      </w:r>
      <w:r w:rsidRPr="004624D3">
        <w:rPr>
          <w:rFonts w:cs="Times New Roman"/>
        </w:rPr>
        <w:t xml:space="preserve">derived that </w:t>
      </w:r>
      <w:r w:rsidR="008F0556" w:rsidRPr="004624D3">
        <w:rPr>
          <w:rFonts w:cs="Times New Roman"/>
        </w:rPr>
        <w:t>captures changes in</w:t>
      </w:r>
      <w:r w:rsidR="00F870C0" w:rsidRPr="004624D3">
        <w:rPr>
          <w:rFonts w:cs="Times New Roman"/>
        </w:rPr>
        <w:t xml:space="preserve"> the respondents’</w:t>
      </w:r>
      <w:r w:rsidR="008F0556" w:rsidRPr="004624D3">
        <w:rPr>
          <w:rFonts w:cs="Times New Roman"/>
        </w:rPr>
        <w:t xml:space="preserve"> caring status </w:t>
      </w:r>
      <w:r w:rsidR="005A4A9F" w:rsidRPr="004624D3">
        <w:rPr>
          <w:rFonts w:cs="Times New Roman"/>
        </w:rPr>
        <w:t xml:space="preserve">between </w:t>
      </w:r>
      <w:r w:rsidR="008F0556" w:rsidRPr="004624D3">
        <w:rPr>
          <w:rFonts w:cs="Times New Roman"/>
        </w:rPr>
        <w:t xml:space="preserve">ages </w:t>
      </w:r>
      <w:r w:rsidR="0070430C" w:rsidRPr="004624D3">
        <w:rPr>
          <w:rFonts w:cs="Times New Roman"/>
        </w:rPr>
        <w:t xml:space="preserve">46, </w:t>
      </w:r>
      <w:r w:rsidR="008F0556" w:rsidRPr="004624D3">
        <w:rPr>
          <w:rFonts w:cs="Times New Roman"/>
        </w:rPr>
        <w:t>50 and 55</w:t>
      </w:r>
      <w:r w:rsidR="00710E73" w:rsidRPr="004624D3">
        <w:rPr>
          <w:rFonts w:cs="Times New Roman"/>
        </w:rPr>
        <w:t xml:space="preserve"> (Table </w:t>
      </w:r>
      <w:r w:rsidR="00DF3AB1" w:rsidRPr="004624D3">
        <w:rPr>
          <w:rFonts w:cs="Times New Roman"/>
        </w:rPr>
        <w:t>2</w:t>
      </w:r>
      <w:r w:rsidR="00710E73" w:rsidRPr="004624D3">
        <w:rPr>
          <w:rFonts w:cs="Times New Roman"/>
        </w:rPr>
        <w:t>)</w:t>
      </w:r>
      <w:r w:rsidR="008F0556" w:rsidRPr="004624D3">
        <w:rPr>
          <w:rFonts w:cs="Times New Roman"/>
        </w:rPr>
        <w:t>.</w:t>
      </w:r>
      <w:r w:rsidR="00C51EB2" w:rsidRPr="004624D3">
        <w:rPr>
          <w:rFonts w:cs="Times New Roman"/>
        </w:rPr>
        <w:t xml:space="preserve"> </w:t>
      </w:r>
    </w:p>
    <w:p w14:paraId="4D43E3A6" w14:textId="00B262FA" w:rsidR="00800A9A" w:rsidRPr="004624D3" w:rsidRDefault="001300BA" w:rsidP="00C51EB2">
      <w:pPr>
        <w:spacing w:after="0" w:line="480" w:lineRule="auto"/>
        <w:jc w:val="both"/>
        <w:rPr>
          <w:rFonts w:cs="Times New Roman"/>
        </w:rPr>
      </w:pPr>
      <w:r w:rsidRPr="004624D3">
        <w:rPr>
          <w:rFonts w:cs="Times New Roman"/>
        </w:rPr>
        <w:t xml:space="preserve">Three of the </w:t>
      </w:r>
      <w:r w:rsidR="00127EF9" w:rsidRPr="004624D3">
        <w:rPr>
          <w:rFonts w:cs="Times New Roman"/>
        </w:rPr>
        <w:t>four categories</w:t>
      </w:r>
      <w:r w:rsidRPr="004624D3">
        <w:rPr>
          <w:rFonts w:cs="Times New Roman"/>
        </w:rPr>
        <w:t xml:space="preserve"> in this variable (Categories </w:t>
      </w:r>
      <w:r w:rsidR="00127EF9" w:rsidRPr="004624D3">
        <w:rPr>
          <w:rFonts w:cs="Times New Roman"/>
        </w:rPr>
        <w:t>1</w:t>
      </w:r>
      <w:r w:rsidRPr="004624D3">
        <w:rPr>
          <w:rFonts w:cs="Times New Roman"/>
        </w:rPr>
        <w:t>,</w:t>
      </w:r>
      <w:r w:rsidR="00415B0C" w:rsidRPr="004624D3">
        <w:rPr>
          <w:rFonts w:cs="Times New Roman"/>
        </w:rPr>
        <w:t>2</w:t>
      </w:r>
      <w:r w:rsidRPr="004624D3">
        <w:rPr>
          <w:rFonts w:cs="Times New Roman"/>
        </w:rPr>
        <w:t xml:space="preserve"> and </w:t>
      </w:r>
      <w:r w:rsidR="00415B0C" w:rsidRPr="004624D3">
        <w:rPr>
          <w:rFonts w:cs="Times New Roman"/>
        </w:rPr>
        <w:t>4)</w:t>
      </w:r>
      <w:r w:rsidR="00127EF9" w:rsidRPr="004624D3">
        <w:rPr>
          <w:rFonts w:cs="Times New Roman"/>
        </w:rPr>
        <w:t xml:space="preserve"> have been used in previous studies</w:t>
      </w:r>
      <w:r w:rsidR="00415B0C" w:rsidRPr="004624D3">
        <w:rPr>
          <w:rFonts w:cs="Times New Roman"/>
        </w:rPr>
        <w:t xml:space="preserve"> (</w:t>
      </w:r>
      <w:r w:rsidR="00415B0C" w:rsidRPr="004624D3">
        <w:t xml:space="preserve">Kaufman </w:t>
      </w:r>
      <w:r w:rsidR="00415B0C" w:rsidRPr="004624D3">
        <w:rPr>
          <w:i/>
          <w:iCs/>
        </w:rPr>
        <w:t>et al</w:t>
      </w:r>
      <w:r w:rsidR="00415B0C" w:rsidRPr="004624D3">
        <w:t>., 2019</w:t>
      </w:r>
      <w:r w:rsidR="002C30E6" w:rsidRPr="004624D3">
        <w:t xml:space="preserve">; Hurh </w:t>
      </w:r>
      <w:r w:rsidR="002C30E6" w:rsidRPr="004624D3">
        <w:rPr>
          <w:i/>
          <w:iCs/>
        </w:rPr>
        <w:t>et al</w:t>
      </w:r>
      <w:r w:rsidR="002C30E6" w:rsidRPr="004624D3">
        <w:t>., 2021</w:t>
      </w:r>
      <w:r w:rsidR="00415B0C" w:rsidRPr="004624D3">
        <w:t>)</w:t>
      </w:r>
      <w:r w:rsidR="00CA6790" w:rsidRPr="004624D3">
        <w:t>.</w:t>
      </w:r>
    </w:p>
    <w:p w14:paraId="40812ADA" w14:textId="77777777" w:rsidR="00800A9A" w:rsidRPr="004624D3" w:rsidRDefault="00800A9A" w:rsidP="00800A9A">
      <w:pPr>
        <w:spacing w:after="0" w:line="480" w:lineRule="auto"/>
        <w:jc w:val="both"/>
        <w:rPr>
          <w:rFonts w:cs="Times New Roman"/>
          <w:i/>
        </w:rPr>
      </w:pPr>
      <w:r w:rsidRPr="004624D3">
        <w:rPr>
          <w:rFonts w:cs="Times New Roman"/>
          <w:i/>
        </w:rPr>
        <w:t>Caring trajectories</w:t>
      </w:r>
    </w:p>
    <w:p w14:paraId="3655B4FA" w14:textId="12FF0FA0" w:rsidR="00800A9A" w:rsidRPr="004624D3" w:rsidRDefault="007B2B8A" w:rsidP="00800A9A">
      <w:pPr>
        <w:pStyle w:val="ListParagraph"/>
        <w:numPr>
          <w:ilvl w:val="0"/>
          <w:numId w:val="7"/>
        </w:numPr>
        <w:spacing w:after="0" w:line="480" w:lineRule="auto"/>
        <w:jc w:val="both"/>
        <w:rPr>
          <w:rFonts w:cs="Times New Roman"/>
        </w:rPr>
      </w:pPr>
      <w:r w:rsidRPr="004624D3">
        <w:rPr>
          <w:rFonts w:cs="Times New Roman"/>
        </w:rPr>
        <w:t>Repeat</w:t>
      </w:r>
      <w:r w:rsidR="00800A9A" w:rsidRPr="004624D3">
        <w:rPr>
          <w:rFonts w:cs="Times New Roman"/>
        </w:rPr>
        <w:t xml:space="preserve"> carers (caring at all three points of observation)</w:t>
      </w:r>
    </w:p>
    <w:p w14:paraId="110CB51D" w14:textId="77777777" w:rsidR="00800A9A" w:rsidRPr="004624D3" w:rsidRDefault="00800A9A" w:rsidP="00800A9A">
      <w:pPr>
        <w:pStyle w:val="ListParagraph"/>
        <w:numPr>
          <w:ilvl w:val="0"/>
          <w:numId w:val="7"/>
        </w:numPr>
        <w:spacing w:after="0" w:line="480" w:lineRule="auto"/>
        <w:jc w:val="both"/>
        <w:rPr>
          <w:rFonts w:cs="Times New Roman"/>
        </w:rPr>
      </w:pPr>
      <w:r w:rsidRPr="004624D3">
        <w:rPr>
          <w:rFonts w:cs="Times New Roman"/>
        </w:rPr>
        <w:t>New carers (those who started caring in the second or third point of observation)</w:t>
      </w:r>
    </w:p>
    <w:p w14:paraId="2F8CC84B" w14:textId="65FCD5AE" w:rsidR="00800A9A" w:rsidRPr="004624D3" w:rsidRDefault="00800A9A" w:rsidP="00800A9A">
      <w:pPr>
        <w:pStyle w:val="ListParagraph"/>
        <w:numPr>
          <w:ilvl w:val="0"/>
          <w:numId w:val="7"/>
        </w:numPr>
        <w:spacing w:after="0" w:line="480" w:lineRule="auto"/>
        <w:jc w:val="both"/>
        <w:rPr>
          <w:rFonts w:cs="Times New Roman"/>
        </w:rPr>
      </w:pPr>
      <w:r w:rsidRPr="004624D3">
        <w:rPr>
          <w:rFonts w:cs="Times New Roman"/>
        </w:rPr>
        <w:t>Sporadic or intermittent carers (first and third waves, or only second wave)</w:t>
      </w:r>
    </w:p>
    <w:p w14:paraId="46ECA5E9" w14:textId="77777777" w:rsidR="00800A9A" w:rsidRPr="004624D3" w:rsidRDefault="00800A9A" w:rsidP="00800A9A">
      <w:pPr>
        <w:pStyle w:val="ListParagraph"/>
        <w:numPr>
          <w:ilvl w:val="0"/>
          <w:numId w:val="7"/>
        </w:numPr>
        <w:spacing w:after="0" w:line="480" w:lineRule="auto"/>
        <w:jc w:val="both"/>
        <w:rPr>
          <w:rFonts w:cs="Times New Roman"/>
        </w:rPr>
      </w:pPr>
      <w:r w:rsidRPr="004624D3">
        <w:rPr>
          <w:rFonts w:cs="Times New Roman"/>
        </w:rPr>
        <w:t>Stopped caring (those who stopped caring at second or third wave)</w:t>
      </w:r>
    </w:p>
    <w:p w14:paraId="7E5459E1" w14:textId="399BA058" w:rsidR="008F0556" w:rsidRPr="004624D3" w:rsidRDefault="007B2B8A" w:rsidP="00A55DB6">
      <w:pPr>
        <w:spacing w:after="0" w:line="480" w:lineRule="auto"/>
        <w:jc w:val="both"/>
        <w:rPr>
          <w:rFonts w:cs="Times New Roman"/>
        </w:rPr>
      </w:pPr>
      <w:r w:rsidRPr="004624D3">
        <w:rPr>
          <w:rFonts w:cs="Times New Roman"/>
        </w:rPr>
        <w:t>We</w:t>
      </w:r>
      <w:r w:rsidR="00F870C0" w:rsidRPr="004624D3">
        <w:rPr>
          <w:rFonts w:cs="Times New Roman"/>
        </w:rPr>
        <w:t xml:space="preserve"> use the term ‘</w:t>
      </w:r>
      <w:r w:rsidRPr="004624D3">
        <w:rPr>
          <w:rFonts w:cs="Times New Roman"/>
        </w:rPr>
        <w:t>repeat carers</w:t>
      </w:r>
      <w:r w:rsidR="00F870C0" w:rsidRPr="004624D3">
        <w:rPr>
          <w:rFonts w:cs="Times New Roman"/>
        </w:rPr>
        <w:t xml:space="preserve">’ to describe </w:t>
      </w:r>
      <w:r w:rsidR="00F21BC6" w:rsidRPr="004624D3">
        <w:rPr>
          <w:rFonts w:cs="Times New Roman"/>
        </w:rPr>
        <w:t xml:space="preserve">respondents who were providing care at all three data collection points, </w:t>
      </w:r>
      <w:r w:rsidRPr="004624D3">
        <w:rPr>
          <w:rFonts w:cs="Times New Roman"/>
        </w:rPr>
        <w:t xml:space="preserve">however </w:t>
      </w:r>
      <w:r w:rsidR="00F21BC6" w:rsidRPr="004624D3">
        <w:rPr>
          <w:rFonts w:cs="Times New Roman"/>
        </w:rPr>
        <w:t>it is not possible to ascertain whether respondents were also providing care in the intervening periods. Thus</w:t>
      </w:r>
      <w:r w:rsidR="00F870C0" w:rsidRPr="004624D3">
        <w:rPr>
          <w:rFonts w:cs="Times New Roman"/>
        </w:rPr>
        <w:t xml:space="preserve">, we are cognisant of the limitations of this </w:t>
      </w:r>
      <w:r w:rsidR="006D6851" w:rsidRPr="004624D3">
        <w:rPr>
          <w:rFonts w:cs="Times New Roman"/>
        </w:rPr>
        <w:t>concept</w:t>
      </w:r>
      <w:r w:rsidR="00F870C0" w:rsidRPr="004624D3">
        <w:rPr>
          <w:rFonts w:cs="Times New Roman"/>
        </w:rPr>
        <w:t xml:space="preserve">, and careful in the interpretation of the findings (see also Robards </w:t>
      </w:r>
      <w:r w:rsidR="00F870C0" w:rsidRPr="004624D3">
        <w:rPr>
          <w:rFonts w:cs="Times New Roman"/>
          <w:i/>
          <w:iCs/>
        </w:rPr>
        <w:t>et al.</w:t>
      </w:r>
      <w:r w:rsidR="00D41BA7" w:rsidRPr="004624D3">
        <w:rPr>
          <w:rFonts w:cs="Times New Roman"/>
        </w:rPr>
        <w:t>,</w:t>
      </w:r>
      <w:r w:rsidR="00312BB5" w:rsidRPr="004624D3">
        <w:rPr>
          <w:rFonts w:cs="Times New Roman"/>
        </w:rPr>
        <w:t xml:space="preserve"> 2015</w:t>
      </w:r>
      <w:r w:rsidR="00F870C0" w:rsidRPr="004624D3">
        <w:rPr>
          <w:rFonts w:cs="Times New Roman"/>
        </w:rPr>
        <w:t>).</w:t>
      </w:r>
      <w:r w:rsidR="008F0556" w:rsidRPr="004624D3">
        <w:rPr>
          <w:rFonts w:cs="Times New Roman"/>
        </w:rPr>
        <w:t xml:space="preserve"> </w:t>
      </w:r>
    </w:p>
    <w:p w14:paraId="0B088A3F" w14:textId="47C622D6" w:rsidR="00800A9A" w:rsidRPr="004624D3" w:rsidRDefault="00800A9A" w:rsidP="00A55DB6">
      <w:pPr>
        <w:spacing w:after="0" w:line="480" w:lineRule="auto"/>
        <w:jc w:val="both"/>
        <w:rPr>
          <w:rFonts w:cs="Times New Roman"/>
        </w:rPr>
      </w:pPr>
    </w:p>
    <w:p w14:paraId="173350D3" w14:textId="3BD5D64B" w:rsidR="00690754" w:rsidRPr="004624D3" w:rsidRDefault="00690754" w:rsidP="00690754">
      <w:pPr>
        <w:spacing w:after="0" w:line="480" w:lineRule="auto"/>
        <w:jc w:val="center"/>
        <w:rPr>
          <w:rFonts w:cs="Times New Roman"/>
        </w:rPr>
      </w:pPr>
      <w:r w:rsidRPr="004624D3">
        <w:rPr>
          <w:rFonts w:cs="Times New Roman"/>
        </w:rPr>
        <w:t>&lt;Table 2 here&gt;</w:t>
      </w:r>
    </w:p>
    <w:p w14:paraId="57E23B76" w14:textId="77777777" w:rsidR="00690754" w:rsidRPr="004624D3" w:rsidRDefault="00690754" w:rsidP="00A55DB6">
      <w:pPr>
        <w:spacing w:after="0" w:line="480" w:lineRule="auto"/>
        <w:jc w:val="both"/>
        <w:rPr>
          <w:rFonts w:cs="Times New Roman"/>
        </w:rPr>
      </w:pPr>
    </w:p>
    <w:p w14:paraId="7ABE908F" w14:textId="77777777" w:rsidR="00800A9A" w:rsidRPr="004624D3" w:rsidRDefault="00800A9A" w:rsidP="0062265A">
      <w:pPr>
        <w:spacing w:after="0" w:line="480" w:lineRule="auto"/>
        <w:jc w:val="both"/>
        <w:rPr>
          <w:rFonts w:cstheme="majorBidi"/>
          <w:iCs/>
        </w:rPr>
      </w:pPr>
    </w:p>
    <w:p w14:paraId="1402A278" w14:textId="2BE23DD7" w:rsidR="00800A9A" w:rsidRPr="004624D3" w:rsidRDefault="00800A9A" w:rsidP="0062265A">
      <w:pPr>
        <w:spacing w:after="0" w:line="480" w:lineRule="auto"/>
        <w:jc w:val="both"/>
        <w:rPr>
          <w:rFonts w:cstheme="majorBidi"/>
          <w:iCs/>
        </w:rPr>
      </w:pPr>
      <w:r w:rsidRPr="004624D3">
        <w:rPr>
          <w:rFonts w:cstheme="majorBidi"/>
          <w:b/>
          <w:bCs/>
          <w:iCs/>
        </w:rPr>
        <w:t>Outcome variables:</w:t>
      </w:r>
      <w:r w:rsidRPr="004624D3">
        <w:rPr>
          <w:rFonts w:cstheme="majorBidi"/>
          <w:iCs/>
        </w:rPr>
        <w:t xml:space="preserve"> </w:t>
      </w:r>
      <w:r w:rsidR="00720703" w:rsidRPr="004624D3">
        <w:rPr>
          <w:rFonts w:cstheme="majorBidi"/>
          <w:iCs/>
        </w:rPr>
        <w:t>The two outcome variables were the report of depression and poor self-reported health.</w:t>
      </w:r>
      <w:r w:rsidR="00A648AF" w:rsidRPr="004624D3">
        <w:rPr>
          <w:rFonts w:cstheme="majorBidi"/>
          <w:iCs/>
        </w:rPr>
        <w:t xml:space="preserve"> </w:t>
      </w:r>
      <w:r w:rsidR="00720703" w:rsidRPr="004624D3">
        <w:rPr>
          <w:rFonts w:cstheme="majorBidi"/>
          <w:iCs/>
        </w:rPr>
        <w:t>For the former, the question was slightly different between the waves. In wave 7, respondents were asked to report any</w:t>
      </w:r>
      <w:r w:rsidR="00FE44F6" w:rsidRPr="004624D3">
        <w:rPr>
          <w:rFonts w:cstheme="majorBidi"/>
          <w:iCs/>
        </w:rPr>
        <w:t xml:space="preserve"> t</w:t>
      </w:r>
      <w:r w:rsidR="00720703" w:rsidRPr="004624D3">
        <w:rPr>
          <w:rFonts w:cstheme="majorBidi"/>
          <w:iCs/>
        </w:rPr>
        <w:t>ype of long-standing illness, disability or infirmity</w:t>
      </w:r>
      <w:r w:rsidR="00A648AF" w:rsidRPr="004624D3">
        <w:rPr>
          <w:rFonts w:cstheme="majorBidi"/>
          <w:iCs/>
        </w:rPr>
        <w:t xml:space="preserve">, which included depression as one of the responses. In wave 9, depression was included in the responses as a type of an emotional condition. </w:t>
      </w:r>
    </w:p>
    <w:p w14:paraId="1D1DF733" w14:textId="441F8912" w:rsidR="00720703" w:rsidRPr="004624D3" w:rsidRDefault="00720703" w:rsidP="0062265A">
      <w:pPr>
        <w:spacing w:after="0" w:line="480" w:lineRule="auto"/>
        <w:jc w:val="both"/>
        <w:rPr>
          <w:rFonts w:cstheme="majorBidi"/>
          <w:iCs/>
        </w:rPr>
      </w:pPr>
      <w:r w:rsidRPr="004624D3">
        <w:rPr>
          <w:rFonts w:cstheme="majorBidi"/>
          <w:iCs/>
        </w:rPr>
        <w:t xml:space="preserve">For </w:t>
      </w:r>
      <w:r w:rsidR="002028C5" w:rsidRPr="004624D3">
        <w:rPr>
          <w:rFonts w:cstheme="majorBidi"/>
          <w:iCs/>
        </w:rPr>
        <w:t>self-reported health</w:t>
      </w:r>
      <w:r w:rsidRPr="004624D3">
        <w:rPr>
          <w:rFonts w:cstheme="majorBidi"/>
          <w:iCs/>
        </w:rPr>
        <w:t>, the question was:</w:t>
      </w:r>
    </w:p>
    <w:p w14:paraId="7AFB50DA" w14:textId="1FB6F8F4" w:rsidR="00720703" w:rsidRPr="004624D3" w:rsidRDefault="00720703" w:rsidP="00800A9A">
      <w:pPr>
        <w:spacing w:after="0" w:line="480" w:lineRule="auto"/>
        <w:ind w:left="720"/>
        <w:jc w:val="both"/>
        <w:rPr>
          <w:rFonts w:cstheme="majorBidi"/>
          <w:i/>
          <w:iCs/>
        </w:rPr>
      </w:pPr>
      <w:r w:rsidRPr="004624D3">
        <w:rPr>
          <w:rFonts w:cstheme="majorBidi"/>
          <w:i/>
          <w:iCs/>
        </w:rPr>
        <w:lastRenderedPageBreak/>
        <w:t>Please think back over the last 12 months about how your health has been. Compared to people of your own age, would you say that your health has</w:t>
      </w:r>
      <w:r w:rsidR="004E604F" w:rsidRPr="004624D3">
        <w:rPr>
          <w:rFonts w:cstheme="majorBidi"/>
          <w:i/>
          <w:iCs/>
        </w:rPr>
        <w:t>,</w:t>
      </w:r>
      <w:r w:rsidRPr="004624D3">
        <w:rPr>
          <w:rFonts w:cstheme="majorBidi"/>
          <w:i/>
          <w:iCs/>
        </w:rPr>
        <w:t xml:space="preserve"> on the whole</w:t>
      </w:r>
      <w:r w:rsidR="004E604F" w:rsidRPr="004624D3">
        <w:rPr>
          <w:rFonts w:cstheme="majorBidi"/>
          <w:i/>
          <w:iCs/>
        </w:rPr>
        <w:t>,</w:t>
      </w:r>
      <w:r w:rsidRPr="004624D3">
        <w:rPr>
          <w:rFonts w:cstheme="majorBidi"/>
          <w:i/>
          <w:iCs/>
        </w:rPr>
        <w:t xml:space="preserve"> been:</w:t>
      </w:r>
      <w:r w:rsidR="00DA48A4" w:rsidRPr="004624D3">
        <w:rPr>
          <w:rFonts w:cstheme="majorBidi"/>
          <w:i/>
          <w:iCs/>
        </w:rPr>
        <w:t xml:space="preserve"> </w:t>
      </w:r>
      <w:r w:rsidRPr="004624D3">
        <w:rPr>
          <w:rFonts w:cstheme="majorBidi"/>
          <w:i/>
          <w:iCs/>
        </w:rPr>
        <w:t>excellent</w:t>
      </w:r>
      <w:r w:rsidR="00DA48A4" w:rsidRPr="004624D3">
        <w:rPr>
          <w:rFonts w:cstheme="majorBidi"/>
          <w:i/>
          <w:iCs/>
        </w:rPr>
        <w:t>,</w:t>
      </w:r>
      <w:r w:rsidRPr="004624D3">
        <w:rPr>
          <w:rFonts w:cstheme="majorBidi"/>
          <w:i/>
          <w:iCs/>
        </w:rPr>
        <w:t xml:space="preserve"> good</w:t>
      </w:r>
      <w:r w:rsidR="00DA48A4" w:rsidRPr="004624D3">
        <w:rPr>
          <w:rFonts w:cstheme="majorBidi"/>
          <w:i/>
          <w:iCs/>
        </w:rPr>
        <w:t>,</w:t>
      </w:r>
      <w:r w:rsidRPr="004624D3">
        <w:rPr>
          <w:rFonts w:cstheme="majorBidi"/>
          <w:i/>
          <w:iCs/>
        </w:rPr>
        <w:t xml:space="preserve"> fair</w:t>
      </w:r>
      <w:r w:rsidR="00DA48A4" w:rsidRPr="004624D3">
        <w:rPr>
          <w:rFonts w:cstheme="majorBidi"/>
          <w:i/>
          <w:iCs/>
        </w:rPr>
        <w:t>,</w:t>
      </w:r>
      <w:r w:rsidRPr="004624D3">
        <w:rPr>
          <w:rFonts w:cstheme="majorBidi"/>
          <w:i/>
          <w:iCs/>
        </w:rPr>
        <w:t xml:space="preserve"> poor or</w:t>
      </w:r>
      <w:r w:rsidR="00800A9A" w:rsidRPr="004624D3">
        <w:rPr>
          <w:rFonts w:cstheme="majorBidi"/>
          <w:i/>
          <w:iCs/>
        </w:rPr>
        <w:t xml:space="preserve"> </w:t>
      </w:r>
      <w:r w:rsidRPr="004624D3">
        <w:rPr>
          <w:rFonts w:cstheme="majorBidi"/>
          <w:i/>
          <w:iCs/>
        </w:rPr>
        <w:t>very poor?</w:t>
      </w:r>
    </w:p>
    <w:p w14:paraId="6B51D6E5" w14:textId="51E90DD2" w:rsidR="00312BB5" w:rsidRPr="004624D3" w:rsidRDefault="00312BB5" w:rsidP="0062265A">
      <w:pPr>
        <w:spacing w:after="0" w:line="480" w:lineRule="auto"/>
        <w:jc w:val="both"/>
        <w:rPr>
          <w:rFonts w:cstheme="majorBidi"/>
          <w:iCs/>
        </w:rPr>
      </w:pPr>
    </w:p>
    <w:p w14:paraId="51E15795" w14:textId="47C5E248" w:rsidR="00CD5D5B" w:rsidRPr="004624D3" w:rsidRDefault="00800A9A" w:rsidP="001877EF">
      <w:pPr>
        <w:spacing w:after="0" w:line="480" w:lineRule="auto"/>
        <w:jc w:val="both"/>
        <w:rPr>
          <w:rFonts w:cstheme="majorBidi"/>
          <w:iCs/>
        </w:rPr>
      </w:pPr>
      <w:r w:rsidRPr="004624D3">
        <w:rPr>
          <w:rFonts w:cstheme="majorBidi"/>
          <w:b/>
          <w:bCs/>
          <w:iCs/>
        </w:rPr>
        <w:t>Control variables:</w:t>
      </w:r>
      <w:r w:rsidRPr="004624D3">
        <w:rPr>
          <w:rFonts w:cstheme="majorBidi"/>
          <w:iCs/>
        </w:rPr>
        <w:t xml:space="preserve"> </w:t>
      </w:r>
      <w:r w:rsidR="00DA48A4" w:rsidRPr="004624D3">
        <w:rPr>
          <w:rFonts w:cstheme="majorBidi"/>
          <w:iCs/>
        </w:rPr>
        <w:t xml:space="preserve">The variable for educational qualifications distinguished between four categories: Up to </w:t>
      </w:r>
      <w:r w:rsidR="00CD5D5B" w:rsidRPr="004624D3">
        <w:rPr>
          <w:rFonts w:cstheme="majorBidi"/>
          <w:iCs/>
        </w:rPr>
        <w:t>Low O-level</w:t>
      </w:r>
      <w:r w:rsidR="00DA48A4" w:rsidRPr="004624D3">
        <w:rPr>
          <w:rFonts w:cstheme="majorBidi"/>
          <w:iCs/>
        </w:rPr>
        <w:t xml:space="preserve">; </w:t>
      </w:r>
      <w:r w:rsidR="00CD5D5B" w:rsidRPr="004624D3">
        <w:rPr>
          <w:rFonts w:cstheme="majorBidi"/>
          <w:iCs/>
        </w:rPr>
        <w:t>High O-level</w:t>
      </w:r>
      <w:r w:rsidR="00DA48A4" w:rsidRPr="004624D3">
        <w:rPr>
          <w:rFonts w:cstheme="majorBidi"/>
          <w:iCs/>
        </w:rPr>
        <w:t xml:space="preserve">; </w:t>
      </w:r>
      <w:r w:rsidR="00CD5D5B" w:rsidRPr="004624D3">
        <w:rPr>
          <w:rFonts w:cstheme="majorBidi"/>
          <w:iCs/>
        </w:rPr>
        <w:t>A-level and sub-Degree</w:t>
      </w:r>
      <w:r w:rsidR="00DA48A4" w:rsidRPr="004624D3">
        <w:rPr>
          <w:rFonts w:cstheme="majorBidi"/>
          <w:iCs/>
        </w:rPr>
        <w:t xml:space="preserve">; and </w:t>
      </w:r>
      <w:r w:rsidR="00CD5D5B" w:rsidRPr="004624D3">
        <w:rPr>
          <w:rFonts w:cstheme="majorBidi"/>
          <w:iCs/>
        </w:rPr>
        <w:t xml:space="preserve">Degree </w:t>
      </w:r>
      <w:r w:rsidR="00D4461D" w:rsidRPr="004624D3">
        <w:rPr>
          <w:rFonts w:cstheme="majorBidi"/>
          <w:iCs/>
        </w:rPr>
        <w:t xml:space="preserve">or </w:t>
      </w:r>
      <w:r w:rsidR="00CD5D5B" w:rsidRPr="004624D3">
        <w:rPr>
          <w:rFonts w:cstheme="majorBidi"/>
          <w:iCs/>
        </w:rPr>
        <w:t>higher</w:t>
      </w:r>
      <w:r w:rsidR="00DA48A4" w:rsidRPr="004624D3">
        <w:rPr>
          <w:rFonts w:cstheme="majorBidi"/>
          <w:iCs/>
        </w:rPr>
        <w:t>. The categories for the respondents’ living arrangements included:</w:t>
      </w:r>
      <w:r w:rsidR="00312BB5" w:rsidRPr="004624D3">
        <w:rPr>
          <w:rFonts w:cstheme="majorBidi"/>
          <w:iCs/>
        </w:rPr>
        <w:t xml:space="preserve"> </w:t>
      </w:r>
      <w:r w:rsidR="00DA48A4" w:rsidRPr="004624D3">
        <w:rPr>
          <w:rFonts w:cstheme="majorBidi"/>
          <w:iCs/>
        </w:rPr>
        <w:t>l</w:t>
      </w:r>
      <w:r w:rsidR="00CD5D5B" w:rsidRPr="004624D3">
        <w:rPr>
          <w:rFonts w:cstheme="majorBidi"/>
          <w:iCs/>
        </w:rPr>
        <w:t>iving alone</w:t>
      </w:r>
      <w:r w:rsidR="00DA48A4" w:rsidRPr="004624D3">
        <w:rPr>
          <w:rFonts w:cstheme="majorBidi"/>
          <w:iCs/>
        </w:rPr>
        <w:t>, l</w:t>
      </w:r>
      <w:r w:rsidR="00CD5D5B" w:rsidRPr="004624D3">
        <w:rPr>
          <w:rFonts w:cstheme="majorBidi"/>
          <w:iCs/>
        </w:rPr>
        <w:t>iving with partner only</w:t>
      </w:r>
      <w:r w:rsidR="00DA48A4" w:rsidRPr="004624D3">
        <w:rPr>
          <w:rFonts w:cstheme="majorBidi"/>
          <w:iCs/>
        </w:rPr>
        <w:t>, l</w:t>
      </w:r>
      <w:r w:rsidR="00CD5D5B" w:rsidRPr="004624D3">
        <w:rPr>
          <w:rFonts w:cstheme="majorBidi"/>
          <w:iCs/>
        </w:rPr>
        <w:t>iving with partner and others</w:t>
      </w:r>
      <w:r w:rsidR="00DA48A4" w:rsidRPr="004624D3">
        <w:rPr>
          <w:rFonts w:cstheme="majorBidi"/>
          <w:iCs/>
        </w:rPr>
        <w:t xml:space="preserve"> and l</w:t>
      </w:r>
      <w:r w:rsidR="00CD5D5B" w:rsidRPr="004624D3">
        <w:rPr>
          <w:rFonts w:cstheme="majorBidi"/>
          <w:iCs/>
        </w:rPr>
        <w:t>iving with others only</w:t>
      </w:r>
      <w:r w:rsidR="00DA48A4" w:rsidRPr="004624D3">
        <w:rPr>
          <w:rFonts w:cstheme="majorBidi"/>
          <w:iCs/>
        </w:rPr>
        <w:t>.</w:t>
      </w:r>
      <w:r w:rsidR="00D06232" w:rsidRPr="004624D3">
        <w:rPr>
          <w:rFonts w:cstheme="majorBidi"/>
          <w:iCs/>
        </w:rPr>
        <w:t xml:space="preserve"> </w:t>
      </w:r>
      <w:r w:rsidR="00710BF5" w:rsidRPr="004624D3">
        <w:rPr>
          <w:rFonts w:cstheme="majorBidi"/>
          <w:iCs/>
        </w:rPr>
        <w:t xml:space="preserve">Two variables were used regarding relationships. On one </w:t>
      </w:r>
      <w:r w:rsidR="000650DD" w:rsidRPr="004624D3">
        <w:rPr>
          <w:rFonts w:cstheme="majorBidi"/>
          <w:iCs/>
        </w:rPr>
        <w:t>hand, we</w:t>
      </w:r>
      <w:r w:rsidR="00BB3E10" w:rsidRPr="004624D3">
        <w:rPr>
          <w:rFonts w:cstheme="majorBidi"/>
          <w:iCs/>
        </w:rPr>
        <w:t xml:space="preserve"> included </w:t>
      </w:r>
      <w:r w:rsidR="00E614A0" w:rsidRPr="004624D3">
        <w:rPr>
          <w:rFonts w:cstheme="majorBidi"/>
          <w:iCs/>
        </w:rPr>
        <w:t>a variable reco</w:t>
      </w:r>
      <w:r w:rsidR="000C18A4" w:rsidRPr="004624D3">
        <w:rPr>
          <w:rFonts w:cstheme="majorBidi"/>
          <w:iCs/>
        </w:rPr>
        <w:t xml:space="preserve">ded into 3 </w:t>
      </w:r>
      <w:r w:rsidR="00FA4501" w:rsidRPr="004624D3">
        <w:rPr>
          <w:rFonts w:cstheme="majorBidi"/>
          <w:iCs/>
        </w:rPr>
        <w:t>categories</w:t>
      </w:r>
      <w:r w:rsidR="000C18A4" w:rsidRPr="004624D3">
        <w:rPr>
          <w:rFonts w:cstheme="majorBidi"/>
          <w:iCs/>
        </w:rPr>
        <w:t xml:space="preserve"> (</w:t>
      </w:r>
      <w:r w:rsidR="00174288" w:rsidRPr="004624D3">
        <w:rPr>
          <w:rFonts w:cstheme="majorBidi"/>
          <w:iCs/>
        </w:rPr>
        <w:t>Married/civil partnership</w:t>
      </w:r>
      <w:r w:rsidR="000C18A4" w:rsidRPr="004624D3">
        <w:rPr>
          <w:rFonts w:cstheme="majorBidi"/>
          <w:iCs/>
        </w:rPr>
        <w:t xml:space="preserve">; </w:t>
      </w:r>
      <w:r w:rsidR="00174288" w:rsidRPr="004624D3">
        <w:rPr>
          <w:rFonts w:cstheme="majorBidi"/>
          <w:iCs/>
        </w:rPr>
        <w:t>Single never married</w:t>
      </w:r>
      <w:r w:rsidR="00CC7AE6" w:rsidRPr="004624D3">
        <w:rPr>
          <w:rFonts w:cstheme="majorBidi"/>
          <w:iCs/>
        </w:rPr>
        <w:t xml:space="preserve"> and </w:t>
      </w:r>
      <w:r w:rsidR="00174288" w:rsidRPr="004624D3">
        <w:rPr>
          <w:rFonts w:cstheme="majorBidi"/>
          <w:iCs/>
        </w:rPr>
        <w:t>Divorced/ separated/ widowed</w:t>
      </w:r>
      <w:r w:rsidR="00CC7AE6" w:rsidRPr="004624D3">
        <w:rPr>
          <w:rFonts w:cstheme="majorBidi"/>
          <w:iCs/>
        </w:rPr>
        <w:t>)</w:t>
      </w:r>
      <w:r w:rsidR="006E43B3" w:rsidRPr="004624D3">
        <w:rPr>
          <w:rFonts w:cstheme="majorBidi"/>
          <w:iCs/>
        </w:rPr>
        <w:t xml:space="preserve">. On the other hand, we included </w:t>
      </w:r>
      <w:r w:rsidR="003671FE" w:rsidRPr="004624D3">
        <w:rPr>
          <w:rFonts w:cstheme="majorBidi"/>
          <w:iCs/>
        </w:rPr>
        <w:t xml:space="preserve">a variable to </w:t>
      </w:r>
      <w:r w:rsidR="001D7F58" w:rsidRPr="004624D3">
        <w:rPr>
          <w:rFonts w:cstheme="majorBidi"/>
          <w:iCs/>
        </w:rPr>
        <w:t xml:space="preserve">account for </w:t>
      </w:r>
      <w:r w:rsidR="00D85602" w:rsidRPr="004624D3">
        <w:rPr>
          <w:rFonts w:cstheme="majorBidi"/>
          <w:iCs/>
        </w:rPr>
        <w:t xml:space="preserve">the </w:t>
      </w:r>
      <w:r w:rsidR="000650DD" w:rsidRPr="004624D3">
        <w:rPr>
          <w:rFonts w:cstheme="majorBidi"/>
          <w:iCs/>
        </w:rPr>
        <w:t>possibility</w:t>
      </w:r>
      <w:r w:rsidR="00753FF8" w:rsidRPr="004624D3">
        <w:rPr>
          <w:rFonts w:cstheme="majorBidi"/>
          <w:iCs/>
        </w:rPr>
        <w:t xml:space="preserve"> of </w:t>
      </w:r>
      <w:r w:rsidR="00D85602" w:rsidRPr="004624D3">
        <w:rPr>
          <w:rFonts w:cstheme="majorBidi"/>
          <w:iCs/>
        </w:rPr>
        <w:t>becoming widowed along the period of observation</w:t>
      </w:r>
      <w:r w:rsidR="000650DD" w:rsidRPr="004624D3">
        <w:rPr>
          <w:rFonts w:cstheme="majorBidi"/>
          <w:iCs/>
        </w:rPr>
        <w:t>,</w:t>
      </w:r>
      <w:r w:rsidR="00174288" w:rsidRPr="004624D3">
        <w:rPr>
          <w:rFonts w:cstheme="majorBidi"/>
          <w:iCs/>
        </w:rPr>
        <w:t xml:space="preserve"> between age 46 and 55</w:t>
      </w:r>
      <w:r w:rsidR="000650DD" w:rsidRPr="004624D3">
        <w:rPr>
          <w:rFonts w:cstheme="majorBidi"/>
          <w:iCs/>
        </w:rPr>
        <w:t>.</w:t>
      </w:r>
    </w:p>
    <w:p w14:paraId="475904EC" w14:textId="45C77798" w:rsidR="00FA5A77" w:rsidRPr="004624D3" w:rsidRDefault="008B3CC0" w:rsidP="0062265A">
      <w:pPr>
        <w:spacing w:after="0" w:line="480" w:lineRule="auto"/>
        <w:jc w:val="both"/>
        <w:rPr>
          <w:rFonts w:cstheme="majorBidi"/>
          <w:iCs/>
        </w:rPr>
      </w:pPr>
      <w:r w:rsidRPr="004624D3">
        <w:t xml:space="preserve">To account for possible reverse causality </w:t>
      </w:r>
      <w:r w:rsidR="00ED268A" w:rsidRPr="004624D3">
        <w:t xml:space="preserve">deriving from the fact that </w:t>
      </w:r>
      <w:r w:rsidR="00B8320D" w:rsidRPr="004624D3">
        <w:t>poor</w:t>
      </w:r>
      <w:r w:rsidR="00ED268A" w:rsidRPr="004624D3">
        <w:t xml:space="preserve"> health may influence </w:t>
      </w:r>
      <w:r w:rsidR="00140084" w:rsidRPr="004624D3">
        <w:t>the provision of support, w</w:t>
      </w:r>
      <w:r w:rsidR="00FA5A77" w:rsidRPr="004624D3">
        <w:t xml:space="preserve">e also </w:t>
      </w:r>
      <w:r w:rsidRPr="004624D3">
        <w:t xml:space="preserve">included </w:t>
      </w:r>
      <w:r w:rsidR="004B36A5" w:rsidRPr="004624D3">
        <w:t>the</w:t>
      </w:r>
      <w:r w:rsidR="00B8320D" w:rsidRPr="004624D3">
        <w:t xml:space="preserve"> carer’s</w:t>
      </w:r>
      <w:r w:rsidR="004B36A5" w:rsidRPr="004624D3">
        <w:t xml:space="preserve"> health status at</w:t>
      </w:r>
      <w:r w:rsidR="00FA5A77" w:rsidRPr="004624D3">
        <w:t xml:space="preserve"> baseline</w:t>
      </w:r>
      <w:r w:rsidR="000E1229" w:rsidRPr="004624D3">
        <w:t>, an approach that has been used in previous studies to account for reverse causality (</w:t>
      </w:r>
      <w:r w:rsidR="00BD15E9" w:rsidRPr="004624D3">
        <w:t xml:space="preserve">Johnson, 2005; </w:t>
      </w:r>
      <w:r w:rsidR="006D77FE" w:rsidRPr="004624D3">
        <w:t xml:space="preserve">Baker </w:t>
      </w:r>
      <w:r w:rsidR="005F5130" w:rsidRPr="004624D3">
        <w:t>and</w:t>
      </w:r>
      <w:r w:rsidR="006D77FE" w:rsidRPr="004624D3">
        <w:t xml:space="preserve"> Silverstein, 2008; </w:t>
      </w:r>
      <w:r w:rsidR="00D863B0" w:rsidRPr="004624D3">
        <w:t xml:space="preserve">Tosi </w:t>
      </w:r>
      <w:r w:rsidR="005F5130" w:rsidRPr="004624D3">
        <w:t>and</w:t>
      </w:r>
      <w:r w:rsidR="00D863B0" w:rsidRPr="004624D3">
        <w:t xml:space="preserve"> Grundy, 2018; </w:t>
      </w:r>
      <w:r w:rsidR="000833BC" w:rsidRPr="004624D3">
        <w:t xml:space="preserve">Arpino </w:t>
      </w:r>
      <w:r w:rsidR="005F5130" w:rsidRPr="004624D3">
        <w:t>and</w:t>
      </w:r>
      <w:r w:rsidR="000833BC" w:rsidRPr="004624D3">
        <w:t xml:space="preserve"> Gómez-León, 2020)</w:t>
      </w:r>
      <w:r w:rsidR="004B36A5" w:rsidRPr="004624D3">
        <w:t xml:space="preserve">. This </w:t>
      </w:r>
      <w:r w:rsidR="000833BC" w:rsidRPr="004624D3">
        <w:t>allows</w:t>
      </w:r>
      <w:r w:rsidR="004B36A5" w:rsidRPr="004624D3">
        <w:t xml:space="preserve"> </w:t>
      </w:r>
      <w:r w:rsidR="000833BC" w:rsidRPr="004624D3">
        <w:t>us to</w:t>
      </w:r>
      <w:r w:rsidR="00FA5A77" w:rsidRPr="004624D3">
        <w:t xml:space="preserve"> account for the initial </w:t>
      </w:r>
      <w:r w:rsidR="004B36A5" w:rsidRPr="004624D3">
        <w:t>health</w:t>
      </w:r>
      <w:r w:rsidR="00FA5A77" w:rsidRPr="004624D3">
        <w:t xml:space="preserve"> status of </w:t>
      </w:r>
      <w:r w:rsidR="004B36A5" w:rsidRPr="004624D3">
        <w:t>the caregiver</w:t>
      </w:r>
      <w:r w:rsidR="00FA5A77" w:rsidRPr="004624D3">
        <w:t xml:space="preserve"> and its potential influence on providing care to others. </w:t>
      </w:r>
    </w:p>
    <w:p w14:paraId="414B12B2" w14:textId="77777777" w:rsidR="00CD5D5B" w:rsidRPr="004624D3" w:rsidRDefault="00CD5D5B" w:rsidP="0062265A">
      <w:pPr>
        <w:spacing w:after="0" w:line="480" w:lineRule="auto"/>
        <w:jc w:val="both"/>
        <w:rPr>
          <w:rFonts w:cstheme="majorBidi"/>
          <w:i/>
          <w:iCs/>
        </w:rPr>
      </w:pPr>
    </w:p>
    <w:p w14:paraId="7E5459E8" w14:textId="07C00C97" w:rsidR="008F0556" w:rsidRPr="004624D3" w:rsidRDefault="00B4532F" w:rsidP="0062265A">
      <w:pPr>
        <w:pStyle w:val="ListParagraph"/>
        <w:numPr>
          <w:ilvl w:val="1"/>
          <w:numId w:val="10"/>
        </w:numPr>
        <w:spacing w:after="0" w:line="480" w:lineRule="auto"/>
        <w:jc w:val="both"/>
        <w:rPr>
          <w:rFonts w:cstheme="majorBidi"/>
          <w:b/>
          <w:iCs/>
        </w:rPr>
      </w:pPr>
      <w:r w:rsidRPr="004624D3">
        <w:rPr>
          <w:rFonts w:cstheme="majorBidi"/>
          <w:b/>
          <w:iCs/>
        </w:rPr>
        <w:t>Method</w:t>
      </w:r>
      <w:r w:rsidR="002A0BC9" w:rsidRPr="004624D3">
        <w:rPr>
          <w:rFonts w:cstheme="majorBidi"/>
          <w:b/>
          <w:iCs/>
        </w:rPr>
        <w:t>ology</w:t>
      </w:r>
    </w:p>
    <w:p w14:paraId="6DAFAB62" w14:textId="77777777" w:rsidR="002A0BC9" w:rsidRPr="004624D3" w:rsidRDefault="002A0BC9" w:rsidP="0062265A">
      <w:pPr>
        <w:pStyle w:val="ListParagraph"/>
        <w:spacing w:after="0" w:line="480" w:lineRule="auto"/>
        <w:jc w:val="both"/>
        <w:rPr>
          <w:rFonts w:cstheme="majorBidi"/>
          <w:b/>
          <w:iCs/>
        </w:rPr>
      </w:pPr>
    </w:p>
    <w:p w14:paraId="7E5459E9" w14:textId="3B775E93" w:rsidR="00D0425D" w:rsidRPr="004624D3" w:rsidRDefault="00D62C6F" w:rsidP="00DC2FEE">
      <w:pPr>
        <w:spacing w:after="0" w:line="480" w:lineRule="auto"/>
        <w:jc w:val="both"/>
        <w:rPr>
          <w:rFonts w:cstheme="majorBidi"/>
        </w:rPr>
      </w:pPr>
      <w:r w:rsidRPr="004624D3">
        <w:rPr>
          <w:rFonts w:cstheme="majorBidi"/>
        </w:rPr>
        <w:t xml:space="preserve">In the first part of the analysis, </w:t>
      </w:r>
      <w:r w:rsidR="00F158D6" w:rsidRPr="004624D3">
        <w:rPr>
          <w:rFonts w:cstheme="majorBidi"/>
        </w:rPr>
        <w:t>descriptive statistics</w:t>
      </w:r>
      <w:r w:rsidR="000865A5" w:rsidRPr="004624D3">
        <w:rPr>
          <w:rFonts w:cstheme="majorBidi"/>
        </w:rPr>
        <w:t xml:space="preserve"> are used </w:t>
      </w:r>
      <w:r w:rsidR="00F158D6" w:rsidRPr="004624D3">
        <w:rPr>
          <w:rFonts w:cstheme="majorBidi"/>
        </w:rPr>
        <w:t xml:space="preserve">in order to </w:t>
      </w:r>
      <w:r w:rsidR="00102392" w:rsidRPr="004624D3">
        <w:rPr>
          <w:rFonts w:cstheme="majorBidi"/>
        </w:rPr>
        <w:t>examine the in</w:t>
      </w:r>
      <w:r w:rsidR="004B7874" w:rsidRPr="004624D3">
        <w:rPr>
          <w:rFonts w:cstheme="majorBidi"/>
        </w:rPr>
        <w:t xml:space="preserve">tensity of care provided </w:t>
      </w:r>
      <w:r w:rsidR="00F158D6" w:rsidRPr="004624D3">
        <w:rPr>
          <w:rFonts w:cstheme="majorBidi"/>
        </w:rPr>
        <w:t>only among the respondents at risk of caring across the three waves, and</w:t>
      </w:r>
      <w:r w:rsidR="004B7874" w:rsidRPr="004624D3">
        <w:rPr>
          <w:rFonts w:cstheme="majorBidi"/>
        </w:rPr>
        <w:t xml:space="preserve"> to map the trajectories of care provision between ages 46-50.</w:t>
      </w:r>
      <w:r w:rsidR="00F158D6" w:rsidRPr="004624D3">
        <w:rPr>
          <w:rFonts w:cstheme="majorBidi"/>
        </w:rPr>
        <w:t xml:space="preserve"> The second part of the analysis uses logistic regressions to examine the association between the different caring trajectories between waves 7-9, and two health </w:t>
      </w:r>
      <w:r w:rsidR="009307C9" w:rsidRPr="004624D3">
        <w:rPr>
          <w:rFonts w:cstheme="majorBidi"/>
        </w:rPr>
        <w:t xml:space="preserve">outcomes in wave 9, controlling for these health characteristics at </w:t>
      </w:r>
      <w:r w:rsidR="00F158D6" w:rsidRPr="004624D3">
        <w:rPr>
          <w:rFonts w:cstheme="majorBidi"/>
        </w:rPr>
        <w:t xml:space="preserve">baseline (wave 7). </w:t>
      </w:r>
      <w:r w:rsidR="00B80F3A" w:rsidRPr="004624D3">
        <w:rPr>
          <w:rFonts w:cstheme="majorBidi"/>
        </w:rPr>
        <w:t>Throughout the analysis, male and female carers</w:t>
      </w:r>
      <w:r w:rsidR="00DC614E" w:rsidRPr="004624D3">
        <w:rPr>
          <w:rFonts w:cstheme="majorBidi"/>
        </w:rPr>
        <w:t xml:space="preserve"> are distinguished</w:t>
      </w:r>
      <w:r w:rsidR="00B80F3A" w:rsidRPr="004624D3">
        <w:rPr>
          <w:rFonts w:cstheme="majorBidi"/>
        </w:rPr>
        <w:t>, as previous research has shown gender to directly affect the nature of care provision (</w:t>
      </w:r>
      <w:r w:rsidR="00801F3D" w:rsidRPr="004624D3">
        <w:rPr>
          <w:rFonts w:cstheme="majorBidi"/>
        </w:rPr>
        <w:t>see for example Saraceno and Keck 2011</w:t>
      </w:r>
      <w:r w:rsidR="00B80F3A" w:rsidRPr="004624D3">
        <w:rPr>
          <w:rFonts w:cstheme="majorBidi"/>
        </w:rPr>
        <w:t>).</w:t>
      </w:r>
    </w:p>
    <w:p w14:paraId="7E5459EB" w14:textId="77777777" w:rsidR="007A73C8" w:rsidRPr="004624D3" w:rsidRDefault="007A73C8" w:rsidP="0062265A">
      <w:pPr>
        <w:spacing w:after="0" w:line="480" w:lineRule="auto"/>
      </w:pPr>
    </w:p>
    <w:p w14:paraId="7E5459FD" w14:textId="074EC717" w:rsidR="00005C9B" w:rsidRPr="004624D3" w:rsidRDefault="00005C9B" w:rsidP="0062265A">
      <w:pPr>
        <w:pStyle w:val="ListParagraph"/>
        <w:numPr>
          <w:ilvl w:val="0"/>
          <w:numId w:val="10"/>
        </w:numPr>
        <w:spacing w:after="0" w:line="480" w:lineRule="auto"/>
        <w:rPr>
          <w:b/>
        </w:rPr>
      </w:pPr>
      <w:r w:rsidRPr="004624D3">
        <w:rPr>
          <w:b/>
        </w:rPr>
        <w:t>Results</w:t>
      </w:r>
    </w:p>
    <w:p w14:paraId="0F4B6D33" w14:textId="77777777" w:rsidR="00CA3FA8" w:rsidRPr="004624D3" w:rsidRDefault="00CA3FA8" w:rsidP="0062265A">
      <w:pPr>
        <w:spacing w:after="0" w:line="480" w:lineRule="auto"/>
        <w:ind w:left="360"/>
        <w:rPr>
          <w:b/>
        </w:rPr>
      </w:pPr>
    </w:p>
    <w:p w14:paraId="2022B49E" w14:textId="10D9D19F" w:rsidR="002A0BC9" w:rsidRPr="004624D3" w:rsidRDefault="006D36BB" w:rsidP="0062265A">
      <w:pPr>
        <w:spacing w:after="0" w:line="480" w:lineRule="auto"/>
        <w:ind w:left="360"/>
        <w:rPr>
          <w:b/>
        </w:rPr>
      </w:pPr>
      <w:r w:rsidRPr="004624D3">
        <w:rPr>
          <w:b/>
        </w:rPr>
        <w:t>5</w:t>
      </w:r>
      <w:r w:rsidR="002A0BC9" w:rsidRPr="004624D3">
        <w:rPr>
          <w:b/>
        </w:rPr>
        <w:t>.1 Descriptive results</w:t>
      </w:r>
    </w:p>
    <w:p w14:paraId="6F0A3B6E" w14:textId="1C3B66CD" w:rsidR="00B4532F" w:rsidRPr="004624D3" w:rsidRDefault="00DF3AB1" w:rsidP="0062265A">
      <w:pPr>
        <w:spacing w:after="0" w:line="480" w:lineRule="auto"/>
        <w:rPr>
          <w:b/>
        </w:rPr>
      </w:pPr>
      <w:r w:rsidRPr="004624D3">
        <w:rPr>
          <w:b/>
        </w:rPr>
        <w:t xml:space="preserve">5.1.1 </w:t>
      </w:r>
      <w:r w:rsidR="0002599A" w:rsidRPr="004624D3">
        <w:rPr>
          <w:b/>
        </w:rPr>
        <w:t>P</w:t>
      </w:r>
      <w:r w:rsidR="00CA3FA8" w:rsidRPr="004624D3">
        <w:rPr>
          <w:b/>
        </w:rPr>
        <w:t>revalence</w:t>
      </w:r>
      <w:r w:rsidRPr="004624D3">
        <w:rPr>
          <w:b/>
        </w:rPr>
        <w:t xml:space="preserve"> of care provision at age 46, 50 and 55 amongst those ‘at risk’</w:t>
      </w:r>
    </w:p>
    <w:p w14:paraId="4FBBF9CF" w14:textId="6247E5C7" w:rsidR="00F158D6" w:rsidRPr="004624D3" w:rsidRDefault="00DF3AB1" w:rsidP="0002599A">
      <w:pPr>
        <w:spacing w:after="0" w:line="480" w:lineRule="auto"/>
        <w:jc w:val="both"/>
      </w:pPr>
      <w:r w:rsidRPr="004624D3">
        <w:t>As discussed in section 4.1 above, the analytical sample used in this paper is restricted to those cohort members who were ‘at risk</w:t>
      </w:r>
      <w:r w:rsidR="00816E57" w:rsidRPr="004624D3">
        <w:t>’</w:t>
      </w:r>
      <w:r w:rsidRPr="004624D3">
        <w:t xml:space="preserve"> of providing informal care to their parents/ parents-in-law</w:t>
      </w:r>
      <w:r w:rsidR="00CA3FA8" w:rsidRPr="004624D3">
        <w:t xml:space="preserve">. </w:t>
      </w:r>
      <w:r w:rsidRPr="004624D3">
        <w:t xml:space="preserve"> </w:t>
      </w:r>
      <w:r w:rsidR="00F158D6" w:rsidRPr="004624D3">
        <w:t>Figure 1</w:t>
      </w:r>
      <w:r w:rsidR="00CE708A" w:rsidRPr="004624D3">
        <w:t xml:space="preserve"> shows the percentage of respondents at risk of caring in each of the three waves, by their </w:t>
      </w:r>
      <w:r w:rsidR="00B34C94" w:rsidRPr="004624D3">
        <w:t xml:space="preserve">gender, </w:t>
      </w:r>
      <w:r w:rsidR="00CE708A" w:rsidRPr="004624D3">
        <w:t>caring status</w:t>
      </w:r>
      <w:r w:rsidR="00DD3FFD" w:rsidRPr="004624D3">
        <w:t xml:space="preserve"> and</w:t>
      </w:r>
      <w:r w:rsidR="00CE708A" w:rsidRPr="004624D3">
        <w:t xml:space="preserve"> care intensity</w:t>
      </w:r>
      <w:r w:rsidR="00DD3FFD" w:rsidRPr="004624D3">
        <w:t xml:space="preserve">. </w:t>
      </w:r>
      <w:r w:rsidR="006658AF" w:rsidRPr="004624D3">
        <w:t>At age 46, around</w:t>
      </w:r>
      <w:r w:rsidR="00DD3FFD" w:rsidRPr="004624D3">
        <w:t xml:space="preserve"> 9</w:t>
      </w:r>
      <w:r w:rsidR="003456D1" w:rsidRPr="004624D3">
        <w:t xml:space="preserve"> per cent</w:t>
      </w:r>
      <w:r w:rsidR="00DD3FFD" w:rsidRPr="004624D3">
        <w:t xml:space="preserve"> of men and 16</w:t>
      </w:r>
      <w:r w:rsidR="003456D1" w:rsidRPr="004624D3">
        <w:t xml:space="preserve"> per cent</w:t>
      </w:r>
      <w:r w:rsidR="00DD3FFD" w:rsidRPr="004624D3">
        <w:t xml:space="preserve"> of women were providing care to a parent/ parent-in-law, </w:t>
      </w:r>
      <w:r w:rsidR="006658AF" w:rsidRPr="004624D3">
        <w:t>of whom around one in ten</w:t>
      </w:r>
      <w:r w:rsidR="00DD3FFD" w:rsidRPr="004624D3">
        <w:t xml:space="preserve"> </w:t>
      </w:r>
      <w:r w:rsidR="006658AF" w:rsidRPr="004624D3">
        <w:t xml:space="preserve">were providing care of </w:t>
      </w:r>
      <w:r w:rsidR="00DD3FFD" w:rsidRPr="004624D3">
        <w:t>20 or more hours per week. By the age of 50, the proportion of both men and women providing care had increased significantly (61</w:t>
      </w:r>
      <w:r w:rsidR="003456D1" w:rsidRPr="004624D3">
        <w:t xml:space="preserve"> per cent</w:t>
      </w:r>
      <w:r w:rsidR="00DD3FFD" w:rsidRPr="004624D3">
        <w:t xml:space="preserve"> of men and 58</w:t>
      </w:r>
      <w:r w:rsidR="003456D1" w:rsidRPr="004624D3">
        <w:t xml:space="preserve"> per cent</w:t>
      </w:r>
      <w:r w:rsidR="00DD3FFD" w:rsidRPr="004624D3">
        <w:t xml:space="preserve"> of women), but the majority of such care (93</w:t>
      </w:r>
      <w:r w:rsidR="003456D1" w:rsidRPr="004624D3">
        <w:t xml:space="preserve"> per cent</w:t>
      </w:r>
      <w:r w:rsidR="00DD3FFD" w:rsidRPr="004624D3">
        <w:t xml:space="preserve"> among male carers and 86</w:t>
      </w:r>
      <w:r w:rsidR="003456D1" w:rsidRPr="004624D3">
        <w:t xml:space="preserve"> per cent</w:t>
      </w:r>
      <w:r w:rsidR="00DD3FFD" w:rsidRPr="004624D3">
        <w:t xml:space="preserve"> among female carers) was of low intensity (up to 9 hours per week). </w:t>
      </w:r>
      <w:r w:rsidR="006658AF" w:rsidRPr="004624D3">
        <w:t>By age 55, t</w:t>
      </w:r>
      <w:r w:rsidR="00DD3FFD" w:rsidRPr="004624D3">
        <w:t xml:space="preserve">he proportion </w:t>
      </w:r>
      <w:r w:rsidR="006658AF" w:rsidRPr="004624D3">
        <w:t>providing care had further</w:t>
      </w:r>
      <w:r w:rsidR="00DD3FFD" w:rsidRPr="004624D3">
        <w:t xml:space="preserve"> increased slightly </w:t>
      </w:r>
      <w:r w:rsidR="006658AF" w:rsidRPr="004624D3">
        <w:t>amongst</w:t>
      </w:r>
      <w:r w:rsidR="00DD3FFD" w:rsidRPr="004624D3">
        <w:t xml:space="preserve"> both men and women (65</w:t>
      </w:r>
      <w:r w:rsidR="003456D1" w:rsidRPr="004624D3">
        <w:t xml:space="preserve"> per cent</w:t>
      </w:r>
      <w:r w:rsidR="00DD3FFD" w:rsidRPr="004624D3">
        <w:t xml:space="preserve"> of men and 60</w:t>
      </w:r>
      <w:r w:rsidR="003456D1" w:rsidRPr="004624D3">
        <w:t xml:space="preserve"> per cent</w:t>
      </w:r>
      <w:r w:rsidR="00DD3FFD" w:rsidRPr="004624D3">
        <w:t xml:space="preserve"> of women), and the intensity of care </w:t>
      </w:r>
      <w:r w:rsidR="006658AF" w:rsidRPr="004624D3">
        <w:t xml:space="preserve">provision </w:t>
      </w:r>
      <w:r w:rsidR="00DD3FFD" w:rsidRPr="004624D3">
        <w:t>also increased. About 8</w:t>
      </w:r>
      <w:r w:rsidR="003456D1" w:rsidRPr="004624D3">
        <w:t xml:space="preserve"> per cent</w:t>
      </w:r>
      <w:r w:rsidR="00DD3FFD" w:rsidRPr="004624D3">
        <w:t xml:space="preserve"> of m</w:t>
      </w:r>
      <w:r w:rsidR="006658AF" w:rsidRPr="004624D3">
        <w:t>ale</w:t>
      </w:r>
      <w:r w:rsidR="00DD3FFD" w:rsidRPr="004624D3">
        <w:t xml:space="preserve"> and 13</w:t>
      </w:r>
      <w:r w:rsidR="003456D1" w:rsidRPr="004624D3">
        <w:t xml:space="preserve"> per cent</w:t>
      </w:r>
      <w:r w:rsidR="00DD3FFD" w:rsidRPr="004624D3">
        <w:t xml:space="preserve"> of </w:t>
      </w:r>
      <w:r w:rsidR="006658AF" w:rsidRPr="004624D3">
        <w:t>female</w:t>
      </w:r>
      <w:r w:rsidR="00DD3FFD" w:rsidRPr="004624D3">
        <w:t xml:space="preserve"> carers </w:t>
      </w:r>
      <w:r w:rsidR="006658AF" w:rsidRPr="004624D3">
        <w:t xml:space="preserve">at age 55 were </w:t>
      </w:r>
      <w:r w:rsidR="00DD3FFD" w:rsidRPr="004624D3">
        <w:t>provid</w:t>
      </w:r>
      <w:r w:rsidR="006658AF" w:rsidRPr="004624D3">
        <w:t>ing</w:t>
      </w:r>
      <w:r w:rsidR="00DD3FFD" w:rsidRPr="004624D3">
        <w:t xml:space="preserve"> care between 10-19 hours per week, and about 5</w:t>
      </w:r>
      <w:r w:rsidR="003456D1" w:rsidRPr="004624D3">
        <w:t xml:space="preserve"> per cent</w:t>
      </w:r>
      <w:r w:rsidR="00DD3FFD" w:rsidRPr="004624D3">
        <w:t xml:space="preserve"> and 8</w:t>
      </w:r>
      <w:r w:rsidR="003456D1" w:rsidRPr="004624D3">
        <w:t xml:space="preserve"> per cent</w:t>
      </w:r>
      <w:r w:rsidR="00DD3FFD" w:rsidRPr="004624D3">
        <w:t xml:space="preserve"> respectively </w:t>
      </w:r>
      <w:r w:rsidR="006658AF" w:rsidRPr="004624D3">
        <w:t xml:space="preserve">were </w:t>
      </w:r>
      <w:r w:rsidR="00DD3FFD" w:rsidRPr="004624D3">
        <w:t>car</w:t>
      </w:r>
      <w:r w:rsidR="006658AF" w:rsidRPr="004624D3">
        <w:t>ing</w:t>
      </w:r>
      <w:r w:rsidR="00DD3FFD" w:rsidRPr="004624D3">
        <w:t xml:space="preserve"> for 20 hours or more per week.</w:t>
      </w:r>
    </w:p>
    <w:p w14:paraId="24D19D53" w14:textId="029FA036" w:rsidR="00F158D6" w:rsidRPr="004624D3" w:rsidRDefault="00F158D6" w:rsidP="0062265A">
      <w:pPr>
        <w:spacing w:after="0" w:line="480" w:lineRule="auto"/>
        <w:rPr>
          <w:b/>
        </w:rPr>
      </w:pPr>
    </w:p>
    <w:p w14:paraId="40D1D823" w14:textId="199B2F9E" w:rsidR="00690754" w:rsidRPr="004624D3" w:rsidRDefault="00690754" w:rsidP="00690754">
      <w:pPr>
        <w:spacing w:after="0" w:line="480" w:lineRule="auto"/>
        <w:jc w:val="center"/>
        <w:rPr>
          <w:bCs/>
        </w:rPr>
      </w:pPr>
      <w:r w:rsidRPr="004624D3">
        <w:rPr>
          <w:bCs/>
        </w:rPr>
        <w:t>&lt;Figure 1 here&gt;</w:t>
      </w:r>
    </w:p>
    <w:p w14:paraId="33D6A3FB" w14:textId="77777777" w:rsidR="00B71FBD" w:rsidRPr="004624D3" w:rsidRDefault="00B71FBD" w:rsidP="00B71FBD">
      <w:pPr>
        <w:spacing w:after="0" w:line="480" w:lineRule="auto"/>
        <w:jc w:val="both"/>
      </w:pPr>
    </w:p>
    <w:p w14:paraId="5DE4379D" w14:textId="7F6AC86B" w:rsidR="00B71FBD" w:rsidRPr="004624D3" w:rsidRDefault="00B71FBD" w:rsidP="00B71FBD">
      <w:pPr>
        <w:spacing w:after="0" w:line="480" w:lineRule="auto"/>
        <w:jc w:val="both"/>
      </w:pPr>
      <w:r w:rsidRPr="004624D3">
        <w:t xml:space="preserve">As illustrated in </w:t>
      </w:r>
      <w:r w:rsidR="00816E57" w:rsidRPr="004624D3">
        <w:t>T</w:t>
      </w:r>
      <w:r w:rsidRPr="004624D3">
        <w:t xml:space="preserve">able 1, the majority of the </w:t>
      </w:r>
      <w:r w:rsidR="00FD7565" w:rsidRPr="004624D3">
        <w:t xml:space="preserve">original </w:t>
      </w:r>
      <w:r w:rsidRPr="004624D3">
        <w:t>sample were at risk of providing help to parents/ parents-in-law at all three points in time</w:t>
      </w:r>
      <w:r w:rsidR="00C80C76" w:rsidRPr="004624D3">
        <w:t xml:space="preserve"> (82 per cent men and 74 per cent women)</w:t>
      </w:r>
      <w:r w:rsidRPr="004624D3">
        <w:t xml:space="preserve">, i.e. at ages 46, 50 and 55; amongst </w:t>
      </w:r>
      <w:r w:rsidR="001519D1" w:rsidRPr="004624D3">
        <w:t>these</w:t>
      </w:r>
      <w:r w:rsidRPr="004624D3">
        <w:t>, 87</w:t>
      </w:r>
      <w:r w:rsidR="003456D1" w:rsidRPr="004624D3">
        <w:t xml:space="preserve"> per cent</w:t>
      </w:r>
      <w:r w:rsidRPr="004624D3">
        <w:t xml:space="preserve"> of men and 89</w:t>
      </w:r>
      <w:r w:rsidR="003456D1" w:rsidRPr="004624D3">
        <w:t xml:space="preserve"> per cent</w:t>
      </w:r>
      <w:r w:rsidRPr="004624D3">
        <w:t xml:space="preserve"> of women had provided care to their parent/ parent-in-law at least once between the ages of 46 and 55</w:t>
      </w:r>
      <w:r w:rsidR="002B108C" w:rsidRPr="004624D3">
        <w:t xml:space="preserve"> (</w:t>
      </w:r>
      <w:r w:rsidR="002B108C" w:rsidRPr="004624D3">
        <w:rPr>
          <w:rFonts w:eastAsia="Times New Roman" w:cs="Times New Roman"/>
          <w:bCs/>
          <w:color w:val="000000"/>
        </w:rPr>
        <w:t>Supplementary Table 1)</w:t>
      </w:r>
      <w:r w:rsidRPr="004624D3">
        <w:t xml:space="preserve">. </w:t>
      </w:r>
      <w:r w:rsidR="00735B56" w:rsidRPr="004624D3">
        <w:t>Within our sample, a</w:t>
      </w:r>
      <w:r w:rsidRPr="004624D3">
        <w:t>bout 1</w:t>
      </w:r>
      <w:r w:rsidR="00FD7565" w:rsidRPr="004624D3">
        <w:t>3</w:t>
      </w:r>
      <w:r w:rsidR="003456D1" w:rsidRPr="004624D3">
        <w:t xml:space="preserve"> per cent</w:t>
      </w:r>
      <w:r w:rsidRPr="004624D3">
        <w:t xml:space="preserve"> and </w:t>
      </w:r>
      <w:r w:rsidR="00FD7565" w:rsidRPr="004624D3">
        <w:t>19</w:t>
      </w:r>
      <w:r w:rsidR="003456D1" w:rsidRPr="004624D3">
        <w:t xml:space="preserve"> per cent</w:t>
      </w:r>
      <w:r w:rsidRPr="004624D3">
        <w:t xml:space="preserve"> of </w:t>
      </w:r>
      <w:r w:rsidR="00735B56" w:rsidRPr="004624D3">
        <w:t>men and women</w:t>
      </w:r>
      <w:r w:rsidRPr="004624D3">
        <w:t xml:space="preserve"> respectively faced an intermittent </w:t>
      </w:r>
      <w:r w:rsidRPr="004624D3">
        <w:lastRenderedPageBreak/>
        <w:t>risk of caring</w:t>
      </w:r>
      <w:r w:rsidR="00735B56" w:rsidRPr="004624D3">
        <w:t>,</w:t>
      </w:r>
      <w:r w:rsidRPr="004624D3">
        <w:t xml:space="preserve"> meaning that they were at risk in one or two waves; amongst these around a half had provided care at least once during mid-life</w:t>
      </w:r>
      <w:r w:rsidR="00735B56" w:rsidRPr="004624D3">
        <w:t>; highlighting that caring during mid-life is far from a rare occurrence</w:t>
      </w:r>
      <w:r w:rsidRPr="004624D3">
        <w:t>. More detailed patterns of the risk of caring are shown in Supplementary Table 1.</w:t>
      </w:r>
    </w:p>
    <w:p w14:paraId="44288BD9" w14:textId="2C82D19C" w:rsidR="00F158D6" w:rsidRPr="004624D3" w:rsidRDefault="00F158D6" w:rsidP="0062265A">
      <w:pPr>
        <w:spacing w:after="0" w:line="480" w:lineRule="auto"/>
      </w:pPr>
    </w:p>
    <w:p w14:paraId="54264B3A" w14:textId="5AC5A429" w:rsidR="002A0BC9" w:rsidRPr="004624D3" w:rsidRDefault="006D36BB" w:rsidP="0062265A">
      <w:pPr>
        <w:spacing w:after="0" w:line="480" w:lineRule="auto"/>
        <w:ind w:firstLine="720"/>
        <w:rPr>
          <w:b/>
          <w:bCs/>
        </w:rPr>
      </w:pPr>
      <w:r w:rsidRPr="004624D3">
        <w:rPr>
          <w:b/>
          <w:bCs/>
        </w:rPr>
        <w:t>5</w:t>
      </w:r>
      <w:r w:rsidR="002A0BC9" w:rsidRPr="004624D3">
        <w:rPr>
          <w:b/>
          <w:bCs/>
        </w:rPr>
        <w:t>.1.</w:t>
      </w:r>
      <w:r w:rsidR="00B71FBD" w:rsidRPr="004624D3">
        <w:rPr>
          <w:b/>
          <w:bCs/>
        </w:rPr>
        <w:t>2</w:t>
      </w:r>
      <w:r w:rsidR="002A0BC9" w:rsidRPr="004624D3">
        <w:rPr>
          <w:b/>
          <w:bCs/>
        </w:rPr>
        <w:t xml:space="preserve"> Caring trajectories</w:t>
      </w:r>
    </w:p>
    <w:p w14:paraId="534F040E" w14:textId="77777777" w:rsidR="00A66A0E" w:rsidRPr="004624D3" w:rsidRDefault="00A66A0E" w:rsidP="00CA3FA8">
      <w:pPr>
        <w:spacing w:after="0" w:line="480" w:lineRule="auto"/>
        <w:jc w:val="both"/>
      </w:pPr>
    </w:p>
    <w:p w14:paraId="5E9C7A8F" w14:textId="2A0EEB81" w:rsidR="00F158D6" w:rsidRPr="004624D3" w:rsidRDefault="00A66A0E" w:rsidP="00324266">
      <w:pPr>
        <w:spacing w:after="0" w:line="480" w:lineRule="auto"/>
      </w:pPr>
      <w:r w:rsidRPr="004624D3">
        <w:t>Table 3 shows t</w:t>
      </w:r>
      <w:r w:rsidR="00B80F3A" w:rsidRPr="004624D3">
        <w:t xml:space="preserve">he caring trajectories among </w:t>
      </w:r>
      <w:r w:rsidRPr="004624D3">
        <w:t xml:space="preserve">all </w:t>
      </w:r>
      <w:r w:rsidR="00B80F3A" w:rsidRPr="004624D3">
        <w:t>respondents who were at risk of caring. About 4</w:t>
      </w:r>
      <w:r w:rsidR="003456D1" w:rsidRPr="004624D3">
        <w:t xml:space="preserve"> per</w:t>
      </w:r>
      <w:r w:rsidR="00324266" w:rsidRPr="004624D3">
        <w:t xml:space="preserve"> </w:t>
      </w:r>
      <w:r w:rsidR="003456D1" w:rsidRPr="004624D3">
        <w:t>cent</w:t>
      </w:r>
      <w:r w:rsidR="00B80F3A" w:rsidRPr="004624D3">
        <w:t xml:space="preserve"> of m</w:t>
      </w:r>
      <w:r w:rsidR="006658AF" w:rsidRPr="004624D3">
        <w:t>ale</w:t>
      </w:r>
      <w:r w:rsidR="00B80F3A" w:rsidRPr="004624D3">
        <w:t xml:space="preserve"> and 7</w:t>
      </w:r>
      <w:r w:rsidR="003456D1" w:rsidRPr="004624D3">
        <w:t xml:space="preserve"> per cent</w:t>
      </w:r>
      <w:r w:rsidR="00B80F3A" w:rsidRPr="004624D3">
        <w:t xml:space="preserve"> of </w:t>
      </w:r>
      <w:r w:rsidR="006658AF" w:rsidRPr="004624D3">
        <w:t xml:space="preserve">female cohort members </w:t>
      </w:r>
      <w:r w:rsidR="00B80F3A" w:rsidRPr="004624D3">
        <w:t>had provided care i</w:t>
      </w:r>
      <w:r w:rsidR="005F1391" w:rsidRPr="004624D3">
        <w:t>n</w:t>
      </w:r>
      <w:r w:rsidR="00B80F3A" w:rsidRPr="004624D3">
        <w:t xml:space="preserve"> all three waves, described as </w:t>
      </w:r>
      <w:r w:rsidR="006658AF" w:rsidRPr="004624D3">
        <w:t>“</w:t>
      </w:r>
      <w:r w:rsidR="007B2B8A" w:rsidRPr="004624D3">
        <w:t>repeat</w:t>
      </w:r>
      <w:r w:rsidR="00B80F3A" w:rsidRPr="004624D3">
        <w:t xml:space="preserve"> carers</w:t>
      </w:r>
      <w:r w:rsidR="006658AF" w:rsidRPr="004624D3">
        <w:t>”</w:t>
      </w:r>
      <w:r w:rsidR="00735B56" w:rsidRPr="004624D3">
        <w:t>. S</w:t>
      </w:r>
      <w:r w:rsidR="00D91B3C" w:rsidRPr="004624D3">
        <w:t xml:space="preserve">imilar proportions had stopped providing care </w:t>
      </w:r>
      <w:r w:rsidR="002A19E5" w:rsidRPr="004624D3">
        <w:t xml:space="preserve">either at </w:t>
      </w:r>
      <w:r w:rsidR="00D91B3C" w:rsidRPr="004624D3">
        <w:t>age 50 or 55</w:t>
      </w:r>
      <w:r w:rsidR="00B80F3A" w:rsidRPr="004624D3">
        <w:t xml:space="preserve">. </w:t>
      </w:r>
      <w:r w:rsidR="005F1391" w:rsidRPr="004624D3">
        <w:t xml:space="preserve">About </w:t>
      </w:r>
      <w:r w:rsidR="00D91B3C" w:rsidRPr="004624D3">
        <w:t>15</w:t>
      </w:r>
      <w:r w:rsidR="003456D1" w:rsidRPr="004624D3">
        <w:t xml:space="preserve"> per cent</w:t>
      </w:r>
      <w:r w:rsidR="00D91B3C" w:rsidRPr="004624D3">
        <w:t xml:space="preserve"> of both men and women were </w:t>
      </w:r>
      <w:r w:rsidR="006658AF" w:rsidRPr="004624D3">
        <w:t>“</w:t>
      </w:r>
      <w:r w:rsidR="00D91B3C" w:rsidRPr="004624D3">
        <w:t>intermittent carers</w:t>
      </w:r>
      <w:r w:rsidR="006658AF" w:rsidRPr="004624D3">
        <w:t>”</w:t>
      </w:r>
      <w:r w:rsidR="00D91B3C" w:rsidRPr="004624D3">
        <w:t xml:space="preserve">, caring at age 46 and 55 but not at age 50; or at age 50 only. </w:t>
      </w:r>
      <w:r w:rsidR="00B80F3A" w:rsidRPr="004624D3">
        <w:t xml:space="preserve">The </w:t>
      </w:r>
      <w:r w:rsidR="00735B56" w:rsidRPr="004624D3">
        <w:t xml:space="preserve">most common trajectory was as a </w:t>
      </w:r>
      <w:r w:rsidR="006658AF" w:rsidRPr="004624D3">
        <w:t>“</w:t>
      </w:r>
      <w:r w:rsidR="00735B56" w:rsidRPr="004624D3">
        <w:t>new carer</w:t>
      </w:r>
      <w:r w:rsidR="006658AF" w:rsidRPr="004624D3">
        <w:t>”</w:t>
      </w:r>
      <w:r w:rsidR="00735B56" w:rsidRPr="004624D3">
        <w:t xml:space="preserve"> </w:t>
      </w:r>
      <w:r w:rsidR="00B80F3A" w:rsidRPr="004624D3">
        <w:t>(52</w:t>
      </w:r>
      <w:r w:rsidR="003456D1" w:rsidRPr="004624D3">
        <w:t xml:space="preserve"> per cent</w:t>
      </w:r>
      <w:r w:rsidR="00B80F3A" w:rsidRPr="004624D3">
        <w:t xml:space="preserve"> for men and 41</w:t>
      </w:r>
      <w:r w:rsidR="003456D1" w:rsidRPr="004624D3">
        <w:t xml:space="preserve"> per cent</w:t>
      </w:r>
      <w:r w:rsidR="00B80F3A" w:rsidRPr="004624D3">
        <w:t xml:space="preserve"> for women)</w:t>
      </w:r>
      <w:r w:rsidR="00735B56" w:rsidRPr="004624D3">
        <w:t xml:space="preserve">, comprising cohort members who had taken </w:t>
      </w:r>
      <w:r w:rsidR="00B80F3A" w:rsidRPr="004624D3">
        <w:t>up caring at age</w:t>
      </w:r>
      <w:r w:rsidR="00735B56" w:rsidRPr="004624D3">
        <w:t>s</w:t>
      </w:r>
      <w:r w:rsidR="00B80F3A" w:rsidRPr="004624D3">
        <w:t xml:space="preserve"> 50 or 55. </w:t>
      </w:r>
      <w:r w:rsidR="00BD1201" w:rsidRPr="004624D3">
        <w:t>One-quarter of me</w:t>
      </w:r>
      <w:r w:rsidR="006658AF" w:rsidRPr="004624D3">
        <w:t>n</w:t>
      </w:r>
      <w:r w:rsidR="00BD1201" w:rsidRPr="004624D3">
        <w:t xml:space="preserve"> and 29</w:t>
      </w:r>
      <w:r w:rsidR="003456D1" w:rsidRPr="004624D3">
        <w:t xml:space="preserve"> per cent</w:t>
      </w:r>
      <w:r w:rsidR="00BD1201" w:rsidRPr="004624D3">
        <w:t xml:space="preserve"> of women </w:t>
      </w:r>
      <w:r w:rsidR="00735B56" w:rsidRPr="004624D3">
        <w:t xml:space="preserve">in the sample </w:t>
      </w:r>
      <w:r w:rsidR="00A87752" w:rsidRPr="004624D3">
        <w:t>reported</w:t>
      </w:r>
      <w:r w:rsidR="00BD1201" w:rsidRPr="004624D3">
        <w:t xml:space="preserve"> not provid</w:t>
      </w:r>
      <w:r w:rsidR="00A87752" w:rsidRPr="004624D3">
        <w:t>ing</w:t>
      </w:r>
      <w:r w:rsidR="00BD1201" w:rsidRPr="004624D3">
        <w:t xml:space="preserve"> any care to </w:t>
      </w:r>
      <w:r w:rsidR="00735B56" w:rsidRPr="004624D3">
        <w:t xml:space="preserve">their surviving </w:t>
      </w:r>
      <w:r w:rsidR="00BD1201" w:rsidRPr="004624D3">
        <w:t>parents/ parents-in-law in any of the three waves.</w:t>
      </w:r>
    </w:p>
    <w:p w14:paraId="2EE7262C" w14:textId="2A821AD1" w:rsidR="004B7874" w:rsidRPr="004624D3" w:rsidRDefault="004B7874" w:rsidP="0062265A">
      <w:pPr>
        <w:spacing w:after="0" w:line="480" w:lineRule="auto"/>
      </w:pPr>
    </w:p>
    <w:p w14:paraId="5C4B9778" w14:textId="18E60CDC" w:rsidR="00690754" w:rsidRPr="004624D3" w:rsidRDefault="00690754" w:rsidP="00690754">
      <w:pPr>
        <w:spacing w:after="0" w:line="480" w:lineRule="auto"/>
        <w:jc w:val="center"/>
      </w:pPr>
      <w:r w:rsidRPr="004624D3">
        <w:t>&lt;Table 3 here&gt;</w:t>
      </w:r>
    </w:p>
    <w:p w14:paraId="7ACE60F2" w14:textId="77777777" w:rsidR="00690754" w:rsidRPr="004624D3" w:rsidRDefault="00690754" w:rsidP="0062265A">
      <w:pPr>
        <w:spacing w:after="0" w:line="480" w:lineRule="auto"/>
      </w:pPr>
    </w:p>
    <w:p w14:paraId="3DFCF525" w14:textId="77777777" w:rsidR="00801649" w:rsidRPr="004624D3" w:rsidRDefault="00801649" w:rsidP="0062265A">
      <w:pPr>
        <w:spacing w:after="0" w:line="480" w:lineRule="auto"/>
      </w:pPr>
    </w:p>
    <w:p w14:paraId="336C8DDB" w14:textId="5EA18639" w:rsidR="00D96CD9" w:rsidRPr="004624D3" w:rsidRDefault="005F1391" w:rsidP="0062265A">
      <w:pPr>
        <w:spacing w:after="0" w:line="480" w:lineRule="auto"/>
      </w:pPr>
      <w:r w:rsidRPr="004624D3">
        <w:t xml:space="preserve">For the next part of the analysis, </w:t>
      </w:r>
      <w:r w:rsidR="00324266" w:rsidRPr="004624D3">
        <w:t>repeat</w:t>
      </w:r>
      <w:r w:rsidR="009C43AD" w:rsidRPr="004624D3">
        <w:t xml:space="preserve"> </w:t>
      </w:r>
      <w:r w:rsidRPr="004624D3">
        <w:t>n</w:t>
      </w:r>
      <w:r w:rsidR="00BD1201" w:rsidRPr="004624D3">
        <w:t xml:space="preserve">on-carers </w:t>
      </w:r>
      <w:r w:rsidR="009132C9" w:rsidRPr="004624D3">
        <w:t xml:space="preserve">were excluded </w:t>
      </w:r>
      <w:r w:rsidR="00975C35" w:rsidRPr="004624D3">
        <w:t xml:space="preserve">from </w:t>
      </w:r>
      <w:r w:rsidR="00BD1201" w:rsidRPr="004624D3">
        <w:t>the sample</w:t>
      </w:r>
      <w:r w:rsidR="00752F0F" w:rsidRPr="004624D3">
        <w:t>. F</w:t>
      </w:r>
      <w:r w:rsidR="00B34C94" w:rsidRPr="004624D3">
        <w:t xml:space="preserve">ocusing on </w:t>
      </w:r>
      <w:r w:rsidR="009C43AD" w:rsidRPr="004624D3">
        <w:t xml:space="preserve">those </w:t>
      </w:r>
      <w:r w:rsidR="006658AF" w:rsidRPr="004624D3">
        <w:t xml:space="preserve">cohort members </w:t>
      </w:r>
      <w:r w:rsidR="009C43AD" w:rsidRPr="004624D3">
        <w:t xml:space="preserve">who </w:t>
      </w:r>
      <w:r w:rsidR="006658AF" w:rsidRPr="004624D3">
        <w:t xml:space="preserve">reported providing </w:t>
      </w:r>
      <w:r w:rsidR="009C43AD" w:rsidRPr="004624D3">
        <w:t xml:space="preserve">care at least once, </w:t>
      </w:r>
      <w:r w:rsidR="00B34C94" w:rsidRPr="004624D3">
        <w:t>we</w:t>
      </w:r>
      <w:r w:rsidR="00BD1201" w:rsidRPr="004624D3">
        <w:t xml:space="preserve"> examined the</w:t>
      </w:r>
      <w:r w:rsidR="00B34C94" w:rsidRPr="004624D3">
        <w:t>ir</w:t>
      </w:r>
      <w:r w:rsidR="00BD1201" w:rsidRPr="004624D3">
        <w:t xml:space="preserve"> </w:t>
      </w:r>
      <w:r w:rsidR="007A62B3" w:rsidRPr="004624D3">
        <w:t xml:space="preserve">caring </w:t>
      </w:r>
      <w:r w:rsidR="00BD1201" w:rsidRPr="004624D3">
        <w:t xml:space="preserve">trajectories </w:t>
      </w:r>
      <w:r w:rsidR="00B34C94" w:rsidRPr="004624D3">
        <w:t xml:space="preserve">and the care intensity </w:t>
      </w:r>
      <w:r w:rsidR="00822ADB" w:rsidRPr="004624D3">
        <w:t>(up to 9 hours</w:t>
      </w:r>
      <w:r w:rsidR="007630D9" w:rsidRPr="004624D3">
        <w:t xml:space="preserve">/ 10-19 hours/20 hours or more) </w:t>
      </w:r>
      <w:r w:rsidR="00B34C94" w:rsidRPr="004624D3">
        <w:t xml:space="preserve">of such provision </w:t>
      </w:r>
      <w:r w:rsidR="007A62B3" w:rsidRPr="004624D3">
        <w:t>over the three time points</w:t>
      </w:r>
      <w:r w:rsidR="009A0288" w:rsidRPr="004624D3">
        <w:t xml:space="preserve"> (Table </w:t>
      </w:r>
      <w:r w:rsidR="00AC3260" w:rsidRPr="004624D3">
        <w:t>4</w:t>
      </w:r>
      <w:r w:rsidR="009A0288" w:rsidRPr="004624D3">
        <w:t>)</w:t>
      </w:r>
      <w:r w:rsidR="007A62B3" w:rsidRPr="004624D3">
        <w:t>.</w:t>
      </w:r>
      <w:r w:rsidR="005B7081" w:rsidRPr="004624D3">
        <w:t xml:space="preserve"> Among </w:t>
      </w:r>
      <w:r w:rsidR="005668CB" w:rsidRPr="004624D3">
        <w:t xml:space="preserve">those </w:t>
      </w:r>
      <w:r w:rsidR="006658AF" w:rsidRPr="004624D3">
        <w:t xml:space="preserve">mid-life </w:t>
      </w:r>
      <w:r w:rsidR="005B7081" w:rsidRPr="004624D3">
        <w:t>men caring in all three waves, 81</w:t>
      </w:r>
      <w:r w:rsidR="003456D1" w:rsidRPr="004624D3">
        <w:t xml:space="preserve"> per cent</w:t>
      </w:r>
      <w:r w:rsidR="005B7081" w:rsidRPr="004624D3">
        <w:t xml:space="preserve"> provided up to 9 hours of care per week</w:t>
      </w:r>
      <w:r w:rsidR="00752F0F" w:rsidRPr="004624D3">
        <w:t xml:space="preserve"> at age 46</w:t>
      </w:r>
      <w:r w:rsidR="005B7081" w:rsidRPr="004624D3">
        <w:t>, compared with 70</w:t>
      </w:r>
      <w:r w:rsidR="003456D1" w:rsidRPr="004624D3">
        <w:t xml:space="preserve"> per cent</w:t>
      </w:r>
      <w:r w:rsidR="005B7081" w:rsidRPr="004624D3">
        <w:t xml:space="preserve"> of </w:t>
      </w:r>
      <w:r w:rsidR="00752F0F" w:rsidRPr="004624D3">
        <w:t xml:space="preserve">women </w:t>
      </w:r>
      <w:r w:rsidR="004D49BF" w:rsidRPr="004624D3">
        <w:t xml:space="preserve">at </w:t>
      </w:r>
      <w:r w:rsidR="00752F0F" w:rsidRPr="004624D3">
        <w:t xml:space="preserve">the same </w:t>
      </w:r>
      <w:r w:rsidR="005B7081" w:rsidRPr="004624D3">
        <w:t>age</w:t>
      </w:r>
      <w:r w:rsidR="004D49BF" w:rsidRPr="004624D3">
        <w:t>; and about 5</w:t>
      </w:r>
      <w:r w:rsidR="003456D1" w:rsidRPr="004624D3">
        <w:t xml:space="preserve"> per cent</w:t>
      </w:r>
      <w:r w:rsidR="004D49BF" w:rsidRPr="004624D3">
        <w:t xml:space="preserve"> of men and 8</w:t>
      </w:r>
      <w:r w:rsidR="003456D1" w:rsidRPr="004624D3">
        <w:t xml:space="preserve"> per cent</w:t>
      </w:r>
      <w:r w:rsidR="004D49BF" w:rsidRPr="004624D3">
        <w:t xml:space="preserve"> of women in th</w:t>
      </w:r>
      <w:r w:rsidR="00F157A2" w:rsidRPr="004624D3">
        <w:t>is</w:t>
      </w:r>
      <w:r w:rsidR="004D49BF" w:rsidRPr="004624D3">
        <w:t xml:space="preserve"> categor</w:t>
      </w:r>
      <w:r w:rsidR="00F157A2" w:rsidRPr="004624D3">
        <w:t>y</w:t>
      </w:r>
      <w:r w:rsidR="004D49BF" w:rsidRPr="004624D3">
        <w:t xml:space="preserve"> provided 20 hours or more of care per week. As they aged,</w:t>
      </w:r>
      <w:r w:rsidR="005668CB" w:rsidRPr="004624D3">
        <w:t xml:space="preserve"> a higher proportion of</w:t>
      </w:r>
      <w:r w:rsidR="004D49BF" w:rsidRPr="004624D3">
        <w:t xml:space="preserve"> </w:t>
      </w:r>
      <w:r w:rsidR="00752F0F" w:rsidRPr="004624D3">
        <w:t>‘</w:t>
      </w:r>
      <w:r w:rsidR="007B2B8A" w:rsidRPr="004624D3">
        <w:t>repeat</w:t>
      </w:r>
      <w:r w:rsidR="004D49BF" w:rsidRPr="004624D3">
        <w:t xml:space="preserve"> carers</w:t>
      </w:r>
      <w:r w:rsidR="00752F0F" w:rsidRPr="004624D3">
        <w:t>’</w:t>
      </w:r>
      <w:r w:rsidR="004D49BF" w:rsidRPr="004624D3">
        <w:t xml:space="preserve"> provided more intense care</w:t>
      </w:r>
      <w:r w:rsidR="00752F0F" w:rsidRPr="004624D3">
        <w:t>; by age 55,</w:t>
      </w:r>
      <w:r w:rsidR="004D49BF" w:rsidRPr="004624D3">
        <w:t xml:space="preserve"> 8</w:t>
      </w:r>
      <w:r w:rsidR="003456D1" w:rsidRPr="004624D3">
        <w:t xml:space="preserve"> per cent</w:t>
      </w:r>
      <w:r w:rsidR="004D49BF" w:rsidRPr="004624D3">
        <w:t xml:space="preserve"> of m</w:t>
      </w:r>
      <w:r w:rsidR="00752F0F" w:rsidRPr="004624D3">
        <w:t>ale</w:t>
      </w:r>
      <w:r w:rsidR="004D49BF" w:rsidRPr="004624D3">
        <w:t xml:space="preserve"> </w:t>
      </w:r>
      <w:r w:rsidR="00C17790" w:rsidRPr="004624D3">
        <w:t xml:space="preserve">and </w:t>
      </w:r>
      <w:r w:rsidR="004D49BF" w:rsidRPr="004624D3">
        <w:t>18</w:t>
      </w:r>
      <w:r w:rsidR="003456D1" w:rsidRPr="004624D3">
        <w:t xml:space="preserve"> per cent</w:t>
      </w:r>
      <w:r w:rsidR="004D49BF" w:rsidRPr="004624D3">
        <w:t xml:space="preserve"> of </w:t>
      </w:r>
      <w:r w:rsidR="00752F0F" w:rsidRPr="004624D3">
        <w:t xml:space="preserve">female </w:t>
      </w:r>
      <w:r w:rsidR="007B2B8A" w:rsidRPr="004624D3">
        <w:t>repeat</w:t>
      </w:r>
      <w:r w:rsidR="00752F0F" w:rsidRPr="004624D3">
        <w:t xml:space="preserve"> carers</w:t>
      </w:r>
      <w:r w:rsidR="004D49BF" w:rsidRPr="004624D3">
        <w:t xml:space="preserve"> </w:t>
      </w:r>
      <w:r w:rsidR="00752F0F" w:rsidRPr="004624D3">
        <w:t xml:space="preserve">were </w:t>
      </w:r>
      <w:r w:rsidR="004D49BF" w:rsidRPr="004624D3">
        <w:t xml:space="preserve">providing </w:t>
      </w:r>
      <w:r w:rsidR="004D49BF" w:rsidRPr="004624D3">
        <w:lastRenderedPageBreak/>
        <w:t>20 or more hours of care per week</w:t>
      </w:r>
      <w:r w:rsidR="005668CB" w:rsidRPr="004624D3">
        <w:t xml:space="preserve">, reflecting the </w:t>
      </w:r>
      <w:r w:rsidR="005668CB" w:rsidRPr="004624D3">
        <w:rPr>
          <w:i/>
          <w:iCs/>
        </w:rPr>
        <w:t xml:space="preserve">intensification of care provision </w:t>
      </w:r>
      <w:r w:rsidR="00956D5F" w:rsidRPr="004624D3">
        <w:rPr>
          <w:i/>
          <w:iCs/>
        </w:rPr>
        <w:t>through mid-life</w:t>
      </w:r>
      <w:r w:rsidR="00956D5F" w:rsidRPr="004624D3">
        <w:t xml:space="preserve"> </w:t>
      </w:r>
      <w:r w:rsidR="005668CB" w:rsidRPr="004624D3">
        <w:t>as their surviving parents/parents in law also age</w:t>
      </w:r>
      <w:r w:rsidR="00956D5F" w:rsidRPr="004624D3">
        <w:t>d</w:t>
      </w:r>
      <w:r w:rsidR="008009F1" w:rsidRPr="004624D3">
        <w:t xml:space="preserve"> and their age-related care needs increase</w:t>
      </w:r>
      <w:r w:rsidR="005668CB" w:rsidRPr="004624D3">
        <w:t>.</w:t>
      </w:r>
      <w:r w:rsidR="004D49BF" w:rsidRPr="004624D3">
        <w:t xml:space="preserve"> </w:t>
      </w:r>
      <w:r w:rsidR="00752F0F" w:rsidRPr="004624D3">
        <w:t>In contrast, a</w:t>
      </w:r>
      <w:r w:rsidR="004D49BF" w:rsidRPr="004624D3">
        <w:t>mong new carers, i</w:t>
      </w:r>
      <w:r w:rsidR="004F5EDD" w:rsidRPr="004624D3">
        <w:t>.</w:t>
      </w:r>
      <w:r w:rsidR="004D49BF" w:rsidRPr="004624D3">
        <w:t xml:space="preserve">e. </w:t>
      </w:r>
      <w:r w:rsidR="004F5EDD" w:rsidRPr="004624D3">
        <w:t>t</w:t>
      </w:r>
      <w:r w:rsidR="004D49BF" w:rsidRPr="004624D3">
        <w:t xml:space="preserve">hose who provided care for the first time at age 50 or 55, the vast majority provided </w:t>
      </w:r>
      <w:r w:rsidR="00956D5F" w:rsidRPr="004624D3">
        <w:t xml:space="preserve">low intensity </w:t>
      </w:r>
      <w:r w:rsidR="004D49BF" w:rsidRPr="004624D3">
        <w:t xml:space="preserve">care for up to 9 hours per week, among both men and women. </w:t>
      </w:r>
      <w:r w:rsidR="008009F1" w:rsidRPr="004624D3">
        <w:t>Again, however, there is some evidence to support the notion of intensification of care</w:t>
      </w:r>
      <w:r w:rsidR="00956D5F" w:rsidRPr="004624D3">
        <w:t xml:space="preserve"> provision during mid-life</w:t>
      </w:r>
      <w:r w:rsidR="008009F1" w:rsidRPr="004624D3">
        <w:t>, especially amongst women care</w:t>
      </w:r>
      <w:r w:rsidR="00A544A1" w:rsidRPr="004624D3">
        <w:t>r</w:t>
      </w:r>
      <w:r w:rsidR="008009F1" w:rsidRPr="004624D3">
        <w:t>s. At age 55</w:t>
      </w:r>
      <w:r w:rsidR="00956D5F" w:rsidRPr="004624D3">
        <w:t>,</w:t>
      </w:r>
      <w:r w:rsidR="008009F1" w:rsidRPr="004624D3">
        <w:t xml:space="preserve"> 12</w:t>
      </w:r>
      <w:r w:rsidR="003456D1" w:rsidRPr="004624D3">
        <w:t xml:space="preserve"> per cent</w:t>
      </w:r>
      <w:r w:rsidR="008009F1" w:rsidRPr="004624D3">
        <w:t xml:space="preserve"> of ‘new carers’ were caring for 10-19 hours and </w:t>
      </w:r>
      <w:r w:rsidR="005C09B0" w:rsidRPr="004624D3">
        <w:t>6</w:t>
      </w:r>
      <w:r w:rsidR="003456D1" w:rsidRPr="004624D3">
        <w:t xml:space="preserve"> per cent</w:t>
      </w:r>
      <w:r w:rsidR="008009F1" w:rsidRPr="004624D3">
        <w:t xml:space="preserve"> were caring for 20 or more hours.</w:t>
      </w:r>
    </w:p>
    <w:p w14:paraId="7A51C43F" w14:textId="77777777" w:rsidR="00D96CD9" w:rsidRPr="004624D3" w:rsidRDefault="00D96CD9" w:rsidP="0062265A">
      <w:pPr>
        <w:spacing w:after="0" w:line="480" w:lineRule="auto"/>
      </w:pPr>
    </w:p>
    <w:p w14:paraId="7E545A65" w14:textId="6745A45C" w:rsidR="00547BDB" w:rsidRPr="004624D3" w:rsidRDefault="004D49BF" w:rsidP="0062265A">
      <w:pPr>
        <w:spacing w:after="0" w:line="480" w:lineRule="auto"/>
      </w:pPr>
      <w:r w:rsidRPr="004624D3">
        <w:t>Intermittent care provision was less indicative of a pattern: 89</w:t>
      </w:r>
      <w:r w:rsidR="003456D1" w:rsidRPr="004624D3">
        <w:t xml:space="preserve"> per cent</w:t>
      </w:r>
      <w:r w:rsidRPr="004624D3">
        <w:t xml:space="preserve"> of men and 84</w:t>
      </w:r>
      <w:r w:rsidR="003456D1" w:rsidRPr="004624D3">
        <w:t xml:space="preserve"> per cent</w:t>
      </w:r>
      <w:r w:rsidRPr="004624D3">
        <w:t xml:space="preserve"> of women aged 50 in this category provided up to 9 hours of care per week, but the vast majority were not providing any care at ages 46 or 55. </w:t>
      </w:r>
      <w:r w:rsidR="009C43AD" w:rsidRPr="004624D3">
        <w:t xml:space="preserve">Looking at those who stopped caring, </w:t>
      </w:r>
      <w:r w:rsidRPr="004624D3">
        <w:t xml:space="preserve">the </w:t>
      </w:r>
      <w:r w:rsidR="009C43AD" w:rsidRPr="004624D3">
        <w:t xml:space="preserve">proportion providing intensive care necessarily declines as those who previously provided care now do not. </w:t>
      </w:r>
    </w:p>
    <w:p w14:paraId="7E545A66" w14:textId="1A5F2E3F" w:rsidR="00547BDB" w:rsidRPr="004624D3" w:rsidRDefault="00547BDB" w:rsidP="0062265A">
      <w:pPr>
        <w:spacing w:after="0" w:line="480" w:lineRule="auto"/>
      </w:pPr>
    </w:p>
    <w:p w14:paraId="507DF470" w14:textId="05F204AB" w:rsidR="00690754" w:rsidRPr="004624D3" w:rsidRDefault="00690754" w:rsidP="00690754">
      <w:pPr>
        <w:spacing w:after="0" w:line="480" w:lineRule="auto"/>
        <w:jc w:val="center"/>
      </w:pPr>
      <w:r w:rsidRPr="004624D3">
        <w:t>&lt;Table 4 here&gt;</w:t>
      </w:r>
    </w:p>
    <w:p w14:paraId="16F69AD9" w14:textId="77777777" w:rsidR="00690754" w:rsidRPr="004624D3" w:rsidRDefault="00690754" w:rsidP="0062265A">
      <w:pPr>
        <w:spacing w:after="0" w:line="480" w:lineRule="auto"/>
      </w:pPr>
    </w:p>
    <w:p w14:paraId="2D6383E1" w14:textId="73549B17" w:rsidR="009A0288" w:rsidRPr="004624D3" w:rsidRDefault="009A0288" w:rsidP="0062265A">
      <w:pPr>
        <w:spacing w:after="0" w:line="480" w:lineRule="auto"/>
      </w:pPr>
    </w:p>
    <w:p w14:paraId="0FCEC169" w14:textId="6B5551C6" w:rsidR="002A0BC9" w:rsidRPr="004624D3" w:rsidRDefault="002A0BC9" w:rsidP="0062265A">
      <w:pPr>
        <w:spacing w:after="0" w:line="480" w:lineRule="auto"/>
        <w:rPr>
          <w:b/>
          <w:bCs/>
        </w:rPr>
      </w:pPr>
      <w:r w:rsidRPr="004624D3">
        <w:rPr>
          <w:b/>
          <w:bCs/>
        </w:rPr>
        <w:tab/>
      </w:r>
      <w:r w:rsidR="006D36BB" w:rsidRPr="004624D3">
        <w:rPr>
          <w:b/>
          <w:bCs/>
        </w:rPr>
        <w:t>5</w:t>
      </w:r>
      <w:r w:rsidRPr="004624D3">
        <w:rPr>
          <w:b/>
          <w:bCs/>
        </w:rPr>
        <w:t>.1.</w:t>
      </w:r>
      <w:r w:rsidR="009C43AD" w:rsidRPr="004624D3">
        <w:rPr>
          <w:b/>
          <w:bCs/>
        </w:rPr>
        <w:t>3</w:t>
      </w:r>
      <w:r w:rsidRPr="004624D3">
        <w:rPr>
          <w:b/>
          <w:bCs/>
        </w:rPr>
        <w:t xml:space="preserve"> </w:t>
      </w:r>
      <w:r w:rsidR="00752F0F" w:rsidRPr="004624D3">
        <w:rPr>
          <w:b/>
          <w:bCs/>
        </w:rPr>
        <w:t>R</w:t>
      </w:r>
      <w:r w:rsidRPr="004624D3">
        <w:rPr>
          <w:b/>
          <w:bCs/>
        </w:rPr>
        <w:t>eport of depression and poor health status</w:t>
      </w:r>
      <w:r w:rsidR="00CB1AD0" w:rsidRPr="004624D3">
        <w:rPr>
          <w:b/>
          <w:bCs/>
        </w:rPr>
        <w:t xml:space="preserve"> at age 55</w:t>
      </w:r>
      <w:r w:rsidRPr="004624D3">
        <w:rPr>
          <w:b/>
          <w:bCs/>
        </w:rPr>
        <w:t xml:space="preserve">, by </w:t>
      </w:r>
      <w:r w:rsidR="005F1391" w:rsidRPr="004624D3">
        <w:rPr>
          <w:b/>
          <w:bCs/>
        </w:rPr>
        <w:t xml:space="preserve">gender and </w:t>
      </w:r>
      <w:r w:rsidRPr="004624D3">
        <w:rPr>
          <w:b/>
          <w:bCs/>
        </w:rPr>
        <w:t>caring trajectory</w:t>
      </w:r>
    </w:p>
    <w:p w14:paraId="3C38253E" w14:textId="77777777" w:rsidR="002A0BC9" w:rsidRPr="004624D3" w:rsidRDefault="002A0BC9" w:rsidP="0062265A">
      <w:pPr>
        <w:spacing w:after="0" w:line="480" w:lineRule="auto"/>
      </w:pPr>
    </w:p>
    <w:p w14:paraId="574A7FF6" w14:textId="13E12B56" w:rsidR="00D4352E" w:rsidRPr="004624D3" w:rsidRDefault="00493092" w:rsidP="001877EF">
      <w:pPr>
        <w:spacing w:after="0" w:line="480" w:lineRule="auto"/>
      </w:pPr>
      <w:r w:rsidRPr="004624D3">
        <w:t xml:space="preserve">Table </w:t>
      </w:r>
      <w:r w:rsidR="00AC3260" w:rsidRPr="004624D3">
        <w:t>5</w:t>
      </w:r>
      <w:r w:rsidR="007A1897" w:rsidRPr="004624D3">
        <w:t xml:space="preserve"> &amp; </w:t>
      </w:r>
      <w:r w:rsidR="00405531" w:rsidRPr="004624D3">
        <w:t xml:space="preserve">table </w:t>
      </w:r>
      <w:r w:rsidR="007A1897" w:rsidRPr="004624D3">
        <w:t>6</w:t>
      </w:r>
      <w:r w:rsidR="00AC3260" w:rsidRPr="004624D3">
        <w:t xml:space="preserve"> </w:t>
      </w:r>
      <w:r w:rsidRPr="004624D3">
        <w:t xml:space="preserve">present </w:t>
      </w:r>
      <w:r w:rsidR="00D5331F" w:rsidRPr="004624D3">
        <w:t>the</w:t>
      </w:r>
      <w:r w:rsidR="00CB2580" w:rsidRPr="004624D3">
        <w:t xml:space="preserve"> health status</w:t>
      </w:r>
      <w:r w:rsidR="000421E6" w:rsidRPr="004624D3">
        <w:t xml:space="preserve"> at age 55</w:t>
      </w:r>
      <w:r w:rsidR="00CB2580" w:rsidRPr="004624D3">
        <w:t xml:space="preserve"> of indiv</w:t>
      </w:r>
      <w:r w:rsidR="007A1897" w:rsidRPr="004624D3">
        <w:t>iduals according</w:t>
      </w:r>
      <w:r w:rsidR="000421E6" w:rsidRPr="004624D3">
        <w:t xml:space="preserve"> to the</w:t>
      </w:r>
      <w:r w:rsidR="00405531" w:rsidRPr="004624D3">
        <w:t>ir</w:t>
      </w:r>
      <w:r w:rsidR="000421E6" w:rsidRPr="004624D3">
        <w:t xml:space="preserve"> care trajectories</w:t>
      </w:r>
      <w:r w:rsidR="001E4B4E" w:rsidRPr="004624D3">
        <w:t xml:space="preserve"> (</w:t>
      </w:r>
      <w:r w:rsidR="00B8320D" w:rsidRPr="004624D3">
        <w:t>T</w:t>
      </w:r>
      <w:r w:rsidR="001E4B4E" w:rsidRPr="004624D3">
        <w:t xml:space="preserve">able 5 for </w:t>
      </w:r>
      <w:r w:rsidR="0072013A" w:rsidRPr="004624D3">
        <w:t>the prevalence</w:t>
      </w:r>
      <w:r w:rsidRPr="004624D3">
        <w:t xml:space="preserve"> of</w:t>
      </w:r>
      <w:r w:rsidR="00B65D65" w:rsidRPr="004624D3">
        <w:t xml:space="preserve"> </w:t>
      </w:r>
      <w:r w:rsidRPr="004624D3">
        <w:t xml:space="preserve">depression, whilst Table </w:t>
      </w:r>
      <w:r w:rsidR="00BD7E08" w:rsidRPr="004624D3">
        <w:t xml:space="preserve">6 </w:t>
      </w:r>
      <w:r w:rsidRPr="004624D3">
        <w:t>shows self-reported health</w:t>
      </w:r>
      <w:r w:rsidR="001E4B4E" w:rsidRPr="004624D3">
        <w:t>)</w:t>
      </w:r>
      <w:r w:rsidR="00DD2A46" w:rsidRPr="004624D3">
        <w:t xml:space="preserve"> for males and females separately</w:t>
      </w:r>
      <w:r w:rsidR="009A0288" w:rsidRPr="004624D3">
        <w:t xml:space="preserve">. </w:t>
      </w:r>
      <w:r w:rsidR="005F1391" w:rsidRPr="004624D3">
        <w:t>About 9</w:t>
      </w:r>
      <w:r w:rsidR="003456D1" w:rsidRPr="004624D3">
        <w:t xml:space="preserve"> per cent</w:t>
      </w:r>
      <w:r w:rsidR="005F1391" w:rsidRPr="004624D3">
        <w:t xml:space="preserve"> of </w:t>
      </w:r>
      <w:r w:rsidR="00160813" w:rsidRPr="004624D3">
        <w:t>male respondents reported symptoms of depression,</w:t>
      </w:r>
      <w:r w:rsidR="00D5606C" w:rsidRPr="004624D3">
        <w:t xml:space="preserve"> with </w:t>
      </w:r>
      <w:r w:rsidR="005F1391" w:rsidRPr="004624D3">
        <w:t xml:space="preserve">a </w:t>
      </w:r>
      <w:r w:rsidR="00D5606C" w:rsidRPr="004624D3">
        <w:t>higher prevalence among those who stopped caring (14</w:t>
      </w:r>
      <w:r w:rsidR="003456D1" w:rsidRPr="004624D3">
        <w:t xml:space="preserve"> per cent</w:t>
      </w:r>
      <w:r w:rsidR="00D5606C" w:rsidRPr="004624D3">
        <w:t xml:space="preserve">) followed by sporadic/intermittent carers and </w:t>
      </w:r>
      <w:r w:rsidR="007B2B8A" w:rsidRPr="004624D3">
        <w:t>repeat</w:t>
      </w:r>
      <w:r w:rsidR="00D5606C" w:rsidRPr="004624D3">
        <w:t xml:space="preserve"> carers with </w:t>
      </w:r>
      <w:r w:rsidR="005F1391" w:rsidRPr="004624D3">
        <w:t xml:space="preserve">a prevalence </w:t>
      </w:r>
      <w:r w:rsidR="00D5606C" w:rsidRPr="004624D3">
        <w:t>around 10</w:t>
      </w:r>
      <w:r w:rsidR="003456D1" w:rsidRPr="004624D3">
        <w:t xml:space="preserve"> per cent</w:t>
      </w:r>
      <w:r w:rsidR="009E103A" w:rsidRPr="004624D3">
        <w:t xml:space="preserve"> (Table 5)</w:t>
      </w:r>
      <w:r w:rsidR="00D5606C" w:rsidRPr="004624D3">
        <w:t xml:space="preserve">. </w:t>
      </w:r>
      <w:r w:rsidR="00D035BE" w:rsidRPr="004624D3">
        <w:t xml:space="preserve">The lowest </w:t>
      </w:r>
      <w:r w:rsidR="005F1391" w:rsidRPr="004624D3">
        <w:t>prevalence was</w:t>
      </w:r>
      <w:r w:rsidR="00D035BE" w:rsidRPr="004624D3">
        <w:t xml:space="preserve"> fo</w:t>
      </w:r>
      <w:r w:rsidR="005F1391" w:rsidRPr="004624D3">
        <w:t>u</w:t>
      </w:r>
      <w:r w:rsidR="00D035BE" w:rsidRPr="004624D3">
        <w:t>nd among the new carers</w:t>
      </w:r>
      <w:r w:rsidR="00C73490" w:rsidRPr="004624D3">
        <w:t xml:space="preserve"> </w:t>
      </w:r>
      <w:r w:rsidR="005F1391" w:rsidRPr="004624D3">
        <w:t>(</w:t>
      </w:r>
      <w:r w:rsidR="00C73490" w:rsidRPr="004624D3">
        <w:t>8</w:t>
      </w:r>
      <w:r w:rsidR="003456D1" w:rsidRPr="004624D3">
        <w:t xml:space="preserve"> per cent</w:t>
      </w:r>
      <w:r w:rsidR="005F1391" w:rsidRPr="004624D3">
        <w:t>)</w:t>
      </w:r>
      <w:r w:rsidR="00D035BE" w:rsidRPr="004624D3">
        <w:t xml:space="preserve">. </w:t>
      </w:r>
      <w:r w:rsidR="005F1391" w:rsidRPr="004624D3">
        <w:t>Women</w:t>
      </w:r>
      <w:r w:rsidR="00566CAF" w:rsidRPr="004624D3">
        <w:t xml:space="preserve"> show </w:t>
      </w:r>
      <w:r w:rsidR="005F1391" w:rsidRPr="004624D3">
        <w:t xml:space="preserve">a </w:t>
      </w:r>
      <w:r w:rsidR="00312E04" w:rsidRPr="004624D3">
        <w:t>much higher prevalence of depression overall (15</w:t>
      </w:r>
      <w:r w:rsidR="003456D1" w:rsidRPr="004624D3">
        <w:t xml:space="preserve"> per cent</w:t>
      </w:r>
      <w:r w:rsidR="00312E04" w:rsidRPr="004624D3">
        <w:t xml:space="preserve">) </w:t>
      </w:r>
      <w:r w:rsidR="005F1391" w:rsidRPr="004624D3">
        <w:t>compared to men</w:t>
      </w:r>
      <w:r w:rsidR="0058000B" w:rsidRPr="004624D3">
        <w:t>, with t</w:t>
      </w:r>
      <w:r w:rsidR="00E0749A" w:rsidRPr="004624D3">
        <w:t xml:space="preserve">he highest </w:t>
      </w:r>
      <w:r w:rsidR="00626A98" w:rsidRPr="004624D3">
        <w:t>prevalence</w:t>
      </w:r>
      <w:r w:rsidR="009D1CDE" w:rsidRPr="004624D3">
        <w:t xml:space="preserve"> found</w:t>
      </w:r>
      <w:r w:rsidR="00E0749A" w:rsidRPr="004624D3">
        <w:t xml:space="preserve"> </w:t>
      </w:r>
      <w:r w:rsidR="00E0749A" w:rsidRPr="004624D3">
        <w:lastRenderedPageBreak/>
        <w:t xml:space="preserve">among </w:t>
      </w:r>
      <w:r w:rsidR="0058000B" w:rsidRPr="004624D3">
        <w:t xml:space="preserve">female </w:t>
      </w:r>
      <w:r w:rsidR="00E0749A" w:rsidRPr="004624D3">
        <w:t>non-carers</w:t>
      </w:r>
      <w:r w:rsidR="00626A98" w:rsidRPr="004624D3">
        <w:t xml:space="preserve"> and </w:t>
      </w:r>
      <w:r w:rsidR="007B2B8A" w:rsidRPr="004624D3">
        <w:t>repeat</w:t>
      </w:r>
      <w:r w:rsidR="00626A98" w:rsidRPr="004624D3">
        <w:t xml:space="preserve"> carers (17</w:t>
      </w:r>
      <w:r w:rsidR="003456D1" w:rsidRPr="004624D3">
        <w:t xml:space="preserve"> per cent</w:t>
      </w:r>
      <w:r w:rsidR="00626A98" w:rsidRPr="004624D3">
        <w:t>)</w:t>
      </w:r>
      <w:r w:rsidR="00E0749A" w:rsidRPr="004624D3">
        <w:t xml:space="preserve">, </w:t>
      </w:r>
      <w:r w:rsidR="0058000B" w:rsidRPr="004624D3">
        <w:t>and</w:t>
      </w:r>
      <w:r w:rsidR="00C73490" w:rsidRPr="004624D3">
        <w:t xml:space="preserve"> the lowest among</w:t>
      </w:r>
      <w:r w:rsidR="00143283" w:rsidRPr="004624D3">
        <w:t xml:space="preserve"> new carers </w:t>
      </w:r>
      <w:r w:rsidR="0058000B" w:rsidRPr="004624D3">
        <w:t>(</w:t>
      </w:r>
      <w:r w:rsidR="00143283" w:rsidRPr="004624D3">
        <w:t>13</w:t>
      </w:r>
      <w:r w:rsidR="003456D1" w:rsidRPr="004624D3">
        <w:t xml:space="preserve"> per cent</w:t>
      </w:r>
      <w:r w:rsidR="0058000B" w:rsidRPr="004624D3">
        <w:t>)</w:t>
      </w:r>
      <w:r w:rsidR="00143283" w:rsidRPr="004624D3">
        <w:t>.</w:t>
      </w:r>
      <w:r w:rsidR="00853833" w:rsidRPr="004624D3">
        <w:t xml:space="preserve"> The results show significant gender differences </w:t>
      </w:r>
      <w:r w:rsidR="0010470A" w:rsidRPr="004624D3">
        <w:t xml:space="preserve">for depression, with women showing </w:t>
      </w:r>
      <w:r w:rsidR="00030A61" w:rsidRPr="004624D3">
        <w:t>significantly</w:t>
      </w:r>
      <w:r w:rsidR="0010470A" w:rsidRPr="004624D3">
        <w:t xml:space="preserve"> higher depression symptoms tha</w:t>
      </w:r>
      <w:r w:rsidR="00030A61" w:rsidRPr="004624D3">
        <w:t>n</w:t>
      </w:r>
      <w:r w:rsidR="0010470A" w:rsidRPr="004624D3">
        <w:t xml:space="preserve"> men. </w:t>
      </w:r>
      <w:r w:rsidR="00742C67" w:rsidRPr="004624D3">
        <w:t>However,</w:t>
      </w:r>
      <w:r w:rsidR="0010470A" w:rsidRPr="004624D3">
        <w:t xml:space="preserve"> when looking </w:t>
      </w:r>
      <w:r w:rsidR="003C6960" w:rsidRPr="004624D3">
        <w:t>at differences in depression between care trajectories within each sex (using the Post hoc Tukey Test</w:t>
      </w:r>
      <w:r w:rsidR="00A4212F" w:rsidRPr="004624D3">
        <w:t>,</w:t>
      </w:r>
      <w:r w:rsidR="003C6960" w:rsidRPr="004624D3">
        <w:t xml:space="preserve"> which allows us to make pairwise comparisons between the means of each group while controlling for the family-wise error rate)</w:t>
      </w:r>
      <w:r w:rsidR="004747A4" w:rsidRPr="004624D3">
        <w:t>,</w:t>
      </w:r>
      <w:r w:rsidR="003C6960" w:rsidRPr="004624D3">
        <w:t xml:space="preserve"> we found only </w:t>
      </w:r>
      <w:r w:rsidR="009F2DD0" w:rsidRPr="004624D3">
        <w:t>significant differences</w:t>
      </w:r>
      <w:r w:rsidR="00EA18F3" w:rsidRPr="004624D3">
        <w:t xml:space="preserve"> at </w:t>
      </w:r>
      <w:r w:rsidR="004747A4" w:rsidRPr="004624D3">
        <w:t xml:space="preserve">the </w:t>
      </w:r>
      <w:r w:rsidR="00EA18F3" w:rsidRPr="004624D3">
        <w:t>10</w:t>
      </w:r>
      <w:r w:rsidR="00E5141C" w:rsidRPr="004624D3">
        <w:t xml:space="preserve"> per cent</w:t>
      </w:r>
      <w:r w:rsidR="00B33792" w:rsidRPr="004624D3">
        <w:t xml:space="preserve"> </w:t>
      </w:r>
      <w:r w:rsidR="004747A4" w:rsidRPr="004624D3">
        <w:t xml:space="preserve">level </w:t>
      </w:r>
      <w:r w:rsidR="00B33792" w:rsidRPr="004624D3">
        <w:t>in</w:t>
      </w:r>
      <w:r w:rsidR="009F2DD0" w:rsidRPr="004624D3">
        <w:t xml:space="preserve"> </w:t>
      </w:r>
      <w:r w:rsidR="004747A4" w:rsidRPr="004624D3">
        <w:t xml:space="preserve">the </w:t>
      </w:r>
      <w:r w:rsidR="009F2DD0" w:rsidRPr="004624D3">
        <w:t>depression</w:t>
      </w:r>
      <w:r w:rsidR="004747A4" w:rsidRPr="004624D3">
        <w:t xml:space="preserve"> reported</w:t>
      </w:r>
      <w:r w:rsidR="009F2DD0" w:rsidRPr="004624D3">
        <w:t xml:space="preserve"> between </w:t>
      </w:r>
      <w:r w:rsidR="004747A4" w:rsidRPr="004624D3">
        <w:t>female</w:t>
      </w:r>
      <w:r w:rsidR="00B33792" w:rsidRPr="004624D3">
        <w:t xml:space="preserve"> </w:t>
      </w:r>
      <w:r w:rsidR="009F2DD0" w:rsidRPr="004624D3">
        <w:t xml:space="preserve">new carers and </w:t>
      </w:r>
      <w:r w:rsidR="004747A4" w:rsidRPr="004624D3">
        <w:t xml:space="preserve">female </w:t>
      </w:r>
      <w:r w:rsidR="009F2DD0" w:rsidRPr="004624D3">
        <w:t>non</w:t>
      </w:r>
      <w:r w:rsidR="00EC64B3" w:rsidRPr="004624D3">
        <w:t>-</w:t>
      </w:r>
      <w:r w:rsidR="009F2DD0" w:rsidRPr="004624D3">
        <w:t>carers</w:t>
      </w:r>
      <w:r w:rsidR="004747A4" w:rsidRPr="004624D3">
        <w:t xml:space="preserve"> (Table 5)</w:t>
      </w:r>
      <w:r w:rsidR="003C6960" w:rsidRPr="004624D3">
        <w:t>.</w:t>
      </w:r>
    </w:p>
    <w:p w14:paraId="01B449AD" w14:textId="6759D3DD" w:rsidR="00D035BE" w:rsidRPr="004624D3" w:rsidRDefault="00D035BE" w:rsidP="00EA041A">
      <w:pPr>
        <w:spacing w:after="0" w:line="480" w:lineRule="auto"/>
      </w:pPr>
    </w:p>
    <w:p w14:paraId="7C21B4B3" w14:textId="35E0BBDB" w:rsidR="00690754" w:rsidRPr="004624D3" w:rsidRDefault="00690754" w:rsidP="00690754">
      <w:pPr>
        <w:spacing w:after="0" w:line="480" w:lineRule="auto"/>
        <w:jc w:val="center"/>
      </w:pPr>
      <w:r w:rsidRPr="004624D3">
        <w:t>&lt;Table 5 here&gt;</w:t>
      </w:r>
    </w:p>
    <w:p w14:paraId="06CC3DAA" w14:textId="77777777" w:rsidR="00690754" w:rsidRPr="004624D3" w:rsidRDefault="00690754" w:rsidP="00EA041A">
      <w:pPr>
        <w:spacing w:after="0" w:line="480" w:lineRule="auto"/>
      </w:pPr>
    </w:p>
    <w:p w14:paraId="6AC91838" w14:textId="04A12935" w:rsidR="001041F3" w:rsidRPr="004624D3" w:rsidRDefault="001041F3" w:rsidP="0062265A">
      <w:pPr>
        <w:spacing w:after="0" w:line="480" w:lineRule="auto"/>
      </w:pPr>
    </w:p>
    <w:p w14:paraId="7B9ACCDC" w14:textId="22143C39" w:rsidR="00FF6373" w:rsidRPr="004624D3" w:rsidRDefault="00C35CAD" w:rsidP="00EA041A">
      <w:pPr>
        <w:spacing w:after="0" w:line="480" w:lineRule="auto"/>
      </w:pPr>
      <w:r w:rsidRPr="004624D3">
        <w:t>Regarding self-perceived health at age 55</w:t>
      </w:r>
      <w:r w:rsidR="009E103A" w:rsidRPr="004624D3">
        <w:t xml:space="preserve"> (Table 6)</w:t>
      </w:r>
      <w:r w:rsidR="001E326E" w:rsidRPr="004624D3">
        <w:t xml:space="preserve">, </w:t>
      </w:r>
      <w:r w:rsidR="005F1391" w:rsidRPr="004624D3">
        <w:t xml:space="preserve">women again </w:t>
      </w:r>
      <w:r w:rsidR="001E326E" w:rsidRPr="004624D3">
        <w:t xml:space="preserve">show </w:t>
      </w:r>
      <w:r w:rsidR="003075C8" w:rsidRPr="004624D3">
        <w:t xml:space="preserve">significantly </w:t>
      </w:r>
      <w:r w:rsidR="001E326E" w:rsidRPr="004624D3">
        <w:t xml:space="preserve">higher </w:t>
      </w:r>
      <w:r w:rsidR="00565FC6" w:rsidRPr="004624D3">
        <w:t>prevalence</w:t>
      </w:r>
      <w:r w:rsidR="001E326E" w:rsidRPr="004624D3">
        <w:t xml:space="preserve"> of poor health than </w:t>
      </w:r>
      <w:r w:rsidR="005F1391" w:rsidRPr="004624D3">
        <w:t>men</w:t>
      </w:r>
      <w:r w:rsidR="00565FC6" w:rsidRPr="004624D3">
        <w:t xml:space="preserve"> (5.7</w:t>
      </w:r>
      <w:r w:rsidR="003456D1" w:rsidRPr="004624D3">
        <w:t xml:space="preserve"> per cent</w:t>
      </w:r>
      <w:r w:rsidR="00565FC6" w:rsidRPr="004624D3">
        <w:t xml:space="preserve"> and 4.7</w:t>
      </w:r>
      <w:r w:rsidR="003456D1" w:rsidRPr="004624D3">
        <w:t xml:space="preserve"> per cent</w:t>
      </w:r>
      <w:r w:rsidR="00565FC6" w:rsidRPr="004624D3">
        <w:t xml:space="preserve"> respectively)</w:t>
      </w:r>
      <w:r w:rsidR="001E326E" w:rsidRPr="004624D3">
        <w:t>.</w:t>
      </w:r>
      <w:r w:rsidR="00565FC6" w:rsidRPr="004624D3">
        <w:t xml:space="preserve"> </w:t>
      </w:r>
      <w:r w:rsidR="00253175" w:rsidRPr="004624D3">
        <w:t xml:space="preserve">The highest prevalence of poor health was found among </w:t>
      </w:r>
      <w:r w:rsidR="005F1391" w:rsidRPr="004624D3">
        <w:t xml:space="preserve">men </w:t>
      </w:r>
      <w:r w:rsidR="00253175" w:rsidRPr="004624D3">
        <w:t xml:space="preserve">who stopped caring </w:t>
      </w:r>
      <w:r w:rsidR="008B6B6F" w:rsidRPr="004624D3">
        <w:t xml:space="preserve">and among </w:t>
      </w:r>
      <w:r w:rsidR="005F1391" w:rsidRPr="004624D3">
        <w:t xml:space="preserve">female </w:t>
      </w:r>
      <w:r w:rsidR="008B6B6F" w:rsidRPr="004624D3">
        <w:t>sporadic/intermittent carers</w:t>
      </w:r>
      <w:r w:rsidR="0058000B" w:rsidRPr="004624D3">
        <w:t>, although difference</w:t>
      </w:r>
      <w:r w:rsidR="00D5331F" w:rsidRPr="004624D3">
        <w:t>s</w:t>
      </w:r>
      <w:r w:rsidR="0058000B" w:rsidRPr="004624D3">
        <w:t xml:space="preserve"> by caring trajectory within gender were not statistically significant.</w:t>
      </w:r>
    </w:p>
    <w:p w14:paraId="3C936D33" w14:textId="295D207B" w:rsidR="00CC0BFB" w:rsidRPr="004624D3" w:rsidRDefault="00CC0BFB" w:rsidP="00EA041A">
      <w:pPr>
        <w:spacing w:after="0" w:line="480" w:lineRule="auto"/>
        <w:rPr>
          <w:b/>
          <w:bCs/>
        </w:rPr>
      </w:pPr>
    </w:p>
    <w:p w14:paraId="74B3DE08" w14:textId="39082438" w:rsidR="00690754" w:rsidRPr="004624D3" w:rsidRDefault="00690754" w:rsidP="00690754">
      <w:pPr>
        <w:spacing w:after="0" w:line="480" w:lineRule="auto"/>
        <w:jc w:val="center"/>
      </w:pPr>
      <w:r w:rsidRPr="004624D3">
        <w:t>&lt;Table 6 here&gt;</w:t>
      </w:r>
    </w:p>
    <w:p w14:paraId="1539238B" w14:textId="77777777" w:rsidR="00690754" w:rsidRPr="004624D3" w:rsidRDefault="00690754" w:rsidP="00EA041A">
      <w:pPr>
        <w:spacing w:after="0" w:line="480" w:lineRule="auto"/>
        <w:rPr>
          <w:b/>
          <w:bCs/>
        </w:rPr>
      </w:pPr>
    </w:p>
    <w:p w14:paraId="7303D2B6" w14:textId="77777777" w:rsidR="00453BFA" w:rsidRPr="004624D3" w:rsidRDefault="00453BFA" w:rsidP="0062265A">
      <w:pPr>
        <w:spacing w:after="0" w:line="480" w:lineRule="auto"/>
      </w:pPr>
    </w:p>
    <w:p w14:paraId="53728953" w14:textId="3C882D53" w:rsidR="002A0BC9" w:rsidRPr="004624D3" w:rsidRDefault="006D36BB" w:rsidP="0062265A">
      <w:pPr>
        <w:spacing w:after="0" w:line="480" w:lineRule="auto"/>
        <w:ind w:firstLine="720"/>
        <w:rPr>
          <w:b/>
          <w:bCs/>
        </w:rPr>
      </w:pPr>
      <w:r w:rsidRPr="004624D3">
        <w:rPr>
          <w:b/>
          <w:bCs/>
        </w:rPr>
        <w:t>5</w:t>
      </w:r>
      <w:r w:rsidR="002A0BC9" w:rsidRPr="004624D3">
        <w:rPr>
          <w:b/>
          <w:bCs/>
        </w:rPr>
        <w:t>.2 The predictors of depression and self-reported poor health</w:t>
      </w:r>
    </w:p>
    <w:p w14:paraId="7ED51D3E" w14:textId="77777777" w:rsidR="002A0BC9" w:rsidRPr="004624D3" w:rsidRDefault="002A0BC9" w:rsidP="0062265A">
      <w:pPr>
        <w:spacing w:after="0" w:line="480" w:lineRule="auto"/>
      </w:pPr>
    </w:p>
    <w:p w14:paraId="5A79DF74" w14:textId="0A8FFF93" w:rsidR="004A2AE7" w:rsidRPr="004624D3" w:rsidRDefault="00CB1AD0" w:rsidP="0062265A">
      <w:pPr>
        <w:spacing w:after="0" w:line="480" w:lineRule="auto"/>
      </w:pPr>
      <w:r w:rsidRPr="004624D3">
        <w:t xml:space="preserve">Multivariate analysis was then used to examine the association between the caring trajectories and the two health outcomes. </w:t>
      </w:r>
      <w:r w:rsidR="001041F3" w:rsidRPr="004624D3">
        <w:t xml:space="preserve">Table </w:t>
      </w:r>
      <w:r w:rsidR="00E739FD" w:rsidRPr="004624D3">
        <w:t xml:space="preserve">7 </w:t>
      </w:r>
      <w:r w:rsidR="001041F3" w:rsidRPr="004624D3">
        <w:t>shows the</w:t>
      </w:r>
      <w:r w:rsidR="00385C61" w:rsidRPr="004624D3">
        <w:t xml:space="preserve"> predictors of (a) depression (versus no depression) and (b) self-reported poor health (versus excellent/very good/good/fair health), </w:t>
      </w:r>
      <w:r w:rsidR="00D5331F" w:rsidRPr="004624D3">
        <w:t xml:space="preserve">with </w:t>
      </w:r>
      <w:r w:rsidR="00385C61" w:rsidRPr="004624D3">
        <w:t xml:space="preserve">both </w:t>
      </w:r>
      <w:r w:rsidR="00D5331F" w:rsidRPr="004624D3">
        <w:t xml:space="preserve">health outcomes </w:t>
      </w:r>
      <w:r w:rsidR="0058000B" w:rsidRPr="004624D3">
        <w:t xml:space="preserve">measured </w:t>
      </w:r>
      <w:r w:rsidR="00385C61" w:rsidRPr="004624D3">
        <w:t>at age 55</w:t>
      </w:r>
      <w:r w:rsidR="00F5065C" w:rsidRPr="004624D3">
        <w:t xml:space="preserve">, and included </w:t>
      </w:r>
      <w:r w:rsidR="00D215EE" w:rsidRPr="004624D3">
        <w:t xml:space="preserve">the health status measured at baseline to account for </w:t>
      </w:r>
      <w:r w:rsidR="00D215EE" w:rsidRPr="004624D3">
        <w:lastRenderedPageBreak/>
        <w:t>reverse association</w:t>
      </w:r>
      <w:r w:rsidR="00385C61" w:rsidRPr="004624D3">
        <w:t>.</w:t>
      </w:r>
      <w:r w:rsidR="00EF0621" w:rsidRPr="004624D3">
        <w:t xml:space="preserve"> </w:t>
      </w:r>
      <w:r w:rsidR="00F840CD" w:rsidRPr="004624D3">
        <w:t xml:space="preserve">In terms of their mental health, new </w:t>
      </w:r>
      <w:r w:rsidR="0058000B" w:rsidRPr="004624D3">
        <w:t xml:space="preserve">mid-life </w:t>
      </w:r>
      <w:r w:rsidR="00F840CD" w:rsidRPr="004624D3">
        <w:t xml:space="preserve">carers were less likely to report depression </w:t>
      </w:r>
      <w:r w:rsidR="0058000B" w:rsidRPr="004624D3">
        <w:t xml:space="preserve">at age 55 </w:t>
      </w:r>
      <w:r w:rsidR="00F840CD" w:rsidRPr="004624D3">
        <w:t xml:space="preserve">than </w:t>
      </w:r>
      <w:r w:rsidR="007B2B8A" w:rsidRPr="004624D3">
        <w:t>repeat</w:t>
      </w:r>
      <w:r w:rsidR="00F840CD" w:rsidRPr="004624D3">
        <w:t xml:space="preserve"> carers</w:t>
      </w:r>
      <w:r w:rsidR="00864483" w:rsidRPr="004624D3">
        <w:t>, although it was not possible from this analysis to compare new carers with non-carers</w:t>
      </w:r>
      <w:r w:rsidR="00E73C33" w:rsidRPr="004624D3">
        <w:t>. T</w:t>
      </w:r>
      <w:r w:rsidR="00F840CD" w:rsidRPr="004624D3">
        <w:t>h</w:t>
      </w:r>
      <w:r w:rsidR="00E73C33" w:rsidRPr="004624D3">
        <w:t>ose w</w:t>
      </w:r>
      <w:r w:rsidR="00F840CD" w:rsidRPr="004624D3">
        <w:t>ith lower educational qualifications</w:t>
      </w:r>
      <w:r w:rsidR="00E73C33" w:rsidRPr="004624D3">
        <w:t xml:space="preserve"> were also less likely to report depression</w:t>
      </w:r>
      <w:r w:rsidR="00F840CD" w:rsidRPr="004624D3">
        <w:t xml:space="preserve"> compared to those with higher qualifications</w:t>
      </w:r>
      <w:r w:rsidR="00E73C33" w:rsidRPr="004624D3">
        <w:t xml:space="preserve">, although gender-specific additional analysis indicated that providing </w:t>
      </w:r>
      <w:r w:rsidR="005A6B82" w:rsidRPr="004624D3">
        <w:t>non-</w:t>
      </w:r>
      <w:r w:rsidR="007B2B8A" w:rsidRPr="004624D3">
        <w:t>repeat</w:t>
      </w:r>
      <w:r w:rsidR="00324266" w:rsidRPr="004624D3">
        <w:t>ed</w:t>
      </w:r>
      <w:r w:rsidR="005A6B82" w:rsidRPr="004624D3">
        <w:t xml:space="preserve"> </w:t>
      </w:r>
      <w:r w:rsidR="00E73C33" w:rsidRPr="004624D3">
        <w:t xml:space="preserve">care is associated with </w:t>
      </w:r>
      <w:r w:rsidR="004747A4" w:rsidRPr="004624D3">
        <w:t xml:space="preserve">slightly </w:t>
      </w:r>
      <w:r w:rsidR="00E73C33" w:rsidRPr="004624D3">
        <w:t xml:space="preserve">higher educational qualifications for women, but the opposite is </w:t>
      </w:r>
      <w:r w:rsidR="007C71FB" w:rsidRPr="004624D3">
        <w:t>the case</w:t>
      </w:r>
      <w:r w:rsidR="00E73C33" w:rsidRPr="004624D3">
        <w:t xml:space="preserve"> for men (Supplementary Tables 2 and 3)</w:t>
      </w:r>
      <w:r w:rsidR="00F840CD" w:rsidRPr="004624D3">
        <w:t xml:space="preserve">. </w:t>
      </w:r>
    </w:p>
    <w:p w14:paraId="58F4D5D1" w14:textId="77777777" w:rsidR="004A2AE7" w:rsidRPr="004624D3" w:rsidRDefault="004A2AE7" w:rsidP="0062265A">
      <w:pPr>
        <w:spacing w:after="0" w:line="480" w:lineRule="auto"/>
      </w:pPr>
    </w:p>
    <w:p w14:paraId="009109E5" w14:textId="08DB8A5F" w:rsidR="006C7921" w:rsidRPr="004624D3" w:rsidRDefault="005524BE" w:rsidP="00EA041A">
      <w:pPr>
        <w:spacing w:after="0" w:line="480" w:lineRule="auto"/>
      </w:pPr>
      <w:r w:rsidRPr="004624D3">
        <w:t xml:space="preserve">Table </w:t>
      </w:r>
      <w:r w:rsidR="002253E4" w:rsidRPr="004624D3">
        <w:t xml:space="preserve">7 </w:t>
      </w:r>
      <w:r w:rsidRPr="004624D3">
        <w:t xml:space="preserve">also shows that </w:t>
      </w:r>
      <w:r w:rsidR="0058000B" w:rsidRPr="004624D3">
        <w:t>health at baseline is very important</w:t>
      </w:r>
      <w:r w:rsidR="00D13470" w:rsidRPr="004624D3">
        <w:t>.</w:t>
      </w:r>
      <w:r w:rsidR="0058000B" w:rsidRPr="004624D3">
        <w:t xml:space="preserve"> Those who had reported depression at age 46 were significantly more likely (17.68, p&lt;0.01) to report depression at age 55. However even after controlling for this, </w:t>
      </w:r>
      <w:r w:rsidRPr="004624D3">
        <w:t>w</w:t>
      </w:r>
      <w:r w:rsidR="00F840CD" w:rsidRPr="004624D3">
        <w:t>omen (compared to men), those who were single</w:t>
      </w:r>
      <w:r w:rsidR="00CE47CD" w:rsidRPr="004624D3">
        <w:t>,</w:t>
      </w:r>
      <w:r w:rsidR="00F840CD" w:rsidRPr="004624D3">
        <w:t xml:space="preserve"> never married or divorced (compared to being married), having become widowed between aged 46-50 (compared to not)</w:t>
      </w:r>
      <w:r w:rsidR="000131FB" w:rsidRPr="004624D3">
        <w:t xml:space="preserve"> and</w:t>
      </w:r>
      <w:r w:rsidR="00F840CD" w:rsidRPr="004624D3">
        <w:t xml:space="preserve"> those who lived with one’s partner (compared to living alone)</w:t>
      </w:r>
      <w:r w:rsidR="000131FB" w:rsidRPr="004624D3">
        <w:t xml:space="preserve"> have higher likelihood of </w:t>
      </w:r>
      <w:r w:rsidR="00943101" w:rsidRPr="004624D3">
        <w:t>being depressed at age 55</w:t>
      </w:r>
      <w:r w:rsidR="00F840CD" w:rsidRPr="004624D3">
        <w:t>. The results in terms of self-reported poor health at age 55</w:t>
      </w:r>
      <w:r w:rsidR="00D13470" w:rsidRPr="004624D3">
        <w:t xml:space="preserve"> were similar</w:t>
      </w:r>
      <w:r w:rsidR="00F840CD" w:rsidRPr="004624D3">
        <w:t xml:space="preserve">, except </w:t>
      </w:r>
      <w:r w:rsidR="00773888" w:rsidRPr="004624D3">
        <w:t>that the effects of the carer’s gender and their caring trajectory were not significant.</w:t>
      </w:r>
      <w:r w:rsidR="00864F88" w:rsidRPr="004624D3">
        <w:t xml:space="preserve"> Those who had reported poor health at age 46 were nearly 20 times more likely to report poor health at age 55 (20.36, p&lt;0.01)</w:t>
      </w:r>
      <w:r w:rsidR="00181917" w:rsidRPr="004624D3">
        <w:t>, and this effect was much higher among men than among women (see Supplementary Tables 4 and 5).</w:t>
      </w:r>
    </w:p>
    <w:p w14:paraId="361F5576" w14:textId="4634B071" w:rsidR="002D57F5" w:rsidRPr="004624D3" w:rsidRDefault="002D57F5" w:rsidP="00EA041A">
      <w:pPr>
        <w:spacing w:after="0" w:line="480" w:lineRule="auto"/>
      </w:pPr>
    </w:p>
    <w:p w14:paraId="6E61B1D8" w14:textId="6D208E2F" w:rsidR="00690754" w:rsidRPr="004624D3" w:rsidRDefault="00690754" w:rsidP="00690754">
      <w:pPr>
        <w:spacing w:after="0" w:line="480" w:lineRule="auto"/>
        <w:jc w:val="center"/>
      </w:pPr>
      <w:r w:rsidRPr="004624D3">
        <w:t>&lt;Table 7 here&gt;</w:t>
      </w:r>
    </w:p>
    <w:p w14:paraId="0E502A2C" w14:textId="77777777" w:rsidR="00690754" w:rsidRPr="004624D3" w:rsidRDefault="00690754" w:rsidP="00EA041A">
      <w:pPr>
        <w:spacing w:after="0" w:line="480" w:lineRule="auto"/>
      </w:pPr>
    </w:p>
    <w:p w14:paraId="58AE0ED8" w14:textId="51A8D637" w:rsidR="005652CE" w:rsidRPr="004624D3" w:rsidRDefault="005652CE" w:rsidP="0062265A">
      <w:pPr>
        <w:pStyle w:val="ListParagraph"/>
        <w:numPr>
          <w:ilvl w:val="0"/>
          <w:numId w:val="10"/>
        </w:numPr>
        <w:spacing w:after="0" w:line="480" w:lineRule="auto"/>
        <w:rPr>
          <w:b/>
        </w:rPr>
      </w:pPr>
      <w:r w:rsidRPr="004624D3">
        <w:rPr>
          <w:b/>
        </w:rPr>
        <w:t>Discussion</w:t>
      </w:r>
      <w:r w:rsidR="002A0BC9" w:rsidRPr="004624D3">
        <w:rPr>
          <w:b/>
        </w:rPr>
        <w:t xml:space="preserve"> and conclusion</w:t>
      </w:r>
    </w:p>
    <w:p w14:paraId="79E9964A" w14:textId="77777777" w:rsidR="00DA4003" w:rsidRDefault="00EF0621" w:rsidP="0062265A">
      <w:pPr>
        <w:spacing w:after="0" w:line="480" w:lineRule="auto"/>
      </w:pPr>
      <w:r w:rsidRPr="004624D3">
        <w:t xml:space="preserve">This </w:t>
      </w:r>
      <w:r w:rsidR="003F1242" w:rsidRPr="004624D3">
        <w:t>paper has been the first to</w:t>
      </w:r>
      <w:r w:rsidRPr="004624D3">
        <w:t xml:space="preserve"> analyse the caring trajectories among men and women in mid-life in Britain and their impact on two health outcomes for the carers</w:t>
      </w:r>
      <w:r w:rsidR="003F1242" w:rsidRPr="004624D3">
        <w:t xml:space="preserve"> using a nationally</w:t>
      </w:r>
      <w:r w:rsidR="00FD0456" w:rsidRPr="004624D3">
        <w:t xml:space="preserve"> </w:t>
      </w:r>
      <w:r w:rsidR="003F1242" w:rsidRPr="004624D3">
        <w:t xml:space="preserve">representative cohort study. The descriptive results and the results from the logistic regression support the key finding that starting to care for one’s parents/ parents-in-law in mid-life is associated with </w:t>
      </w:r>
      <w:r w:rsidR="00355295" w:rsidRPr="004624D3">
        <w:t xml:space="preserve">a </w:t>
      </w:r>
      <w:r w:rsidR="00AA0582" w:rsidRPr="004624D3">
        <w:t>lower</w:t>
      </w:r>
      <w:r w:rsidR="005F1391" w:rsidRPr="004624D3">
        <w:t xml:space="preserve"> risk of </w:t>
      </w:r>
      <w:r w:rsidR="00DA5857" w:rsidRPr="004624D3">
        <w:t>report</w:t>
      </w:r>
      <w:r w:rsidR="005F1391" w:rsidRPr="004624D3">
        <w:t>ing</w:t>
      </w:r>
      <w:r w:rsidR="00DA5857" w:rsidRPr="004624D3">
        <w:t xml:space="preserve"> </w:t>
      </w:r>
      <w:r w:rsidR="003F1242" w:rsidRPr="004624D3">
        <w:t xml:space="preserve">depression, controlling for health status at baseline and a range of demographic and </w:t>
      </w:r>
      <w:r w:rsidR="003F1242" w:rsidRPr="004624D3">
        <w:lastRenderedPageBreak/>
        <w:t>socio-economic characteristics</w:t>
      </w:r>
      <w:r w:rsidR="00D13470" w:rsidRPr="004624D3">
        <w:t xml:space="preserve"> including becoming widowed</w:t>
      </w:r>
      <w:r w:rsidR="003F1242" w:rsidRPr="004624D3">
        <w:t xml:space="preserve">. However, the same was not </w:t>
      </w:r>
      <w:r w:rsidR="007C71FB" w:rsidRPr="004624D3">
        <w:t>the case</w:t>
      </w:r>
      <w:r w:rsidR="003F1242" w:rsidRPr="004624D3">
        <w:t xml:space="preserve"> when poor self-rated health was examined</w:t>
      </w:r>
      <w:r w:rsidR="00DA4003">
        <w:t xml:space="preserve">, </w:t>
      </w:r>
      <w:r w:rsidR="00DA4003" w:rsidRPr="00DA4003">
        <w:rPr>
          <w:highlight w:val="yellow"/>
        </w:rPr>
        <w:t>as the findings for this outcome were not statistically significant</w:t>
      </w:r>
      <w:r w:rsidR="00D13470" w:rsidRPr="004624D3">
        <w:t>.</w:t>
      </w:r>
    </w:p>
    <w:p w14:paraId="3450CA8C" w14:textId="77777777" w:rsidR="003B68BA" w:rsidRDefault="003B68BA" w:rsidP="003B68BA">
      <w:pPr>
        <w:spacing w:after="0" w:line="480" w:lineRule="auto"/>
      </w:pPr>
    </w:p>
    <w:p w14:paraId="45D37575" w14:textId="25CCF6AB" w:rsidR="003B68BA" w:rsidRPr="004624D3" w:rsidRDefault="003B68BA" w:rsidP="003B68BA">
      <w:pPr>
        <w:spacing w:after="0" w:line="480" w:lineRule="auto"/>
      </w:pPr>
      <w:r w:rsidRPr="004624D3">
        <w:t xml:space="preserve">The existing literature has aimed to differentiate the impact of providing care on the carer’s health using a range of health outcomes. Although the studies are not directly comparable, the paper’s key finding is in line with longitudinal research from South Korea which focused on adult daughters and sons providing care to their parents/ parents-in-law over three waves, finding adverse effects for daughter carers only (Kyung Do </w:t>
      </w:r>
      <w:r w:rsidRPr="004624D3">
        <w:rPr>
          <w:i/>
          <w:iCs/>
        </w:rPr>
        <w:t>et al</w:t>
      </w:r>
      <w:r w:rsidRPr="004624D3">
        <w:t xml:space="preserve">. 2014). It is also in line with Fredman </w:t>
      </w:r>
      <w:r w:rsidRPr="004624D3">
        <w:rPr>
          <w:i/>
          <w:iCs/>
        </w:rPr>
        <w:t>et al</w:t>
      </w:r>
      <w:r w:rsidRPr="004624D3">
        <w:t xml:space="preserve">. (2010) who found that carers face a lower mortality risk overall but are more likely to report mental health issues. Taking into account the different caring trajectories, the lower risk of new carers to report depression is in contrast with the studies by Kaufman </w:t>
      </w:r>
      <w:r w:rsidRPr="004624D3">
        <w:rPr>
          <w:i/>
          <w:iCs/>
        </w:rPr>
        <w:t>et al.</w:t>
      </w:r>
      <w:r w:rsidRPr="004624D3">
        <w:t xml:space="preserve"> (2019) and Lu </w:t>
      </w:r>
      <w:r w:rsidRPr="004624D3">
        <w:rPr>
          <w:i/>
          <w:iCs/>
        </w:rPr>
        <w:t>et al</w:t>
      </w:r>
      <w:r w:rsidRPr="004624D3">
        <w:t xml:space="preserve">. (2019) who used metabolic syndrome as the outcome variable, and with evidence from the UK by Robards </w:t>
      </w:r>
      <w:r w:rsidRPr="004624D3">
        <w:rPr>
          <w:i/>
          <w:iCs/>
        </w:rPr>
        <w:t>et al</w:t>
      </w:r>
      <w:r w:rsidRPr="004624D3">
        <w:t xml:space="preserve">. (2015) who found that individuals who had provided care in 2001 but who were not providing care in 2011 were at greatest risk of poor health in 2011. The discrepancies may be explained partly by the health indicators used, and also important methodological differences, for instance Robards </w:t>
      </w:r>
      <w:r w:rsidRPr="004624D3">
        <w:rPr>
          <w:i/>
          <w:iCs/>
        </w:rPr>
        <w:t>et al</w:t>
      </w:r>
      <w:r w:rsidRPr="004624D3">
        <w:t xml:space="preserve">. (2015) analysed data which were 10 years apart and focused on a much broader age range than the present paper. </w:t>
      </w:r>
    </w:p>
    <w:p w14:paraId="55FF7FB7" w14:textId="77777777" w:rsidR="003B68BA" w:rsidRDefault="003B68BA" w:rsidP="0062265A">
      <w:pPr>
        <w:spacing w:after="0" w:line="480" w:lineRule="auto"/>
        <w:rPr>
          <w:highlight w:val="yellow"/>
        </w:rPr>
      </w:pPr>
    </w:p>
    <w:p w14:paraId="7D805305" w14:textId="69B40B09" w:rsidR="00884BEB" w:rsidRPr="004624D3" w:rsidRDefault="005F13D9" w:rsidP="005F13D9">
      <w:pPr>
        <w:spacing w:after="0" w:line="480" w:lineRule="auto"/>
      </w:pPr>
      <w:r w:rsidRPr="005F13D9">
        <w:rPr>
          <w:highlight w:val="yellow"/>
        </w:rPr>
        <w:t xml:space="preserve">The finding that starting to care for one’s parents/ parents-in-law in mid-life is associated with a lower risk of reporting depression compared to repeat caring is </w:t>
      </w:r>
      <w:r w:rsidR="00182B16">
        <w:rPr>
          <w:highlight w:val="yellow"/>
        </w:rPr>
        <w:t xml:space="preserve">relevant to </w:t>
      </w:r>
      <w:r w:rsidRPr="005F13D9">
        <w:rPr>
          <w:highlight w:val="yellow"/>
        </w:rPr>
        <w:t xml:space="preserve">the ‘wear-and-tear’ hypothesis. The absence of adverse health outcomes associated with new carers can imply that this group of carers has not experienced the caring role long enough to start experiencing the impact of ‘wear-and-tear’ on their wellbeing, lending some support to the ‘wear-and-tear’ hypothesis. Importantly, the key finding in our analysis is a reminder of the complexity of examining the impact of care trajectories on the carers’ health status. From a theoretical viewpoint, it highlights the need </w:t>
      </w:r>
      <w:r w:rsidRPr="005F13D9">
        <w:rPr>
          <w:highlight w:val="yellow"/>
        </w:rPr>
        <w:lastRenderedPageBreak/>
        <w:t>not only for further longitudinal research in order to better understand the impact of caregiving on the carer’s health for different groups of carers, but also a more nuanced interpretation of existing hypotheses in order to take into account the complexity of caring trajectories.</w:t>
      </w:r>
      <w:r w:rsidR="00DA4003" w:rsidRPr="005F13D9">
        <w:rPr>
          <w:highlight w:val="yellow"/>
        </w:rPr>
        <w:t xml:space="preserve"> </w:t>
      </w:r>
    </w:p>
    <w:p w14:paraId="2B7249B7" w14:textId="77777777" w:rsidR="00117A35" w:rsidRPr="004624D3" w:rsidRDefault="00117A35" w:rsidP="0062265A">
      <w:pPr>
        <w:spacing w:after="0" w:line="480" w:lineRule="auto"/>
      </w:pPr>
    </w:p>
    <w:p w14:paraId="0A61FB69" w14:textId="353B0A27" w:rsidR="00182B16" w:rsidRDefault="004D211D" w:rsidP="0062265A">
      <w:pPr>
        <w:spacing w:after="0" w:line="480" w:lineRule="auto"/>
        <w:rPr>
          <w:highlight w:val="yellow"/>
        </w:rPr>
      </w:pPr>
      <w:r w:rsidRPr="004D211D">
        <w:rPr>
          <w:highlight w:val="yellow"/>
        </w:rPr>
        <w:t>I</w:t>
      </w:r>
      <w:r w:rsidR="00355295" w:rsidRPr="004D211D">
        <w:rPr>
          <w:highlight w:val="yellow"/>
        </w:rPr>
        <w:t>n terms</w:t>
      </w:r>
      <w:r w:rsidR="00355295" w:rsidRPr="004624D3">
        <w:t xml:space="preserve"> of caring trajectories, t</w:t>
      </w:r>
      <w:r w:rsidR="00117A35" w:rsidRPr="004624D3">
        <w:t>he analysis also highlighted that the proportion of men and women caring for their parents/ parents-in-law increases significantly between the ages of 46 and 55 (from 9 per cent of men and 16 per cent of women at age 46, to about 60 per cent of both genders at ages 50 and 55)</w:t>
      </w:r>
      <w:r w:rsidR="00C42CD9">
        <w:t xml:space="preserve">. </w:t>
      </w:r>
      <w:r w:rsidR="00C42CD9" w:rsidRPr="00EF4D34">
        <w:rPr>
          <w:highlight w:val="yellow"/>
        </w:rPr>
        <w:t xml:space="preserve">From an empirical viewpoint, </w:t>
      </w:r>
      <w:r w:rsidR="00EF4D34">
        <w:rPr>
          <w:highlight w:val="yellow"/>
        </w:rPr>
        <w:t xml:space="preserve">this finding </w:t>
      </w:r>
      <w:r w:rsidR="00182B16">
        <w:rPr>
          <w:highlight w:val="yellow"/>
        </w:rPr>
        <w:t xml:space="preserve">is consistent with </w:t>
      </w:r>
      <w:r w:rsidR="0028757B">
        <w:rPr>
          <w:highlight w:val="yellow"/>
        </w:rPr>
        <w:t xml:space="preserve">existing </w:t>
      </w:r>
      <w:r w:rsidR="00182B16">
        <w:rPr>
          <w:highlight w:val="yellow"/>
        </w:rPr>
        <w:t>cross-section</w:t>
      </w:r>
      <w:r w:rsidR="003D0BA6">
        <w:rPr>
          <w:highlight w:val="yellow"/>
        </w:rPr>
        <w:t>al</w:t>
      </w:r>
      <w:r w:rsidR="00182B16">
        <w:rPr>
          <w:highlight w:val="yellow"/>
        </w:rPr>
        <w:t xml:space="preserve"> </w:t>
      </w:r>
      <w:r w:rsidR="0028757B">
        <w:rPr>
          <w:highlight w:val="yellow"/>
        </w:rPr>
        <w:t>evidence from England showing that informal care provision peaks between the ages of 45 and 65 for men and women (Robards et al. 2015)</w:t>
      </w:r>
      <w:r w:rsidR="00182B16">
        <w:rPr>
          <w:highlight w:val="yellow"/>
        </w:rPr>
        <w:t xml:space="preserve"> </w:t>
      </w:r>
      <w:r w:rsidR="0028757B">
        <w:rPr>
          <w:highlight w:val="yellow"/>
        </w:rPr>
        <w:t xml:space="preserve">and </w:t>
      </w:r>
      <w:r w:rsidR="00182B16">
        <w:rPr>
          <w:highlight w:val="yellow"/>
        </w:rPr>
        <w:t xml:space="preserve">with </w:t>
      </w:r>
      <w:r w:rsidR="0028757B">
        <w:rPr>
          <w:highlight w:val="yellow"/>
        </w:rPr>
        <w:t xml:space="preserve">cohort-comparative analysis in Australia showing that a large number of women begin providing care between the ages of 53-61 (Tooth and Mishra, 2014). </w:t>
      </w:r>
      <w:r w:rsidR="00182B16">
        <w:rPr>
          <w:highlight w:val="yellow"/>
        </w:rPr>
        <w:t xml:space="preserve">What is </w:t>
      </w:r>
      <w:r w:rsidR="00064D4A">
        <w:rPr>
          <w:highlight w:val="yellow"/>
        </w:rPr>
        <w:t>n</w:t>
      </w:r>
      <w:r w:rsidR="00182B16">
        <w:rPr>
          <w:highlight w:val="yellow"/>
        </w:rPr>
        <w:t>ovel</w:t>
      </w:r>
      <w:r w:rsidR="00064D4A">
        <w:rPr>
          <w:highlight w:val="yellow"/>
        </w:rPr>
        <w:t>,</w:t>
      </w:r>
      <w:r w:rsidR="00182B16">
        <w:rPr>
          <w:highlight w:val="yellow"/>
        </w:rPr>
        <w:t xml:space="preserve"> however</w:t>
      </w:r>
      <w:r w:rsidR="00064D4A">
        <w:rPr>
          <w:highlight w:val="yellow"/>
        </w:rPr>
        <w:t>,</w:t>
      </w:r>
      <w:r w:rsidR="00182B16">
        <w:rPr>
          <w:highlight w:val="yellow"/>
        </w:rPr>
        <w:t xml:space="preserve"> is the finding that just </w:t>
      </w:r>
      <w:r w:rsidR="00064D4A">
        <w:rPr>
          <w:highlight w:val="yellow"/>
        </w:rPr>
        <w:t xml:space="preserve">25 percent of men and 29 percent of women from the 1958 cohort did not report any caring responsibilities at ages 46, 50 or 55, highlighting that over the life course the majority of individuals with a surviving parent or parent-in-law will provide some care. </w:t>
      </w:r>
    </w:p>
    <w:p w14:paraId="709FFAE1" w14:textId="77777777" w:rsidR="00182B16" w:rsidRDefault="00182B16" w:rsidP="0062265A">
      <w:pPr>
        <w:spacing w:after="0" w:line="480" w:lineRule="auto"/>
        <w:rPr>
          <w:highlight w:val="yellow"/>
        </w:rPr>
      </w:pPr>
    </w:p>
    <w:p w14:paraId="2A2D8F37" w14:textId="6AF34D0B" w:rsidR="00884BEB" w:rsidRPr="004624D3" w:rsidRDefault="00064D4A" w:rsidP="0062265A">
      <w:pPr>
        <w:spacing w:after="0" w:line="480" w:lineRule="auto"/>
      </w:pPr>
      <w:r>
        <w:rPr>
          <w:highlight w:val="yellow"/>
        </w:rPr>
        <w:t xml:space="preserve">Our research also provides </w:t>
      </w:r>
      <w:r w:rsidR="00EF4D34" w:rsidRPr="00EF4D34">
        <w:rPr>
          <w:highlight w:val="yellow"/>
        </w:rPr>
        <w:t>evidence of a</w:t>
      </w:r>
      <w:r w:rsidR="00117A35" w:rsidRPr="00EF4D34">
        <w:rPr>
          <w:highlight w:val="yellow"/>
        </w:rPr>
        <w:t xml:space="preserve"> narrowing gender gap in informal care provision with increasing age (Bardoel and Drago, 2016)</w:t>
      </w:r>
      <w:r w:rsidR="0028757B">
        <w:rPr>
          <w:highlight w:val="yellow"/>
        </w:rPr>
        <w:t>, although it is important to note that such narrowing of the gender gap ‘masks’ differences both in the intensity of care provision and the ty</w:t>
      </w:r>
      <w:r w:rsidR="00117A35" w:rsidRPr="00EF4D34">
        <w:rPr>
          <w:highlight w:val="yellow"/>
        </w:rPr>
        <w:t>pes of care</w:t>
      </w:r>
      <w:r w:rsidR="0028757B">
        <w:rPr>
          <w:highlight w:val="yellow"/>
        </w:rPr>
        <w:t xml:space="preserve"> that men and women provide</w:t>
      </w:r>
      <w:r w:rsidR="00117A35" w:rsidRPr="00EF4D34">
        <w:rPr>
          <w:highlight w:val="yellow"/>
        </w:rPr>
        <w:t xml:space="preserve"> (Vlachantoni </w:t>
      </w:r>
      <w:r w:rsidR="00117A35" w:rsidRPr="00EF4D34">
        <w:rPr>
          <w:i/>
          <w:iCs/>
          <w:highlight w:val="yellow"/>
        </w:rPr>
        <w:t>et al</w:t>
      </w:r>
      <w:r w:rsidR="00117A35" w:rsidRPr="00EF4D34">
        <w:rPr>
          <w:highlight w:val="yellow"/>
        </w:rPr>
        <w:t>.,</w:t>
      </w:r>
      <w:r w:rsidR="00117A35" w:rsidRPr="00A045EC">
        <w:rPr>
          <w:highlight w:val="yellow"/>
        </w:rPr>
        <w:t xml:space="preserve"> 2013). </w:t>
      </w:r>
      <w:r>
        <w:rPr>
          <w:highlight w:val="yellow"/>
        </w:rPr>
        <w:t xml:space="preserve">It is notable that women are more likely to be ‘repeat’ carers, caring at age 46, 50 and 55 than men (7% v 4%), and that amongst repeat carers over a third of women were providing ten or more hours of care at age 55 compared to a fifth of men. </w:t>
      </w:r>
      <w:r w:rsidR="0031597F">
        <w:rPr>
          <w:highlight w:val="yellow"/>
        </w:rPr>
        <w:t xml:space="preserve">To our knowledge this paper provides the first insights into caring trajectories across mid-life in the UK that </w:t>
      </w:r>
      <w:r w:rsidR="00E91224">
        <w:rPr>
          <w:highlight w:val="yellow"/>
        </w:rPr>
        <w:t xml:space="preserve">also </w:t>
      </w:r>
      <w:r w:rsidR="0031597F">
        <w:rPr>
          <w:highlight w:val="yellow"/>
        </w:rPr>
        <w:t>distinguish</w:t>
      </w:r>
      <w:r w:rsidR="00632AAA">
        <w:rPr>
          <w:highlight w:val="yellow"/>
        </w:rPr>
        <w:t>es</w:t>
      </w:r>
      <w:r w:rsidR="0031597F">
        <w:rPr>
          <w:highlight w:val="yellow"/>
        </w:rPr>
        <w:t xml:space="preserve"> how intensity of care is changing. </w:t>
      </w:r>
      <w:r w:rsidR="00EE5A1E" w:rsidRPr="00A045EC">
        <w:rPr>
          <w:highlight w:val="yellow"/>
        </w:rPr>
        <w:t xml:space="preserve">From a theoretical viewpoint, the patterns of care provision towards one’s parent/ parent-in-law that we observe in mid-life, could be described as a combination of ‘doing tasks’ and ‘being in relationships’ in what Keating and </w:t>
      </w:r>
      <w:r w:rsidR="00EE5A1E" w:rsidRPr="00A045EC">
        <w:rPr>
          <w:highlight w:val="yellow"/>
        </w:rPr>
        <w:lastRenderedPageBreak/>
        <w:t xml:space="preserve">colleagues (2019: 147) define as ‘generational care trajectories’, taking place “…within high-obligation close-kin relationships with generational sequencing to cared-for persons”. </w:t>
      </w:r>
      <w:r w:rsidR="00117A35" w:rsidRPr="00A045EC">
        <w:rPr>
          <w:highlight w:val="yellow"/>
        </w:rPr>
        <w:t xml:space="preserve">As improvements in life and healthy life expectancy continue (Jagger </w:t>
      </w:r>
      <w:r w:rsidR="00117A35" w:rsidRPr="00A045EC">
        <w:rPr>
          <w:i/>
          <w:iCs/>
          <w:highlight w:val="yellow"/>
        </w:rPr>
        <w:t>et al</w:t>
      </w:r>
      <w:r w:rsidR="00117A35" w:rsidRPr="00A045EC">
        <w:rPr>
          <w:highlight w:val="yellow"/>
        </w:rPr>
        <w:t>., 2016), examining patterns of informal care provision in mid-life and their impact on the carer’s health and other resources will continue to be of paramount importance.</w:t>
      </w:r>
    </w:p>
    <w:p w14:paraId="62E4E6D1" w14:textId="77777777" w:rsidR="00117A35" w:rsidRPr="004624D3" w:rsidRDefault="00117A35" w:rsidP="0062265A">
      <w:pPr>
        <w:spacing w:after="0" w:line="480" w:lineRule="auto"/>
      </w:pPr>
    </w:p>
    <w:p w14:paraId="39064C4D" w14:textId="04B26FB6" w:rsidR="00527B89" w:rsidRPr="004624D3" w:rsidRDefault="00527B89" w:rsidP="0062265A">
      <w:pPr>
        <w:spacing w:after="0" w:line="480" w:lineRule="auto"/>
      </w:pPr>
      <w:r w:rsidRPr="004624D3">
        <w:t xml:space="preserve">The study has a number of limitations which </w:t>
      </w:r>
      <w:r w:rsidR="007C71FB" w:rsidRPr="004624D3">
        <w:t>should</w:t>
      </w:r>
      <w:r w:rsidRPr="004624D3">
        <w:t xml:space="preserve"> be taken into account when interpreting the findings. Firstly, as highlighted in other research using the NCDS</w:t>
      </w:r>
      <w:r w:rsidR="00656977" w:rsidRPr="004624D3">
        <w:t xml:space="preserve"> study</w:t>
      </w:r>
      <w:r w:rsidR="000B020E" w:rsidRPr="004624D3">
        <w:t xml:space="preserve"> (G</w:t>
      </w:r>
      <w:r w:rsidR="00D5584A" w:rsidRPr="004624D3">
        <w:t>ó</w:t>
      </w:r>
      <w:r w:rsidR="000B020E" w:rsidRPr="004624D3">
        <w:t>mez-</w:t>
      </w:r>
      <w:r w:rsidR="00662752" w:rsidRPr="004624D3">
        <w:t>Le</w:t>
      </w:r>
      <w:r w:rsidR="00D5584A" w:rsidRPr="004624D3">
        <w:t>ó</w:t>
      </w:r>
      <w:r w:rsidR="00662752" w:rsidRPr="004624D3">
        <w:t xml:space="preserve">n </w:t>
      </w:r>
      <w:r w:rsidR="000B020E" w:rsidRPr="004624D3">
        <w:rPr>
          <w:i/>
          <w:iCs/>
        </w:rPr>
        <w:t>et al</w:t>
      </w:r>
      <w:r w:rsidR="000B020E" w:rsidRPr="004624D3">
        <w:t>.</w:t>
      </w:r>
      <w:r w:rsidR="00D41BA7" w:rsidRPr="004624D3">
        <w:t>,</w:t>
      </w:r>
      <w:r w:rsidR="000B020E" w:rsidRPr="004624D3">
        <w:t xml:space="preserve"> 2019)</w:t>
      </w:r>
      <w:r w:rsidRPr="004624D3">
        <w:t xml:space="preserve">, the </w:t>
      </w:r>
      <w:r w:rsidR="000B020E" w:rsidRPr="004624D3">
        <w:t xml:space="preserve">construction of the </w:t>
      </w:r>
      <w:r w:rsidRPr="004624D3">
        <w:t xml:space="preserve">caring trajectories </w:t>
      </w:r>
      <w:r w:rsidR="000B020E" w:rsidRPr="004624D3">
        <w:t xml:space="preserve">and the care intensity </w:t>
      </w:r>
      <w:r w:rsidRPr="004624D3">
        <w:t>variable</w:t>
      </w:r>
      <w:r w:rsidR="000B020E" w:rsidRPr="004624D3">
        <w:t xml:space="preserve"> used information from when the respondents were aged 46,</w:t>
      </w:r>
      <w:r w:rsidR="00662752" w:rsidRPr="004624D3">
        <w:t xml:space="preserve"> </w:t>
      </w:r>
      <w:r w:rsidR="000B020E" w:rsidRPr="004624D3">
        <w:t xml:space="preserve">50 and 55. However, it is possible that the sample includes respondents who stopped or started providing care </w:t>
      </w:r>
      <w:r w:rsidR="000B020E" w:rsidRPr="004624D3">
        <w:rPr>
          <w:i/>
          <w:iCs/>
        </w:rPr>
        <w:t>between</w:t>
      </w:r>
      <w:r w:rsidR="000B020E" w:rsidRPr="004624D3">
        <w:t xml:space="preserve"> the </w:t>
      </w:r>
      <w:r w:rsidR="00E5715C" w:rsidRPr="004624D3">
        <w:t xml:space="preserve">observation </w:t>
      </w:r>
      <w:r w:rsidR="000B020E" w:rsidRPr="004624D3">
        <w:t xml:space="preserve">points, or who switched the person they were providing care </w:t>
      </w:r>
      <w:r w:rsidR="00972906" w:rsidRPr="004624D3">
        <w:t xml:space="preserve">for </w:t>
      </w:r>
      <w:r w:rsidR="000B020E" w:rsidRPr="004624D3">
        <w:t xml:space="preserve">between these time points. </w:t>
      </w:r>
      <w:r w:rsidR="00E5715C" w:rsidRPr="004624D3">
        <w:t xml:space="preserve">In reality, </w:t>
      </w:r>
      <w:r w:rsidR="000B020E" w:rsidRPr="004624D3">
        <w:t xml:space="preserve">the trajectories described in this paper may be </w:t>
      </w:r>
      <w:r w:rsidR="00E5715C" w:rsidRPr="004624D3">
        <w:t xml:space="preserve">even </w:t>
      </w:r>
      <w:r w:rsidR="000B020E" w:rsidRPr="004624D3">
        <w:t xml:space="preserve">more complex. A second issue with the current paper is the possibility of unobserved heterogeneity due to the dataset not including information on certain aspects of the care provision and receipt, such as the health status of the parents/ parents-in-law. Existing research has highlighted the importance of taking the care recipients’ need </w:t>
      </w:r>
      <w:r w:rsidR="001E22E7" w:rsidRPr="004624D3">
        <w:t xml:space="preserve">of </w:t>
      </w:r>
      <w:r w:rsidR="000B020E" w:rsidRPr="004624D3">
        <w:t>care into account (</w:t>
      </w:r>
      <w:r w:rsidR="00764FE1" w:rsidRPr="004624D3">
        <w:t xml:space="preserve">Fingerman </w:t>
      </w:r>
      <w:r w:rsidR="00764FE1" w:rsidRPr="004624D3">
        <w:rPr>
          <w:i/>
          <w:iCs/>
        </w:rPr>
        <w:t>et al</w:t>
      </w:r>
      <w:r w:rsidR="00764FE1" w:rsidRPr="004624D3">
        <w:t>.</w:t>
      </w:r>
      <w:r w:rsidR="00D41BA7" w:rsidRPr="004624D3">
        <w:t>,</w:t>
      </w:r>
      <w:r w:rsidR="00764FE1" w:rsidRPr="004624D3">
        <w:t xml:space="preserve"> 2010</w:t>
      </w:r>
      <w:r w:rsidR="000B020E" w:rsidRPr="004624D3">
        <w:t xml:space="preserve">). Finally, the NCDS </w:t>
      </w:r>
      <w:r w:rsidR="00B23400" w:rsidRPr="004624D3">
        <w:t xml:space="preserve">cohort study </w:t>
      </w:r>
      <w:r w:rsidR="000B020E" w:rsidRPr="004624D3">
        <w:t>does not provide information on whether the respondent used help from the public or private sector, in addition to providing informal care to their parent</w:t>
      </w:r>
      <w:r w:rsidR="00B23400" w:rsidRPr="004624D3">
        <w:t>s</w:t>
      </w:r>
      <w:r w:rsidR="000B020E" w:rsidRPr="004624D3">
        <w:t>/ parent</w:t>
      </w:r>
      <w:r w:rsidR="00B23400" w:rsidRPr="004624D3">
        <w:t>s</w:t>
      </w:r>
      <w:r w:rsidR="000B020E" w:rsidRPr="004624D3">
        <w:t>-in-law. The question of the extent to which care from different sources is complementary or substitutable is pertinent in this debate (see for example, Burchardt, Jones and Obolenskaya, 2018), however in empirical terms, it is beyond the remit of the present paper.</w:t>
      </w:r>
    </w:p>
    <w:p w14:paraId="4873AC3B" w14:textId="77777777" w:rsidR="000B020E" w:rsidRPr="004624D3" w:rsidRDefault="000B020E" w:rsidP="0062265A">
      <w:pPr>
        <w:spacing w:after="0" w:line="480" w:lineRule="auto"/>
      </w:pPr>
    </w:p>
    <w:p w14:paraId="0A344622" w14:textId="4C745609" w:rsidR="002D57F5" w:rsidRPr="004624D3" w:rsidRDefault="00E47AC5" w:rsidP="00E5715C">
      <w:pPr>
        <w:spacing w:after="0" w:line="480" w:lineRule="auto"/>
        <w:rPr>
          <w:b/>
          <w:bCs/>
        </w:rPr>
      </w:pPr>
      <w:r w:rsidRPr="004624D3">
        <w:t xml:space="preserve">The findings in this paper have key implications for the design of social policies in terms of supporting informal carers in mid-life, who </w:t>
      </w:r>
      <w:r w:rsidR="00D34F6D" w:rsidRPr="004624D3">
        <w:t>often</w:t>
      </w:r>
      <w:r w:rsidRPr="004624D3">
        <w:t xml:space="preserve"> juggl</w:t>
      </w:r>
      <w:r w:rsidR="00D34F6D" w:rsidRPr="004624D3">
        <w:t>e</w:t>
      </w:r>
      <w:r w:rsidRPr="004624D3">
        <w:t xml:space="preserve"> informal care provision </w:t>
      </w:r>
      <w:r w:rsidR="00D34F6D" w:rsidRPr="004624D3">
        <w:t>for older</w:t>
      </w:r>
      <w:r w:rsidRPr="004624D3">
        <w:t xml:space="preserve"> relatives with paid </w:t>
      </w:r>
      <w:r w:rsidR="00D34F6D" w:rsidRPr="004624D3">
        <w:t>employment</w:t>
      </w:r>
      <w:r w:rsidRPr="004624D3">
        <w:t xml:space="preserve"> </w:t>
      </w:r>
      <w:r w:rsidR="00D34F6D" w:rsidRPr="004624D3">
        <w:t>whilst also</w:t>
      </w:r>
      <w:r w:rsidRPr="004624D3">
        <w:t xml:space="preserve"> caring for younger relatives (</w:t>
      </w:r>
      <w:r w:rsidR="00181917" w:rsidRPr="004624D3">
        <w:t xml:space="preserve">see Department of Health and Social </w:t>
      </w:r>
      <w:r w:rsidR="00181917" w:rsidRPr="004624D3">
        <w:lastRenderedPageBreak/>
        <w:t>Care, 2018</w:t>
      </w:r>
      <w:r w:rsidR="00D34F6D" w:rsidRPr="004624D3">
        <w:t xml:space="preserve">; </w:t>
      </w:r>
      <w:r w:rsidR="00A83539" w:rsidRPr="004624D3">
        <w:t xml:space="preserve">Vlachantoni </w:t>
      </w:r>
      <w:r w:rsidR="00A83539" w:rsidRPr="004624D3">
        <w:rPr>
          <w:i/>
          <w:iCs/>
        </w:rPr>
        <w:t>et al</w:t>
      </w:r>
      <w:r w:rsidR="00D41BA7" w:rsidRPr="004624D3">
        <w:t>.</w:t>
      </w:r>
      <w:r w:rsidR="00A83539" w:rsidRPr="004624D3">
        <w:t>, 2020</w:t>
      </w:r>
      <w:r w:rsidRPr="004624D3">
        <w:t xml:space="preserve">). </w:t>
      </w:r>
      <w:r w:rsidR="00181917" w:rsidRPr="004624D3">
        <w:t xml:space="preserve">Such policies should focus both on supporting carers to continue providing care to elderly relatives, for example in the form of respite care, and on supporting carers who wish to combine care provision with paid </w:t>
      </w:r>
      <w:r w:rsidR="001368B2" w:rsidRPr="004624D3">
        <w:t>employment</w:t>
      </w:r>
      <w:r w:rsidR="00181917" w:rsidRPr="004624D3">
        <w:t xml:space="preserve">, for example providing greater flexibility in working patterns. There are a number of directions which future research in this area could take, such as the examination of the role of informal care provision by mid-life individuals in the context of the formal social care system, the study of parents/ parents-in-law preferences in terms of where their informal care support comes from (e.g. son, daughter-in-law), and the investigation of how the care responsibility for parents/ parents-in-law is negotiated and distributed among adult siblings in mid-life. </w:t>
      </w:r>
      <w:r w:rsidR="002D57F5" w:rsidRPr="004624D3">
        <w:rPr>
          <w:b/>
          <w:bCs/>
        </w:rPr>
        <w:br w:type="page"/>
      </w:r>
    </w:p>
    <w:p w14:paraId="7E545C4A" w14:textId="6B1E7325" w:rsidR="00567D7E" w:rsidRPr="004624D3" w:rsidRDefault="00567D7E" w:rsidP="0062265A">
      <w:pPr>
        <w:spacing w:after="0" w:line="480" w:lineRule="auto"/>
        <w:rPr>
          <w:b/>
          <w:bCs/>
        </w:rPr>
      </w:pPr>
      <w:r w:rsidRPr="004624D3">
        <w:rPr>
          <w:b/>
          <w:bCs/>
        </w:rPr>
        <w:lastRenderedPageBreak/>
        <w:t>References</w:t>
      </w:r>
    </w:p>
    <w:p w14:paraId="5CD4C47A" w14:textId="4B08D2A2" w:rsidR="0049340B" w:rsidRPr="004624D3" w:rsidRDefault="0049340B" w:rsidP="0062265A">
      <w:pPr>
        <w:spacing w:after="0" w:line="480" w:lineRule="auto"/>
        <w:ind w:left="426" w:hanging="426"/>
      </w:pPr>
      <w:r w:rsidRPr="004624D3">
        <w:t xml:space="preserve">Arpino, B and Gómez-León, M (2020) Consequences on depression of combining grandparental childcare with other caregiving roles. </w:t>
      </w:r>
      <w:r w:rsidRPr="004624D3">
        <w:rPr>
          <w:i/>
          <w:iCs/>
        </w:rPr>
        <w:t>Aging &amp; Mental Health</w:t>
      </w:r>
      <w:r w:rsidRPr="004624D3">
        <w:t xml:space="preserve"> </w:t>
      </w:r>
      <w:r w:rsidRPr="003F2E82">
        <w:rPr>
          <w:b/>
          <w:bCs/>
        </w:rPr>
        <w:t>24</w:t>
      </w:r>
      <w:r w:rsidRPr="004624D3">
        <w:t xml:space="preserve">, 1263-1270. https://doi.org/10.1080/13607863.2019.1584788. </w:t>
      </w:r>
    </w:p>
    <w:p w14:paraId="26EC4A72" w14:textId="381370A2" w:rsidR="00856478" w:rsidRPr="004624D3" w:rsidRDefault="00856478" w:rsidP="0062265A">
      <w:pPr>
        <w:spacing w:after="0" w:line="480" w:lineRule="auto"/>
        <w:ind w:left="426" w:hanging="426"/>
      </w:pPr>
      <w:r w:rsidRPr="004624D3">
        <w:t xml:space="preserve">Alessie, R, Angelini, V and Pasini, G </w:t>
      </w:r>
      <w:r w:rsidR="000B03DB" w:rsidRPr="004624D3">
        <w:t>(</w:t>
      </w:r>
      <w:r w:rsidRPr="004624D3">
        <w:t>2014</w:t>
      </w:r>
      <w:r w:rsidR="000B03DB" w:rsidRPr="004624D3">
        <w:t>)</w:t>
      </w:r>
      <w:r w:rsidRPr="004624D3">
        <w:t xml:space="preserve"> Is it true love? Altruism versus exchange</w:t>
      </w:r>
      <w:r w:rsidR="000B03DB" w:rsidRPr="004624D3">
        <w:t xml:space="preserve"> </w:t>
      </w:r>
      <w:r w:rsidRPr="004624D3">
        <w:t xml:space="preserve">in time and money transfers. </w:t>
      </w:r>
      <w:r w:rsidRPr="004624D3">
        <w:rPr>
          <w:bCs/>
          <w:i/>
        </w:rPr>
        <w:t>De Economist</w:t>
      </w:r>
      <w:r w:rsidRPr="004624D3">
        <w:rPr>
          <w:bCs/>
        </w:rPr>
        <w:t xml:space="preserve"> </w:t>
      </w:r>
      <w:r w:rsidRPr="003F2E82">
        <w:rPr>
          <w:b/>
          <w:bCs/>
        </w:rPr>
        <w:t>162</w:t>
      </w:r>
      <w:r w:rsidR="00203841" w:rsidRPr="004624D3">
        <w:t>,</w:t>
      </w:r>
      <w:r w:rsidRPr="004624D3">
        <w:t xml:space="preserve"> 193-213.</w:t>
      </w:r>
      <w:r w:rsidR="00D5030A" w:rsidRPr="004624D3">
        <w:t xml:space="preserve"> https://doi.org/10.1007/s10645-013-9221-5</w:t>
      </w:r>
    </w:p>
    <w:p w14:paraId="5C5D3231" w14:textId="490801DB" w:rsidR="000A0FF2" w:rsidRPr="004624D3" w:rsidRDefault="000A0FF2" w:rsidP="0062265A">
      <w:pPr>
        <w:spacing w:after="0" w:line="480" w:lineRule="auto"/>
        <w:ind w:left="426" w:hanging="426"/>
      </w:pPr>
      <w:r w:rsidRPr="004624D3">
        <w:t xml:space="preserve">Baker, LA and Silverstein, M (2008) Depressive Symptoms Among Grandparents Raising Grandchildren: The Impact of Participation in Multiple Roles. </w:t>
      </w:r>
      <w:r w:rsidRPr="004624D3">
        <w:rPr>
          <w:i/>
          <w:iCs/>
        </w:rPr>
        <w:t>Journal of Intergenerational Relationships</w:t>
      </w:r>
      <w:r w:rsidRPr="004624D3">
        <w:t xml:space="preserve"> </w:t>
      </w:r>
      <w:r w:rsidRPr="003F2E82">
        <w:rPr>
          <w:b/>
          <w:bCs/>
        </w:rPr>
        <w:t>6</w:t>
      </w:r>
      <w:r w:rsidRPr="004624D3">
        <w:t xml:space="preserve">, 285–304. </w:t>
      </w:r>
      <w:hyperlink r:id="rId9" w:history="1">
        <w:r w:rsidRPr="004624D3">
          <w:rPr>
            <w:rStyle w:val="Hyperlink"/>
          </w:rPr>
          <w:t>http://doi.org/10.1080/15350770802157802</w:t>
        </w:r>
      </w:hyperlink>
      <w:r w:rsidRPr="004624D3">
        <w:t>.</w:t>
      </w:r>
    </w:p>
    <w:p w14:paraId="13449FE4" w14:textId="5D4C8A29" w:rsidR="00D0544C" w:rsidRPr="004624D3" w:rsidRDefault="00D0544C" w:rsidP="0062265A">
      <w:pPr>
        <w:spacing w:after="0" w:line="480" w:lineRule="auto"/>
        <w:ind w:left="426" w:hanging="426"/>
      </w:pPr>
      <w:r w:rsidRPr="004624D3">
        <w:t>Barbosa F, Voss G and Delerue Matos</w:t>
      </w:r>
      <w:r w:rsidR="0063775E" w:rsidRPr="004624D3">
        <w:t>,</w:t>
      </w:r>
      <w:r w:rsidRPr="004624D3">
        <w:t xml:space="preserve"> A (2020) Health impact of providing informal care in Portugal. </w:t>
      </w:r>
      <w:r w:rsidRPr="004624D3">
        <w:rPr>
          <w:i/>
          <w:iCs/>
        </w:rPr>
        <w:t>BMC Geriatrics</w:t>
      </w:r>
      <w:r w:rsidRPr="004624D3">
        <w:t xml:space="preserve"> </w:t>
      </w:r>
      <w:r w:rsidRPr="003F2E82">
        <w:rPr>
          <w:b/>
          <w:bCs/>
        </w:rPr>
        <w:t>20</w:t>
      </w:r>
      <w:r w:rsidRPr="004624D3">
        <w:t xml:space="preserve">, 440. </w:t>
      </w:r>
      <w:r w:rsidR="0063775E" w:rsidRPr="004624D3">
        <w:t>https://</w:t>
      </w:r>
      <w:r w:rsidRPr="004624D3">
        <w:t xml:space="preserve">doi: 10.1186/s12877-020-01841-z </w:t>
      </w:r>
    </w:p>
    <w:p w14:paraId="2D9F467F" w14:textId="3CAEA6DF" w:rsidR="008F4C19" w:rsidRPr="004624D3" w:rsidRDefault="008F4C19" w:rsidP="0062265A">
      <w:pPr>
        <w:spacing w:after="0" w:line="480" w:lineRule="auto"/>
        <w:ind w:left="426" w:hanging="426"/>
      </w:pPr>
      <w:r w:rsidRPr="004624D3">
        <w:t>Bardoel, EA</w:t>
      </w:r>
      <w:r w:rsidR="00203841" w:rsidRPr="004624D3">
        <w:t xml:space="preserve"> </w:t>
      </w:r>
      <w:r w:rsidRPr="004624D3">
        <w:t xml:space="preserve">and Drago, R (2016) Lifetime probabilities of multigenerational caregiving and labor force attachment in Australia. </w:t>
      </w:r>
      <w:r w:rsidRPr="004624D3">
        <w:rPr>
          <w:bCs/>
          <w:i/>
        </w:rPr>
        <w:t>Demographic Research</w:t>
      </w:r>
      <w:r w:rsidRPr="004624D3">
        <w:t xml:space="preserve"> </w:t>
      </w:r>
      <w:r w:rsidRPr="003F2E82">
        <w:rPr>
          <w:b/>
          <w:bCs/>
        </w:rPr>
        <w:t>35</w:t>
      </w:r>
      <w:r w:rsidR="00203841" w:rsidRPr="004624D3">
        <w:t>,</w:t>
      </w:r>
      <w:r w:rsidRPr="004624D3">
        <w:t xml:space="preserve"> 1537-1548. </w:t>
      </w:r>
      <w:r w:rsidR="005D23FE" w:rsidRPr="004624D3">
        <w:t>https://doi.org/10.4054/DemRes.2016.35.52</w:t>
      </w:r>
    </w:p>
    <w:p w14:paraId="7E545C4B" w14:textId="6C879BAA" w:rsidR="00567D7E" w:rsidRPr="004624D3" w:rsidRDefault="00567D7E" w:rsidP="0062265A">
      <w:pPr>
        <w:spacing w:after="0" w:line="480" w:lineRule="auto"/>
        <w:ind w:left="426" w:hanging="426"/>
      </w:pPr>
      <w:r w:rsidRPr="004624D3">
        <w:t xml:space="preserve">Broese van Groenou, MI and De Boer, A </w:t>
      </w:r>
      <w:r w:rsidR="008D3DF6" w:rsidRPr="004624D3">
        <w:t>(</w:t>
      </w:r>
      <w:r w:rsidRPr="004624D3">
        <w:t>2016</w:t>
      </w:r>
      <w:r w:rsidR="008D3DF6" w:rsidRPr="004624D3">
        <w:t>)</w:t>
      </w:r>
      <w:r w:rsidRPr="004624D3">
        <w:t xml:space="preserve"> Providing informal care in a changing society. </w:t>
      </w:r>
      <w:r w:rsidRPr="004624D3">
        <w:rPr>
          <w:bCs/>
          <w:i/>
        </w:rPr>
        <w:t xml:space="preserve">European Journal of Ageing </w:t>
      </w:r>
      <w:r w:rsidRPr="003F2E82">
        <w:rPr>
          <w:b/>
          <w:bCs/>
        </w:rPr>
        <w:t>13</w:t>
      </w:r>
      <w:r w:rsidR="00203841" w:rsidRPr="004624D3">
        <w:t>,</w:t>
      </w:r>
      <w:r w:rsidRPr="004624D3">
        <w:t xml:space="preserve"> 271-79.</w:t>
      </w:r>
      <w:r w:rsidR="005D23FE" w:rsidRPr="004624D3">
        <w:t xml:space="preserve"> https://doi.org/10.1007/s10433-016-0370-7</w:t>
      </w:r>
    </w:p>
    <w:p w14:paraId="253924CB" w14:textId="43FBEC3F" w:rsidR="00062AAC" w:rsidRPr="004624D3" w:rsidRDefault="00062AAC" w:rsidP="0062265A">
      <w:pPr>
        <w:spacing w:after="0" w:line="480" w:lineRule="auto"/>
        <w:ind w:left="426" w:hanging="426"/>
      </w:pPr>
      <w:r w:rsidRPr="004624D3">
        <w:t>Brown,</w:t>
      </w:r>
      <w:r w:rsidR="008D3DF6" w:rsidRPr="004624D3">
        <w:t xml:space="preserve"> </w:t>
      </w:r>
      <w:r w:rsidRPr="004624D3">
        <w:t>MR</w:t>
      </w:r>
      <w:r w:rsidR="008D3DF6" w:rsidRPr="004624D3">
        <w:t xml:space="preserve"> and </w:t>
      </w:r>
      <w:r w:rsidRPr="004624D3">
        <w:t>Brown,</w:t>
      </w:r>
      <w:r w:rsidR="008D3DF6" w:rsidRPr="004624D3">
        <w:t xml:space="preserve"> </w:t>
      </w:r>
      <w:r w:rsidRPr="004624D3">
        <w:t>SL</w:t>
      </w:r>
      <w:r w:rsidR="008D3DF6" w:rsidRPr="004624D3">
        <w:t xml:space="preserve"> </w:t>
      </w:r>
      <w:r w:rsidRPr="004624D3">
        <w:t>(2014)</w:t>
      </w:r>
      <w:r w:rsidR="008D3DF6" w:rsidRPr="004624D3">
        <w:t xml:space="preserve"> </w:t>
      </w:r>
      <w:r w:rsidRPr="004624D3">
        <w:t>Informal</w:t>
      </w:r>
      <w:r w:rsidR="008D3DF6" w:rsidRPr="004624D3">
        <w:t xml:space="preserve"> </w:t>
      </w:r>
      <w:r w:rsidRPr="004624D3">
        <w:t>caregiving:</w:t>
      </w:r>
      <w:r w:rsidR="008D3DF6" w:rsidRPr="004624D3">
        <w:t xml:space="preserve"> </w:t>
      </w:r>
      <w:r w:rsidRPr="004624D3">
        <w:t>A</w:t>
      </w:r>
      <w:r w:rsidR="008D3DF6" w:rsidRPr="004624D3">
        <w:t xml:space="preserve"> </w:t>
      </w:r>
      <w:r w:rsidRPr="004624D3">
        <w:t>reappraisal</w:t>
      </w:r>
      <w:r w:rsidR="008D3DF6" w:rsidRPr="004624D3">
        <w:t xml:space="preserve"> </w:t>
      </w:r>
      <w:r w:rsidRPr="004624D3">
        <w:t>o</w:t>
      </w:r>
      <w:r w:rsidR="008D3DF6" w:rsidRPr="004624D3">
        <w:t xml:space="preserve">f </w:t>
      </w:r>
      <w:r w:rsidRPr="004624D3">
        <w:t>effects</w:t>
      </w:r>
      <w:r w:rsidR="008D3DF6" w:rsidRPr="004624D3">
        <w:t xml:space="preserve"> </w:t>
      </w:r>
      <w:r w:rsidRPr="004624D3">
        <w:t>on</w:t>
      </w:r>
      <w:r w:rsidR="008D3DF6" w:rsidRPr="004624D3">
        <w:t xml:space="preserve"> </w:t>
      </w:r>
      <w:r w:rsidRPr="004624D3">
        <w:t xml:space="preserve">caregivers. </w:t>
      </w:r>
      <w:r w:rsidRPr="004624D3">
        <w:rPr>
          <w:bCs/>
          <w:i/>
        </w:rPr>
        <w:t>Social Issues</w:t>
      </w:r>
      <w:r w:rsidR="008D3DF6" w:rsidRPr="004624D3">
        <w:rPr>
          <w:bCs/>
          <w:i/>
        </w:rPr>
        <w:t xml:space="preserve"> </w:t>
      </w:r>
      <w:r w:rsidRPr="004624D3">
        <w:rPr>
          <w:bCs/>
          <w:i/>
        </w:rPr>
        <w:t>and</w:t>
      </w:r>
      <w:r w:rsidR="008D3DF6" w:rsidRPr="004624D3">
        <w:rPr>
          <w:bCs/>
          <w:i/>
        </w:rPr>
        <w:t xml:space="preserve"> </w:t>
      </w:r>
      <w:r w:rsidRPr="004624D3">
        <w:rPr>
          <w:bCs/>
          <w:i/>
        </w:rPr>
        <w:t>Policy</w:t>
      </w:r>
      <w:r w:rsidR="008D3DF6" w:rsidRPr="004624D3">
        <w:rPr>
          <w:bCs/>
          <w:i/>
        </w:rPr>
        <w:t xml:space="preserve"> </w:t>
      </w:r>
      <w:r w:rsidRPr="004624D3">
        <w:rPr>
          <w:bCs/>
          <w:i/>
        </w:rPr>
        <w:t>Review</w:t>
      </w:r>
      <w:r w:rsidRPr="004624D3">
        <w:t xml:space="preserve"> </w:t>
      </w:r>
      <w:r w:rsidRPr="003F2E82">
        <w:rPr>
          <w:b/>
          <w:bCs/>
        </w:rPr>
        <w:t>8</w:t>
      </w:r>
      <w:r w:rsidR="00203841" w:rsidRPr="004624D3">
        <w:t>,</w:t>
      </w:r>
      <w:r w:rsidRPr="004624D3">
        <w:t xml:space="preserve"> 74–102. </w:t>
      </w:r>
      <w:r w:rsidR="00590CEC" w:rsidRPr="004624D3">
        <w:t>https://doi.org/10.1111/sipr.12002</w:t>
      </w:r>
    </w:p>
    <w:p w14:paraId="65041857" w14:textId="0E096179" w:rsidR="00B065C0" w:rsidRPr="004624D3" w:rsidRDefault="00B065C0" w:rsidP="0062265A">
      <w:pPr>
        <w:spacing w:after="0" w:line="480" w:lineRule="auto"/>
        <w:ind w:left="426" w:hanging="426"/>
      </w:pPr>
      <w:r w:rsidRPr="004624D3">
        <w:t xml:space="preserve">Buckner, L and Yeandle, S (2006) </w:t>
      </w:r>
      <w:r w:rsidRPr="004624D3">
        <w:rPr>
          <w:i/>
          <w:iCs/>
        </w:rPr>
        <w:t>Statistical Analysis – Working Carers: Evidence from the 2001 Census</w:t>
      </w:r>
      <w:r w:rsidRPr="004624D3">
        <w:t>. London: Carers UK.</w:t>
      </w:r>
    </w:p>
    <w:p w14:paraId="2181020B" w14:textId="7064C5C5" w:rsidR="000B020E" w:rsidRPr="004624D3" w:rsidRDefault="000B020E" w:rsidP="0062265A">
      <w:pPr>
        <w:spacing w:after="0" w:line="480" w:lineRule="auto"/>
        <w:ind w:left="426" w:hanging="426"/>
      </w:pPr>
      <w:r w:rsidRPr="004624D3">
        <w:t xml:space="preserve">Burchardt, T, Jones, E and Obolenskaya, P (2018) Formal and Informal Long-Term Care in the Community: Interlocking or Incoherent Systems? </w:t>
      </w:r>
      <w:r w:rsidRPr="004624D3">
        <w:rPr>
          <w:i/>
          <w:iCs/>
        </w:rPr>
        <w:t>Journal of Social Policy</w:t>
      </w:r>
      <w:r w:rsidRPr="004624D3">
        <w:t xml:space="preserve"> </w:t>
      </w:r>
      <w:r w:rsidRPr="003F2E82">
        <w:rPr>
          <w:b/>
          <w:bCs/>
        </w:rPr>
        <w:t>47</w:t>
      </w:r>
      <w:r w:rsidR="00203841" w:rsidRPr="004624D3">
        <w:t xml:space="preserve">, </w:t>
      </w:r>
      <w:r w:rsidRPr="004624D3">
        <w:t>479-503.</w:t>
      </w:r>
      <w:r w:rsidR="00E232E8" w:rsidRPr="004624D3">
        <w:t xml:space="preserve"> https://doi.org/10.1017/S0047279417000903</w:t>
      </w:r>
    </w:p>
    <w:p w14:paraId="45C82163" w14:textId="473328A3" w:rsidR="00062AAC" w:rsidRPr="004624D3" w:rsidRDefault="00062AAC" w:rsidP="0062265A">
      <w:pPr>
        <w:spacing w:after="0" w:line="480" w:lineRule="auto"/>
        <w:ind w:left="426" w:hanging="426"/>
      </w:pPr>
      <w:r w:rsidRPr="004624D3">
        <w:t>Capistrant, BD,</w:t>
      </w:r>
      <w:r w:rsidR="008D3DF6" w:rsidRPr="004624D3">
        <w:t xml:space="preserve"> </w:t>
      </w:r>
      <w:r w:rsidRPr="004624D3">
        <w:t>Moon,</w:t>
      </w:r>
      <w:r w:rsidR="008D3DF6" w:rsidRPr="004624D3">
        <w:t xml:space="preserve"> </w:t>
      </w:r>
      <w:r w:rsidRPr="004624D3">
        <w:t>RJ,</w:t>
      </w:r>
      <w:r w:rsidR="008D3DF6" w:rsidRPr="004624D3">
        <w:t xml:space="preserve"> </w:t>
      </w:r>
      <w:r w:rsidRPr="004624D3">
        <w:t>Berkman,</w:t>
      </w:r>
      <w:r w:rsidR="008D3DF6" w:rsidRPr="004624D3">
        <w:t xml:space="preserve"> </w:t>
      </w:r>
      <w:r w:rsidRPr="004624D3">
        <w:t>LF</w:t>
      </w:r>
      <w:r w:rsidR="008D3DF6" w:rsidRPr="004624D3">
        <w:t xml:space="preserve"> and </w:t>
      </w:r>
      <w:r w:rsidRPr="004624D3">
        <w:t>Glymour,</w:t>
      </w:r>
      <w:r w:rsidR="008D3DF6" w:rsidRPr="004624D3">
        <w:t xml:space="preserve"> </w:t>
      </w:r>
      <w:r w:rsidRPr="004624D3">
        <w:t>MM</w:t>
      </w:r>
      <w:r w:rsidR="008D3DF6" w:rsidRPr="004624D3">
        <w:t xml:space="preserve"> </w:t>
      </w:r>
      <w:r w:rsidRPr="004624D3">
        <w:t>(2012)</w:t>
      </w:r>
      <w:r w:rsidR="008D3DF6" w:rsidRPr="004624D3">
        <w:t xml:space="preserve"> </w:t>
      </w:r>
      <w:r w:rsidRPr="004624D3">
        <w:t>Current</w:t>
      </w:r>
      <w:r w:rsidR="008D3DF6" w:rsidRPr="004624D3">
        <w:t xml:space="preserve"> </w:t>
      </w:r>
      <w:r w:rsidRPr="004624D3">
        <w:t>and</w:t>
      </w:r>
      <w:r w:rsidR="008D3DF6" w:rsidRPr="004624D3">
        <w:t xml:space="preserve"> </w:t>
      </w:r>
      <w:r w:rsidRPr="004624D3">
        <w:t>long-term spousal</w:t>
      </w:r>
      <w:r w:rsidR="008D3DF6" w:rsidRPr="004624D3">
        <w:t xml:space="preserve"> </w:t>
      </w:r>
      <w:r w:rsidRPr="004624D3">
        <w:t>caregiving</w:t>
      </w:r>
      <w:r w:rsidR="008D3DF6" w:rsidRPr="004624D3">
        <w:t xml:space="preserve"> </w:t>
      </w:r>
      <w:r w:rsidRPr="004624D3">
        <w:t>and</w:t>
      </w:r>
      <w:r w:rsidR="008D3DF6" w:rsidRPr="004624D3">
        <w:t xml:space="preserve"> </w:t>
      </w:r>
      <w:r w:rsidRPr="004624D3">
        <w:t>onset</w:t>
      </w:r>
      <w:r w:rsidR="008D3DF6" w:rsidRPr="004624D3">
        <w:t xml:space="preserve"> </w:t>
      </w:r>
      <w:r w:rsidRPr="004624D3">
        <w:t>of</w:t>
      </w:r>
      <w:r w:rsidR="008D3DF6" w:rsidRPr="004624D3">
        <w:t xml:space="preserve"> </w:t>
      </w:r>
      <w:r w:rsidRPr="004624D3">
        <w:t>cardiovascular</w:t>
      </w:r>
      <w:r w:rsidR="008D3DF6" w:rsidRPr="004624D3">
        <w:t xml:space="preserve"> </w:t>
      </w:r>
      <w:r w:rsidRPr="004624D3">
        <w:t xml:space="preserve">disease. </w:t>
      </w:r>
      <w:r w:rsidRPr="004624D3">
        <w:rPr>
          <w:bCs/>
          <w:i/>
        </w:rPr>
        <w:t>Journal of</w:t>
      </w:r>
      <w:r w:rsidR="008D3DF6" w:rsidRPr="004624D3">
        <w:rPr>
          <w:bCs/>
          <w:i/>
        </w:rPr>
        <w:t xml:space="preserve"> </w:t>
      </w:r>
      <w:r w:rsidRPr="004624D3">
        <w:rPr>
          <w:bCs/>
          <w:i/>
        </w:rPr>
        <w:t>Epidemiology and</w:t>
      </w:r>
      <w:r w:rsidR="008D3DF6" w:rsidRPr="004624D3">
        <w:rPr>
          <w:bCs/>
          <w:i/>
        </w:rPr>
        <w:t xml:space="preserve"> </w:t>
      </w:r>
      <w:r w:rsidRPr="004624D3">
        <w:rPr>
          <w:bCs/>
          <w:i/>
        </w:rPr>
        <w:t>Community</w:t>
      </w:r>
      <w:r w:rsidR="008D3DF6" w:rsidRPr="004624D3">
        <w:rPr>
          <w:bCs/>
          <w:i/>
        </w:rPr>
        <w:t xml:space="preserve"> </w:t>
      </w:r>
      <w:r w:rsidRPr="004624D3">
        <w:rPr>
          <w:bCs/>
          <w:i/>
        </w:rPr>
        <w:t>Health</w:t>
      </w:r>
      <w:r w:rsidRPr="004624D3">
        <w:t xml:space="preserve"> </w:t>
      </w:r>
      <w:r w:rsidRPr="003F2E82">
        <w:rPr>
          <w:b/>
          <w:bCs/>
        </w:rPr>
        <w:t>66</w:t>
      </w:r>
      <w:r w:rsidR="00203841" w:rsidRPr="004624D3">
        <w:t>,</w:t>
      </w:r>
      <w:r w:rsidR="008D3DF6" w:rsidRPr="004624D3">
        <w:t xml:space="preserve"> </w:t>
      </w:r>
      <w:r w:rsidRPr="004624D3">
        <w:t xml:space="preserve">951–956. </w:t>
      </w:r>
      <w:r w:rsidR="00E232E8" w:rsidRPr="004624D3">
        <w:t>https://doi.org/10.1136/jech-2011-200040</w:t>
      </w:r>
    </w:p>
    <w:p w14:paraId="074BE73E" w14:textId="533C0FD1" w:rsidR="00C813C5" w:rsidRPr="004624D3" w:rsidRDefault="00C813C5" w:rsidP="0062265A">
      <w:pPr>
        <w:spacing w:after="0" w:line="480" w:lineRule="auto"/>
        <w:ind w:left="426" w:hanging="426"/>
      </w:pPr>
      <w:r w:rsidRPr="004624D3">
        <w:lastRenderedPageBreak/>
        <w:t xml:space="preserve">Carmichael, F and Charles, S (2003) The opportunity costs of informal care: does gender matter? </w:t>
      </w:r>
      <w:r w:rsidRPr="004624D3">
        <w:rPr>
          <w:i/>
          <w:iCs/>
        </w:rPr>
        <w:t>Journal of Health Economics</w:t>
      </w:r>
      <w:r w:rsidRPr="004624D3">
        <w:t xml:space="preserve"> </w:t>
      </w:r>
      <w:r w:rsidRPr="003F2E82">
        <w:rPr>
          <w:b/>
          <w:bCs/>
        </w:rPr>
        <w:t>22</w:t>
      </w:r>
      <w:r w:rsidRPr="004624D3">
        <w:t>, 781–803.</w:t>
      </w:r>
    </w:p>
    <w:p w14:paraId="7E545C4D" w14:textId="0F31DF30" w:rsidR="00567D7E" w:rsidRPr="004624D3" w:rsidRDefault="00567D7E" w:rsidP="0062265A">
      <w:pPr>
        <w:spacing w:after="0" w:line="480" w:lineRule="auto"/>
        <w:ind w:left="426" w:hanging="426"/>
      </w:pPr>
      <w:r w:rsidRPr="004624D3">
        <w:t xml:space="preserve">Dahlberg, L, Demack, S and Bambra, C </w:t>
      </w:r>
      <w:r w:rsidR="008D3DF6" w:rsidRPr="004624D3">
        <w:t>(</w:t>
      </w:r>
      <w:r w:rsidRPr="004624D3">
        <w:t>2007</w:t>
      </w:r>
      <w:r w:rsidR="008D3DF6" w:rsidRPr="004624D3">
        <w:t>)</w:t>
      </w:r>
      <w:r w:rsidRPr="004624D3">
        <w:t xml:space="preserve"> Age and gender of informal carers: a population-based study in the UK. </w:t>
      </w:r>
      <w:r w:rsidRPr="004624D3">
        <w:rPr>
          <w:bCs/>
          <w:i/>
        </w:rPr>
        <w:t xml:space="preserve">Health </w:t>
      </w:r>
      <w:r w:rsidR="008D3DF6" w:rsidRPr="004624D3">
        <w:rPr>
          <w:bCs/>
          <w:i/>
        </w:rPr>
        <w:t xml:space="preserve">and </w:t>
      </w:r>
      <w:r w:rsidRPr="004624D3">
        <w:rPr>
          <w:bCs/>
          <w:i/>
        </w:rPr>
        <w:t>Soc</w:t>
      </w:r>
      <w:r w:rsidR="008D3DF6" w:rsidRPr="004624D3">
        <w:rPr>
          <w:bCs/>
          <w:i/>
        </w:rPr>
        <w:t>ial</w:t>
      </w:r>
      <w:r w:rsidRPr="004624D3">
        <w:rPr>
          <w:bCs/>
          <w:i/>
        </w:rPr>
        <w:t xml:space="preserve"> Care</w:t>
      </w:r>
      <w:r w:rsidR="008D3DF6" w:rsidRPr="004624D3">
        <w:rPr>
          <w:bCs/>
          <w:i/>
        </w:rPr>
        <w:t xml:space="preserve"> in the</w:t>
      </w:r>
      <w:r w:rsidRPr="004624D3">
        <w:rPr>
          <w:bCs/>
          <w:i/>
        </w:rPr>
        <w:t xml:space="preserve"> Community</w:t>
      </w:r>
      <w:r w:rsidRPr="004624D3">
        <w:t xml:space="preserve"> </w:t>
      </w:r>
      <w:r w:rsidRPr="003F2E82">
        <w:rPr>
          <w:b/>
          <w:bCs/>
        </w:rPr>
        <w:t>15</w:t>
      </w:r>
      <w:r w:rsidR="00203841" w:rsidRPr="004624D3">
        <w:t>,</w:t>
      </w:r>
      <w:r w:rsidR="008D3DF6" w:rsidRPr="004624D3">
        <w:t xml:space="preserve"> </w:t>
      </w:r>
      <w:r w:rsidRPr="004624D3">
        <w:t>439-45.</w:t>
      </w:r>
      <w:r w:rsidR="00B33059" w:rsidRPr="004624D3">
        <w:t xml:space="preserve"> https://doi.org/10.1111/j.1365-2524.2007.00702.x</w:t>
      </w:r>
    </w:p>
    <w:p w14:paraId="38B035A0" w14:textId="503FBAEF" w:rsidR="00181917" w:rsidRPr="004624D3" w:rsidRDefault="00181917" w:rsidP="0062265A">
      <w:pPr>
        <w:spacing w:after="0" w:line="480" w:lineRule="auto"/>
        <w:ind w:left="426" w:hanging="426"/>
      </w:pPr>
      <w:r w:rsidRPr="004624D3">
        <w:t xml:space="preserve">Department of Health and Social Care (2018) Carers Action Plan 2018-2020 - Supporting carers today. London: Department of Health and Social Care. </w:t>
      </w:r>
    </w:p>
    <w:p w14:paraId="195436D7" w14:textId="21EB3BFF" w:rsidR="0082660E" w:rsidRPr="004624D3" w:rsidRDefault="0082660E" w:rsidP="0062265A">
      <w:pPr>
        <w:spacing w:after="0" w:line="480" w:lineRule="auto"/>
        <w:ind w:left="426" w:hanging="426"/>
      </w:pPr>
      <w:r w:rsidRPr="004624D3">
        <w:t xml:space="preserve">Doran, T, Drever, F, Whitehead, M and Duncan, </w:t>
      </w:r>
      <w:r w:rsidR="00203841" w:rsidRPr="004624D3">
        <w:t>W</w:t>
      </w:r>
      <w:r w:rsidRPr="004624D3">
        <w:t xml:space="preserve">H (2003) Health of young and elderly informal carers: Analysis of UK census data. </w:t>
      </w:r>
      <w:r w:rsidRPr="004624D3">
        <w:rPr>
          <w:i/>
          <w:iCs/>
        </w:rPr>
        <w:t>British Medical Journal</w:t>
      </w:r>
      <w:r w:rsidRPr="004624D3">
        <w:t xml:space="preserve"> </w:t>
      </w:r>
      <w:r w:rsidRPr="003F2E82">
        <w:rPr>
          <w:b/>
          <w:bCs/>
        </w:rPr>
        <w:t>327</w:t>
      </w:r>
      <w:r w:rsidR="003F2E82">
        <w:t>,</w:t>
      </w:r>
      <w:r w:rsidRPr="004624D3">
        <w:t xml:space="preserve"> 1388.</w:t>
      </w:r>
      <w:r w:rsidR="00B33059" w:rsidRPr="004624D3">
        <w:t xml:space="preserve"> https://doi.org/10.1136/bmj.327.7428.1388</w:t>
      </w:r>
    </w:p>
    <w:p w14:paraId="7C066751" w14:textId="3A0C89E6" w:rsidR="00772367" w:rsidRPr="004624D3" w:rsidRDefault="00772367" w:rsidP="0062265A">
      <w:pPr>
        <w:spacing w:after="0" w:line="480" w:lineRule="auto"/>
        <w:ind w:left="426" w:hanging="426"/>
      </w:pPr>
      <w:r w:rsidRPr="004624D3">
        <w:t xml:space="preserve">Dykstra, PA and Komter, AE (2012) Generational interdependencies in families: The MULTILINKS research programme. </w:t>
      </w:r>
      <w:r w:rsidRPr="004624D3">
        <w:rPr>
          <w:bCs/>
          <w:i/>
        </w:rPr>
        <w:t>Demographic Research</w:t>
      </w:r>
      <w:r w:rsidRPr="004624D3">
        <w:t xml:space="preserve"> </w:t>
      </w:r>
      <w:r w:rsidRPr="003F2E82">
        <w:rPr>
          <w:b/>
          <w:bCs/>
        </w:rPr>
        <w:t>27</w:t>
      </w:r>
      <w:r w:rsidR="00203841" w:rsidRPr="004624D3">
        <w:t>,</w:t>
      </w:r>
      <w:r w:rsidRPr="004624D3">
        <w:t xml:space="preserve"> 487-506. </w:t>
      </w:r>
      <w:r w:rsidR="00093637" w:rsidRPr="004624D3">
        <w:t>https://doi.org/10.4054/DemRes.2012.27.18</w:t>
      </w:r>
    </w:p>
    <w:p w14:paraId="274466F2" w14:textId="10756332" w:rsidR="00801649" w:rsidRPr="004624D3" w:rsidRDefault="00801649" w:rsidP="0062265A">
      <w:pPr>
        <w:spacing w:after="0" w:line="480" w:lineRule="auto"/>
        <w:ind w:left="426" w:hanging="426"/>
      </w:pPr>
      <w:r w:rsidRPr="004624D3">
        <w:t>Evandrou, M, Falkingham, J, G</w:t>
      </w:r>
      <w:r w:rsidR="00E35395" w:rsidRPr="004624D3">
        <w:t>ó</w:t>
      </w:r>
      <w:r w:rsidRPr="004624D3">
        <w:t>mez</w:t>
      </w:r>
      <w:r w:rsidR="00E35395" w:rsidRPr="004624D3">
        <w:t>-</w:t>
      </w:r>
      <w:r w:rsidRPr="004624D3">
        <w:t>Le</w:t>
      </w:r>
      <w:r w:rsidR="00E35395" w:rsidRPr="004624D3">
        <w:t>ó</w:t>
      </w:r>
      <w:r w:rsidRPr="004624D3">
        <w:t>n, M</w:t>
      </w:r>
      <w:r w:rsidR="008D3DF6" w:rsidRPr="004624D3">
        <w:t xml:space="preserve"> and</w:t>
      </w:r>
      <w:r w:rsidRPr="004624D3">
        <w:t xml:space="preserve"> Vlachantoni, A (2018) Intergenerational flows of support between parents and adult children in Britain. </w:t>
      </w:r>
      <w:r w:rsidRPr="004624D3">
        <w:rPr>
          <w:bCs/>
          <w:i/>
        </w:rPr>
        <w:t xml:space="preserve">Ageing </w:t>
      </w:r>
      <w:r w:rsidR="008D3DF6" w:rsidRPr="004624D3">
        <w:rPr>
          <w:bCs/>
          <w:i/>
        </w:rPr>
        <w:t>and</w:t>
      </w:r>
      <w:r w:rsidRPr="004624D3">
        <w:rPr>
          <w:bCs/>
          <w:i/>
        </w:rPr>
        <w:t xml:space="preserve"> Society</w:t>
      </w:r>
      <w:r w:rsidRPr="004624D3">
        <w:rPr>
          <w:bCs/>
        </w:rPr>
        <w:t xml:space="preserve"> </w:t>
      </w:r>
      <w:r w:rsidRPr="003F2E82">
        <w:rPr>
          <w:b/>
          <w:bCs/>
        </w:rPr>
        <w:t>38</w:t>
      </w:r>
      <w:r w:rsidR="00203841" w:rsidRPr="004624D3">
        <w:t>,</w:t>
      </w:r>
      <w:r w:rsidRPr="004624D3">
        <w:t xml:space="preserve"> 321-351. </w:t>
      </w:r>
      <w:r w:rsidR="00E35395" w:rsidRPr="004624D3">
        <w:t>https://doi.org/10.1017/S0144686X16001057</w:t>
      </w:r>
    </w:p>
    <w:p w14:paraId="3FDB5B4B" w14:textId="050AB0FC" w:rsidR="00801649" w:rsidRPr="004624D3" w:rsidRDefault="00801649" w:rsidP="0062265A">
      <w:pPr>
        <w:spacing w:after="0" w:line="480" w:lineRule="auto"/>
        <w:ind w:left="426" w:hanging="426"/>
      </w:pPr>
      <w:r w:rsidRPr="004624D3">
        <w:t>Evandrou, M, Falkingham, J, Robards, J, Vlachantoni, A</w:t>
      </w:r>
      <w:r w:rsidR="00267D06" w:rsidRPr="004624D3">
        <w:t xml:space="preserve"> and</w:t>
      </w:r>
      <w:r w:rsidRPr="004624D3">
        <w:t xml:space="preserve"> McGowan, T (2015</w:t>
      </w:r>
      <w:r w:rsidR="00203841" w:rsidRPr="004624D3">
        <w:t>)</w:t>
      </w:r>
      <w:r w:rsidRPr="004624D3">
        <w:t xml:space="preserve"> </w:t>
      </w:r>
      <w:r w:rsidRPr="004624D3">
        <w:rPr>
          <w:i/>
          <w:iCs/>
        </w:rPr>
        <w:t>Who cares? Continuity and change in the prevalence of caring, and characteristics of informal carers, in England and Wales 2001-2011</w:t>
      </w:r>
      <w:r w:rsidRPr="004624D3">
        <w:t xml:space="preserve">. ESRC Centre for Population Change Working Papers; No. 68. </w:t>
      </w:r>
    </w:p>
    <w:p w14:paraId="06346873" w14:textId="65E7C45C" w:rsidR="00BD1DB5" w:rsidRPr="004624D3" w:rsidRDefault="00BD1DB5" w:rsidP="0062265A">
      <w:pPr>
        <w:spacing w:after="0" w:line="480" w:lineRule="auto"/>
        <w:ind w:left="426" w:hanging="426"/>
      </w:pPr>
      <w:r w:rsidRPr="004624D3">
        <w:t xml:space="preserve">Fast J, Keating N, Eales J, Kim C, and Lee, Y. (2021) Trajectories of family care over the lifecourse: evidence from Canada </w:t>
      </w:r>
      <w:r w:rsidRPr="004624D3">
        <w:rPr>
          <w:i/>
          <w:iCs/>
        </w:rPr>
        <w:t>Ageing &amp; Society</w:t>
      </w:r>
      <w:r w:rsidRPr="004624D3">
        <w:t xml:space="preserve"> </w:t>
      </w:r>
      <w:r w:rsidRPr="003F2E82">
        <w:rPr>
          <w:b/>
          <w:bCs/>
        </w:rPr>
        <w:t>41</w:t>
      </w:r>
      <w:r w:rsidRPr="004624D3">
        <w:t>, 1145-1162 doi:10.1017/S0144686X19001806</w:t>
      </w:r>
    </w:p>
    <w:p w14:paraId="2728E086" w14:textId="424BE581" w:rsidR="00764FE1" w:rsidRPr="004624D3" w:rsidRDefault="00764FE1" w:rsidP="0062265A">
      <w:pPr>
        <w:spacing w:after="0" w:line="480" w:lineRule="auto"/>
        <w:ind w:left="426" w:hanging="426"/>
      </w:pPr>
      <w:r w:rsidRPr="004624D3">
        <w:t xml:space="preserve">Fingerman, KL, Pitzer, LM, Chan, W, Birditt, K, Franks, MM and Zarit, S (2010) Who gets what and why? Help middle-aged adults provide to parents and grown children. </w:t>
      </w:r>
      <w:r w:rsidRPr="004624D3">
        <w:rPr>
          <w:i/>
          <w:iCs/>
        </w:rPr>
        <w:t>Journals of Gerontology: Psychological Sciences and Social Sciences</w:t>
      </w:r>
      <w:r w:rsidRPr="004624D3">
        <w:t xml:space="preserve"> </w:t>
      </w:r>
      <w:r w:rsidRPr="003F2E82">
        <w:rPr>
          <w:b/>
          <w:bCs/>
        </w:rPr>
        <w:t>66B</w:t>
      </w:r>
      <w:r w:rsidR="003F2E82">
        <w:t>,</w:t>
      </w:r>
      <w:r w:rsidRPr="004624D3">
        <w:t xml:space="preserve"> 87–98.</w:t>
      </w:r>
      <w:r w:rsidR="007B559B" w:rsidRPr="004624D3">
        <w:t xml:space="preserve"> https://doi.org/10.1093/geronb/gbq009</w:t>
      </w:r>
    </w:p>
    <w:p w14:paraId="545D5D58" w14:textId="422FB704" w:rsidR="00D24FE9" w:rsidRPr="004624D3" w:rsidRDefault="00D24FE9" w:rsidP="0062265A">
      <w:pPr>
        <w:spacing w:after="0" w:line="480" w:lineRule="auto"/>
        <w:ind w:left="426" w:hanging="426"/>
      </w:pPr>
      <w:r w:rsidRPr="004624D3">
        <w:t>Fredman, L, Cauley, JA, Hochberg, M, Ensrud, KE and Doros, G (2010) Mortality associated with caregiving, general stress, and caregiving-related stress in elderly women: Results of caregiver-</w:t>
      </w:r>
      <w:r w:rsidRPr="004624D3">
        <w:lastRenderedPageBreak/>
        <w:t xml:space="preserve">study of osteoporotic fractures. </w:t>
      </w:r>
      <w:r w:rsidRPr="004624D3">
        <w:rPr>
          <w:i/>
          <w:iCs/>
        </w:rPr>
        <w:t>Journal of the American Gerontological Society</w:t>
      </w:r>
      <w:r w:rsidRPr="004624D3">
        <w:t xml:space="preserve"> </w:t>
      </w:r>
      <w:r w:rsidRPr="003F2E82">
        <w:rPr>
          <w:b/>
          <w:bCs/>
        </w:rPr>
        <w:t>58</w:t>
      </w:r>
      <w:r w:rsidR="00203841" w:rsidRPr="004624D3">
        <w:t>,</w:t>
      </w:r>
      <w:r w:rsidRPr="004624D3">
        <w:t xml:space="preserve"> 937–943.</w:t>
      </w:r>
      <w:r w:rsidR="007B559B" w:rsidRPr="004624D3">
        <w:t xml:space="preserve"> https://doi.org/10.1111/j.1532-5415.2010.02808.x</w:t>
      </w:r>
    </w:p>
    <w:p w14:paraId="06F9BD32" w14:textId="7471D26F" w:rsidR="000A02F6" w:rsidRPr="004624D3" w:rsidRDefault="000A02F6" w:rsidP="0062265A">
      <w:pPr>
        <w:spacing w:after="0" w:line="480" w:lineRule="auto"/>
        <w:ind w:left="426" w:hanging="426"/>
      </w:pPr>
      <w:r w:rsidRPr="004624D3">
        <w:t xml:space="preserve">Glaser, K, Evandrou, M and Tomassini, C (2005) The health consequences of multiple roles at older ages in the UK. </w:t>
      </w:r>
      <w:r w:rsidRPr="004624D3">
        <w:rPr>
          <w:i/>
          <w:iCs/>
        </w:rPr>
        <w:t>Health &amp; Social Care in the Community</w:t>
      </w:r>
      <w:r w:rsidRPr="004624D3">
        <w:t xml:space="preserve"> </w:t>
      </w:r>
      <w:r w:rsidRPr="003F2E82">
        <w:rPr>
          <w:b/>
          <w:bCs/>
        </w:rPr>
        <w:t>13</w:t>
      </w:r>
      <w:r w:rsidR="00203841" w:rsidRPr="004624D3">
        <w:t>,</w:t>
      </w:r>
      <w:r w:rsidRPr="004624D3">
        <w:t xml:space="preserve"> 470–477.</w:t>
      </w:r>
      <w:r w:rsidR="007B559B" w:rsidRPr="004624D3">
        <w:t xml:space="preserve"> https://doi.org/10.1111/j.1365-2524.2005.00574.x</w:t>
      </w:r>
    </w:p>
    <w:p w14:paraId="2CFD563A" w14:textId="5AB401AB" w:rsidR="00B474A5" w:rsidRPr="004624D3" w:rsidRDefault="00B474A5" w:rsidP="0062265A">
      <w:pPr>
        <w:spacing w:after="0" w:line="480" w:lineRule="auto"/>
        <w:ind w:left="426" w:hanging="426"/>
      </w:pPr>
      <w:r w:rsidRPr="004624D3">
        <w:t>G</w:t>
      </w:r>
      <w:r w:rsidR="00E717F7" w:rsidRPr="004624D3">
        <w:t>ó</w:t>
      </w:r>
      <w:r w:rsidRPr="004624D3">
        <w:t>mez-</w:t>
      </w:r>
      <w:r w:rsidR="00E717F7" w:rsidRPr="004624D3">
        <w:t>Leó</w:t>
      </w:r>
      <w:r w:rsidRPr="004624D3">
        <w:t xml:space="preserve">n, M, Evandrou, M, Falkingham, J and Vlachantoni, A (2019) The dynamics of social care and employment in mid-life. </w:t>
      </w:r>
      <w:r w:rsidRPr="004624D3">
        <w:rPr>
          <w:i/>
          <w:iCs/>
        </w:rPr>
        <w:t>Ageing &amp; Society</w:t>
      </w:r>
      <w:r w:rsidRPr="004624D3">
        <w:t xml:space="preserve"> </w:t>
      </w:r>
      <w:r w:rsidRPr="003F2E82">
        <w:rPr>
          <w:b/>
          <w:bCs/>
        </w:rPr>
        <w:t>39</w:t>
      </w:r>
      <w:r w:rsidR="00203841" w:rsidRPr="004624D3">
        <w:t>,</w:t>
      </w:r>
      <w:r w:rsidRPr="004624D3">
        <w:t xml:space="preserve"> 381-408.</w:t>
      </w:r>
      <w:r w:rsidR="007B559B" w:rsidRPr="004624D3">
        <w:t xml:space="preserve"> </w:t>
      </w:r>
      <w:r w:rsidR="00E717F7" w:rsidRPr="004624D3">
        <w:t>https://doi.org/10.1017/S0144686X17000964</w:t>
      </w:r>
    </w:p>
    <w:p w14:paraId="7E545C4F" w14:textId="2D88E3A8" w:rsidR="00567D7E" w:rsidRPr="004624D3" w:rsidRDefault="00567D7E" w:rsidP="0062265A">
      <w:pPr>
        <w:spacing w:after="0" w:line="480" w:lineRule="auto"/>
        <w:ind w:left="426" w:hanging="426"/>
      </w:pPr>
      <w:r w:rsidRPr="004624D3">
        <w:t xml:space="preserve">Hanson, E and Starr, M </w:t>
      </w:r>
      <w:r w:rsidR="008D3DF6" w:rsidRPr="004624D3">
        <w:t>(</w:t>
      </w:r>
      <w:r w:rsidRPr="004624D3">
        <w:t>2017</w:t>
      </w:r>
      <w:r w:rsidR="008D3DF6" w:rsidRPr="004624D3">
        <w:t>)</w:t>
      </w:r>
      <w:r w:rsidRPr="004624D3">
        <w:t xml:space="preserve"> Care and caring: future-proofing the new demographics. </w:t>
      </w:r>
      <w:r w:rsidRPr="004624D3">
        <w:rPr>
          <w:bCs/>
          <w:i/>
        </w:rPr>
        <w:t>International Journal of Care and Caring</w:t>
      </w:r>
      <w:r w:rsidRPr="004624D3">
        <w:t xml:space="preserve"> </w:t>
      </w:r>
      <w:r w:rsidRPr="003F2E82">
        <w:rPr>
          <w:b/>
          <w:bCs/>
        </w:rPr>
        <w:t>1</w:t>
      </w:r>
      <w:r w:rsidR="00203841" w:rsidRPr="004624D3">
        <w:t>,</w:t>
      </w:r>
      <w:r w:rsidR="008D3DF6" w:rsidRPr="004624D3">
        <w:t xml:space="preserve"> </w:t>
      </w:r>
      <w:r w:rsidRPr="004624D3">
        <w:t>143-46.</w:t>
      </w:r>
      <w:r w:rsidR="00E717F7" w:rsidRPr="004624D3">
        <w:t xml:space="preserve"> https://doi.org/10.1332/239788217X14867302343633</w:t>
      </w:r>
    </w:p>
    <w:p w14:paraId="2D26DCBA" w14:textId="791B5382" w:rsidR="00903C5F" w:rsidRPr="004624D3" w:rsidRDefault="00903C5F" w:rsidP="0062265A">
      <w:pPr>
        <w:spacing w:after="0" w:line="480" w:lineRule="auto"/>
        <w:ind w:left="426" w:hanging="426"/>
      </w:pPr>
      <w:r w:rsidRPr="004624D3">
        <w:t xml:space="preserve">Harris, CE, D’Angelo, S, Syddall, HE, Linaker, C, Cooper, C and Walker-Bone, K (2020) Relationships between informal caregiving, health and work in the Health and Employment After Fifty study, England. </w:t>
      </w:r>
      <w:r w:rsidRPr="004624D3">
        <w:rPr>
          <w:i/>
          <w:iCs/>
        </w:rPr>
        <w:t>The European Journal of Public Health</w:t>
      </w:r>
      <w:r w:rsidRPr="004624D3">
        <w:t xml:space="preserve"> </w:t>
      </w:r>
      <w:r w:rsidRPr="003F2E82">
        <w:rPr>
          <w:b/>
          <w:bCs/>
        </w:rPr>
        <w:t>30</w:t>
      </w:r>
      <w:r w:rsidR="00203841" w:rsidRPr="004624D3">
        <w:t>,</w:t>
      </w:r>
      <w:r w:rsidRPr="004624D3">
        <w:t xml:space="preserve"> 799-806.</w:t>
      </w:r>
      <w:r w:rsidR="00B31E91" w:rsidRPr="004624D3">
        <w:t xml:space="preserve"> https://doi.org/10.1093/eurpub/ckaa078</w:t>
      </w:r>
    </w:p>
    <w:p w14:paraId="7E545C50" w14:textId="0F37240D" w:rsidR="00567D7E" w:rsidRPr="004624D3" w:rsidRDefault="00567D7E" w:rsidP="0062265A">
      <w:pPr>
        <w:spacing w:after="0" w:line="480" w:lineRule="auto"/>
        <w:ind w:left="426" w:hanging="426"/>
      </w:pPr>
      <w:r w:rsidRPr="004624D3">
        <w:t xml:space="preserve">Hawkes, D and Plewis, I </w:t>
      </w:r>
      <w:r w:rsidR="008D3DF6" w:rsidRPr="004624D3">
        <w:t>(</w:t>
      </w:r>
      <w:r w:rsidRPr="004624D3">
        <w:t>2006</w:t>
      </w:r>
      <w:r w:rsidR="008D3DF6" w:rsidRPr="004624D3">
        <w:t>)</w:t>
      </w:r>
      <w:r w:rsidRPr="004624D3">
        <w:t xml:space="preserve"> Modelling non-response in the National Child Development Study. </w:t>
      </w:r>
      <w:r w:rsidRPr="004624D3">
        <w:rPr>
          <w:bCs/>
          <w:i/>
        </w:rPr>
        <w:t>Journal of the Royal Statistical Society: Series A (Statistics in Society)</w:t>
      </w:r>
      <w:r w:rsidRPr="004624D3">
        <w:rPr>
          <w:bCs/>
        </w:rPr>
        <w:t xml:space="preserve"> </w:t>
      </w:r>
      <w:r w:rsidRPr="003F2E82">
        <w:rPr>
          <w:b/>
          <w:bCs/>
        </w:rPr>
        <w:t>169</w:t>
      </w:r>
      <w:r w:rsidR="00203841" w:rsidRPr="004624D3">
        <w:t xml:space="preserve">, </w:t>
      </w:r>
      <w:r w:rsidRPr="004624D3">
        <w:t>479-91.</w:t>
      </w:r>
      <w:r w:rsidR="00B31E91" w:rsidRPr="004624D3">
        <w:t xml:space="preserve"> https://doi.org/10.1111/j.1467-985X.2006.00401.x</w:t>
      </w:r>
    </w:p>
    <w:p w14:paraId="5677FBA8" w14:textId="138C26C7" w:rsidR="00FA6256" w:rsidRPr="004624D3" w:rsidRDefault="00FA6256" w:rsidP="0062265A">
      <w:pPr>
        <w:spacing w:after="0" w:line="480" w:lineRule="auto"/>
        <w:ind w:left="426" w:hanging="426"/>
      </w:pPr>
      <w:r w:rsidRPr="004624D3">
        <w:t xml:space="preserve">Hurh, K, Youn, HM, Park, YS, Park, E-C and Jang, SI (2021) The Impact of Transitions in Caregiving Status on Depressive Symptoms among Older Family Caregivers: Findings from the Korean Longitudinal Study of Aging. </w:t>
      </w:r>
      <w:r w:rsidRPr="004624D3">
        <w:rPr>
          <w:i/>
          <w:iCs/>
        </w:rPr>
        <w:t>International Journal of Environmental Research and Public Health</w:t>
      </w:r>
      <w:r w:rsidRPr="004624D3">
        <w:t xml:space="preserve"> </w:t>
      </w:r>
      <w:r w:rsidRPr="003F2E82">
        <w:rPr>
          <w:b/>
          <w:bCs/>
        </w:rPr>
        <w:t>18</w:t>
      </w:r>
      <w:r w:rsidRPr="004624D3">
        <w:t>, 42. https://doi.org/10.3390/ijerph18010042</w:t>
      </w:r>
    </w:p>
    <w:p w14:paraId="355CD2CC" w14:textId="3A0AFB71" w:rsidR="00F56E8B" w:rsidRPr="004624D3" w:rsidRDefault="00F56E8B" w:rsidP="0062265A">
      <w:pPr>
        <w:spacing w:after="0" w:line="480" w:lineRule="auto"/>
        <w:ind w:left="426" w:hanging="426"/>
      </w:pPr>
      <w:r w:rsidRPr="004624D3">
        <w:t xml:space="preserve">Jagger, C, Matthews, FE, Wohland, P, Fouweather, T, Stephan, BCM, Robinson, L, Arthur, A and Brayne, C (2016) A comparison of health expectancies over two decades in England: results of the Cognitive Function and Ageing Study I and II. </w:t>
      </w:r>
      <w:r w:rsidRPr="004624D3">
        <w:rPr>
          <w:i/>
          <w:iCs/>
        </w:rPr>
        <w:t>Lancet</w:t>
      </w:r>
      <w:r w:rsidRPr="004624D3">
        <w:t xml:space="preserve"> </w:t>
      </w:r>
      <w:r w:rsidRPr="003F2E82">
        <w:rPr>
          <w:b/>
          <w:bCs/>
        </w:rPr>
        <w:t>387</w:t>
      </w:r>
      <w:r w:rsidR="00203841" w:rsidRPr="004624D3">
        <w:t>,</w:t>
      </w:r>
      <w:r w:rsidRPr="004624D3">
        <w:t xml:space="preserve"> 779-786.</w:t>
      </w:r>
      <w:r w:rsidR="00B31E91" w:rsidRPr="004624D3">
        <w:t xml:space="preserve"> https://doi.org/10.1016/S0140-6736(15)00947-2</w:t>
      </w:r>
    </w:p>
    <w:p w14:paraId="4E94DDF7" w14:textId="423795EC" w:rsidR="002D696E" w:rsidRPr="004624D3" w:rsidRDefault="002D696E" w:rsidP="0062265A">
      <w:pPr>
        <w:spacing w:after="0" w:line="480" w:lineRule="auto"/>
        <w:ind w:left="426" w:hanging="426"/>
      </w:pPr>
      <w:r w:rsidRPr="004624D3">
        <w:rPr>
          <w:rFonts w:hint="eastAsia"/>
        </w:rPr>
        <w:lastRenderedPageBreak/>
        <w:t>Johnson, D (2005) Two</w:t>
      </w:r>
      <w:r w:rsidRPr="004624D3">
        <w:rPr>
          <w:rFonts w:hint="eastAsia"/>
        </w:rPr>
        <w:t>‐</w:t>
      </w:r>
      <w:r w:rsidRPr="004624D3">
        <w:rPr>
          <w:rFonts w:hint="eastAsia"/>
        </w:rPr>
        <w:t xml:space="preserve">wave panel analysis: Comparing statistical methods for studying the effects of transitions. </w:t>
      </w:r>
      <w:r w:rsidRPr="004624D3">
        <w:rPr>
          <w:rFonts w:hint="eastAsia"/>
          <w:i/>
          <w:iCs/>
        </w:rPr>
        <w:t>Journal of Marriage and Family</w:t>
      </w:r>
      <w:r w:rsidRPr="004624D3">
        <w:rPr>
          <w:rFonts w:hint="eastAsia"/>
        </w:rPr>
        <w:t xml:space="preserve"> </w:t>
      </w:r>
      <w:r w:rsidRPr="003F2E82">
        <w:rPr>
          <w:rFonts w:hint="eastAsia"/>
          <w:b/>
          <w:bCs/>
        </w:rPr>
        <w:t>67</w:t>
      </w:r>
      <w:r w:rsidRPr="004624D3">
        <w:rPr>
          <w:rFonts w:hint="eastAsia"/>
        </w:rPr>
        <w:t>, 1061</w:t>
      </w:r>
      <w:r w:rsidRPr="004624D3">
        <w:rPr>
          <w:rFonts w:hint="eastAsia"/>
        </w:rPr>
        <w:t>–</w:t>
      </w:r>
      <w:r w:rsidRPr="004624D3">
        <w:rPr>
          <w:rFonts w:hint="eastAsia"/>
        </w:rPr>
        <w:t xml:space="preserve">1075. </w:t>
      </w:r>
      <w:hyperlink r:id="rId10" w:history="1">
        <w:r w:rsidRPr="004624D3">
          <w:rPr>
            <w:rStyle w:val="Hyperlink"/>
            <w:rFonts w:hint="eastAsia"/>
          </w:rPr>
          <w:t>https://doi.org/10.1111/j.1741-3737.2005.00194.x</w:t>
        </w:r>
      </w:hyperlink>
    </w:p>
    <w:p w14:paraId="04FBA1B0" w14:textId="78B07ACB" w:rsidR="004813C7" w:rsidRPr="004624D3" w:rsidRDefault="004813C7" w:rsidP="0062265A">
      <w:pPr>
        <w:spacing w:after="0" w:line="480" w:lineRule="auto"/>
        <w:ind w:left="426" w:hanging="426"/>
      </w:pPr>
      <w:r w:rsidRPr="004624D3">
        <w:t xml:space="preserve">Kaufman, JE, Lee, Y, Vaughon, W, Unuigbe, A and Gallo, WT  (2019) Depression Associated With Transitions Into and Out of Spousal Caregiving. </w:t>
      </w:r>
      <w:r w:rsidRPr="004624D3">
        <w:rPr>
          <w:i/>
          <w:iCs/>
        </w:rPr>
        <w:t>The International Journal of Aging and Human Development</w:t>
      </w:r>
      <w:r w:rsidRPr="004624D3">
        <w:t xml:space="preserve"> </w:t>
      </w:r>
      <w:r w:rsidRPr="003F2E82">
        <w:rPr>
          <w:b/>
          <w:bCs/>
        </w:rPr>
        <w:t>9</w:t>
      </w:r>
      <w:r w:rsidR="00203841" w:rsidRPr="004624D3">
        <w:t xml:space="preserve">, </w:t>
      </w:r>
      <w:r w:rsidRPr="004624D3">
        <w:t>127-149. doi:10.1177/0091415018754310</w:t>
      </w:r>
    </w:p>
    <w:p w14:paraId="2563A72C" w14:textId="1F14190A" w:rsidR="00BD1DB5" w:rsidRPr="004624D3" w:rsidRDefault="00BD1DB5" w:rsidP="0062265A">
      <w:pPr>
        <w:spacing w:after="0" w:line="480" w:lineRule="auto"/>
        <w:ind w:left="426" w:hanging="426"/>
      </w:pPr>
      <w:r w:rsidRPr="004624D3">
        <w:t xml:space="preserve">Keating N, Eales J, Funk L, Fast J and Min J (2019) Life course trajectories of family care. International </w:t>
      </w:r>
      <w:r w:rsidRPr="004624D3">
        <w:rPr>
          <w:i/>
          <w:iCs/>
        </w:rPr>
        <w:t>Journal of Care and Caring</w:t>
      </w:r>
      <w:r w:rsidRPr="004624D3">
        <w:t xml:space="preserve"> </w:t>
      </w:r>
      <w:r w:rsidRPr="003F2E82">
        <w:rPr>
          <w:b/>
          <w:bCs/>
        </w:rPr>
        <w:t>3</w:t>
      </w:r>
      <w:r w:rsidRPr="004624D3">
        <w:t>, 147–163. doi:10.1332/239788219X15473079319309</w:t>
      </w:r>
    </w:p>
    <w:p w14:paraId="20A1C6B7" w14:textId="1045A679" w:rsidR="00C9180B" w:rsidRPr="004624D3" w:rsidRDefault="00C9180B" w:rsidP="0062265A">
      <w:pPr>
        <w:spacing w:after="0" w:line="480" w:lineRule="auto"/>
        <w:ind w:left="426" w:hanging="426"/>
      </w:pPr>
      <w:r w:rsidRPr="004624D3">
        <w:t xml:space="preserve">Kyung Do, Y, Norton, EC, Stearns, SC and Van Houtven, CH (2014) Informal care and caregiver’s health. </w:t>
      </w:r>
      <w:r w:rsidRPr="004624D3">
        <w:rPr>
          <w:i/>
          <w:iCs/>
        </w:rPr>
        <w:t>Health Economics</w:t>
      </w:r>
      <w:r w:rsidRPr="004624D3">
        <w:t xml:space="preserve"> </w:t>
      </w:r>
      <w:r w:rsidRPr="003F2E82">
        <w:rPr>
          <w:b/>
          <w:bCs/>
        </w:rPr>
        <w:t>24</w:t>
      </w:r>
      <w:r w:rsidR="00203841" w:rsidRPr="004624D3">
        <w:t>,</w:t>
      </w:r>
      <w:r w:rsidRPr="004624D3">
        <w:t xml:space="preserve"> 224-237.</w:t>
      </w:r>
      <w:r w:rsidR="00B31E91" w:rsidRPr="004624D3">
        <w:t xml:space="preserve"> </w:t>
      </w:r>
      <w:r w:rsidR="00E20E77" w:rsidRPr="004624D3">
        <w:t>https://doi.org/10.1002/hec.3012</w:t>
      </w:r>
    </w:p>
    <w:p w14:paraId="089FAE56" w14:textId="0CD49099" w:rsidR="001C1ADB" w:rsidRPr="004624D3" w:rsidRDefault="001C1ADB" w:rsidP="0062265A">
      <w:pPr>
        <w:spacing w:after="0" w:line="480" w:lineRule="auto"/>
        <w:ind w:left="426" w:hanging="426"/>
      </w:pPr>
      <w:r w:rsidRPr="004624D3">
        <w:t xml:space="preserve">Lawton, PM, Moss, M, Hoffman, C and Perkinson, M (2000) Two transitions in daughters' caregiving careers. </w:t>
      </w:r>
      <w:r w:rsidRPr="004624D3">
        <w:rPr>
          <w:i/>
          <w:iCs/>
        </w:rPr>
        <w:t>The Gerontologist</w:t>
      </w:r>
      <w:r w:rsidRPr="004624D3">
        <w:t xml:space="preserve"> </w:t>
      </w:r>
      <w:r w:rsidRPr="003F2E82">
        <w:rPr>
          <w:b/>
          <w:bCs/>
        </w:rPr>
        <w:t>40</w:t>
      </w:r>
      <w:r w:rsidR="00203841" w:rsidRPr="004624D3">
        <w:t>,</w:t>
      </w:r>
      <w:r w:rsidRPr="004624D3">
        <w:t xml:space="preserve"> 437–448.</w:t>
      </w:r>
      <w:r w:rsidR="00E20E77" w:rsidRPr="004624D3">
        <w:t xml:space="preserve"> https://doi.org/10.1093/geront/40.4.437</w:t>
      </w:r>
    </w:p>
    <w:p w14:paraId="0DE90C25" w14:textId="262E972F" w:rsidR="004B24EB" w:rsidRPr="004624D3" w:rsidRDefault="004B24EB" w:rsidP="0062265A">
      <w:pPr>
        <w:spacing w:after="0" w:line="480" w:lineRule="auto"/>
        <w:ind w:left="426" w:hanging="426"/>
      </w:pPr>
      <w:r w:rsidRPr="004624D3">
        <w:t>Lazarus, RS, Folkman, S (1984) Stress, Appraisal and Coping. New York: Springer Publishing Company.</w:t>
      </w:r>
    </w:p>
    <w:p w14:paraId="0B98CCED" w14:textId="45880307" w:rsidR="00533B0C" w:rsidRPr="004624D3" w:rsidRDefault="00533B0C" w:rsidP="0062265A">
      <w:pPr>
        <w:spacing w:after="0" w:line="480" w:lineRule="auto"/>
        <w:ind w:left="426" w:hanging="426"/>
      </w:pPr>
      <w:r w:rsidRPr="004624D3">
        <w:t xml:space="preserve">Lu, X, Dallal, CM, He, X, Juon, H-S, Wang, MQ and Lee, S (2019) Parental caregiving trajectories and Metabolic Syndrome: A longitudinal study among Chinese women. </w:t>
      </w:r>
      <w:r w:rsidRPr="004624D3">
        <w:rPr>
          <w:i/>
          <w:iCs/>
        </w:rPr>
        <w:t>Social Science &amp; Medicine</w:t>
      </w:r>
      <w:r w:rsidRPr="004624D3">
        <w:t xml:space="preserve"> </w:t>
      </w:r>
      <w:r w:rsidRPr="003F2E82">
        <w:rPr>
          <w:b/>
          <w:bCs/>
        </w:rPr>
        <w:t>240</w:t>
      </w:r>
      <w:r w:rsidRPr="004624D3">
        <w:t xml:space="preserve">. doi.org/10.1016/j.socscimed.2019.112559 </w:t>
      </w:r>
    </w:p>
    <w:p w14:paraId="5F4A2BCF" w14:textId="2A330048" w:rsidR="00DD13B4" w:rsidRPr="004624D3" w:rsidRDefault="00DD13B4" w:rsidP="0062265A">
      <w:pPr>
        <w:spacing w:after="0" w:line="480" w:lineRule="auto"/>
        <w:ind w:left="426" w:hanging="426"/>
      </w:pPr>
      <w:r w:rsidRPr="004624D3">
        <w:t>Maplethorpe, N, Darton, R and Wittenberg, R (2015) Social Care: Need For and Receipt of Help. Health Survey for England 2014. Health and Social Care Information Centre. http://healthsurvey.hscic.gov.uk/media/33548/HSE2014-Ch5-Social-care-needand-receipt.pdf [Accessed 29 November 2021].</w:t>
      </w:r>
    </w:p>
    <w:p w14:paraId="7485301D" w14:textId="3B2D98C2" w:rsidR="00062AAC" w:rsidRPr="004624D3" w:rsidRDefault="00062AAC" w:rsidP="0062265A">
      <w:pPr>
        <w:spacing w:after="0" w:line="480" w:lineRule="auto"/>
        <w:ind w:left="426" w:hanging="426"/>
      </w:pPr>
      <w:r w:rsidRPr="004624D3">
        <w:t>Norman,</w:t>
      </w:r>
      <w:r w:rsidR="008D3DF6" w:rsidRPr="004624D3">
        <w:t xml:space="preserve"> </w:t>
      </w:r>
      <w:r w:rsidRPr="004624D3">
        <w:t>P</w:t>
      </w:r>
      <w:r w:rsidR="008D3DF6" w:rsidRPr="004624D3">
        <w:t xml:space="preserve"> and </w:t>
      </w:r>
      <w:r w:rsidRPr="004624D3">
        <w:t>Purdam,</w:t>
      </w:r>
      <w:r w:rsidR="008D3DF6" w:rsidRPr="004624D3">
        <w:t xml:space="preserve"> </w:t>
      </w:r>
      <w:r w:rsidRPr="004624D3">
        <w:t>K</w:t>
      </w:r>
      <w:r w:rsidR="008D3DF6" w:rsidRPr="004624D3">
        <w:t xml:space="preserve"> </w:t>
      </w:r>
      <w:r w:rsidRPr="004624D3">
        <w:t>(2013)</w:t>
      </w:r>
      <w:r w:rsidR="00203841" w:rsidRPr="004624D3">
        <w:t xml:space="preserve"> </w:t>
      </w:r>
      <w:r w:rsidRPr="004624D3">
        <w:t>Unpaid</w:t>
      </w:r>
      <w:r w:rsidR="008D3DF6" w:rsidRPr="004624D3">
        <w:t xml:space="preserve"> </w:t>
      </w:r>
      <w:r w:rsidRPr="004624D3">
        <w:t>caring</w:t>
      </w:r>
      <w:r w:rsidR="008D3DF6" w:rsidRPr="004624D3">
        <w:t xml:space="preserve"> </w:t>
      </w:r>
      <w:r w:rsidRPr="004624D3">
        <w:t>within</w:t>
      </w:r>
      <w:r w:rsidR="008D3DF6" w:rsidRPr="004624D3">
        <w:t xml:space="preserve"> </w:t>
      </w:r>
      <w:r w:rsidRPr="004624D3">
        <w:t>and</w:t>
      </w:r>
      <w:r w:rsidR="008D3DF6" w:rsidRPr="004624D3">
        <w:t xml:space="preserve"> </w:t>
      </w:r>
      <w:r w:rsidRPr="004624D3">
        <w:t>outside</w:t>
      </w:r>
      <w:r w:rsidR="008D3DF6" w:rsidRPr="004624D3">
        <w:t xml:space="preserve"> </w:t>
      </w:r>
      <w:r w:rsidRPr="004624D3">
        <w:t>the</w:t>
      </w:r>
      <w:r w:rsidR="008D3DF6" w:rsidRPr="004624D3">
        <w:t xml:space="preserve"> </w:t>
      </w:r>
      <w:r w:rsidRPr="004624D3">
        <w:t>carer’s home</w:t>
      </w:r>
      <w:r w:rsidR="008D3DF6" w:rsidRPr="004624D3">
        <w:t xml:space="preserve"> </w:t>
      </w:r>
      <w:r w:rsidRPr="004624D3">
        <w:t>in England</w:t>
      </w:r>
      <w:r w:rsidR="008D3DF6" w:rsidRPr="004624D3">
        <w:t xml:space="preserve"> </w:t>
      </w:r>
      <w:r w:rsidRPr="004624D3">
        <w:t>and</w:t>
      </w:r>
      <w:r w:rsidR="008D3DF6" w:rsidRPr="004624D3">
        <w:t xml:space="preserve"> </w:t>
      </w:r>
      <w:r w:rsidRPr="004624D3">
        <w:t xml:space="preserve">Wales. </w:t>
      </w:r>
      <w:r w:rsidRPr="004624D3">
        <w:rPr>
          <w:bCs/>
          <w:i/>
        </w:rPr>
        <w:t>Population</w:t>
      </w:r>
      <w:r w:rsidR="008D3DF6" w:rsidRPr="004624D3">
        <w:rPr>
          <w:bCs/>
          <w:i/>
        </w:rPr>
        <w:t>,</w:t>
      </w:r>
      <w:r w:rsidRPr="004624D3">
        <w:rPr>
          <w:bCs/>
          <w:i/>
        </w:rPr>
        <w:t xml:space="preserve"> Space</w:t>
      </w:r>
      <w:r w:rsidR="008D3DF6" w:rsidRPr="004624D3">
        <w:rPr>
          <w:bCs/>
          <w:i/>
        </w:rPr>
        <w:t xml:space="preserve"> </w:t>
      </w:r>
      <w:r w:rsidRPr="004624D3">
        <w:rPr>
          <w:bCs/>
          <w:i/>
        </w:rPr>
        <w:t>and</w:t>
      </w:r>
      <w:r w:rsidR="008D3DF6" w:rsidRPr="004624D3">
        <w:rPr>
          <w:bCs/>
          <w:i/>
        </w:rPr>
        <w:t xml:space="preserve"> </w:t>
      </w:r>
      <w:r w:rsidRPr="004624D3">
        <w:rPr>
          <w:bCs/>
          <w:i/>
        </w:rPr>
        <w:t>Place</w:t>
      </w:r>
      <w:r w:rsidRPr="004624D3">
        <w:t xml:space="preserve"> </w:t>
      </w:r>
      <w:r w:rsidRPr="003F2E82">
        <w:rPr>
          <w:b/>
          <w:bCs/>
        </w:rPr>
        <w:t>19</w:t>
      </w:r>
      <w:r w:rsidR="00203841" w:rsidRPr="004624D3">
        <w:t>,</w:t>
      </w:r>
      <w:r w:rsidRPr="004624D3">
        <w:t xml:space="preserve"> 15–31. </w:t>
      </w:r>
      <w:r w:rsidR="00E20E77" w:rsidRPr="004624D3">
        <w:t>https://doi.org/10.1002/psp.1702</w:t>
      </w:r>
    </w:p>
    <w:p w14:paraId="512546DC" w14:textId="4C9DC4EF" w:rsidR="001D0250" w:rsidRPr="004624D3" w:rsidRDefault="001D0250" w:rsidP="0062265A">
      <w:pPr>
        <w:spacing w:after="0" w:line="480" w:lineRule="auto"/>
        <w:ind w:left="426" w:hanging="426"/>
      </w:pPr>
      <w:r w:rsidRPr="004624D3">
        <w:t xml:space="preserve">Office for National Statistics (2019) National Life Tables, UK: 2016 to 2018. </w:t>
      </w:r>
      <w:hyperlink r:id="rId11" w:history="1">
        <w:r w:rsidRPr="004624D3">
          <w:rPr>
            <w:rStyle w:val="Hyperlink"/>
          </w:rPr>
          <w:t>https://www.ons.gov.uk/peoplepopulationandcommunity/birthsdeathsandmarriages/lifeexpectancies/bulletins/nationallifetablesunitedkingdom/2016to2018</w:t>
        </w:r>
      </w:hyperlink>
      <w:r w:rsidRPr="004624D3">
        <w:t xml:space="preserve"> (accessed 28/09/20)</w:t>
      </w:r>
    </w:p>
    <w:p w14:paraId="6933396E" w14:textId="31C1D498" w:rsidR="00062AAC" w:rsidRPr="004624D3" w:rsidRDefault="00062AAC" w:rsidP="0062265A">
      <w:pPr>
        <w:spacing w:after="0" w:line="480" w:lineRule="auto"/>
        <w:ind w:left="426" w:hanging="426"/>
      </w:pPr>
      <w:r w:rsidRPr="004624D3">
        <w:lastRenderedPageBreak/>
        <w:t>O’Reilly,</w:t>
      </w:r>
      <w:r w:rsidR="008D3DF6" w:rsidRPr="004624D3">
        <w:t xml:space="preserve"> </w:t>
      </w:r>
      <w:r w:rsidRPr="004624D3">
        <w:t>D,</w:t>
      </w:r>
      <w:r w:rsidR="008D3DF6" w:rsidRPr="004624D3">
        <w:t xml:space="preserve"> </w:t>
      </w:r>
      <w:r w:rsidRPr="004624D3">
        <w:t>Connolly,</w:t>
      </w:r>
      <w:r w:rsidR="008D3DF6" w:rsidRPr="004624D3">
        <w:t xml:space="preserve"> </w:t>
      </w:r>
      <w:r w:rsidRPr="004624D3">
        <w:t>S,</w:t>
      </w:r>
      <w:r w:rsidR="008D3DF6" w:rsidRPr="004624D3">
        <w:t xml:space="preserve"> </w:t>
      </w:r>
      <w:r w:rsidRPr="004624D3">
        <w:t>Rosato,</w:t>
      </w:r>
      <w:r w:rsidR="008D3DF6" w:rsidRPr="004624D3">
        <w:t xml:space="preserve"> </w:t>
      </w:r>
      <w:r w:rsidRPr="004624D3">
        <w:t>M</w:t>
      </w:r>
      <w:r w:rsidR="008D3DF6" w:rsidRPr="004624D3">
        <w:t xml:space="preserve"> and </w:t>
      </w:r>
      <w:r w:rsidRPr="004624D3">
        <w:t>Patterson,</w:t>
      </w:r>
      <w:r w:rsidR="008D3DF6" w:rsidRPr="004624D3">
        <w:t xml:space="preserve"> </w:t>
      </w:r>
      <w:r w:rsidRPr="004624D3">
        <w:t>C</w:t>
      </w:r>
      <w:r w:rsidR="006403A1" w:rsidRPr="004624D3">
        <w:t xml:space="preserve"> </w:t>
      </w:r>
      <w:r w:rsidRPr="004624D3">
        <w:t>(2008)</w:t>
      </w:r>
      <w:r w:rsidR="008D3DF6" w:rsidRPr="004624D3">
        <w:t xml:space="preserve"> </w:t>
      </w:r>
      <w:r w:rsidRPr="004624D3">
        <w:t>Is</w:t>
      </w:r>
      <w:r w:rsidR="008D3DF6" w:rsidRPr="004624D3">
        <w:t xml:space="preserve"> </w:t>
      </w:r>
      <w:r w:rsidRPr="004624D3">
        <w:t>caring</w:t>
      </w:r>
      <w:r w:rsidR="008D3DF6" w:rsidRPr="004624D3">
        <w:t xml:space="preserve"> </w:t>
      </w:r>
      <w:r w:rsidRPr="004624D3">
        <w:t>associated</w:t>
      </w:r>
      <w:r w:rsidR="008D3DF6" w:rsidRPr="004624D3">
        <w:t xml:space="preserve"> </w:t>
      </w:r>
      <w:r w:rsidRPr="004624D3">
        <w:t>with</w:t>
      </w:r>
      <w:r w:rsidR="008D3DF6" w:rsidRPr="004624D3">
        <w:t xml:space="preserve"> </w:t>
      </w:r>
      <w:r w:rsidRPr="004624D3">
        <w:t>an increased</w:t>
      </w:r>
      <w:r w:rsidR="008D3DF6" w:rsidRPr="004624D3">
        <w:t xml:space="preserve"> </w:t>
      </w:r>
      <w:r w:rsidRPr="004624D3">
        <w:t>risk</w:t>
      </w:r>
      <w:r w:rsidR="008D3DF6" w:rsidRPr="004624D3">
        <w:t xml:space="preserve"> </w:t>
      </w:r>
      <w:r w:rsidRPr="004624D3">
        <w:t>of</w:t>
      </w:r>
      <w:r w:rsidR="008D3DF6" w:rsidRPr="004624D3">
        <w:t xml:space="preserve"> </w:t>
      </w:r>
      <w:r w:rsidRPr="004624D3">
        <w:t>mortality?</w:t>
      </w:r>
      <w:r w:rsidR="008D3DF6" w:rsidRPr="004624D3">
        <w:t xml:space="preserve"> </w:t>
      </w:r>
      <w:r w:rsidRPr="004624D3">
        <w:t>A</w:t>
      </w:r>
      <w:r w:rsidR="008D3DF6" w:rsidRPr="004624D3">
        <w:t xml:space="preserve"> </w:t>
      </w:r>
      <w:r w:rsidRPr="004624D3">
        <w:t>longitudinal</w:t>
      </w:r>
      <w:r w:rsidR="008D3DF6" w:rsidRPr="004624D3">
        <w:t xml:space="preserve"> </w:t>
      </w:r>
      <w:r w:rsidRPr="004624D3">
        <w:t xml:space="preserve">study. </w:t>
      </w:r>
      <w:r w:rsidRPr="004624D3">
        <w:rPr>
          <w:bCs/>
          <w:i/>
        </w:rPr>
        <w:t>Social Science</w:t>
      </w:r>
      <w:r w:rsidR="008D3DF6" w:rsidRPr="004624D3">
        <w:rPr>
          <w:bCs/>
          <w:i/>
        </w:rPr>
        <w:t xml:space="preserve"> </w:t>
      </w:r>
      <w:r w:rsidRPr="004624D3">
        <w:rPr>
          <w:bCs/>
          <w:i/>
        </w:rPr>
        <w:t>and</w:t>
      </w:r>
      <w:r w:rsidR="008D3DF6" w:rsidRPr="004624D3">
        <w:rPr>
          <w:bCs/>
          <w:i/>
        </w:rPr>
        <w:t xml:space="preserve"> </w:t>
      </w:r>
      <w:r w:rsidRPr="004624D3">
        <w:rPr>
          <w:bCs/>
          <w:i/>
        </w:rPr>
        <w:t>Medicine</w:t>
      </w:r>
      <w:r w:rsidR="008D3DF6" w:rsidRPr="004624D3">
        <w:t xml:space="preserve"> </w:t>
      </w:r>
      <w:r w:rsidRPr="003F2E82">
        <w:rPr>
          <w:b/>
          <w:bCs/>
        </w:rPr>
        <w:t>67</w:t>
      </w:r>
      <w:r w:rsidR="00203841" w:rsidRPr="004624D3">
        <w:t>,</w:t>
      </w:r>
      <w:r w:rsidRPr="004624D3">
        <w:t xml:space="preserve"> 1282–1290. </w:t>
      </w:r>
      <w:r w:rsidR="00C46A14" w:rsidRPr="004624D3">
        <w:t>https://doi.org/10.1016/j.socscimed.2008.06.025</w:t>
      </w:r>
    </w:p>
    <w:p w14:paraId="3F51D529" w14:textId="2C352A3A" w:rsidR="004B24EB" w:rsidRPr="004624D3" w:rsidRDefault="004B24EB" w:rsidP="0062265A">
      <w:pPr>
        <w:spacing w:after="0" w:line="480" w:lineRule="auto"/>
        <w:ind w:left="426" w:hanging="426"/>
      </w:pPr>
      <w:r w:rsidRPr="004624D3">
        <w:t>Pearlin, LI, Mullan, JT, Semple, JT and Skaff</w:t>
      </w:r>
      <w:r w:rsidR="0063775E" w:rsidRPr="004624D3">
        <w:t>,</w:t>
      </w:r>
      <w:r w:rsidRPr="004624D3">
        <w:t xml:space="preserve"> MM (1990) Caregiving and the stress process: An</w:t>
      </w:r>
      <w:r w:rsidR="0063775E" w:rsidRPr="004624D3">
        <w:t xml:space="preserve"> </w:t>
      </w:r>
      <w:r w:rsidRPr="004624D3">
        <w:t xml:space="preserve">overview of concepts and their measures. </w:t>
      </w:r>
      <w:r w:rsidRPr="004624D3">
        <w:rPr>
          <w:i/>
          <w:iCs/>
        </w:rPr>
        <w:t>Gerontologist</w:t>
      </w:r>
      <w:r w:rsidRPr="004624D3">
        <w:t xml:space="preserve"> </w:t>
      </w:r>
      <w:r w:rsidRPr="003F2E82">
        <w:rPr>
          <w:b/>
          <w:bCs/>
        </w:rPr>
        <w:t>30</w:t>
      </w:r>
      <w:r w:rsidRPr="004624D3">
        <w:t>, 583–594.</w:t>
      </w:r>
      <w:r w:rsidR="0063775E" w:rsidRPr="004624D3">
        <w:t xml:space="preserve"> https://doi.org/10.1093/geront/30.5.583</w:t>
      </w:r>
    </w:p>
    <w:p w14:paraId="4666EAF7" w14:textId="693F212C" w:rsidR="00062AAC" w:rsidRPr="004624D3" w:rsidRDefault="00062AAC" w:rsidP="0062265A">
      <w:pPr>
        <w:spacing w:after="0" w:line="480" w:lineRule="auto"/>
        <w:ind w:left="426" w:hanging="426"/>
      </w:pPr>
      <w:r w:rsidRPr="004624D3">
        <w:t>Pickard,</w:t>
      </w:r>
      <w:r w:rsidR="008D3DF6" w:rsidRPr="004624D3">
        <w:t xml:space="preserve"> </w:t>
      </w:r>
      <w:r w:rsidRPr="004624D3">
        <w:t>L</w:t>
      </w:r>
      <w:r w:rsidR="008D3DF6" w:rsidRPr="004624D3">
        <w:t xml:space="preserve"> </w:t>
      </w:r>
      <w:r w:rsidRPr="004624D3">
        <w:t>(2015)</w:t>
      </w:r>
      <w:r w:rsidR="008D3DF6" w:rsidRPr="004624D3">
        <w:t xml:space="preserve"> </w:t>
      </w:r>
      <w:r w:rsidRPr="004624D3">
        <w:t>A</w:t>
      </w:r>
      <w:r w:rsidR="008D3DF6" w:rsidRPr="004624D3">
        <w:t xml:space="preserve"> </w:t>
      </w:r>
      <w:r w:rsidRPr="004624D3">
        <w:t>growing</w:t>
      </w:r>
      <w:r w:rsidR="008D3DF6" w:rsidRPr="004624D3">
        <w:t xml:space="preserve"> </w:t>
      </w:r>
      <w:r w:rsidRPr="004624D3">
        <w:t>care</w:t>
      </w:r>
      <w:r w:rsidR="008D3DF6" w:rsidRPr="004624D3">
        <w:t xml:space="preserve"> </w:t>
      </w:r>
      <w:r w:rsidRPr="004624D3">
        <w:t>gap?</w:t>
      </w:r>
      <w:r w:rsidR="008D3DF6" w:rsidRPr="004624D3">
        <w:t xml:space="preserve"> </w:t>
      </w:r>
      <w:r w:rsidRPr="004624D3">
        <w:t>The</w:t>
      </w:r>
      <w:r w:rsidR="008D3DF6" w:rsidRPr="004624D3">
        <w:t xml:space="preserve"> </w:t>
      </w:r>
      <w:r w:rsidRPr="004624D3">
        <w:t>supply</w:t>
      </w:r>
      <w:r w:rsidR="008D3DF6" w:rsidRPr="004624D3">
        <w:t xml:space="preserve"> </w:t>
      </w:r>
      <w:r w:rsidRPr="004624D3">
        <w:t>of</w:t>
      </w:r>
      <w:r w:rsidR="008D3DF6" w:rsidRPr="004624D3">
        <w:t xml:space="preserve"> </w:t>
      </w:r>
      <w:r w:rsidRPr="004624D3">
        <w:t>unpaid</w:t>
      </w:r>
      <w:r w:rsidR="008D3DF6" w:rsidRPr="004624D3">
        <w:t xml:space="preserve"> </w:t>
      </w:r>
      <w:r w:rsidRPr="004624D3">
        <w:t>care</w:t>
      </w:r>
      <w:r w:rsidR="008D3DF6" w:rsidRPr="004624D3">
        <w:t xml:space="preserve"> </w:t>
      </w:r>
      <w:r w:rsidRPr="004624D3">
        <w:t>for</w:t>
      </w:r>
      <w:r w:rsidR="008D3DF6" w:rsidRPr="004624D3">
        <w:t xml:space="preserve"> </w:t>
      </w:r>
      <w:r w:rsidRPr="004624D3">
        <w:t>older</w:t>
      </w:r>
      <w:r w:rsidR="008D3DF6" w:rsidRPr="004624D3">
        <w:t xml:space="preserve"> </w:t>
      </w:r>
      <w:r w:rsidRPr="004624D3">
        <w:t>people</w:t>
      </w:r>
      <w:r w:rsidR="008D3DF6" w:rsidRPr="004624D3">
        <w:t xml:space="preserve"> </w:t>
      </w:r>
      <w:r w:rsidRPr="004624D3">
        <w:t>by their</w:t>
      </w:r>
      <w:r w:rsidR="008D3DF6" w:rsidRPr="004624D3">
        <w:t xml:space="preserve"> </w:t>
      </w:r>
      <w:r w:rsidRPr="004624D3">
        <w:t>adult</w:t>
      </w:r>
      <w:r w:rsidR="008D3DF6" w:rsidRPr="004624D3">
        <w:t xml:space="preserve"> </w:t>
      </w:r>
      <w:r w:rsidRPr="004624D3">
        <w:t>children</w:t>
      </w:r>
      <w:r w:rsidR="008D3DF6" w:rsidRPr="004624D3">
        <w:t xml:space="preserve"> </w:t>
      </w:r>
      <w:r w:rsidRPr="004624D3">
        <w:t>in</w:t>
      </w:r>
      <w:r w:rsidR="008D3DF6" w:rsidRPr="004624D3">
        <w:t xml:space="preserve"> </w:t>
      </w:r>
      <w:r w:rsidRPr="004624D3">
        <w:t>England</w:t>
      </w:r>
      <w:r w:rsidR="008D3DF6" w:rsidRPr="004624D3">
        <w:t xml:space="preserve"> </w:t>
      </w:r>
      <w:r w:rsidRPr="004624D3">
        <w:t>to</w:t>
      </w:r>
      <w:r w:rsidR="008D3DF6" w:rsidRPr="004624D3">
        <w:t xml:space="preserve"> </w:t>
      </w:r>
      <w:r w:rsidRPr="004624D3">
        <w:t xml:space="preserve">2032. </w:t>
      </w:r>
      <w:r w:rsidRPr="004624D3">
        <w:rPr>
          <w:bCs/>
          <w:i/>
        </w:rPr>
        <w:t>Ageing</w:t>
      </w:r>
      <w:r w:rsidR="008D3DF6" w:rsidRPr="004624D3">
        <w:rPr>
          <w:bCs/>
          <w:i/>
        </w:rPr>
        <w:t xml:space="preserve"> </w:t>
      </w:r>
      <w:r w:rsidR="003F2E82">
        <w:rPr>
          <w:bCs/>
          <w:i/>
        </w:rPr>
        <w:t>&amp;</w:t>
      </w:r>
      <w:r w:rsidR="008D3DF6" w:rsidRPr="004624D3">
        <w:rPr>
          <w:bCs/>
          <w:i/>
        </w:rPr>
        <w:t xml:space="preserve"> </w:t>
      </w:r>
      <w:r w:rsidRPr="004624D3">
        <w:rPr>
          <w:bCs/>
          <w:i/>
        </w:rPr>
        <w:t>Society</w:t>
      </w:r>
      <w:r w:rsidRPr="004624D3">
        <w:rPr>
          <w:bCs/>
        </w:rPr>
        <w:t xml:space="preserve"> </w:t>
      </w:r>
      <w:r w:rsidRPr="003F2E82">
        <w:rPr>
          <w:b/>
          <w:bCs/>
        </w:rPr>
        <w:t>35</w:t>
      </w:r>
      <w:r w:rsidR="00904B38" w:rsidRPr="004624D3">
        <w:t>,</w:t>
      </w:r>
      <w:r w:rsidRPr="004624D3">
        <w:t xml:space="preserve"> 96–123.</w:t>
      </w:r>
      <w:r w:rsidR="00C46A14" w:rsidRPr="004624D3">
        <w:t xml:space="preserve"> https://doi.org/10.1017/S0144686X13000512</w:t>
      </w:r>
    </w:p>
    <w:p w14:paraId="67FE38F7" w14:textId="706DAB80" w:rsidR="001C1280" w:rsidRPr="004624D3" w:rsidRDefault="001C1280" w:rsidP="0062265A">
      <w:pPr>
        <w:spacing w:after="0" w:line="480" w:lineRule="auto"/>
        <w:ind w:left="426" w:hanging="426"/>
      </w:pPr>
      <w:bookmarkStart w:id="2" w:name="_Hlk82008481"/>
      <w:r w:rsidRPr="004624D3">
        <w:t xml:space="preserve">Rafnsson, SB, Shankar, A and Steptoe, A (2017) Informal caregiving transitions, subjective well-being and depressed mood: Findings from the English Longitudinal Study of Ageing. </w:t>
      </w:r>
      <w:r w:rsidRPr="004624D3">
        <w:rPr>
          <w:i/>
          <w:iCs/>
        </w:rPr>
        <w:t xml:space="preserve">Aging </w:t>
      </w:r>
      <w:r w:rsidR="00EA54BB" w:rsidRPr="004624D3">
        <w:rPr>
          <w:i/>
          <w:iCs/>
        </w:rPr>
        <w:t>&amp;</w:t>
      </w:r>
      <w:r w:rsidRPr="004624D3">
        <w:rPr>
          <w:i/>
          <w:iCs/>
        </w:rPr>
        <w:t xml:space="preserve"> Mental Health</w:t>
      </w:r>
      <w:r w:rsidRPr="004624D3">
        <w:t xml:space="preserve"> </w:t>
      </w:r>
      <w:r w:rsidRPr="003F2E82">
        <w:rPr>
          <w:b/>
          <w:bCs/>
        </w:rPr>
        <w:t>21</w:t>
      </w:r>
      <w:r w:rsidRPr="004624D3">
        <w:t xml:space="preserve">, 104–112. </w:t>
      </w:r>
      <w:r w:rsidR="0063775E" w:rsidRPr="004624D3">
        <w:t>https://doi.org/</w:t>
      </w:r>
      <w:r w:rsidRPr="004624D3">
        <w:t>10.1080/13607863.2015.1088510</w:t>
      </w:r>
    </w:p>
    <w:bookmarkEnd w:id="2"/>
    <w:p w14:paraId="126970F8" w14:textId="20FFB407" w:rsidR="00062AAC" w:rsidRPr="004624D3" w:rsidRDefault="00062AAC" w:rsidP="0062265A">
      <w:pPr>
        <w:spacing w:after="0" w:line="480" w:lineRule="auto"/>
        <w:ind w:left="426" w:hanging="426"/>
      </w:pPr>
      <w:r w:rsidRPr="004624D3">
        <w:t>Rahrig Jenkins,</w:t>
      </w:r>
      <w:r w:rsidR="008D3DF6" w:rsidRPr="004624D3">
        <w:t xml:space="preserve"> </w:t>
      </w:r>
      <w:r w:rsidRPr="004624D3">
        <w:t>K,</w:t>
      </w:r>
      <w:r w:rsidR="008D3DF6" w:rsidRPr="004624D3">
        <w:t xml:space="preserve"> </w:t>
      </w:r>
      <w:r w:rsidRPr="004624D3">
        <w:t>Kabeto,</w:t>
      </w:r>
      <w:r w:rsidR="008D3DF6" w:rsidRPr="004624D3">
        <w:t xml:space="preserve"> </w:t>
      </w:r>
      <w:r w:rsidRPr="004624D3">
        <w:t>MU</w:t>
      </w:r>
      <w:r w:rsidR="008D3DF6" w:rsidRPr="004624D3">
        <w:t xml:space="preserve"> and </w:t>
      </w:r>
      <w:r w:rsidRPr="004624D3">
        <w:t>Langa,</w:t>
      </w:r>
      <w:r w:rsidR="008D3DF6" w:rsidRPr="004624D3">
        <w:t xml:space="preserve"> </w:t>
      </w:r>
      <w:r w:rsidRPr="004624D3">
        <w:t>KM</w:t>
      </w:r>
      <w:r w:rsidR="008D3DF6" w:rsidRPr="004624D3">
        <w:t xml:space="preserve"> </w:t>
      </w:r>
      <w:r w:rsidRPr="004624D3">
        <w:t>(2009)</w:t>
      </w:r>
      <w:r w:rsidR="008D3DF6" w:rsidRPr="004624D3">
        <w:t xml:space="preserve"> </w:t>
      </w:r>
      <w:r w:rsidRPr="004624D3">
        <w:t>Does</w:t>
      </w:r>
      <w:r w:rsidR="008D3DF6" w:rsidRPr="004624D3">
        <w:t xml:space="preserve"> </w:t>
      </w:r>
      <w:r w:rsidRPr="004624D3">
        <w:t>caring</w:t>
      </w:r>
      <w:r w:rsidR="008D3DF6" w:rsidRPr="004624D3">
        <w:t xml:space="preserve"> </w:t>
      </w:r>
      <w:r w:rsidRPr="004624D3">
        <w:t>for</w:t>
      </w:r>
      <w:r w:rsidR="008D3DF6" w:rsidRPr="004624D3">
        <w:t xml:space="preserve"> </w:t>
      </w:r>
      <w:r w:rsidRPr="004624D3">
        <w:t>your</w:t>
      </w:r>
      <w:r w:rsidR="008D3DF6" w:rsidRPr="004624D3">
        <w:t xml:space="preserve"> </w:t>
      </w:r>
      <w:r w:rsidRPr="004624D3">
        <w:t>spouse</w:t>
      </w:r>
      <w:r w:rsidR="008D3DF6" w:rsidRPr="004624D3">
        <w:t xml:space="preserve"> </w:t>
      </w:r>
      <w:r w:rsidRPr="004624D3">
        <w:t>harm one’s health?</w:t>
      </w:r>
      <w:r w:rsidR="008D3DF6" w:rsidRPr="004624D3">
        <w:t xml:space="preserve"> </w:t>
      </w:r>
      <w:r w:rsidRPr="004624D3">
        <w:t>Evidence</w:t>
      </w:r>
      <w:r w:rsidR="008D3DF6" w:rsidRPr="004624D3">
        <w:t xml:space="preserve"> </w:t>
      </w:r>
      <w:r w:rsidRPr="004624D3">
        <w:t>from</w:t>
      </w:r>
      <w:r w:rsidR="008D3DF6" w:rsidRPr="004624D3">
        <w:t xml:space="preserve"> </w:t>
      </w:r>
      <w:r w:rsidRPr="004624D3">
        <w:t>a</w:t>
      </w:r>
      <w:r w:rsidR="008D3DF6" w:rsidRPr="004624D3">
        <w:t xml:space="preserve"> </w:t>
      </w:r>
      <w:r w:rsidRPr="004624D3">
        <w:t>United</w:t>
      </w:r>
      <w:r w:rsidR="008D3DF6" w:rsidRPr="004624D3">
        <w:t xml:space="preserve"> </w:t>
      </w:r>
      <w:r w:rsidRPr="004624D3">
        <w:t>States</w:t>
      </w:r>
      <w:r w:rsidR="008D3DF6" w:rsidRPr="004624D3">
        <w:t xml:space="preserve"> </w:t>
      </w:r>
      <w:r w:rsidRPr="004624D3">
        <w:t>nationally-representative</w:t>
      </w:r>
      <w:r w:rsidR="008D3DF6" w:rsidRPr="004624D3">
        <w:t xml:space="preserve"> </w:t>
      </w:r>
      <w:r w:rsidRPr="004624D3">
        <w:t>sample of</w:t>
      </w:r>
      <w:r w:rsidR="008D3DF6" w:rsidRPr="004624D3">
        <w:t xml:space="preserve"> </w:t>
      </w:r>
      <w:r w:rsidRPr="004624D3">
        <w:t>older</w:t>
      </w:r>
      <w:r w:rsidR="008D3DF6" w:rsidRPr="004624D3">
        <w:t xml:space="preserve"> </w:t>
      </w:r>
      <w:r w:rsidRPr="004624D3">
        <w:t xml:space="preserve">adults. </w:t>
      </w:r>
      <w:r w:rsidRPr="004624D3">
        <w:rPr>
          <w:bCs/>
          <w:i/>
        </w:rPr>
        <w:t>Ageing</w:t>
      </w:r>
      <w:r w:rsidR="008D3DF6" w:rsidRPr="004624D3">
        <w:rPr>
          <w:bCs/>
          <w:i/>
        </w:rPr>
        <w:t xml:space="preserve"> </w:t>
      </w:r>
      <w:r w:rsidR="003F2E82">
        <w:rPr>
          <w:bCs/>
          <w:i/>
        </w:rPr>
        <w:t>&amp;</w:t>
      </w:r>
      <w:r w:rsidR="008D3DF6" w:rsidRPr="004624D3">
        <w:rPr>
          <w:bCs/>
          <w:i/>
        </w:rPr>
        <w:t xml:space="preserve"> </w:t>
      </w:r>
      <w:r w:rsidRPr="004624D3">
        <w:rPr>
          <w:bCs/>
          <w:i/>
        </w:rPr>
        <w:t>Society</w:t>
      </w:r>
      <w:r w:rsidRPr="004624D3">
        <w:t xml:space="preserve"> </w:t>
      </w:r>
      <w:r w:rsidRPr="003F2E82">
        <w:rPr>
          <w:b/>
          <w:bCs/>
        </w:rPr>
        <w:t>29</w:t>
      </w:r>
      <w:r w:rsidR="00904B38" w:rsidRPr="004624D3">
        <w:t>,</w:t>
      </w:r>
      <w:r w:rsidRPr="004624D3">
        <w:t xml:space="preserve"> 277–293.</w:t>
      </w:r>
      <w:r w:rsidR="00C46A14" w:rsidRPr="004624D3">
        <w:t xml:space="preserve"> https://doi.org/10.1017/S0144686X08007824</w:t>
      </w:r>
    </w:p>
    <w:p w14:paraId="7E545C57" w14:textId="03DBB265" w:rsidR="00567D7E" w:rsidRPr="004624D3" w:rsidRDefault="00567D7E" w:rsidP="0062265A">
      <w:pPr>
        <w:spacing w:after="0" w:line="480" w:lineRule="auto"/>
        <w:ind w:left="426" w:hanging="426"/>
      </w:pPr>
      <w:r w:rsidRPr="004624D3">
        <w:t xml:space="preserve">Robards, J, Vlachantoni, A, Evandrou, M and Falkingham, J </w:t>
      </w:r>
      <w:r w:rsidR="008D3DF6" w:rsidRPr="004624D3">
        <w:t>(</w:t>
      </w:r>
      <w:r w:rsidRPr="004624D3">
        <w:t>2015</w:t>
      </w:r>
      <w:r w:rsidR="008D3DF6" w:rsidRPr="004624D3">
        <w:t>)</w:t>
      </w:r>
      <w:r w:rsidRPr="004624D3">
        <w:t xml:space="preserve"> Informal caring in England and Wales - Stability and transition between 2001 and 2011. </w:t>
      </w:r>
      <w:r w:rsidRPr="004624D3">
        <w:rPr>
          <w:bCs/>
          <w:i/>
        </w:rPr>
        <w:t>Adv</w:t>
      </w:r>
      <w:r w:rsidR="008D3DF6" w:rsidRPr="004624D3">
        <w:rPr>
          <w:bCs/>
          <w:i/>
        </w:rPr>
        <w:t>ances in</w:t>
      </w:r>
      <w:r w:rsidRPr="004624D3">
        <w:rPr>
          <w:bCs/>
          <w:i/>
        </w:rPr>
        <w:t xml:space="preserve"> Life Course Res</w:t>
      </w:r>
      <w:r w:rsidR="008D3DF6" w:rsidRPr="004624D3">
        <w:rPr>
          <w:bCs/>
          <w:i/>
        </w:rPr>
        <w:t>earch</w:t>
      </w:r>
      <w:r w:rsidRPr="004624D3">
        <w:t xml:space="preserve"> </w:t>
      </w:r>
      <w:r w:rsidRPr="003F2E82">
        <w:rPr>
          <w:b/>
          <w:bCs/>
        </w:rPr>
        <w:t>24</w:t>
      </w:r>
      <w:r w:rsidR="00904B38" w:rsidRPr="004624D3">
        <w:t>,</w:t>
      </w:r>
      <w:r w:rsidRPr="004624D3">
        <w:t xml:space="preserve"> 21-33.</w:t>
      </w:r>
      <w:r w:rsidR="00F11186" w:rsidRPr="004624D3">
        <w:t xml:space="preserve"> https://doi.org/10.1016/j.alcr.2015.04.003</w:t>
      </w:r>
    </w:p>
    <w:p w14:paraId="716D5DF7" w14:textId="7A2F3354" w:rsidR="000A02F6" w:rsidRPr="004624D3" w:rsidRDefault="000A02F6" w:rsidP="0062265A">
      <w:pPr>
        <w:spacing w:after="0" w:line="480" w:lineRule="auto"/>
        <w:ind w:left="426" w:hanging="426"/>
      </w:pPr>
      <w:r w:rsidRPr="004624D3">
        <w:t xml:space="preserve">Ross, A, Lloyd, J, Weinhardt, M and Cheshire, H (2008) </w:t>
      </w:r>
      <w:r w:rsidRPr="004624D3">
        <w:rPr>
          <w:i/>
          <w:iCs/>
        </w:rPr>
        <w:t>Living and caring</w:t>
      </w:r>
      <w:r w:rsidRPr="004624D3">
        <w:t>. London: International Longevity Centre.</w:t>
      </w:r>
    </w:p>
    <w:p w14:paraId="524F7F37" w14:textId="3BBC56C4" w:rsidR="00801F3D" w:rsidRPr="004624D3" w:rsidRDefault="00801F3D" w:rsidP="0062265A">
      <w:pPr>
        <w:spacing w:after="0" w:line="480" w:lineRule="auto"/>
        <w:ind w:left="426" w:hanging="426"/>
      </w:pPr>
      <w:r w:rsidRPr="004624D3">
        <w:t xml:space="preserve">Saraceno, C and Keck, W (2011) Towards an integrated approach for the analysis of gender equity in policies supporting paid work and care responsibilities. </w:t>
      </w:r>
      <w:r w:rsidRPr="004624D3">
        <w:rPr>
          <w:bCs/>
          <w:i/>
        </w:rPr>
        <w:t>Demographic Research</w:t>
      </w:r>
      <w:r w:rsidRPr="004624D3">
        <w:t xml:space="preserve"> </w:t>
      </w:r>
      <w:r w:rsidRPr="003F2E82">
        <w:rPr>
          <w:b/>
          <w:bCs/>
        </w:rPr>
        <w:t>25</w:t>
      </w:r>
      <w:r w:rsidR="00904B38" w:rsidRPr="004624D3">
        <w:t>,</w:t>
      </w:r>
      <w:r w:rsidRPr="004624D3">
        <w:t xml:space="preserve"> 371-406.</w:t>
      </w:r>
      <w:r w:rsidR="00F11186" w:rsidRPr="004624D3">
        <w:t xml:space="preserve"> https://doi.org/10.4054/DemRes.2011.25.11</w:t>
      </w:r>
    </w:p>
    <w:p w14:paraId="7E545C5A" w14:textId="0F092BBD" w:rsidR="00567D7E" w:rsidRPr="004624D3" w:rsidRDefault="00567D7E" w:rsidP="0062265A">
      <w:pPr>
        <w:spacing w:after="0" w:line="480" w:lineRule="auto"/>
        <w:ind w:left="426" w:hanging="426"/>
      </w:pPr>
      <w:r w:rsidRPr="004624D3">
        <w:t xml:space="preserve">Tooth, L and Mishra, G </w:t>
      </w:r>
      <w:r w:rsidR="008D3DF6" w:rsidRPr="004624D3">
        <w:t>(</w:t>
      </w:r>
      <w:r w:rsidRPr="004624D3">
        <w:t>2014</w:t>
      </w:r>
      <w:r w:rsidR="008D3DF6" w:rsidRPr="004624D3">
        <w:t>)</w:t>
      </w:r>
      <w:r w:rsidRPr="004624D3">
        <w:t xml:space="preserve"> Socioeconomic factors associated with trajectories of caring by young and mid-aged women: a cohort study. </w:t>
      </w:r>
      <w:r w:rsidRPr="004624D3">
        <w:rPr>
          <w:bCs/>
          <w:i/>
        </w:rPr>
        <w:t>BMC Public Health</w:t>
      </w:r>
      <w:r w:rsidRPr="004624D3">
        <w:t xml:space="preserve"> </w:t>
      </w:r>
      <w:r w:rsidRPr="003F2E82">
        <w:rPr>
          <w:b/>
          <w:bCs/>
        </w:rPr>
        <w:t>14</w:t>
      </w:r>
      <w:r w:rsidR="00904B38" w:rsidRPr="004624D3">
        <w:t>,</w:t>
      </w:r>
      <w:r w:rsidRPr="004624D3">
        <w:t xml:space="preserve"> 74.</w:t>
      </w:r>
      <w:r w:rsidR="00F11186" w:rsidRPr="004624D3">
        <w:t xml:space="preserve"> </w:t>
      </w:r>
      <w:hyperlink r:id="rId12" w:history="1">
        <w:r w:rsidR="00B54E0E" w:rsidRPr="004624D3">
          <w:rPr>
            <w:rStyle w:val="Hyperlink"/>
          </w:rPr>
          <w:t>https://doi.org/10.1186/1471-2458-14-74</w:t>
        </w:r>
      </w:hyperlink>
    </w:p>
    <w:p w14:paraId="505D7098" w14:textId="697F6622" w:rsidR="000A0FF2" w:rsidRPr="004624D3" w:rsidRDefault="000A0FF2" w:rsidP="00B54E0E">
      <w:pPr>
        <w:spacing w:after="0" w:line="480" w:lineRule="auto"/>
        <w:ind w:left="426" w:hanging="426"/>
      </w:pPr>
      <w:bookmarkStart w:id="3" w:name="_Hlk82007934"/>
      <w:r w:rsidRPr="004624D3">
        <w:lastRenderedPageBreak/>
        <w:t xml:space="preserve">Tosi, M and Grundy, E (2018) Intergenerational contacts and depressive symptoms among older parents in Eastern Europe. </w:t>
      </w:r>
      <w:r w:rsidRPr="004624D3">
        <w:rPr>
          <w:i/>
          <w:iCs/>
        </w:rPr>
        <w:t>Aging &amp; Mental Health</w:t>
      </w:r>
      <w:r w:rsidRPr="004624D3">
        <w:t xml:space="preserve"> </w:t>
      </w:r>
      <w:r w:rsidRPr="003F2E82">
        <w:rPr>
          <w:b/>
          <w:bCs/>
        </w:rPr>
        <w:t>23</w:t>
      </w:r>
      <w:r w:rsidRPr="004624D3">
        <w:t>, 686-692. https://doi.org/10.1080/13607863.2018.1442412</w:t>
      </w:r>
    </w:p>
    <w:p w14:paraId="4FF4DAD0" w14:textId="7DCA2E41" w:rsidR="00B54E0E" w:rsidRPr="004624D3" w:rsidRDefault="00B54E0E" w:rsidP="00B54E0E">
      <w:pPr>
        <w:spacing w:after="0" w:line="480" w:lineRule="auto"/>
        <w:ind w:left="426" w:hanging="426"/>
      </w:pPr>
      <w:r w:rsidRPr="004624D3">
        <w:t xml:space="preserve">Uccheddu, D, Gauthier, AH, Steverink, N and Emery, T (2019) The pains and reliefs of the transitions into and out of spousal caregiving. A cross-national comparison of the health consequences of caregiving by gender. </w:t>
      </w:r>
      <w:r w:rsidRPr="004624D3">
        <w:rPr>
          <w:i/>
          <w:iCs/>
        </w:rPr>
        <w:t>Social Science &amp; Medicine</w:t>
      </w:r>
      <w:r w:rsidRPr="004624D3">
        <w:t xml:space="preserve"> </w:t>
      </w:r>
      <w:r w:rsidRPr="003F2E82">
        <w:rPr>
          <w:b/>
          <w:bCs/>
        </w:rPr>
        <w:t>240</w:t>
      </w:r>
      <w:r w:rsidRPr="004624D3">
        <w:t>. https://doi.org/10.1016/j.socscimed.2019.112517.</w:t>
      </w:r>
    </w:p>
    <w:bookmarkEnd w:id="3"/>
    <w:p w14:paraId="5EC8D102" w14:textId="4BC77068" w:rsidR="00C64DEE" w:rsidRPr="004624D3" w:rsidRDefault="00C64DEE" w:rsidP="0062265A">
      <w:pPr>
        <w:spacing w:after="0" w:line="480" w:lineRule="auto"/>
        <w:ind w:left="426" w:hanging="426"/>
      </w:pPr>
      <w:r w:rsidRPr="004624D3">
        <w:t>Vlachantoni, A, Evandrou, M, Falkingham, J</w:t>
      </w:r>
      <w:r w:rsidR="008D3DF6" w:rsidRPr="004624D3">
        <w:t xml:space="preserve"> and</w:t>
      </w:r>
      <w:r w:rsidRPr="004624D3">
        <w:t xml:space="preserve"> Robards, J (2013) Informal care, health and mortality. </w:t>
      </w:r>
      <w:r w:rsidRPr="004624D3">
        <w:rPr>
          <w:bCs/>
          <w:i/>
        </w:rPr>
        <w:t>Maturitas</w:t>
      </w:r>
      <w:r w:rsidRPr="004624D3">
        <w:rPr>
          <w:bCs/>
        </w:rPr>
        <w:t xml:space="preserve"> </w:t>
      </w:r>
      <w:r w:rsidRPr="003F2E82">
        <w:rPr>
          <w:b/>
          <w:bCs/>
        </w:rPr>
        <w:t>74</w:t>
      </w:r>
      <w:r w:rsidR="00904B38" w:rsidRPr="004624D3">
        <w:t>,</w:t>
      </w:r>
      <w:r w:rsidRPr="004624D3">
        <w:t xml:space="preserve"> 114-118. </w:t>
      </w:r>
      <w:r w:rsidR="00A65B33" w:rsidRPr="004624D3">
        <w:t>https://doi.org/10.1016/j.maturitas.2012.10.013</w:t>
      </w:r>
    </w:p>
    <w:p w14:paraId="6873ABA7" w14:textId="3734CF6A" w:rsidR="00644DE4" w:rsidRPr="004624D3" w:rsidRDefault="00644DE4" w:rsidP="0062265A">
      <w:pPr>
        <w:spacing w:after="0" w:line="480" w:lineRule="auto"/>
        <w:ind w:left="426" w:hanging="426"/>
      </w:pPr>
      <w:r w:rsidRPr="004624D3">
        <w:t>Vlachantoni, A, Robards, J, Evandrou, M</w:t>
      </w:r>
      <w:r w:rsidR="008D3DF6" w:rsidRPr="004624D3">
        <w:t xml:space="preserve"> and</w:t>
      </w:r>
      <w:r w:rsidRPr="004624D3">
        <w:t xml:space="preserve"> Falkingham, J (2016) Trajectories of informal care and health. </w:t>
      </w:r>
      <w:r w:rsidRPr="004624D3">
        <w:rPr>
          <w:bCs/>
          <w:i/>
        </w:rPr>
        <w:t>S</w:t>
      </w:r>
      <w:r w:rsidR="003F2E82">
        <w:rPr>
          <w:bCs/>
          <w:i/>
        </w:rPr>
        <w:t>ocial Science and Medicine</w:t>
      </w:r>
      <w:r w:rsidRPr="004624D3">
        <w:rPr>
          <w:bCs/>
          <w:i/>
        </w:rPr>
        <w:t xml:space="preserve"> - Population Health</w:t>
      </w:r>
      <w:r w:rsidRPr="004624D3">
        <w:rPr>
          <w:bCs/>
        </w:rPr>
        <w:t xml:space="preserve"> </w:t>
      </w:r>
      <w:r w:rsidRPr="003F2E82">
        <w:rPr>
          <w:b/>
          <w:bCs/>
        </w:rPr>
        <w:t>2</w:t>
      </w:r>
      <w:r w:rsidR="00904B38" w:rsidRPr="004624D3">
        <w:t>,</w:t>
      </w:r>
      <w:r w:rsidRPr="004624D3">
        <w:t xml:space="preserve"> 495-501. </w:t>
      </w:r>
      <w:r w:rsidR="00D03899" w:rsidRPr="004624D3">
        <w:t>https://doi.org/10.1016/j.ssmph.2016.05.009</w:t>
      </w:r>
    </w:p>
    <w:p w14:paraId="338CA76E" w14:textId="76703566" w:rsidR="00971F26" w:rsidRPr="004624D3" w:rsidRDefault="00971F26" w:rsidP="0062265A">
      <w:pPr>
        <w:spacing w:after="0" w:line="480" w:lineRule="auto"/>
        <w:ind w:left="426" w:hanging="426"/>
      </w:pPr>
      <w:r w:rsidRPr="004624D3">
        <w:t>Vlachantoni, A, Evandrou, M, Falkingham, J and G</w:t>
      </w:r>
      <w:r w:rsidR="00D03899" w:rsidRPr="004624D3">
        <w:t>ó</w:t>
      </w:r>
      <w:r w:rsidRPr="004624D3">
        <w:t>mez-Le</w:t>
      </w:r>
      <w:r w:rsidR="00D03899" w:rsidRPr="004624D3">
        <w:t>ó</w:t>
      </w:r>
      <w:r w:rsidRPr="004624D3">
        <w:t xml:space="preserve">n, M (2020) Caught in the middle in mid-life: provision of care across multiple generations. </w:t>
      </w:r>
      <w:r w:rsidRPr="004624D3">
        <w:rPr>
          <w:i/>
          <w:iCs/>
        </w:rPr>
        <w:t>Ageing &amp; Society</w:t>
      </w:r>
      <w:r w:rsidRPr="004624D3">
        <w:t xml:space="preserve"> </w:t>
      </w:r>
      <w:r w:rsidRPr="003F2E82">
        <w:rPr>
          <w:b/>
          <w:bCs/>
        </w:rPr>
        <w:t>40</w:t>
      </w:r>
      <w:r w:rsidR="00904B38" w:rsidRPr="004624D3">
        <w:t>,</w:t>
      </w:r>
      <w:r w:rsidRPr="004624D3">
        <w:t xml:space="preserve"> 1490-1510. </w:t>
      </w:r>
      <w:r w:rsidR="00D03899" w:rsidRPr="004624D3">
        <w:t>https://doi.org/10.1017/S0144686X19000047</w:t>
      </w:r>
    </w:p>
    <w:p w14:paraId="50948C85" w14:textId="0376AD78" w:rsidR="00151741" w:rsidRPr="004624D3" w:rsidRDefault="00062AAC" w:rsidP="0062265A">
      <w:pPr>
        <w:spacing w:after="0" w:line="480" w:lineRule="auto"/>
        <w:ind w:left="426" w:hanging="426"/>
      </w:pPr>
      <w:r w:rsidRPr="00520CE5">
        <w:rPr>
          <w:highlight w:val="yellow"/>
        </w:rPr>
        <w:t>Young,</w:t>
      </w:r>
      <w:r w:rsidR="008D3DF6" w:rsidRPr="00520CE5">
        <w:rPr>
          <w:highlight w:val="yellow"/>
        </w:rPr>
        <w:t xml:space="preserve"> </w:t>
      </w:r>
      <w:r w:rsidRPr="00520CE5">
        <w:rPr>
          <w:highlight w:val="yellow"/>
        </w:rPr>
        <w:t>H</w:t>
      </w:r>
      <w:r w:rsidR="008376F3" w:rsidRPr="00520CE5">
        <w:rPr>
          <w:highlight w:val="yellow"/>
        </w:rPr>
        <w:t>,</w:t>
      </w:r>
      <w:r w:rsidR="008D3DF6" w:rsidRPr="00520CE5">
        <w:rPr>
          <w:highlight w:val="yellow"/>
        </w:rPr>
        <w:t xml:space="preserve"> </w:t>
      </w:r>
      <w:r w:rsidRPr="00520CE5">
        <w:rPr>
          <w:highlight w:val="yellow"/>
        </w:rPr>
        <w:t>Grundy,</w:t>
      </w:r>
      <w:r w:rsidR="008D3DF6" w:rsidRPr="00520CE5">
        <w:rPr>
          <w:highlight w:val="yellow"/>
        </w:rPr>
        <w:t xml:space="preserve"> </w:t>
      </w:r>
      <w:r w:rsidRPr="00520CE5">
        <w:rPr>
          <w:highlight w:val="yellow"/>
        </w:rPr>
        <w:t>E</w:t>
      </w:r>
      <w:r w:rsidR="008376F3" w:rsidRPr="00520CE5">
        <w:rPr>
          <w:highlight w:val="yellow"/>
        </w:rPr>
        <w:t xml:space="preserve"> and Kalogirou, S</w:t>
      </w:r>
      <w:r w:rsidR="008D3DF6" w:rsidRPr="00520CE5">
        <w:rPr>
          <w:highlight w:val="yellow"/>
        </w:rPr>
        <w:t xml:space="preserve"> </w:t>
      </w:r>
      <w:r w:rsidRPr="00520CE5">
        <w:rPr>
          <w:highlight w:val="yellow"/>
        </w:rPr>
        <w:t>(200</w:t>
      </w:r>
      <w:r w:rsidR="008376F3" w:rsidRPr="00520CE5">
        <w:rPr>
          <w:highlight w:val="yellow"/>
        </w:rPr>
        <w:t>5</w:t>
      </w:r>
      <w:r w:rsidRPr="00520CE5">
        <w:rPr>
          <w:highlight w:val="yellow"/>
        </w:rPr>
        <w:t>)</w:t>
      </w:r>
      <w:r w:rsidR="008D3DF6" w:rsidRPr="00520CE5">
        <w:rPr>
          <w:highlight w:val="yellow"/>
        </w:rPr>
        <w:t xml:space="preserve"> </w:t>
      </w:r>
      <w:r w:rsidR="008376F3" w:rsidRPr="00520CE5">
        <w:rPr>
          <w:highlight w:val="yellow"/>
        </w:rPr>
        <w:t>Who cares? Geographic variation in unpaid caregiving in England and Wales: evidence from the 2001 census</w:t>
      </w:r>
      <w:r w:rsidRPr="00520CE5">
        <w:rPr>
          <w:highlight w:val="yellow"/>
        </w:rPr>
        <w:t xml:space="preserve">. </w:t>
      </w:r>
      <w:r w:rsidR="008376F3" w:rsidRPr="00520CE5">
        <w:rPr>
          <w:bCs/>
          <w:i/>
          <w:highlight w:val="yellow"/>
        </w:rPr>
        <w:t>Population Trends</w:t>
      </w:r>
      <w:r w:rsidRPr="00520CE5">
        <w:rPr>
          <w:highlight w:val="yellow"/>
        </w:rPr>
        <w:t xml:space="preserve"> </w:t>
      </w:r>
      <w:r w:rsidR="00017BF9" w:rsidRPr="00520CE5">
        <w:rPr>
          <w:b/>
          <w:bCs/>
          <w:highlight w:val="yellow"/>
        </w:rPr>
        <w:t>120</w:t>
      </w:r>
      <w:r w:rsidR="00904B38" w:rsidRPr="00520CE5">
        <w:rPr>
          <w:highlight w:val="yellow"/>
        </w:rPr>
        <w:t>,</w:t>
      </w:r>
      <w:r w:rsidRPr="00520CE5">
        <w:rPr>
          <w:highlight w:val="yellow"/>
        </w:rPr>
        <w:t xml:space="preserve"> </w:t>
      </w:r>
      <w:r w:rsidR="00017BF9" w:rsidRPr="00520CE5">
        <w:rPr>
          <w:highlight w:val="yellow"/>
        </w:rPr>
        <w:t>23-34</w:t>
      </w:r>
      <w:r w:rsidRPr="00520CE5">
        <w:rPr>
          <w:highlight w:val="yellow"/>
        </w:rPr>
        <w:t>.</w:t>
      </w:r>
      <w:r w:rsidR="00F32DCC" w:rsidRPr="00520CE5">
        <w:rPr>
          <w:highlight w:val="yellow"/>
        </w:rPr>
        <w:t xml:space="preserve"> </w:t>
      </w:r>
      <w:r w:rsidR="00017BF9" w:rsidRPr="00520CE5">
        <w:rPr>
          <w:highlight w:val="yellow"/>
        </w:rPr>
        <w:t>PMID: 16025701</w:t>
      </w:r>
    </w:p>
    <w:p w14:paraId="51DFDAA3" w14:textId="77777777" w:rsidR="00801F3D" w:rsidRPr="004624D3" w:rsidRDefault="00801F3D" w:rsidP="0062265A">
      <w:pPr>
        <w:spacing w:after="0" w:line="480" w:lineRule="auto"/>
        <w:ind w:left="426" w:hanging="426"/>
      </w:pPr>
    </w:p>
    <w:p w14:paraId="35DA3D19" w14:textId="77777777" w:rsidR="00801F3D" w:rsidRPr="004624D3" w:rsidRDefault="00801F3D" w:rsidP="0062265A">
      <w:pPr>
        <w:spacing w:line="480" w:lineRule="auto"/>
        <w:rPr>
          <w:rFonts w:eastAsia="Times New Roman" w:cs="Times New Roman"/>
          <w:bCs/>
          <w:color w:val="000000"/>
        </w:rPr>
      </w:pPr>
      <w:r w:rsidRPr="004624D3">
        <w:rPr>
          <w:rFonts w:eastAsia="Times New Roman" w:cs="Times New Roman"/>
          <w:bCs/>
          <w:color w:val="000000"/>
        </w:rPr>
        <w:br w:type="page"/>
      </w:r>
    </w:p>
    <w:p w14:paraId="599C2EB0" w14:textId="7D549C43" w:rsidR="00690754" w:rsidRPr="004624D3" w:rsidRDefault="00690754" w:rsidP="00690754">
      <w:pPr>
        <w:spacing w:after="0" w:line="480" w:lineRule="auto"/>
        <w:jc w:val="both"/>
        <w:rPr>
          <w:rFonts w:cs="Times New Roman"/>
        </w:rPr>
      </w:pPr>
      <w:r w:rsidRPr="004624D3">
        <w:rPr>
          <w:rFonts w:cs="Times New Roman"/>
          <w:bCs/>
        </w:rPr>
        <w:lastRenderedPageBreak/>
        <w:t xml:space="preserve">Table 1. Percentage of respondents at risk of caring </w:t>
      </w:r>
      <w:r w:rsidR="00FB7AAF" w:rsidRPr="004624D3">
        <w:rPr>
          <w:rFonts w:cs="Times New Roman"/>
          <w:bCs/>
        </w:rPr>
        <w:t xml:space="preserve">for a parent or parent-in-law </w:t>
      </w:r>
      <w:r w:rsidRPr="004624D3">
        <w:rPr>
          <w:rFonts w:cs="Times New Roman"/>
          <w:bCs/>
        </w:rPr>
        <w:t>in waves 7, 8 &amp; 9, by gender (</w:t>
      </w:r>
      <w:r w:rsidR="00A80801" w:rsidRPr="004624D3">
        <w:rPr>
          <w:rFonts w:cs="Times New Roman"/>
          <w:bCs/>
        </w:rPr>
        <w:t>Sample</w:t>
      </w:r>
      <w:r w:rsidRPr="004624D3">
        <w:rPr>
          <w:rFonts w:cs="Times New Roman"/>
          <w:bCs/>
        </w:rPr>
        <w:t>)</w:t>
      </w:r>
      <w:r w:rsidRPr="004624D3">
        <w:rPr>
          <w:rFonts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851"/>
        <w:gridCol w:w="607"/>
        <w:gridCol w:w="851"/>
        <w:gridCol w:w="607"/>
      </w:tblGrid>
      <w:tr w:rsidR="00690754" w:rsidRPr="004624D3" w14:paraId="41F831F9" w14:textId="77777777" w:rsidTr="00DD1FF7">
        <w:tc>
          <w:tcPr>
            <w:tcW w:w="0" w:type="auto"/>
            <w:tcBorders>
              <w:bottom w:val="single" w:sz="4" w:space="0" w:color="auto"/>
            </w:tcBorders>
          </w:tcPr>
          <w:p w14:paraId="57B80D26" w14:textId="77777777" w:rsidR="00690754" w:rsidRPr="004624D3" w:rsidRDefault="00690754" w:rsidP="00690754">
            <w:pPr>
              <w:jc w:val="both"/>
              <w:rPr>
                <w:rFonts w:cs="Times New Roman"/>
              </w:rPr>
            </w:pPr>
          </w:p>
        </w:tc>
        <w:tc>
          <w:tcPr>
            <w:tcW w:w="0" w:type="auto"/>
            <w:gridSpan w:val="2"/>
            <w:tcBorders>
              <w:bottom w:val="single" w:sz="4" w:space="0" w:color="auto"/>
            </w:tcBorders>
          </w:tcPr>
          <w:p w14:paraId="4ADD4445" w14:textId="77777777" w:rsidR="00690754" w:rsidRPr="004624D3" w:rsidRDefault="00690754" w:rsidP="00690754">
            <w:pPr>
              <w:jc w:val="both"/>
              <w:rPr>
                <w:rFonts w:cs="Times New Roman"/>
              </w:rPr>
            </w:pPr>
            <w:r w:rsidRPr="004624D3">
              <w:rPr>
                <w:rFonts w:cs="Times New Roman"/>
              </w:rPr>
              <w:t>Males</w:t>
            </w:r>
          </w:p>
        </w:tc>
        <w:tc>
          <w:tcPr>
            <w:tcW w:w="0" w:type="auto"/>
            <w:gridSpan w:val="2"/>
            <w:tcBorders>
              <w:bottom w:val="single" w:sz="4" w:space="0" w:color="auto"/>
            </w:tcBorders>
          </w:tcPr>
          <w:p w14:paraId="2590E043" w14:textId="77777777" w:rsidR="00690754" w:rsidRPr="004624D3" w:rsidRDefault="00690754" w:rsidP="00690754">
            <w:pPr>
              <w:jc w:val="both"/>
              <w:rPr>
                <w:rFonts w:cs="Times New Roman"/>
              </w:rPr>
            </w:pPr>
            <w:r w:rsidRPr="004624D3">
              <w:rPr>
                <w:rFonts w:cs="Times New Roman"/>
              </w:rPr>
              <w:t>Females</w:t>
            </w:r>
          </w:p>
        </w:tc>
      </w:tr>
      <w:tr w:rsidR="00690754" w:rsidRPr="004624D3" w14:paraId="13AAAB35" w14:textId="77777777" w:rsidTr="00DD1FF7">
        <w:tc>
          <w:tcPr>
            <w:tcW w:w="0" w:type="auto"/>
            <w:tcBorders>
              <w:top w:val="single" w:sz="4" w:space="0" w:color="auto"/>
            </w:tcBorders>
          </w:tcPr>
          <w:p w14:paraId="69A1E9CF" w14:textId="77777777" w:rsidR="00690754" w:rsidRPr="004624D3" w:rsidRDefault="00690754" w:rsidP="00690754">
            <w:pPr>
              <w:jc w:val="both"/>
              <w:rPr>
                <w:rFonts w:cs="Times New Roman"/>
              </w:rPr>
            </w:pPr>
            <w:r w:rsidRPr="004624D3">
              <w:rPr>
                <w:rFonts w:cs="Times New Roman"/>
              </w:rPr>
              <w:t>Status</w:t>
            </w:r>
          </w:p>
        </w:tc>
        <w:tc>
          <w:tcPr>
            <w:tcW w:w="0" w:type="auto"/>
            <w:tcBorders>
              <w:top w:val="single" w:sz="4" w:space="0" w:color="auto"/>
            </w:tcBorders>
          </w:tcPr>
          <w:p w14:paraId="03938790" w14:textId="77777777" w:rsidR="00690754" w:rsidRPr="004624D3" w:rsidRDefault="00690754" w:rsidP="00117A35">
            <w:pPr>
              <w:jc w:val="right"/>
              <w:rPr>
                <w:rFonts w:cs="Times New Roman"/>
              </w:rPr>
            </w:pPr>
            <w:r w:rsidRPr="004624D3">
              <w:rPr>
                <w:rFonts w:cs="Times New Roman"/>
              </w:rPr>
              <w:t>(N)</w:t>
            </w:r>
          </w:p>
        </w:tc>
        <w:tc>
          <w:tcPr>
            <w:tcW w:w="0" w:type="auto"/>
            <w:tcBorders>
              <w:top w:val="single" w:sz="4" w:space="0" w:color="auto"/>
            </w:tcBorders>
          </w:tcPr>
          <w:p w14:paraId="4DC45F3A" w14:textId="77777777" w:rsidR="00690754" w:rsidRPr="004624D3" w:rsidRDefault="00690754" w:rsidP="00117A35">
            <w:pPr>
              <w:jc w:val="right"/>
              <w:rPr>
                <w:rFonts w:cs="Times New Roman"/>
              </w:rPr>
            </w:pPr>
            <w:r w:rsidRPr="004624D3">
              <w:rPr>
                <w:rFonts w:cs="Times New Roman"/>
              </w:rPr>
              <w:t>%</w:t>
            </w:r>
          </w:p>
        </w:tc>
        <w:tc>
          <w:tcPr>
            <w:tcW w:w="0" w:type="auto"/>
            <w:tcBorders>
              <w:top w:val="single" w:sz="4" w:space="0" w:color="auto"/>
            </w:tcBorders>
          </w:tcPr>
          <w:p w14:paraId="01860B97" w14:textId="77777777" w:rsidR="00690754" w:rsidRPr="004624D3" w:rsidRDefault="00690754" w:rsidP="00117A35">
            <w:pPr>
              <w:jc w:val="right"/>
              <w:rPr>
                <w:rFonts w:cs="Times New Roman"/>
              </w:rPr>
            </w:pPr>
            <w:r w:rsidRPr="004624D3">
              <w:rPr>
                <w:rFonts w:cs="Times New Roman"/>
              </w:rPr>
              <w:t>(N)</w:t>
            </w:r>
          </w:p>
        </w:tc>
        <w:tc>
          <w:tcPr>
            <w:tcW w:w="0" w:type="auto"/>
            <w:tcBorders>
              <w:top w:val="single" w:sz="4" w:space="0" w:color="auto"/>
            </w:tcBorders>
          </w:tcPr>
          <w:p w14:paraId="0E775954" w14:textId="77777777" w:rsidR="00690754" w:rsidRPr="004624D3" w:rsidRDefault="00690754" w:rsidP="00117A35">
            <w:pPr>
              <w:jc w:val="right"/>
              <w:rPr>
                <w:rFonts w:cs="Times New Roman"/>
              </w:rPr>
            </w:pPr>
            <w:r w:rsidRPr="004624D3">
              <w:rPr>
                <w:rFonts w:cs="Times New Roman"/>
              </w:rPr>
              <w:t>%</w:t>
            </w:r>
          </w:p>
        </w:tc>
      </w:tr>
      <w:tr w:rsidR="00690754" w:rsidRPr="004624D3" w14:paraId="0228667B" w14:textId="77777777" w:rsidTr="00DD1FF7">
        <w:tc>
          <w:tcPr>
            <w:tcW w:w="0" w:type="auto"/>
          </w:tcPr>
          <w:p w14:paraId="1576DE5F" w14:textId="77777777" w:rsidR="00690754" w:rsidRPr="004624D3" w:rsidRDefault="00690754" w:rsidP="00690754">
            <w:pPr>
              <w:jc w:val="both"/>
              <w:rPr>
                <w:rFonts w:cs="Times New Roman"/>
              </w:rPr>
            </w:pPr>
            <w:r w:rsidRPr="004624D3">
              <w:rPr>
                <w:rFonts w:cs="Times New Roman"/>
              </w:rPr>
              <w:t>At risk* in all 3 waves</w:t>
            </w:r>
          </w:p>
        </w:tc>
        <w:tc>
          <w:tcPr>
            <w:tcW w:w="0" w:type="auto"/>
          </w:tcPr>
          <w:p w14:paraId="0C3D90A2" w14:textId="77777777" w:rsidR="00690754" w:rsidRPr="004624D3" w:rsidRDefault="00690754" w:rsidP="00690754">
            <w:pPr>
              <w:jc w:val="right"/>
              <w:rPr>
                <w:rFonts w:cs="Times New Roman"/>
              </w:rPr>
            </w:pPr>
            <w:r w:rsidRPr="004624D3">
              <w:rPr>
                <w:rFonts w:cs="Times New Roman"/>
              </w:rPr>
              <w:t>(2,950)</w:t>
            </w:r>
          </w:p>
        </w:tc>
        <w:tc>
          <w:tcPr>
            <w:tcW w:w="0" w:type="auto"/>
          </w:tcPr>
          <w:p w14:paraId="30E255D4" w14:textId="77777777" w:rsidR="00690754" w:rsidRPr="004624D3" w:rsidRDefault="00690754" w:rsidP="00690754">
            <w:pPr>
              <w:jc w:val="right"/>
              <w:rPr>
                <w:rFonts w:cs="Times New Roman"/>
              </w:rPr>
            </w:pPr>
            <w:r w:rsidRPr="004624D3">
              <w:rPr>
                <w:rFonts w:cs="Times New Roman"/>
              </w:rPr>
              <w:t>82.0</w:t>
            </w:r>
          </w:p>
        </w:tc>
        <w:tc>
          <w:tcPr>
            <w:tcW w:w="0" w:type="auto"/>
          </w:tcPr>
          <w:p w14:paraId="76038655" w14:textId="77777777" w:rsidR="00690754" w:rsidRPr="004624D3" w:rsidRDefault="00690754" w:rsidP="00690754">
            <w:pPr>
              <w:jc w:val="right"/>
              <w:rPr>
                <w:rFonts w:cs="Times New Roman"/>
              </w:rPr>
            </w:pPr>
            <w:r w:rsidRPr="004624D3">
              <w:rPr>
                <w:rFonts w:cs="Times New Roman"/>
              </w:rPr>
              <w:t>(2,864)</w:t>
            </w:r>
          </w:p>
        </w:tc>
        <w:tc>
          <w:tcPr>
            <w:tcW w:w="0" w:type="auto"/>
          </w:tcPr>
          <w:p w14:paraId="00456B0C" w14:textId="77777777" w:rsidR="00690754" w:rsidRPr="004624D3" w:rsidRDefault="00690754" w:rsidP="00690754">
            <w:pPr>
              <w:jc w:val="right"/>
              <w:rPr>
                <w:rFonts w:cs="Times New Roman"/>
              </w:rPr>
            </w:pPr>
            <w:r w:rsidRPr="004624D3">
              <w:rPr>
                <w:rFonts w:cs="Times New Roman"/>
              </w:rPr>
              <w:t>74.0</w:t>
            </w:r>
          </w:p>
        </w:tc>
      </w:tr>
      <w:tr w:rsidR="00690754" w:rsidRPr="004624D3" w14:paraId="38571A3E" w14:textId="77777777" w:rsidTr="00DD1FF7">
        <w:tc>
          <w:tcPr>
            <w:tcW w:w="0" w:type="auto"/>
          </w:tcPr>
          <w:p w14:paraId="62F03C39" w14:textId="77777777" w:rsidR="00690754" w:rsidRPr="004624D3" w:rsidRDefault="00690754" w:rsidP="00690754">
            <w:pPr>
              <w:jc w:val="both"/>
              <w:rPr>
                <w:rFonts w:cs="Times New Roman"/>
              </w:rPr>
            </w:pPr>
            <w:r w:rsidRPr="004624D3">
              <w:rPr>
                <w:rFonts w:cs="Times New Roman"/>
              </w:rPr>
              <w:t xml:space="preserve">At risk* in 1 or 2 waves (intermittent risk)  </w:t>
            </w:r>
          </w:p>
        </w:tc>
        <w:tc>
          <w:tcPr>
            <w:tcW w:w="0" w:type="auto"/>
          </w:tcPr>
          <w:p w14:paraId="3543401F" w14:textId="77777777" w:rsidR="00690754" w:rsidRPr="004624D3" w:rsidRDefault="00690754" w:rsidP="00690754">
            <w:pPr>
              <w:jc w:val="right"/>
              <w:rPr>
                <w:rFonts w:cs="Times New Roman"/>
              </w:rPr>
            </w:pPr>
            <w:r w:rsidRPr="004624D3">
              <w:rPr>
                <w:rFonts w:cs="Times New Roman"/>
              </w:rPr>
              <w:t>(472)</w:t>
            </w:r>
          </w:p>
        </w:tc>
        <w:tc>
          <w:tcPr>
            <w:tcW w:w="0" w:type="auto"/>
          </w:tcPr>
          <w:p w14:paraId="6FFFAE9D" w14:textId="77777777" w:rsidR="00690754" w:rsidRPr="004624D3" w:rsidRDefault="00690754" w:rsidP="00690754">
            <w:pPr>
              <w:jc w:val="right"/>
              <w:rPr>
                <w:rFonts w:cs="Times New Roman"/>
              </w:rPr>
            </w:pPr>
            <w:r w:rsidRPr="004624D3">
              <w:rPr>
                <w:rFonts w:cs="Times New Roman"/>
              </w:rPr>
              <w:t>13.1</w:t>
            </w:r>
          </w:p>
        </w:tc>
        <w:tc>
          <w:tcPr>
            <w:tcW w:w="0" w:type="auto"/>
          </w:tcPr>
          <w:p w14:paraId="3EDAB692" w14:textId="77777777" w:rsidR="00690754" w:rsidRPr="004624D3" w:rsidRDefault="00690754" w:rsidP="00690754">
            <w:pPr>
              <w:jc w:val="right"/>
              <w:rPr>
                <w:rFonts w:cs="Times New Roman"/>
              </w:rPr>
            </w:pPr>
            <w:r w:rsidRPr="004624D3">
              <w:rPr>
                <w:rFonts w:cs="Times New Roman"/>
              </w:rPr>
              <w:t>(727)</w:t>
            </w:r>
          </w:p>
        </w:tc>
        <w:tc>
          <w:tcPr>
            <w:tcW w:w="0" w:type="auto"/>
          </w:tcPr>
          <w:p w14:paraId="679ACA7D" w14:textId="77777777" w:rsidR="00690754" w:rsidRPr="004624D3" w:rsidRDefault="00690754" w:rsidP="00690754">
            <w:pPr>
              <w:jc w:val="right"/>
              <w:rPr>
                <w:rFonts w:cs="Times New Roman"/>
              </w:rPr>
            </w:pPr>
            <w:r w:rsidRPr="004624D3">
              <w:rPr>
                <w:rFonts w:cs="Times New Roman"/>
              </w:rPr>
              <w:t>18.8</w:t>
            </w:r>
          </w:p>
        </w:tc>
      </w:tr>
      <w:tr w:rsidR="00690754" w:rsidRPr="004624D3" w14:paraId="6F8833E1" w14:textId="77777777" w:rsidTr="00DD1FF7">
        <w:tc>
          <w:tcPr>
            <w:tcW w:w="0" w:type="auto"/>
          </w:tcPr>
          <w:p w14:paraId="00968788" w14:textId="77777777" w:rsidR="00690754" w:rsidRPr="004624D3" w:rsidRDefault="00690754" w:rsidP="00690754">
            <w:pPr>
              <w:jc w:val="both"/>
              <w:rPr>
                <w:rFonts w:cs="Times New Roman"/>
              </w:rPr>
            </w:pPr>
            <w:r w:rsidRPr="004624D3">
              <w:rPr>
                <w:rFonts w:cs="Times New Roman"/>
              </w:rPr>
              <w:t>Not at risk in any wave (excluded from analytical sample)</w:t>
            </w:r>
          </w:p>
        </w:tc>
        <w:tc>
          <w:tcPr>
            <w:tcW w:w="0" w:type="auto"/>
          </w:tcPr>
          <w:p w14:paraId="29DA1911" w14:textId="77777777" w:rsidR="00690754" w:rsidRPr="004624D3" w:rsidRDefault="00690754" w:rsidP="00690754">
            <w:pPr>
              <w:jc w:val="right"/>
              <w:rPr>
                <w:rFonts w:cs="Times New Roman"/>
              </w:rPr>
            </w:pPr>
            <w:r w:rsidRPr="004624D3">
              <w:rPr>
                <w:rFonts w:cs="Times New Roman"/>
              </w:rPr>
              <w:t>(177)</w:t>
            </w:r>
          </w:p>
        </w:tc>
        <w:tc>
          <w:tcPr>
            <w:tcW w:w="0" w:type="auto"/>
          </w:tcPr>
          <w:p w14:paraId="2F005E8B" w14:textId="77777777" w:rsidR="00690754" w:rsidRPr="004624D3" w:rsidRDefault="00690754" w:rsidP="00690754">
            <w:pPr>
              <w:jc w:val="right"/>
              <w:rPr>
                <w:rFonts w:cs="Times New Roman"/>
              </w:rPr>
            </w:pPr>
            <w:r w:rsidRPr="004624D3">
              <w:rPr>
                <w:rFonts w:cs="Times New Roman"/>
              </w:rPr>
              <w:t>4.9</w:t>
            </w:r>
          </w:p>
        </w:tc>
        <w:tc>
          <w:tcPr>
            <w:tcW w:w="0" w:type="auto"/>
          </w:tcPr>
          <w:p w14:paraId="3C37D6C5" w14:textId="77777777" w:rsidR="00690754" w:rsidRPr="004624D3" w:rsidRDefault="00690754" w:rsidP="00690754">
            <w:pPr>
              <w:jc w:val="right"/>
              <w:rPr>
                <w:rFonts w:cs="Times New Roman"/>
              </w:rPr>
            </w:pPr>
            <w:r w:rsidRPr="004624D3">
              <w:rPr>
                <w:rFonts w:cs="Times New Roman"/>
              </w:rPr>
              <w:t>(279)</w:t>
            </w:r>
          </w:p>
        </w:tc>
        <w:tc>
          <w:tcPr>
            <w:tcW w:w="0" w:type="auto"/>
          </w:tcPr>
          <w:p w14:paraId="453724B6" w14:textId="77777777" w:rsidR="00690754" w:rsidRPr="004624D3" w:rsidRDefault="00690754" w:rsidP="00690754">
            <w:pPr>
              <w:jc w:val="right"/>
              <w:rPr>
                <w:rFonts w:cs="Times New Roman"/>
              </w:rPr>
            </w:pPr>
            <w:r w:rsidRPr="004624D3">
              <w:rPr>
                <w:rFonts w:cs="Times New Roman"/>
              </w:rPr>
              <w:t>7.2</w:t>
            </w:r>
          </w:p>
        </w:tc>
      </w:tr>
      <w:tr w:rsidR="00690754" w:rsidRPr="004624D3" w14:paraId="002C4264" w14:textId="77777777" w:rsidTr="00DD1FF7">
        <w:tc>
          <w:tcPr>
            <w:tcW w:w="0" w:type="auto"/>
            <w:tcBorders>
              <w:bottom w:val="single" w:sz="4" w:space="0" w:color="auto"/>
            </w:tcBorders>
          </w:tcPr>
          <w:p w14:paraId="573B2FCE" w14:textId="77777777" w:rsidR="00690754" w:rsidRPr="004624D3" w:rsidRDefault="00690754" w:rsidP="00690754">
            <w:pPr>
              <w:jc w:val="both"/>
              <w:rPr>
                <w:rFonts w:cs="Times New Roman"/>
              </w:rPr>
            </w:pPr>
            <w:r w:rsidRPr="004624D3">
              <w:rPr>
                <w:rFonts w:cs="Times New Roman"/>
              </w:rPr>
              <w:t>Total</w:t>
            </w:r>
          </w:p>
        </w:tc>
        <w:tc>
          <w:tcPr>
            <w:tcW w:w="0" w:type="auto"/>
            <w:tcBorders>
              <w:bottom w:val="single" w:sz="4" w:space="0" w:color="auto"/>
            </w:tcBorders>
          </w:tcPr>
          <w:p w14:paraId="14A5CF6D" w14:textId="77777777" w:rsidR="00690754" w:rsidRPr="004624D3" w:rsidRDefault="00690754" w:rsidP="00690754">
            <w:pPr>
              <w:jc w:val="right"/>
              <w:rPr>
                <w:rFonts w:cs="Times New Roman"/>
              </w:rPr>
            </w:pPr>
            <w:r w:rsidRPr="004624D3">
              <w:rPr>
                <w:rFonts w:cs="Times New Roman"/>
              </w:rPr>
              <w:t>(3,599)</w:t>
            </w:r>
          </w:p>
        </w:tc>
        <w:tc>
          <w:tcPr>
            <w:tcW w:w="0" w:type="auto"/>
            <w:tcBorders>
              <w:bottom w:val="single" w:sz="4" w:space="0" w:color="auto"/>
            </w:tcBorders>
          </w:tcPr>
          <w:p w14:paraId="3813370E" w14:textId="77777777" w:rsidR="00690754" w:rsidRPr="004624D3" w:rsidRDefault="00690754" w:rsidP="00690754">
            <w:pPr>
              <w:jc w:val="right"/>
              <w:rPr>
                <w:rFonts w:cs="Times New Roman"/>
              </w:rPr>
            </w:pPr>
            <w:r w:rsidRPr="004624D3">
              <w:rPr>
                <w:rFonts w:cs="Times New Roman"/>
              </w:rPr>
              <w:t>100</w:t>
            </w:r>
          </w:p>
        </w:tc>
        <w:tc>
          <w:tcPr>
            <w:tcW w:w="0" w:type="auto"/>
            <w:tcBorders>
              <w:bottom w:val="single" w:sz="4" w:space="0" w:color="auto"/>
            </w:tcBorders>
          </w:tcPr>
          <w:p w14:paraId="5433DF3D" w14:textId="77777777" w:rsidR="00690754" w:rsidRPr="004624D3" w:rsidRDefault="00690754" w:rsidP="00690754">
            <w:pPr>
              <w:jc w:val="right"/>
              <w:rPr>
                <w:rFonts w:cs="Times New Roman"/>
              </w:rPr>
            </w:pPr>
          </w:p>
        </w:tc>
        <w:tc>
          <w:tcPr>
            <w:tcW w:w="0" w:type="auto"/>
            <w:tcBorders>
              <w:bottom w:val="single" w:sz="4" w:space="0" w:color="auto"/>
            </w:tcBorders>
          </w:tcPr>
          <w:p w14:paraId="6508081E" w14:textId="77777777" w:rsidR="00690754" w:rsidRPr="004624D3" w:rsidRDefault="00690754" w:rsidP="00690754">
            <w:pPr>
              <w:jc w:val="right"/>
              <w:rPr>
                <w:rFonts w:cs="Times New Roman"/>
              </w:rPr>
            </w:pPr>
            <w:r w:rsidRPr="004624D3">
              <w:rPr>
                <w:rFonts w:cs="Times New Roman"/>
              </w:rPr>
              <w:t>100</w:t>
            </w:r>
          </w:p>
        </w:tc>
      </w:tr>
      <w:tr w:rsidR="00690754" w:rsidRPr="004624D3" w14:paraId="6FF49507" w14:textId="77777777" w:rsidTr="00DD1FF7">
        <w:tc>
          <w:tcPr>
            <w:tcW w:w="0" w:type="auto"/>
            <w:tcBorders>
              <w:top w:val="single" w:sz="4" w:space="0" w:color="auto"/>
            </w:tcBorders>
            <w:shd w:val="clear" w:color="auto" w:fill="auto"/>
          </w:tcPr>
          <w:p w14:paraId="3CFBA17D" w14:textId="77777777" w:rsidR="00690754" w:rsidRPr="004624D3" w:rsidRDefault="00690754" w:rsidP="00690754">
            <w:pPr>
              <w:jc w:val="both"/>
              <w:rPr>
                <w:rFonts w:cs="Times New Roman"/>
              </w:rPr>
            </w:pPr>
            <w:r w:rsidRPr="004624D3">
              <w:rPr>
                <w:rFonts w:cs="Times New Roman"/>
              </w:rPr>
              <w:t>Final analytical sample</w:t>
            </w:r>
          </w:p>
        </w:tc>
        <w:tc>
          <w:tcPr>
            <w:tcW w:w="0" w:type="auto"/>
            <w:tcBorders>
              <w:top w:val="single" w:sz="4" w:space="0" w:color="auto"/>
            </w:tcBorders>
            <w:shd w:val="clear" w:color="auto" w:fill="auto"/>
          </w:tcPr>
          <w:p w14:paraId="1C6F03DE" w14:textId="77777777" w:rsidR="00690754" w:rsidRPr="004624D3" w:rsidRDefault="00690754" w:rsidP="00690754">
            <w:pPr>
              <w:jc w:val="right"/>
              <w:rPr>
                <w:rFonts w:cs="Times New Roman"/>
              </w:rPr>
            </w:pPr>
            <w:r w:rsidRPr="004624D3">
              <w:rPr>
                <w:rFonts w:cs="Times New Roman"/>
              </w:rPr>
              <w:t>(3,422)</w:t>
            </w:r>
          </w:p>
        </w:tc>
        <w:tc>
          <w:tcPr>
            <w:tcW w:w="0" w:type="auto"/>
            <w:tcBorders>
              <w:top w:val="single" w:sz="4" w:space="0" w:color="auto"/>
            </w:tcBorders>
            <w:shd w:val="clear" w:color="auto" w:fill="auto"/>
          </w:tcPr>
          <w:p w14:paraId="69F41A23" w14:textId="77777777" w:rsidR="00690754" w:rsidRPr="004624D3" w:rsidRDefault="00690754" w:rsidP="00690754">
            <w:pPr>
              <w:jc w:val="right"/>
              <w:rPr>
                <w:rFonts w:cs="Times New Roman"/>
              </w:rPr>
            </w:pPr>
          </w:p>
        </w:tc>
        <w:tc>
          <w:tcPr>
            <w:tcW w:w="0" w:type="auto"/>
            <w:tcBorders>
              <w:top w:val="single" w:sz="4" w:space="0" w:color="auto"/>
            </w:tcBorders>
            <w:shd w:val="clear" w:color="auto" w:fill="auto"/>
          </w:tcPr>
          <w:p w14:paraId="549B9D49" w14:textId="77777777" w:rsidR="00690754" w:rsidRPr="004624D3" w:rsidRDefault="00690754" w:rsidP="00690754">
            <w:pPr>
              <w:jc w:val="right"/>
              <w:rPr>
                <w:rFonts w:cs="Times New Roman"/>
              </w:rPr>
            </w:pPr>
            <w:r w:rsidRPr="004624D3">
              <w:rPr>
                <w:rFonts w:cs="Times New Roman"/>
              </w:rPr>
              <w:t>(3,591)</w:t>
            </w:r>
          </w:p>
        </w:tc>
        <w:tc>
          <w:tcPr>
            <w:tcW w:w="0" w:type="auto"/>
            <w:tcBorders>
              <w:top w:val="single" w:sz="4" w:space="0" w:color="auto"/>
            </w:tcBorders>
            <w:shd w:val="clear" w:color="auto" w:fill="auto"/>
          </w:tcPr>
          <w:p w14:paraId="70EDDAEC" w14:textId="77777777" w:rsidR="00690754" w:rsidRPr="004624D3" w:rsidRDefault="00690754" w:rsidP="00690754">
            <w:pPr>
              <w:jc w:val="right"/>
              <w:rPr>
                <w:rFonts w:cs="Times New Roman"/>
              </w:rPr>
            </w:pPr>
          </w:p>
        </w:tc>
      </w:tr>
    </w:tbl>
    <w:p w14:paraId="15063325" w14:textId="6ABEF880" w:rsidR="00690754" w:rsidRPr="004624D3" w:rsidRDefault="00A80801" w:rsidP="00690754">
      <w:pPr>
        <w:spacing w:after="0" w:line="240" w:lineRule="auto"/>
        <w:jc w:val="both"/>
        <w:rPr>
          <w:rFonts w:cs="Times New Roman"/>
        </w:rPr>
      </w:pPr>
      <w:r w:rsidRPr="004624D3">
        <w:rPr>
          <w:rFonts w:cs="Times New Roman"/>
        </w:rPr>
        <w:t xml:space="preserve">Note: </w:t>
      </w:r>
      <w:r w:rsidR="006F6021" w:rsidRPr="004624D3">
        <w:rPr>
          <w:rFonts w:cs="Times New Roman"/>
        </w:rPr>
        <w:t xml:space="preserve">* </w:t>
      </w:r>
      <w:r w:rsidR="00690754" w:rsidRPr="004624D3">
        <w:rPr>
          <w:rFonts w:cs="Times New Roman"/>
        </w:rPr>
        <w:t>Individuals with at least one parent or a parent-in-law alive</w:t>
      </w:r>
    </w:p>
    <w:p w14:paraId="29E4C0D3" w14:textId="77777777" w:rsidR="00690754" w:rsidRPr="004624D3" w:rsidRDefault="00690754" w:rsidP="00690754">
      <w:pPr>
        <w:spacing w:after="0" w:line="240" w:lineRule="auto"/>
        <w:jc w:val="both"/>
        <w:rPr>
          <w:rFonts w:cs="Times New Roman"/>
        </w:rPr>
      </w:pPr>
      <w:r w:rsidRPr="004624D3">
        <w:rPr>
          <w:rFonts w:cs="Times New Roman"/>
        </w:rPr>
        <w:t>Source: Authors’ analysis of NCDS</w:t>
      </w:r>
    </w:p>
    <w:p w14:paraId="71AB6F6C" w14:textId="77777777" w:rsidR="00690754" w:rsidRPr="004624D3" w:rsidRDefault="00690754">
      <w:pPr>
        <w:rPr>
          <w:rFonts w:eastAsia="Times New Roman" w:cs="Times New Roman"/>
          <w:bCs/>
          <w:color w:val="000000"/>
        </w:rPr>
      </w:pPr>
      <w:r w:rsidRPr="004624D3">
        <w:rPr>
          <w:rFonts w:eastAsia="Times New Roman" w:cs="Times New Roman"/>
          <w:bCs/>
          <w:color w:val="000000"/>
        </w:rPr>
        <w:br w:type="page"/>
      </w:r>
    </w:p>
    <w:p w14:paraId="58DE795F" w14:textId="77777777" w:rsidR="00690754" w:rsidRPr="004624D3" w:rsidRDefault="00690754" w:rsidP="00690754">
      <w:pPr>
        <w:spacing w:after="0" w:line="480" w:lineRule="auto"/>
        <w:jc w:val="both"/>
        <w:rPr>
          <w:rFonts w:cs="Times New Roman"/>
        </w:rPr>
      </w:pPr>
      <w:r w:rsidRPr="004624D3">
        <w:rPr>
          <w:rFonts w:cs="Times New Roman"/>
        </w:rPr>
        <w:lastRenderedPageBreak/>
        <w:t>Table 2: Deriving caring trajectories: the provision of care at age 46 years, 50 years and 55 years (%, 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923"/>
        <w:gridCol w:w="922"/>
        <w:gridCol w:w="3144"/>
        <w:gridCol w:w="1661"/>
      </w:tblGrid>
      <w:tr w:rsidR="00690754" w:rsidRPr="004624D3" w14:paraId="0BB6784F" w14:textId="77777777" w:rsidTr="00DD1FF7">
        <w:tc>
          <w:tcPr>
            <w:tcW w:w="863" w:type="dxa"/>
            <w:tcBorders>
              <w:bottom w:val="single" w:sz="4" w:space="0" w:color="auto"/>
            </w:tcBorders>
          </w:tcPr>
          <w:p w14:paraId="69E30428" w14:textId="77777777" w:rsidR="00690754" w:rsidRPr="004624D3" w:rsidRDefault="00690754" w:rsidP="00690754">
            <w:pPr>
              <w:spacing w:line="276" w:lineRule="auto"/>
              <w:jc w:val="both"/>
              <w:rPr>
                <w:rFonts w:cs="Times New Roman"/>
                <w:b/>
                <w:bCs/>
                <w:i/>
                <w:iCs/>
              </w:rPr>
            </w:pPr>
            <w:r w:rsidRPr="004624D3">
              <w:rPr>
                <w:rFonts w:cs="Times New Roman"/>
                <w:b/>
                <w:bCs/>
                <w:i/>
                <w:iCs/>
              </w:rPr>
              <w:t>Age 46</w:t>
            </w:r>
          </w:p>
        </w:tc>
        <w:tc>
          <w:tcPr>
            <w:tcW w:w="923" w:type="dxa"/>
            <w:tcBorders>
              <w:bottom w:val="single" w:sz="4" w:space="0" w:color="auto"/>
            </w:tcBorders>
          </w:tcPr>
          <w:p w14:paraId="452359C8" w14:textId="77777777" w:rsidR="00690754" w:rsidRPr="004624D3" w:rsidRDefault="00690754" w:rsidP="00690754">
            <w:pPr>
              <w:spacing w:line="276" w:lineRule="auto"/>
              <w:jc w:val="both"/>
              <w:rPr>
                <w:rFonts w:cs="Times New Roman"/>
                <w:b/>
                <w:bCs/>
                <w:i/>
                <w:iCs/>
              </w:rPr>
            </w:pPr>
            <w:r w:rsidRPr="004624D3">
              <w:rPr>
                <w:rFonts w:cs="Times New Roman"/>
                <w:b/>
                <w:bCs/>
                <w:i/>
                <w:iCs/>
              </w:rPr>
              <w:t>Age 50</w:t>
            </w:r>
          </w:p>
        </w:tc>
        <w:tc>
          <w:tcPr>
            <w:tcW w:w="922" w:type="dxa"/>
            <w:tcBorders>
              <w:bottom w:val="single" w:sz="4" w:space="0" w:color="auto"/>
            </w:tcBorders>
          </w:tcPr>
          <w:p w14:paraId="78383308" w14:textId="77777777" w:rsidR="00690754" w:rsidRPr="004624D3" w:rsidRDefault="00690754" w:rsidP="00690754">
            <w:pPr>
              <w:spacing w:line="276" w:lineRule="auto"/>
              <w:jc w:val="both"/>
              <w:rPr>
                <w:rFonts w:cs="Times New Roman"/>
                <w:b/>
                <w:bCs/>
                <w:i/>
                <w:iCs/>
              </w:rPr>
            </w:pPr>
            <w:r w:rsidRPr="004624D3">
              <w:rPr>
                <w:rFonts w:cs="Times New Roman"/>
                <w:b/>
                <w:bCs/>
                <w:i/>
                <w:iCs/>
              </w:rPr>
              <w:t>Age 55</w:t>
            </w:r>
          </w:p>
        </w:tc>
        <w:tc>
          <w:tcPr>
            <w:tcW w:w="3144" w:type="dxa"/>
            <w:tcBorders>
              <w:bottom w:val="single" w:sz="4" w:space="0" w:color="auto"/>
            </w:tcBorders>
          </w:tcPr>
          <w:p w14:paraId="1F0AB0E5" w14:textId="77777777" w:rsidR="00690754" w:rsidRPr="004624D3" w:rsidRDefault="00690754" w:rsidP="00690754">
            <w:pPr>
              <w:spacing w:line="276" w:lineRule="auto"/>
              <w:jc w:val="both"/>
              <w:rPr>
                <w:rFonts w:cs="Times New Roman"/>
                <w:b/>
                <w:bCs/>
                <w:i/>
                <w:iCs/>
              </w:rPr>
            </w:pPr>
            <w:r w:rsidRPr="004624D3">
              <w:rPr>
                <w:rFonts w:cs="Times New Roman"/>
                <w:b/>
                <w:bCs/>
                <w:i/>
                <w:iCs/>
              </w:rPr>
              <w:t>Caring Trajectory</w:t>
            </w:r>
          </w:p>
        </w:tc>
        <w:tc>
          <w:tcPr>
            <w:tcW w:w="1661" w:type="dxa"/>
            <w:tcBorders>
              <w:bottom w:val="single" w:sz="4" w:space="0" w:color="auto"/>
            </w:tcBorders>
          </w:tcPr>
          <w:p w14:paraId="783105BF" w14:textId="77777777" w:rsidR="00690754" w:rsidRPr="004624D3" w:rsidRDefault="00690754" w:rsidP="00690754">
            <w:pPr>
              <w:spacing w:line="276" w:lineRule="auto"/>
              <w:jc w:val="right"/>
              <w:rPr>
                <w:rFonts w:cs="Times New Roman"/>
                <w:b/>
                <w:bCs/>
                <w:i/>
                <w:iCs/>
              </w:rPr>
            </w:pPr>
            <w:r w:rsidRPr="004624D3">
              <w:rPr>
                <w:rFonts w:cs="Times New Roman"/>
                <w:b/>
                <w:bCs/>
                <w:i/>
                <w:iCs/>
              </w:rPr>
              <w:t xml:space="preserve">% </w:t>
            </w:r>
          </w:p>
        </w:tc>
      </w:tr>
      <w:tr w:rsidR="00690754" w:rsidRPr="004624D3" w14:paraId="7B502D1E" w14:textId="77777777" w:rsidTr="00DD1FF7">
        <w:tc>
          <w:tcPr>
            <w:tcW w:w="863" w:type="dxa"/>
            <w:tcBorders>
              <w:top w:val="single" w:sz="4" w:space="0" w:color="auto"/>
            </w:tcBorders>
          </w:tcPr>
          <w:p w14:paraId="7232355B" w14:textId="77777777" w:rsidR="00690754" w:rsidRPr="004624D3" w:rsidRDefault="00690754" w:rsidP="00690754">
            <w:pPr>
              <w:spacing w:line="276" w:lineRule="auto"/>
              <w:jc w:val="both"/>
              <w:rPr>
                <w:rFonts w:cs="Times New Roman"/>
              </w:rPr>
            </w:pPr>
            <w:r w:rsidRPr="004624D3">
              <w:rPr>
                <w:rFonts w:cs="Times New Roman"/>
              </w:rPr>
              <w:t>Yes</w:t>
            </w:r>
          </w:p>
        </w:tc>
        <w:tc>
          <w:tcPr>
            <w:tcW w:w="923" w:type="dxa"/>
            <w:tcBorders>
              <w:top w:val="single" w:sz="4" w:space="0" w:color="auto"/>
            </w:tcBorders>
          </w:tcPr>
          <w:p w14:paraId="0B35C8EA" w14:textId="77777777" w:rsidR="00690754" w:rsidRPr="004624D3" w:rsidRDefault="00690754" w:rsidP="00690754">
            <w:pPr>
              <w:spacing w:line="276" w:lineRule="auto"/>
              <w:jc w:val="both"/>
              <w:rPr>
                <w:rFonts w:cs="Times New Roman"/>
              </w:rPr>
            </w:pPr>
            <w:r w:rsidRPr="004624D3">
              <w:rPr>
                <w:rFonts w:cs="Times New Roman"/>
              </w:rPr>
              <w:t>Yes</w:t>
            </w:r>
          </w:p>
        </w:tc>
        <w:tc>
          <w:tcPr>
            <w:tcW w:w="922" w:type="dxa"/>
            <w:tcBorders>
              <w:top w:val="single" w:sz="4" w:space="0" w:color="auto"/>
            </w:tcBorders>
          </w:tcPr>
          <w:p w14:paraId="29697F5E" w14:textId="77777777" w:rsidR="00690754" w:rsidRPr="004624D3" w:rsidRDefault="00690754" w:rsidP="00690754">
            <w:pPr>
              <w:spacing w:line="276" w:lineRule="auto"/>
              <w:jc w:val="both"/>
              <w:rPr>
                <w:rFonts w:cs="Times New Roman"/>
              </w:rPr>
            </w:pPr>
            <w:r w:rsidRPr="004624D3">
              <w:rPr>
                <w:rFonts w:cs="Times New Roman"/>
              </w:rPr>
              <w:t>Yes</w:t>
            </w:r>
          </w:p>
        </w:tc>
        <w:tc>
          <w:tcPr>
            <w:tcW w:w="3144" w:type="dxa"/>
            <w:tcBorders>
              <w:top w:val="single" w:sz="4" w:space="0" w:color="auto"/>
            </w:tcBorders>
          </w:tcPr>
          <w:p w14:paraId="4F480221" w14:textId="67A5ACC6" w:rsidR="00690754" w:rsidRPr="004624D3" w:rsidRDefault="00690754" w:rsidP="00690754">
            <w:pPr>
              <w:spacing w:line="276" w:lineRule="auto"/>
              <w:jc w:val="both"/>
              <w:rPr>
                <w:rFonts w:cs="Times New Roman"/>
              </w:rPr>
            </w:pPr>
            <w:r w:rsidRPr="004624D3">
              <w:rPr>
                <w:rFonts w:cs="Times New Roman"/>
              </w:rPr>
              <w:t>‘</w:t>
            </w:r>
            <w:r w:rsidR="007B2B8A" w:rsidRPr="004624D3">
              <w:rPr>
                <w:rFonts w:cs="Times New Roman"/>
              </w:rPr>
              <w:t>Repeat</w:t>
            </w:r>
            <w:r w:rsidRPr="004624D3">
              <w:rPr>
                <w:rFonts w:cs="Times New Roman"/>
              </w:rPr>
              <w:t>’ carers</w:t>
            </w:r>
          </w:p>
        </w:tc>
        <w:tc>
          <w:tcPr>
            <w:tcW w:w="1661" w:type="dxa"/>
            <w:tcBorders>
              <w:top w:val="single" w:sz="4" w:space="0" w:color="auto"/>
            </w:tcBorders>
            <w:shd w:val="clear" w:color="auto" w:fill="auto"/>
            <w:vAlign w:val="center"/>
          </w:tcPr>
          <w:p w14:paraId="188682AF" w14:textId="77777777" w:rsidR="00690754" w:rsidRPr="004624D3" w:rsidRDefault="00690754" w:rsidP="00690754">
            <w:pPr>
              <w:spacing w:line="276" w:lineRule="auto"/>
              <w:jc w:val="right"/>
              <w:rPr>
                <w:rFonts w:cs="Times New Roman"/>
              </w:rPr>
            </w:pPr>
            <w:r w:rsidRPr="004624D3">
              <w:rPr>
                <w:rFonts w:ascii="Calibri" w:hAnsi="Calibri"/>
                <w:i/>
                <w:iCs/>
                <w:color w:val="000000"/>
              </w:rPr>
              <w:t>5.7</w:t>
            </w:r>
          </w:p>
        </w:tc>
      </w:tr>
      <w:tr w:rsidR="00690754" w:rsidRPr="004624D3" w14:paraId="74540C64" w14:textId="77777777" w:rsidTr="00DD1FF7">
        <w:tc>
          <w:tcPr>
            <w:tcW w:w="863" w:type="dxa"/>
          </w:tcPr>
          <w:p w14:paraId="4DDFC4EB" w14:textId="77777777" w:rsidR="00690754" w:rsidRPr="004624D3" w:rsidRDefault="00690754" w:rsidP="00690754">
            <w:pPr>
              <w:spacing w:line="276" w:lineRule="auto"/>
              <w:jc w:val="both"/>
              <w:rPr>
                <w:rFonts w:cs="Times New Roman"/>
              </w:rPr>
            </w:pPr>
            <w:r w:rsidRPr="004624D3">
              <w:rPr>
                <w:rFonts w:cs="Times New Roman"/>
              </w:rPr>
              <w:t>No</w:t>
            </w:r>
          </w:p>
        </w:tc>
        <w:tc>
          <w:tcPr>
            <w:tcW w:w="923" w:type="dxa"/>
          </w:tcPr>
          <w:p w14:paraId="1C92504D" w14:textId="77777777" w:rsidR="00690754" w:rsidRPr="004624D3" w:rsidRDefault="00690754" w:rsidP="00690754">
            <w:pPr>
              <w:spacing w:line="276" w:lineRule="auto"/>
              <w:jc w:val="both"/>
              <w:rPr>
                <w:rFonts w:cs="Times New Roman"/>
              </w:rPr>
            </w:pPr>
            <w:r w:rsidRPr="004624D3">
              <w:rPr>
                <w:rFonts w:cs="Times New Roman"/>
              </w:rPr>
              <w:t>Yes</w:t>
            </w:r>
          </w:p>
        </w:tc>
        <w:tc>
          <w:tcPr>
            <w:tcW w:w="922" w:type="dxa"/>
          </w:tcPr>
          <w:p w14:paraId="341F6726" w14:textId="77777777" w:rsidR="00690754" w:rsidRPr="004624D3" w:rsidRDefault="00690754" w:rsidP="00690754">
            <w:pPr>
              <w:spacing w:line="276" w:lineRule="auto"/>
              <w:jc w:val="both"/>
              <w:rPr>
                <w:rFonts w:cs="Times New Roman"/>
              </w:rPr>
            </w:pPr>
            <w:r w:rsidRPr="004624D3">
              <w:rPr>
                <w:rFonts w:cs="Times New Roman"/>
              </w:rPr>
              <w:t>Yes</w:t>
            </w:r>
          </w:p>
        </w:tc>
        <w:tc>
          <w:tcPr>
            <w:tcW w:w="3144" w:type="dxa"/>
          </w:tcPr>
          <w:p w14:paraId="33C4FA17" w14:textId="77777777" w:rsidR="00690754" w:rsidRPr="004624D3" w:rsidRDefault="00690754" w:rsidP="00690754">
            <w:pPr>
              <w:spacing w:line="276" w:lineRule="auto"/>
              <w:jc w:val="both"/>
              <w:rPr>
                <w:rFonts w:cs="Times New Roman"/>
              </w:rPr>
            </w:pPr>
            <w:r w:rsidRPr="004624D3">
              <w:rPr>
                <w:rFonts w:cs="Times New Roman"/>
              </w:rPr>
              <w:t>New Carer</w:t>
            </w:r>
          </w:p>
        </w:tc>
        <w:tc>
          <w:tcPr>
            <w:tcW w:w="1661" w:type="dxa"/>
            <w:shd w:val="clear" w:color="auto" w:fill="auto"/>
            <w:vAlign w:val="center"/>
          </w:tcPr>
          <w:p w14:paraId="26BB23AB" w14:textId="77777777" w:rsidR="00690754" w:rsidRPr="004624D3" w:rsidRDefault="00690754" w:rsidP="00690754">
            <w:pPr>
              <w:spacing w:line="276" w:lineRule="auto"/>
              <w:jc w:val="right"/>
              <w:rPr>
                <w:rFonts w:cs="Times New Roman"/>
              </w:rPr>
            </w:pPr>
            <w:r w:rsidRPr="004624D3">
              <w:rPr>
                <w:rFonts w:ascii="Calibri" w:hAnsi="Calibri"/>
                <w:i/>
                <w:iCs/>
                <w:color w:val="000000"/>
              </w:rPr>
              <w:t>32.8</w:t>
            </w:r>
          </w:p>
        </w:tc>
      </w:tr>
      <w:tr w:rsidR="00690754" w:rsidRPr="004624D3" w14:paraId="31E4C749" w14:textId="77777777" w:rsidTr="00DD1FF7">
        <w:tc>
          <w:tcPr>
            <w:tcW w:w="863" w:type="dxa"/>
          </w:tcPr>
          <w:p w14:paraId="576C5E26" w14:textId="77777777" w:rsidR="00690754" w:rsidRPr="004624D3" w:rsidRDefault="00690754" w:rsidP="00690754">
            <w:pPr>
              <w:spacing w:line="276" w:lineRule="auto"/>
              <w:jc w:val="both"/>
              <w:rPr>
                <w:rFonts w:cs="Times New Roman"/>
              </w:rPr>
            </w:pPr>
            <w:r w:rsidRPr="004624D3">
              <w:rPr>
                <w:rFonts w:cs="Times New Roman"/>
              </w:rPr>
              <w:t>No</w:t>
            </w:r>
          </w:p>
        </w:tc>
        <w:tc>
          <w:tcPr>
            <w:tcW w:w="923" w:type="dxa"/>
          </w:tcPr>
          <w:p w14:paraId="7364C187" w14:textId="77777777" w:rsidR="00690754" w:rsidRPr="004624D3" w:rsidRDefault="00690754" w:rsidP="00690754">
            <w:pPr>
              <w:spacing w:line="276" w:lineRule="auto"/>
              <w:jc w:val="both"/>
              <w:rPr>
                <w:rFonts w:cs="Times New Roman"/>
              </w:rPr>
            </w:pPr>
            <w:r w:rsidRPr="004624D3">
              <w:rPr>
                <w:rFonts w:cs="Times New Roman"/>
              </w:rPr>
              <w:t>No</w:t>
            </w:r>
          </w:p>
        </w:tc>
        <w:tc>
          <w:tcPr>
            <w:tcW w:w="922" w:type="dxa"/>
          </w:tcPr>
          <w:p w14:paraId="7B613D31" w14:textId="77777777" w:rsidR="00690754" w:rsidRPr="004624D3" w:rsidRDefault="00690754" w:rsidP="00690754">
            <w:pPr>
              <w:spacing w:line="276" w:lineRule="auto"/>
              <w:jc w:val="both"/>
              <w:rPr>
                <w:rFonts w:cs="Times New Roman"/>
              </w:rPr>
            </w:pPr>
            <w:r w:rsidRPr="004624D3">
              <w:rPr>
                <w:rFonts w:cs="Times New Roman"/>
              </w:rPr>
              <w:t>Yes</w:t>
            </w:r>
          </w:p>
        </w:tc>
        <w:tc>
          <w:tcPr>
            <w:tcW w:w="3144" w:type="dxa"/>
          </w:tcPr>
          <w:p w14:paraId="5C758965" w14:textId="77777777" w:rsidR="00690754" w:rsidRPr="004624D3" w:rsidRDefault="00690754" w:rsidP="00690754">
            <w:pPr>
              <w:spacing w:line="276" w:lineRule="auto"/>
              <w:jc w:val="both"/>
              <w:rPr>
                <w:rFonts w:cs="Times New Roman"/>
              </w:rPr>
            </w:pPr>
            <w:r w:rsidRPr="004624D3">
              <w:rPr>
                <w:rFonts w:cs="Times New Roman"/>
              </w:rPr>
              <w:t>New Carer</w:t>
            </w:r>
          </w:p>
        </w:tc>
        <w:tc>
          <w:tcPr>
            <w:tcW w:w="1661" w:type="dxa"/>
            <w:shd w:val="clear" w:color="auto" w:fill="auto"/>
            <w:vAlign w:val="center"/>
          </w:tcPr>
          <w:p w14:paraId="2424C6A1" w14:textId="77777777" w:rsidR="00690754" w:rsidRPr="004624D3" w:rsidRDefault="00690754" w:rsidP="00690754">
            <w:pPr>
              <w:spacing w:line="276" w:lineRule="auto"/>
              <w:jc w:val="right"/>
              <w:rPr>
                <w:rFonts w:ascii="Calibri" w:hAnsi="Calibri"/>
                <w:i/>
                <w:iCs/>
                <w:color w:val="000000"/>
              </w:rPr>
            </w:pPr>
            <w:r w:rsidRPr="004624D3">
              <w:rPr>
                <w:rFonts w:ascii="Calibri" w:hAnsi="Calibri"/>
                <w:i/>
                <w:iCs/>
                <w:color w:val="000000"/>
              </w:rPr>
              <w:t>13.2</w:t>
            </w:r>
          </w:p>
        </w:tc>
      </w:tr>
      <w:tr w:rsidR="00690754" w:rsidRPr="004624D3" w14:paraId="24D6F456" w14:textId="77777777" w:rsidTr="00DD1FF7">
        <w:tc>
          <w:tcPr>
            <w:tcW w:w="863" w:type="dxa"/>
          </w:tcPr>
          <w:p w14:paraId="30BE0939" w14:textId="77777777" w:rsidR="00690754" w:rsidRPr="004624D3" w:rsidRDefault="00690754" w:rsidP="00690754">
            <w:pPr>
              <w:spacing w:line="276" w:lineRule="auto"/>
              <w:jc w:val="both"/>
              <w:rPr>
                <w:rFonts w:cs="Times New Roman"/>
              </w:rPr>
            </w:pPr>
            <w:r w:rsidRPr="004624D3">
              <w:rPr>
                <w:rFonts w:cs="Times New Roman"/>
              </w:rPr>
              <w:t>No</w:t>
            </w:r>
          </w:p>
        </w:tc>
        <w:tc>
          <w:tcPr>
            <w:tcW w:w="923" w:type="dxa"/>
          </w:tcPr>
          <w:p w14:paraId="0574910C" w14:textId="77777777" w:rsidR="00690754" w:rsidRPr="004624D3" w:rsidRDefault="00690754" w:rsidP="00690754">
            <w:pPr>
              <w:spacing w:line="276" w:lineRule="auto"/>
              <w:jc w:val="both"/>
              <w:rPr>
                <w:rFonts w:cs="Times New Roman"/>
              </w:rPr>
            </w:pPr>
            <w:r w:rsidRPr="004624D3">
              <w:rPr>
                <w:rFonts w:cs="Times New Roman"/>
              </w:rPr>
              <w:t>Yes</w:t>
            </w:r>
          </w:p>
        </w:tc>
        <w:tc>
          <w:tcPr>
            <w:tcW w:w="922" w:type="dxa"/>
          </w:tcPr>
          <w:p w14:paraId="63ED3BD2" w14:textId="77777777" w:rsidR="00690754" w:rsidRPr="004624D3" w:rsidRDefault="00690754" w:rsidP="00690754">
            <w:pPr>
              <w:spacing w:line="276" w:lineRule="auto"/>
              <w:jc w:val="both"/>
              <w:rPr>
                <w:rFonts w:cs="Times New Roman"/>
              </w:rPr>
            </w:pPr>
            <w:r w:rsidRPr="004624D3">
              <w:rPr>
                <w:rFonts w:cs="Times New Roman"/>
              </w:rPr>
              <w:t>No</w:t>
            </w:r>
          </w:p>
        </w:tc>
        <w:tc>
          <w:tcPr>
            <w:tcW w:w="3144" w:type="dxa"/>
          </w:tcPr>
          <w:p w14:paraId="1F1CC58D" w14:textId="77777777" w:rsidR="00690754" w:rsidRPr="004624D3" w:rsidRDefault="00690754" w:rsidP="00690754">
            <w:pPr>
              <w:spacing w:line="276" w:lineRule="auto"/>
              <w:jc w:val="both"/>
              <w:rPr>
                <w:rFonts w:cs="Times New Roman"/>
              </w:rPr>
            </w:pPr>
            <w:r w:rsidRPr="004624D3">
              <w:rPr>
                <w:rFonts w:cs="Times New Roman"/>
              </w:rPr>
              <w:t>Sporadic/intermittent carers</w:t>
            </w:r>
          </w:p>
        </w:tc>
        <w:tc>
          <w:tcPr>
            <w:tcW w:w="1661" w:type="dxa"/>
            <w:shd w:val="clear" w:color="auto" w:fill="auto"/>
            <w:vAlign w:val="center"/>
          </w:tcPr>
          <w:p w14:paraId="2DD37908" w14:textId="77777777" w:rsidR="00690754" w:rsidRPr="004624D3" w:rsidRDefault="00690754" w:rsidP="00690754">
            <w:pPr>
              <w:spacing w:line="276" w:lineRule="auto"/>
              <w:jc w:val="right"/>
              <w:rPr>
                <w:rFonts w:cs="Times New Roman"/>
                <w:i/>
                <w:iCs/>
              </w:rPr>
            </w:pPr>
            <w:r w:rsidRPr="004624D3">
              <w:rPr>
                <w:rFonts w:cs="Times New Roman"/>
                <w:i/>
                <w:iCs/>
              </w:rPr>
              <w:t>14.2</w:t>
            </w:r>
          </w:p>
        </w:tc>
      </w:tr>
      <w:tr w:rsidR="00690754" w:rsidRPr="004624D3" w14:paraId="713C7223" w14:textId="77777777" w:rsidTr="00DD1FF7">
        <w:tc>
          <w:tcPr>
            <w:tcW w:w="863" w:type="dxa"/>
          </w:tcPr>
          <w:p w14:paraId="65684535" w14:textId="77777777" w:rsidR="00690754" w:rsidRPr="004624D3" w:rsidRDefault="00690754" w:rsidP="00690754">
            <w:pPr>
              <w:spacing w:line="276" w:lineRule="auto"/>
              <w:jc w:val="both"/>
              <w:rPr>
                <w:rFonts w:cs="Times New Roman"/>
              </w:rPr>
            </w:pPr>
            <w:r w:rsidRPr="004624D3">
              <w:rPr>
                <w:rFonts w:cs="Times New Roman"/>
              </w:rPr>
              <w:t>Yes</w:t>
            </w:r>
          </w:p>
        </w:tc>
        <w:tc>
          <w:tcPr>
            <w:tcW w:w="923" w:type="dxa"/>
          </w:tcPr>
          <w:p w14:paraId="6C33E468" w14:textId="77777777" w:rsidR="00690754" w:rsidRPr="004624D3" w:rsidRDefault="00690754" w:rsidP="00690754">
            <w:pPr>
              <w:spacing w:line="276" w:lineRule="auto"/>
              <w:jc w:val="both"/>
              <w:rPr>
                <w:rFonts w:cs="Times New Roman"/>
              </w:rPr>
            </w:pPr>
            <w:r w:rsidRPr="004624D3">
              <w:rPr>
                <w:rFonts w:cs="Times New Roman"/>
              </w:rPr>
              <w:t>No</w:t>
            </w:r>
          </w:p>
        </w:tc>
        <w:tc>
          <w:tcPr>
            <w:tcW w:w="922" w:type="dxa"/>
          </w:tcPr>
          <w:p w14:paraId="1DCE680A" w14:textId="77777777" w:rsidR="00690754" w:rsidRPr="004624D3" w:rsidRDefault="00690754" w:rsidP="00690754">
            <w:pPr>
              <w:spacing w:line="276" w:lineRule="auto"/>
              <w:jc w:val="both"/>
              <w:rPr>
                <w:rFonts w:cs="Times New Roman"/>
              </w:rPr>
            </w:pPr>
            <w:r w:rsidRPr="004624D3">
              <w:rPr>
                <w:rFonts w:cs="Times New Roman"/>
              </w:rPr>
              <w:t>Yes</w:t>
            </w:r>
          </w:p>
        </w:tc>
        <w:tc>
          <w:tcPr>
            <w:tcW w:w="3144" w:type="dxa"/>
          </w:tcPr>
          <w:p w14:paraId="1279FDA9" w14:textId="77777777" w:rsidR="00690754" w:rsidRPr="004624D3" w:rsidRDefault="00690754" w:rsidP="00690754">
            <w:pPr>
              <w:spacing w:line="276" w:lineRule="auto"/>
              <w:jc w:val="both"/>
              <w:rPr>
                <w:rFonts w:cs="Times New Roman"/>
              </w:rPr>
            </w:pPr>
            <w:r w:rsidRPr="004624D3">
              <w:rPr>
                <w:rFonts w:cs="Times New Roman"/>
              </w:rPr>
              <w:t>Sporadic/intermittent carers</w:t>
            </w:r>
          </w:p>
        </w:tc>
        <w:tc>
          <w:tcPr>
            <w:tcW w:w="1661" w:type="dxa"/>
            <w:shd w:val="clear" w:color="auto" w:fill="auto"/>
            <w:vAlign w:val="center"/>
          </w:tcPr>
          <w:p w14:paraId="6D04EE72" w14:textId="77777777" w:rsidR="00690754" w:rsidRPr="004624D3" w:rsidRDefault="00690754" w:rsidP="00690754">
            <w:pPr>
              <w:spacing w:line="276" w:lineRule="auto"/>
              <w:jc w:val="right"/>
              <w:rPr>
                <w:rFonts w:cs="Times New Roman"/>
              </w:rPr>
            </w:pPr>
            <w:r w:rsidRPr="004624D3">
              <w:rPr>
                <w:rFonts w:ascii="Calibri" w:hAnsi="Calibri"/>
                <w:i/>
                <w:iCs/>
                <w:color w:val="000000"/>
              </w:rPr>
              <w:t>0.9</w:t>
            </w:r>
          </w:p>
        </w:tc>
      </w:tr>
      <w:tr w:rsidR="00690754" w:rsidRPr="004624D3" w14:paraId="34BAF070" w14:textId="77777777" w:rsidTr="00DD1FF7">
        <w:tc>
          <w:tcPr>
            <w:tcW w:w="863" w:type="dxa"/>
          </w:tcPr>
          <w:p w14:paraId="36F3AA1E" w14:textId="77777777" w:rsidR="00690754" w:rsidRPr="004624D3" w:rsidRDefault="00690754" w:rsidP="00690754">
            <w:pPr>
              <w:spacing w:line="276" w:lineRule="auto"/>
              <w:jc w:val="both"/>
              <w:rPr>
                <w:rFonts w:cs="Times New Roman"/>
              </w:rPr>
            </w:pPr>
            <w:r w:rsidRPr="004624D3">
              <w:rPr>
                <w:rFonts w:cs="Times New Roman"/>
              </w:rPr>
              <w:t>Yes</w:t>
            </w:r>
          </w:p>
        </w:tc>
        <w:tc>
          <w:tcPr>
            <w:tcW w:w="923" w:type="dxa"/>
          </w:tcPr>
          <w:p w14:paraId="3CD20F0D" w14:textId="77777777" w:rsidR="00690754" w:rsidRPr="004624D3" w:rsidRDefault="00690754" w:rsidP="00690754">
            <w:pPr>
              <w:spacing w:line="276" w:lineRule="auto"/>
              <w:jc w:val="both"/>
              <w:rPr>
                <w:rFonts w:cs="Times New Roman"/>
              </w:rPr>
            </w:pPr>
            <w:r w:rsidRPr="004624D3">
              <w:rPr>
                <w:rFonts w:cs="Times New Roman"/>
              </w:rPr>
              <w:t>Yes</w:t>
            </w:r>
          </w:p>
        </w:tc>
        <w:tc>
          <w:tcPr>
            <w:tcW w:w="922" w:type="dxa"/>
          </w:tcPr>
          <w:p w14:paraId="61982A81" w14:textId="77777777" w:rsidR="00690754" w:rsidRPr="004624D3" w:rsidRDefault="00690754" w:rsidP="00690754">
            <w:pPr>
              <w:spacing w:line="276" w:lineRule="auto"/>
              <w:jc w:val="both"/>
              <w:rPr>
                <w:rFonts w:cs="Times New Roman"/>
              </w:rPr>
            </w:pPr>
            <w:r w:rsidRPr="004624D3">
              <w:rPr>
                <w:rFonts w:cs="Times New Roman"/>
              </w:rPr>
              <w:t>No</w:t>
            </w:r>
          </w:p>
        </w:tc>
        <w:tc>
          <w:tcPr>
            <w:tcW w:w="3144" w:type="dxa"/>
          </w:tcPr>
          <w:p w14:paraId="25A38D54" w14:textId="77777777" w:rsidR="00690754" w:rsidRPr="004624D3" w:rsidRDefault="00690754" w:rsidP="00690754">
            <w:pPr>
              <w:spacing w:line="276" w:lineRule="auto"/>
              <w:jc w:val="both"/>
              <w:rPr>
                <w:rFonts w:cs="Times New Roman"/>
              </w:rPr>
            </w:pPr>
            <w:r w:rsidRPr="004624D3">
              <w:rPr>
                <w:rFonts w:cs="Times New Roman"/>
              </w:rPr>
              <w:t>Stopped caring</w:t>
            </w:r>
          </w:p>
        </w:tc>
        <w:tc>
          <w:tcPr>
            <w:tcW w:w="1661" w:type="dxa"/>
            <w:shd w:val="clear" w:color="auto" w:fill="auto"/>
            <w:vAlign w:val="center"/>
          </w:tcPr>
          <w:p w14:paraId="0E7189AA" w14:textId="77777777" w:rsidR="00690754" w:rsidRPr="004624D3" w:rsidRDefault="00690754" w:rsidP="00690754">
            <w:pPr>
              <w:spacing w:line="276" w:lineRule="auto"/>
              <w:jc w:val="right"/>
              <w:rPr>
                <w:rFonts w:cs="Times New Roman"/>
              </w:rPr>
            </w:pPr>
            <w:r w:rsidRPr="004624D3">
              <w:rPr>
                <w:rFonts w:ascii="Calibri" w:hAnsi="Calibri"/>
                <w:i/>
                <w:iCs/>
                <w:color w:val="000000"/>
              </w:rPr>
              <w:t>3.3</w:t>
            </w:r>
          </w:p>
        </w:tc>
      </w:tr>
      <w:tr w:rsidR="00690754" w:rsidRPr="004624D3" w14:paraId="149068D6" w14:textId="77777777" w:rsidTr="00DD1FF7">
        <w:tc>
          <w:tcPr>
            <w:tcW w:w="863" w:type="dxa"/>
          </w:tcPr>
          <w:p w14:paraId="02A6BC94" w14:textId="77777777" w:rsidR="00690754" w:rsidRPr="004624D3" w:rsidRDefault="00690754" w:rsidP="00690754">
            <w:pPr>
              <w:spacing w:line="276" w:lineRule="auto"/>
              <w:jc w:val="both"/>
              <w:rPr>
                <w:rFonts w:cs="Times New Roman"/>
              </w:rPr>
            </w:pPr>
            <w:r w:rsidRPr="004624D3">
              <w:rPr>
                <w:rFonts w:cs="Times New Roman"/>
              </w:rPr>
              <w:t>Yes</w:t>
            </w:r>
          </w:p>
        </w:tc>
        <w:tc>
          <w:tcPr>
            <w:tcW w:w="923" w:type="dxa"/>
          </w:tcPr>
          <w:p w14:paraId="519D1C9B" w14:textId="77777777" w:rsidR="00690754" w:rsidRPr="004624D3" w:rsidRDefault="00690754" w:rsidP="00690754">
            <w:pPr>
              <w:spacing w:line="276" w:lineRule="auto"/>
              <w:jc w:val="both"/>
              <w:rPr>
                <w:rFonts w:cs="Times New Roman"/>
              </w:rPr>
            </w:pPr>
            <w:r w:rsidRPr="004624D3">
              <w:rPr>
                <w:rFonts w:cs="Times New Roman"/>
              </w:rPr>
              <w:t>No</w:t>
            </w:r>
          </w:p>
        </w:tc>
        <w:tc>
          <w:tcPr>
            <w:tcW w:w="922" w:type="dxa"/>
          </w:tcPr>
          <w:p w14:paraId="135F51E9" w14:textId="77777777" w:rsidR="00690754" w:rsidRPr="004624D3" w:rsidRDefault="00690754" w:rsidP="00690754">
            <w:pPr>
              <w:spacing w:line="276" w:lineRule="auto"/>
              <w:jc w:val="both"/>
              <w:rPr>
                <w:rFonts w:cs="Times New Roman"/>
              </w:rPr>
            </w:pPr>
            <w:r w:rsidRPr="004624D3">
              <w:rPr>
                <w:rFonts w:cs="Times New Roman"/>
              </w:rPr>
              <w:t>No</w:t>
            </w:r>
          </w:p>
        </w:tc>
        <w:tc>
          <w:tcPr>
            <w:tcW w:w="3144" w:type="dxa"/>
          </w:tcPr>
          <w:p w14:paraId="4AD61BD4" w14:textId="77777777" w:rsidR="00690754" w:rsidRPr="004624D3" w:rsidRDefault="00690754" w:rsidP="00690754">
            <w:pPr>
              <w:spacing w:line="276" w:lineRule="auto"/>
              <w:jc w:val="both"/>
              <w:rPr>
                <w:rFonts w:cs="Times New Roman"/>
              </w:rPr>
            </w:pPr>
            <w:r w:rsidRPr="004624D3">
              <w:rPr>
                <w:rFonts w:cs="Times New Roman"/>
              </w:rPr>
              <w:t>Stopped caring</w:t>
            </w:r>
          </w:p>
        </w:tc>
        <w:tc>
          <w:tcPr>
            <w:tcW w:w="1661" w:type="dxa"/>
            <w:shd w:val="clear" w:color="auto" w:fill="auto"/>
            <w:vAlign w:val="center"/>
          </w:tcPr>
          <w:p w14:paraId="12F67919" w14:textId="77777777" w:rsidR="00690754" w:rsidRPr="004624D3" w:rsidRDefault="00690754" w:rsidP="00690754">
            <w:pPr>
              <w:spacing w:line="276" w:lineRule="auto"/>
              <w:jc w:val="right"/>
              <w:rPr>
                <w:rFonts w:cs="Times New Roman"/>
              </w:rPr>
            </w:pPr>
            <w:r w:rsidRPr="004624D3">
              <w:rPr>
                <w:rFonts w:ascii="Calibri" w:hAnsi="Calibri"/>
                <w:i/>
                <w:iCs/>
                <w:color w:val="000000"/>
              </w:rPr>
              <w:t>2.6</w:t>
            </w:r>
          </w:p>
        </w:tc>
      </w:tr>
      <w:tr w:rsidR="00690754" w:rsidRPr="004624D3" w14:paraId="2E2E1445" w14:textId="77777777" w:rsidTr="00DD1FF7">
        <w:tc>
          <w:tcPr>
            <w:tcW w:w="863" w:type="dxa"/>
            <w:tcBorders>
              <w:bottom w:val="single" w:sz="4" w:space="0" w:color="auto"/>
            </w:tcBorders>
          </w:tcPr>
          <w:p w14:paraId="0312886D" w14:textId="77777777" w:rsidR="00690754" w:rsidRPr="004624D3" w:rsidRDefault="00690754" w:rsidP="00690754">
            <w:pPr>
              <w:spacing w:line="276" w:lineRule="auto"/>
              <w:jc w:val="both"/>
              <w:rPr>
                <w:rFonts w:cs="Times New Roman"/>
              </w:rPr>
            </w:pPr>
            <w:r w:rsidRPr="004624D3">
              <w:rPr>
                <w:rFonts w:cs="Times New Roman"/>
              </w:rPr>
              <w:t>No</w:t>
            </w:r>
          </w:p>
        </w:tc>
        <w:tc>
          <w:tcPr>
            <w:tcW w:w="923" w:type="dxa"/>
            <w:tcBorders>
              <w:bottom w:val="single" w:sz="4" w:space="0" w:color="auto"/>
            </w:tcBorders>
          </w:tcPr>
          <w:p w14:paraId="7908774A" w14:textId="77777777" w:rsidR="00690754" w:rsidRPr="004624D3" w:rsidRDefault="00690754" w:rsidP="00690754">
            <w:pPr>
              <w:spacing w:line="276" w:lineRule="auto"/>
              <w:jc w:val="both"/>
              <w:rPr>
                <w:rFonts w:cs="Times New Roman"/>
              </w:rPr>
            </w:pPr>
            <w:r w:rsidRPr="004624D3">
              <w:rPr>
                <w:rFonts w:cs="Times New Roman"/>
              </w:rPr>
              <w:t>No</w:t>
            </w:r>
          </w:p>
        </w:tc>
        <w:tc>
          <w:tcPr>
            <w:tcW w:w="922" w:type="dxa"/>
            <w:tcBorders>
              <w:bottom w:val="single" w:sz="4" w:space="0" w:color="auto"/>
            </w:tcBorders>
          </w:tcPr>
          <w:p w14:paraId="54D54CD7" w14:textId="77777777" w:rsidR="00690754" w:rsidRPr="004624D3" w:rsidRDefault="00690754" w:rsidP="00690754">
            <w:pPr>
              <w:spacing w:line="276" w:lineRule="auto"/>
              <w:jc w:val="both"/>
              <w:rPr>
                <w:rFonts w:cs="Times New Roman"/>
              </w:rPr>
            </w:pPr>
            <w:r w:rsidRPr="004624D3">
              <w:rPr>
                <w:rFonts w:cs="Times New Roman"/>
              </w:rPr>
              <w:t>No</w:t>
            </w:r>
          </w:p>
        </w:tc>
        <w:tc>
          <w:tcPr>
            <w:tcW w:w="3144" w:type="dxa"/>
            <w:tcBorders>
              <w:bottom w:val="single" w:sz="4" w:space="0" w:color="auto"/>
            </w:tcBorders>
          </w:tcPr>
          <w:p w14:paraId="15F1C7B9" w14:textId="77777777" w:rsidR="00690754" w:rsidRPr="004624D3" w:rsidRDefault="00690754" w:rsidP="00690754">
            <w:pPr>
              <w:spacing w:line="276" w:lineRule="auto"/>
              <w:jc w:val="both"/>
              <w:rPr>
                <w:rFonts w:cs="Times New Roman"/>
              </w:rPr>
            </w:pPr>
            <w:r w:rsidRPr="004624D3">
              <w:rPr>
                <w:rFonts w:cs="Times New Roman"/>
              </w:rPr>
              <w:t>No caring</w:t>
            </w:r>
          </w:p>
        </w:tc>
        <w:tc>
          <w:tcPr>
            <w:tcW w:w="1661" w:type="dxa"/>
            <w:tcBorders>
              <w:bottom w:val="single" w:sz="4" w:space="0" w:color="auto"/>
            </w:tcBorders>
            <w:shd w:val="clear" w:color="auto" w:fill="auto"/>
            <w:vAlign w:val="center"/>
          </w:tcPr>
          <w:p w14:paraId="7787C218" w14:textId="77777777" w:rsidR="00690754" w:rsidRPr="004624D3" w:rsidRDefault="00690754" w:rsidP="00690754">
            <w:pPr>
              <w:spacing w:line="276" w:lineRule="auto"/>
              <w:jc w:val="right"/>
              <w:rPr>
                <w:rFonts w:cs="Times New Roman"/>
              </w:rPr>
            </w:pPr>
            <w:r w:rsidRPr="004624D3">
              <w:rPr>
                <w:rFonts w:ascii="Calibri" w:hAnsi="Calibri"/>
                <w:i/>
                <w:iCs/>
                <w:color w:val="000000"/>
              </w:rPr>
              <w:t>27.3</w:t>
            </w:r>
          </w:p>
        </w:tc>
      </w:tr>
      <w:tr w:rsidR="00690754" w:rsidRPr="004624D3" w14:paraId="722A66FA" w14:textId="77777777" w:rsidTr="00DD1FF7">
        <w:tc>
          <w:tcPr>
            <w:tcW w:w="863" w:type="dxa"/>
            <w:tcBorders>
              <w:top w:val="single" w:sz="4" w:space="0" w:color="auto"/>
            </w:tcBorders>
          </w:tcPr>
          <w:p w14:paraId="38CC7727" w14:textId="77777777" w:rsidR="00690754" w:rsidRPr="004624D3" w:rsidRDefault="00690754" w:rsidP="00690754">
            <w:pPr>
              <w:spacing w:line="276" w:lineRule="auto"/>
              <w:jc w:val="both"/>
              <w:rPr>
                <w:rFonts w:cs="Times New Roman"/>
              </w:rPr>
            </w:pPr>
          </w:p>
        </w:tc>
        <w:tc>
          <w:tcPr>
            <w:tcW w:w="923" w:type="dxa"/>
            <w:tcBorders>
              <w:top w:val="single" w:sz="4" w:space="0" w:color="auto"/>
            </w:tcBorders>
          </w:tcPr>
          <w:p w14:paraId="1703F613" w14:textId="77777777" w:rsidR="00690754" w:rsidRPr="004624D3" w:rsidRDefault="00690754" w:rsidP="00690754">
            <w:pPr>
              <w:spacing w:line="276" w:lineRule="auto"/>
              <w:jc w:val="both"/>
              <w:rPr>
                <w:rFonts w:cs="Times New Roman"/>
              </w:rPr>
            </w:pPr>
          </w:p>
        </w:tc>
        <w:tc>
          <w:tcPr>
            <w:tcW w:w="922" w:type="dxa"/>
            <w:tcBorders>
              <w:top w:val="single" w:sz="4" w:space="0" w:color="auto"/>
            </w:tcBorders>
          </w:tcPr>
          <w:p w14:paraId="0E0407C1" w14:textId="77777777" w:rsidR="00690754" w:rsidRPr="004624D3" w:rsidRDefault="00690754" w:rsidP="00690754">
            <w:pPr>
              <w:spacing w:line="276" w:lineRule="auto"/>
              <w:jc w:val="both"/>
              <w:rPr>
                <w:rFonts w:cs="Times New Roman"/>
              </w:rPr>
            </w:pPr>
          </w:p>
        </w:tc>
        <w:tc>
          <w:tcPr>
            <w:tcW w:w="3144" w:type="dxa"/>
            <w:tcBorders>
              <w:top w:val="single" w:sz="4" w:space="0" w:color="auto"/>
            </w:tcBorders>
          </w:tcPr>
          <w:p w14:paraId="4BAA2A37" w14:textId="77777777" w:rsidR="00690754" w:rsidRPr="004624D3" w:rsidRDefault="00690754" w:rsidP="00690754">
            <w:pPr>
              <w:spacing w:line="276" w:lineRule="auto"/>
              <w:jc w:val="both"/>
              <w:rPr>
                <w:rFonts w:cs="Times New Roman"/>
              </w:rPr>
            </w:pPr>
          </w:p>
        </w:tc>
        <w:tc>
          <w:tcPr>
            <w:tcW w:w="1661" w:type="dxa"/>
            <w:tcBorders>
              <w:top w:val="single" w:sz="4" w:space="0" w:color="auto"/>
            </w:tcBorders>
            <w:shd w:val="clear" w:color="auto" w:fill="auto"/>
            <w:vAlign w:val="center"/>
          </w:tcPr>
          <w:p w14:paraId="5A22552C" w14:textId="77777777" w:rsidR="00690754" w:rsidRPr="004624D3" w:rsidRDefault="00690754" w:rsidP="00690754">
            <w:pPr>
              <w:spacing w:line="276" w:lineRule="auto"/>
              <w:jc w:val="right"/>
              <w:rPr>
                <w:rFonts w:cs="Times New Roman"/>
              </w:rPr>
            </w:pPr>
            <w:r w:rsidRPr="004624D3">
              <w:rPr>
                <w:rFonts w:ascii="Calibri" w:hAnsi="Calibri" w:cs="Calibri"/>
                <w:color w:val="000000"/>
              </w:rPr>
              <w:t>Total N  (7,013)</w:t>
            </w:r>
          </w:p>
        </w:tc>
      </w:tr>
    </w:tbl>
    <w:p w14:paraId="1CF41806" w14:textId="506D3D17" w:rsidR="00FF490C" w:rsidRPr="004624D3" w:rsidRDefault="00FF490C" w:rsidP="00690754">
      <w:pPr>
        <w:spacing w:after="0" w:line="480" w:lineRule="auto"/>
        <w:jc w:val="both"/>
        <w:rPr>
          <w:rFonts w:cs="Times New Roman"/>
        </w:rPr>
      </w:pPr>
      <w:r w:rsidRPr="004624D3">
        <w:rPr>
          <w:rFonts w:cs="Times New Roman"/>
        </w:rPr>
        <w:t xml:space="preserve">Note: </w:t>
      </w:r>
      <w:r w:rsidR="003B6F19" w:rsidRPr="004624D3">
        <w:rPr>
          <w:rFonts w:cs="Times New Roman"/>
        </w:rPr>
        <w:t>‘</w:t>
      </w:r>
      <w:r w:rsidR="007B2B8A" w:rsidRPr="004624D3">
        <w:rPr>
          <w:rFonts w:cs="Times New Roman"/>
        </w:rPr>
        <w:t>Repeat</w:t>
      </w:r>
      <w:r w:rsidR="003B6F19" w:rsidRPr="004624D3">
        <w:rPr>
          <w:rFonts w:cs="Times New Roman"/>
        </w:rPr>
        <w:t>´</w:t>
      </w:r>
      <w:r w:rsidRPr="004624D3">
        <w:rPr>
          <w:rFonts w:cs="Times New Roman"/>
        </w:rPr>
        <w:t xml:space="preserve"> carers refers to those caring </w:t>
      </w:r>
      <w:r w:rsidR="00115824" w:rsidRPr="004624D3">
        <w:rPr>
          <w:rFonts w:cs="Times New Roman"/>
        </w:rPr>
        <w:t>at the three points of observation (ages 46, 55 &amp; 55)</w:t>
      </w:r>
    </w:p>
    <w:p w14:paraId="5FBD7789" w14:textId="0BBAEBC8" w:rsidR="00690754" w:rsidRPr="004624D3" w:rsidRDefault="00690754" w:rsidP="00690754">
      <w:pPr>
        <w:spacing w:after="0" w:line="480" w:lineRule="auto"/>
        <w:jc w:val="both"/>
        <w:rPr>
          <w:rFonts w:cs="Times New Roman"/>
        </w:rPr>
      </w:pPr>
      <w:r w:rsidRPr="004624D3">
        <w:rPr>
          <w:rFonts w:cs="Times New Roman"/>
        </w:rPr>
        <w:t>Source: Authors’ analysis of NCDS.</w:t>
      </w:r>
    </w:p>
    <w:p w14:paraId="3F11D52D" w14:textId="77777777" w:rsidR="00690754" w:rsidRPr="004624D3" w:rsidRDefault="00690754">
      <w:pPr>
        <w:rPr>
          <w:rFonts w:eastAsia="Times New Roman" w:cs="Times New Roman"/>
          <w:bCs/>
          <w:color w:val="000000"/>
        </w:rPr>
      </w:pPr>
      <w:r w:rsidRPr="004624D3">
        <w:rPr>
          <w:rFonts w:eastAsia="Times New Roman" w:cs="Times New Roman"/>
          <w:bCs/>
          <w:color w:val="000000"/>
        </w:rPr>
        <w:br w:type="page"/>
      </w:r>
    </w:p>
    <w:p w14:paraId="2A2BFE82" w14:textId="5EFD6E4A" w:rsidR="00690754" w:rsidRPr="004624D3" w:rsidRDefault="00690754" w:rsidP="00690754">
      <w:pPr>
        <w:spacing w:after="0" w:line="480" w:lineRule="auto"/>
      </w:pPr>
      <w:r w:rsidRPr="004624D3">
        <w:lastRenderedPageBreak/>
        <w:t xml:space="preserve">Figure 1: Percentage of </w:t>
      </w:r>
      <w:r w:rsidR="00CB6D25" w:rsidRPr="004624D3">
        <w:t>individuals providing care</w:t>
      </w:r>
      <w:r w:rsidRPr="004624D3">
        <w:t xml:space="preserve"> in each wave, by </w:t>
      </w:r>
      <w:r w:rsidR="003C4AEC" w:rsidRPr="004624D3">
        <w:t xml:space="preserve">wave (respondents’ age), </w:t>
      </w:r>
      <w:r w:rsidRPr="004624D3">
        <w:t>gender</w:t>
      </w:r>
      <w:r w:rsidR="003C4AEC" w:rsidRPr="004624D3">
        <w:t xml:space="preserve"> and</w:t>
      </w:r>
      <w:r w:rsidRPr="004624D3">
        <w:t xml:space="preserve"> intensity of caring</w:t>
      </w:r>
      <w:r w:rsidR="003C4AEC" w:rsidRPr="004624D3">
        <w:t>.</w:t>
      </w:r>
    </w:p>
    <w:p w14:paraId="59AB01CC" w14:textId="77777777" w:rsidR="00690754" w:rsidRPr="004624D3" w:rsidRDefault="00690754" w:rsidP="00690754">
      <w:pPr>
        <w:spacing w:after="0" w:line="480" w:lineRule="auto"/>
        <w:jc w:val="center"/>
      </w:pPr>
      <w:r w:rsidRPr="004624D3">
        <w:rPr>
          <w:noProof/>
        </w:rPr>
        <w:drawing>
          <wp:inline distT="0" distB="0" distL="0" distR="0" wp14:anchorId="5418CA15" wp14:editId="560D74CC">
            <wp:extent cx="4572000" cy="2828925"/>
            <wp:effectExtent l="0" t="0" r="0" b="9525"/>
            <wp:docPr id="1" name="Gráfico 1">
              <a:extLst xmlns:a="http://schemas.openxmlformats.org/drawingml/2006/main">
                <a:ext uri="{FF2B5EF4-FFF2-40B4-BE49-F238E27FC236}">
                  <a16:creationId xmlns:a16="http://schemas.microsoft.com/office/drawing/2014/main" id="{D3C7E120-07FA-4614-8CAE-DFA89C6D68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70D7F0" w14:textId="096291CC" w:rsidR="00690754" w:rsidRPr="004624D3" w:rsidRDefault="00690754" w:rsidP="00690754">
      <w:pPr>
        <w:spacing w:after="0" w:line="480" w:lineRule="auto"/>
      </w:pPr>
      <w:r w:rsidRPr="004624D3">
        <w:t xml:space="preserve">Source: Authors’ analysis of </w:t>
      </w:r>
      <w:r w:rsidR="005776D6" w:rsidRPr="004624D3">
        <w:t xml:space="preserve">the </w:t>
      </w:r>
      <w:r w:rsidRPr="004624D3">
        <w:t>NCDS.</w:t>
      </w:r>
    </w:p>
    <w:p w14:paraId="424485DE" w14:textId="77777777" w:rsidR="00690754" w:rsidRPr="004624D3" w:rsidRDefault="00690754" w:rsidP="00690754">
      <w:pPr>
        <w:spacing w:after="0" w:line="480" w:lineRule="auto"/>
        <w:rPr>
          <w:bCs/>
        </w:rPr>
      </w:pPr>
      <w:r w:rsidRPr="004624D3">
        <w:rPr>
          <w:rFonts w:eastAsia="Times New Roman" w:cs="Times New Roman"/>
          <w:bCs/>
          <w:color w:val="000000"/>
        </w:rPr>
        <w:br w:type="page"/>
      </w:r>
      <w:r w:rsidRPr="004624D3">
        <w:rPr>
          <w:bCs/>
        </w:rPr>
        <w:lastRenderedPageBreak/>
        <w:t>Table 3. Caring trajectories between ages 46, 50 and 55, by gender (%, N).</w:t>
      </w:r>
    </w:p>
    <w:tbl>
      <w:tblPr>
        <w:tblW w:w="8298" w:type="dxa"/>
        <w:tblInd w:w="70" w:type="dxa"/>
        <w:tblCellMar>
          <w:left w:w="70" w:type="dxa"/>
          <w:right w:w="70" w:type="dxa"/>
        </w:tblCellMar>
        <w:tblLook w:val="04A0" w:firstRow="1" w:lastRow="0" w:firstColumn="1" w:lastColumn="0" w:noHBand="0" w:noVBand="1"/>
      </w:tblPr>
      <w:tblGrid>
        <w:gridCol w:w="2977"/>
        <w:gridCol w:w="929"/>
        <w:gridCol w:w="931"/>
        <w:gridCol w:w="851"/>
        <w:gridCol w:w="1613"/>
        <w:gridCol w:w="997"/>
      </w:tblGrid>
      <w:tr w:rsidR="00690754" w:rsidRPr="004624D3" w14:paraId="585C7560" w14:textId="77777777" w:rsidTr="00117A35">
        <w:trPr>
          <w:trHeight w:val="300"/>
        </w:trPr>
        <w:tc>
          <w:tcPr>
            <w:tcW w:w="2977" w:type="dxa"/>
            <w:tcBorders>
              <w:top w:val="single" w:sz="4" w:space="0" w:color="auto"/>
              <w:left w:val="nil"/>
              <w:bottom w:val="nil"/>
              <w:right w:val="nil"/>
            </w:tcBorders>
            <w:shd w:val="clear" w:color="auto" w:fill="auto"/>
            <w:noWrap/>
            <w:vAlign w:val="bottom"/>
            <w:hideMark/>
          </w:tcPr>
          <w:p w14:paraId="59D06166" w14:textId="77777777" w:rsidR="00690754" w:rsidRPr="004624D3" w:rsidRDefault="00690754" w:rsidP="00690754">
            <w:pPr>
              <w:spacing w:after="0" w:line="276" w:lineRule="auto"/>
              <w:rPr>
                <w:rFonts w:ascii="Calibri" w:eastAsia="Times New Roman" w:hAnsi="Calibri" w:cs="Calibri"/>
                <w:bCs/>
                <w:color w:val="FF0000"/>
                <w:lang w:eastAsia="es-ES"/>
              </w:rPr>
            </w:pPr>
            <w:r w:rsidRPr="004624D3">
              <w:rPr>
                <w:rFonts w:ascii="Calibri" w:eastAsia="Times New Roman" w:hAnsi="Calibri" w:cs="Calibri"/>
                <w:bCs/>
                <w:color w:val="FF0000"/>
                <w:lang w:eastAsia="es-ES"/>
              </w:rPr>
              <w:t> </w:t>
            </w:r>
          </w:p>
        </w:tc>
        <w:tc>
          <w:tcPr>
            <w:tcW w:w="929" w:type="dxa"/>
            <w:tcBorders>
              <w:top w:val="single" w:sz="4" w:space="0" w:color="auto"/>
              <w:left w:val="nil"/>
              <w:bottom w:val="nil"/>
              <w:right w:val="nil"/>
            </w:tcBorders>
            <w:shd w:val="clear" w:color="auto" w:fill="auto"/>
            <w:noWrap/>
            <w:vAlign w:val="bottom"/>
            <w:hideMark/>
          </w:tcPr>
          <w:p w14:paraId="2A357866" w14:textId="77777777" w:rsidR="00690754" w:rsidRPr="004624D3" w:rsidRDefault="00690754" w:rsidP="00690754">
            <w:pPr>
              <w:spacing w:after="0" w:line="276" w:lineRule="auto"/>
              <w:rPr>
                <w:rFonts w:ascii="Calibri" w:eastAsia="Times New Roman" w:hAnsi="Calibri" w:cs="Calibri"/>
                <w:bCs/>
                <w:color w:val="000000"/>
                <w:lang w:eastAsia="es-ES"/>
              </w:rPr>
            </w:pPr>
            <w:r w:rsidRPr="004624D3">
              <w:rPr>
                <w:rFonts w:ascii="Calibri" w:eastAsia="Times New Roman" w:hAnsi="Calibri" w:cs="Calibri"/>
                <w:bCs/>
                <w:color w:val="000000"/>
                <w:lang w:eastAsia="es-ES"/>
              </w:rPr>
              <w:t> No. of</w:t>
            </w:r>
          </w:p>
        </w:tc>
        <w:tc>
          <w:tcPr>
            <w:tcW w:w="1782" w:type="dxa"/>
            <w:gridSpan w:val="2"/>
            <w:tcBorders>
              <w:top w:val="single" w:sz="4" w:space="0" w:color="auto"/>
              <w:left w:val="nil"/>
              <w:bottom w:val="nil"/>
            </w:tcBorders>
            <w:shd w:val="clear" w:color="auto" w:fill="auto"/>
            <w:noWrap/>
            <w:vAlign w:val="bottom"/>
            <w:hideMark/>
          </w:tcPr>
          <w:p w14:paraId="60589B92" w14:textId="77777777" w:rsidR="00690754" w:rsidRPr="004624D3" w:rsidRDefault="00690754" w:rsidP="00690754">
            <w:pPr>
              <w:spacing w:after="0" w:line="276" w:lineRule="auto"/>
              <w:jc w:val="center"/>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Males</w:t>
            </w:r>
          </w:p>
        </w:tc>
        <w:tc>
          <w:tcPr>
            <w:tcW w:w="2610" w:type="dxa"/>
            <w:gridSpan w:val="2"/>
            <w:tcBorders>
              <w:top w:val="single" w:sz="4" w:space="0" w:color="auto"/>
              <w:bottom w:val="nil"/>
              <w:right w:val="nil"/>
            </w:tcBorders>
            <w:shd w:val="clear" w:color="auto" w:fill="auto"/>
            <w:noWrap/>
            <w:vAlign w:val="bottom"/>
            <w:hideMark/>
          </w:tcPr>
          <w:p w14:paraId="42552AEC" w14:textId="1D9E70AA" w:rsidR="00690754" w:rsidRPr="004624D3" w:rsidRDefault="00F54AEE" w:rsidP="00690754">
            <w:pPr>
              <w:spacing w:after="0" w:line="276" w:lineRule="auto"/>
              <w:jc w:val="center"/>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Fe</w:t>
            </w:r>
            <w:r w:rsidR="00117A35" w:rsidRPr="004624D3">
              <w:rPr>
                <w:rFonts w:ascii="Calibri" w:eastAsia="Times New Roman" w:hAnsi="Calibri" w:cs="Calibri"/>
                <w:bCs/>
                <w:color w:val="000000"/>
                <w:lang w:val="es-ES" w:eastAsia="es-ES"/>
              </w:rPr>
              <w:t>m</w:t>
            </w:r>
            <w:r w:rsidRPr="004624D3">
              <w:rPr>
                <w:rFonts w:ascii="Calibri" w:eastAsia="Times New Roman" w:hAnsi="Calibri" w:cs="Calibri"/>
                <w:bCs/>
                <w:color w:val="000000"/>
                <w:lang w:val="es-ES" w:eastAsia="es-ES"/>
              </w:rPr>
              <w:t>ales</w:t>
            </w:r>
          </w:p>
        </w:tc>
      </w:tr>
      <w:tr w:rsidR="00690754" w:rsidRPr="004624D3" w14:paraId="1609D758" w14:textId="77777777" w:rsidTr="00117A35">
        <w:trPr>
          <w:trHeight w:val="600"/>
        </w:trPr>
        <w:tc>
          <w:tcPr>
            <w:tcW w:w="2977" w:type="dxa"/>
            <w:tcBorders>
              <w:top w:val="nil"/>
              <w:left w:val="nil"/>
              <w:bottom w:val="single" w:sz="4" w:space="0" w:color="auto"/>
              <w:right w:val="nil"/>
            </w:tcBorders>
            <w:shd w:val="clear" w:color="auto" w:fill="auto"/>
            <w:noWrap/>
            <w:vAlign w:val="bottom"/>
            <w:hideMark/>
          </w:tcPr>
          <w:p w14:paraId="6E0FD550" w14:textId="77777777" w:rsidR="00690754" w:rsidRPr="004624D3" w:rsidRDefault="00690754" w:rsidP="00690754">
            <w:pPr>
              <w:spacing w:after="0" w:line="276" w:lineRule="auto"/>
              <w:rPr>
                <w:rFonts w:ascii="Calibri" w:eastAsia="Times New Roman" w:hAnsi="Calibri" w:cs="Calibri"/>
                <w:bCs/>
                <w:lang w:val="es-ES" w:eastAsia="es-ES"/>
              </w:rPr>
            </w:pPr>
            <w:r w:rsidRPr="004624D3">
              <w:rPr>
                <w:rFonts w:ascii="Calibri" w:eastAsia="Times New Roman" w:hAnsi="Calibri" w:cs="Calibri"/>
                <w:bCs/>
                <w:lang w:val="es-ES" w:eastAsia="es-ES"/>
              </w:rPr>
              <w:t>Caring trajectories</w:t>
            </w:r>
          </w:p>
        </w:tc>
        <w:tc>
          <w:tcPr>
            <w:tcW w:w="929" w:type="dxa"/>
            <w:tcBorders>
              <w:top w:val="nil"/>
              <w:left w:val="nil"/>
              <w:bottom w:val="single" w:sz="4" w:space="0" w:color="auto"/>
              <w:right w:val="nil"/>
            </w:tcBorders>
            <w:shd w:val="clear" w:color="auto" w:fill="auto"/>
            <w:vAlign w:val="bottom"/>
            <w:hideMark/>
          </w:tcPr>
          <w:p w14:paraId="70775E69" w14:textId="77777777" w:rsidR="00690754" w:rsidRPr="004624D3" w:rsidRDefault="00690754" w:rsidP="00690754">
            <w:pPr>
              <w:spacing w:after="0" w:line="276" w:lineRule="auto"/>
              <w:jc w:val="center"/>
              <w:rPr>
                <w:rFonts w:ascii="Calibri" w:eastAsia="Times New Roman" w:hAnsi="Calibri" w:cs="Calibri"/>
                <w:bCs/>
                <w:lang w:val="es-ES" w:eastAsia="es-ES"/>
              </w:rPr>
            </w:pPr>
            <w:r w:rsidRPr="004624D3">
              <w:rPr>
                <w:rFonts w:ascii="Calibri" w:eastAsia="Times New Roman" w:hAnsi="Calibri" w:cs="Calibri"/>
                <w:bCs/>
                <w:lang w:val="es-ES" w:eastAsia="es-ES"/>
              </w:rPr>
              <w:t>caring episodes</w:t>
            </w:r>
          </w:p>
        </w:tc>
        <w:tc>
          <w:tcPr>
            <w:tcW w:w="931" w:type="dxa"/>
            <w:tcBorders>
              <w:top w:val="nil"/>
              <w:left w:val="nil"/>
              <w:bottom w:val="single" w:sz="4" w:space="0" w:color="auto"/>
              <w:right w:val="nil"/>
            </w:tcBorders>
            <w:shd w:val="clear" w:color="auto" w:fill="auto"/>
            <w:noWrap/>
            <w:vAlign w:val="bottom"/>
            <w:hideMark/>
          </w:tcPr>
          <w:p w14:paraId="2E6DE831"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(N)</w:t>
            </w:r>
          </w:p>
        </w:tc>
        <w:tc>
          <w:tcPr>
            <w:tcW w:w="851" w:type="dxa"/>
            <w:tcBorders>
              <w:top w:val="nil"/>
              <w:left w:val="nil"/>
              <w:bottom w:val="single" w:sz="4" w:space="0" w:color="auto"/>
            </w:tcBorders>
            <w:shd w:val="clear" w:color="auto" w:fill="auto"/>
            <w:noWrap/>
            <w:vAlign w:val="bottom"/>
            <w:hideMark/>
          </w:tcPr>
          <w:p w14:paraId="497177FE"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Col %</w:t>
            </w:r>
          </w:p>
        </w:tc>
        <w:tc>
          <w:tcPr>
            <w:tcW w:w="1613" w:type="dxa"/>
            <w:tcBorders>
              <w:top w:val="nil"/>
              <w:bottom w:val="single" w:sz="4" w:space="0" w:color="auto"/>
              <w:right w:val="nil"/>
            </w:tcBorders>
            <w:shd w:val="clear" w:color="auto" w:fill="auto"/>
            <w:noWrap/>
            <w:vAlign w:val="bottom"/>
            <w:hideMark/>
          </w:tcPr>
          <w:p w14:paraId="21151D19"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(N)</w:t>
            </w:r>
          </w:p>
        </w:tc>
        <w:tc>
          <w:tcPr>
            <w:tcW w:w="992" w:type="dxa"/>
            <w:tcBorders>
              <w:top w:val="nil"/>
              <w:left w:val="nil"/>
              <w:bottom w:val="single" w:sz="4" w:space="0" w:color="auto"/>
              <w:right w:val="nil"/>
            </w:tcBorders>
            <w:shd w:val="clear" w:color="auto" w:fill="auto"/>
            <w:noWrap/>
            <w:vAlign w:val="bottom"/>
            <w:hideMark/>
          </w:tcPr>
          <w:p w14:paraId="420A090C"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Col %</w:t>
            </w:r>
          </w:p>
        </w:tc>
      </w:tr>
      <w:tr w:rsidR="00690754" w:rsidRPr="004624D3" w14:paraId="499B34F7" w14:textId="77777777" w:rsidTr="00117A35">
        <w:trPr>
          <w:trHeight w:val="300"/>
        </w:trPr>
        <w:tc>
          <w:tcPr>
            <w:tcW w:w="2977" w:type="dxa"/>
            <w:tcBorders>
              <w:top w:val="nil"/>
              <w:left w:val="nil"/>
              <w:bottom w:val="nil"/>
              <w:right w:val="nil"/>
            </w:tcBorders>
            <w:shd w:val="clear" w:color="auto" w:fill="auto"/>
            <w:noWrap/>
            <w:vAlign w:val="bottom"/>
            <w:hideMark/>
          </w:tcPr>
          <w:p w14:paraId="12971779" w14:textId="28B440BF"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w:t>
            </w:r>
            <w:r w:rsidR="007B2B8A" w:rsidRPr="004624D3">
              <w:rPr>
                <w:rFonts w:ascii="Calibri" w:eastAsia="Times New Roman" w:hAnsi="Calibri" w:cs="Calibri"/>
                <w:lang w:val="es-ES" w:eastAsia="es-ES"/>
              </w:rPr>
              <w:t>Repeat</w:t>
            </w:r>
            <w:r w:rsidRPr="004624D3">
              <w:rPr>
                <w:rFonts w:ascii="Calibri" w:eastAsia="Times New Roman" w:hAnsi="Calibri" w:cs="Calibri"/>
                <w:lang w:val="es-ES" w:eastAsia="es-ES"/>
              </w:rPr>
              <w:t>’ carers</w:t>
            </w:r>
          </w:p>
        </w:tc>
        <w:tc>
          <w:tcPr>
            <w:tcW w:w="929" w:type="dxa"/>
            <w:tcBorders>
              <w:top w:val="nil"/>
              <w:left w:val="nil"/>
              <w:bottom w:val="nil"/>
              <w:right w:val="nil"/>
            </w:tcBorders>
            <w:shd w:val="clear" w:color="auto" w:fill="auto"/>
            <w:noWrap/>
            <w:vAlign w:val="bottom"/>
            <w:hideMark/>
          </w:tcPr>
          <w:p w14:paraId="496C41E4" w14:textId="77777777" w:rsidR="00690754" w:rsidRPr="004624D3" w:rsidRDefault="00690754" w:rsidP="00690754">
            <w:pPr>
              <w:spacing w:after="0" w:line="276" w:lineRule="auto"/>
              <w:jc w:val="center"/>
              <w:rPr>
                <w:rFonts w:ascii="Calibri" w:eastAsia="Times New Roman" w:hAnsi="Calibri" w:cs="Calibri"/>
                <w:lang w:val="es-ES" w:eastAsia="es-ES"/>
              </w:rPr>
            </w:pPr>
            <w:r w:rsidRPr="004624D3">
              <w:rPr>
                <w:rFonts w:ascii="Calibri" w:eastAsia="Times New Roman" w:hAnsi="Calibri" w:cs="Calibri"/>
                <w:lang w:val="es-ES" w:eastAsia="es-ES"/>
              </w:rPr>
              <w:t>3</w:t>
            </w:r>
          </w:p>
        </w:tc>
        <w:tc>
          <w:tcPr>
            <w:tcW w:w="931" w:type="dxa"/>
            <w:tcBorders>
              <w:top w:val="nil"/>
              <w:left w:val="nil"/>
              <w:bottom w:val="nil"/>
              <w:right w:val="nil"/>
            </w:tcBorders>
            <w:shd w:val="clear" w:color="auto" w:fill="auto"/>
            <w:noWrap/>
            <w:vAlign w:val="bottom"/>
            <w:hideMark/>
          </w:tcPr>
          <w:p w14:paraId="5928A5D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(148)</w:t>
            </w:r>
          </w:p>
        </w:tc>
        <w:tc>
          <w:tcPr>
            <w:tcW w:w="851" w:type="dxa"/>
            <w:tcBorders>
              <w:top w:val="nil"/>
              <w:left w:val="nil"/>
              <w:bottom w:val="nil"/>
            </w:tcBorders>
            <w:shd w:val="clear" w:color="auto" w:fill="auto"/>
            <w:noWrap/>
            <w:vAlign w:val="bottom"/>
            <w:hideMark/>
          </w:tcPr>
          <w:p w14:paraId="076FE78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4.3</w:t>
            </w:r>
          </w:p>
        </w:tc>
        <w:tc>
          <w:tcPr>
            <w:tcW w:w="1613" w:type="dxa"/>
            <w:tcBorders>
              <w:top w:val="nil"/>
              <w:bottom w:val="nil"/>
              <w:right w:val="nil"/>
            </w:tcBorders>
            <w:shd w:val="clear" w:color="auto" w:fill="auto"/>
            <w:noWrap/>
            <w:vAlign w:val="bottom"/>
            <w:hideMark/>
          </w:tcPr>
          <w:p w14:paraId="6B12E50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(254)</w:t>
            </w:r>
          </w:p>
        </w:tc>
        <w:tc>
          <w:tcPr>
            <w:tcW w:w="992" w:type="dxa"/>
            <w:tcBorders>
              <w:top w:val="nil"/>
              <w:left w:val="nil"/>
              <w:bottom w:val="nil"/>
              <w:right w:val="nil"/>
            </w:tcBorders>
            <w:shd w:val="clear" w:color="auto" w:fill="auto"/>
            <w:noWrap/>
            <w:vAlign w:val="bottom"/>
            <w:hideMark/>
          </w:tcPr>
          <w:p w14:paraId="4EE8874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7.1</w:t>
            </w:r>
          </w:p>
        </w:tc>
      </w:tr>
      <w:tr w:rsidR="00690754" w:rsidRPr="004624D3" w14:paraId="379CFBE9" w14:textId="77777777" w:rsidTr="00117A35">
        <w:trPr>
          <w:trHeight w:val="300"/>
        </w:trPr>
        <w:tc>
          <w:tcPr>
            <w:tcW w:w="2977" w:type="dxa"/>
            <w:tcBorders>
              <w:top w:val="nil"/>
              <w:left w:val="nil"/>
              <w:bottom w:val="nil"/>
              <w:right w:val="nil"/>
            </w:tcBorders>
            <w:shd w:val="clear" w:color="auto" w:fill="auto"/>
            <w:noWrap/>
            <w:vAlign w:val="bottom"/>
            <w:hideMark/>
          </w:tcPr>
          <w:p w14:paraId="624BD712"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New carers</w:t>
            </w:r>
          </w:p>
        </w:tc>
        <w:tc>
          <w:tcPr>
            <w:tcW w:w="929" w:type="dxa"/>
            <w:tcBorders>
              <w:top w:val="nil"/>
              <w:left w:val="nil"/>
              <w:bottom w:val="nil"/>
              <w:right w:val="nil"/>
            </w:tcBorders>
            <w:shd w:val="clear" w:color="auto" w:fill="auto"/>
            <w:noWrap/>
            <w:vAlign w:val="bottom"/>
            <w:hideMark/>
          </w:tcPr>
          <w:p w14:paraId="1286CA99" w14:textId="77777777" w:rsidR="00690754" w:rsidRPr="004624D3" w:rsidRDefault="00690754" w:rsidP="00690754">
            <w:pPr>
              <w:spacing w:after="0" w:line="276" w:lineRule="auto"/>
              <w:jc w:val="center"/>
              <w:rPr>
                <w:rFonts w:ascii="Calibri" w:eastAsia="Times New Roman" w:hAnsi="Calibri" w:cs="Calibri"/>
                <w:lang w:val="es-ES" w:eastAsia="es-ES"/>
              </w:rPr>
            </w:pPr>
            <w:r w:rsidRPr="004624D3">
              <w:rPr>
                <w:rFonts w:ascii="Calibri" w:eastAsia="Times New Roman" w:hAnsi="Calibri" w:cs="Calibri"/>
                <w:lang w:val="es-ES" w:eastAsia="es-ES"/>
              </w:rPr>
              <w:t>1 - 2</w:t>
            </w:r>
          </w:p>
        </w:tc>
        <w:tc>
          <w:tcPr>
            <w:tcW w:w="931" w:type="dxa"/>
            <w:tcBorders>
              <w:top w:val="nil"/>
              <w:left w:val="nil"/>
              <w:bottom w:val="nil"/>
              <w:right w:val="nil"/>
            </w:tcBorders>
            <w:shd w:val="clear" w:color="auto" w:fill="auto"/>
            <w:noWrap/>
            <w:vAlign w:val="bottom"/>
            <w:hideMark/>
          </w:tcPr>
          <w:p w14:paraId="5817092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(1,770)</w:t>
            </w:r>
          </w:p>
        </w:tc>
        <w:tc>
          <w:tcPr>
            <w:tcW w:w="851" w:type="dxa"/>
            <w:tcBorders>
              <w:top w:val="nil"/>
              <w:left w:val="nil"/>
              <w:bottom w:val="nil"/>
            </w:tcBorders>
            <w:shd w:val="clear" w:color="auto" w:fill="auto"/>
            <w:noWrap/>
            <w:vAlign w:val="bottom"/>
            <w:hideMark/>
          </w:tcPr>
          <w:p w14:paraId="06C5FDA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51.7</w:t>
            </w:r>
          </w:p>
        </w:tc>
        <w:tc>
          <w:tcPr>
            <w:tcW w:w="1613" w:type="dxa"/>
            <w:tcBorders>
              <w:top w:val="nil"/>
              <w:bottom w:val="nil"/>
              <w:right w:val="nil"/>
            </w:tcBorders>
            <w:shd w:val="clear" w:color="auto" w:fill="auto"/>
            <w:noWrap/>
            <w:vAlign w:val="bottom"/>
            <w:hideMark/>
          </w:tcPr>
          <w:p w14:paraId="74A087C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(1,457)</w:t>
            </w:r>
          </w:p>
        </w:tc>
        <w:tc>
          <w:tcPr>
            <w:tcW w:w="992" w:type="dxa"/>
            <w:tcBorders>
              <w:top w:val="nil"/>
              <w:left w:val="nil"/>
              <w:bottom w:val="nil"/>
              <w:right w:val="nil"/>
            </w:tcBorders>
            <w:shd w:val="clear" w:color="auto" w:fill="auto"/>
            <w:noWrap/>
            <w:vAlign w:val="bottom"/>
            <w:hideMark/>
          </w:tcPr>
          <w:p w14:paraId="4D86635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40.6</w:t>
            </w:r>
          </w:p>
        </w:tc>
      </w:tr>
      <w:tr w:rsidR="00690754" w:rsidRPr="004624D3" w14:paraId="47701924" w14:textId="77777777" w:rsidTr="00117A35">
        <w:trPr>
          <w:trHeight w:val="300"/>
        </w:trPr>
        <w:tc>
          <w:tcPr>
            <w:tcW w:w="2977" w:type="dxa"/>
            <w:tcBorders>
              <w:top w:val="nil"/>
              <w:left w:val="nil"/>
              <w:bottom w:val="nil"/>
              <w:right w:val="nil"/>
            </w:tcBorders>
            <w:shd w:val="clear" w:color="auto" w:fill="auto"/>
            <w:noWrap/>
            <w:vAlign w:val="bottom"/>
            <w:hideMark/>
          </w:tcPr>
          <w:p w14:paraId="1C78D930"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Sporadic/ intermittent carers</w:t>
            </w:r>
          </w:p>
        </w:tc>
        <w:tc>
          <w:tcPr>
            <w:tcW w:w="929" w:type="dxa"/>
            <w:tcBorders>
              <w:top w:val="nil"/>
              <w:left w:val="nil"/>
              <w:bottom w:val="nil"/>
              <w:right w:val="nil"/>
            </w:tcBorders>
            <w:shd w:val="clear" w:color="auto" w:fill="auto"/>
            <w:noWrap/>
            <w:vAlign w:val="bottom"/>
            <w:hideMark/>
          </w:tcPr>
          <w:p w14:paraId="6330BB1C" w14:textId="77777777" w:rsidR="00690754" w:rsidRPr="004624D3" w:rsidRDefault="00690754" w:rsidP="00690754">
            <w:pPr>
              <w:spacing w:after="0" w:line="276" w:lineRule="auto"/>
              <w:jc w:val="center"/>
              <w:rPr>
                <w:rFonts w:ascii="Calibri" w:eastAsia="Times New Roman" w:hAnsi="Calibri" w:cs="Calibri"/>
                <w:lang w:val="es-ES" w:eastAsia="es-ES"/>
              </w:rPr>
            </w:pPr>
            <w:r w:rsidRPr="004624D3">
              <w:rPr>
                <w:rFonts w:ascii="Calibri" w:eastAsia="Times New Roman" w:hAnsi="Calibri" w:cs="Calibri"/>
                <w:lang w:val="es-ES" w:eastAsia="es-ES"/>
              </w:rPr>
              <w:t>1 - 2</w:t>
            </w:r>
          </w:p>
        </w:tc>
        <w:tc>
          <w:tcPr>
            <w:tcW w:w="931" w:type="dxa"/>
            <w:tcBorders>
              <w:top w:val="nil"/>
              <w:left w:val="nil"/>
              <w:bottom w:val="nil"/>
              <w:right w:val="nil"/>
            </w:tcBorders>
            <w:shd w:val="clear" w:color="auto" w:fill="auto"/>
            <w:noWrap/>
            <w:vAlign w:val="bottom"/>
            <w:hideMark/>
          </w:tcPr>
          <w:p w14:paraId="5F87159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(510)</w:t>
            </w:r>
          </w:p>
        </w:tc>
        <w:tc>
          <w:tcPr>
            <w:tcW w:w="851" w:type="dxa"/>
            <w:tcBorders>
              <w:top w:val="nil"/>
              <w:left w:val="nil"/>
              <w:bottom w:val="nil"/>
            </w:tcBorders>
            <w:shd w:val="clear" w:color="auto" w:fill="auto"/>
            <w:noWrap/>
            <w:vAlign w:val="bottom"/>
            <w:hideMark/>
          </w:tcPr>
          <w:p w14:paraId="5C54E5D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14.9</w:t>
            </w:r>
          </w:p>
        </w:tc>
        <w:tc>
          <w:tcPr>
            <w:tcW w:w="1613" w:type="dxa"/>
            <w:tcBorders>
              <w:top w:val="nil"/>
              <w:bottom w:val="nil"/>
              <w:right w:val="nil"/>
            </w:tcBorders>
            <w:shd w:val="clear" w:color="auto" w:fill="auto"/>
            <w:noWrap/>
            <w:vAlign w:val="bottom"/>
            <w:hideMark/>
          </w:tcPr>
          <w:p w14:paraId="4002B06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(552)</w:t>
            </w:r>
          </w:p>
        </w:tc>
        <w:tc>
          <w:tcPr>
            <w:tcW w:w="992" w:type="dxa"/>
            <w:tcBorders>
              <w:top w:val="nil"/>
              <w:left w:val="nil"/>
              <w:bottom w:val="nil"/>
              <w:right w:val="nil"/>
            </w:tcBorders>
            <w:shd w:val="clear" w:color="auto" w:fill="auto"/>
            <w:noWrap/>
            <w:vAlign w:val="bottom"/>
            <w:hideMark/>
          </w:tcPr>
          <w:p w14:paraId="4236B2A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15.4</w:t>
            </w:r>
          </w:p>
        </w:tc>
      </w:tr>
      <w:tr w:rsidR="00690754" w:rsidRPr="004624D3" w14:paraId="6444A76A" w14:textId="77777777" w:rsidTr="00117A35">
        <w:trPr>
          <w:trHeight w:val="300"/>
        </w:trPr>
        <w:tc>
          <w:tcPr>
            <w:tcW w:w="2977" w:type="dxa"/>
            <w:tcBorders>
              <w:top w:val="nil"/>
              <w:left w:val="nil"/>
              <w:bottom w:val="nil"/>
              <w:right w:val="nil"/>
            </w:tcBorders>
            <w:shd w:val="clear" w:color="auto" w:fill="auto"/>
            <w:noWrap/>
            <w:vAlign w:val="bottom"/>
            <w:hideMark/>
          </w:tcPr>
          <w:p w14:paraId="32815292"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Stopped caring</w:t>
            </w:r>
          </w:p>
        </w:tc>
        <w:tc>
          <w:tcPr>
            <w:tcW w:w="929" w:type="dxa"/>
            <w:tcBorders>
              <w:top w:val="nil"/>
              <w:left w:val="nil"/>
              <w:bottom w:val="nil"/>
              <w:right w:val="nil"/>
            </w:tcBorders>
            <w:shd w:val="clear" w:color="auto" w:fill="auto"/>
            <w:noWrap/>
            <w:vAlign w:val="bottom"/>
            <w:hideMark/>
          </w:tcPr>
          <w:p w14:paraId="2649725F" w14:textId="77777777" w:rsidR="00690754" w:rsidRPr="004624D3" w:rsidRDefault="00690754" w:rsidP="00690754">
            <w:pPr>
              <w:spacing w:after="0" w:line="276" w:lineRule="auto"/>
              <w:jc w:val="center"/>
              <w:rPr>
                <w:rFonts w:ascii="Calibri" w:eastAsia="Times New Roman" w:hAnsi="Calibri" w:cs="Calibri"/>
                <w:lang w:val="es-ES" w:eastAsia="es-ES"/>
              </w:rPr>
            </w:pPr>
            <w:r w:rsidRPr="004624D3">
              <w:rPr>
                <w:rFonts w:ascii="Calibri" w:eastAsia="Times New Roman" w:hAnsi="Calibri" w:cs="Calibri"/>
                <w:lang w:val="es-ES" w:eastAsia="es-ES"/>
              </w:rPr>
              <w:t>1 - 2</w:t>
            </w:r>
          </w:p>
        </w:tc>
        <w:tc>
          <w:tcPr>
            <w:tcW w:w="931" w:type="dxa"/>
            <w:tcBorders>
              <w:top w:val="nil"/>
              <w:left w:val="nil"/>
              <w:bottom w:val="nil"/>
              <w:right w:val="nil"/>
            </w:tcBorders>
            <w:shd w:val="clear" w:color="auto" w:fill="auto"/>
            <w:noWrap/>
            <w:vAlign w:val="bottom"/>
            <w:hideMark/>
          </w:tcPr>
          <w:p w14:paraId="6AB57D5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(137)</w:t>
            </w:r>
          </w:p>
        </w:tc>
        <w:tc>
          <w:tcPr>
            <w:tcW w:w="851" w:type="dxa"/>
            <w:tcBorders>
              <w:top w:val="nil"/>
              <w:left w:val="nil"/>
              <w:bottom w:val="nil"/>
            </w:tcBorders>
            <w:shd w:val="clear" w:color="auto" w:fill="auto"/>
            <w:noWrap/>
            <w:vAlign w:val="bottom"/>
            <w:hideMark/>
          </w:tcPr>
          <w:p w14:paraId="4F96D38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4.0</w:t>
            </w:r>
          </w:p>
        </w:tc>
        <w:tc>
          <w:tcPr>
            <w:tcW w:w="1613" w:type="dxa"/>
            <w:tcBorders>
              <w:top w:val="nil"/>
              <w:bottom w:val="nil"/>
              <w:right w:val="nil"/>
            </w:tcBorders>
            <w:shd w:val="clear" w:color="auto" w:fill="auto"/>
            <w:noWrap/>
            <w:vAlign w:val="bottom"/>
            <w:hideMark/>
          </w:tcPr>
          <w:p w14:paraId="683E39E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(274)</w:t>
            </w:r>
          </w:p>
        </w:tc>
        <w:tc>
          <w:tcPr>
            <w:tcW w:w="992" w:type="dxa"/>
            <w:tcBorders>
              <w:top w:val="nil"/>
              <w:left w:val="nil"/>
              <w:bottom w:val="nil"/>
              <w:right w:val="nil"/>
            </w:tcBorders>
            <w:shd w:val="clear" w:color="auto" w:fill="auto"/>
            <w:noWrap/>
            <w:vAlign w:val="bottom"/>
            <w:hideMark/>
          </w:tcPr>
          <w:p w14:paraId="3640854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7.6</w:t>
            </w:r>
          </w:p>
        </w:tc>
      </w:tr>
      <w:tr w:rsidR="00690754" w:rsidRPr="004624D3" w14:paraId="12732390" w14:textId="77777777" w:rsidTr="00117A35">
        <w:trPr>
          <w:trHeight w:val="300"/>
        </w:trPr>
        <w:tc>
          <w:tcPr>
            <w:tcW w:w="2977" w:type="dxa"/>
            <w:tcBorders>
              <w:top w:val="nil"/>
              <w:left w:val="nil"/>
              <w:bottom w:val="nil"/>
              <w:right w:val="nil"/>
            </w:tcBorders>
            <w:shd w:val="clear" w:color="auto" w:fill="auto"/>
            <w:noWrap/>
            <w:vAlign w:val="bottom"/>
            <w:hideMark/>
          </w:tcPr>
          <w:p w14:paraId="38D76C11" w14:textId="5E511A15"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w:t>
            </w:r>
            <w:r w:rsidR="007B2B8A" w:rsidRPr="004624D3">
              <w:rPr>
                <w:rFonts w:ascii="Calibri" w:eastAsia="Times New Roman" w:hAnsi="Calibri" w:cs="Calibri"/>
                <w:lang w:val="es-ES" w:eastAsia="es-ES"/>
              </w:rPr>
              <w:t>Repeat</w:t>
            </w:r>
            <w:r w:rsidRPr="004624D3">
              <w:rPr>
                <w:rFonts w:ascii="Calibri" w:eastAsia="Times New Roman" w:hAnsi="Calibri" w:cs="Calibri"/>
                <w:lang w:val="es-ES" w:eastAsia="es-ES"/>
              </w:rPr>
              <w:t>’ non</w:t>
            </w:r>
            <w:r w:rsidR="00035016">
              <w:rPr>
                <w:rFonts w:ascii="Calibri" w:eastAsia="Times New Roman" w:hAnsi="Calibri" w:cs="Calibri"/>
                <w:lang w:val="es-ES" w:eastAsia="es-ES"/>
              </w:rPr>
              <w:t>-</w:t>
            </w:r>
            <w:r w:rsidRPr="004624D3">
              <w:rPr>
                <w:rFonts w:ascii="Calibri" w:eastAsia="Times New Roman" w:hAnsi="Calibri" w:cs="Calibri"/>
                <w:lang w:val="es-ES" w:eastAsia="es-ES"/>
              </w:rPr>
              <w:t>carers</w:t>
            </w:r>
          </w:p>
        </w:tc>
        <w:tc>
          <w:tcPr>
            <w:tcW w:w="929" w:type="dxa"/>
            <w:tcBorders>
              <w:top w:val="nil"/>
              <w:left w:val="nil"/>
              <w:bottom w:val="nil"/>
              <w:right w:val="nil"/>
            </w:tcBorders>
            <w:shd w:val="clear" w:color="auto" w:fill="auto"/>
            <w:noWrap/>
            <w:vAlign w:val="bottom"/>
            <w:hideMark/>
          </w:tcPr>
          <w:p w14:paraId="3B59AADB" w14:textId="77777777" w:rsidR="00690754" w:rsidRPr="004624D3" w:rsidRDefault="00690754" w:rsidP="00690754">
            <w:pPr>
              <w:spacing w:after="0" w:line="276" w:lineRule="auto"/>
              <w:jc w:val="center"/>
              <w:rPr>
                <w:rFonts w:ascii="Calibri" w:eastAsia="Times New Roman" w:hAnsi="Calibri" w:cs="Calibri"/>
                <w:lang w:val="es-ES" w:eastAsia="es-ES"/>
              </w:rPr>
            </w:pPr>
            <w:r w:rsidRPr="004624D3">
              <w:rPr>
                <w:rFonts w:ascii="Calibri" w:eastAsia="Times New Roman" w:hAnsi="Calibri" w:cs="Calibri"/>
                <w:lang w:val="es-ES" w:eastAsia="es-ES"/>
              </w:rPr>
              <w:t>0</w:t>
            </w:r>
          </w:p>
        </w:tc>
        <w:tc>
          <w:tcPr>
            <w:tcW w:w="931" w:type="dxa"/>
            <w:tcBorders>
              <w:top w:val="nil"/>
              <w:left w:val="nil"/>
              <w:bottom w:val="nil"/>
              <w:right w:val="nil"/>
            </w:tcBorders>
            <w:shd w:val="clear" w:color="auto" w:fill="auto"/>
            <w:noWrap/>
            <w:vAlign w:val="bottom"/>
            <w:hideMark/>
          </w:tcPr>
          <w:p w14:paraId="79FC75D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(857)</w:t>
            </w:r>
          </w:p>
        </w:tc>
        <w:tc>
          <w:tcPr>
            <w:tcW w:w="851" w:type="dxa"/>
            <w:tcBorders>
              <w:top w:val="nil"/>
              <w:left w:val="nil"/>
              <w:bottom w:val="nil"/>
            </w:tcBorders>
            <w:shd w:val="clear" w:color="auto" w:fill="auto"/>
            <w:noWrap/>
            <w:vAlign w:val="bottom"/>
            <w:hideMark/>
          </w:tcPr>
          <w:p w14:paraId="6542851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25.0</w:t>
            </w:r>
          </w:p>
        </w:tc>
        <w:tc>
          <w:tcPr>
            <w:tcW w:w="1613" w:type="dxa"/>
            <w:tcBorders>
              <w:top w:val="nil"/>
              <w:bottom w:val="nil"/>
              <w:right w:val="nil"/>
            </w:tcBorders>
            <w:shd w:val="clear" w:color="auto" w:fill="auto"/>
            <w:noWrap/>
            <w:vAlign w:val="bottom"/>
            <w:hideMark/>
          </w:tcPr>
          <w:p w14:paraId="43F97DA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(1,054)</w:t>
            </w:r>
          </w:p>
        </w:tc>
        <w:tc>
          <w:tcPr>
            <w:tcW w:w="992" w:type="dxa"/>
            <w:tcBorders>
              <w:top w:val="nil"/>
              <w:left w:val="nil"/>
              <w:bottom w:val="nil"/>
              <w:right w:val="nil"/>
            </w:tcBorders>
            <w:shd w:val="clear" w:color="auto" w:fill="auto"/>
            <w:noWrap/>
            <w:vAlign w:val="bottom"/>
            <w:hideMark/>
          </w:tcPr>
          <w:p w14:paraId="5557556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29.4</w:t>
            </w:r>
          </w:p>
        </w:tc>
      </w:tr>
      <w:tr w:rsidR="00690754" w:rsidRPr="004624D3" w14:paraId="6CD3C66B" w14:textId="77777777" w:rsidTr="00117A35">
        <w:trPr>
          <w:trHeight w:val="300"/>
        </w:trPr>
        <w:tc>
          <w:tcPr>
            <w:tcW w:w="2977" w:type="dxa"/>
            <w:tcBorders>
              <w:top w:val="single" w:sz="4" w:space="0" w:color="auto"/>
              <w:left w:val="nil"/>
              <w:bottom w:val="single" w:sz="4" w:space="0" w:color="auto"/>
              <w:right w:val="nil"/>
            </w:tcBorders>
            <w:shd w:val="clear" w:color="auto" w:fill="auto"/>
            <w:noWrap/>
            <w:vAlign w:val="bottom"/>
            <w:hideMark/>
          </w:tcPr>
          <w:p w14:paraId="6627FD10"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Total N</w:t>
            </w:r>
          </w:p>
        </w:tc>
        <w:tc>
          <w:tcPr>
            <w:tcW w:w="929" w:type="dxa"/>
            <w:tcBorders>
              <w:top w:val="single" w:sz="4" w:space="0" w:color="auto"/>
              <w:left w:val="nil"/>
              <w:bottom w:val="single" w:sz="4" w:space="0" w:color="auto"/>
              <w:right w:val="nil"/>
            </w:tcBorders>
            <w:shd w:val="clear" w:color="auto" w:fill="auto"/>
            <w:noWrap/>
            <w:vAlign w:val="bottom"/>
            <w:hideMark/>
          </w:tcPr>
          <w:p w14:paraId="27244008"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w:t>
            </w:r>
          </w:p>
        </w:tc>
        <w:tc>
          <w:tcPr>
            <w:tcW w:w="931" w:type="dxa"/>
            <w:tcBorders>
              <w:top w:val="single" w:sz="4" w:space="0" w:color="auto"/>
              <w:left w:val="nil"/>
              <w:bottom w:val="single" w:sz="4" w:space="0" w:color="auto"/>
              <w:right w:val="nil"/>
            </w:tcBorders>
            <w:shd w:val="clear" w:color="auto" w:fill="auto"/>
            <w:noWrap/>
            <w:vAlign w:val="bottom"/>
            <w:hideMark/>
          </w:tcPr>
          <w:p w14:paraId="34B937F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(3,422)</w:t>
            </w:r>
          </w:p>
        </w:tc>
        <w:tc>
          <w:tcPr>
            <w:tcW w:w="851" w:type="dxa"/>
            <w:tcBorders>
              <w:top w:val="single" w:sz="4" w:space="0" w:color="auto"/>
              <w:left w:val="nil"/>
              <w:bottom w:val="single" w:sz="4" w:space="0" w:color="auto"/>
            </w:tcBorders>
            <w:shd w:val="clear" w:color="auto" w:fill="auto"/>
            <w:noWrap/>
            <w:vAlign w:val="bottom"/>
            <w:hideMark/>
          </w:tcPr>
          <w:p w14:paraId="40A5D0E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100.0</w:t>
            </w:r>
          </w:p>
        </w:tc>
        <w:tc>
          <w:tcPr>
            <w:tcW w:w="1613" w:type="dxa"/>
            <w:tcBorders>
              <w:top w:val="single" w:sz="4" w:space="0" w:color="auto"/>
              <w:bottom w:val="single" w:sz="4" w:space="0" w:color="auto"/>
              <w:right w:val="nil"/>
            </w:tcBorders>
            <w:shd w:val="clear" w:color="auto" w:fill="auto"/>
            <w:noWrap/>
            <w:vAlign w:val="bottom"/>
            <w:hideMark/>
          </w:tcPr>
          <w:p w14:paraId="344B3E2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(3,591)</w:t>
            </w:r>
          </w:p>
        </w:tc>
        <w:tc>
          <w:tcPr>
            <w:tcW w:w="992" w:type="dxa"/>
            <w:tcBorders>
              <w:top w:val="single" w:sz="4" w:space="0" w:color="auto"/>
              <w:left w:val="nil"/>
              <w:bottom w:val="single" w:sz="4" w:space="0" w:color="auto"/>
              <w:right w:val="nil"/>
            </w:tcBorders>
            <w:shd w:val="clear" w:color="auto" w:fill="auto"/>
            <w:noWrap/>
            <w:vAlign w:val="bottom"/>
            <w:hideMark/>
          </w:tcPr>
          <w:p w14:paraId="459B2B2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100.0</w:t>
            </w:r>
          </w:p>
        </w:tc>
      </w:tr>
    </w:tbl>
    <w:p w14:paraId="136FE0BF" w14:textId="77777777" w:rsidR="00690754" w:rsidRPr="004624D3" w:rsidRDefault="00690754" w:rsidP="00690754">
      <w:pPr>
        <w:spacing w:after="0" w:line="480" w:lineRule="auto"/>
      </w:pPr>
      <w:r w:rsidRPr="004624D3">
        <w:t>Source: Authors’ analysis of the NCDS.</w:t>
      </w:r>
    </w:p>
    <w:p w14:paraId="0D99CC5C" w14:textId="77777777" w:rsidR="00690754" w:rsidRPr="004624D3" w:rsidRDefault="00690754">
      <w:pPr>
        <w:rPr>
          <w:rFonts w:eastAsia="Times New Roman" w:cs="Times New Roman"/>
          <w:bCs/>
          <w:color w:val="000000"/>
        </w:rPr>
      </w:pPr>
      <w:r w:rsidRPr="004624D3">
        <w:rPr>
          <w:rFonts w:eastAsia="Times New Roman" w:cs="Times New Roman"/>
          <w:bCs/>
          <w:color w:val="000000"/>
        </w:rPr>
        <w:br w:type="page"/>
      </w:r>
    </w:p>
    <w:p w14:paraId="6041A629" w14:textId="77777777" w:rsidR="00690754" w:rsidRPr="004624D3" w:rsidRDefault="00690754" w:rsidP="00690754">
      <w:pPr>
        <w:spacing w:after="0" w:line="480" w:lineRule="auto"/>
      </w:pPr>
      <w:r w:rsidRPr="004624D3">
        <w:rPr>
          <w:bCs/>
        </w:rPr>
        <w:lastRenderedPageBreak/>
        <w:t>Table 4. Caring trajectories* by intensity at each age and gender (%, N).</w:t>
      </w:r>
    </w:p>
    <w:tbl>
      <w:tblPr>
        <w:tblW w:w="8480" w:type="dxa"/>
        <w:tblInd w:w="70" w:type="dxa"/>
        <w:tblCellMar>
          <w:left w:w="70" w:type="dxa"/>
          <w:right w:w="70" w:type="dxa"/>
        </w:tblCellMar>
        <w:tblLook w:val="04A0" w:firstRow="1" w:lastRow="0" w:firstColumn="1" w:lastColumn="0" w:noHBand="0" w:noVBand="1"/>
      </w:tblPr>
      <w:tblGrid>
        <w:gridCol w:w="1244"/>
        <w:gridCol w:w="1380"/>
        <w:gridCol w:w="1007"/>
        <w:gridCol w:w="911"/>
        <w:gridCol w:w="850"/>
        <w:gridCol w:w="1418"/>
        <w:gridCol w:w="820"/>
        <w:gridCol w:w="850"/>
      </w:tblGrid>
      <w:tr w:rsidR="00690754" w:rsidRPr="004624D3" w14:paraId="4F5B94C8" w14:textId="77777777" w:rsidTr="00117A35">
        <w:trPr>
          <w:trHeight w:val="300"/>
        </w:trPr>
        <w:tc>
          <w:tcPr>
            <w:tcW w:w="2624" w:type="dxa"/>
            <w:gridSpan w:val="2"/>
            <w:vMerge w:val="restart"/>
            <w:tcBorders>
              <w:top w:val="single" w:sz="4" w:space="0" w:color="auto"/>
              <w:left w:val="nil"/>
              <w:bottom w:val="single" w:sz="4" w:space="0" w:color="000000"/>
            </w:tcBorders>
            <w:shd w:val="clear" w:color="auto" w:fill="auto"/>
            <w:noWrap/>
            <w:vAlign w:val="center"/>
            <w:hideMark/>
          </w:tcPr>
          <w:p w14:paraId="51904A56" w14:textId="77777777" w:rsidR="00690754" w:rsidRPr="004624D3" w:rsidRDefault="00690754" w:rsidP="00690754">
            <w:pPr>
              <w:spacing w:after="0" w:line="276" w:lineRule="auto"/>
              <w:jc w:val="center"/>
              <w:rPr>
                <w:rFonts w:ascii="Calibri" w:eastAsia="Times New Roman" w:hAnsi="Calibri" w:cs="Calibri"/>
                <w:bCs/>
                <w:lang w:val="es-ES" w:eastAsia="es-ES"/>
              </w:rPr>
            </w:pPr>
            <w:r w:rsidRPr="004624D3">
              <w:rPr>
                <w:rFonts w:ascii="Calibri" w:eastAsia="Times New Roman" w:hAnsi="Calibri" w:cs="Calibri"/>
                <w:bCs/>
                <w:lang w:eastAsia="es-ES"/>
              </w:rPr>
              <w:t xml:space="preserve"> </w:t>
            </w:r>
            <w:r w:rsidRPr="004624D3">
              <w:rPr>
                <w:rFonts w:ascii="Calibri" w:eastAsia="Times New Roman" w:hAnsi="Calibri" w:cs="Calibri"/>
                <w:bCs/>
                <w:lang w:val="es-ES" w:eastAsia="es-ES"/>
              </w:rPr>
              <w:t>Caring trajectories</w:t>
            </w:r>
          </w:p>
        </w:tc>
        <w:tc>
          <w:tcPr>
            <w:tcW w:w="2768" w:type="dxa"/>
            <w:gridSpan w:val="3"/>
            <w:tcBorders>
              <w:top w:val="single" w:sz="4" w:space="0" w:color="auto"/>
              <w:bottom w:val="nil"/>
            </w:tcBorders>
            <w:shd w:val="clear" w:color="auto" w:fill="auto"/>
            <w:noWrap/>
            <w:vAlign w:val="bottom"/>
            <w:hideMark/>
          </w:tcPr>
          <w:p w14:paraId="27809E1C" w14:textId="31B5359C" w:rsidR="00690754" w:rsidRPr="004624D3" w:rsidRDefault="00690754" w:rsidP="00690754">
            <w:pPr>
              <w:spacing w:after="0" w:line="276" w:lineRule="auto"/>
              <w:jc w:val="center"/>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 xml:space="preserve">Men </w:t>
            </w:r>
          </w:p>
        </w:tc>
        <w:tc>
          <w:tcPr>
            <w:tcW w:w="3088" w:type="dxa"/>
            <w:gridSpan w:val="3"/>
            <w:tcBorders>
              <w:top w:val="single" w:sz="4" w:space="0" w:color="auto"/>
              <w:left w:val="nil"/>
              <w:bottom w:val="nil"/>
              <w:right w:val="nil"/>
            </w:tcBorders>
            <w:shd w:val="clear" w:color="auto" w:fill="auto"/>
            <w:noWrap/>
            <w:vAlign w:val="bottom"/>
            <w:hideMark/>
          </w:tcPr>
          <w:p w14:paraId="0C3E5BFC" w14:textId="6254FC54" w:rsidR="00690754" w:rsidRPr="004624D3" w:rsidRDefault="00690754" w:rsidP="00690754">
            <w:pPr>
              <w:spacing w:after="0" w:line="276" w:lineRule="auto"/>
              <w:jc w:val="center"/>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 xml:space="preserve">Women </w:t>
            </w:r>
          </w:p>
        </w:tc>
      </w:tr>
      <w:tr w:rsidR="00690754" w:rsidRPr="004624D3" w14:paraId="2141F45F" w14:textId="77777777" w:rsidTr="00117A35">
        <w:trPr>
          <w:trHeight w:val="300"/>
        </w:trPr>
        <w:tc>
          <w:tcPr>
            <w:tcW w:w="2624" w:type="dxa"/>
            <w:gridSpan w:val="2"/>
            <w:vMerge/>
            <w:tcBorders>
              <w:top w:val="single" w:sz="4" w:space="0" w:color="auto"/>
              <w:left w:val="nil"/>
              <w:bottom w:val="single" w:sz="4" w:space="0" w:color="000000"/>
            </w:tcBorders>
            <w:vAlign w:val="center"/>
            <w:hideMark/>
          </w:tcPr>
          <w:p w14:paraId="0767AC61" w14:textId="77777777" w:rsidR="00690754" w:rsidRPr="004624D3" w:rsidRDefault="00690754" w:rsidP="00690754">
            <w:pPr>
              <w:spacing w:after="0" w:line="276" w:lineRule="auto"/>
              <w:rPr>
                <w:rFonts w:ascii="Calibri" w:eastAsia="Times New Roman" w:hAnsi="Calibri" w:cs="Calibri"/>
                <w:bCs/>
                <w:lang w:val="es-ES" w:eastAsia="es-ES"/>
              </w:rPr>
            </w:pPr>
          </w:p>
        </w:tc>
        <w:tc>
          <w:tcPr>
            <w:tcW w:w="1007" w:type="dxa"/>
            <w:tcBorders>
              <w:top w:val="nil"/>
              <w:bottom w:val="single" w:sz="4" w:space="0" w:color="auto"/>
              <w:right w:val="nil"/>
            </w:tcBorders>
            <w:shd w:val="clear" w:color="auto" w:fill="auto"/>
            <w:noWrap/>
            <w:vAlign w:val="center"/>
            <w:hideMark/>
          </w:tcPr>
          <w:p w14:paraId="2F4CB20C" w14:textId="77777777" w:rsidR="00690754" w:rsidRPr="004624D3" w:rsidRDefault="00690754" w:rsidP="00690754">
            <w:pPr>
              <w:spacing w:after="0" w:line="276" w:lineRule="auto"/>
              <w:jc w:val="right"/>
              <w:rPr>
                <w:rFonts w:ascii="Calibri" w:eastAsia="Times New Roman" w:hAnsi="Calibri" w:cs="Calibri"/>
                <w:bCs/>
                <w:lang w:val="es-ES" w:eastAsia="es-ES"/>
              </w:rPr>
            </w:pPr>
            <w:r w:rsidRPr="004624D3">
              <w:rPr>
                <w:rFonts w:ascii="Calibri" w:eastAsia="Times New Roman" w:hAnsi="Calibri" w:cs="Calibri"/>
                <w:bCs/>
                <w:lang w:val="es-ES" w:eastAsia="es-ES"/>
              </w:rPr>
              <w:t>Age 46</w:t>
            </w:r>
          </w:p>
        </w:tc>
        <w:tc>
          <w:tcPr>
            <w:tcW w:w="911" w:type="dxa"/>
            <w:tcBorders>
              <w:top w:val="nil"/>
              <w:left w:val="nil"/>
              <w:bottom w:val="single" w:sz="4" w:space="0" w:color="auto"/>
            </w:tcBorders>
            <w:shd w:val="clear" w:color="auto" w:fill="auto"/>
            <w:noWrap/>
            <w:vAlign w:val="center"/>
            <w:hideMark/>
          </w:tcPr>
          <w:p w14:paraId="2C5741AA" w14:textId="77777777" w:rsidR="00690754" w:rsidRPr="004624D3" w:rsidRDefault="00690754" w:rsidP="00690754">
            <w:pPr>
              <w:spacing w:after="0" w:line="276" w:lineRule="auto"/>
              <w:jc w:val="right"/>
              <w:rPr>
                <w:rFonts w:ascii="Calibri" w:eastAsia="Times New Roman" w:hAnsi="Calibri" w:cs="Calibri"/>
                <w:bCs/>
                <w:lang w:val="es-ES" w:eastAsia="es-ES"/>
              </w:rPr>
            </w:pPr>
            <w:r w:rsidRPr="004624D3">
              <w:rPr>
                <w:rFonts w:ascii="Calibri" w:eastAsia="Times New Roman" w:hAnsi="Calibri" w:cs="Calibri"/>
                <w:bCs/>
                <w:lang w:val="es-ES" w:eastAsia="es-ES"/>
              </w:rPr>
              <w:t>Age 50</w:t>
            </w:r>
          </w:p>
        </w:tc>
        <w:tc>
          <w:tcPr>
            <w:tcW w:w="850" w:type="dxa"/>
            <w:tcBorders>
              <w:top w:val="nil"/>
              <w:left w:val="nil"/>
              <w:bottom w:val="single" w:sz="4" w:space="0" w:color="auto"/>
            </w:tcBorders>
            <w:shd w:val="clear" w:color="auto" w:fill="auto"/>
            <w:noWrap/>
            <w:vAlign w:val="center"/>
            <w:hideMark/>
          </w:tcPr>
          <w:p w14:paraId="2A7EDF4A" w14:textId="77777777" w:rsidR="00690754" w:rsidRPr="004624D3" w:rsidRDefault="00690754" w:rsidP="00690754">
            <w:pPr>
              <w:spacing w:after="0" w:line="276" w:lineRule="auto"/>
              <w:jc w:val="right"/>
              <w:rPr>
                <w:rFonts w:ascii="Calibri" w:eastAsia="Times New Roman" w:hAnsi="Calibri" w:cs="Calibri"/>
                <w:bCs/>
                <w:lang w:val="es-ES" w:eastAsia="es-ES"/>
              </w:rPr>
            </w:pPr>
            <w:r w:rsidRPr="004624D3">
              <w:rPr>
                <w:rFonts w:ascii="Calibri" w:eastAsia="Times New Roman" w:hAnsi="Calibri" w:cs="Calibri"/>
                <w:bCs/>
                <w:lang w:val="es-ES" w:eastAsia="es-ES"/>
              </w:rPr>
              <w:t>Age 55</w:t>
            </w:r>
          </w:p>
        </w:tc>
        <w:tc>
          <w:tcPr>
            <w:tcW w:w="1418" w:type="dxa"/>
            <w:tcBorders>
              <w:top w:val="nil"/>
              <w:left w:val="nil"/>
              <w:bottom w:val="single" w:sz="4" w:space="0" w:color="auto"/>
              <w:right w:val="nil"/>
            </w:tcBorders>
            <w:shd w:val="clear" w:color="auto" w:fill="auto"/>
            <w:noWrap/>
            <w:vAlign w:val="center"/>
            <w:hideMark/>
          </w:tcPr>
          <w:p w14:paraId="6048ED20" w14:textId="77777777" w:rsidR="00690754" w:rsidRPr="004624D3" w:rsidRDefault="00690754" w:rsidP="00690754">
            <w:pPr>
              <w:spacing w:after="0" w:line="276" w:lineRule="auto"/>
              <w:jc w:val="right"/>
              <w:rPr>
                <w:rFonts w:ascii="Calibri" w:eastAsia="Times New Roman" w:hAnsi="Calibri" w:cs="Calibri"/>
                <w:bCs/>
                <w:lang w:val="es-ES" w:eastAsia="es-ES"/>
              </w:rPr>
            </w:pPr>
            <w:r w:rsidRPr="004624D3">
              <w:rPr>
                <w:rFonts w:ascii="Calibri" w:eastAsia="Times New Roman" w:hAnsi="Calibri" w:cs="Calibri"/>
                <w:bCs/>
                <w:lang w:val="es-ES" w:eastAsia="es-ES"/>
              </w:rPr>
              <w:t>Age 46</w:t>
            </w:r>
          </w:p>
        </w:tc>
        <w:tc>
          <w:tcPr>
            <w:tcW w:w="820" w:type="dxa"/>
            <w:tcBorders>
              <w:top w:val="nil"/>
              <w:left w:val="nil"/>
              <w:bottom w:val="single" w:sz="4" w:space="0" w:color="auto"/>
              <w:right w:val="nil"/>
            </w:tcBorders>
            <w:shd w:val="clear" w:color="auto" w:fill="auto"/>
            <w:noWrap/>
            <w:vAlign w:val="center"/>
            <w:hideMark/>
          </w:tcPr>
          <w:p w14:paraId="68BDDD42" w14:textId="77777777" w:rsidR="00690754" w:rsidRPr="004624D3" w:rsidRDefault="00690754" w:rsidP="00690754">
            <w:pPr>
              <w:spacing w:after="0" w:line="276" w:lineRule="auto"/>
              <w:jc w:val="right"/>
              <w:rPr>
                <w:rFonts w:ascii="Calibri" w:eastAsia="Times New Roman" w:hAnsi="Calibri" w:cs="Calibri"/>
                <w:bCs/>
                <w:lang w:val="es-ES" w:eastAsia="es-ES"/>
              </w:rPr>
            </w:pPr>
            <w:r w:rsidRPr="004624D3">
              <w:rPr>
                <w:rFonts w:ascii="Calibri" w:eastAsia="Times New Roman" w:hAnsi="Calibri" w:cs="Calibri"/>
                <w:bCs/>
                <w:lang w:val="es-ES" w:eastAsia="es-ES"/>
              </w:rPr>
              <w:t>Age 50</w:t>
            </w:r>
          </w:p>
        </w:tc>
        <w:tc>
          <w:tcPr>
            <w:tcW w:w="850" w:type="dxa"/>
            <w:tcBorders>
              <w:top w:val="nil"/>
              <w:left w:val="nil"/>
              <w:bottom w:val="single" w:sz="4" w:space="0" w:color="auto"/>
              <w:right w:val="nil"/>
            </w:tcBorders>
            <w:shd w:val="clear" w:color="auto" w:fill="auto"/>
            <w:noWrap/>
            <w:vAlign w:val="center"/>
            <w:hideMark/>
          </w:tcPr>
          <w:p w14:paraId="56DE17C0" w14:textId="77777777" w:rsidR="00690754" w:rsidRPr="004624D3" w:rsidRDefault="00690754" w:rsidP="00690754">
            <w:pPr>
              <w:spacing w:after="0" w:line="276" w:lineRule="auto"/>
              <w:jc w:val="right"/>
              <w:rPr>
                <w:rFonts w:ascii="Calibri" w:eastAsia="Times New Roman" w:hAnsi="Calibri" w:cs="Calibri"/>
                <w:bCs/>
                <w:lang w:val="es-ES" w:eastAsia="es-ES"/>
              </w:rPr>
            </w:pPr>
            <w:r w:rsidRPr="004624D3">
              <w:rPr>
                <w:rFonts w:ascii="Calibri" w:eastAsia="Times New Roman" w:hAnsi="Calibri" w:cs="Calibri"/>
                <w:bCs/>
                <w:lang w:val="es-ES" w:eastAsia="es-ES"/>
              </w:rPr>
              <w:t>Age 55</w:t>
            </w:r>
          </w:p>
        </w:tc>
      </w:tr>
      <w:tr w:rsidR="00690754" w:rsidRPr="004624D3" w14:paraId="460EDD75" w14:textId="77777777" w:rsidTr="00117A35">
        <w:trPr>
          <w:trHeight w:val="300"/>
        </w:trPr>
        <w:tc>
          <w:tcPr>
            <w:tcW w:w="1244" w:type="dxa"/>
            <w:vMerge w:val="restart"/>
            <w:tcBorders>
              <w:top w:val="nil"/>
              <w:left w:val="nil"/>
              <w:bottom w:val="nil"/>
              <w:right w:val="nil"/>
            </w:tcBorders>
            <w:shd w:val="clear" w:color="auto" w:fill="FFFFFF" w:themeFill="background1"/>
            <w:vAlign w:val="center"/>
            <w:hideMark/>
          </w:tcPr>
          <w:p w14:paraId="7A48AF42" w14:textId="637C06CD" w:rsidR="00690754" w:rsidRPr="004624D3" w:rsidRDefault="007B2B8A"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Repeat</w:t>
            </w:r>
            <w:r w:rsidR="00690754" w:rsidRPr="004624D3">
              <w:rPr>
                <w:rFonts w:ascii="Calibri" w:eastAsia="Times New Roman" w:hAnsi="Calibri" w:cs="Calibri"/>
                <w:lang w:val="es-ES" w:eastAsia="es-ES"/>
              </w:rPr>
              <w:t xml:space="preserve"> carers</w:t>
            </w:r>
          </w:p>
        </w:tc>
        <w:tc>
          <w:tcPr>
            <w:tcW w:w="1380" w:type="dxa"/>
            <w:tcBorders>
              <w:top w:val="nil"/>
              <w:left w:val="nil"/>
              <w:bottom w:val="nil"/>
            </w:tcBorders>
            <w:shd w:val="clear" w:color="auto" w:fill="FFFFFF" w:themeFill="background1"/>
            <w:noWrap/>
            <w:vAlign w:val="bottom"/>
            <w:hideMark/>
          </w:tcPr>
          <w:p w14:paraId="51787382" w14:textId="77777777" w:rsidR="00690754" w:rsidRPr="004624D3" w:rsidRDefault="00690754" w:rsidP="00690754">
            <w:pPr>
              <w:spacing w:after="0" w:line="276" w:lineRule="auto"/>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Sample (N)</w:t>
            </w:r>
          </w:p>
        </w:tc>
        <w:tc>
          <w:tcPr>
            <w:tcW w:w="1007" w:type="dxa"/>
            <w:tcBorders>
              <w:top w:val="nil"/>
              <w:bottom w:val="nil"/>
              <w:right w:val="nil"/>
            </w:tcBorders>
            <w:shd w:val="clear" w:color="auto" w:fill="FFFFFF" w:themeFill="background1"/>
            <w:noWrap/>
            <w:vAlign w:val="bottom"/>
            <w:hideMark/>
          </w:tcPr>
          <w:p w14:paraId="14F417DF"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(148)</w:t>
            </w:r>
          </w:p>
        </w:tc>
        <w:tc>
          <w:tcPr>
            <w:tcW w:w="911" w:type="dxa"/>
            <w:tcBorders>
              <w:top w:val="nil"/>
              <w:left w:val="nil"/>
              <w:bottom w:val="nil"/>
            </w:tcBorders>
            <w:shd w:val="clear" w:color="auto" w:fill="FFFFFF" w:themeFill="background1"/>
            <w:noWrap/>
            <w:vAlign w:val="bottom"/>
            <w:hideMark/>
          </w:tcPr>
          <w:p w14:paraId="73449116"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(148)</w:t>
            </w:r>
          </w:p>
        </w:tc>
        <w:tc>
          <w:tcPr>
            <w:tcW w:w="850" w:type="dxa"/>
            <w:tcBorders>
              <w:top w:val="nil"/>
              <w:left w:val="nil"/>
              <w:bottom w:val="nil"/>
            </w:tcBorders>
            <w:shd w:val="clear" w:color="auto" w:fill="FFFFFF" w:themeFill="background1"/>
            <w:noWrap/>
            <w:vAlign w:val="bottom"/>
            <w:hideMark/>
          </w:tcPr>
          <w:p w14:paraId="287EF959"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(148)</w:t>
            </w:r>
          </w:p>
        </w:tc>
        <w:tc>
          <w:tcPr>
            <w:tcW w:w="1418" w:type="dxa"/>
            <w:tcBorders>
              <w:top w:val="nil"/>
              <w:left w:val="nil"/>
              <w:bottom w:val="nil"/>
              <w:right w:val="nil"/>
            </w:tcBorders>
            <w:shd w:val="clear" w:color="auto" w:fill="FFFFFF" w:themeFill="background1"/>
            <w:noWrap/>
            <w:vAlign w:val="bottom"/>
            <w:hideMark/>
          </w:tcPr>
          <w:p w14:paraId="2A3084A7"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(254)</w:t>
            </w:r>
          </w:p>
        </w:tc>
        <w:tc>
          <w:tcPr>
            <w:tcW w:w="820" w:type="dxa"/>
            <w:tcBorders>
              <w:top w:val="nil"/>
              <w:left w:val="nil"/>
              <w:bottom w:val="nil"/>
              <w:right w:val="nil"/>
            </w:tcBorders>
            <w:shd w:val="clear" w:color="auto" w:fill="FFFFFF" w:themeFill="background1"/>
            <w:noWrap/>
            <w:vAlign w:val="bottom"/>
            <w:hideMark/>
          </w:tcPr>
          <w:p w14:paraId="225DD2C9"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(254)</w:t>
            </w:r>
          </w:p>
        </w:tc>
        <w:tc>
          <w:tcPr>
            <w:tcW w:w="850" w:type="dxa"/>
            <w:tcBorders>
              <w:top w:val="nil"/>
              <w:left w:val="nil"/>
              <w:bottom w:val="nil"/>
              <w:right w:val="nil"/>
            </w:tcBorders>
            <w:shd w:val="clear" w:color="auto" w:fill="FFFFFF" w:themeFill="background1"/>
            <w:noWrap/>
            <w:vAlign w:val="bottom"/>
            <w:hideMark/>
          </w:tcPr>
          <w:p w14:paraId="046C33E0"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(254)</w:t>
            </w:r>
          </w:p>
        </w:tc>
      </w:tr>
      <w:tr w:rsidR="00690754" w:rsidRPr="004624D3" w14:paraId="470401D8" w14:textId="77777777" w:rsidTr="00117A35">
        <w:trPr>
          <w:trHeight w:val="300"/>
        </w:trPr>
        <w:tc>
          <w:tcPr>
            <w:tcW w:w="1244" w:type="dxa"/>
            <w:vMerge/>
            <w:tcBorders>
              <w:top w:val="nil"/>
              <w:left w:val="nil"/>
              <w:bottom w:val="nil"/>
              <w:right w:val="nil"/>
            </w:tcBorders>
            <w:shd w:val="clear" w:color="auto" w:fill="FFFFFF" w:themeFill="background1"/>
            <w:vAlign w:val="center"/>
            <w:hideMark/>
          </w:tcPr>
          <w:p w14:paraId="4352BD7A"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FFFFFF" w:themeFill="background1"/>
            <w:noWrap/>
            <w:vAlign w:val="center"/>
            <w:hideMark/>
          </w:tcPr>
          <w:p w14:paraId="583BC158"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w:t>
            </w:r>
          </w:p>
        </w:tc>
        <w:tc>
          <w:tcPr>
            <w:tcW w:w="1007" w:type="dxa"/>
            <w:tcBorders>
              <w:top w:val="nil"/>
              <w:bottom w:val="nil"/>
              <w:right w:val="nil"/>
            </w:tcBorders>
            <w:shd w:val="clear" w:color="auto" w:fill="FFFFFF" w:themeFill="background1"/>
            <w:noWrap/>
            <w:vAlign w:val="center"/>
            <w:hideMark/>
          </w:tcPr>
          <w:p w14:paraId="0775268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81.1</w:t>
            </w:r>
          </w:p>
        </w:tc>
        <w:tc>
          <w:tcPr>
            <w:tcW w:w="911" w:type="dxa"/>
            <w:tcBorders>
              <w:top w:val="nil"/>
              <w:left w:val="nil"/>
              <w:bottom w:val="nil"/>
            </w:tcBorders>
            <w:shd w:val="clear" w:color="auto" w:fill="FFFFFF" w:themeFill="background1"/>
            <w:noWrap/>
            <w:vAlign w:val="center"/>
            <w:hideMark/>
          </w:tcPr>
          <w:p w14:paraId="3453256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88.5</w:t>
            </w:r>
          </w:p>
        </w:tc>
        <w:tc>
          <w:tcPr>
            <w:tcW w:w="850" w:type="dxa"/>
            <w:tcBorders>
              <w:top w:val="nil"/>
              <w:left w:val="nil"/>
              <w:bottom w:val="nil"/>
            </w:tcBorders>
            <w:shd w:val="clear" w:color="auto" w:fill="FFFFFF" w:themeFill="background1"/>
            <w:noWrap/>
            <w:vAlign w:val="center"/>
            <w:hideMark/>
          </w:tcPr>
          <w:p w14:paraId="74CE30D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80.4</w:t>
            </w:r>
          </w:p>
        </w:tc>
        <w:tc>
          <w:tcPr>
            <w:tcW w:w="1418" w:type="dxa"/>
            <w:tcBorders>
              <w:top w:val="nil"/>
              <w:left w:val="nil"/>
              <w:bottom w:val="nil"/>
              <w:right w:val="nil"/>
            </w:tcBorders>
            <w:shd w:val="clear" w:color="auto" w:fill="FFFFFF" w:themeFill="background1"/>
            <w:noWrap/>
            <w:vAlign w:val="center"/>
            <w:hideMark/>
          </w:tcPr>
          <w:p w14:paraId="253474D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69.7</w:t>
            </w:r>
          </w:p>
        </w:tc>
        <w:tc>
          <w:tcPr>
            <w:tcW w:w="820" w:type="dxa"/>
            <w:tcBorders>
              <w:top w:val="nil"/>
              <w:left w:val="nil"/>
              <w:bottom w:val="nil"/>
              <w:right w:val="nil"/>
            </w:tcBorders>
            <w:shd w:val="clear" w:color="auto" w:fill="FFFFFF" w:themeFill="background1"/>
            <w:noWrap/>
            <w:vAlign w:val="center"/>
            <w:hideMark/>
          </w:tcPr>
          <w:p w14:paraId="6872E937"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70.1</w:t>
            </w:r>
          </w:p>
        </w:tc>
        <w:tc>
          <w:tcPr>
            <w:tcW w:w="850" w:type="dxa"/>
            <w:tcBorders>
              <w:top w:val="nil"/>
              <w:left w:val="nil"/>
              <w:bottom w:val="nil"/>
              <w:right w:val="nil"/>
            </w:tcBorders>
            <w:shd w:val="clear" w:color="auto" w:fill="FFFFFF" w:themeFill="background1"/>
            <w:noWrap/>
            <w:vAlign w:val="center"/>
            <w:hideMark/>
          </w:tcPr>
          <w:p w14:paraId="1B69DB0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65.0</w:t>
            </w:r>
          </w:p>
        </w:tc>
      </w:tr>
      <w:tr w:rsidR="00690754" w:rsidRPr="004624D3" w14:paraId="64D9D078" w14:textId="77777777" w:rsidTr="00117A35">
        <w:trPr>
          <w:trHeight w:val="300"/>
        </w:trPr>
        <w:tc>
          <w:tcPr>
            <w:tcW w:w="1244" w:type="dxa"/>
            <w:vMerge/>
            <w:tcBorders>
              <w:top w:val="nil"/>
              <w:left w:val="nil"/>
              <w:bottom w:val="nil"/>
              <w:right w:val="nil"/>
            </w:tcBorders>
            <w:shd w:val="clear" w:color="auto" w:fill="FFFFFF" w:themeFill="background1"/>
            <w:vAlign w:val="center"/>
            <w:hideMark/>
          </w:tcPr>
          <w:p w14:paraId="7FC789B1"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FFFFFF" w:themeFill="background1"/>
            <w:noWrap/>
            <w:vAlign w:val="center"/>
            <w:hideMark/>
          </w:tcPr>
          <w:p w14:paraId="24FA3D6B"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10-19</w:t>
            </w:r>
          </w:p>
        </w:tc>
        <w:tc>
          <w:tcPr>
            <w:tcW w:w="1007" w:type="dxa"/>
            <w:tcBorders>
              <w:top w:val="nil"/>
              <w:bottom w:val="nil"/>
              <w:right w:val="nil"/>
            </w:tcBorders>
            <w:shd w:val="clear" w:color="auto" w:fill="FFFFFF" w:themeFill="background1"/>
            <w:noWrap/>
            <w:vAlign w:val="center"/>
            <w:hideMark/>
          </w:tcPr>
          <w:p w14:paraId="2F12FDE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13.5</w:t>
            </w:r>
          </w:p>
        </w:tc>
        <w:tc>
          <w:tcPr>
            <w:tcW w:w="911" w:type="dxa"/>
            <w:tcBorders>
              <w:top w:val="nil"/>
              <w:left w:val="nil"/>
              <w:bottom w:val="nil"/>
            </w:tcBorders>
            <w:shd w:val="clear" w:color="auto" w:fill="FFFFFF" w:themeFill="background1"/>
            <w:noWrap/>
            <w:vAlign w:val="center"/>
            <w:hideMark/>
          </w:tcPr>
          <w:p w14:paraId="06A42E97"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6.1</w:t>
            </w:r>
          </w:p>
        </w:tc>
        <w:tc>
          <w:tcPr>
            <w:tcW w:w="850" w:type="dxa"/>
            <w:tcBorders>
              <w:top w:val="nil"/>
              <w:left w:val="nil"/>
              <w:bottom w:val="nil"/>
            </w:tcBorders>
            <w:shd w:val="clear" w:color="auto" w:fill="FFFFFF" w:themeFill="background1"/>
            <w:noWrap/>
            <w:vAlign w:val="center"/>
            <w:hideMark/>
          </w:tcPr>
          <w:p w14:paraId="639C00E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11.5</w:t>
            </w:r>
          </w:p>
        </w:tc>
        <w:tc>
          <w:tcPr>
            <w:tcW w:w="1418" w:type="dxa"/>
            <w:tcBorders>
              <w:top w:val="nil"/>
              <w:left w:val="nil"/>
              <w:bottom w:val="nil"/>
              <w:right w:val="nil"/>
            </w:tcBorders>
            <w:shd w:val="clear" w:color="auto" w:fill="FFFFFF" w:themeFill="background1"/>
            <w:noWrap/>
            <w:vAlign w:val="center"/>
            <w:hideMark/>
          </w:tcPr>
          <w:p w14:paraId="72DB00D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22.1</w:t>
            </w:r>
          </w:p>
        </w:tc>
        <w:tc>
          <w:tcPr>
            <w:tcW w:w="820" w:type="dxa"/>
            <w:tcBorders>
              <w:top w:val="nil"/>
              <w:left w:val="nil"/>
              <w:bottom w:val="nil"/>
              <w:right w:val="nil"/>
            </w:tcBorders>
            <w:shd w:val="clear" w:color="auto" w:fill="FFFFFF" w:themeFill="background1"/>
            <w:noWrap/>
            <w:vAlign w:val="center"/>
            <w:hideMark/>
          </w:tcPr>
          <w:p w14:paraId="56BC4C6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18.1</w:t>
            </w:r>
          </w:p>
        </w:tc>
        <w:tc>
          <w:tcPr>
            <w:tcW w:w="850" w:type="dxa"/>
            <w:tcBorders>
              <w:top w:val="nil"/>
              <w:left w:val="nil"/>
              <w:bottom w:val="nil"/>
              <w:right w:val="nil"/>
            </w:tcBorders>
            <w:shd w:val="clear" w:color="auto" w:fill="FFFFFF" w:themeFill="background1"/>
            <w:noWrap/>
            <w:vAlign w:val="center"/>
            <w:hideMark/>
          </w:tcPr>
          <w:p w14:paraId="10CB5DC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17.3</w:t>
            </w:r>
          </w:p>
        </w:tc>
      </w:tr>
      <w:tr w:rsidR="00690754" w:rsidRPr="004624D3" w14:paraId="3D6D5DCE" w14:textId="77777777" w:rsidTr="00117A35">
        <w:trPr>
          <w:trHeight w:val="300"/>
        </w:trPr>
        <w:tc>
          <w:tcPr>
            <w:tcW w:w="1244" w:type="dxa"/>
            <w:vMerge/>
            <w:tcBorders>
              <w:top w:val="nil"/>
              <w:left w:val="nil"/>
              <w:bottom w:val="nil"/>
              <w:right w:val="nil"/>
            </w:tcBorders>
            <w:shd w:val="clear" w:color="auto" w:fill="FFFFFF" w:themeFill="background1"/>
            <w:vAlign w:val="center"/>
            <w:hideMark/>
          </w:tcPr>
          <w:p w14:paraId="131F6D61"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FFFFFF" w:themeFill="background1"/>
            <w:noWrap/>
            <w:vAlign w:val="center"/>
            <w:hideMark/>
          </w:tcPr>
          <w:p w14:paraId="37B3D74A"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w:t>
            </w:r>
          </w:p>
        </w:tc>
        <w:tc>
          <w:tcPr>
            <w:tcW w:w="1007" w:type="dxa"/>
            <w:tcBorders>
              <w:top w:val="nil"/>
              <w:bottom w:val="nil"/>
              <w:right w:val="nil"/>
            </w:tcBorders>
            <w:shd w:val="clear" w:color="auto" w:fill="FFFFFF" w:themeFill="background1"/>
            <w:noWrap/>
            <w:vAlign w:val="center"/>
            <w:hideMark/>
          </w:tcPr>
          <w:p w14:paraId="0956FC7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5.4</w:t>
            </w:r>
          </w:p>
        </w:tc>
        <w:tc>
          <w:tcPr>
            <w:tcW w:w="911" w:type="dxa"/>
            <w:tcBorders>
              <w:top w:val="nil"/>
              <w:left w:val="nil"/>
              <w:bottom w:val="nil"/>
            </w:tcBorders>
            <w:shd w:val="clear" w:color="auto" w:fill="FFFFFF" w:themeFill="background1"/>
            <w:noWrap/>
            <w:vAlign w:val="center"/>
            <w:hideMark/>
          </w:tcPr>
          <w:p w14:paraId="691F244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5.4</w:t>
            </w:r>
          </w:p>
        </w:tc>
        <w:tc>
          <w:tcPr>
            <w:tcW w:w="850" w:type="dxa"/>
            <w:tcBorders>
              <w:top w:val="nil"/>
              <w:left w:val="nil"/>
              <w:bottom w:val="nil"/>
            </w:tcBorders>
            <w:shd w:val="clear" w:color="auto" w:fill="FFFFFF" w:themeFill="background1"/>
            <w:noWrap/>
            <w:vAlign w:val="center"/>
            <w:hideMark/>
          </w:tcPr>
          <w:p w14:paraId="6ABEF46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8.1</w:t>
            </w:r>
          </w:p>
        </w:tc>
        <w:tc>
          <w:tcPr>
            <w:tcW w:w="1418" w:type="dxa"/>
            <w:tcBorders>
              <w:top w:val="nil"/>
              <w:left w:val="nil"/>
              <w:bottom w:val="nil"/>
              <w:right w:val="nil"/>
            </w:tcBorders>
            <w:shd w:val="clear" w:color="auto" w:fill="FFFFFF" w:themeFill="background1"/>
            <w:noWrap/>
            <w:vAlign w:val="center"/>
            <w:hideMark/>
          </w:tcPr>
          <w:p w14:paraId="3AB414D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8.3</w:t>
            </w:r>
          </w:p>
        </w:tc>
        <w:tc>
          <w:tcPr>
            <w:tcW w:w="820" w:type="dxa"/>
            <w:tcBorders>
              <w:top w:val="nil"/>
              <w:left w:val="nil"/>
              <w:bottom w:val="nil"/>
              <w:right w:val="nil"/>
            </w:tcBorders>
            <w:shd w:val="clear" w:color="auto" w:fill="FFFFFF" w:themeFill="background1"/>
            <w:noWrap/>
            <w:vAlign w:val="center"/>
            <w:hideMark/>
          </w:tcPr>
          <w:p w14:paraId="2990B07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11.8</w:t>
            </w:r>
          </w:p>
        </w:tc>
        <w:tc>
          <w:tcPr>
            <w:tcW w:w="850" w:type="dxa"/>
            <w:tcBorders>
              <w:top w:val="nil"/>
              <w:left w:val="nil"/>
              <w:bottom w:val="nil"/>
              <w:right w:val="nil"/>
            </w:tcBorders>
            <w:shd w:val="clear" w:color="auto" w:fill="FFFFFF" w:themeFill="background1"/>
            <w:noWrap/>
            <w:vAlign w:val="center"/>
            <w:hideMark/>
          </w:tcPr>
          <w:p w14:paraId="2ECE5A5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17.7</w:t>
            </w:r>
          </w:p>
        </w:tc>
      </w:tr>
      <w:tr w:rsidR="00690754" w:rsidRPr="004624D3" w14:paraId="16288C55" w14:textId="77777777" w:rsidTr="00117A35">
        <w:trPr>
          <w:trHeight w:val="300"/>
        </w:trPr>
        <w:tc>
          <w:tcPr>
            <w:tcW w:w="1244" w:type="dxa"/>
            <w:vMerge/>
            <w:tcBorders>
              <w:top w:val="nil"/>
              <w:left w:val="nil"/>
              <w:bottom w:val="nil"/>
              <w:right w:val="nil"/>
            </w:tcBorders>
            <w:shd w:val="clear" w:color="auto" w:fill="FFFFFF" w:themeFill="background1"/>
            <w:vAlign w:val="center"/>
            <w:hideMark/>
          </w:tcPr>
          <w:p w14:paraId="27B46E45"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FFFFFF" w:themeFill="background1"/>
            <w:noWrap/>
            <w:vAlign w:val="center"/>
            <w:hideMark/>
          </w:tcPr>
          <w:p w14:paraId="4FF71D04"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Total</w:t>
            </w:r>
          </w:p>
        </w:tc>
        <w:tc>
          <w:tcPr>
            <w:tcW w:w="1007" w:type="dxa"/>
            <w:tcBorders>
              <w:top w:val="nil"/>
              <w:bottom w:val="nil"/>
              <w:right w:val="nil"/>
            </w:tcBorders>
            <w:shd w:val="clear" w:color="auto" w:fill="FFFFFF" w:themeFill="background1"/>
            <w:noWrap/>
            <w:vAlign w:val="center"/>
            <w:hideMark/>
          </w:tcPr>
          <w:p w14:paraId="5620F50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911" w:type="dxa"/>
            <w:tcBorders>
              <w:top w:val="nil"/>
              <w:left w:val="nil"/>
              <w:bottom w:val="nil"/>
            </w:tcBorders>
            <w:shd w:val="clear" w:color="auto" w:fill="FFFFFF" w:themeFill="background1"/>
            <w:noWrap/>
            <w:vAlign w:val="center"/>
            <w:hideMark/>
          </w:tcPr>
          <w:p w14:paraId="4964C77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nil"/>
            </w:tcBorders>
            <w:shd w:val="clear" w:color="auto" w:fill="FFFFFF" w:themeFill="background1"/>
            <w:noWrap/>
            <w:vAlign w:val="center"/>
            <w:hideMark/>
          </w:tcPr>
          <w:p w14:paraId="3A44E35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1418" w:type="dxa"/>
            <w:tcBorders>
              <w:top w:val="nil"/>
              <w:left w:val="nil"/>
              <w:bottom w:val="nil"/>
              <w:right w:val="nil"/>
            </w:tcBorders>
            <w:shd w:val="clear" w:color="auto" w:fill="FFFFFF" w:themeFill="background1"/>
            <w:noWrap/>
            <w:vAlign w:val="center"/>
            <w:hideMark/>
          </w:tcPr>
          <w:p w14:paraId="7FD35D6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20" w:type="dxa"/>
            <w:tcBorders>
              <w:top w:val="nil"/>
              <w:left w:val="nil"/>
              <w:bottom w:val="nil"/>
              <w:right w:val="nil"/>
            </w:tcBorders>
            <w:shd w:val="clear" w:color="auto" w:fill="FFFFFF" w:themeFill="background1"/>
            <w:noWrap/>
            <w:vAlign w:val="center"/>
            <w:hideMark/>
          </w:tcPr>
          <w:p w14:paraId="6AB2DA2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nil"/>
              <w:right w:val="nil"/>
            </w:tcBorders>
            <w:shd w:val="clear" w:color="auto" w:fill="FFFFFF" w:themeFill="background1"/>
            <w:noWrap/>
            <w:vAlign w:val="center"/>
            <w:hideMark/>
          </w:tcPr>
          <w:p w14:paraId="6A6740A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r>
      <w:tr w:rsidR="00690754" w:rsidRPr="004624D3" w14:paraId="1C9BC445" w14:textId="77777777" w:rsidTr="00117A35">
        <w:trPr>
          <w:trHeight w:val="300"/>
        </w:trPr>
        <w:tc>
          <w:tcPr>
            <w:tcW w:w="1244" w:type="dxa"/>
            <w:vMerge w:val="restart"/>
            <w:tcBorders>
              <w:top w:val="single" w:sz="4" w:space="0" w:color="auto"/>
              <w:left w:val="nil"/>
              <w:bottom w:val="single" w:sz="4" w:space="0" w:color="000000"/>
              <w:right w:val="nil"/>
            </w:tcBorders>
            <w:shd w:val="clear" w:color="000000" w:fill="FFFFFF"/>
            <w:vAlign w:val="center"/>
            <w:hideMark/>
          </w:tcPr>
          <w:p w14:paraId="2C9C52CD"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New carers</w:t>
            </w:r>
          </w:p>
        </w:tc>
        <w:tc>
          <w:tcPr>
            <w:tcW w:w="1380" w:type="dxa"/>
            <w:tcBorders>
              <w:top w:val="single" w:sz="4" w:space="0" w:color="auto"/>
              <w:left w:val="nil"/>
              <w:bottom w:val="nil"/>
            </w:tcBorders>
            <w:shd w:val="clear" w:color="000000" w:fill="FFFFFF"/>
            <w:noWrap/>
            <w:vAlign w:val="bottom"/>
            <w:hideMark/>
          </w:tcPr>
          <w:p w14:paraId="0421459D" w14:textId="77777777" w:rsidR="00690754" w:rsidRPr="004624D3" w:rsidRDefault="00690754" w:rsidP="00690754">
            <w:pPr>
              <w:spacing w:after="0" w:line="276" w:lineRule="auto"/>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Sample (N)</w:t>
            </w:r>
          </w:p>
        </w:tc>
        <w:tc>
          <w:tcPr>
            <w:tcW w:w="1007" w:type="dxa"/>
            <w:tcBorders>
              <w:top w:val="single" w:sz="4" w:space="0" w:color="auto"/>
              <w:bottom w:val="nil"/>
              <w:right w:val="nil"/>
            </w:tcBorders>
            <w:shd w:val="clear" w:color="000000" w:fill="FFFFFF"/>
            <w:noWrap/>
            <w:vAlign w:val="bottom"/>
            <w:hideMark/>
          </w:tcPr>
          <w:p w14:paraId="0B7841EC"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(1,759)</w:t>
            </w:r>
          </w:p>
        </w:tc>
        <w:tc>
          <w:tcPr>
            <w:tcW w:w="911" w:type="dxa"/>
            <w:tcBorders>
              <w:top w:val="single" w:sz="4" w:space="0" w:color="auto"/>
              <w:left w:val="nil"/>
              <w:bottom w:val="nil"/>
            </w:tcBorders>
            <w:shd w:val="clear" w:color="000000" w:fill="FFFFFF"/>
            <w:noWrap/>
            <w:vAlign w:val="bottom"/>
            <w:hideMark/>
          </w:tcPr>
          <w:p w14:paraId="1F85C2D1"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(1,758)</w:t>
            </w:r>
          </w:p>
        </w:tc>
        <w:tc>
          <w:tcPr>
            <w:tcW w:w="850" w:type="dxa"/>
            <w:tcBorders>
              <w:top w:val="single" w:sz="4" w:space="0" w:color="auto"/>
              <w:left w:val="nil"/>
              <w:bottom w:val="nil"/>
            </w:tcBorders>
            <w:shd w:val="clear" w:color="000000" w:fill="FFFFFF"/>
            <w:noWrap/>
            <w:vAlign w:val="bottom"/>
            <w:hideMark/>
          </w:tcPr>
          <w:p w14:paraId="698F9BB9"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(1,770)</w:t>
            </w:r>
          </w:p>
        </w:tc>
        <w:tc>
          <w:tcPr>
            <w:tcW w:w="1418" w:type="dxa"/>
            <w:tcBorders>
              <w:top w:val="single" w:sz="4" w:space="0" w:color="auto"/>
              <w:left w:val="nil"/>
              <w:bottom w:val="nil"/>
              <w:right w:val="nil"/>
            </w:tcBorders>
            <w:shd w:val="clear" w:color="000000" w:fill="FFFFFF"/>
            <w:noWrap/>
            <w:vAlign w:val="bottom"/>
            <w:hideMark/>
          </w:tcPr>
          <w:p w14:paraId="4555F334"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(1,452)</w:t>
            </w:r>
          </w:p>
        </w:tc>
        <w:tc>
          <w:tcPr>
            <w:tcW w:w="820" w:type="dxa"/>
            <w:tcBorders>
              <w:top w:val="single" w:sz="4" w:space="0" w:color="auto"/>
              <w:left w:val="nil"/>
              <w:bottom w:val="nil"/>
              <w:right w:val="nil"/>
            </w:tcBorders>
            <w:shd w:val="clear" w:color="000000" w:fill="FFFFFF"/>
            <w:noWrap/>
            <w:vAlign w:val="bottom"/>
            <w:hideMark/>
          </w:tcPr>
          <w:p w14:paraId="0D5FFA6B"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(1,453)</w:t>
            </w:r>
          </w:p>
        </w:tc>
        <w:tc>
          <w:tcPr>
            <w:tcW w:w="850" w:type="dxa"/>
            <w:tcBorders>
              <w:top w:val="single" w:sz="4" w:space="0" w:color="auto"/>
              <w:left w:val="nil"/>
              <w:bottom w:val="nil"/>
              <w:right w:val="nil"/>
            </w:tcBorders>
            <w:shd w:val="clear" w:color="000000" w:fill="FFFFFF"/>
            <w:noWrap/>
            <w:vAlign w:val="bottom"/>
            <w:hideMark/>
          </w:tcPr>
          <w:p w14:paraId="36169D42"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(1,457)</w:t>
            </w:r>
          </w:p>
        </w:tc>
      </w:tr>
      <w:tr w:rsidR="00690754" w:rsidRPr="004624D3" w14:paraId="11C45891" w14:textId="77777777" w:rsidTr="00117A35">
        <w:trPr>
          <w:trHeight w:val="300"/>
        </w:trPr>
        <w:tc>
          <w:tcPr>
            <w:tcW w:w="1244" w:type="dxa"/>
            <w:vMerge/>
            <w:tcBorders>
              <w:top w:val="single" w:sz="4" w:space="0" w:color="auto"/>
              <w:left w:val="nil"/>
              <w:bottom w:val="single" w:sz="4" w:space="0" w:color="000000"/>
              <w:right w:val="nil"/>
            </w:tcBorders>
            <w:vAlign w:val="center"/>
            <w:hideMark/>
          </w:tcPr>
          <w:p w14:paraId="1EC555FF"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1380E3B1"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not caring</w:t>
            </w:r>
          </w:p>
        </w:tc>
        <w:tc>
          <w:tcPr>
            <w:tcW w:w="1007" w:type="dxa"/>
            <w:tcBorders>
              <w:top w:val="nil"/>
              <w:bottom w:val="nil"/>
              <w:right w:val="nil"/>
            </w:tcBorders>
            <w:shd w:val="clear" w:color="000000" w:fill="FFFFFF"/>
            <w:noWrap/>
            <w:vAlign w:val="center"/>
            <w:hideMark/>
          </w:tcPr>
          <w:p w14:paraId="52ABBEC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100.0</w:t>
            </w:r>
          </w:p>
        </w:tc>
        <w:tc>
          <w:tcPr>
            <w:tcW w:w="911" w:type="dxa"/>
            <w:tcBorders>
              <w:top w:val="nil"/>
              <w:left w:val="nil"/>
              <w:bottom w:val="nil"/>
            </w:tcBorders>
            <w:shd w:val="clear" w:color="000000" w:fill="FFFFFF"/>
            <w:noWrap/>
            <w:vAlign w:val="center"/>
            <w:hideMark/>
          </w:tcPr>
          <w:p w14:paraId="21C31BC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27.4</w:t>
            </w:r>
          </w:p>
        </w:tc>
        <w:tc>
          <w:tcPr>
            <w:tcW w:w="850" w:type="dxa"/>
            <w:tcBorders>
              <w:top w:val="nil"/>
              <w:left w:val="nil"/>
              <w:bottom w:val="nil"/>
            </w:tcBorders>
            <w:shd w:val="clear" w:color="000000" w:fill="FFFFFF"/>
            <w:noWrap/>
            <w:vAlign w:val="center"/>
            <w:hideMark/>
          </w:tcPr>
          <w:p w14:paraId="550D9DA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1418" w:type="dxa"/>
            <w:tcBorders>
              <w:top w:val="nil"/>
              <w:left w:val="nil"/>
              <w:bottom w:val="nil"/>
              <w:right w:val="nil"/>
            </w:tcBorders>
            <w:shd w:val="clear" w:color="000000" w:fill="FFFFFF"/>
            <w:noWrap/>
            <w:vAlign w:val="center"/>
            <w:hideMark/>
          </w:tcPr>
          <w:p w14:paraId="0666BD6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100.0</w:t>
            </w:r>
          </w:p>
        </w:tc>
        <w:tc>
          <w:tcPr>
            <w:tcW w:w="820" w:type="dxa"/>
            <w:tcBorders>
              <w:top w:val="nil"/>
              <w:left w:val="nil"/>
              <w:bottom w:val="nil"/>
              <w:right w:val="nil"/>
            </w:tcBorders>
            <w:shd w:val="clear" w:color="000000" w:fill="FFFFFF"/>
            <w:noWrap/>
            <w:vAlign w:val="center"/>
            <w:hideMark/>
          </w:tcPr>
          <w:p w14:paraId="2E7D042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29.7</w:t>
            </w:r>
          </w:p>
        </w:tc>
        <w:tc>
          <w:tcPr>
            <w:tcW w:w="850" w:type="dxa"/>
            <w:tcBorders>
              <w:top w:val="nil"/>
              <w:left w:val="nil"/>
              <w:bottom w:val="nil"/>
              <w:right w:val="nil"/>
            </w:tcBorders>
            <w:shd w:val="clear" w:color="000000" w:fill="FFFFFF"/>
            <w:noWrap/>
            <w:vAlign w:val="center"/>
            <w:hideMark/>
          </w:tcPr>
          <w:p w14:paraId="0D15A0B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r>
      <w:tr w:rsidR="00690754" w:rsidRPr="004624D3" w14:paraId="7BAC1B7F" w14:textId="77777777" w:rsidTr="00117A35">
        <w:trPr>
          <w:trHeight w:val="300"/>
        </w:trPr>
        <w:tc>
          <w:tcPr>
            <w:tcW w:w="1244" w:type="dxa"/>
            <w:vMerge/>
            <w:tcBorders>
              <w:top w:val="single" w:sz="4" w:space="0" w:color="auto"/>
              <w:left w:val="nil"/>
              <w:bottom w:val="single" w:sz="4" w:space="0" w:color="000000"/>
              <w:right w:val="nil"/>
            </w:tcBorders>
            <w:vAlign w:val="center"/>
            <w:hideMark/>
          </w:tcPr>
          <w:p w14:paraId="3486675A"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2337B5C6"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w:t>
            </w:r>
          </w:p>
        </w:tc>
        <w:tc>
          <w:tcPr>
            <w:tcW w:w="1007" w:type="dxa"/>
            <w:tcBorders>
              <w:top w:val="nil"/>
              <w:bottom w:val="nil"/>
              <w:right w:val="nil"/>
            </w:tcBorders>
            <w:shd w:val="clear" w:color="000000" w:fill="FFFFFF"/>
            <w:noWrap/>
            <w:vAlign w:val="center"/>
            <w:hideMark/>
          </w:tcPr>
          <w:p w14:paraId="2B452AB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911" w:type="dxa"/>
            <w:tcBorders>
              <w:top w:val="nil"/>
              <w:left w:val="nil"/>
              <w:bottom w:val="nil"/>
            </w:tcBorders>
            <w:shd w:val="clear" w:color="000000" w:fill="FFFFFF"/>
            <w:noWrap/>
            <w:vAlign w:val="center"/>
            <w:hideMark/>
          </w:tcPr>
          <w:p w14:paraId="1785B59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68.4</w:t>
            </w:r>
          </w:p>
        </w:tc>
        <w:tc>
          <w:tcPr>
            <w:tcW w:w="850" w:type="dxa"/>
            <w:tcBorders>
              <w:top w:val="nil"/>
              <w:left w:val="nil"/>
              <w:bottom w:val="nil"/>
            </w:tcBorders>
            <w:shd w:val="clear" w:color="000000" w:fill="FFFFFF"/>
            <w:noWrap/>
            <w:vAlign w:val="center"/>
            <w:hideMark/>
          </w:tcPr>
          <w:p w14:paraId="7F94DB7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88.5</w:t>
            </w:r>
          </w:p>
        </w:tc>
        <w:tc>
          <w:tcPr>
            <w:tcW w:w="1418" w:type="dxa"/>
            <w:tcBorders>
              <w:top w:val="nil"/>
              <w:left w:val="nil"/>
              <w:bottom w:val="nil"/>
              <w:right w:val="nil"/>
            </w:tcBorders>
            <w:shd w:val="clear" w:color="000000" w:fill="FFFFFF"/>
            <w:noWrap/>
            <w:vAlign w:val="center"/>
            <w:hideMark/>
          </w:tcPr>
          <w:p w14:paraId="0CB3599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820" w:type="dxa"/>
            <w:tcBorders>
              <w:top w:val="nil"/>
              <w:left w:val="nil"/>
              <w:bottom w:val="nil"/>
              <w:right w:val="nil"/>
            </w:tcBorders>
            <w:shd w:val="clear" w:color="000000" w:fill="FFFFFF"/>
            <w:noWrap/>
            <w:vAlign w:val="center"/>
            <w:hideMark/>
          </w:tcPr>
          <w:p w14:paraId="5781B4A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63.7</w:t>
            </w:r>
          </w:p>
        </w:tc>
        <w:tc>
          <w:tcPr>
            <w:tcW w:w="850" w:type="dxa"/>
            <w:tcBorders>
              <w:top w:val="nil"/>
              <w:left w:val="nil"/>
              <w:bottom w:val="nil"/>
              <w:right w:val="nil"/>
            </w:tcBorders>
            <w:shd w:val="clear" w:color="000000" w:fill="FFFFFF"/>
            <w:noWrap/>
            <w:vAlign w:val="center"/>
            <w:hideMark/>
          </w:tcPr>
          <w:p w14:paraId="25FD261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82.3</w:t>
            </w:r>
          </w:p>
        </w:tc>
      </w:tr>
      <w:tr w:rsidR="00690754" w:rsidRPr="004624D3" w14:paraId="1242A7A7" w14:textId="77777777" w:rsidTr="00117A35">
        <w:trPr>
          <w:trHeight w:val="300"/>
        </w:trPr>
        <w:tc>
          <w:tcPr>
            <w:tcW w:w="1244" w:type="dxa"/>
            <w:vMerge/>
            <w:tcBorders>
              <w:top w:val="single" w:sz="4" w:space="0" w:color="auto"/>
              <w:left w:val="nil"/>
              <w:bottom w:val="single" w:sz="4" w:space="0" w:color="000000"/>
              <w:right w:val="nil"/>
            </w:tcBorders>
            <w:vAlign w:val="center"/>
            <w:hideMark/>
          </w:tcPr>
          <w:p w14:paraId="14A7C5BC"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035974AC"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10-19</w:t>
            </w:r>
          </w:p>
        </w:tc>
        <w:tc>
          <w:tcPr>
            <w:tcW w:w="1007" w:type="dxa"/>
            <w:tcBorders>
              <w:top w:val="nil"/>
              <w:bottom w:val="nil"/>
              <w:right w:val="nil"/>
            </w:tcBorders>
            <w:shd w:val="clear" w:color="000000" w:fill="FFFFFF"/>
            <w:noWrap/>
            <w:vAlign w:val="center"/>
            <w:hideMark/>
          </w:tcPr>
          <w:p w14:paraId="19DDA6E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911" w:type="dxa"/>
            <w:tcBorders>
              <w:top w:val="nil"/>
              <w:left w:val="nil"/>
              <w:bottom w:val="nil"/>
            </w:tcBorders>
            <w:shd w:val="clear" w:color="000000" w:fill="FFFFFF"/>
            <w:noWrap/>
            <w:vAlign w:val="center"/>
            <w:hideMark/>
          </w:tcPr>
          <w:p w14:paraId="6757C8A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3.2</w:t>
            </w:r>
          </w:p>
        </w:tc>
        <w:tc>
          <w:tcPr>
            <w:tcW w:w="850" w:type="dxa"/>
            <w:tcBorders>
              <w:top w:val="nil"/>
              <w:left w:val="nil"/>
              <w:bottom w:val="nil"/>
            </w:tcBorders>
            <w:shd w:val="clear" w:color="000000" w:fill="FFFFFF"/>
            <w:noWrap/>
            <w:vAlign w:val="center"/>
            <w:hideMark/>
          </w:tcPr>
          <w:p w14:paraId="2DB96A0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7.3</w:t>
            </w:r>
          </w:p>
        </w:tc>
        <w:tc>
          <w:tcPr>
            <w:tcW w:w="1418" w:type="dxa"/>
            <w:tcBorders>
              <w:top w:val="nil"/>
              <w:left w:val="nil"/>
              <w:bottom w:val="nil"/>
              <w:right w:val="nil"/>
            </w:tcBorders>
            <w:shd w:val="clear" w:color="000000" w:fill="FFFFFF"/>
            <w:noWrap/>
            <w:vAlign w:val="center"/>
            <w:hideMark/>
          </w:tcPr>
          <w:p w14:paraId="3D24C98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820" w:type="dxa"/>
            <w:tcBorders>
              <w:top w:val="nil"/>
              <w:left w:val="nil"/>
              <w:bottom w:val="nil"/>
              <w:right w:val="nil"/>
            </w:tcBorders>
            <w:shd w:val="clear" w:color="000000" w:fill="FFFFFF"/>
            <w:noWrap/>
            <w:vAlign w:val="center"/>
            <w:hideMark/>
          </w:tcPr>
          <w:p w14:paraId="47545B7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4.7</w:t>
            </w:r>
          </w:p>
        </w:tc>
        <w:tc>
          <w:tcPr>
            <w:tcW w:w="850" w:type="dxa"/>
            <w:tcBorders>
              <w:top w:val="nil"/>
              <w:left w:val="nil"/>
              <w:bottom w:val="nil"/>
              <w:right w:val="nil"/>
            </w:tcBorders>
            <w:shd w:val="clear" w:color="000000" w:fill="FFFFFF"/>
            <w:noWrap/>
            <w:vAlign w:val="center"/>
            <w:hideMark/>
          </w:tcPr>
          <w:p w14:paraId="0A44F39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11.7</w:t>
            </w:r>
          </w:p>
        </w:tc>
      </w:tr>
      <w:tr w:rsidR="00690754" w:rsidRPr="004624D3" w14:paraId="3F63E7A0" w14:textId="77777777" w:rsidTr="00117A35">
        <w:trPr>
          <w:trHeight w:val="300"/>
        </w:trPr>
        <w:tc>
          <w:tcPr>
            <w:tcW w:w="1244" w:type="dxa"/>
            <w:vMerge/>
            <w:tcBorders>
              <w:top w:val="single" w:sz="4" w:space="0" w:color="auto"/>
              <w:left w:val="nil"/>
              <w:bottom w:val="single" w:sz="4" w:space="0" w:color="000000"/>
              <w:right w:val="nil"/>
            </w:tcBorders>
            <w:vAlign w:val="center"/>
            <w:hideMark/>
          </w:tcPr>
          <w:p w14:paraId="22266E70"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37677E14"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w:t>
            </w:r>
          </w:p>
        </w:tc>
        <w:tc>
          <w:tcPr>
            <w:tcW w:w="1007" w:type="dxa"/>
            <w:tcBorders>
              <w:top w:val="nil"/>
              <w:bottom w:val="nil"/>
              <w:right w:val="nil"/>
            </w:tcBorders>
            <w:shd w:val="clear" w:color="000000" w:fill="FFFFFF"/>
            <w:noWrap/>
            <w:vAlign w:val="center"/>
            <w:hideMark/>
          </w:tcPr>
          <w:p w14:paraId="185C925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911" w:type="dxa"/>
            <w:tcBorders>
              <w:top w:val="nil"/>
              <w:left w:val="nil"/>
              <w:bottom w:val="nil"/>
            </w:tcBorders>
            <w:shd w:val="clear" w:color="000000" w:fill="FFFFFF"/>
            <w:noWrap/>
            <w:vAlign w:val="center"/>
            <w:hideMark/>
          </w:tcPr>
          <w:p w14:paraId="3267F67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w:t>
            </w:r>
          </w:p>
        </w:tc>
        <w:tc>
          <w:tcPr>
            <w:tcW w:w="850" w:type="dxa"/>
            <w:tcBorders>
              <w:top w:val="nil"/>
              <w:left w:val="nil"/>
              <w:bottom w:val="nil"/>
            </w:tcBorders>
            <w:shd w:val="clear" w:color="000000" w:fill="FFFFFF"/>
            <w:noWrap/>
            <w:vAlign w:val="center"/>
            <w:hideMark/>
          </w:tcPr>
          <w:p w14:paraId="596716A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4.2</w:t>
            </w:r>
          </w:p>
        </w:tc>
        <w:tc>
          <w:tcPr>
            <w:tcW w:w="1418" w:type="dxa"/>
            <w:tcBorders>
              <w:top w:val="nil"/>
              <w:left w:val="nil"/>
              <w:bottom w:val="nil"/>
              <w:right w:val="nil"/>
            </w:tcBorders>
            <w:shd w:val="clear" w:color="000000" w:fill="FFFFFF"/>
            <w:noWrap/>
            <w:vAlign w:val="center"/>
            <w:hideMark/>
          </w:tcPr>
          <w:p w14:paraId="62DD2CA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820" w:type="dxa"/>
            <w:tcBorders>
              <w:top w:val="nil"/>
              <w:left w:val="nil"/>
              <w:bottom w:val="nil"/>
              <w:right w:val="nil"/>
            </w:tcBorders>
            <w:shd w:val="clear" w:color="000000" w:fill="FFFFFF"/>
            <w:noWrap/>
            <w:vAlign w:val="center"/>
            <w:hideMark/>
          </w:tcPr>
          <w:p w14:paraId="5A070C0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w:t>
            </w:r>
          </w:p>
        </w:tc>
        <w:tc>
          <w:tcPr>
            <w:tcW w:w="850" w:type="dxa"/>
            <w:tcBorders>
              <w:top w:val="nil"/>
              <w:left w:val="nil"/>
              <w:bottom w:val="nil"/>
              <w:right w:val="nil"/>
            </w:tcBorders>
            <w:shd w:val="clear" w:color="000000" w:fill="FFFFFF"/>
            <w:noWrap/>
            <w:vAlign w:val="center"/>
            <w:hideMark/>
          </w:tcPr>
          <w:p w14:paraId="5B64A6E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6.0</w:t>
            </w:r>
          </w:p>
        </w:tc>
      </w:tr>
      <w:tr w:rsidR="00690754" w:rsidRPr="004624D3" w14:paraId="6BB1D7E0" w14:textId="77777777" w:rsidTr="00117A35">
        <w:trPr>
          <w:trHeight w:val="300"/>
        </w:trPr>
        <w:tc>
          <w:tcPr>
            <w:tcW w:w="1244" w:type="dxa"/>
            <w:vMerge/>
            <w:tcBorders>
              <w:top w:val="single" w:sz="4" w:space="0" w:color="auto"/>
              <w:left w:val="nil"/>
              <w:bottom w:val="single" w:sz="4" w:space="0" w:color="000000"/>
              <w:right w:val="nil"/>
            </w:tcBorders>
            <w:vAlign w:val="center"/>
            <w:hideMark/>
          </w:tcPr>
          <w:p w14:paraId="76B9BAB1"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single" w:sz="4" w:space="0" w:color="auto"/>
            </w:tcBorders>
            <w:shd w:val="clear" w:color="000000" w:fill="FFFFFF"/>
            <w:noWrap/>
            <w:vAlign w:val="center"/>
            <w:hideMark/>
          </w:tcPr>
          <w:p w14:paraId="4E3C02C6"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Total</w:t>
            </w:r>
          </w:p>
        </w:tc>
        <w:tc>
          <w:tcPr>
            <w:tcW w:w="1007" w:type="dxa"/>
            <w:tcBorders>
              <w:top w:val="nil"/>
              <w:bottom w:val="single" w:sz="4" w:space="0" w:color="auto"/>
              <w:right w:val="nil"/>
            </w:tcBorders>
            <w:shd w:val="clear" w:color="000000" w:fill="FFFFFF"/>
            <w:noWrap/>
            <w:vAlign w:val="center"/>
            <w:hideMark/>
          </w:tcPr>
          <w:p w14:paraId="6F43441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911" w:type="dxa"/>
            <w:tcBorders>
              <w:top w:val="nil"/>
              <w:left w:val="nil"/>
              <w:bottom w:val="single" w:sz="4" w:space="0" w:color="auto"/>
            </w:tcBorders>
            <w:shd w:val="clear" w:color="000000" w:fill="FFFFFF"/>
            <w:noWrap/>
            <w:vAlign w:val="center"/>
            <w:hideMark/>
          </w:tcPr>
          <w:p w14:paraId="0298F2B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single" w:sz="4" w:space="0" w:color="auto"/>
            </w:tcBorders>
            <w:shd w:val="clear" w:color="000000" w:fill="FFFFFF"/>
            <w:noWrap/>
            <w:vAlign w:val="center"/>
            <w:hideMark/>
          </w:tcPr>
          <w:p w14:paraId="40A50D3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1418" w:type="dxa"/>
            <w:tcBorders>
              <w:top w:val="nil"/>
              <w:left w:val="nil"/>
              <w:bottom w:val="single" w:sz="4" w:space="0" w:color="auto"/>
              <w:right w:val="nil"/>
            </w:tcBorders>
            <w:shd w:val="clear" w:color="000000" w:fill="FFFFFF"/>
            <w:noWrap/>
            <w:vAlign w:val="center"/>
            <w:hideMark/>
          </w:tcPr>
          <w:p w14:paraId="16F88E37"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20" w:type="dxa"/>
            <w:tcBorders>
              <w:top w:val="nil"/>
              <w:left w:val="nil"/>
              <w:bottom w:val="single" w:sz="4" w:space="0" w:color="auto"/>
              <w:right w:val="nil"/>
            </w:tcBorders>
            <w:shd w:val="clear" w:color="000000" w:fill="FFFFFF"/>
            <w:noWrap/>
            <w:vAlign w:val="center"/>
            <w:hideMark/>
          </w:tcPr>
          <w:p w14:paraId="587483E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single" w:sz="4" w:space="0" w:color="auto"/>
              <w:right w:val="nil"/>
            </w:tcBorders>
            <w:shd w:val="clear" w:color="000000" w:fill="FFFFFF"/>
            <w:noWrap/>
            <w:vAlign w:val="center"/>
            <w:hideMark/>
          </w:tcPr>
          <w:p w14:paraId="08F64B4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r>
      <w:tr w:rsidR="00690754" w:rsidRPr="004624D3" w14:paraId="383D65AE" w14:textId="77777777" w:rsidTr="00117A35">
        <w:trPr>
          <w:trHeight w:val="300"/>
        </w:trPr>
        <w:tc>
          <w:tcPr>
            <w:tcW w:w="1244" w:type="dxa"/>
            <w:vMerge w:val="restart"/>
            <w:tcBorders>
              <w:top w:val="nil"/>
              <w:left w:val="nil"/>
              <w:bottom w:val="single" w:sz="4" w:space="0" w:color="000000"/>
              <w:right w:val="nil"/>
            </w:tcBorders>
            <w:shd w:val="clear" w:color="auto" w:fill="auto"/>
            <w:vAlign w:val="center"/>
            <w:hideMark/>
          </w:tcPr>
          <w:p w14:paraId="20B38F5C"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Sporadic/ intermittent carers</w:t>
            </w:r>
          </w:p>
        </w:tc>
        <w:tc>
          <w:tcPr>
            <w:tcW w:w="1380" w:type="dxa"/>
            <w:tcBorders>
              <w:top w:val="nil"/>
              <w:left w:val="nil"/>
              <w:bottom w:val="nil"/>
            </w:tcBorders>
            <w:shd w:val="clear" w:color="auto" w:fill="auto"/>
            <w:noWrap/>
            <w:vAlign w:val="bottom"/>
            <w:hideMark/>
          </w:tcPr>
          <w:p w14:paraId="238F6DF4" w14:textId="77777777" w:rsidR="00690754" w:rsidRPr="004624D3" w:rsidRDefault="00690754" w:rsidP="00690754">
            <w:pPr>
              <w:spacing w:after="0" w:line="276" w:lineRule="auto"/>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Sample (N)</w:t>
            </w:r>
          </w:p>
        </w:tc>
        <w:tc>
          <w:tcPr>
            <w:tcW w:w="1007" w:type="dxa"/>
            <w:tcBorders>
              <w:top w:val="nil"/>
              <w:bottom w:val="nil"/>
              <w:right w:val="nil"/>
            </w:tcBorders>
            <w:shd w:val="clear" w:color="auto" w:fill="auto"/>
            <w:noWrap/>
            <w:vAlign w:val="bottom"/>
            <w:hideMark/>
          </w:tcPr>
          <w:p w14:paraId="5079DF97"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(506)</w:t>
            </w:r>
          </w:p>
        </w:tc>
        <w:tc>
          <w:tcPr>
            <w:tcW w:w="911" w:type="dxa"/>
            <w:tcBorders>
              <w:top w:val="nil"/>
              <w:left w:val="nil"/>
              <w:bottom w:val="nil"/>
            </w:tcBorders>
            <w:shd w:val="clear" w:color="auto" w:fill="auto"/>
            <w:noWrap/>
            <w:vAlign w:val="bottom"/>
            <w:hideMark/>
          </w:tcPr>
          <w:p w14:paraId="6E83754D"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(509)</w:t>
            </w:r>
          </w:p>
        </w:tc>
        <w:tc>
          <w:tcPr>
            <w:tcW w:w="850" w:type="dxa"/>
            <w:tcBorders>
              <w:top w:val="nil"/>
              <w:left w:val="nil"/>
              <w:bottom w:val="nil"/>
            </w:tcBorders>
            <w:shd w:val="clear" w:color="auto" w:fill="auto"/>
            <w:noWrap/>
            <w:vAlign w:val="bottom"/>
            <w:hideMark/>
          </w:tcPr>
          <w:p w14:paraId="4437F5D2"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(373)</w:t>
            </w:r>
          </w:p>
        </w:tc>
        <w:tc>
          <w:tcPr>
            <w:tcW w:w="1418" w:type="dxa"/>
            <w:tcBorders>
              <w:top w:val="nil"/>
              <w:left w:val="nil"/>
              <w:bottom w:val="nil"/>
              <w:right w:val="nil"/>
            </w:tcBorders>
            <w:shd w:val="clear" w:color="auto" w:fill="auto"/>
            <w:noWrap/>
            <w:vAlign w:val="bottom"/>
            <w:hideMark/>
          </w:tcPr>
          <w:p w14:paraId="31DE5407"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(552)</w:t>
            </w:r>
          </w:p>
        </w:tc>
        <w:tc>
          <w:tcPr>
            <w:tcW w:w="820" w:type="dxa"/>
            <w:tcBorders>
              <w:top w:val="nil"/>
              <w:left w:val="nil"/>
              <w:bottom w:val="nil"/>
              <w:right w:val="nil"/>
            </w:tcBorders>
            <w:shd w:val="clear" w:color="auto" w:fill="auto"/>
            <w:noWrap/>
            <w:vAlign w:val="bottom"/>
            <w:hideMark/>
          </w:tcPr>
          <w:p w14:paraId="394A691C"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(551)</w:t>
            </w:r>
          </w:p>
        </w:tc>
        <w:tc>
          <w:tcPr>
            <w:tcW w:w="850" w:type="dxa"/>
            <w:tcBorders>
              <w:top w:val="nil"/>
              <w:left w:val="nil"/>
              <w:bottom w:val="nil"/>
              <w:right w:val="nil"/>
            </w:tcBorders>
            <w:shd w:val="clear" w:color="auto" w:fill="auto"/>
            <w:noWrap/>
            <w:vAlign w:val="bottom"/>
            <w:hideMark/>
          </w:tcPr>
          <w:p w14:paraId="76AF2578"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(363)</w:t>
            </w:r>
          </w:p>
        </w:tc>
      </w:tr>
      <w:tr w:rsidR="00690754" w:rsidRPr="004624D3" w14:paraId="717E4D15" w14:textId="77777777" w:rsidTr="00117A35">
        <w:trPr>
          <w:trHeight w:val="615"/>
        </w:trPr>
        <w:tc>
          <w:tcPr>
            <w:tcW w:w="1244" w:type="dxa"/>
            <w:vMerge/>
            <w:tcBorders>
              <w:top w:val="nil"/>
              <w:left w:val="nil"/>
              <w:bottom w:val="single" w:sz="4" w:space="0" w:color="000000"/>
              <w:right w:val="nil"/>
            </w:tcBorders>
            <w:shd w:val="clear" w:color="auto" w:fill="auto"/>
            <w:vAlign w:val="center"/>
            <w:hideMark/>
          </w:tcPr>
          <w:p w14:paraId="26728C12"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auto"/>
            <w:noWrap/>
            <w:vAlign w:val="center"/>
            <w:hideMark/>
          </w:tcPr>
          <w:p w14:paraId="13744970"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not caring</w:t>
            </w:r>
          </w:p>
        </w:tc>
        <w:tc>
          <w:tcPr>
            <w:tcW w:w="1007" w:type="dxa"/>
            <w:tcBorders>
              <w:top w:val="nil"/>
              <w:bottom w:val="nil"/>
              <w:right w:val="nil"/>
            </w:tcBorders>
            <w:shd w:val="clear" w:color="auto" w:fill="auto"/>
            <w:noWrap/>
            <w:vAlign w:val="center"/>
            <w:hideMark/>
          </w:tcPr>
          <w:p w14:paraId="6F31F85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94.9</w:t>
            </w:r>
          </w:p>
        </w:tc>
        <w:tc>
          <w:tcPr>
            <w:tcW w:w="911" w:type="dxa"/>
            <w:tcBorders>
              <w:top w:val="nil"/>
              <w:left w:val="nil"/>
              <w:bottom w:val="nil"/>
            </w:tcBorders>
            <w:shd w:val="clear" w:color="auto" w:fill="auto"/>
            <w:noWrap/>
            <w:vAlign w:val="center"/>
            <w:hideMark/>
          </w:tcPr>
          <w:p w14:paraId="6B10493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4.9</w:t>
            </w:r>
          </w:p>
        </w:tc>
        <w:tc>
          <w:tcPr>
            <w:tcW w:w="850" w:type="dxa"/>
            <w:tcBorders>
              <w:top w:val="nil"/>
              <w:left w:val="nil"/>
              <w:bottom w:val="nil"/>
            </w:tcBorders>
            <w:shd w:val="clear" w:color="auto" w:fill="auto"/>
            <w:noWrap/>
            <w:vAlign w:val="center"/>
            <w:hideMark/>
          </w:tcPr>
          <w:p w14:paraId="6AD4A9C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93.0</w:t>
            </w:r>
          </w:p>
        </w:tc>
        <w:tc>
          <w:tcPr>
            <w:tcW w:w="1418" w:type="dxa"/>
            <w:tcBorders>
              <w:top w:val="nil"/>
              <w:left w:val="nil"/>
              <w:bottom w:val="nil"/>
              <w:right w:val="nil"/>
            </w:tcBorders>
            <w:shd w:val="clear" w:color="auto" w:fill="auto"/>
            <w:noWrap/>
            <w:vAlign w:val="center"/>
            <w:hideMark/>
          </w:tcPr>
          <w:p w14:paraId="7B81199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93.1</w:t>
            </w:r>
          </w:p>
        </w:tc>
        <w:tc>
          <w:tcPr>
            <w:tcW w:w="820" w:type="dxa"/>
            <w:tcBorders>
              <w:top w:val="nil"/>
              <w:left w:val="nil"/>
              <w:bottom w:val="nil"/>
              <w:right w:val="nil"/>
            </w:tcBorders>
            <w:shd w:val="clear" w:color="auto" w:fill="auto"/>
            <w:noWrap/>
            <w:vAlign w:val="center"/>
            <w:hideMark/>
          </w:tcPr>
          <w:p w14:paraId="22BEC26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6.7</w:t>
            </w:r>
          </w:p>
        </w:tc>
        <w:tc>
          <w:tcPr>
            <w:tcW w:w="850" w:type="dxa"/>
            <w:tcBorders>
              <w:top w:val="nil"/>
              <w:left w:val="nil"/>
              <w:bottom w:val="nil"/>
              <w:right w:val="nil"/>
            </w:tcBorders>
            <w:shd w:val="clear" w:color="auto" w:fill="auto"/>
            <w:noWrap/>
            <w:vAlign w:val="center"/>
            <w:hideMark/>
          </w:tcPr>
          <w:p w14:paraId="0B3453C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89.5</w:t>
            </w:r>
          </w:p>
        </w:tc>
      </w:tr>
      <w:tr w:rsidR="00690754" w:rsidRPr="004624D3" w14:paraId="18695AB2" w14:textId="77777777" w:rsidTr="00117A35">
        <w:trPr>
          <w:trHeight w:val="300"/>
        </w:trPr>
        <w:tc>
          <w:tcPr>
            <w:tcW w:w="1244" w:type="dxa"/>
            <w:vMerge/>
            <w:tcBorders>
              <w:top w:val="nil"/>
              <w:left w:val="nil"/>
              <w:bottom w:val="single" w:sz="4" w:space="0" w:color="000000"/>
              <w:right w:val="nil"/>
            </w:tcBorders>
            <w:shd w:val="clear" w:color="auto" w:fill="auto"/>
            <w:vAlign w:val="center"/>
            <w:hideMark/>
          </w:tcPr>
          <w:p w14:paraId="15601864"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auto"/>
            <w:noWrap/>
            <w:vAlign w:val="center"/>
            <w:hideMark/>
          </w:tcPr>
          <w:p w14:paraId="22946E40"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w:t>
            </w:r>
          </w:p>
        </w:tc>
        <w:tc>
          <w:tcPr>
            <w:tcW w:w="1007" w:type="dxa"/>
            <w:tcBorders>
              <w:top w:val="nil"/>
              <w:bottom w:val="nil"/>
              <w:right w:val="nil"/>
            </w:tcBorders>
            <w:shd w:val="clear" w:color="auto" w:fill="auto"/>
            <w:noWrap/>
            <w:vAlign w:val="center"/>
            <w:hideMark/>
          </w:tcPr>
          <w:p w14:paraId="3356506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4.6</w:t>
            </w:r>
          </w:p>
        </w:tc>
        <w:tc>
          <w:tcPr>
            <w:tcW w:w="911" w:type="dxa"/>
            <w:tcBorders>
              <w:top w:val="nil"/>
              <w:left w:val="nil"/>
              <w:bottom w:val="nil"/>
            </w:tcBorders>
            <w:shd w:val="clear" w:color="auto" w:fill="auto"/>
            <w:noWrap/>
            <w:vAlign w:val="center"/>
            <w:hideMark/>
          </w:tcPr>
          <w:p w14:paraId="1156B637"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89.8</w:t>
            </w:r>
          </w:p>
        </w:tc>
        <w:tc>
          <w:tcPr>
            <w:tcW w:w="850" w:type="dxa"/>
            <w:tcBorders>
              <w:top w:val="nil"/>
              <w:left w:val="nil"/>
              <w:bottom w:val="nil"/>
            </w:tcBorders>
            <w:shd w:val="clear" w:color="auto" w:fill="auto"/>
            <w:noWrap/>
            <w:vAlign w:val="center"/>
            <w:hideMark/>
          </w:tcPr>
          <w:p w14:paraId="4699241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6.7</w:t>
            </w:r>
          </w:p>
        </w:tc>
        <w:tc>
          <w:tcPr>
            <w:tcW w:w="1418" w:type="dxa"/>
            <w:tcBorders>
              <w:top w:val="nil"/>
              <w:left w:val="nil"/>
              <w:bottom w:val="nil"/>
              <w:right w:val="nil"/>
            </w:tcBorders>
            <w:shd w:val="clear" w:color="auto" w:fill="auto"/>
            <w:noWrap/>
            <w:vAlign w:val="center"/>
            <w:hideMark/>
          </w:tcPr>
          <w:p w14:paraId="7C09499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4.9</w:t>
            </w:r>
          </w:p>
        </w:tc>
        <w:tc>
          <w:tcPr>
            <w:tcW w:w="820" w:type="dxa"/>
            <w:tcBorders>
              <w:top w:val="nil"/>
              <w:left w:val="nil"/>
              <w:bottom w:val="nil"/>
              <w:right w:val="nil"/>
            </w:tcBorders>
            <w:shd w:val="clear" w:color="auto" w:fill="auto"/>
            <w:noWrap/>
            <w:vAlign w:val="center"/>
            <w:hideMark/>
          </w:tcPr>
          <w:p w14:paraId="0B59D0A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84.4</w:t>
            </w:r>
          </w:p>
        </w:tc>
        <w:tc>
          <w:tcPr>
            <w:tcW w:w="850" w:type="dxa"/>
            <w:tcBorders>
              <w:top w:val="nil"/>
              <w:left w:val="nil"/>
              <w:bottom w:val="nil"/>
              <w:right w:val="nil"/>
            </w:tcBorders>
            <w:shd w:val="clear" w:color="auto" w:fill="auto"/>
            <w:noWrap/>
            <w:vAlign w:val="center"/>
            <w:hideMark/>
          </w:tcPr>
          <w:p w14:paraId="0FA718A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8.8</w:t>
            </w:r>
          </w:p>
        </w:tc>
      </w:tr>
      <w:tr w:rsidR="00690754" w:rsidRPr="004624D3" w14:paraId="2B3CB6AE" w14:textId="77777777" w:rsidTr="00117A35">
        <w:trPr>
          <w:trHeight w:val="300"/>
        </w:trPr>
        <w:tc>
          <w:tcPr>
            <w:tcW w:w="1244" w:type="dxa"/>
            <w:vMerge/>
            <w:tcBorders>
              <w:top w:val="nil"/>
              <w:left w:val="nil"/>
              <w:bottom w:val="single" w:sz="4" w:space="0" w:color="000000"/>
              <w:right w:val="nil"/>
            </w:tcBorders>
            <w:shd w:val="clear" w:color="auto" w:fill="auto"/>
            <w:vAlign w:val="center"/>
            <w:hideMark/>
          </w:tcPr>
          <w:p w14:paraId="1CC90F98"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auto"/>
            <w:noWrap/>
            <w:vAlign w:val="center"/>
            <w:hideMark/>
          </w:tcPr>
          <w:p w14:paraId="68680525"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10-19</w:t>
            </w:r>
          </w:p>
        </w:tc>
        <w:tc>
          <w:tcPr>
            <w:tcW w:w="1007" w:type="dxa"/>
            <w:tcBorders>
              <w:top w:val="nil"/>
              <w:bottom w:val="nil"/>
              <w:right w:val="nil"/>
            </w:tcBorders>
            <w:shd w:val="clear" w:color="auto" w:fill="auto"/>
            <w:noWrap/>
            <w:vAlign w:val="center"/>
            <w:hideMark/>
          </w:tcPr>
          <w:p w14:paraId="799A4ED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0.4</w:t>
            </w:r>
          </w:p>
        </w:tc>
        <w:tc>
          <w:tcPr>
            <w:tcW w:w="911" w:type="dxa"/>
            <w:tcBorders>
              <w:top w:val="nil"/>
              <w:left w:val="nil"/>
              <w:bottom w:val="nil"/>
            </w:tcBorders>
            <w:shd w:val="clear" w:color="auto" w:fill="auto"/>
            <w:noWrap/>
            <w:vAlign w:val="center"/>
            <w:hideMark/>
          </w:tcPr>
          <w:p w14:paraId="2FD00F6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2.8</w:t>
            </w:r>
          </w:p>
        </w:tc>
        <w:tc>
          <w:tcPr>
            <w:tcW w:w="850" w:type="dxa"/>
            <w:tcBorders>
              <w:top w:val="nil"/>
              <w:left w:val="nil"/>
              <w:bottom w:val="nil"/>
            </w:tcBorders>
            <w:shd w:val="clear" w:color="auto" w:fill="auto"/>
            <w:noWrap/>
            <w:vAlign w:val="center"/>
            <w:hideMark/>
          </w:tcPr>
          <w:p w14:paraId="5BEBFFB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0.3</w:t>
            </w:r>
          </w:p>
        </w:tc>
        <w:tc>
          <w:tcPr>
            <w:tcW w:w="1418" w:type="dxa"/>
            <w:tcBorders>
              <w:top w:val="nil"/>
              <w:left w:val="nil"/>
              <w:bottom w:val="nil"/>
              <w:right w:val="nil"/>
            </w:tcBorders>
            <w:shd w:val="clear" w:color="auto" w:fill="auto"/>
            <w:noWrap/>
            <w:vAlign w:val="center"/>
            <w:hideMark/>
          </w:tcPr>
          <w:p w14:paraId="07BD0D4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1.1</w:t>
            </w:r>
          </w:p>
        </w:tc>
        <w:tc>
          <w:tcPr>
            <w:tcW w:w="820" w:type="dxa"/>
            <w:tcBorders>
              <w:top w:val="nil"/>
              <w:left w:val="nil"/>
              <w:bottom w:val="nil"/>
              <w:right w:val="nil"/>
            </w:tcBorders>
            <w:shd w:val="clear" w:color="auto" w:fill="auto"/>
            <w:noWrap/>
            <w:vAlign w:val="center"/>
            <w:hideMark/>
          </w:tcPr>
          <w:p w14:paraId="7AB25C4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4.7</w:t>
            </w:r>
          </w:p>
        </w:tc>
        <w:tc>
          <w:tcPr>
            <w:tcW w:w="850" w:type="dxa"/>
            <w:tcBorders>
              <w:top w:val="nil"/>
              <w:left w:val="nil"/>
              <w:bottom w:val="nil"/>
              <w:right w:val="nil"/>
            </w:tcBorders>
            <w:shd w:val="clear" w:color="auto" w:fill="auto"/>
            <w:noWrap/>
            <w:vAlign w:val="center"/>
            <w:hideMark/>
          </w:tcPr>
          <w:p w14:paraId="278B6F6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1.7</w:t>
            </w:r>
          </w:p>
        </w:tc>
      </w:tr>
      <w:tr w:rsidR="00690754" w:rsidRPr="004624D3" w14:paraId="4B99803F" w14:textId="77777777" w:rsidTr="00117A35">
        <w:trPr>
          <w:trHeight w:val="300"/>
        </w:trPr>
        <w:tc>
          <w:tcPr>
            <w:tcW w:w="1244" w:type="dxa"/>
            <w:vMerge/>
            <w:tcBorders>
              <w:top w:val="nil"/>
              <w:left w:val="nil"/>
              <w:bottom w:val="single" w:sz="4" w:space="0" w:color="000000"/>
              <w:right w:val="nil"/>
            </w:tcBorders>
            <w:shd w:val="clear" w:color="auto" w:fill="auto"/>
            <w:vAlign w:val="center"/>
            <w:hideMark/>
          </w:tcPr>
          <w:p w14:paraId="5338EDE7"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auto" w:fill="auto"/>
            <w:noWrap/>
            <w:vAlign w:val="center"/>
            <w:hideMark/>
          </w:tcPr>
          <w:p w14:paraId="4A0B95B4"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w:t>
            </w:r>
          </w:p>
        </w:tc>
        <w:tc>
          <w:tcPr>
            <w:tcW w:w="1007" w:type="dxa"/>
            <w:tcBorders>
              <w:top w:val="nil"/>
              <w:bottom w:val="nil"/>
              <w:right w:val="nil"/>
            </w:tcBorders>
            <w:shd w:val="clear" w:color="auto" w:fill="auto"/>
            <w:noWrap/>
            <w:vAlign w:val="center"/>
            <w:hideMark/>
          </w:tcPr>
          <w:p w14:paraId="397AEB9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0.2</w:t>
            </w:r>
          </w:p>
        </w:tc>
        <w:tc>
          <w:tcPr>
            <w:tcW w:w="911" w:type="dxa"/>
            <w:tcBorders>
              <w:top w:val="nil"/>
              <w:left w:val="nil"/>
              <w:bottom w:val="nil"/>
            </w:tcBorders>
            <w:shd w:val="clear" w:color="auto" w:fill="auto"/>
            <w:noWrap/>
            <w:vAlign w:val="center"/>
            <w:hideMark/>
          </w:tcPr>
          <w:p w14:paraId="3BADBBF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2.6</w:t>
            </w:r>
          </w:p>
        </w:tc>
        <w:tc>
          <w:tcPr>
            <w:tcW w:w="850" w:type="dxa"/>
            <w:tcBorders>
              <w:top w:val="nil"/>
              <w:left w:val="nil"/>
              <w:bottom w:val="nil"/>
            </w:tcBorders>
            <w:shd w:val="clear" w:color="auto" w:fill="auto"/>
            <w:noWrap/>
            <w:vAlign w:val="center"/>
            <w:hideMark/>
          </w:tcPr>
          <w:p w14:paraId="13114CC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1418" w:type="dxa"/>
            <w:tcBorders>
              <w:top w:val="nil"/>
              <w:left w:val="nil"/>
              <w:bottom w:val="nil"/>
              <w:right w:val="nil"/>
            </w:tcBorders>
            <w:shd w:val="clear" w:color="auto" w:fill="auto"/>
            <w:noWrap/>
            <w:vAlign w:val="center"/>
            <w:hideMark/>
          </w:tcPr>
          <w:p w14:paraId="19BB117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w:t>
            </w:r>
          </w:p>
        </w:tc>
        <w:tc>
          <w:tcPr>
            <w:tcW w:w="820" w:type="dxa"/>
            <w:tcBorders>
              <w:top w:val="nil"/>
              <w:left w:val="nil"/>
              <w:bottom w:val="nil"/>
              <w:right w:val="nil"/>
            </w:tcBorders>
            <w:shd w:val="clear" w:color="auto" w:fill="auto"/>
            <w:noWrap/>
            <w:vAlign w:val="center"/>
            <w:hideMark/>
          </w:tcPr>
          <w:p w14:paraId="3898B06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4.2</w:t>
            </w:r>
          </w:p>
        </w:tc>
        <w:tc>
          <w:tcPr>
            <w:tcW w:w="850" w:type="dxa"/>
            <w:tcBorders>
              <w:top w:val="nil"/>
              <w:left w:val="nil"/>
              <w:bottom w:val="nil"/>
              <w:right w:val="nil"/>
            </w:tcBorders>
            <w:shd w:val="clear" w:color="auto" w:fill="auto"/>
            <w:noWrap/>
            <w:vAlign w:val="center"/>
            <w:hideMark/>
          </w:tcPr>
          <w:p w14:paraId="54B5556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r>
      <w:tr w:rsidR="00690754" w:rsidRPr="004624D3" w14:paraId="51B5EE79" w14:textId="77777777" w:rsidTr="00117A35">
        <w:trPr>
          <w:trHeight w:val="300"/>
        </w:trPr>
        <w:tc>
          <w:tcPr>
            <w:tcW w:w="1244" w:type="dxa"/>
            <w:vMerge/>
            <w:tcBorders>
              <w:top w:val="nil"/>
              <w:left w:val="nil"/>
              <w:bottom w:val="single" w:sz="4" w:space="0" w:color="000000"/>
              <w:right w:val="nil"/>
            </w:tcBorders>
            <w:shd w:val="clear" w:color="auto" w:fill="auto"/>
            <w:vAlign w:val="center"/>
            <w:hideMark/>
          </w:tcPr>
          <w:p w14:paraId="5AD9BD16"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single" w:sz="4" w:space="0" w:color="auto"/>
            </w:tcBorders>
            <w:shd w:val="clear" w:color="auto" w:fill="auto"/>
            <w:noWrap/>
            <w:vAlign w:val="center"/>
            <w:hideMark/>
          </w:tcPr>
          <w:p w14:paraId="6E37EAC7"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Total</w:t>
            </w:r>
          </w:p>
        </w:tc>
        <w:tc>
          <w:tcPr>
            <w:tcW w:w="1007" w:type="dxa"/>
            <w:tcBorders>
              <w:top w:val="nil"/>
              <w:bottom w:val="single" w:sz="4" w:space="0" w:color="auto"/>
              <w:right w:val="nil"/>
            </w:tcBorders>
            <w:shd w:val="clear" w:color="auto" w:fill="auto"/>
            <w:noWrap/>
            <w:vAlign w:val="center"/>
            <w:hideMark/>
          </w:tcPr>
          <w:p w14:paraId="7236C2C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911" w:type="dxa"/>
            <w:tcBorders>
              <w:top w:val="nil"/>
              <w:left w:val="nil"/>
              <w:bottom w:val="single" w:sz="4" w:space="0" w:color="auto"/>
            </w:tcBorders>
            <w:shd w:val="clear" w:color="auto" w:fill="auto"/>
            <w:noWrap/>
            <w:vAlign w:val="center"/>
            <w:hideMark/>
          </w:tcPr>
          <w:p w14:paraId="39DC7C6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single" w:sz="4" w:space="0" w:color="auto"/>
            </w:tcBorders>
            <w:shd w:val="clear" w:color="auto" w:fill="auto"/>
            <w:noWrap/>
            <w:vAlign w:val="center"/>
            <w:hideMark/>
          </w:tcPr>
          <w:p w14:paraId="5A9D695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1418" w:type="dxa"/>
            <w:tcBorders>
              <w:top w:val="nil"/>
              <w:left w:val="nil"/>
              <w:bottom w:val="single" w:sz="4" w:space="0" w:color="auto"/>
              <w:right w:val="nil"/>
            </w:tcBorders>
            <w:shd w:val="clear" w:color="auto" w:fill="auto"/>
            <w:noWrap/>
            <w:vAlign w:val="center"/>
            <w:hideMark/>
          </w:tcPr>
          <w:p w14:paraId="63DEF3F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20" w:type="dxa"/>
            <w:tcBorders>
              <w:top w:val="nil"/>
              <w:left w:val="nil"/>
              <w:bottom w:val="single" w:sz="4" w:space="0" w:color="auto"/>
              <w:right w:val="nil"/>
            </w:tcBorders>
            <w:shd w:val="clear" w:color="auto" w:fill="auto"/>
            <w:noWrap/>
            <w:vAlign w:val="center"/>
            <w:hideMark/>
          </w:tcPr>
          <w:p w14:paraId="7B43126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single" w:sz="4" w:space="0" w:color="auto"/>
              <w:right w:val="nil"/>
            </w:tcBorders>
            <w:shd w:val="clear" w:color="auto" w:fill="auto"/>
            <w:noWrap/>
            <w:vAlign w:val="center"/>
            <w:hideMark/>
          </w:tcPr>
          <w:p w14:paraId="57256C3B" w14:textId="77777777" w:rsidR="00690754" w:rsidRPr="004624D3" w:rsidRDefault="00690754" w:rsidP="00690754">
            <w:pPr>
              <w:spacing w:after="0" w:line="276" w:lineRule="auto"/>
              <w:jc w:val="right"/>
              <w:rPr>
                <w:rFonts w:ascii="Calibri" w:eastAsia="Times New Roman" w:hAnsi="Calibri" w:cs="Calibri"/>
                <w:color w:val="FFFFFF" w:themeColor="background1"/>
                <w:lang w:val="es-ES" w:eastAsia="es-ES"/>
              </w:rPr>
            </w:pPr>
            <w:r w:rsidRPr="004624D3">
              <w:rPr>
                <w:rFonts w:ascii="Calibri" w:eastAsia="Times New Roman" w:hAnsi="Calibri" w:cs="Calibri"/>
                <w:color w:val="000000"/>
                <w:lang w:val="es-ES" w:eastAsia="es-ES"/>
              </w:rPr>
              <w:t>100%</w:t>
            </w:r>
          </w:p>
        </w:tc>
      </w:tr>
      <w:tr w:rsidR="00690754" w:rsidRPr="004624D3" w14:paraId="13138777" w14:textId="77777777" w:rsidTr="00117A35">
        <w:trPr>
          <w:trHeight w:val="300"/>
        </w:trPr>
        <w:tc>
          <w:tcPr>
            <w:tcW w:w="1244" w:type="dxa"/>
            <w:vMerge w:val="restart"/>
            <w:tcBorders>
              <w:top w:val="nil"/>
              <w:left w:val="nil"/>
              <w:bottom w:val="nil"/>
              <w:right w:val="nil"/>
            </w:tcBorders>
            <w:shd w:val="clear" w:color="000000" w:fill="FFFFFF"/>
            <w:vAlign w:val="center"/>
            <w:hideMark/>
          </w:tcPr>
          <w:p w14:paraId="4B8A6608"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Stopped caring</w:t>
            </w:r>
          </w:p>
        </w:tc>
        <w:tc>
          <w:tcPr>
            <w:tcW w:w="1380" w:type="dxa"/>
            <w:tcBorders>
              <w:top w:val="nil"/>
              <w:left w:val="nil"/>
              <w:bottom w:val="nil"/>
            </w:tcBorders>
            <w:shd w:val="clear" w:color="000000" w:fill="FFFFFF"/>
            <w:noWrap/>
            <w:vAlign w:val="bottom"/>
            <w:hideMark/>
          </w:tcPr>
          <w:p w14:paraId="17792517" w14:textId="77777777" w:rsidR="00690754" w:rsidRPr="004624D3" w:rsidRDefault="00690754" w:rsidP="00690754">
            <w:pPr>
              <w:spacing w:after="0" w:line="276" w:lineRule="auto"/>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Sample (N)</w:t>
            </w:r>
          </w:p>
        </w:tc>
        <w:tc>
          <w:tcPr>
            <w:tcW w:w="1007" w:type="dxa"/>
            <w:tcBorders>
              <w:top w:val="nil"/>
              <w:bottom w:val="nil"/>
              <w:right w:val="nil"/>
            </w:tcBorders>
            <w:shd w:val="clear" w:color="000000" w:fill="FFFFFF"/>
            <w:noWrap/>
            <w:vAlign w:val="bottom"/>
            <w:hideMark/>
          </w:tcPr>
          <w:p w14:paraId="1D909137"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(137)</w:t>
            </w:r>
          </w:p>
        </w:tc>
        <w:tc>
          <w:tcPr>
            <w:tcW w:w="911" w:type="dxa"/>
            <w:tcBorders>
              <w:top w:val="nil"/>
              <w:left w:val="nil"/>
              <w:bottom w:val="nil"/>
            </w:tcBorders>
            <w:shd w:val="clear" w:color="000000" w:fill="FFFFFF"/>
            <w:noWrap/>
            <w:vAlign w:val="bottom"/>
            <w:hideMark/>
          </w:tcPr>
          <w:p w14:paraId="4E1FA4C0"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(103)</w:t>
            </w:r>
          </w:p>
        </w:tc>
        <w:tc>
          <w:tcPr>
            <w:tcW w:w="850" w:type="dxa"/>
            <w:tcBorders>
              <w:top w:val="nil"/>
              <w:left w:val="nil"/>
              <w:bottom w:val="nil"/>
            </w:tcBorders>
            <w:shd w:val="clear" w:color="000000" w:fill="FFFFFF"/>
            <w:noWrap/>
            <w:vAlign w:val="bottom"/>
            <w:hideMark/>
          </w:tcPr>
          <w:p w14:paraId="2F003550"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(58)</w:t>
            </w:r>
          </w:p>
        </w:tc>
        <w:tc>
          <w:tcPr>
            <w:tcW w:w="1418" w:type="dxa"/>
            <w:tcBorders>
              <w:top w:val="nil"/>
              <w:left w:val="nil"/>
              <w:bottom w:val="nil"/>
              <w:right w:val="nil"/>
            </w:tcBorders>
            <w:shd w:val="clear" w:color="000000" w:fill="FFFFFF"/>
            <w:noWrap/>
            <w:vAlign w:val="bottom"/>
            <w:hideMark/>
          </w:tcPr>
          <w:p w14:paraId="360A168E"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(274)</w:t>
            </w:r>
          </w:p>
        </w:tc>
        <w:tc>
          <w:tcPr>
            <w:tcW w:w="820" w:type="dxa"/>
            <w:tcBorders>
              <w:top w:val="nil"/>
              <w:left w:val="nil"/>
              <w:bottom w:val="nil"/>
              <w:right w:val="nil"/>
            </w:tcBorders>
            <w:shd w:val="clear" w:color="000000" w:fill="FFFFFF"/>
            <w:noWrap/>
            <w:vAlign w:val="bottom"/>
            <w:hideMark/>
          </w:tcPr>
          <w:p w14:paraId="3C100CEB"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(217)</w:t>
            </w:r>
          </w:p>
        </w:tc>
        <w:tc>
          <w:tcPr>
            <w:tcW w:w="850" w:type="dxa"/>
            <w:tcBorders>
              <w:top w:val="nil"/>
              <w:left w:val="nil"/>
              <w:bottom w:val="nil"/>
              <w:right w:val="nil"/>
            </w:tcBorders>
            <w:shd w:val="clear" w:color="000000" w:fill="FFFFFF"/>
            <w:noWrap/>
            <w:vAlign w:val="bottom"/>
            <w:hideMark/>
          </w:tcPr>
          <w:p w14:paraId="4ECC6A36" w14:textId="77777777" w:rsidR="00690754" w:rsidRPr="004624D3" w:rsidRDefault="00690754" w:rsidP="00690754">
            <w:pPr>
              <w:spacing w:after="0" w:line="276" w:lineRule="auto"/>
              <w:jc w:val="right"/>
              <w:rPr>
                <w:rFonts w:ascii="Calibri" w:eastAsia="Times New Roman" w:hAnsi="Calibri" w:cs="Calibri"/>
                <w:i/>
                <w:iCs/>
                <w:color w:val="000000"/>
                <w:lang w:val="es-ES" w:eastAsia="es-ES"/>
              </w:rPr>
            </w:pPr>
            <w:r w:rsidRPr="004624D3">
              <w:rPr>
                <w:rFonts w:ascii="Calibri" w:eastAsia="Times New Roman" w:hAnsi="Calibri" w:cs="Calibri"/>
                <w:i/>
                <w:iCs/>
                <w:color w:val="000000"/>
                <w:lang w:val="es-ES" w:eastAsia="es-ES"/>
              </w:rPr>
              <w:t>(106)</w:t>
            </w:r>
          </w:p>
        </w:tc>
      </w:tr>
      <w:tr w:rsidR="00690754" w:rsidRPr="004624D3" w14:paraId="1B9CE585" w14:textId="77777777" w:rsidTr="00117A35">
        <w:trPr>
          <w:trHeight w:val="300"/>
        </w:trPr>
        <w:tc>
          <w:tcPr>
            <w:tcW w:w="1244" w:type="dxa"/>
            <w:vMerge/>
            <w:tcBorders>
              <w:top w:val="nil"/>
              <w:left w:val="nil"/>
              <w:bottom w:val="nil"/>
              <w:right w:val="nil"/>
            </w:tcBorders>
            <w:vAlign w:val="center"/>
            <w:hideMark/>
          </w:tcPr>
          <w:p w14:paraId="6F409EA5"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1D13058C" w14:textId="77777777" w:rsidR="00690754" w:rsidRPr="004624D3" w:rsidRDefault="00690754" w:rsidP="00690754">
            <w:pPr>
              <w:spacing w:after="0" w:line="276" w:lineRule="auto"/>
              <w:rPr>
                <w:rFonts w:ascii="Calibri" w:eastAsia="Times New Roman" w:hAnsi="Calibri" w:cs="Calibri"/>
                <w:lang w:val="es-ES" w:eastAsia="es-ES"/>
              </w:rPr>
            </w:pPr>
            <w:r w:rsidRPr="004624D3">
              <w:rPr>
                <w:rFonts w:ascii="Calibri" w:eastAsia="Times New Roman" w:hAnsi="Calibri" w:cs="Calibri"/>
                <w:lang w:val="es-ES" w:eastAsia="es-ES"/>
              </w:rPr>
              <w:t>not caring</w:t>
            </w:r>
          </w:p>
        </w:tc>
        <w:tc>
          <w:tcPr>
            <w:tcW w:w="1007" w:type="dxa"/>
            <w:tcBorders>
              <w:top w:val="nil"/>
              <w:bottom w:val="nil"/>
              <w:right w:val="nil"/>
            </w:tcBorders>
            <w:shd w:val="clear" w:color="000000" w:fill="FFFFFF"/>
            <w:noWrap/>
            <w:vAlign w:val="center"/>
            <w:hideMark/>
          </w:tcPr>
          <w:p w14:paraId="7DC88B0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911" w:type="dxa"/>
            <w:tcBorders>
              <w:top w:val="nil"/>
              <w:left w:val="nil"/>
              <w:bottom w:val="nil"/>
            </w:tcBorders>
            <w:shd w:val="clear" w:color="000000" w:fill="FFFFFF"/>
            <w:noWrap/>
            <w:vAlign w:val="center"/>
            <w:hideMark/>
          </w:tcPr>
          <w:p w14:paraId="118A43B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28.2</w:t>
            </w:r>
          </w:p>
        </w:tc>
        <w:tc>
          <w:tcPr>
            <w:tcW w:w="850" w:type="dxa"/>
            <w:tcBorders>
              <w:top w:val="nil"/>
              <w:left w:val="nil"/>
              <w:bottom w:val="nil"/>
            </w:tcBorders>
            <w:shd w:val="clear" w:color="000000" w:fill="FFFFFF"/>
            <w:noWrap/>
            <w:vAlign w:val="center"/>
            <w:hideMark/>
          </w:tcPr>
          <w:p w14:paraId="00558C7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100.0</w:t>
            </w:r>
          </w:p>
        </w:tc>
        <w:tc>
          <w:tcPr>
            <w:tcW w:w="1418" w:type="dxa"/>
            <w:tcBorders>
              <w:top w:val="nil"/>
              <w:left w:val="nil"/>
              <w:bottom w:val="nil"/>
              <w:right w:val="nil"/>
            </w:tcBorders>
            <w:shd w:val="clear" w:color="000000" w:fill="FFFFFF"/>
            <w:noWrap/>
            <w:vAlign w:val="center"/>
            <w:hideMark/>
          </w:tcPr>
          <w:p w14:paraId="6CFB87A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820" w:type="dxa"/>
            <w:tcBorders>
              <w:top w:val="nil"/>
              <w:left w:val="nil"/>
              <w:bottom w:val="nil"/>
              <w:right w:val="nil"/>
            </w:tcBorders>
            <w:shd w:val="clear" w:color="000000" w:fill="FFFFFF"/>
            <w:noWrap/>
            <w:vAlign w:val="center"/>
            <w:hideMark/>
          </w:tcPr>
          <w:p w14:paraId="088FEF4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29.0</w:t>
            </w:r>
          </w:p>
        </w:tc>
        <w:tc>
          <w:tcPr>
            <w:tcW w:w="850" w:type="dxa"/>
            <w:tcBorders>
              <w:top w:val="nil"/>
              <w:left w:val="nil"/>
              <w:bottom w:val="nil"/>
              <w:right w:val="nil"/>
            </w:tcBorders>
            <w:shd w:val="clear" w:color="000000" w:fill="FFFFFF"/>
            <w:noWrap/>
            <w:vAlign w:val="center"/>
            <w:hideMark/>
          </w:tcPr>
          <w:p w14:paraId="14DA73E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100.0</w:t>
            </w:r>
          </w:p>
        </w:tc>
      </w:tr>
      <w:tr w:rsidR="00690754" w:rsidRPr="004624D3" w14:paraId="5E055C01" w14:textId="77777777" w:rsidTr="00117A35">
        <w:trPr>
          <w:trHeight w:val="300"/>
        </w:trPr>
        <w:tc>
          <w:tcPr>
            <w:tcW w:w="1244" w:type="dxa"/>
            <w:vMerge/>
            <w:tcBorders>
              <w:top w:val="nil"/>
              <w:left w:val="nil"/>
              <w:bottom w:val="nil"/>
              <w:right w:val="nil"/>
            </w:tcBorders>
            <w:vAlign w:val="center"/>
            <w:hideMark/>
          </w:tcPr>
          <w:p w14:paraId="6D1DE42C"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2EC7696A"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w:t>
            </w:r>
          </w:p>
        </w:tc>
        <w:tc>
          <w:tcPr>
            <w:tcW w:w="1007" w:type="dxa"/>
            <w:tcBorders>
              <w:top w:val="nil"/>
              <w:bottom w:val="nil"/>
              <w:right w:val="nil"/>
            </w:tcBorders>
            <w:shd w:val="clear" w:color="000000" w:fill="FFFFFF"/>
            <w:noWrap/>
            <w:vAlign w:val="center"/>
            <w:hideMark/>
          </w:tcPr>
          <w:p w14:paraId="3323E40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75.2</w:t>
            </w:r>
          </w:p>
        </w:tc>
        <w:tc>
          <w:tcPr>
            <w:tcW w:w="911" w:type="dxa"/>
            <w:tcBorders>
              <w:top w:val="nil"/>
              <w:left w:val="nil"/>
              <w:bottom w:val="nil"/>
            </w:tcBorders>
            <w:shd w:val="clear" w:color="000000" w:fill="FFFFFF"/>
            <w:noWrap/>
            <w:vAlign w:val="center"/>
            <w:hideMark/>
          </w:tcPr>
          <w:p w14:paraId="02F0605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53.4</w:t>
            </w:r>
          </w:p>
        </w:tc>
        <w:tc>
          <w:tcPr>
            <w:tcW w:w="850" w:type="dxa"/>
            <w:tcBorders>
              <w:top w:val="nil"/>
              <w:left w:val="nil"/>
              <w:bottom w:val="nil"/>
            </w:tcBorders>
            <w:shd w:val="clear" w:color="000000" w:fill="FFFFFF"/>
            <w:noWrap/>
            <w:vAlign w:val="center"/>
            <w:hideMark/>
          </w:tcPr>
          <w:p w14:paraId="5AAD14D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1418" w:type="dxa"/>
            <w:tcBorders>
              <w:top w:val="nil"/>
              <w:left w:val="nil"/>
              <w:bottom w:val="nil"/>
              <w:right w:val="nil"/>
            </w:tcBorders>
            <w:shd w:val="clear" w:color="000000" w:fill="FFFFFF"/>
            <w:noWrap/>
            <w:vAlign w:val="center"/>
            <w:hideMark/>
          </w:tcPr>
          <w:p w14:paraId="3D0471A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68.3</w:t>
            </w:r>
          </w:p>
        </w:tc>
        <w:tc>
          <w:tcPr>
            <w:tcW w:w="820" w:type="dxa"/>
            <w:tcBorders>
              <w:top w:val="nil"/>
              <w:left w:val="nil"/>
              <w:bottom w:val="nil"/>
              <w:right w:val="nil"/>
            </w:tcBorders>
            <w:shd w:val="clear" w:color="000000" w:fill="FFFFFF"/>
            <w:noWrap/>
            <w:vAlign w:val="center"/>
            <w:hideMark/>
          </w:tcPr>
          <w:p w14:paraId="6E8877A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46.5</w:t>
            </w:r>
          </w:p>
        </w:tc>
        <w:tc>
          <w:tcPr>
            <w:tcW w:w="850" w:type="dxa"/>
            <w:tcBorders>
              <w:top w:val="nil"/>
              <w:left w:val="nil"/>
              <w:bottom w:val="nil"/>
              <w:right w:val="nil"/>
            </w:tcBorders>
            <w:shd w:val="clear" w:color="000000" w:fill="FFFFFF"/>
            <w:noWrap/>
            <w:vAlign w:val="center"/>
            <w:hideMark/>
          </w:tcPr>
          <w:p w14:paraId="0462D15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r>
      <w:tr w:rsidR="00690754" w:rsidRPr="004624D3" w14:paraId="0ADF918E" w14:textId="77777777" w:rsidTr="00117A35">
        <w:trPr>
          <w:trHeight w:val="300"/>
        </w:trPr>
        <w:tc>
          <w:tcPr>
            <w:tcW w:w="1244" w:type="dxa"/>
            <w:vMerge/>
            <w:tcBorders>
              <w:top w:val="nil"/>
              <w:left w:val="nil"/>
              <w:bottom w:val="nil"/>
              <w:right w:val="nil"/>
            </w:tcBorders>
            <w:vAlign w:val="center"/>
            <w:hideMark/>
          </w:tcPr>
          <w:p w14:paraId="0EA78010"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4AE8964A"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10-19</w:t>
            </w:r>
          </w:p>
        </w:tc>
        <w:tc>
          <w:tcPr>
            <w:tcW w:w="1007" w:type="dxa"/>
            <w:tcBorders>
              <w:top w:val="nil"/>
              <w:bottom w:val="nil"/>
              <w:right w:val="nil"/>
            </w:tcBorders>
            <w:shd w:val="clear" w:color="000000" w:fill="FFFFFF"/>
            <w:noWrap/>
            <w:vAlign w:val="center"/>
            <w:hideMark/>
          </w:tcPr>
          <w:p w14:paraId="57DA82B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10.2</w:t>
            </w:r>
          </w:p>
        </w:tc>
        <w:tc>
          <w:tcPr>
            <w:tcW w:w="911" w:type="dxa"/>
            <w:tcBorders>
              <w:top w:val="nil"/>
              <w:left w:val="nil"/>
              <w:bottom w:val="nil"/>
            </w:tcBorders>
            <w:shd w:val="clear" w:color="000000" w:fill="FFFFFF"/>
            <w:noWrap/>
            <w:vAlign w:val="center"/>
            <w:hideMark/>
          </w:tcPr>
          <w:p w14:paraId="74D5FE5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5.8</w:t>
            </w:r>
          </w:p>
        </w:tc>
        <w:tc>
          <w:tcPr>
            <w:tcW w:w="850" w:type="dxa"/>
            <w:tcBorders>
              <w:top w:val="nil"/>
              <w:left w:val="nil"/>
              <w:bottom w:val="nil"/>
            </w:tcBorders>
            <w:shd w:val="clear" w:color="000000" w:fill="FFFFFF"/>
            <w:noWrap/>
            <w:vAlign w:val="center"/>
            <w:hideMark/>
          </w:tcPr>
          <w:p w14:paraId="508B81E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1418" w:type="dxa"/>
            <w:tcBorders>
              <w:top w:val="nil"/>
              <w:left w:val="nil"/>
              <w:bottom w:val="nil"/>
              <w:right w:val="nil"/>
            </w:tcBorders>
            <w:shd w:val="clear" w:color="000000" w:fill="FFFFFF"/>
            <w:noWrap/>
            <w:vAlign w:val="center"/>
            <w:hideMark/>
          </w:tcPr>
          <w:p w14:paraId="1304935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16.4</w:t>
            </w:r>
          </w:p>
        </w:tc>
        <w:tc>
          <w:tcPr>
            <w:tcW w:w="820" w:type="dxa"/>
            <w:tcBorders>
              <w:top w:val="nil"/>
              <w:left w:val="nil"/>
              <w:bottom w:val="nil"/>
              <w:right w:val="nil"/>
            </w:tcBorders>
            <w:shd w:val="clear" w:color="000000" w:fill="FFFFFF"/>
            <w:noWrap/>
            <w:vAlign w:val="center"/>
            <w:hideMark/>
          </w:tcPr>
          <w:p w14:paraId="3195C24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15.7</w:t>
            </w:r>
          </w:p>
        </w:tc>
        <w:tc>
          <w:tcPr>
            <w:tcW w:w="850" w:type="dxa"/>
            <w:tcBorders>
              <w:top w:val="nil"/>
              <w:left w:val="nil"/>
              <w:bottom w:val="nil"/>
              <w:right w:val="nil"/>
            </w:tcBorders>
            <w:shd w:val="clear" w:color="000000" w:fill="FFFFFF"/>
            <w:noWrap/>
            <w:vAlign w:val="center"/>
            <w:hideMark/>
          </w:tcPr>
          <w:p w14:paraId="594A1A4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r>
      <w:tr w:rsidR="00690754" w:rsidRPr="004624D3" w14:paraId="25237616" w14:textId="77777777" w:rsidTr="00117A35">
        <w:trPr>
          <w:trHeight w:val="300"/>
        </w:trPr>
        <w:tc>
          <w:tcPr>
            <w:tcW w:w="1244" w:type="dxa"/>
            <w:vMerge/>
            <w:tcBorders>
              <w:top w:val="nil"/>
              <w:left w:val="nil"/>
              <w:bottom w:val="nil"/>
              <w:right w:val="nil"/>
            </w:tcBorders>
            <w:vAlign w:val="center"/>
            <w:hideMark/>
          </w:tcPr>
          <w:p w14:paraId="3DDFB40D"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4A0B2ACB"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w:t>
            </w:r>
          </w:p>
        </w:tc>
        <w:tc>
          <w:tcPr>
            <w:tcW w:w="1007" w:type="dxa"/>
            <w:tcBorders>
              <w:top w:val="nil"/>
              <w:bottom w:val="nil"/>
              <w:right w:val="nil"/>
            </w:tcBorders>
            <w:shd w:val="clear" w:color="000000" w:fill="FFFFFF"/>
            <w:noWrap/>
            <w:vAlign w:val="center"/>
            <w:hideMark/>
          </w:tcPr>
          <w:p w14:paraId="29757FF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14.6</w:t>
            </w:r>
          </w:p>
        </w:tc>
        <w:tc>
          <w:tcPr>
            <w:tcW w:w="911" w:type="dxa"/>
            <w:tcBorders>
              <w:top w:val="nil"/>
              <w:left w:val="nil"/>
              <w:bottom w:val="nil"/>
            </w:tcBorders>
            <w:shd w:val="clear" w:color="000000" w:fill="FFFFFF"/>
            <w:noWrap/>
            <w:vAlign w:val="center"/>
            <w:hideMark/>
          </w:tcPr>
          <w:p w14:paraId="1BBA245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12.6</w:t>
            </w:r>
          </w:p>
        </w:tc>
        <w:tc>
          <w:tcPr>
            <w:tcW w:w="850" w:type="dxa"/>
            <w:tcBorders>
              <w:top w:val="nil"/>
              <w:left w:val="nil"/>
              <w:bottom w:val="nil"/>
            </w:tcBorders>
            <w:shd w:val="clear" w:color="000000" w:fill="FFFFFF"/>
            <w:noWrap/>
            <w:vAlign w:val="center"/>
            <w:hideMark/>
          </w:tcPr>
          <w:p w14:paraId="4F118EC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c>
          <w:tcPr>
            <w:tcW w:w="1418" w:type="dxa"/>
            <w:tcBorders>
              <w:top w:val="nil"/>
              <w:left w:val="nil"/>
              <w:bottom w:val="nil"/>
              <w:right w:val="nil"/>
            </w:tcBorders>
            <w:shd w:val="clear" w:color="000000" w:fill="FFFFFF"/>
            <w:noWrap/>
            <w:vAlign w:val="center"/>
            <w:hideMark/>
          </w:tcPr>
          <w:p w14:paraId="6FA01CD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15.3</w:t>
            </w:r>
          </w:p>
        </w:tc>
        <w:tc>
          <w:tcPr>
            <w:tcW w:w="820" w:type="dxa"/>
            <w:tcBorders>
              <w:top w:val="nil"/>
              <w:left w:val="nil"/>
              <w:bottom w:val="nil"/>
              <w:right w:val="nil"/>
            </w:tcBorders>
            <w:shd w:val="clear" w:color="000000" w:fill="FFFFFF"/>
            <w:noWrap/>
            <w:vAlign w:val="center"/>
            <w:hideMark/>
          </w:tcPr>
          <w:p w14:paraId="6C7F8A85"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8.8</w:t>
            </w:r>
          </w:p>
        </w:tc>
        <w:tc>
          <w:tcPr>
            <w:tcW w:w="850" w:type="dxa"/>
            <w:tcBorders>
              <w:top w:val="nil"/>
              <w:left w:val="nil"/>
              <w:bottom w:val="nil"/>
              <w:right w:val="nil"/>
            </w:tcBorders>
            <w:shd w:val="clear" w:color="000000" w:fill="FFFFFF"/>
            <w:noWrap/>
            <w:vAlign w:val="center"/>
            <w:hideMark/>
          </w:tcPr>
          <w:p w14:paraId="73F1FA7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w:t>
            </w:r>
          </w:p>
        </w:tc>
      </w:tr>
      <w:tr w:rsidR="00690754" w:rsidRPr="004624D3" w14:paraId="49D2CADB" w14:textId="77777777" w:rsidTr="00117A35">
        <w:trPr>
          <w:trHeight w:val="300"/>
        </w:trPr>
        <w:tc>
          <w:tcPr>
            <w:tcW w:w="1244" w:type="dxa"/>
            <w:vMerge/>
            <w:tcBorders>
              <w:top w:val="nil"/>
              <w:left w:val="nil"/>
              <w:bottom w:val="nil"/>
              <w:right w:val="nil"/>
            </w:tcBorders>
            <w:vAlign w:val="center"/>
            <w:hideMark/>
          </w:tcPr>
          <w:p w14:paraId="5C75FA64" w14:textId="77777777" w:rsidR="00690754" w:rsidRPr="004624D3" w:rsidRDefault="00690754" w:rsidP="00690754">
            <w:pPr>
              <w:spacing w:after="0" w:line="276" w:lineRule="auto"/>
              <w:rPr>
                <w:rFonts w:ascii="Calibri" w:eastAsia="Times New Roman" w:hAnsi="Calibri" w:cs="Calibri"/>
                <w:lang w:val="es-ES" w:eastAsia="es-ES"/>
              </w:rPr>
            </w:pPr>
          </w:p>
        </w:tc>
        <w:tc>
          <w:tcPr>
            <w:tcW w:w="1380" w:type="dxa"/>
            <w:tcBorders>
              <w:top w:val="nil"/>
              <w:left w:val="nil"/>
              <w:bottom w:val="nil"/>
            </w:tcBorders>
            <w:shd w:val="clear" w:color="000000" w:fill="FFFFFF"/>
            <w:noWrap/>
            <w:vAlign w:val="center"/>
            <w:hideMark/>
          </w:tcPr>
          <w:p w14:paraId="3513A459"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Total</w:t>
            </w:r>
          </w:p>
        </w:tc>
        <w:tc>
          <w:tcPr>
            <w:tcW w:w="1007" w:type="dxa"/>
            <w:tcBorders>
              <w:top w:val="nil"/>
              <w:bottom w:val="nil"/>
              <w:right w:val="nil"/>
            </w:tcBorders>
            <w:shd w:val="clear" w:color="000000" w:fill="FFFFFF"/>
            <w:noWrap/>
            <w:vAlign w:val="center"/>
            <w:hideMark/>
          </w:tcPr>
          <w:p w14:paraId="4D94B1E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911" w:type="dxa"/>
            <w:tcBorders>
              <w:top w:val="nil"/>
              <w:left w:val="nil"/>
              <w:bottom w:val="nil"/>
            </w:tcBorders>
            <w:shd w:val="clear" w:color="000000" w:fill="FFFFFF"/>
            <w:noWrap/>
            <w:vAlign w:val="center"/>
            <w:hideMark/>
          </w:tcPr>
          <w:p w14:paraId="5C793D3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nil"/>
            </w:tcBorders>
            <w:shd w:val="clear" w:color="000000" w:fill="FFFFFF"/>
            <w:noWrap/>
            <w:vAlign w:val="center"/>
            <w:hideMark/>
          </w:tcPr>
          <w:p w14:paraId="322E221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1418" w:type="dxa"/>
            <w:tcBorders>
              <w:top w:val="nil"/>
              <w:left w:val="nil"/>
              <w:bottom w:val="nil"/>
              <w:right w:val="nil"/>
            </w:tcBorders>
            <w:shd w:val="clear" w:color="000000" w:fill="FFFFFF"/>
            <w:noWrap/>
            <w:vAlign w:val="center"/>
            <w:hideMark/>
          </w:tcPr>
          <w:p w14:paraId="2EDEFEF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20" w:type="dxa"/>
            <w:tcBorders>
              <w:top w:val="nil"/>
              <w:left w:val="nil"/>
              <w:bottom w:val="nil"/>
              <w:right w:val="nil"/>
            </w:tcBorders>
            <w:shd w:val="clear" w:color="000000" w:fill="FFFFFF"/>
            <w:noWrap/>
            <w:vAlign w:val="center"/>
            <w:hideMark/>
          </w:tcPr>
          <w:p w14:paraId="3BE8E49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c>
          <w:tcPr>
            <w:tcW w:w="850" w:type="dxa"/>
            <w:tcBorders>
              <w:top w:val="nil"/>
              <w:left w:val="nil"/>
              <w:bottom w:val="nil"/>
              <w:right w:val="nil"/>
            </w:tcBorders>
            <w:shd w:val="clear" w:color="000000" w:fill="FFFFFF"/>
            <w:noWrap/>
            <w:vAlign w:val="center"/>
            <w:hideMark/>
          </w:tcPr>
          <w:p w14:paraId="70961C9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w:t>
            </w:r>
          </w:p>
        </w:tc>
      </w:tr>
      <w:tr w:rsidR="00690754" w:rsidRPr="004624D3" w14:paraId="666D9337" w14:textId="77777777" w:rsidTr="00117A35">
        <w:trPr>
          <w:trHeight w:val="300"/>
        </w:trPr>
        <w:tc>
          <w:tcPr>
            <w:tcW w:w="1244" w:type="dxa"/>
            <w:tcBorders>
              <w:top w:val="single" w:sz="4" w:space="0" w:color="auto"/>
              <w:left w:val="nil"/>
              <w:bottom w:val="nil"/>
              <w:right w:val="nil"/>
            </w:tcBorders>
            <w:shd w:val="clear" w:color="auto" w:fill="auto"/>
            <w:noWrap/>
            <w:vAlign w:val="bottom"/>
            <w:hideMark/>
          </w:tcPr>
          <w:p w14:paraId="36BD07DB" w14:textId="77777777" w:rsidR="00690754" w:rsidRPr="004624D3" w:rsidRDefault="00690754" w:rsidP="00690754">
            <w:pPr>
              <w:spacing w:after="0" w:line="276" w:lineRule="auto"/>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Total N</w:t>
            </w:r>
          </w:p>
        </w:tc>
        <w:tc>
          <w:tcPr>
            <w:tcW w:w="1380" w:type="dxa"/>
            <w:tcBorders>
              <w:top w:val="single" w:sz="4" w:space="0" w:color="auto"/>
              <w:left w:val="nil"/>
              <w:bottom w:val="nil"/>
            </w:tcBorders>
            <w:shd w:val="clear" w:color="auto" w:fill="auto"/>
            <w:noWrap/>
            <w:vAlign w:val="bottom"/>
            <w:hideMark/>
          </w:tcPr>
          <w:p w14:paraId="0CE31D4D" w14:textId="77777777" w:rsidR="00690754" w:rsidRPr="004624D3" w:rsidRDefault="00690754" w:rsidP="00690754">
            <w:pPr>
              <w:spacing w:after="0" w:line="276" w:lineRule="auto"/>
              <w:rPr>
                <w:rFonts w:ascii="Calibri" w:eastAsia="Times New Roman" w:hAnsi="Calibri" w:cs="Calibri"/>
                <w:bCs/>
                <w:color w:val="000000"/>
                <w:lang w:val="es-ES" w:eastAsia="es-ES"/>
              </w:rPr>
            </w:pPr>
          </w:p>
        </w:tc>
        <w:tc>
          <w:tcPr>
            <w:tcW w:w="1007" w:type="dxa"/>
            <w:tcBorders>
              <w:top w:val="single" w:sz="4" w:space="0" w:color="auto"/>
              <w:bottom w:val="nil"/>
              <w:right w:val="nil"/>
            </w:tcBorders>
            <w:shd w:val="clear" w:color="000000" w:fill="FFFFFF"/>
            <w:noWrap/>
            <w:vAlign w:val="center"/>
            <w:hideMark/>
          </w:tcPr>
          <w:p w14:paraId="7FE7C40C"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(2,550)</w:t>
            </w:r>
          </w:p>
        </w:tc>
        <w:tc>
          <w:tcPr>
            <w:tcW w:w="911" w:type="dxa"/>
            <w:tcBorders>
              <w:top w:val="single" w:sz="4" w:space="0" w:color="auto"/>
              <w:left w:val="nil"/>
              <w:bottom w:val="nil"/>
            </w:tcBorders>
            <w:shd w:val="clear" w:color="000000" w:fill="FFFFFF"/>
            <w:noWrap/>
            <w:vAlign w:val="center"/>
            <w:hideMark/>
          </w:tcPr>
          <w:p w14:paraId="7958FF96"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(2,518)</w:t>
            </w:r>
          </w:p>
        </w:tc>
        <w:tc>
          <w:tcPr>
            <w:tcW w:w="850" w:type="dxa"/>
            <w:tcBorders>
              <w:top w:val="single" w:sz="4" w:space="0" w:color="auto"/>
              <w:left w:val="nil"/>
              <w:bottom w:val="nil"/>
            </w:tcBorders>
            <w:shd w:val="clear" w:color="000000" w:fill="FFFFFF"/>
            <w:noWrap/>
            <w:vAlign w:val="center"/>
            <w:hideMark/>
          </w:tcPr>
          <w:p w14:paraId="665207D0"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(2,349)</w:t>
            </w:r>
          </w:p>
        </w:tc>
        <w:tc>
          <w:tcPr>
            <w:tcW w:w="1418" w:type="dxa"/>
            <w:tcBorders>
              <w:top w:val="single" w:sz="4" w:space="0" w:color="auto"/>
              <w:left w:val="nil"/>
              <w:bottom w:val="nil"/>
              <w:right w:val="nil"/>
            </w:tcBorders>
            <w:shd w:val="clear" w:color="000000" w:fill="FFFFFF"/>
            <w:noWrap/>
            <w:vAlign w:val="center"/>
            <w:hideMark/>
          </w:tcPr>
          <w:p w14:paraId="7402AD2C"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(2,532)</w:t>
            </w:r>
          </w:p>
        </w:tc>
        <w:tc>
          <w:tcPr>
            <w:tcW w:w="820" w:type="dxa"/>
            <w:tcBorders>
              <w:top w:val="single" w:sz="4" w:space="0" w:color="auto"/>
              <w:left w:val="nil"/>
              <w:bottom w:val="nil"/>
              <w:right w:val="nil"/>
            </w:tcBorders>
            <w:shd w:val="clear" w:color="000000" w:fill="FFFFFF"/>
            <w:noWrap/>
            <w:vAlign w:val="center"/>
            <w:hideMark/>
          </w:tcPr>
          <w:p w14:paraId="25BA5F6E"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(2,475)</w:t>
            </w:r>
          </w:p>
        </w:tc>
        <w:tc>
          <w:tcPr>
            <w:tcW w:w="850" w:type="dxa"/>
            <w:tcBorders>
              <w:top w:val="single" w:sz="4" w:space="0" w:color="auto"/>
              <w:left w:val="nil"/>
              <w:bottom w:val="nil"/>
              <w:right w:val="nil"/>
            </w:tcBorders>
            <w:shd w:val="clear" w:color="000000" w:fill="FFFFFF"/>
            <w:noWrap/>
            <w:vAlign w:val="center"/>
            <w:hideMark/>
          </w:tcPr>
          <w:p w14:paraId="79EBCEE8" w14:textId="77777777" w:rsidR="00690754" w:rsidRPr="004624D3" w:rsidRDefault="00690754" w:rsidP="00690754">
            <w:pPr>
              <w:spacing w:after="0" w:line="276" w:lineRule="auto"/>
              <w:jc w:val="right"/>
              <w:rPr>
                <w:rFonts w:ascii="Calibri" w:eastAsia="Times New Roman" w:hAnsi="Calibri" w:cs="Calibri"/>
                <w:bCs/>
                <w:color w:val="000000"/>
                <w:lang w:val="es-ES" w:eastAsia="es-ES"/>
              </w:rPr>
            </w:pPr>
            <w:r w:rsidRPr="004624D3">
              <w:rPr>
                <w:rFonts w:ascii="Calibri" w:eastAsia="Times New Roman" w:hAnsi="Calibri" w:cs="Calibri"/>
                <w:bCs/>
                <w:color w:val="000000"/>
                <w:lang w:val="es-ES" w:eastAsia="es-ES"/>
              </w:rPr>
              <w:t>(2,180)</w:t>
            </w:r>
          </w:p>
        </w:tc>
      </w:tr>
      <w:tr w:rsidR="00800F33" w:rsidRPr="004624D3" w14:paraId="49115E9D" w14:textId="77777777" w:rsidTr="00B54E0E">
        <w:trPr>
          <w:trHeight w:val="300"/>
        </w:trPr>
        <w:tc>
          <w:tcPr>
            <w:tcW w:w="7630" w:type="dxa"/>
            <w:gridSpan w:val="7"/>
            <w:tcBorders>
              <w:top w:val="nil"/>
              <w:left w:val="nil"/>
              <w:bottom w:val="nil"/>
            </w:tcBorders>
            <w:shd w:val="clear" w:color="auto" w:fill="auto"/>
            <w:noWrap/>
            <w:vAlign w:val="bottom"/>
            <w:hideMark/>
          </w:tcPr>
          <w:p w14:paraId="37D89023" w14:textId="1699E64C" w:rsidR="00800F33" w:rsidRPr="004624D3" w:rsidRDefault="00800F33" w:rsidP="00690754">
            <w:pPr>
              <w:spacing w:after="0" w:line="276" w:lineRule="auto"/>
              <w:rPr>
                <w:rFonts w:ascii="Times New Roman" w:eastAsia="Times New Roman" w:hAnsi="Times New Roman" w:cs="Times New Roman"/>
                <w:sz w:val="20"/>
                <w:szCs w:val="20"/>
                <w:lang w:eastAsia="es-ES"/>
              </w:rPr>
            </w:pPr>
            <w:r w:rsidRPr="004624D3">
              <w:rPr>
                <w:rFonts w:ascii="Calibri" w:eastAsia="Times New Roman" w:hAnsi="Calibri" w:cs="Calibri"/>
                <w:color w:val="000000"/>
                <w:lang w:eastAsia="es-ES"/>
              </w:rPr>
              <w:t>(*) Individuals who cared for someone at least in one wave</w:t>
            </w:r>
          </w:p>
        </w:tc>
        <w:tc>
          <w:tcPr>
            <w:tcW w:w="850" w:type="dxa"/>
            <w:tcBorders>
              <w:top w:val="nil"/>
              <w:left w:val="nil"/>
              <w:bottom w:val="nil"/>
              <w:right w:val="nil"/>
            </w:tcBorders>
            <w:shd w:val="clear" w:color="auto" w:fill="auto"/>
            <w:noWrap/>
            <w:vAlign w:val="bottom"/>
            <w:hideMark/>
          </w:tcPr>
          <w:p w14:paraId="0A1E578C" w14:textId="77777777" w:rsidR="00800F33" w:rsidRPr="004624D3" w:rsidRDefault="00800F33" w:rsidP="00690754">
            <w:pPr>
              <w:spacing w:after="0" w:line="276" w:lineRule="auto"/>
              <w:rPr>
                <w:rFonts w:ascii="Times New Roman" w:eastAsia="Times New Roman" w:hAnsi="Times New Roman" w:cs="Times New Roman"/>
                <w:sz w:val="20"/>
                <w:szCs w:val="20"/>
                <w:lang w:eastAsia="es-ES"/>
              </w:rPr>
            </w:pPr>
          </w:p>
        </w:tc>
      </w:tr>
    </w:tbl>
    <w:p w14:paraId="32D31859" w14:textId="77777777" w:rsidR="00690754" w:rsidRPr="004624D3" w:rsidRDefault="00690754" w:rsidP="00690754">
      <w:pPr>
        <w:spacing w:after="0" w:line="480" w:lineRule="auto"/>
      </w:pPr>
      <w:r w:rsidRPr="004624D3">
        <w:t>Source: Authors’ analysis of NCDS.</w:t>
      </w:r>
    </w:p>
    <w:p w14:paraId="090A7C7B" w14:textId="77777777" w:rsidR="00690754" w:rsidRPr="004624D3" w:rsidRDefault="00690754">
      <w:pPr>
        <w:rPr>
          <w:rFonts w:eastAsia="Times New Roman" w:cs="Times New Roman"/>
          <w:bCs/>
          <w:color w:val="000000"/>
        </w:rPr>
      </w:pPr>
      <w:r w:rsidRPr="004624D3">
        <w:rPr>
          <w:rFonts w:eastAsia="Times New Roman" w:cs="Times New Roman"/>
          <w:bCs/>
          <w:color w:val="000000"/>
        </w:rPr>
        <w:br w:type="page"/>
      </w:r>
    </w:p>
    <w:p w14:paraId="725639FF" w14:textId="77777777" w:rsidR="00690754" w:rsidRPr="004624D3" w:rsidRDefault="00690754" w:rsidP="00690754">
      <w:pPr>
        <w:spacing w:after="0" w:line="480" w:lineRule="auto"/>
      </w:pPr>
      <w:r w:rsidRPr="004624D3">
        <w:rPr>
          <w:rFonts w:ascii="Calibri" w:eastAsia="Times New Roman" w:hAnsi="Calibri" w:cs="Calibri"/>
          <w:b/>
          <w:bCs/>
          <w:color w:val="000000"/>
          <w:lang w:eastAsia="es-ES"/>
        </w:rPr>
        <w:lastRenderedPageBreak/>
        <w:t>Table 5. Individuals by caring trajectories according to depression status and gender (age 55) (%, N).</w:t>
      </w:r>
    </w:p>
    <w:tbl>
      <w:tblPr>
        <w:tblW w:w="8222" w:type="dxa"/>
        <w:tblCellMar>
          <w:left w:w="70" w:type="dxa"/>
          <w:right w:w="70" w:type="dxa"/>
        </w:tblCellMar>
        <w:tblLook w:val="04A0" w:firstRow="1" w:lastRow="0" w:firstColumn="1" w:lastColumn="0" w:noHBand="0" w:noVBand="1"/>
      </w:tblPr>
      <w:tblGrid>
        <w:gridCol w:w="2152"/>
        <w:gridCol w:w="1455"/>
        <w:gridCol w:w="1163"/>
        <w:gridCol w:w="1893"/>
        <w:gridCol w:w="1559"/>
      </w:tblGrid>
      <w:tr w:rsidR="00690754" w:rsidRPr="004624D3" w14:paraId="6E2A4957" w14:textId="77777777" w:rsidTr="00117A35">
        <w:trPr>
          <w:trHeight w:val="300"/>
        </w:trPr>
        <w:tc>
          <w:tcPr>
            <w:tcW w:w="2152" w:type="dxa"/>
            <w:tcBorders>
              <w:top w:val="single" w:sz="4" w:space="0" w:color="auto"/>
              <w:left w:val="nil"/>
              <w:bottom w:val="nil"/>
              <w:right w:val="nil"/>
            </w:tcBorders>
            <w:shd w:val="clear" w:color="auto" w:fill="auto"/>
            <w:noWrap/>
            <w:vAlign w:val="bottom"/>
            <w:hideMark/>
          </w:tcPr>
          <w:p w14:paraId="70FBD821" w14:textId="0A9CD50A" w:rsidR="00690754" w:rsidRPr="004624D3" w:rsidRDefault="005908F0" w:rsidP="00690754">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val="es-ES" w:eastAsia="es-ES"/>
              </w:rPr>
              <w:t>Row percentages</w:t>
            </w:r>
          </w:p>
        </w:tc>
        <w:tc>
          <w:tcPr>
            <w:tcW w:w="2618" w:type="dxa"/>
            <w:gridSpan w:val="2"/>
            <w:tcBorders>
              <w:top w:val="single" w:sz="4" w:space="0" w:color="auto"/>
              <w:left w:val="nil"/>
              <w:bottom w:val="nil"/>
              <w:right w:val="nil"/>
            </w:tcBorders>
            <w:shd w:val="clear" w:color="auto" w:fill="auto"/>
            <w:noWrap/>
            <w:vAlign w:val="bottom"/>
            <w:hideMark/>
          </w:tcPr>
          <w:p w14:paraId="089F6ACB" w14:textId="4709BE61"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Males </w:t>
            </w:r>
          </w:p>
        </w:tc>
        <w:tc>
          <w:tcPr>
            <w:tcW w:w="3452" w:type="dxa"/>
            <w:gridSpan w:val="2"/>
            <w:tcBorders>
              <w:top w:val="single" w:sz="4" w:space="0" w:color="auto"/>
              <w:left w:val="nil"/>
              <w:bottom w:val="nil"/>
              <w:right w:val="nil"/>
            </w:tcBorders>
            <w:shd w:val="clear" w:color="auto" w:fill="auto"/>
            <w:noWrap/>
            <w:vAlign w:val="bottom"/>
            <w:hideMark/>
          </w:tcPr>
          <w:p w14:paraId="66D0AA83" w14:textId="43419BFB" w:rsidR="00690754" w:rsidRPr="004624D3" w:rsidRDefault="00690754" w:rsidP="001877EF">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Females </w:t>
            </w:r>
          </w:p>
        </w:tc>
      </w:tr>
      <w:tr w:rsidR="00690754" w:rsidRPr="004624D3" w14:paraId="4A8697EA" w14:textId="77777777" w:rsidTr="00117A35">
        <w:trPr>
          <w:trHeight w:val="300"/>
        </w:trPr>
        <w:tc>
          <w:tcPr>
            <w:tcW w:w="2152" w:type="dxa"/>
            <w:tcBorders>
              <w:top w:val="nil"/>
              <w:left w:val="nil"/>
              <w:bottom w:val="single" w:sz="4" w:space="0" w:color="auto"/>
              <w:right w:val="nil"/>
            </w:tcBorders>
            <w:shd w:val="clear" w:color="auto" w:fill="auto"/>
            <w:noWrap/>
            <w:vAlign w:val="bottom"/>
            <w:hideMark/>
          </w:tcPr>
          <w:p w14:paraId="674C8211" w14:textId="77777777" w:rsidR="00690754" w:rsidRPr="004624D3" w:rsidRDefault="00690754" w:rsidP="00690754">
            <w:pPr>
              <w:spacing w:after="0" w:line="276" w:lineRule="auto"/>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Trajectories</w:t>
            </w:r>
          </w:p>
        </w:tc>
        <w:tc>
          <w:tcPr>
            <w:tcW w:w="1455" w:type="dxa"/>
            <w:tcBorders>
              <w:top w:val="nil"/>
              <w:left w:val="nil"/>
              <w:bottom w:val="single" w:sz="4" w:space="0" w:color="auto"/>
              <w:right w:val="nil"/>
            </w:tcBorders>
            <w:shd w:val="clear" w:color="auto" w:fill="auto"/>
            <w:noWrap/>
            <w:vAlign w:val="bottom"/>
            <w:hideMark/>
          </w:tcPr>
          <w:p w14:paraId="7D26C2EE"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No depression</w:t>
            </w:r>
          </w:p>
        </w:tc>
        <w:tc>
          <w:tcPr>
            <w:tcW w:w="1163" w:type="dxa"/>
            <w:tcBorders>
              <w:top w:val="nil"/>
              <w:left w:val="nil"/>
              <w:bottom w:val="single" w:sz="4" w:space="0" w:color="auto"/>
              <w:right w:val="nil"/>
            </w:tcBorders>
            <w:shd w:val="clear" w:color="auto" w:fill="auto"/>
            <w:noWrap/>
            <w:vAlign w:val="bottom"/>
            <w:hideMark/>
          </w:tcPr>
          <w:p w14:paraId="53110EDC"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Depression</w:t>
            </w:r>
          </w:p>
        </w:tc>
        <w:tc>
          <w:tcPr>
            <w:tcW w:w="1893" w:type="dxa"/>
            <w:tcBorders>
              <w:top w:val="nil"/>
              <w:left w:val="nil"/>
              <w:bottom w:val="single" w:sz="4" w:space="0" w:color="auto"/>
              <w:right w:val="nil"/>
            </w:tcBorders>
            <w:shd w:val="clear" w:color="auto" w:fill="auto"/>
            <w:noWrap/>
            <w:vAlign w:val="bottom"/>
            <w:hideMark/>
          </w:tcPr>
          <w:p w14:paraId="5073E510"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No depression</w:t>
            </w:r>
          </w:p>
        </w:tc>
        <w:tc>
          <w:tcPr>
            <w:tcW w:w="1559" w:type="dxa"/>
            <w:tcBorders>
              <w:top w:val="nil"/>
              <w:left w:val="nil"/>
              <w:bottom w:val="single" w:sz="4" w:space="0" w:color="auto"/>
              <w:right w:val="nil"/>
            </w:tcBorders>
            <w:shd w:val="clear" w:color="auto" w:fill="auto"/>
            <w:noWrap/>
            <w:vAlign w:val="bottom"/>
            <w:hideMark/>
          </w:tcPr>
          <w:p w14:paraId="09277A2C"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Depression</w:t>
            </w:r>
          </w:p>
        </w:tc>
      </w:tr>
      <w:tr w:rsidR="00690754" w:rsidRPr="004624D3" w14:paraId="1536BD58" w14:textId="77777777" w:rsidTr="00117A35">
        <w:trPr>
          <w:trHeight w:val="300"/>
        </w:trPr>
        <w:tc>
          <w:tcPr>
            <w:tcW w:w="2152" w:type="dxa"/>
            <w:tcBorders>
              <w:top w:val="nil"/>
              <w:left w:val="nil"/>
              <w:bottom w:val="single" w:sz="4" w:space="0" w:color="auto"/>
              <w:right w:val="nil"/>
            </w:tcBorders>
            <w:shd w:val="clear" w:color="auto" w:fill="auto"/>
            <w:noWrap/>
            <w:vAlign w:val="bottom"/>
            <w:hideMark/>
          </w:tcPr>
          <w:p w14:paraId="287ED31C" w14:textId="446AF8B8"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Sample </w:t>
            </w:r>
            <w:r w:rsidR="00DF1257" w:rsidRPr="004624D3">
              <w:rPr>
                <w:rFonts w:ascii="Calibri" w:eastAsia="Times New Roman" w:hAnsi="Calibri" w:cs="Calibri"/>
                <w:color w:val="000000"/>
                <w:lang w:val="es-ES" w:eastAsia="es-ES"/>
              </w:rPr>
              <w:t>(</w:t>
            </w:r>
            <w:r w:rsidRPr="004624D3">
              <w:rPr>
                <w:rFonts w:ascii="Calibri" w:eastAsia="Times New Roman" w:hAnsi="Calibri" w:cs="Calibri"/>
                <w:color w:val="000000"/>
                <w:lang w:val="es-ES" w:eastAsia="es-ES"/>
              </w:rPr>
              <w:t>N</w:t>
            </w:r>
            <w:r w:rsidR="00DF1257" w:rsidRPr="004624D3">
              <w:rPr>
                <w:rFonts w:ascii="Calibri" w:eastAsia="Times New Roman" w:hAnsi="Calibri" w:cs="Calibri"/>
                <w:color w:val="000000"/>
                <w:lang w:val="es-ES" w:eastAsia="es-ES"/>
              </w:rPr>
              <w:t>)</w:t>
            </w:r>
          </w:p>
        </w:tc>
        <w:tc>
          <w:tcPr>
            <w:tcW w:w="1455" w:type="dxa"/>
            <w:tcBorders>
              <w:top w:val="nil"/>
              <w:left w:val="nil"/>
              <w:bottom w:val="single" w:sz="4" w:space="0" w:color="auto"/>
              <w:right w:val="nil"/>
            </w:tcBorders>
            <w:shd w:val="clear" w:color="auto" w:fill="auto"/>
            <w:noWrap/>
            <w:vAlign w:val="bottom"/>
            <w:hideMark/>
          </w:tcPr>
          <w:p w14:paraId="2475B09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(3,106)</w:t>
            </w:r>
          </w:p>
        </w:tc>
        <w:tc>
          <w:tcPr>
            <w:tcW w:w="1163" w:type="dxa"/>
            <w:tcBorders>
              <w:top w:val="nil"/>
              <w:left w:val="nil"/>
              <w:bottom w:val="single" w:sz="4" w:space="0" w:color="auto"/>
              <w:right w:val="nil"/>
            </w:tcBorders>
            <w:shd w:val="clear" w:color="auto" w:fill="auto"/>
            <w:noWrap/>
            <w:vAlign w:val="bottom"/>
            <w:hideMark/>
          </w:tcPr>
          <w:p w14:paraId="52054FE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(314)</w:t>
            </w:r>
          </w:p>
        </w:tc>
        <w:tc>
          <w:tcPr>
            <w:tcW w:w="1893" w:type="dxa"/>
            <w:tcBorders>
              <w:top w:val="nil"/>
              <w:left w:val="nil"/>
              <w:bottom w:val="single" w:sz="4" w:space="0" w:color="auto"/>
              <w:right w:val="nil"/>
            </w:tcBorders>
            <w:shd w:val="clear" w:color="auto" w:fill="auto"/>
            <w:noWrap/>
            <w:vAlign w:val="bottom"/>
            <w:hideMark/>
          </w:tcPr>
          <w:p w14:paraId="30D714B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(3,049)</w:t>
            </w:r>
          </w:p>
        </w:tc>
        <w:tc>
          <w:tcPr>
            <w:tcW w:w="1559" w:type="dxa"/>
            <w:tcBorders>
              <w:top w:val="nil"/>
              <w:left w:val="nil"/>
              <w:bottom w:val="single" w:sz="4" w:space="0" w:color="auto"/>
              <w:right w:val="nil"/>
            </w:tcBorders>
            <w:shd w:val="clear" w:color="auto" w:fill="auto"/>
            <w:noWrap/>
            <w:vAlign w:val="bottom"/>
            <w:hideMark/>
          </w:tcPr>
          <w:p w14:paraId="46430C2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(541)</w:t>
            </w:r>
          </w:p>
        </w:tc>
      </w:tr>
      <w:tr w:rsidR="00690754" w:rsidRPr="004624D3" w14:paraId="157EC014" w14:textId="77777777" w:rsidTr="00117A35">
        <w:trPr>
          <w:trHeight w:val="300"/>
        </w:trPr>
        <w:tc>
          <w:tcPr>
            <w:tcW w:w="2152" w:type="dxa"/>
            <w:tcBorders>
              <w:top w:val="nil"/>
              <w:left w:val="nil"/>
              <w:bottom w:val="nil"/>
              <w:right w:val="nil"/>
            </w:tcBorders>
            <w:shd w:val="clear" w:color="auto" w:fill="auto"/>
            <w:noWrap/>
            <w:vAlign w:val="bottom"/>
            <w:hideMark/>
          </w:tcPr>
          <w:p w14:paraId="700A85C6" w14:textId="196D22F8" w:rsidR="00690754" w:rsidRPr="004624D3" w:rsidRDefault="007B2B8A"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Repeat</w:t>
            </w:r>
            <w:r w:rsidR="00690754" w:rsidRPr="004624D3">
              <w:rPr>
                <w:rFonts w:ascii="Calibri" w:eastAsia="Times New Roman" w:hAnsi="Calibri" w:cs="Calibri"/>
                <w:color w:val="000000"/>
                <w:lang w:val="es-ES" w:eastAsia="es-ES"/>
              </w:rPr>
              <w:t xml:space="preserve"> carers</w:t>
            </w:r>
          </w:p>
        </w:tc>
        <w:tc>
          <w:tcPr>
            <w:tcW w:w="1455" w:type="dxa"/>
            <w:tcBorders>
              <w:top w:val="nil"/>
              <w:left w:val="nil"/>
              <w:bottom w:val="nil"/>
              <w:right w:val="nil"/>
            </w:tcBorders>
            <w:shd w:val="clear" w:color="auto" w:fill="auto"/>
            <w:noWrap/>
            <w:vAlign w:val="bottom"/>
            <w:hideMark/>
          </w:tcPr>
          <w:p w14:paraId="5EBAEE98" w14:textId="77777777" w:rsidR="00690754" w:rsidRPr="004624D3" w:rsidRDefault="00690754" w:rsidP="00690754">
            <w:pPr>
              <w:spacing w:after="0" w:line="276" w:lineRule="auto"/>
              <w:jc w:val="right"/>
              <w:rPr>
                <w:rFonts w:ascii="Calibri" w:eastAsia="Times New Roman" w:hAnsi="Calibri" w:cs="Calibri"/>
                <w:lang w:val="es-ES" w:eastAsia="es-ES"/>
              </w:rPr>
            </w:pPr>
            <w:r w:rsidRPr="004624D3">
              <w:rPr>
                <w:rFonts w:ascii="Calibri" w:eastAsia="Times New Roman" w:hAnsi="Calibri" w:cs="Calibri"/>
                <w:lang w:val="es-ES" w:eastAsia="es-ES"/>
              </w:rPr>
              <w:t>89.2</w:t>
            </w:r>
          </w:p>
        </w:tc>
        <w:tc>
          <w:tcPr>
            <w:tcW w:w="1163" w:type="dxa"/>
            <w:tcBorders>
              <w:top w:val="nil"/>
              <w:left w:val="nil"/>
              <w:bottom w:val="nil"/>
              <w:right w:val="nil"/>
            </w:tcBorders>
            <w:shd w:val="clear" w:color="auto" w:fill="auto"/>
            <w:noWrap/>
            <w:vAlign w:val="bottom"/>
            <w:hideMark/>
          </w:tcPr>
          <w:p w14:paraId="44602C3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10.8</w:t>
            </w:r>
          </w:p>
        </w:tc>
        <w:tc>
          <w:tcPr>
            <w:tcW w:w="1893" w:type="dxa"/>
            <w:tcBorders>
              <w:top w:val="nil"/>
              <w:left w:val="nil"/>
              <w:bottom w:val="nil"/>
              <w:right w:val="nil"/>
            </w:tcBorders>
            <w:shd w:val="clear" w:color="auto" w:fill="auto"/>
            <w:noWrap/>
            <w:vAlign w:val="bottom"/>
            <w:hideMark/>
          </w:tcPr>
          <w:p w14:paraId="388C07A7"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83.1</w:t>
            </w:r>
          </w:p>
        </w:tc>
        <w:tc>
          <w:tcPr>
            <w:tcW w:w="1559" w:type="dxa"/>
            <w:tcBorders>
              <w:top w:val="nil"/>
              <w:left w:val="nil"/>
              <w:bottom w:val="nil"/>
              <w:right w:val="nil"/>
            </w:tcBorders>
            <w:shd w:val="clear" w:color="auto" w:fill="auto"/>
            <w:noWrap/>
            <w:vAlign w:val="bottom"/>
            <w:hideMark/>
          </w:tcPr>
          <w:p w14:paraId="6F0E5FD1" w14:textId="339F1945" w:rsidR="00690754" w:rsidRPr="004624D3" w:rsidRDefault="00690754" w:rsidP="00117A35">
            <w:pPr>
              <w:spacing w:after="0" w:line="276" w:lineRule="auto"/>
              <w:ind w:left="776"/>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16.9</w:t>
            </w:r>
          </w:p>
        </w:tc>
      </w:tr>
      <w:tr w:rsidR="00690754" w:rsidRPr="004624D3" w14:paraId="3DD1ACC5" w14:textId="77777777" w:rsidTr="00117A35">
        <w:trPr>
          <w:trHeight w:val="300"/>
        </w:trPr>
        <w:tc>
          <w:tcPr>
            <w:tcW w:w="2152" w:type="dxa"/>
            <w:tcBorders>
              <w:top w:val="nil"/>
              <w:left w:val="nil"/>
              <w:bottom w:val="nil"/>
              <w:right w:val="nil"/>
            </w:tcBorders>
            <w:shd w:val="clear" w:color="auto" w:fill="auto"/>
            <w:noWrap/>
            <w:vAlign w:val="bottom"/>
            <w:hideMark/>
          </w:tcPr>
          <w:p w14:paraId="3A9B6927"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New carers</w:t>
            </w:r>
          </w:p>
        </w:tc>
        <w:tc>
          <w:tcPr>
            <w:tcW w:w="1455" w:type="dxa"/>
            <w:tcBorders>
              <w:top w:val="nil"/>
              <w:left w:val="nil"/>
              <w:bottom w:val="nil"/>
              <w:right w:val="nil"/>
            </w:tcBorders>
            <w:shd w:val="clear" w:color="auto" w:fill="auto"/>
            <w:noWrap/>
            <w:vAlign w:val="bottom"/>
            <w:hideMark/>
          </w:tcPr>
          <w:p w14:paraId="771DC53F" w14:textId="77777777" w:rsidR="00690754" w:rsidRPr="004624D3" w:rsidRDefault="00690754" w:rsidP="00690754">
            <w:pPr>
              <w:spacing w:after="0" w:line="276" w:lineRule="auto"/>
              <w:jc w:val="right"/>
              <w:rPr>
                <w:rFonts w:ascii="Calibri" w:eastAsia="Times New Roman" w:hAnsi="Calibri" w:cs="Calibri"/>
                <w:lang w:val="es-ES" w:eastAsia="es-ES"/>
              </w:rPr>
            </w:pPr>
            <w:r w:rsidRPr="004624D3">
              <w:rPr>
                <w:rFonts w:ascii="Calibri" w:eastAsia="Times New Roman" w:hAnsi="Calibri" w:cs="Calibri"/>
                <w:lang w:val="es-ES" w:eastAsia="es-ES"/>
              </w:rPr>
              <w:t>91.9</w:t>
            </w:r>
          </w:p>
        </w:tc>
        <w:tc>
          <w:tcPr>
            <w:tcW w:w="1163" w:type="dxa"/>
            <w:tcBorders>
              <w:top w:val="nil"/>
              <w:left w:val="nil"/>
              <w:bottom w:val="nil"/>
              <w:right w:val="nil"/>
            </w:tcBorders>
            <w:shd w:val="clear" w:color="auto" w:fill="auto"/>
            <w:noWrap/>
            <w:vAlign w:val="bottom"/>
            <w:hideMark/>
          </w:tcPr>
          <w:p w14:paraId="4C24F80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8.1</w:t>
            </w:r>
          </w:p>
        </w:tc>
        <w:tc>
          <w:tcPr>
            <w:tcW w:w="1893" w:type="dxa"/>
            <w:tcBorders>
              <w:top w:val="nil"/>
              <w:left w:val="nil"/>
              <w:bottom w:val="nil"/>
              <w:right w:val="nil"/>
            </w:tcBorders>
            <w:shd w:val="clear" w:color="auto" w:fill="auto"/>
            <w:noWrap/>
            <w:vAlign w:val="bottom"/>
            <w:hideMark/>
          </w:tcPr>
          <w:p w14:paraId="414CCF6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86.9</w:t>
            </w:r>
          </w:p>
        </w:tc>
        <w:tc>
          <w:tcPr>
            <w:tcW w:w="1559" w:type="dxa"/>
            <w:tcBorders>
              <w:top w:val="nil"/>
              <w:left w:val="nil"/>
              <w:bottom w:val="nil"/>
              <w:right w:val="nil"/>
            </w:tcBorders>
            <w:shd w:val="clear" w:color="auto" w:fill="auto"/>
            <w:noWrap/>
            <w:vAlign w:val="bottom"/>
            <w:hideMark/>
          </w:tcPr>
          <w:p w14:paraId="3ABE9E74" w14:textId="26E65CF5" w:rsidR="00690754" w:rsidRPr="004624D3" w:rsidRDefault="00690754" w:rsidP="00117A35">
            <w:pPr>
              <w:spacing w:after="0" w:line="276" w:lineRule="auto"/>
              <w:ind w:left="776"/>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13.1</w:t>
            </w:r>
            <w:r w:rsidR="000A5578" w:rsidRPr="004624D3">
              <w:rPr>
                <w:rFonts w:ascii="Calibri" w:eastAsia="Times New Roman" w:hAnsi="Calibri" w:cs="Calibri"/>
                <w:color w:val="000000"/>
                <w:lang w:val="es-ES" w:eastAsia="es-ES"/>
              </w:rPr>
              <w:t>**</w:t>
            </w:r>
          </w:p>
        </w:tc>
      </w:tr>
      <w:tr w:rsidR="00690754" w:rsidRPr="004624D3" w14:paraId="6FFDBFF1" w14:textId="77777777" w:rsidTr="00117A35">
        <w:trPr>
          <w:trHeight w:val="300"/>
        </w:trPr>
        <w:tc>
          <w:tcPr>
            <w:tcW w:w="2152" w:type="dxa"/>
            <w:tcBorders>
              <w:top w:val="nil"/>
              <w:left w:val="nil"/>
              <w:bottom w:val="nil"/>
              <w:right w:val="nil"/>
            </w:tcBorders>
            <w:shd w:val="clear" w:color="auto" w:fill="auto"/>
            <w:noWrap/>
            <w:vAlign w:val="bottom"/>
            <w:hideMark/>
          </w:tcPr>
          <w:p w14:paraId="2FDDD93C"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Sporadic/intermittent</w:t>
            </w:r>
          </w:p>
        </w:tc>
        <w:tc>
          <w:tcPr>
            <w:tcW w:w="1455" w:type="dxa"/>
            <w:tcBorders>
              <w:top w:val="nil"/>
              <w:left w:val="nil"/>
              <w:bottom w:val="nil"/>
              <w:right w:val="nil"/>
            </w:tcBorders>
            <w:shd w:val="clear" w:color="auto" w:fill="auto"/>
            <w:noWrap/>
            <w:vAlign w:val="bottom"/>
            <w:hideMark/>
          </w:tcPr>
          <w:p w14:paraId="6CE39A33" w14:textId="77777777" w:rsidR="00690754" w:rsidRPr="004624D3" w:rsidRDefault="00690754" w:rsidP="00690754">
            <w:pPr>
              <w:spacing w:after="0" w:line="276" w:lineRule="auto"/>
              <w:jc w:val="right"/>
              <w:rPr>
                <w:rFonts w:ascii="Calibri" w:eastAsia="Times New Roman" w:hAnsi="Calibri" w:cs="Calibri"/>
                <w:lang w:val="es-ES" w:eastAsia="es-ES"/>
              </w:rPr>
            </w:pPr>
            <w:r w:rsidRPr="004624D3">
              <w:rPr>
                <w:rFonts w:ascii="Calibri" w:eastAsia="Times New Roman" w:hAnsi="Calibri" w:cs="Calibri"/>
                <w:lang w:val="es-ES" w:eastAsia="es-ES"/>
              </w:rPr>
              <w:t>89.4</w:t>
            </w:r>
          </w:p>
        </w:tc>
        <w:tc>
          <w:tcPr>
            <w:tcW w:w="1163" w:type="dxa"/>
            <w:tcBorders>
              <w:top w:val="nil"/>
              <w:left w:val="nil"/>
              <w:bottom w:val="nil"/>
              <w:right w:val="nil"/>
            </w:tcBorders>
            <w:shd w:val="clear" w:color="auto" w:fill="auto"/>
            <w:noWrap/>
            <w:vAlign w:val="bottom"/>
            <w:hideMark/>
          </w:tcPr>
          <w:p w14:paraId="729F9AB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10.6</w:t>
            </w:r>
          </w:p>
        </w:tc>
        <w:tc>
          <w:tcPr>
            <w:tcW w:w="1893" w:type="dxa"/>
            <w:tcBorders>
              <w:top w:val="nil"/>
              <w:left w:val="nil"/>
              <w:bottom w:val="nil"/>
              <w:right w:val="nil"/>
            </w:tcBorders>
            <w:shd w:val="clear" w:color="auto" w:fill="auto"/>
            <w:noWrap/>
            <w:vAlign w:val="bottom"/>
            <w:hideMark/>
          </w:tcPr>
          <w:p w14:paraId="6FFEAEC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84.8</w:t>
            </w:r>
          </w:p>
        </w:tc>
        <w:tc>
          <w:tcPr>
            <w:tcW w:w="1559" w:type="dxa"/>
            <w:tcBorders>
              <w:top w:val="nil"/>
              <w:left w:val="nil"/>
              <w:bottom w:val="nil"/>
              <w:right w:val="nil"/>
            </w:tcBorders>
            <w:shd w:val="clear" w:color="auto" w:fill="auto"/>
            <w:noWrap/>
            <w:vAlign w:val="bottom"/>
            <w:hideMark/>
          </w:tcPr>
          <w:p w14:paraId="1882E0FB" w14:textId="77777777" w:rsidR="00690754" w:rsidRPr="004624D3" w:rsidRDefault="00690754" w:rsidP="00117A35">
            <w:pPr>
              <w:spacing w:after="0" w:line="276" w:lineRule="auto"/>
              <w:ind w:left="776"/>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15.2</w:t>
            </w:r>
          </w:p>
        </w:tc>
      </w:tr>
      <w:tr w:rsidR="00690754" w:rsidRPr="004624D3" w14:paraId="5406B733" w14:textId="77777777" w:rsidTr="00117A35">
        <w:trPr>
          <w:trHeight w:val="300"/>
        </w:trPr>
        <w:tc>
          <w:tcPr>
            <w:tcW w:w="2152" w:type="dxa"/>
            <w:tcBorders>
              <w:top w:val="nil"/>
              <w:left w:val="nil"/>
              <w:bottom w:val="nil"/>
              <w:right w:val="nil"/>
            </w:tcBorders>
            <w:shd w:val="clear" w:color="auto" w:fill="auto"/>
            <w:noWrap/>
            <w:vAlign w:val="bottom"/>
            <w:hideMark/>
          </w:tcPr>
          <w:p w14:paraId="74B97AAE"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Stopped caring</w:t>
            </w:r>
          </w:p>
        </w:tc>
        <w:tc>
          <w:tcPr>
            <w:tcW w:w="1455" w:type="dxa"/>
            <w:tcBorders>
              <w:top w:val="nil"/>
              <w:left w:val="nil"/>
              <w:bottom w:val="nil"/>
              <w:right w:val="nil"/>
            </w:tcBorders>
            <w:shd w:val="clear" w:color="auto" w:fill="auto"/>
            <w:noWrap/>
            <w:vAlign w:val="bottom"/>
            <w:hideMark/>
          </w:tcPr>
          <w:p w14:paraId="0AA4686A" w14:textId="77777777" w:rsidR="00690754" w:rsidRPr="004624D3" w:rsidRDefault="00690754" w:rsidP="00690754">
            <w:pPr>
              <w:spacing w:after="0" w:line="276" w:lineRule="auto"/>
              <w:jc w:val="right"/>
              <w:rPr>
                <w:rFonts w:ascii="Calibri" w:eastAsia="Times New Roman" w:hAnsi="Calibri" w:cs="Calibri"/>
                <w:lang w:val="es-ES" w:eastAsia="es-ES"/>
              </w:rPr>
            </w:pPr>
            <w:r w:rsidRPr="004624D3">
              <w:rPr>
                <w:rFonts w:ascii="Calibri" w:eastAsia="Times New Roman" w:hAnsi="Calibri" w:cs="Calibri"/>
                <w:lang w:val="es-ES" w:eastAsia="es-ES"/>
              </w:rPr>
              <w:t>86.0</w:t>
            </w:r>
          </w:p>
        </w:tc>
        <w:tc>
          <w:tcPr>
            <w:tcW w:w="1163" w:type="dxa"/>
            <w:tcBorders>
              <w:top w:val="nil"/>
              <w:left w:val="nil"/>
              <w:bottom w:val="nil"/>
              <w:right w:val="nil"/>
            </w:tcBorders>
            <w:shd w:val="clear" w:color="auto" w:fill="auto"/>
            <w:noWrap/>
            <w:vAlign w:val="bottom"/>
            <w:hideMark/>
          </w:tcPr>
          <w:p w14:paraId="6046601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14.0</w:t>
            </w:r>
          </w:p>
        </w:tc>
        <w:tc>
          <w:tcPr>
            <w:tcW w:w="1893" w:type="dxa"/>
            <w:tcBorders>
              <w:top w:val="nil"/>
              <w:left w:val="nil"/>
              <w:bottom w:val="nil"/>
              <w:right w:val="nil"/>
            </w:tcBorders>
            <w:shd w:val="clear" w:color="auto" w:fill="auto"/>
            <w:noWrap/>
            <w:vAlign w:val="bottom"/>
            <w:hideMark/>
          </w:tcPr>
          <w:p w14:paraId="06E0DA9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83.9</w:t>
            </w:r>
          </w:p>
        </w:tc>
        <w:tc>
          <w:tcPr>
            <w:tcW w:w="1559" w:type="dxa"/>
            <w:tcBorders>
              <w:top w:val="nil"/>
              <w:left w:val="nil"/>
              <w:bottom w:val="nil"/>
              <w:right w:val="nil"/>
            </w:tcBorders>
            <w:shd w:val="clear" w:color="auto" w:fill="auto"/>
            <w:noWrap/>
            <w:vAlign w:val="bottom"/>
            <w:hideMark/>
          </w:tcPr>
          <w:p w14:paraId="7B2EF8AB" w14:textId="77777777" w:rsidR="00690754" w:rsidRPr="004624D3" w:rsidRDefault="00690754" w:rsidP="00117A35">
            <w:pPr>
              <w:spacing w:after="0" w:line="276" w:lineRule="auto"/>
              <w:ind w:left="776"/>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16.1</w:t>
            </w:r>
          </w:p>
        </w:tc>
      </w:tr>
      <w:tr w:rsidR="00690754" w:rsidRPr="004624D3" w14:paraId="756C9FEC" w14:textId="77777777" w:rsidTr="00117A35">
        <w:trPr>
          <w:trHeight w:val="300"/>
        </w:trPr>
        <w:tc>
          <w:tcPr>
            <w:tcW w:w="2152" w:type="dxa"/>
            <w:tcBorders>
              <w:top w:val="nil"/>
              <w:left w:val="nil"/>
              <w:bottom w:val="nil"/>
              <w:right w:val="nil"/>
            </w:tcBorders>
            <w:shd w:val="clear" w:color="auto" w:fill="auto"/>
            <w:noWrap/>
            <w:vAlign w:val="bottom"/>
            <w:hideMark/>
          </w:tcPr>
          <w:p w14:paraId="20AEFBC4"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Non carers</w:t>
            </w:r>
          </w:p>
        </w:tc>
        <w:tc>
          <w:tcPr>
            <w:tcW w:w="1455" w:type="dxa"/>
            <w:tcBorders>
              <w:top w:val="nil"/>
              <w:left w:val="nil"/>
              <w:bottom w:val="nil"/>
              <w:right w:val="nil"/>
            </w:tcBorders>
            <w:shd w:val="clear" w:color="auto" w:fill="auto"/>
            <w:noWrap/>
            <w:vAlign w:val="bottom"/>
            <w:hideMark/>
          </w:tcPr>
          <w:p w14:paraId="73FD58A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90.4</w:t>
            </w:r>
          </w:p>
        </w:tc>
        <w:tc>
          <w:tcPr>
            <w:tcW w:w="1163" w:type="dxa"/>
            <w:tcBorders>
              <w:top w:val="nil"/>
              <w:left w:val="nil"/>
              <w:bottom w:val="nil"/>
              <w:right w:val="nil"/>
            </w:tcBorders>
            <w:shd w:val="clear" w:color="auto" w:fill="auto"/>
            <w:noWrap/>
            <w:vAlign w:val="bottom"/>
            <w:hideMark/>
          </w:tcPr>
          <w:p w14:paraId="593FFA2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9.6</w:t>
            </w:r>
          </w:p>
        </w:tc>
        <w:tc>
          <w:tcPr>
            <w:tcW w:w="1893" w:type="dxa"/>
            <w:tcBorders>
              <w:top w:val="nil"/>
              <w:left w:val="nil"/>
              <w:bottom w:val="nil"/>
              <w:right w:val="nil"/>
            </w:tcBorders>
            <w:shd w:val="clear" w:color="auto" w:fill="auto"/>
            <w:noWrap/>
            <w:vAlign w:val="bottom"/>
            <w:hideMark/>
          </w:tcPr>
          <w:p w14:paraId="066D9101"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83.0</w:t>
            </w:r>
          </w:p>
        </w:tc>
        <w:tc>
          <w:tcPr>
            <w:tcW w:w="1559" w:type="dxa"/>
            <w:tcBorders>
              <w:top w:val="nil"/>
              <w:left w:val="nil"/>
              <w:bottom w:val="nil"/>
              <w:right w:val="nil"/>
            </w:tcBorders>
            <w:shd w:val="clear" w:color="auto" w:fill="auto"/>
            <w:noWrap/>
            <w:vAlign w:val="bottom"/>
            <w:hideMark/>
          </w:tcPr>
          <w:p w14:paraId="3460821F" w14:textId="5C99C40F" w:rsidR="00690754" w:rsidRPr="004624D3" w:rsidRDefault="00690754" w:rsidP="00117A35">
            <w:pPr>
              <w:spacing w:after="0" w:line="276" w:lineRule="auto"/>
              <w:ind w:left="776"/>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17.0</w:t>
            </w:r>
            <w:r w:rsidR="000A5578" w:rsidRPr="004624D3">
              <w:rPr>
                <w:rFonts w:ascii="Calibri" w:eastAsia="Times New Roman" w:hAnsi="Calibri" w:cs="Calibri"/>
                <w:color w:val="000000"/>
                <w:lang w:val="es-ES" w:eastAsia="es-ES"/>
              </w:rPr>
              <w:t>**</w:t>
            </w:r>
          </w:p>
        </w:tc>
      </w:tr>
      <w:tr w:rsidR="00690754" w:rsidRPr="004624D3" w14:paraId="5E5DB6A0" w14:textId="77777777" w:rsidTr="00117A35">
        <w:trPr>
          <w:trHeight w:val="300"/>
        </w:trPr>
        <w:tc>
          <w:tcPr>
            <w:tcW w:w="2152" w:type="dxa"/>
            <w:tcBorders>
              <w:top w:val="single" w:sz="4" w:space="0" w:color="auto"/>
              <w:left w:val="nil"/>
              <w:bottom w:val="single" w:sz="4" w:space="0" w:color="auto"/>
              <w:right w:val="nil"/>
            </w:tcBorders>
            <w:shd w:val="clear" w:color="auto" w:fill="auto"/>
            <w:noWrap/>
            <w:vAlign w:val="bottom"/>
            <w:hideMark/>
          </w:tcPr>
          <w:p w14:paraId="63401792" w14:textId="401F44BD"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Total </w:t>
            </w:r>
            <w:hyperlink r:id="rId14" w:history="1">
              <w:r w:rsidR="000A5578" w:rsidRPr="004624D3">
                <w:rPr>
                  <w:rStyle w:val="Hyperlink"/>
                  <w:rFonts w:ascii="Calibri" w:eastAsia="Times New Roman" w:hAnsi="Calibri" w:cs="Calibri"/>
                  <w:lang w:val="es-ES" w:eastAsia="es-ES"/>
                </w:rPr>
                <w:t>sample</w:t>
              </w:r>
            </w:hyperlink>
          </w:p>
        </w:tc>
        <w:tc>
          <w:tcPr>
            <w:tcW w:w="1455" w:type="dxa"/>
            <w:tcBorders>
              <w:top w:val="single" w:sz="4" w:space="0" w:color="auto"/>
              <w:left w:val="nil"/>
              <w:bottom w:val="single" w:sz="4" w:space="0" w:color="auto"/>
              <w:right w:val="nil"/>
            </w:tcBorders>
            <w:shd w:val="clear" w:color="auto" w:fill="auto"/>
            <w:noWrap/>
            <w:vAlign w:val="bottom"/>
            <w:hideMark/>
          </w:tcPr>
          <w:p w14:paraId="2CD5192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90.8</w:t>
            </w:r>
          </w:p>
        </w:tc>
        <w:tc>
          <w:tcPr>
            <w:tcW w:w="1163" w:type="dxa"/>
            <w:tcBorders>
              <w:top w:val="single" w:sz="4" w:space="0" w:color="auto"/>
              <w:left w:val="nil"/>
              <w:bottom w:val="single" w:sz="4" w:space="0" w:color="auto"/>
              <w:right w:val="nil"/>
            </w:tcBorders>
            <w:shd w:val="clear" w:color="auto" w:fill="auto"/>
            <w:noWrap/>
            <w:vAlign w:val="bottom"/>
            <w:hideMark/>
          </w:tcPr>
          <w:p w14:paraId="0633A4B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9.2</w:t>
            </w:r>
          </w:p>
        </w:tc>
        <w:tc>
          <w:tcPr>
            <w:tcW w:w="1893" w:type="dxa"/>
            <w:tcBorders>
              <w:top w:val="single" w:sz="4" w:space="0" w:color="auto"/>
              <w:left w:val="nil"/>
              <w:bottom w:val="single" w:sz="4" w:space="0" w:color="auto"/>
              <w:right w:val="nil"/>
            </w:tcBorders>
            <w:shd w:val="clear" w:color="auto" w:fill="auto"/>
            <w:noWrap/>
            <w:vAlign w:val="bottom"/>
            <w:hideMark/>
          </w:tcPr>
          <w:p w14:paraId="06430AB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84.9</w:t>
            </w:r>
          </w:p>
        </w:tc>
        <w:tc>
          <w:tcPr>
            <w:tcW w:w="1559" w:type="dxa"/>
            <w:tcBorders>
              <w:top w:val="single" w:sz="4" w:space="0" w:color="auto"/>
              <w:left w:val="nil"/>
              <w:bottom w:val="single" w:sz="4" w:space="0" w:color="auto"/>
              <w:right w:val="nil"/>
            </w:tcBorders>
            <w:shd w:val="clear" w:color="auto" w:fill="auto"/>
            <w:noWrap/>
            <w:vAlign w:val="bottom"/>
            <w:hideMark/>
          </w:tcPr>
          <w:p w14:paraId="54FF39EA" w14:textId="65E1702F" w:rsidR="00690754" w:rsidRPr="004624D3" w:rsidRDefault="00690754" w:rsidP="00117A35">
            <w:pPr>
              <w:spacing w:after="0" w:line="276" w:lineRule="auto"/>
              <w:ind w:left="776"/>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15.1</w:t>
            </w:r>
            <w:r w:rsidR="0071535E" w:rsidRPr="004624D3">
              <w:rPr>
                <w:rFonts w:ascii="Calibri" w:eastAsia="Times New Roman" w:hAnsi="Calibri" w:cs="Calibri"/>
                <w:color w:val="000000"/>
                <w:lang w:val="es-ES" w:eastAsia="es-ES"/>
              </w:rPr>
              <w:t>*</w:t>
            </w:r>
          </w:p>
        </w:tc>
      </w:tr>
    </w:tbl>
    <w:p w14:paraId="1C66FD05" w14:textId="0B18C372" w:rsidR="00AC471F" w:rsidRPr="004624D3" w:rsidRDefault="005966AF" w:rsidP="00690754">
      <w:pPr>
        <w:spacing w:after="0" w:line="480" w:lineRule="auto"/>
      </w:pPr>
      <w:r w:rsidRPr="004624D3">
        <w:t xml:space="preserve">Notes: </w:t>
      </w:r>
      <w:r w:rsidR="00AA25A4" w:rsidRPr="004624D3">
        <w:t>(</w:t>
      </w:r>
      <w:r w:rsidR="0071535E" w:rsidRPr="004624D3">
        <w:t>*</w:t>
      </w:r>
      <w:r w:rsidR="00AA25A4" w:rsidRPr="004624D3">
        <w:t xml:space="preserve">) </w:t>
      </w:r>
      <w:r w:rsidRPr="004624D3">
        <w:t>Gender differences between health status using Chi2</w:t>
      </w:r>
      <w:r w:rsidR="00AC471F" w:rsidRPr="004624D3">
        <w:t xml:space="preserve"> (p=0.000)</w:t>
      </w:r>
      <w:r w:rsidR="00AA25A4" w:rsidRPr="004624D3">
        <w:t xml:space="preserve">. (**) </w:t>
      </w:r>
      <w:r w:rsidR="00AC471F" w:rsidRPr="004624D3">
        <w:t>Care trajectories differences between health status using Tukey test</w:t>
      </w:r>
      <w:r w:rsidR="000F0ABB" w:rsidRPr="004624D3">
        <w:t xml:space="preserve"> (</w:t>
      </w:r>
      <w:r w:rsidR="002D2D59" w:rsidRPr="004624D3">
        <w:t xml:space="preserve">significant differences at 10% for </w:t>
      </w:r>
      <w:r w:rsidR="0071535E" w:rsidRPr="004624D3">
        <w:t xml:space="preserve">women </w:t>
      </w:r>
      <w:r w:rsidR="002D2D59" w:rsidRPr="004624D3">
        <w:t>Non carers vs New carers</w:t>
      </w:r>
      <w:r w:rsidR="0071535E" w:rsidRPr="004624D3">
        <w:t>)</w:t>
      </w:r>
      <w:r w:rsidR="00B5654D" w:rsidRPr="004624D3">
        <w:t>.</w:t>
      </w:r>
    </w:p>
    <w:p w14:paraId="7FDF0203" w14:textId="77777777" w:rsidR="00690754" w:rsidRPr="004624D3" w:rsidRDefault="00690754" w:rsidP="00690754">
      <w:pPr>
        <w:spacing w:after="0" w:line="480" w:lineRule="auto"/>
      </w:pPr>
      <w:r w:rsidRPr="004624D3">
        <w:t>Source: Authors’ analysis of NCDS.</w:t>
      </w:r>
    </w:p>
    <w:p w14:paraId="630835E3" w14:textId="458D516A" w:rsidR="00690754" w:rsidRPr="004624D3" w:rsidRDefault="00690754">
      <w:pPr>
        <w:rPr>
          <w:rFonts w:eastAsia="Times New Roman" w:cs="Times New Roman"/>
          <w:bCs/>
          <w:color w:val="000000"/>
        </w:rPr>
      </w:pPr>
      <w:r w:rsidRPr="004624D3">
        <w:rPr>
          <w:rFonts w:eastAsia="Times New Roman" w:cs="Times New Roman"/>
          <w:bCs/>
          <w:color w:val="000000"/>
        </w:rPr>
        <w:br w:type="page"/>
      </w:r>
    </w:p>
    <w:p w14:paraId="4D08364E" w14:textId="77777777" w:rsidR="00690754" w:rsidRPr="004624D3" w:rsidRDefault="00690754" w:rsidP="00690754">
      <w:pPr>
        <w:spacing w:after="0" w:line="480" w:lineRule="auto"/>
        <w:rPr>
          <w:b/>
          <w:bCs/>
        </w:rPr>
      </w:pPr>
      <w:r w:rsidRPr="004624D3">
        <w:rPr>
          <w:b/>
          <w:bCs/>
        </w:rPr>
        <w:lastRenderedPageBreak/>
        <w:t>Table 6. Individuals by caring trajectories according to self-perceived health and gender (age 55) (%, N).</w:t>
      </w:r>
    </w:p>
    <w:tbl>
      <w:tblPr>
        <w:tblW w:w="8646" w:type="dxa"/>
        <w:tblCellMar>
          <w:left w:w="70" w:type="dxa"/>
          <w:right w:w="70" w:type="dxa"/>
        </w:tblCellMar>
        <w:tblLook w:val="04A0" w:firstRow="1" w:lastRow="0" w:firstColumn="1" w:lastColumn="0" w:noHBand="0" w:noVBand="1"/>
      </w:tblPr>
      <w:tblGrid>
        <w:gridCol w:w="2098"/>
        <w:gridCol w:w="2126"/>
        <w:gridCol w:w="1148"/>
        <w:gridCol w:w="2126"/>
        <w:gridCol w:w="1148"/>
      </w:tblGrid>
      <w:tr w:rsidR="00690754" w:rsidRPr="004624D3" w14:paraId="1C3085BD" w14:textId="77777777" w:rsidTr="00690754">
        <w:trPr>
          <w:trHeight w:val="300"/>
        </w:trPr>
        <w:tc>
          <w:tcPr>
            <w:tcW w:w="2098" w:type="dxa"/>
            <w:tcBorders>
              <w:top w:val="single" w:sz="4" w:space="0" w:color="auto"/>
              <w:left w:val="nil"/>
              <w:bottom w:val="nil"/>
              <w:right w:val="nil"/>
            </w:tcBorders>
            <w:shd w:val="clear" w:color="auto" w:fill="auto"/>
            <w:noWrap/>
            <w:vAlign w:val="bottom"/>
            <w:hideMark/>
          </w:tcPr>
          <w:p w14:paraId="4F183D4E" w14:textId="720DF808" w:rsidR="00690754" w:rsidRPr="004624D3" w:rsidRDefault="00690754" w:rsidP="00690754">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 </w:t>
            </w:r>
            <w:r w:rsidR="00DF1257" w:rsidRPr="004624D3">
              <w:rPr>
                <w:rFonts w:ascii="Calibri" w:eastAsia="Times New Roman" w:hAnsi="Calibri" w:cs="Calibri"/>
                <w:color w:val="000000"/>
                <w:lang w:val="es-ES" w:eastAsia="es-ES"/>
              </w:rPr>
              <w:t>Row percentages</w:t>
            </w:r>
          </w:p>
        </w:tc>
        <w:tc>
          <w:tcPr>
            <w:tcW w:w="3274" w:type="dxa"/>
            <w:gridSpan w:val="2"/>
            <w:tcBorders>
              <w:top w:val="single" w:sz="4" w:space="0" w:color="auto"/>
              <w:left w:val="nil"/>
              <w:bottom w:val="nil"/>
              <w:right w:val="nil"/>
            </w:tcBorders>
            <w:shd w:val="clear" w:color="auto" w:fill="auto"/>
            <w:noWrap/>
            <w:vAlign w:val="bottom"/>
            <w:hideMark/>
          </w:tcPr>
          <w:p w14:paraId="6FF4B38C" w14:textId="3DA593F6"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Males </w:t>
            </w:r>
          </w:p>
        </w:tc>
        <w:tc>
          <w:tcPr>
            <w:tcW w:w="3274" w:type="dxa"/>
            <w:gridSpan w:val="2"/>
            <w:tcBorders>
              <w:top w:val="single" w:sz="4" w:space="0" w:color="auto"/>
              <w:left w:val="nil"/>
              <w:bottom w:val="nil"/>
              <w:right w:val="nil"/>
            </w:tcBorders>
            <w:shd w:val="clear" w:color="auto" w:fill="auto"/>
            <w:noWrap/>
            <w:vAlign w:val="bottom"/>
            <w:hideMark/>
          </w:tcPr>
          <w:p w14:paraId="1998F660" w14:textId="142A081B"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Females </w:t>
            </w:r>
          </w:p>
        </w:tc>
      </w:tr>
      <w:tr w:rsidR="00690754" w:rsidRPr="004624D3" w14:paraId="00A7A8DF" w14:textId="77777777" w:rsidTr="00690754">
        <w:trPr>
          <w:trHeight w:val="300"/>
        </w:trPr>
        <w:tc>
          <w:tcPr>
            <w:tcW w:w="2098" w:type="dxa"/>
            <w:tcBorders>
              <w:top w:val="nil"/>
              <w:left w:val="nil"/>
              <w:bottom w:val="single" w:sz="4" w:space="0" w:color="auto"/>
              <w:right w:val="nil"/>
            </w:tcBorders>
            <w:shd w:val="clear" w:color="auto" w:fill="auto"/>
            <w:noWrap/>
            <w:vAlign w:val="bottom"/>
            <w:hideMark/>
          </w:tcPr>
          <w:p w14:paraId="0C87545E" w14:textId="77777777" w:rsidR="00690754" w:rsidRPr="004624D3" w:rsidRDefault="00690754" w:rsidP="00690754">
            <w:pPr>
              <w:spacing w:after="0" w:line="276" w:lineRule="auto"/>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Trajectories</w:t>
            </w:r>
          </w:p>
        </w:tc>
        <w:tc>
          <w:tcPr>
            <w:tcW w:w="2126" w:type="dxa"/>
            <w:tcBorders>
              <w:top w:val="nil"/>
              <w:left w:val="nil"/>
              <w:bottom w:val="single" w:sz="4" w:space="0" w:color="auto"/>
              <w:right w:val="nil"/>
            </w:tcBorders>
            <w:shd w:val="clear" w:color="auto" w:fill="auto"/>
            <w:noWrap/>
            <w:vAlign w:val="bottom"/>
            <w:hideMark/>
          </w:tcPr>
          <w:p w14:paraId="3EBC502C"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Excellent to Fair health</w:t>
            </w:r>
          </w:p>
        </w:tc>
        <w:tc>
          <w:tcPr>
            <w:tcW w:w="1148" w:type="dxa"/>
            <w:tcBorders>
              <w:top w:val="nil"/>
              <w:left w:val="nil"/>
              <w:bottom w:val="single" w:sz="4" w:space="0" w:color="auto"/>
              <w:right w:val="nil"/>
            </w:tcBorders>
            <w:shd w:val="clear" w:color="auto" w:fill="auto"/>
            <w:noWrap/>
            <w:vAlign w:val="bottom"/>
            <w:hideMark/>
          </w:tcPr>
          <w:p w14:paraId="595C8066"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Poor  health</w:t>
            </w:r>
          </w:p>
        </w:tc>
        <w:tc>
          <w:tcPr>
            <w:tcW w:w="2126" w:type="dxa"/>
            <w:tcBorders>
              <w:top w:val="nil"/>
              <w:left w:val="nil"/>
              <w:bottom w:val="single" w:sz="4" w:space="0" w:color="auto"/>
              <w:right w:val="nil"/>
            </w:tcBorders>
            <w:shd w:val="clear" w:color="auto" w:fill="auto"/>
            <w:noWrap/>
            <w:vAlign w:val="bottom"/>
            <w:hideMark/>
          </w:tcPr>
          <w:p w14:paraId="4CB6AFC8"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Excellent to Fair health</w:t>
            </w:r>
          </w:p>
        </w:tc>
        <w:tc>
          <w:tcPr>
            <w:tcW w:w="1148" w:type="dxa"/>
            <w:tcBorders>
              <w:top w:val="nil"/>
              <w:left w:val="nil"/>
              <w:bottom w:val="single" w:sz="4" w:space="0" w:color="auto"/>
              <w:right w:val="nil"/>
            </w:tcBorders>
            <w:shd w:val="clear" w:color="auto" w:fill="auto"/>
            <w:noWrap/>
            <w:vAlign w:val="bottom"/>
            <w:hideMark/>
          </w:tcPr>
          <w:p w14:paraId="1782669F" w14:textId="77777777" w:rsidR="00690754" w:rsidRPr="004624D3" w:rsidRDefault="00690754" w:rsidP="00690754">
            <w:pPr>
              <w:spacing w:after="0" w:line="276" w:lineRule="auto"/>
              <w:jc w:val="right"/>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Poor  health</w:t>
            </w:r>
          </w:p>
        </w:tc>
      </w:tr>
      <w:tr w:rsidR="00690754" w:rsidRPr="004624D3" w14:paraId="68422C95" w14:textId="77777777" w:rsidTr="00690754">
        <w:trPr>
          <w:trHeight w:val="300"/>
        </w:trPr>
        <w:tc>
          <w:tcPr>
            <w:tcW w:w="2098" w:type="dxa"/>
            <w:tcBorders>
              <w:top w:val="nil"/>
              <w:left w:val="nil"/>
              <w:bottom w:val="single" w:sz="4" w:space="0" w:color="auto"/>
              <w:right w:val="nil"/>
            </w:tcBorders>
            <w:shd w:val="clear" w:color="auto" w:fill="auto"/>
            <w:noWrap/>
            <w:vAlign w:val="bottom"/>
            <w:hideMark/>
          </w:tcPr>
          <w:p w14:paraId="3B0634F3" w14:textId="782DD7D6"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Sample </w:t>
            </w:r>
            <w:r w:rsidR="00DF1257" w:rsidRPr="004624D3">
              <w:rPr>
                <w:rFonts w:ascii="Calibri" w:eastAsia="Times New Roman" w:hAnsi="Calibri" w:cs="Calibri"/>
                <w:color w:val="000000"/>
                <w:lang w:val="es-ES" w:eastAsia="es-ES"/>
              </w:rPr>
              <w:t>(</w:t>
            </w:r>
            <w:r w:rsidRPr="004624D3">
              <w:rPr>
                <w:rFonts w:ascii="Calibri" w:eastAsia="Times New Roman" w:hAnsi="Calibri" w:cs="Calibri"/>
                <w:color w:val="000000"/>
                <w:lang w:val="es-ES" w:eastAsia="es-ES"/>
              </w:rPr>
              <w:t>N</w:t>
            </w:r>
            <w:r w:rsidR="00DF1257" w:rsidRPr="004624D3">
              <w:rPr>
                <w:rFonts w:ascii="Calibri" w:eastAsia="Times New Roman" w:hAnsi="Calibri" w:cs="Calibri"/>
                <w:color w:val="000000"/>
                <w:lang w:val="es-ES" w:eastAsia="es-ES"/>
              </w:rPr>
              <w:t>)</w:t>
            </w:r>
          </w:p>
        </w:tc>
        <w:tc>
          <w:tcPr>
            <w:tcW w:w="2126" w:type="dxa"/>
            <w:tcBorders>
              <w:top w:val="nil"/>
              <w:left w:val="nil"/>
              <w:bottom w:val="single" w:sz="4" w:space="0" w:color="auto"/>
              <w:right w:val="nil"/>
            </w:tcBorders>
            <w:shd w:val="clear" w:color="auto" w:fill="auto"/>
            <w:noWrap/>
            <w:vAlign w:val="bottom"/>
            <w:hideMark/>
          </w:tcPr>
          <w:p w14:paraId="782A221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(3,262)</w:t>
            </w:r>
          </w:p>
        </w:tc>
        <w:tc>
          <w:tcPr>
            <w:tcW w:w="1148" w:type="dxa"/>
            <w:tcBorders>
              <w:top w:val="nil"/>
              <w:left w:val="nil"/>
              <w:bottom w:val="single" w:sz="4" w:space="0" w:color="auto"/>
              <w:right w:val="nil"/>
            </w:tcBorders>
            <w:shd w:val="clear" w:color="auto" w:fill="auto"/>
            <w:noWrap/>
            <w:vAlign w:val="bottom"/>
            <w:hideMark/>
          </w:tcPr>
          <w:p w14:paraId="036BEE6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(160)</w:t>
            </w:r>
          </w:p>
        </w:tc>
        <w:tc>
          <w:tcPr>
            <w:tcW w:w="2126" w:type="dxa"/>
            <w:tcBorders>
              <w:top w:val="nil"/>
              <w:left w:val="nil"/>
              <w:bottom w:val="single" w:sz="4" w:space="0" w:color="auto"/>
              <w:right w:val="nil"/>
            </w:tcBorders>
            <w:shd w:val="clear" w:color="auto" w:fill="auto"/>
            <w:noWrap/>
            <w:vAlign w:val="bottom"/>
            <w:hideMark/>
          </w:tcPr>
          <w:p w14:paraId="5EA4E77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(3,388)</w:t>
            </w:r>
          </w:p>
        </w:tc>
        <w:tc>
          <w:tcPr>
            <w:tcW w:w="1148" w:type="dxa"/>
            <w:tcBorders>
              <w:top w:val="nil"/>
              <w:left w:val="nil"/>
              <w:bottom w:val="single" w:sz="4" w:space="0" w:color="auto"/>
              <w:right w:val="nil"/>
            </w:tcBorders>
            <w:shd w:val="clear" w:color="auto" w:fill="auto"/>
            <w:noWrap/>
            <w:vAlign w:val="bottom"/>
            <w:hideMark/>
          </w:tcPr>
          <w:p w14:paraId="77508D1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(203)</w:t>
            </w:r>
          </w:p>
        </w:tc>
      </w:tr>
      <w:tr w:rsidR="00690754" w:rsidRPr="004624D3" w14:paraId="7CE6C617" w14:textId="77777777" w:rsidTr="00690754">
        <w:trPr>
          <w:trHeight w:val="300"/>
        </w:trPr>
        <w:tc>
          <w:tcPr>
            <w:tcW w:w="2098" w:type="dxa"/>
            <w:tcBorders>
              <w:top w:val="nil"/>
              <w:left w:val="nil"/>
              <w:bottom w:val="nil"/>
              <w:right w:val="nil"/>
            </w:tcBorders>
            <w:shd w:val="clear" w:color="auto" w:fill="auto"/>
            <w:noWrap/>
            <w:vAlign w:val="bottom"/>
            <w:hideMark/>
          </w:tcPr>
          <w:p w14:paraId="4DB53FFF" w14:textId="4B10FF9D" w:rsidR="00690754" w:rsidRPr="004624D3" w:rsidRDefault="007B2B8A"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Repeat</w:t>
            </w:r>
            <w:r w:rsidR="00690754" w:rsidRPr="004624D3">
              <w:rPr>
                <w:rFonts w:ascii="Calibri" w:eastAsia="Times New Roman" w:hAnsi="Calibri" w:cs="Calibri"/>
                <w:color w:val="000000"/>
                <w:lang w:val="es-ES" w:eastAsia="es-ES"/>
              </w:rPr>
              <w:t xml:space="preserve"> carers</w:t>
            </w:r>
          </w:p>
        </w:tc>
        <w:tc>
          <w:tcPr>
            <w:tcW w:w="2126" w:type="dxa"/>
            <w:tcBorders>
              <w:top w:val="nil"/>
              <w:left w:val="nil"/>
              <w:bottom w:val="nil"/>
              <w:right w:val="nil"/>
            </w:tcBorders>
            <w:shd w:val="clear" w:color="auto" w:fill="auto"/>
            <w:noWrap/>
            <w:vAlign w:val="bottom"/>
            <w:hideMark/>
          </w:tcPr>
          <w:p w14:paraId="3D64FAB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94.6</w:t>
            </w:r>
          </w:p>
        </w:tc>
        <w:tc>
          <w:tcPr>
            <w:tcW w:w="1148" w:type="dxa"/>
            <w:tcBorders>
              <w:top w:val="nil"/>
              <w:left w:val="nil"/>
              <w:bottom w:val="nil"/>
              <w:right w:val="nil"/>
            </w:tcBorders>
            <w:shd w:val="clear" w:color="auto" w:fill="auto"/>
            <w:noWrap/>
            <w:vAlign w:val="bottom"/>
            <w:hideMark/>
          </w:tcPr>
          <w:p w14:paraId="65F4347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5.4</w:t>
            </w:r>
          </w:p>
        </w:tc>
        <w:tc>
          <w:tcPr>
            <w:tcW w:w="2126" w:type="dxa"/>
            <w:tcBorders>
              <w:top w:val="nil"/>
              <w:left w:val="nil"/>
              <w:bottom w:val="nil"/>
              <w:right w:val="nil"/>
            </w:tcBorders>
            <w:shd w:val="clear" w:color="auto" w:fill="auto"/>
            <w:noWrap/>
            <w:vAlign w:val="bottom"/>
            <w:hideMark/>
          </w:tcPr>
          <w:p w14:paraId="648CE90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94.5</w:t>
            </w:r>
          </w:p>
        </w:tc>
        <w:tc>
          <w:tcPr>
            <w:tcW w:w="1148" w:type="dxa"/>
            <w:tcBorders>
              <w:top w:val="nil"/>
              <w:left w:val="nil"/>
              <w:bottom w:val="nil"/>
              <w:right w:val="nil"/>
            </w:tcBorders>
            <w:shd w:val="clear" w:color="auto" w:fill="auto"/>
            <w:noWrap/>
            <w:vAlign w:val="bottom"/>
            <w:hideMark/>
          </w:tcPr>
          <w:p w14:paraId="0CD5B0A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5.5</w:t>
            </w:r>
          </w:p>
        </w:tc>
      </w:tr>
      <w:tr w:rsidR="00690754" w:rsidRPr="004624D3" w14:paraId="05AD86D8" w14:textId="77777777" w:rsidTr="00690754">
        <w:trPr>
          <w:trHeight w:val="300"/>
        </w:trPr>
        <w:tc>
          <w:tcPr>
            <w:tcW w:w="2098" w:type="dxa"/>
            <w:tcBorders>
              <w:top w:val="nil"/>
              <w:left w:val="nil"/>
              <w:bottom w:val="nil"/>
              <w:right w:val="nil"/>
            </w:tcBorders>
            <w:shd w:val="clear" w:color="auto" w:fill="auto"/>
            <w:noWrap/>
            <w:vAlign w:val="bottom"/>
            <w:hideMark/>
          </w:tcPr>
          <w:p w14:paraId="3C4A4EE0"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New carers</w:t>
            </w:r>
          </w:p>
        </w:tc>
        <w:tc>
          <w:tcPr>
            <w:tcW w:w="2126" w:type="dxa"/>
            <w:tcBorders>
              <w:top w:val="nil"/>
              <w:left w:val="nil"/>
              <w:bottom w:val="nil"/>
              <w:right w:val="nil"/>
            </w:tcBorders>
            <w:shd w:val="clear" w:color="auto" w:fill="auto"/>
            <w:noWrap/>
            <w:vAlign w:val="bottom"/>
            <w:hideMark/>
          </w:tcPr>
          <w:p w14:paraId="09C0BE38"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96.2</w:t>
            </w:r>
          </w:p>
        </w:tc>
        <w:tc>
          <w:tcPr>
            <w:tcW w:w="1148" w:type="dxa"/>
            <w:tcBorders>
              <w:top w:val="nil"/>
              <w:left w:val="nil"/>
              <w:bottom w:val="nil"/>
              <w:right w:val="nil"/>
            </w:tcBorders>
            <w:shd w:val="clear" w:color="auto" w:fill="auto"/>
            <w:noWrap/>
            <w:vAlign w:val="bottom"/>
            <w:hideMark/>
          </w:tcPr>
          <w:p w14:paraId="424E31D3"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3.8</w:t>
            </w:r>
          </w:p>
        </w:tc>
        <w:tc>
          <w:tcPr>
            <w:tcW w:w="2126" w:type="dxa"/>
            <w:tcBorders>
              <w:top w:val="nil"/>
              <w:left w:val="nil"/>
              <w:bottom w:val="nil"/>
              <w:right w:val="nil"/>
            </w:tcBorders>
            <w:shd w:val="clear" w:color="auto" w:fill="auto"/>
            <w:noWrap/>
            <w:vAlign w:val="bottom"/>
            <w:hideMark/>
          </w:tcPr>
          <w:p w14:paraId="4CDA506E"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95.5</w:t>
            </w:r>
          </w:p>
        </w:tc>
        <w:tc>
          <w:tcPr>
            <w:tcW w:w="1148" w:type="dxa"/>
            <w:tcBorders>
              <w:top w:val="nil"/>
              <w:left w:val="nil"/>
              <w:bottom w:val="nil"/>
              <w:right w:val="nil"/>
            </w:tcBorders>
            <w:shd w:val="clear" w:color="auto" w:fill="auto"/>
            <w:noWrap/>
            <w:vAlign w:val="bottom"/>
            <w:hideMark/>
          </w:tcPr>
          <w:p w14:paraId="6E4C7190"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4.5</w:t>
            </w:r>
          </w:p>
        </w:tc>
      </w:tr>
      <w:tr w:rsidR="00690754" w:rsidRPr="004624D3" w14:paraId="0CBABA77" w14:textId="77777777" w:rsidTr="00690754">
        <w:trPr>
          <w:trHeight w:val="300"/>
        </w:trPr>
        <w:tc>
          <w:tcPr>
            <w:tcW w:w="2098" w:type="dxa"/>
            <w:tcBorders>
              <w:top w:val="nil"/>
              <w:left w:val="nil"/>
              <w:bottom w:val="nil"/>
              <w:right w:val="nil"/>
            </w:tcBorders>
            <w:shd w:val="clear" w:color="auto" w:fill="auto"/>
            <w:noWrap/>
            <w:vAlign w:val="bottom"/>
            <w:hideMark/>
          </w:tcPr>
          <w:p w14:paraId="6D1AC4BD"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Sporadic/intermittent</w:t>
            </w:r>
          </w:p>
        </w:tc>
        <w:tc>
          <w:tcPr>
            <w:tcW w:w="2126" w:type="dxa"/>
            <w:tcBorders>
              <w:top w:val="nil"/>
              <w:left w:val="nil"/>
              <w:bottom w:val="nil"/>
              <w:right w:val="nil"/>
            </w:tcBorders>
            <w:shd w:val="clear" w:color="auto" w:fill="auto"/>
            <w:noWrap/>
            <w:vAlign w:val="bottom"/>
            <w:hideMark/>
          </w:tcPr>
          <w:p w14:paraId="36FA704F"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94.9</w:t>
            </w:r>
          </w:p>
        </w:tc>
        <w:tc>
          <w:tcPr>
            <w:tcW w:w="1148" w:type="dxa"/>
            <w:tcBorders>
              <w:top w:val="nil"/>
              <w:left w:val="nil"/>
              <w:bottom w:val="nil"/>
              <w:right w:val="nil"/>
            </w:tcBorders>
            <w:shd w:val="clear" w:color="auto" w:fill="auto"/>
            <w:noWrap/>
            <w:vAlign w:val="bottom"/>
            <w:hideMark/>
          </w:tcPr>
          <w:p w14:paraId="40B3650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5.1</w:t>
            </w:r>
          </w:p>
        </w:tc>
        <w:tc>
          <w:tcPr>
            <w:tcW w:w="2126" w:type="dxa"/>
            <w:tcBorders>
              <w:top w:val="nil"/>
              <w:left w:val="nil"/>
              <w:bottom w:val="nil"/>
              <w:right w:val="nil"/>
            </w:tcBorders>
            <w:shd w:val="clear" w:color="auto" w:fill="auto"/>
            <w:noWrap/>
            <w:vAlign w:val="bottom"/>
            <w:hideMark/>
          </w:tcPr>
          <w:p w14:paraId="3D37D80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92.8</w:t>
            </w:r>
          </w:p>
        </w:tc>
        <w:tc>
          <w:tcPr>
            <w:tcW w:w="1148" w:type="dxa"/>
            <w:tcBorders>
              <w:top w:val="nil"/>
              <w:left w:val="nil"/>
              <w:bottom w:val="nil"/>
              <w:right w:val="nil"/>
            </w:tcBorders>
            <w:shd w:val="clear" w:color="auto" w:fill="auto"/>
            <w:noWrap/>
            <w:vAlign w:val="bottom"/>
            <w:hideMark/>
          </w:tcPr>
          <w:p w14:paraId="22680CAB"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7.3</w:t>
            </w:r>
          </w:p>
        </w:tc>
      </w:tr>
      <w:tr w:rsidR="00690754" w:rsidRPr="004624D3" w14:paraId="7C90F50F" w14:textId="77777777" w:rsidTr="00690754">
        <w:trPr>
          <w:trHeight w:val="300"/>
        </w:trPr>
        <w:tc>
          <w:tcPr>
            <w:tcW w:w="2098" w:type="dxa"/>
            <w:tcBorders>
              <w:top w:val="nil"/>
              <w:left w:val="nil"/>
              <w:bottom w:val="nil"/>
              <w:right w:val="nil"/>
            </w:tcBorders>
            <w:shd w:val="clear" w:color="auto" w:fill="auto"/>
            <w:noWrap/>
            <w:vAlign w:val="bottom"/>
            <w:hideMark/>
          </w:tcPr>
          <w:p w14:paraId="72901F80"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Stopped caring</w:t>
            </w:r>
          </w:p>
        </w:tc>
        <w:tc>
          <w:tcPr>
            <w:tcW w:w="2126" w:type="dxa"/>
            <w:tcBorders>
              <w:top w:val="nil"/>
              <w:left w:val="nil"/>
              <w:bottom w:val="nil"/>
              <w:right w:val="nil"/>
            </w:tcBorders>
            <w:shd w:val="clear" w:color="auto" w:fill="auto"/>
            <w:noWrap/>
            <w:vAlign w:val="bottom"/>
            <w:hideMark/>
          </w:tcPr>
          <w:p w14:paraId="1E155B27"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93.4</w:t>
            </w:r>
          </w:p>
        </w:tc>
        <w:tc>
          <w:tcPr>
            <w:tcW w:w="1148" w:type="dxa"/>
            <w:tcBorders>
              <w:top w:val="nil"/>
              <w:left w:val="nil"/>
              <w:bottom w:val="nil"/>
              <w:right w:val="nil"/>
            </w:tcBorders>
            <w:shd w:val="clear" w:color="auto" w:fill="auto"/>
            <w:noWrap/>
            <w:vAlign w:val="bottom"/>
            <w:hideMark/>
          </w:tcPr>
          <w:p w14:paraId="34569F2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6.6</w:t>
            </w:r>
          </w:p>
        </w:tc>
        <w:tc>
          <w:tcPr>
            <w:tcW w:w="2126" w:type="dxa"/>
            <w:tcBorders>
              <w:top w:val="nil"/>
              <w:left w:val="nil"/>
              <w:bottom w:val="nil"/>
              <w:right w:val="nil"/>
            </w:tcBorders>
            <w:shd w:val="clear" w:color="auto" w:fill="auto"/>
            <w:noWrap/>
            <w:vAlign w:val="bottom"/>
            <w:hideMark/>
          </w:tcPr>
          <w:p w14:paraId="7A23F5DA"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93.4</w:t>
            </w:r>
          </w:p>
        </w:tc>
        <w:tc>
          <w:tcPr>
            <w:tcW w:w="1148" w:type="dxa"/>
            <w:tcBorders>
              <w:top w:val="nil"/>
              <w:left w:val="nil"/>
              <w:bottom w:val="nil"/>
              <w:right w:val="nil"/>
            </w:tcBorders>
            <w:shd w:val="clear" w:color="auto" w:fill="auto"/>
            <w:noWrap/>
            <w:vAlign w:val="bottom"/>
            <w:hideMark/>
          </w:tcPr>
          <w:p w14:paraId="509B9ADD"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6.6</w:t>
            </w:r>
          </w:p>
        </w:tc>
      </w:tr>
      <w:tr w:rsidR="00690754" w:rsidRPr="004624D3" w14:paraId="68A97BEB" w14:textId="77777777" w:rsidTr="00690754">
        <w:trPr>
          <w:trHeight w:val="300"/>
        </w:trPr>
        <w:tc>
          <w:tcPr>
            <w:tcW w:w="2098" w:type="dxa"/>
            <w:tcBorders>
              <w:top w:val="nil"/>
              <w:left w:val="nil"/>
              <w:bottom w:val="nil"/>
              <w:right w:val="nil"/>
            </w:tcBorders>
            <w:shd w:val="clear" w:color="auto" w:fill="auto"/>
            <w:noWrap/>
            <w:vAlign w:val="bottom"/>
            <w:hideMark/>
          </w:tcPr>
          <w:p w14:paraId="60164C6A"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Non carers</w:t>
            </w:r>
          </w:p>
        </w:tc>
        <w:tc>
          <w:tcPr>
            <w:tcW w:w="2126" w:type="dxa"/>
            <w:tcBorders>
              <w:top w:val="nil"/>
              <w:left w:val="nil"/>
              <w:bottom w:val="nil"/>
              <w:right w:val="nil"/>
            </w:tcBorders>
            <w:shd w:val="clear" w:color="auto" w:fill="auto"/>
            <w:noWrap/>
            <w:vAlign w:val="bottom"/>
            <w:hideMark/>
          </w:tcPr>
          <w:p w14:paraId="527E640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94.2</w:t>
            </w:r>
          </w:p>
        </w:tc>
        <w:tc>
          <w:tcPr>
            <w:tcW w:w="1148" w:type="dxa"/>
            <w:tcBorders>
              <w:top w:val="nil"/>
              <w:left w:val="nil"/>
              <w:bottom w:val="nil"/>
              <w:right w:val="nil"/>
            </w:tcBorders>
            <w:shd w:val="clear" w:color="auto" w:fill="auto"/>
            <w:noWrap/>
            <w:vAlign w:val="bottom"/>
            <w:hideMark/>
          </w:tcPr>
          <w:p w14:paraId="55D08BD4"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5.8</w:t>
            </w:r>
          </w:p>
        </w:tc>
        <w:tc>
          <w:tcPr>
            <w:tcW w:w="2126" w:type="dxa"/>
            <w:tcBorders>
              <w:top w:val="nil"/>
              <w:left w:val="nil"/>
              <w:bottom w:val="nil"/>
              <w:right w:val="nil"/>
            </w:tcBorders>
            <w:shd w:val="clear" w:color="auto" w:fill="auto"/>
            <w:noWrap/>
            <w:vAlign w:val="bottom"/>
            <w:hideMark/>
          </w:tcPr>
          <w:p w14:paraId="3C9126B2"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93.8</w:t>
            </w:r>
          </w:p>
        </w:tc>
        <w:tc>
          <w:tcPr>
            <w:tcW w:w="1148" w:type="dxa"/>
            <w:tcBorders>
              <w:top w:val="nil"/>
              <w:left w:val="nil"/>
              <w:bottom w:val="nil"/>
              <w:right w:val="nil"/>
            </w:tcBorders>
            <w:shd w:val="clear" w:color="auto" w:fill="auto"/>
            <w:noWrap/>
            <w:vAlign w:val="bottom"/>
            <w:hideMark/>
          </w:tcPr>
          <w:p w14:paraId="27865CF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6.2</w:t>
            </w:r>
          </w:p>
        </w:tc>
      </w:tr>
      <w:tr w:rsidR="00690754" w:rsidRPr="004624D3" w14:paraId="17743F4D" w14:textId="77777777" w:rsidTr="00690754">
        <w:trPr>
          <w:trHeight w:val="300"/>
        </w:trPr>
        <w:tc>
          <w:tcPr>
            <w:tcW w:w="2098" w:type="dxa"/>
            <w:tcBorders>
              <w:top w:val="single" w:sz="4" w:space="0" w:color="auto"/>
              <w:left w:val="nil"/>
              <w:bottom w:val="single" w:sz="4" w:space="0" w:color="auto"/>
              <w:right w:val="nil"/>
            </w:tcBorders>
            <w:shd w:val="clear" w:color="auto" w:fill="auto"/>
            <w:noWrap/>
            <w:vAlign w:val="bottom"/>
            <w:hideMark/>
          </w:tcPr>
          <w:p w14:paraId="4903E0CE" w14:textId="2B85AF14"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Total </w:t>
            </w:r>
          </w:p>
        </w:tc>
        <w:tc>
          <w:tcPr>
            <w:tcW w:w="2126" w:type="dxa"/>
            <w:tcBorders>
              <w:top w:val="single" w:sz="4" w:space="0" w:color="auto"/>
              <w:left w:val="nil"/>
              <w:bottom w:val="single" w:sz="4" w:space="0" w:color="auto"/>
              <w:right w:val="nil"/>
            </w:tcBorders>
            <w:shd w:val="clear" w:color="auto" w:fill="auto"/>
            <w:noWrap/>
            <w:vAlign w:val="bottom"/>
            <w:hideMark/>
          </w:tcPr>
          <w:p w14:paraId="34D41109"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95.3</w:t>
            </w:r>
          </w:p>
        </w:tc>
        <w:tc>
          <w:tcPr>
            <w:tcW w:w="1148" w:type="dxa"/>
            <w:tcBorders>
              <w:top w:val="single" w:sz="4" w:space="0" w:color="auto"/>
              <w:left w:val="nil"/>
              <w:bottom w:val="single" w:sz="4" w:space="0" w:color="auto"/>
              <w:right w:val="nil"/>
            </w:tcBorders>
            <w:shd w:val="clear" w:color="auto" w:fill="auto"/>
            <w:noWrap/>
            <w:vAlign w:val="bottom"/>
            <w:hideMark/>
          </w:tcPr>
          <w:p w14:paraId="469E43B6"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4.7</w:t>
            </w:r>
          </w:p>
        </w:tc>
        <w:tc>
          <w:tcPr>
            <w:tcW w:w="2126" w:type="dxa"/>
            <w:tcBorders>
              <w:top w:val="single" w:sz="4" w:space="0" w:color="auto"/>
              <w:left w:val="nil"/>
              <w:bottom w:val="single" w:sz="4" w:space="0" w:color="auto"/>
              <w:right w:val="nil"/>
            </w:tcBorders>
            <w:shd w:val="clear" w:color="auto" w:fill="auto"/>
            <w:noWrap/>
            <w:vAlign w:val="bottom"/>
            <w:hideMark/>
          </w:tcPr>
          <w:p w14:paraId="409874DC" w14:textId="77777777"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94.4</w:t>
            </w:r>
          </w:p>
        </w:tc>
        <w:tc>
          <w:tcPr>
            <w:tcW w:w="1148" w:type="dxa"/>
            <w:tcBorders>
              <w:top w:val="single" w:sz="4" w:space="0" w:color="auto"/>
              <w:left w:val="nil"/>
              <w:bottom w:val="single" w:sz="4" w:space="0" w:color="auto"/>
              <w:right w:val="nil"/>
            </w:tcBorders>
            <w:shd w:val="clear" w:color="auto" w:fill="auto"/>
            <w:noWrap/>
            <w:vAlign w:val="bottom"/>
            <w:hideMark/>
          </w:tcPr>
          <w:p w14:paraId="33C7EA4C" w14:textId="46C1839F" w:rsidR="00690754" w:rsidRPr="004624D3" w:rsidRDefault="00690754" w:rsidP="00690754">
            <w:pPr>
              <w:spacing w:after="0" w:line="276" w:lineRule="auto"/>
              <w:jc w:val="right"/>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5.7</w:t>
            </w:r>
            <w:r w:rsidR="008279CF" w:rsidRPr="004624D3">
              <w:rPr>
                <w:rFonts w:ascii="Calibri" w:eastAsia="Times New Roman" w:hAnsi="Calibri" w:cs="Calibri"/>
                <w:color w:val="000000"/>
                <w:lang w:val="es-ES" w:eastAsia="es-ES"/>
              </w:rPr>
              <w:t>*</w:t>
            </w:r>
          </w:p>
        </w:tc>
      </w:tr>
    </w:tbl>
    <w:p w14:paraId="4AAB0D17" w14:textId="3757CED2" w:rsidR="008279CF" w:rsidRPr="004624D3" w:rsidRDefault="008279CF" w:rsidP="00690754">
      <w:pPr>
        <w:spacing w:after="0" w:line="480" w:lineRule="auto"/>
      </w:pPr>
      <w:r w:rsidRPr="004624D3">
        <w:t>Notes: (*) Gender differences between health status using Chi2 (p=0.065).    Care trajectories differences between health status using Tukey test (</w:t>
      </w:r>
      <w:r w:rsidR="005B328E" w:rsidRPr="004624D3">
        <w:t>non-significant</w:t>
      </w:r>
      <w:r w:rsidRPr="004624D3">
        <w:t xml:space="preserve"> differences).</w:t>
      </w:r>
    </w:p>
    <w:p w14:paraId="4C327163" w14:textId="77777777" w:rsidR="00690754" w:rsidRPr="004624D3" w:rsidRDefault="00690754" w:rsidP="00690754">
      <w:pPr>
        <w:spacing w:after="0" w:line="480" w:lineRule="auto"/>
      </w:pPr>
      <w:r w:rsidRPr="004624D3">
        <w:t>Source: Authors’ analysis of NCDS.</w:t>
      </w:r>
    </w:p>
    <w:p w14:paraId="76F64A21" w14:textId="77777777" w:rsidR="00690754" w:rsidRPr="004624D3" w:rsidRDefault="00690754">
      <w:pPr>
        <w:rPr>
          <w:rFonts w:eastAsia="Times New Roman" w:cs="Times New Roman"/>
          <w:bCs/>
          <w:color w:val="000000"/>
        </w:rPr>
      </w:pPr>
      <w:r w:rsidRPr="004624D3">
        <w:rPr>
          <w:rFonts w:eastAsia="Times New Roman" w:cs="Times New Roman"/>
          <w:bCs/>
          <w:color w:val="000000"/>
        </w:rPr>
        <w:br w:type="page"/>
      </w:r>
    </w:p>
    <w:p w14:paraId="6186BBD6" w14:textId="77777777" w:rsidR="00690754" w:rsidRPr="004624D3" w:rsidRDefault="00690754" w:rsidP="00690754">
      <w:pPr>
        <w:spacing w:after="0" w:line="276" w:lineRule="auto"/>
        <w:rPr>
          <w:b/>
          <w:bCs/>
        </w:rPr>
      </w:pPr>
      <w:r w:rsidRPr="004624D3">
        <w:rPr>
          <w:b/>
          <w:bCs/>
        </w:rPr>
        <w:lastRenderedPageBreak/>
        <w:t>Table 7: Logistic regression showing the predictors of (a) depression and (b) self-reported poor health at age 55 (Odds Ratios).</w:t>
      </w:r>
    </w:p>
    <w:tbl>
      <w:tblPr>
        <w:tblW w:w="9067" w:type="dxa"/>
        <w:tblCellMar>
          <w:left w:w="70" w:type="dxa"/>
          <w:right w:w="70" w:type="dxa"/>
        </w:tblCellMar>
        <w:tblLook w:val="04A0" w:firstRow="1" w:lastRow="0" w:firstColumn="1" w:lastColumn="0" w:noHBand="0" w:noVBand="1"/>
      </w:tblPr>
      <w:tblGrid>
        <w:gridCol w:w="2972"/>
        <w:gridCol w:w="2977"/>
        <w:gridCol w:w="3118"/>
      </w:tblGrid>
      <w:tr w:rsidR="00690754" w:rsidRPr="004624D3" w14:paraId="51CE772F" w14:textId="77777777" w:rsidTr="00DD1FF7">
        <w:trPr>
          <w:trHeight w:val="632"/>
        </w:trPr>
        <w:tc>
          <w:tcPr>
            <w:tcW w:w="2972" w:type="dxa"/>
            <w:tcBorders>
              <w:bottom w:val="single" w:sz="4" w:space="0" w:color="auto"/>
            </w:tcBorders>
            <w:shd w:val="clear" w:color="auto" w:fill="auto"/>
            <w:vAlign w:val="center"/>
            <w:hideMark/>
          </w:tcPr>
          <w:p w14:paraId="08E0F7A8" w14:textId="77777777" w:rsidR="00690754" w:rsidRPr="004624D3" w:rsidRDefault="00690754" w:rsidP="00690754">
            <w:pPr>
              <w:spacing w:after="0" w:line="276" w:lineRule="auto"/>
              <w:rPr>
                <w:rFonts w:ascii="Calibri" w:eastAsia="Times New Roman" w:hAnsi="Calibri" w:cs="Calibri"/>
                <w:color w:val="000000"/>
                <w:lang w:eastAsia="es-ES"/>
              </w:rPr>
            </w:pPr>
            <w:bookmarkStart w:id="4" w:name="RANGE!J4"/>
            <w:r w:rsidRPr="004624D3">
              <w:rPr>
                <w:rFonts w:ascii="Calibri" w:eastAsia="Times New Roman" w:hAnsi="Calibri" w:cs="Calibri"/>
                <w:color w:val="000000"/>
                <w:lang w:eastAsia="es-ES"/>
              </w:rPr>
              <w:t> </w:t>
            </w:r>
            <w:bookmarkEnd w:id="4"/>
          </w:p>
        </w:tc>
        <w:tc>
          <w:tcPr>
            <w:tcW w:w="2977" w:type="dxa"/>
            <w:tcBorders>
              <w:bottom w:val="single" w:sz="4" w:space="0" w:color="auto"/>
            </w:tcBorders>
            <w:shd w:val="clear" w:color="auto" w:fill="auto"/>
            <w:vAlign w:val="center"/>
            <w:hideMark/>
          </w:tcPr>
          <w:p w14:paraId="3989A59F" w14:textId="77777777"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eastAsia="es-ES"/>
              </w:rPr>
              <w:t>(a)</w:t>
            </w:r>
            <w:r w:rsidRPr="004624D3">
              <w:rPr>
                <w:rFonts w:ascii="Times New Roman" w:eastAsia="Times New Roman" w:hAnsi="Times New Roman" w:cs="Times New Roman"/>
                <w:color w:val="000000"/>
                <w:sz w:val="14"/>
                <w:szCs w:val="14"/>
                <w:lang w:eastAsia="es-ES"/>
              </w:rPr>
              <w:t xml:space="preserve">    </w:t>
            </w:r>
            <w:r w:rsidRPr="004624D3">
              <w:rPr>
                <w:rFonts w:ascii="Calibri" w:eastAsia="Times New Roman" w:hAnsi="Calibri" w:cs="Calibri"/>
                <w:color w:val="000000"/>
                <w:lang w:eastAsia="es-ES"/>
              </w:rPr>
              <w:t>Depression at age 55</w:t>
            </w:r>
          </w:p>
        </w:tc>
        <w:tc>
          <w:tcPr>
            <w:tcW w:w="3118" w:type="dxa"/>
            <w:tcBorders>
              <w:bottom w:val="single" w:sz="4" w:space="0" w:color="auto"/>
            </w:tcBorders>
            <w:shd w:val="clear" w:color="auto" w:fill="auto"/>
            <w:vAlign w:val="center"/>
            <w:hideMark/>
          </w:tcPr>
          <w:p w14:paraId="70A3AA70" w14:textId="77777777" w:rsidR="00690754" w:rsidRPr="004624D3" w:rsidRDefault="00690754" w:rsidP="00690754">
            <w:pPr>
              <w:spacing w:after="0" w:line="276" w:lineRule="auto"/>
              <w:jc w:val="center"/>
              <w:rPr>
                <w:rFonts w:ascii="Calibri" w:eastAsia="Times New Roman" w:hAnsi="Calibri" w:cs="Calibri"/>
                <w:color w:val="000000"/>
                <w:lang w:eastAsia="es-ES"/>
              </w:rPr>
            </w:pPr>
            <w:r w:rsidRPr="004624D3">
              <w:rPr>
                <w:rFonts w:ascii="Calibri" w:eastAsia="Times New Roman" w:hAnsi="Calibri" w:cs="Calibri"/>
                <w:color w:val="000000"/>
                <w:lang w:eastAsia="es-ES"/>
              </w:rPr>
              <w:t>(b)</w:t>
            </w:r>
            <w:r w:rsidRPr="004624D3">
              <w:rPr>
                <w:rFonts w:ascii="Times New Roman" w:eastAsia="Times New Roman" w:hAnsi="Times New Roman" w:cs="Times New Roman"/>
                <w:color w:val="000000"/>
                <w:sz w:val="14"/>
                <w:szCs w:val="14"/>
                <w:lang w:eastAsia="es-ES"/>
              </w:rPr>
              <w:t xml:space="preserve">    </w:t>
            </w:r>
            <w:r w:rsidRPr="004624D3">
              <w:rPr>
                <w:rFonts w:ascii="Calibri" w:eastAsia="Times New Roman" w:hAnsi="Calibri" w:cs="Calibri"/>
                <w:color w:val="000000"/>
                <w:lang w:eastAsia="es-ES"/>
              </w:rPr>
              <w:t>Self-reported poor health at age 55</w:t>
            </w:r>
          </w:p>
        </w:tc>
      </w:tr>
      <w:tr w:rsidR="00690754" w:rsidRPr="004624D3" w14:paraId="631DEC88" w14:textId="77777777" w:rsidTr="00DD1FF7">
        <w:trPr>
          <w:trHeight w:val="300"/>
        </w:trPr>
        <w:tc>
          <w:tcPr>
            <w:tcW w:w="2972" w:type="dxa"/>
            <w:tcBorders>
              <w:top w:val="single" w:sz="4" w:space="0" w:color="auto"/>
            </w:tcBorders>
            <w:shd w:val="clear" w:color="auto" w:fill="auto"/>
            <w:vAlign w:val="center"/>
            <w:hideMark/>
          </w:tcPr>
          <w:p w14:paraId="78BF2082" w14:textId="1CDB878E" w:rsidR="00690754" w:rsidRPr="004624D3" w:rsidRDefault="007B2B8A" w:rsidP="00690754">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Repeat</w:t>
            </w:r>
            <w:r w:rsidR="00690754" w:rsidRPr="004624D3">
              <w:rPr>
                <w:rFonts w:ascii="Calibri" w:eastAsia="Times New Roman" w:hAnsi="Calibri" w:cs="Calibri"/>
                <w:b/>
                <w:color w:val="000000"/>
                <w:lang w:eastAsia="es-ES"/>
              </w:rPr>
              <w:t xml:space="preserve"> carers (ref)</w:t>
            </w:r>
          </w:p>
        </w:tc>
        <w:tc>
          <w:tcPr>
            <w:tcW w:w="2977" w:type="dxa"/>
            <w:tcBorders>
              <w:top w:val="single" w:sz="4" w:space="0" w:color="auto"/>
            </w:tcBorders>
            <w:shd w:val="clear" w:color="auto" w:fill="auto"/>
            <w:noWrap/>
            <w:vAlign w:val="bottom"/>
            <w:hideMark/>
          </w:tcPr>
          <w:p w14:paraId="574F24A5"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118" w:type="dxa"/>
            <w:tcBorders>
              <w:top w:val="single" w:sz="4" w:space="0" w:color="auto"/>
            </w:tcBorders>
            <w:shd w:val="clear" w:color="auto" w:fill="auto"/>
            <w:noWrap/>
            <w:vAlign w:val="bottom"/>
            <w:hideMark/>
          </w:tcPr>
          <w:p w14:paraId="123DACE1"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690754" w:rsidRPr="004624D3" w14:paraId="14C0EECD" w14:textId="77777777" w:rsidTr="00DD1FF7">
        <w:trPr>
          <w:trHeight w:val="300"/>
        </w:trPr>
        <w:tc>
          <w:tcPr>
            <w:tcW w:w="2972" w:type="dxa"/>
            <w:shd w:val="clear" w:color="auto" w:fill="auto"/>
            <w:vAlign w:val="center"/>
            <w:hideMark/>
          </w:tcPr>
          <w:p w14:paraId="0E081179"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New carers</w:t>
            </w:r>
          </w:p>
        </w:tc>
        <w:tc>
          <w:tcPr>
            <w:tcW w:w="2977" w:type="dxa"/>
            <w:shd w:val="clear" w:color="auto" w:fill="auto"/>
            <w:noWrap/>
            <w:vAlign w:val="bottom"/>
            <w:hideMark/>
          </w:tcPr>
          <w:p w14:paraId="6693104B"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0.735* (0.12)</w:t>
            </w:r>
          </w:p>
        </w:tc>
        <w:tc>
          <w:tcPr>
            <w:tcW w:w="3118" w:type="dxa"/>
            <w:shd w:val="clear" w:color="auto" w:fill="auto"/>
            <w:noWrap/>
            <w:vAlign w:val="bottom"/>
            <w:hideMark/>
          </w:tcPr>
          <w:p w14:paraId="32E4F612"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0.748 (0.18)</w:t>
            </w:r>
          </w:p>
        </w:tc>
      </w:tr>
      <w:tr w:rsidR="00690754" w:rsidRPr="004624D3" w14:paraId="4BD251A9" w14:textId="77777777" w:rsidTr="00DD1FF7">
        <w:trPr>
          <w:trHeight w:val="600"/>
        </w:trPr>
        <w:tc>
          <w:tcPr>
            <w:tcW w:w="2972" w:type="dxa"/>
            <w:shd w:val="clear" w:color="auto" w:fill="auto"/>
            <w:vAlign w:val="center"/>
            <w:hideMark/>
          </w:tcPr>
          <w:p w14:paraId="4895F548"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Sporadic/ intermittent carers</w:t>
            </w:r>
          </w:p>
        </w:tc>
        <w:tc>
          <w:tcPr>
            <w:tcW w:w="2977" w:type="dxa"/>
            <w:shd w:val="clear" w:color="auto" w:fill="auto"/>
            <w:noWrap/>
            <w:vAlign w:val="bottom"/>
            <w:hideMark/>
          </w:tcPr>
          <w:p w14:paraId="3BEF9795"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0.858 (0.15)</w:t>
            </w:r>
          </w:p>
        </w:tc>
        <w:tc>
          <w:tcPr>
            <w:tcW w:w="3118" w:type="dxa"/>
            <w:shd w:val="clear" w:color="auto" w:fill="auto"/>
            <w:noWrap/>
            <w:vAlign w:val="bottom"/>
            <w:hideMark/>
          </w:tcPr>
          <w:p w14:paraId="71971375"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1.001 (0.27)</w:t>
            </w:r>
          </w:p>
        </w:tc>
      </w:tr>
      <w:tr w:rsidR="00690754" w:rsidRPr="004624D3" w14:paraId="1FDA99E8" w14:textId="77777777" w:rsidTr="00DD1FF7">
        <w:trPr>
          <w:trHeight w:val="435"/>
        </w:trPr>
        <w:tc>
          <w:tcPr>
            <w:tcW w:w="2972" w:type="dxa"/>
            <w:shd w:val="clear" w:color="auto" w:fill="auto"/>
            <w:vAlign w:val="center"/>
            <w:hideMark/>
          </w:tcPr>
          <w:p w14:paraId="5E93986F"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Stopped caring</w:t>
            </w:r>
          </w:p>
        </w:tc>
        <w:tc>
          <w:tcPr>
            <w:tcW w:w="2977" w:type="dxa"/>
            <w:shd w:val="clear" w:color="auto" w:fill="auto"/>
            <w:noWrap/>
            <w:vAlign w:val="bottom"/>
            <w:hideMark/>
          </w:tcPr>
          <w:p w14:paraId="5F4BC492"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0.936 (0.19)</w:t>
            </w:r>
          </w:p>
        </w:tc>
        <w:tc>
          <w:tcPr>
            <w:tcW w:w="3118" w:type="dxa"/>
            <w:shd w:val="clear" w:color="auto" w:fill="auto"/>
            <w:noWrap/>
            <w:vAlign w:val="bottom"/>
            <w:hideMark/>
          </w:tcPr>
          <w:p w14:paraId="78C1049B"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0.988 (0.31)</w:t>
            </w:r>
          </w:p>
        </w:tc>
      </w:tr>
      <w:tr w:rsidR="00690754" w:rsidRPr="004624D3" w14:paraId="592C222C" w14:textId="77777777" w:rsidTr="00DD1FF7">
        <w:trPr>
          <w:trHeight w:val="496"/>
        </w:trPr>
        <w:tc>
          <w:tcPr>
            <w:tcW w:w="2972" w:type="dxa"/>
            <w:shd w:val="clear" w:color="auto" w:fill="auto"/>
            <w:vAlign w:val="center"/>
            <w:hideMark/>
          </w:tcPr>
          <w:p w14:paraId="204F2CD4"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Non-carers</w:t>
            </w:r>
          </w:p>
        </w:tc>
        <w:tc>
          <w:tcPr>
            <w:tcW w:w="2977" w:type="dxa"/>
            <w:shd w:val="clear" w:color="auto" w:fill="auto"/>
            <w:noWrap/>
            <w:vAlign w:val="bottom"/>
            <w:hideMark/>
          </w:tcPr>
          <w:p w14:paraId="187788CD"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0.863 (0.14)</w:t>
            </w:r>
          </w:p>
        </w:tc>
        <w:tc>
          <w:tcPr>
            <w:tcW w:w="3118" w:type="dxa"/>
            <w:shd w:val="clear" w:color="auto" w:fill="auto"/>
            <w:noWrap/>
            <w:vAlign w:val="bottom"/>
            <w:hideMark/>
          </w:tcPr>
          <w:p w14:paraId="3CC7D466"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0.947 (0.24)</w:t>
            </w:r>
          </w:p>
        </w:tc>
      </w:tr>
      <w:tr w:rsidR="00690754" w:rsidRPr="004624D3" w14:paraId="56913268" w14:textId="77777777" w:rsidTr="00DD1FF7">
        <w:trPr>
          <w:trHeight w:val="300"/>
        </w:trPr>
        <w:tc>
          <w:tcPr>
            <w:tcW w:w="2972" w:type="dxa"/>
            <w:shd w:val="clear" w:color="auto" w:fill="auto"/>
            <w:vAlign w:val="center"/>
            <w:hideMark/>
          </w:tcPr>
          <w:p w14:paraId="0D27D904" w14:textId="77777777" w:rsidR="00690754" w:rsidRPr="004624D3" w:rsidRDefault="00690754" w:rsidP="00690754">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Males (ref)</w:t>
            </w:r>
          </w:p>
        </w:tc>
        <w:tc>
          <w:tcPr>
            <w:tcW w:w="2977" w:type="dxa"/>
            <w:shd w:val="clear" w:color="auto" w:fill="auto"/>
            <w:noWrap/>
            <w:vAlign w:val="bottom"/>
            <w:hideMark/>
          </w:tcPr>
          <w:p w14:paraId="4CBD1890"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118" w:type="dxa"/>
            <w:shd w:val="clear" w:color="auto" w:fill="auto"/>
            <w:noWrap/>
            <w:vAlign w:val="bottom"/>
            <w:hideMark/>
          </w:tcPr>
          <w:p w14:paraId="0D64294D"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690754" w:rsidRPr="004624D3" w14:paraId="0560E52F" w14:textId="77777777" w:rsidTr="00DD1FF7">
        <w:trPr>
          <w:trHeight w:val="300"/>
        </w:trPr>
        <w:tc>
          <w:tcPr>
            <w:tcW w:w="2972" w:type="dxa"/>
            <w:shd w:val="clear" w:color="auto" w:fill="auto"/>
            <w:vAlign w:val="center"/>
            <w:hideMark/>
          </w:tcPr>
          <w:p w14:paraId="1B47ABE8"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Females</w:t>
            </w:r>
          </w:p>
        </w:tc>
        <w:tc>
          <w:tcPr>
            <w:tcW w:w="2977" w:type="dxa"/>
            <w:shd w:val="clear" w:color="auto" w:fill="auto"/>
            <w:noWrap/>
            <w:vAlign w:val="bottom"/>
            <w:hideMark/>
          </w:tcPr>
          <w:p w14:paraId="279A9AE1"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1.667*** (0.13)</w:t>
            </w:r>
          </w:p>
        </w:tc>
        <w:tc>
          <w:tcPr>
            <w:tcW w:w="3118" w:type="dxa"/>
            <w:shd w:val="clear" w:color="auto" w:fill="auto"/>
            <w:noWrap/>
            <w:vAlign w:val="bottom"/>
            <w:hideMark/>
          </w:tcPr>
          <w:p w14:paraId="71347B08"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1.182 (0.14)</w:t>
            </w:r>
          </w:p>
        </w:tc>
      </w:tr>
      <w:tr w:rsidR="00690754" w:rsidRPr="004624D3" w14:paraId="00AE6982" w14:textId="77777777" w:rsidTr="00DD1FF7">
        <w:trPr>
          <w:trHeight w:val="600"/>
        </w:trPr>
        <w:tc>
          <w:tcPr>
            <w:tcW w:w="2972" w:type="dxa"/>
            <w:shd w:val="clear" w:color="auto" w:fill="auto"/>
            <w:vAlign w:val="center"/>
            <w:hideMark/>
          </w:tcPr>
          <w:p w14:paraId="7144F88A" w14:textId="77777777" w:rsidR="00690754" w:rsidRPr="004624D3" w:rsidRDefault="00690754" w:rsidP="00690754">
            <w:pPr>
              <w:spacing w:after="0" w:line="276" w:lineRule="auto"/>
              <w:rPr>
                <w:rFonts w:ascii="Calibri" w:eastAsia="Times New Roman" w:hAnsi="Calibri" w:cs="Calibri"/>
                <w:b/>
                <w:color w:val="000000"/>
                <w:lang w:eastAsia="es-ES"/>
              </w:rPr>
            </w:pPr>
            <w:r w:rsidRPr="004624D3">
              <w:rPr>
                <w:rFonts w:ascii="Calibri" w:eastAsia="Times New Roman" w:hAnsi="Calibri" w:cs="Calibri"/>
                <w:b/>
                <w:color w:val="000000"/>
                <w:lang w:eastAsia="es-ES"/>
              </w:rPr>
              <w:t>No depression at age 46 (ref)</w:t>
            </w:r>
          </w:p>
        </w:tc>
        <w:tc>
          <w:tcPr>
            <w:tcW w:w="2977" w:type="dxa"/>
            <w:shd w:val="clear" w:color="auto" w:fill="auto"/>
            <w:noWrap/>
            <w:vAlign w:val="bottom"/>
            <w:hideMark/>
          </w:tcPr>
          <w:p w14:paraId="7DFFB65F"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118" w:type="dxa"/>
            <w:shd w:val="clear" w:color="auto" w:fill="auto"/>
            <w:noWrap/>
            <w:vAlign w:val="bottom"/>
            <w:hideMark/>
          </w:tcPr>
          <w:p w14:paraId="56045E9C"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xml:space="preserve"> -</w:t>
            </w:r>
          </w:p>
        </w:tc>
      </w:tr>
      <w:tr w:rsidR="00690754" w:rsidRPr="004624D3" w14:paraId="0E828F25" w14:textId="77777777" w:rsidTr="00DD1FF7">
        <w:trPr>
          <w:trHeight w:val="300"/>
        </w:trPr>
        <w:tc>
          <w:tcPr>
            <w:tcW w:w="2972" w:type="dxa"/>
            <w:shd w:val="clear" w:color="auto" w:fill="auto"/>
            <w:vAlign w:val="center"/>
            <w:hideMark/>
          </w:tcPr>
          <w:p w14:paraId="3E1243BE"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Depression at age 46</w:t>
            </w:r>
          </w:p>
        </w:tc>
        <w:tc>
          <w:tcPr>
            <w:tcW w:w="2977" w:type="dxa"/>
            <w:shd w:val="clear" w:color="auto" w:fill="auto"/>
            <w:noWrap/>
            <w:vAlign w:val="bottom"/>
            <w:hideMark/>
          </w:tcPr>
          <w:p w14:paraId="5DBDAD9C"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17.68*** (4.10)</w:t>
            </w:r>
          </w:p>
        </w:tc>
        <w:tc>
          <w:tcPr>
            <w:tcW w:w="3118" w:type="dxa"/>
            <w:shd w:val="clear" w:color="auto" w:fill="auto"/>
            <w:noWrap/>
            <w:vAlign w:val="bottom"/>
            <w:hideMark/>
          </w:tcPr>
          <w:p w14:paraId="50BA19F4"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w:t>
            </w:r>
          </w:p>
        </w:tc>
      </w:tr>
      <w:tr w:rsidR="00690754" w:rsidRPr="004624D3" w14:paraId="1858B33D" w14:textId="77777777" w:rsidTr="00DD1FF7">
        <w:trPr>
          <w:trHeight w:val="585"/>
        </w:trPr>
        <w:tc>
          <w:tcPr>
            <w:tcW w:w="2972" w:type="dxa"/>
            <w:shd w:val="clear" w:color="auto" w:fill="auto"/>
            <w:vAlign w:val="center"/>
            <w:hideMark/>
          </w:tcPr>
          <w:p w14:paraId="41BA2854" w14:textId="77777777" w:rsidR="00690754" w:rsidRPr="004624D3" w:rsidRDefault="00690754" w:rsidP="00690754">
            <w:pPr>
              <w:spacing w:after="0" w:line="276" w:lineRule="auto"/>
              <w:rPr>
                <w:rFonts w:ascii="Calibri" w:eastAsia="Times New Roman" w:hAnsi="Calibri" w:cs="Calibri"/>
                <w:b/>
                <w:color w:val="000000"/>
                <w:lang w:eastAsia="es-ES"/>
              </w:rPr>
            </w:pPr>
            <w:r w:rsidRPr="004624D3">
              <w:rPr>
                <w:rFonts w:ascii="Calibri" w:eastAsia="Times New Roman" w:hAnsi="Calibri" w:cs="Calibri"/>
                <w:b/>
                <w:color w:val="000000"/>
                <w:lang w:eastAsia="es-ES"/>
              </w:rPr>
              <w:t>Excellent/ very good/ good/ fair health at age 46 (ref)</w:t>
            </w:r>
          </w:p>
        </w:tc>
        <w:tc>
          <w:tcPr>
            <w:tcW w:w="2977" w:type="dxa"/>
            <w:shd w:val="clear" w:color="auto" w:fill="auto"/>
            <w:noWrap/>
            <w:vAlign w:val="bottom"/>
            <w:hideMark/>
          </w:tcPr>
          <w:p w14:paraId="1DA9E699" w14:textId="77777777"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c>
          <w:tcPr>
            <w:tcW w:w="3118" w:type="dxa"/>
            <w:shd w:val="clear" w:color="auto" w:fill="auto"/>
            <w:noWrap/>
            <w:vAlign w:val="bottom"/>
            <w:hideMark/>
          </w:tcPr>
          <w:p w14:paraId="1A004B62"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690754" w:rsidRPr="004624D3" w14:paraId="44475487" w14:textId="77777777" w:rsidTr="00DD1FF7">
        <w:trPr>
          <w:trHeight w:val="419"/>
        </w:trPr>
        <w:tc>
          <w:tcPr>
            <w:tcW w:w="2972" w:type="dxa"/>
            <w:shd w:val="clear" w:color="auto" w:fill="auto"/>
            <w:vAlign w:val="center"/>
            <w:hideMark/>
          </w:tcPr>
          <w:p w14:paraId="1DE0ED53"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Poor health at age 46</w:t>
            </w:r>
          </w:p>
        </w:tc>
        <w:tc>
          <w:tcPr>
            <w:tcW w:w="2977" w:type="dxa"/>
            <w:shd w:val="clear" w:color="auto" w:fill="auto"/>
            <w:noWrap/>
            <w:vAlign w:val="bottom"/>
            <w:hideMark/>
          </w:tcPr>
          <w:p w14:paraId="58FD4B8A" w14:textId="77777777"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c>
          <w:tcPr>
            <w:tcW w:w="3118" w:type="dxa"/>
            <w:shd w:val="clear" w:color="auto" w:fill="auto"/>
            <w:noWrap/>
            <w:vAlign w:val="bottom"/>
            <w:hideMark/>
          </w:tcPr>
          <w:p w14:paraId="0847C46E"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20.36*** (4.35)</w:t>
            </w:r>
          </w:p>
        </w:tc>
      </w:tr>
      <w:tr w:rsidR="00690754" w:rsidRPr="004624D3" w14:paraId="169CE273" w14:textId="77777777" w:rsidTr="00DD1FF7">
        <w:trPr>
          <w:trHeight w:val="600"/>
        </w:trPr>
        <w:tc>
          <w:tcPr>
            <w:tcW w:w="2972" w:type="dxa"/>
            <w:shd w:val="clear" w:color="auto" w:fill="auto"/>
            <w:vAlign w:val="center"/>
            <w:hideMark/>
          </w:tcPr>
          <w:p w14:paraId="7F828B17" w14:textId="77777777" w:rsidR="00690754" w:rsidRPr="004624D3" w:rsidRDefault="00690754" w:rsidP="00690754">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Married/ civil partnership (ref)</w:t>
            </w:r>
          </w:p>
        </w:tc>
        <w:tc>
          <w:tcPr>
            <w:tcW w:w="2977" w:type="dxa"/>
            <w:shd w:val="clear" w:color="auto" w:fill="auto"/>
            <w:noWrap/>
            <w:vAlign w:val="bottom"/>
            <w:hideMark/>
          </w:tcPr>
          <w:p w14:paraId="4E1EFF92"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118" w:type="dxa"/>
            <w:shd w:val="clear" w:color="auto" w:fill="auto"/>
            <w:noWrap/>
            <w:vAlign w:val="bottom"/>
            <w:hideMark/>
          </w:tcPr>
          <w:p w14:paraId="163F5497"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690754" w:rsidRPr="004624D3" w14:paraId="5D5CB1E8" w14:textId="77777777" w:rsidTr="00DD1FF7">
        <w:trPr>
          <w:trHeight w:val="300"/>
        </w:trPr>
        <w:tc>
          <w:tcPr>
            <w:tcW w:w="2972" w:type="dxa"/>
            <w:shd w:val="clear" w:color="auto" w:fill="auto"/>
            <w:vAlign w:val="center"/>
            <w:hideMark/>
          </w:tcPr>
          <w:p w14:paraId="1BA81518"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Single never married</w:t>
            </w:r>
          </w:p>
        </w:tc>
        <w:tc>
          <w:tcPr>
            <w:tcW w:w="2977" w:type="dxa"/>
            <w:shd w:val="clear" w:color="auto" w:fill="auto"/>
            <w:noWrap/>
            <w:vAlign w:val="bottom"/>
            <w:hideMark/>
          </w:tcPr>
          <w:p w14:paraId="1A3DFFDB"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2.117*** (0.35)</w:t>
            </w:r>
          </w:p>
        </w:tc>
        <w:tc>
          <w:tcPr>
            <w:tcW w:w="3118" w:type="dxa"/>
            <w:shd w:val="clear" w:color="auto" w:fill="auto"/>
            <w:noWrap/>
            <w:vAlign w:val="bottom"/>
            <w:hideMark/>
          </w:tcPr>
          <w:p w14:paraId="578D28A2"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2.840*** (0.63)</w:t>
            </w:r>
          </w:p>
        </w:tc>
      </w:tr>
      <w:tr w:rsidR="00690754" w:rsidRPr="004624D3" w14:paraId="56C0B896" w14:textId="77777777" w:rsidTr="00DD1FF7">
        <w:trPr>
          <w:trHeight w:val="600"/>
        </w:trPr>
        <w:tc>
          <w:tcPr>
            <w:tcW w:w="2972" w:type="dxa"/>
            <w:shd w:val="clear" w:color="auto" w:fill="auto"/>
            <w:vAlign w:val="center"/>
            <w:hideMark/>
          </w:tcPr>
          <w:p w14:paraId="4821F011"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Divorced/ separated/ widowed</w:t>
            </w:r>
          </w:p>
        </w:tc>
        <w:tc>
          <w:tcPr>
            <w:tcW w:w="2977" w:type="dxa"/>
            <w:shd w:val="clear" w:color="auto" w:fill="auto"/>
            <w:noWrap/>
            <w:vAlign w:val="bottom"/>
            <w:hideMark/>
          </w:tcPr>
          <w:p w14:paraId="59038D66"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1.828*** (0.29)</w:t>
            </w:r>
          </w:p>
        </w:tc>
        <w:tc>
          <w:tcPr>
            <w:tcW w:w="3118" w:type="dxa"/>
            <w:shd w:val="clear" w:color="auto" w:fill="auto"/>
            <w:noWrap/>
            <w:vAlign w:val="bottom"/>
            <w:hideMark/>
          </w:tcPr>
          <w:p w14:paraId="785457FF"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2.396*** (0.51)</w:t>
            </w:r>
          </w:p>
        </w:tc>
      </w:tr>
      <w:tr w:rsidR="00690754" w:rsidRPr="004624D3" w14:paraId="236A3D48" w14:textId="77777777" w:rsidTr="00DD1FF7">
        <w:trPr>
          <w:trHeight w:val="900"/>
        </w:trPr>
        <w:tc>
          <w:tcPr>
            <w:tcW w:w="2972" w:type="dxa"/>
            <w:shd w:val="clear" w:color="auto" w:fill="auto"/>
            <w:vAlign w:val="center"/>
            <w:hideMark/>
          </w:tcPr>
          <w:p w14:paraId="3A764283" w14:textId="77777777" w:rsidR="00690754" w:rsidRPr="004624D3" w:rsidRDefault="00690754" w:rsidP="00690754">
            <w:pPr>
              <w:spacing w:after="0" w:line="276" w:lineRule="auto"/>
              <w:rPr>
                <w:rFonts w:ascii="Calibri" w:eastAsia="Times New Roman" w:hAnsi="Calibri" w:cs="Calibri"/>
                <w:b/>
                <w:color w:val="000000"/>
                <w:lang w:eastAsia="es-ES"/>
              </w:rPr>
            </w:pPr>
            <w:r w:rsidRPr="004624D3">
              <w:rPr>
                <w:rFonts w:ascii="Calibri" w:eastAsia="Times New Roman" w:hAnsi="Calibri" w:cs="Calibri"/>
                <w:b/>
                <w:color w:val="000000"/>
                <w:lang w:eastAsia="es-ES"/>
              </w:rPr>
              <w:t>Did not become widowed between age 46 and 55 (ref)</w:t>
            </w:r>
          </w:p>
        </w:tc>
        <w:tc>
          <w:tcPr>
            <w:tcW w:w="2977" w:type="dxa"/>
            <w:shd w:val="clear" w:color="auto" w:fill="auto"/>
            <w:noWrap/>
            <w:vAlign w:val="bottom"/>
            <w:hideMark/>
          </w:tcPr>
          <w:p w14:paraId="65E26445"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118" w:type="dxa"/>
            <w:shd w:val="clear" w:color="auto" w:fill="auto"/>
            <w:noWrap/>
            <w:vAlign w:val="bottom"/>
            <w:hideMark/>
          </w:tcPr>
          <w:p w14:paraId="392D8C40"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690754" w:rsidRPr="004624D3" w14:paraId="2EEFFC9E" w14:textId="77777777" w:rsidTr="00DD1FF7">
        <w:trPr>
          <w:trHeight w:val="600"/>
        </w:trPr>
        <w:tc>
          <w:tcPr>
            <w:tcW w:w="2972" w:type="dxa"/>
            <w:shd w:val="clear" w:color="auto" w:fill="auto"/>
            <w:vAlign w:val="center"/>
            <w:hideMark/>
          </w:tcPr>
          <w:p w14:paraId="3DBDB851" w14:textId="77777777" w:rsidR="00690754" w:rsidRPr="004624D3" w:rsidRDefault="00690754" w:rsidP="00690754">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Became widowed between age 46 and 55</w:t>
            </w:r>
          </w:p>
        </w:tc>
        <w:tc>
          <w:tcPr>
            <w:tcW w:w="2977" w:type="dxa"/>
            <w:shd w:val="clear" w:color="auto" w:fill="auto"/>
            <w:noWrap/>
            <w:vAlign w:val="bottom"/>
            <w:hideMark/>
          </w:tcPr>
          <w:p w14:paraId="3254C801"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2.761*** (0.34)</w:t>
            </w:r>
          </w:p>
        </w:tc>
        <w:tc>
          <w:tcPr>
            <w:tcW w:w="3118" w:type="dxa"/>
            <w:shd w:val="clear" w:color="auto" w:fill="auto"/>
            <w:noWrap/>
            <w:vAlign w:val="bottom"/>
            <w:hideMark/>
          </w:tcPr>
          <w:p w14:paraId="79899A43"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2.269*** (0.41)</w:t>
            </w:r>
          </w:p>
        </w:tc>
      </w:tr>
      <w:tr w:rsidR="00690754" w:rsidRPr="004624D3" w14:paraId="665E409F" w14:textId="77777777" w:rsidTr="00DD1FF7">
        <w:trPr>
          <w:trHeight w:val="300"/>
        </w:trPr>
        <w:tc>
          <w:tcPr>
            <w:tcW w:w="2972" w:type="dxa"/>
            <w:shd w:val="clear" w:color="auto" w:fill="auto"/>
            <w:vAlign w:val="center"/>
            <w:hideMark/>
          </w:tcPr>
          <w:p w14:paraId="47BB120A" w14:textId="77777777" w:rsidR="00690754" w:rsidRPr="004624D3" w:rsidRDefault="00690754" w:rsidP="00690754">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Living alone (ref)</w:t>
            </w:r>
          </w:p>
        </w:tc>
        <w:tc>
          <w:tcPr>
            <w:tcW w:w="2977" w:type="dxa"/>
            <w:shd w:val="clear" w:color="auto" w:fill="auto"/>
            <w:noWrap/>
            <w:vAlign w:val="bottom"/>
            <w:hideMark/>
          </w:tcPr>
          <w:p w14:paraId="6EAFDEE6"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118" w:type="dxa"/>
            <w:shd w:val="clear" w:color="auto" w:fill="auto"/>
            <w:noWrap/>
            <w:vAlign w:val="bottom"/>
            <w:hideMark/>
          </w:tcPr>
          <w:p w14:paraId="6C071284"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690754" w:rsidRPr="004624D3" w14:paraId="33AAED37" w14:textId="77777777" w:rsidTr="00DD1FF7">
        <w:trPr>
          <w:trHeight w:val="300"/>
        </w:trPr>
        <w:tc>
          <w:tcPr>
            <w:tcW w:w="2972" w:type="dxa"/>
            <w:shd w:val="clear" w:color="auto" w:fill="auto"/>
            <w:vAlign w:val="center"/>
            <w:hideMark/>
          </w:tcPr>
          <w:p w14:paraId="48E1F88A"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Living with partner only</w:t>
            </w:r>
          </w:p>
        </w:tc>
        <w:tc>
          <w:tcPr>
            <w:tcW w:w="2977" w:type="dxa"/>
            <w:shd w:val="clear" w:color="auto" w:fill="auto"/>
            <w:noWrap/>
            <w:vAlign w:val="bottom"/>
            <w:hideMark/>
          </w:tcPr>
          <w:p w14:paraId="2008ABBD"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1.353*** (0.14)</w:t>
            </w:r>
          </w:p>
        </w:tc>
        <w:tc>
          <w:tcPr>
            <w:tcW w:w="3118" w:type="dxa"/>
            <w:shd w:val="clear" w:color="auto" w:fill="auto"/>
            <w:noWrap/>
            <w:vAlign w:val="bottom"/>
            <w:hideMark/>
          </w:tcPr>
          <w:p w14:paraId="07B130D4"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1.550*** (0.23)</w:t>
            </w:r>
          </w:p>
        </w:tc>
      </w:tr>
      <w:tr w:rsidR="00690754" w:rsidRPr="004624D3" w14:paraId="52BBCFD0" w14:textId="77777777" w:rsidTr="00DD1FF7">
        <w:trPr>
          <w:trHeight w:val="392"/>
        </w:trPr>
        <w:tc>
          <w:tcPr>
            <w:tcW w:w="2972" w:type="dxa"/>
            <w:shd w:val="clear" w:color="auto" w:fill="auto"/>
            <w:vAlign w:val="center"/>
            <w:hideMark/>
          </w:tcPr>
          <w:p w14:paraId="3F5B134C" w14:textId="77777777" w:rsidR="00690754" w:rsidRPr="004624D3" w:rsidRDefault="00690754" w:rsidP="00690754">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Living with partner and others</w:t>
            </w:r>
          </w:p>
        </w:tc>
        <w:tc>
          <w:tcPr>
            <w:tcW w:w="2977" w:type="dxa"/>
            <w:shd w:val="clear" w:color="auto" w:fill="auto"/>
            <w:noWrap/>
            <w:vAlign w:val="bottom"/>
            <w:hideMark/>
          </w:tcPr>
          <w:p w14:paraId="24002CEB"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 (.)</w:t>
            </w:r>
          </w:p>
        </w:tc>
        <w:tc>
          <w:tcPr>
            <w:tcW w:w="3118" w:type="dxa"/>
            <w:shd w:val="clear" w:color="auto" w:fill="auto"/>
            <w:noWrap/>
            <w:vAlign w:val="bottom"/>
            <w:hideMark/>
          </w:tcPr>
          <w:p w14:paraId="35C7F2D6"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 (.)</w:t>
            </w:r>
          </w:p>
        </w:tc>
      </w:tr>
      <w:tr w:rsidR="00690754" w:rsidRPr="004624D3" w14:paraId="355BD8EE" w14:textId="77777777" w:rsidTr="00DD1FF7">
        <w:trPr>
          <w:trHeight w:val="489"/>
        </w:trPr>
        <w:tc>
          <w:tcPr>
            <w:tcW w:w="2972" w:type="dxa"/>
            <w:shd w:val="clear" w:color="auto" w:fill="auto"/>
            <w:vAlign w:val="center"/>
            <w:hideMark/>
          </w:tcPr>
          <w:p w14:paraId="0A2030C3"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Living with others only</w:t>
            </w:r>
          </w:p>
        </w:tc>
        <w:tc>
          <w:tcPr>
            <w:tcW w:w="2977" w:type="dxa"/>
            <w:shd w:val="clear" w:color="auto" w:fill="auto"/>
            <w:noWrap/>
            <w:vAlign w:val="bottom"/>
            <w:hideMark/>
          </w:tcPr>
          <w:p w14:paraId="0FFB6649"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0.796 (0.14)</w:t>
            </w:r>
          </w:p>
        </w:tc>
        <w:tc>
          <w:tcPr>
            <w:tcW w:w="3118" w:type="dxa"/>
            <w:shd w:val="clear" w:color="auto" w:fill="auto"/>
            <w:noWrap/>
            <w:vAlign w:val="bottom"/>
            <w:hideMark/>
          </w:tcPr>
          <w:p w14:paraId="3A8FAFE6"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0.698 (0.16)</w:t>
            </w:r>
          </w:p>
        </w:tc>
      </w:tr>
      <w:tr w:rsidR="00690754" w:rsidRPr="004624D3" w14:paraId="6A3DB0B2" w14:textId="77777777" w:rsidTr="00DD1FF7">
        <w:trPr>
          <w:trHeight w:val="300"/>
        </w:trPr>
        <w:tc>
          <w:tcPr>
            <w:tcW w:w="2972" w:type="dxa"/>
            <w:shd w:val="clear" w:color="auto" w:fill="auto"/>
            <w:vAlign w:val="center"/>
            <w:hideMark/>
          </w:tcPr>
          <w:p w14:paraId="1F9DFC27" w14:textId="77777777" w:rsidR="00690754" w:rsidRPr="004624D3" w:rsidRDefault="00690754" w:rsidP="00690754">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No qualifications (ref)</w:t>
            </w:r>
          </w:p>
        </w:tc>
        <w:tc>
          <w:tcPr>
            <w:tcW w:w="2977" w:type="dxa"/>
            <w:shd w:val="clear" w:color="auto" w:fill="auto"/>
            <w:noWrap/>
            <w:vAlign w:val="bottom"/>
            <w:hideMark/>
          </w:tcPr>
          <w:p w14:paraId="0ADF27E8"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118" w:type="dxa"/>
            <w:shd w:val="clear" w:color="auto" w:fill="auto"/>
            <w:noWrap/>
            <w:vAlign w:val="bottom"/>
            <w:hideMark/>
          </w:tcPr>
          <w:p w14:paraId="2E0AAA8D"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690754" w:rsidRPr="004624D3" w14:paraId="182248E1" w14:textId="77777777" w:rsidTr="00DD1FF7">
        <w:trPr>
          <w:trHeight w:val="300"/>
        </w:trPr>
        <w:tc>
          <w:tcPr>
            <w:tcW w:w="2972" w:type="dxa"/>
            <w:shd w:val="clear" w:color="auto" w:fill="auto"/>
            <w:vAlign w:val="center"/>
            <w:hideMark/>
          </w:tcPr>
          <w:p w14:paraId="5BB095D2"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Low O-level</w:t>
            </w:r>
          </w:p>
        </w:tc>
        <w:tc>
          <w:tcPr>
            <w:tcW w:w="2977" w:type="dxa"/>
            <w:shd w:val="clear" w:color="auto" w:fill="auto"/>
            <w:noWrap/>
            <w:vAlign w:val="bottom"/>
            <w:hideMark/>
          </w:tcPr>
          <w:p w14:paraId="20708E7B"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0.581*** (0.08)</w:t>
            </w:r>
          </w:p>
        </w:tc>
        <w:tc>
          <w:tcPr>
            <w:tcW w:w="3118" w:type="dxa"/>
            <w:shd w:val="clear" w:color="auto" w:fill="auto"/>
            <w:noWrap/>
            <w:vAlign w:val="bottom"/>
            <w:hideMark/>
          </w:tcPr>
          <w:p w14:paraId="1916BB75"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0.691** (0.12)</w:t>
            </w:r>
          </w:p>
        </w:tc>
      </w:tr>
      <w:tr w:rsidR="00690754" w:rsidRPr="004624D3" w14:paraId="4D140ED8" w14:textId="77777777" w:rsidTr="00DD1FF7">
        <w:trPr>
          <w:trHeight w:val="300"/>
        </w:trPr>
        <w:tc>
          <w:tcPr>
            <w:tcW w:w="2972" w:type="dxa"/>
            <w:shd w:val="clear" w:color="auto" w:fill="auto"/>
            <w:vAlign w:val="center"/>
            <w:hideMark/>
          </w:tcPr>
          <w:p w14:paraId="76529D40"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High O-level</w:t>
            </w:r>
          </w:p>
        </w:tc>
        <w:tc>
          <w:tcPr>
            <w:tcW w:w="2977" w:type="dxa"/>
            <w:shd w:val="clear" w:color="auto" w:fill="auto"/>
            <w:noWrap/>
            <w:vAlign w:val="bottom"/>
            <w:hideMark/>
          </w:tcPr>
          <w:p w14:paraId="5A67A552"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0.618*** (0.07)</w:t>
            </w:r>
          </w:p>
        </w:tc>
        <w:tc>
          <w:tcPr>
            <w:tcW w:w="3118" w:type="dxa"/>
            <w:shd w:val="clear" w:color="auto" w:fill="auto"/>
            <w:noWrap/>
            <w:vAlign w:val="bottom"/>
            <w:hideMark/>
          </w:tcPr>
          <w:p w14:paraId="553E2B68"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0.485*** (0.07)</w:t>
            </w:r>
          </w:p>
        </w:tc>
      </w:tr>
      <w:tr w:rsidR="00690754" w:rsidRPr="004624D3" w14:paraId="3ED8BDB0" w14:textId="77777777" w:rsidTr="00DD1FF7">
        <w:trPr>
          <w:trHeight w:val="300"/>
        </w:trPr>
        <w:tc>
          <w:tcPr>
            <w:tcW w:w="2972" w:type="dxa"/>
            <w:shd w:val="clear" w:color="auto" w:fill="auto"/>
            <w:vAlign w:val="center"/>
            <w:hideMark/>
          </w:tcPr>
          <w:p w14:paraId="158A5B0C" w14:textId="77777777" w:rsidR="00690754" w:rsidRPr="004624D3" w:rsidRDefault="00690754" w:rsidP="00690754">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A-level and sub-Degree</w:t>
            </w:r>
          </w:p>
        </w:tc>
        <w:tc>
          <w:tcPr>
            <w:tcW w:w="2977" w:type="dxa"/>
            <w:shd w:val="clear" w:color="auto" w:fill="auto"/>
            <w:noWrap/>
            <w:vAlign w:val="bottom"/>
            <w:hideMark/>
          </w:tcPr>
          <w:p w14:paraId="77D3A862"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0.642*** (0.09)</w:t>
            </w:r>
          </w:p>
        </w:tc>
        <w:tc>
          <w:tcPr>
            <w:tcW w:w="3118" w:type="dxa"/>
            <w:shd w:val="clear" w:color="auto" w:fill="auto"/>
            <w:noWrap/>
            <w:vAlign w:val="bottom"/>
            <w:hideMark/>
          </w:tcPr>
          <w:p w14:paraId="0DEFAD51"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0.467*** (0.09)</w:t>
            </w:r>
          </w:p>
        </w:tc>
      </w:tr>
      <w:tr w:rsidR="00690754" w:rsidRPr="004624D3" w14:paraId="79FCA72E" w14:textId="77777777" w:rsidTr="00DD1FF7">
        <w:trPr>
          <w:trHeight w:val="300"/>
        </w:trPr>
        <w:tc>
          <w:tcPr>
            <w:tcW w:w="2972" w:type="dxa"/>
            <w:shd w:val="clear" w:color="auto" w:fill="auto"/>
            <w:vAlign w:val="center"/>
            <w:hideMark/>
          </w:tcPr>
          <w:p w14:paraId="1BF1EACC"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Degree and higher</w:t>
            </w:r>
          </w:p>
        </w:tc>
        <w:tc>
          <w:tcPr>
            <w:tcW w:w="2977" w:type="dxa"/>
            <w:shd w:val="clear" w:color="auto" w:fill="auto"/>
            <w:noWrap/>
            <w:vAlign w:val="bottom"/>
            <w:hideMark/>
          </w:tcPr>
          <w:p w14:paraId="2AC95021"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0.495*** (0.06)</w:t>
            </w:r>
          </w:p>
        </w:tc>
        <w:tc>
          <w:tcPr>
            <w:tcW w:w="3118" w:type="dxa"/>
            <w:shd w:val="clear" w:color="auto" w:fill="auto"/>
            <w:noWrap/>
            <w:vAlign w:val="bottom"/>
            <w:hideMark/>
          </w:tcPr>
          <w:p w14:paraId="0813C86D" w14:textId="77777777" w:rsidR="00690754" w:rsidRPr="004624D3" w:rsidRDefault="00690754" w:rsidP="00690754">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0.311*** (0.06)</w:t>
            </w:r>
          </w:p>
        </w:tc>
      </w:tr>
      <w:tr w:rsidR="00690754" w:rsidRPr="004624D3" w14:paraId="48602B27" w14:textId="77777777" w:rsidTr="00DD1FF7">
        <w:trPr>
          <w:trHeight w:val="416"/>
        </w:trPr>
        <w:tc>
          <w:tcPr>
            <w:tcW w:w="2972" w:type="dxa"/>
            <w:tcBorders>
              <w:bottom w:val="single" w:sz="4" w:space="0" w:color="auto"/>
            </w:tcBorders>
            <w:shd w:val="clear" w:color="auto" w:fill="auto"/>
            <w:vAlign w:val="center"/>
            <w:hideMark/>
          </w:tcPr>
          <w:p w14:paraId="6CA688A5"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w:t>
            </w:r>
          </w:p>
        </w:tc>
        <w:tc>
          <w:tcPr>
            <w:tcW w:w="2977" w:type="dxa"/>
            <w:tcBorders>
              <w:bottom w:val="single" w:sz="4" w:space="0" w:color="auto"/>
            </w:tcBorders>
            <w:shd w:val="clear" w:color="auto" w:fill="auto"/>
            <w:noWrap/>
            <w:vAlign w:val="bottom"/>
            <w:hideMark/>
          </w:tcPr>
          <w:p w14:paraId="4BD50260" w14:textId="77777777"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7,004</w:t>
            </w:r>
          </w:p>
        </w:tc>
        <w:tc>
          <w:tcPr>
            <w:tcW w:w="3118" w:type="dxa"/>
            <w:tcBorders>
              <w:bottom w:val="single" w:sz="4" w:space="0" w:color="auto"/>
            </w:tcBorders>
            <w:shd w:val="clear" w:color="auto" w:fill="auto"/>
            <w:noWrap/>
            <w:vAlign w:val="bottom"/>
            <w:hideMark/>
          </w:tcPr>
          <w:p w14:paraId="45C8EE06" w14:textId="77777777" w:rsidR="00690754" w:rsidRPr="004624D3" w:rsidRDefault="00690754" w:rsidP="00690754">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7,007</w:t>
            </w:r>
          </w:p>
        </w:tc>
      </w:tr>
      <w:tr w:rsidR="00690754" w:rsidRPr="004624D3" w14:paraId="2219ADA8" w14:textId="77777777" w:rsidTr="00DD1FF7">
        <w:trPr>
          <w:trHeight w:val="300"/>
        </w:trPr>
        <w:tc>
          <w:tcPr>
            <w:tcW w:w="9067" w:type="dxa"/>
            <w:gridSpan w:val="3"/>
            <w:tcBorders>
              <w:top w:val="single" w:sz="4" w:space="0" w:color="auto"/>
            </w:tcBorders>
            <w:shd w:val="clear" w:color="auto" w:fill="auto"/>
            <w:noWrap/>
            <w:vAlign w:val="bottom"/>
            <w:hideMark/>
          </w:tcPr>
          <w:p w14:paraId="2C64623E" w14:textId="77777777" w:rsidR="00690754" w:rsidRPr="004624D3" w:rsidRDefault="00690754" w:rsidP="00690754">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Notes: Exponentiated coefficients; Standard errors in parentheses; (-) Not applicable</w:t>
            </w:r>
          </w:p>
        </w:tc>
      </w:tr>
      <w:tr w:rsidR="00690754" w:rsidRPr="004624D3" w14:paraId="0093BE34" w14:textId="77777777" w:rsidTr="00DD1FF7">
        <w:trPr>
          <w:trHeight w:val="300"/>
        </w:trPr>
        <w:tc>
          <w:tcPr>
            <w:tcW w:w="5949" w:type="dxa"/>
            <w:gridSpan w:val="2"/>
            <w:shd w:val="clear" w:color="auto" w:fill="auto"/>
            <w:noWrap/>
            <w:vAlign w:val="bottom"/>
            <w:hideMark/>
          </w:tcPr>
          <w:p w14:paraId="4E27C44C" w14:textId="77777777" w:rsidR="00690754" w:rsidRPr="004624D3" w:rsidRDefault="00690754" w:rsidP="00690754">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p&lt;.1;  ** p&lt;.05;  *** p&lt;.01</w:t>
            </w:r>
          </w:p>
        </w:tc>
        <w:tc>
          <w:tcPr>
            <w:tcW w:w="3118" w:type="dxa"/>
            <w:shd w:val="clear" w:color="auto" w:fill="auto"/>
            <w:noWrap/>
            <w:vAlign w:val="bottom"/>
            <w:hideMark/>
          </w:tcPr>
          <w:p w14:paraId="66A26F46" w14:textId="77777777" w:rsidR="00690754" w:rsidRPr="004624D3" w:rsidRDefault="00690754" w:rsidP="00690754">
            <w:pPr>
              <w:spacing w:after="0" w:line="276" w:lineRule="auto"/>
              <w:rPr>
                <w:rFonts w:ascii="Calibri" w:eastAsia="Times New Roman" w:hAnsi="Calibri" w:cs="Calibri"/>
                <w:color w:val="000000"/>
                <w:lang w:val="es-ES" w:eastAsia="es-ES"/>
              </w:rPr>
            </w:pPr>
          </w:p>
        </w:tc>
      </w:tr>
    </w:tbl>
    <w:p w14:paraId="3EF48857" w14:textId="77777777" w:rsidR="00690754" w:rsidRPr="004624D3" w:rsidRDefault="00690754" w:rsidP="00690754">
      <w:pPr>
        <w:spacing w:after="0" w:line="480" w:lineRule="auto"/>
      </w:pPr>
    </w:p>
    <w:p w14:paraId="5A390C5D" w14:textId="53E0ED23" w:rsidR="00690754" w:rsidRPr="004624D3" w:rsidRDefault="00690754">
      <w:pPr>
        <w:rPr>
          <w:rFonts w:eastAsia="Times New Roman" w:cs="Times New Roman"/>
          <w:bCs/>
          <w:color w:val="000000"/>
        </w:rPr>
      </w:pPr>
      <w:r w:rsidRPr="004624D3">
        <w:rPr>
          <w:rFonts w:eastAsia="Times New Roman" w:cs="Times New Roman"/>
          <w:bCs/>
          <w:color w:val="000000"/>
        </w:rPr>
        <w:br w:type="page"/>
      </w:r>
    </w:p>
    <w:p w14:paraId="6030F1CC" w14:textId="77777777" w:rsidR="00690754" w:rsidRPr="004624D3" w:rsidRDefault="00690754">
      <w:pPr>
        <w:rPr>
          <w:rFonts w:eastAsia="Times New Roman" w:cs="Times New Roman"/>
          <w:bCs/>
          <w:color w:val="000000"/>
        </w:rPr>
      </w:pPr>
    </w:p>
    <w:p w14:paraId="34FF53F4" w14:textId="77777777" w:rsidR="00690754" w:rsidRPr="004624D3" w:rsidRDefault="00690754">
      <w:pPr>
        <w:rPr>
          <w:rFonts w:eastAsia="Times New Roman" w:cs="Times New Roman"/>
          <w:bCs/>
          <w:color w:val="000000"/>
        </w:rPr>
      </w:pPr>
    </w:p>
    <w:p w14:paraId="2B5B180F" w14:textId="0E5E7EF4" w:rsidR="00801649" w:rsidRPr="004624D3" w:rsidRDefault="00BC1A59" w:rsidP="0062265A">
      <w:pPr>
        <w:spacing w:line="276" w:lineRule="auto"/>
      </w:pPr>
      <w:r w:rsidRPr="004624D3">
        <w:rPr>
          <w:rFonts w:eastAsia="Times New Roman" w:cs="Times New Roman"/>
          <w:bCs/>
          <w:color w:val="000000"/>
        </w:rPr>
        <w:t>Supplementary Table 1. Different combinations of risk* of caring across the waves</w:t>
      </w:r>
      <w:r w:rsidR="00097686" w:rsidRPr="004624D3">
        <w:rPr>
          <w:rFonts w:eastAsia="Times New Roman" w:cs="Times New Roman"/>
          <w:bCs/>
          <w:color w:val="000000"/>
        </w:rPr>
        <w:t xml:space="preserve"> (%, N)</w:t>
      </w:r>
    </w:p>
    <w:tbl>
      <w:tblPr>
        <w:tblW w:w="1134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5"/>
        <w:gridCol w:w="485"/>
        <w:gridCol w:w="485"/>
        <w:gridCol w:w="1380"/>
        <w:gridCol w:w="874"/>
        <w:gridCol w:w="907"/>
        <w:gridCol w:w="912"/>
        <w:gridCol w:w="1134"/>
        <w:gridCol w:w="874"/>
        <w:gridCol w:w="907"/>
        <w:gridCol w:w="912"/>
        <w:gridCol w:w="1135"/>
      </w:tblGrid>
      <w:tr w:rsidR="00151741" w:rsidRPr="004624D3" w14:paraId="22C58829" w14:textId="77777777" w:rsidTr="00801649">
        <w:trPr>
          <w:trHeight w:val="294"/>
        </w:trPr>
        <w:tc>
          <w:tcPr>
            <w:tcW w:w="851" w:type="dxa"/>
            <w:shd w:val="clear" w:color="auto" w:fill="auto"/>
            <w:noWrap/>
            <w:vAlign w:val="bottom"/>
            <w:hideMark/>
          </w:tcPr>
          <w:p w14:paraId="7601284D"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w:t>
            </w:r>
          </w:p>
        </w:tc>
        <w:tc>
          <w:tcPr>
            <w:tcW w:w="485" w:type="dxa"/>
            <w:shd w:val="clear" w:color="auto" w:fill="auto"/>
            <w:noWrap/>
            <w:vAlign w:val="bottom"/>
            <w:hideMark/>
          </w:tcPr>
          <w:p w14:paraId="257400CB"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w:t>
            </w:r>
          </w:p>
        </w:tc>
        <w:tc>
          <w:tcPr>
            <w:tcW w:w="485" w:type="dxa"/>
            <w:shd w:val="clear" w:color="auto" w:fill="auto"/>
            <w:noWrap/>
            <w:vAlign w:val="bottom"/>
            <w:hideMark/>
          </w:tcPr>
          <w:p w14:paraId="6E4F3818"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w:t>
            </w:r>
          </w:p>
        </w:tc>
        <w:tc>
          <w:tcPr>
            <w:tcW w:w="485" w:type="dxa"/>
            <w:shd w:val="clear" w:color="auto" w:fill="auto"/>
            <w:noWrap/>
            <w:vAlign w:val="bottom"/>
            <w:hideMark/>
          </w:tcPr>
          <w:p w14:paraId="7027F471"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w:t>
            </w:r>
          </w:p>
        </w:tc>
        <w:tc>
          <w:tcPr>
            <w:tcW w:w="1380" w:type="dxa"/>
            <w:shd w:val="clear" w:color="auto" w:fill="auto"/>
            <w:noWrap/>
            <w:vAlign w:val="bottom"/>
            <w:hideMark/>
          </w:tcPr>
          <w:p w14:paraId="47D9797A"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w:t>
            </w:r>
          </w:p>
        </w:tc>
        <w:tc>
          <w:tcPr>
            <w:tcW w:w="3827" w:type="dxa"/>
            <w:gridSpan w:val="4"/>
            <w:shd w:val="clear" w:color="auto" w:fill="auto"/>
            <w:noWrap/>
            <w:vAlign w:val="bottom"/>
            <w:hideMark/>
          </w:tcPr>
          <w:p w14:paraId="7D1622D8"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Men</w:t>
            </w:r>
          </w:p>
        </w:tc>
        <w:tc>
          <w:tcPr>
            <w:tcW w:w="3828" w:type="dxa"/>
            <w:gridSpan w:val="4"/>
            <w:shd w:val="clear" w:color="auto" w:fill="auto"/>
            <w:noWrap/>
            <w:vAlign w:val="bottom"/>
            <w:hideMark/>
          </w:tcPr>
          <w:p w14:paraId="5543BD64"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Women</w:t>
            </w:r>
          </w:p>
        </w:tc>
      </w:tr>
      <w:tr w:rsidR="00151741" w:rsidRPr="004624D3" w14:paraId="5DF366C7" w14:textId="77777777" w:rsidTr="00801649">
        <w:trPr>
          <w:trHeight w:val="588"/>
        </w:trPr>
        <w:tc>
          <w:tcPr>
            <w:tcW w:w="851" w:type="dxa"/>
            <w:shd w:val="clear" w:color="auto" w:fill="auto"/>
            <w:vAlign w:val="bottom"/>
            <w:hideMark/>
          </w:tcPr>
          <w:p w14:paraId="0F0556C7"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of times at risk</w:t>
            </w:r>
          </w:p>
        </w:tc>
        <w:tc>
          <w:tcPr>
            <w:tcW w:w="485" w:type="dxa"/>
            <w:shd w:val="clear" w:color="auto" w:fill="auto"/>
            <w:noWrap/>
            <w:vAlign w:val="bottom"/>
            <w:hideMark/>
          </w:tcPr>
          <w:p w14:paraId="5ADEC784"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w7</w:t>
            </w:r>
          </w:p>
        </w:tc>
        <w:tc>
          <w:tcPr>
            <w:tcW w:w="485" w:type="dxa"/>
            <w:shd w:val="clear" w:color="auto" w:fill="auto"/>
            <w:noWrap/>
            <w:vAlign w:val="bottom"/>
            <w:hideMark/>
          </w:tcPr>
          <w:p w14:paraId="2F98E7C6"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w8</w:t>
            </w:r>
          </w:p>
        </w:tc>
        <w:tc>
          <w:tcPr>
            <w:tcW w:w="485" w:type="dxa"/>
            <w:shd w:val="clear" w:color="auto" w:fill="auto"/>
            <w:noWrap/>
            <w:vAlign w:val="bottom"/>
            <w:hideMark/>
          </w:tcPr>
          <w:p w14:paraId="18006216"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w9</w:t>
            </w:r>
          </w:p>
        </w:tc>
        <w:tc>
          <w:tcPr>
            <w:tcW w:w="1380" w:type="dxa"/>
            <w:shd w:val="clear" w:color="auto" w:fill="auto"/>
            <w:vAlign w:val="bottom"/>
            <w:hideMark/>
          </w:tcPr>
          <w:p w14:paraId="61BFA096"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Status</w:t>
            </w:r>
          </w:p>
        </w:tc>
        <w:tc>
          <w:tcPr>
            <w:tcW w:w="874" w:type="dxa"/>
            <w:shd w:val="clear" w:color="auto" w:fill="auto"/>
            <w:vAlign w:val="bottom"/>
            <w:hideMark/>
          </w:tcPr>
          <w:p w14:paraId="0F8075FC"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Sample</w:t>
            </w:r>
          </w:p>
        </w:tc>
        <w:tc>
          <w:tcPr>
            <w:tcW w:w="907" w:type="dxa"/>
            <w:shd w:val="clear" w:color="auto" w:fill="auto"/>
            <w:vAlign w:val="bottom"/>
            <w:hideMark/>
          </w:tcPr>
          <w:p w14:paraId="4E3AEFB4"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Column </w:t>
            </w:r>
          </w:p>
          <w:p w14:paraId="460ABE35"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w:t>
            </w:r>
          </w:p>
        </w:tc>
        <w:tc>
          <w:tcPr>
            <w:tcW w:w="912" w:type="dxa"/>
            <w:shd w:val="clear" w:color="auto" w:fill="auto"/>
            <w:vAlign w:val="bottom"/>
            <w:hideMark/>
          </w:tcPr>
          <w:p w14:paraId="252FCDB9"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Caring at least once</w:t>
            </w:r>
          </w:p>
        </w:tc>
        <w:tc>
          <w:tcPr>
            <w:tcW w:w="1134" w:type="dxa"/>
            <w:shd w:val="clear" w:color="auto" w:fill="auto"/>
            <w:vAlign w:val="bottom"/>
            <w:hideMark/>
          </w:tcPr>
          <w:p w14:paraId="35F3FD36"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Caring at least once (row %)</w:t>
            </w:r>
          </w:p>
        </w:tc>
        <w:tc>
          <w:tcPr>
            <w:tcW w:w="874" w:type="dxa"/>
            <w:shd w:val="clear" w:color="auto" w:fill="auto"/>
            <w:vAlign w:val="bottom"/>
            <w:hideMark/>
          </w:tcPr>
          <w:p w14:paraId="6C45D3A3"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Sample</w:t>
            </w:r>
          </w:p>
        </w:tc>
        <w:tc>
          <w:tcPr>
            <w:tcW w:w="907" w:type="dxa"/>
            <w:shd w:val="clear" w:color="auto" w:fill="auto"/>
            <w:vAlign w:val="bottom"/>
            <w:hideMark/>
          </w:tcPr>
          <w:p w14:paraId="4DD4F7F2"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Column </w:t>
            </w:r>
          </w:p>
          <w:p w14:paraId="7E38CFC2"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w:t>
            </w:r>
          </w:p>
        </w:tc>
        <w:tc>
          <w:tcPr>
            <w:tcW w:w="912" w:type="dxa"/>
            <w:shd w:val="clear" w:color="auto" w:fill="auto"/>
            <w:vAlign w:val="bottom"/>
            <w:hideMark/>
          </w:tcPr>
          <w:p w14:paraId="6487454D"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Caring at least once</w:t>
            </w:r>
          </w:p>
        </w:tc>
        <w:tc>
          <w:tcPr>
            <w:tcW w:w="1135" w:type="dxa"/>
            <w:shd w:val="clear" w:color="auto" w:fill="auto"/>
            <w:vAlign w:val="bottom"/>
            <w:hideMark/>
          </w:tcPr>
          <w:p w14:paraId="347A96AE"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Caring at least once (row %)</w:t>
            </w:r>
          </w:p>
        </w:tc>
      </w:tr>
      <w:tr w:rsidR="00151741" w:rsidRPr="004624D3" w14:paraId="7F2ADEEF" w14:textId="77777777" w:rsidTr="00801649">
        <w:trPr>
          <w:trHeight w:val="402"/>
        </w:trPr>
        <w:tc>
          <w:tcPr>
            <w:tcW w:w="851" w:type="dxa"/>
            <w:shd w:val="clear" w:color="auto" w:fill="auto"/>
            <w:noWrap/>
            <w:vAlign w:val="bottom"/>
            <w:hideMark/>
          </w:tcPr>
          <w:p w14:paraId="5DBACAC4" w14:textId="77777777" w:rsidR="00151741" w:rsidRPr="004624D3" w:rsidRDefault="00151741" w:rsidP="0062265A">
            <w:pPr>
              <w:spacing w:after="0" w:line="276" w:lineRule="auto"/>
              <w:jc w:val="center"/>
              <w:rPr>
                <w:rFonts w:eastAsia="Times New Roman" w:cs="Times New Roman"/>
                <w:bCs/>
                <w:color w:val="000000"/>
              </w:rPr>
            </w:pPr>
            <w:r w:rsidRPr="004624D3">
              <w:rPr>
                <w:rFonts w:eastAsia="Times New Roman" w:cs="Times New Roman"/>
                <w:bCs/>
                <w:color w:val="000000"/>
              </w:rPr>
              <w:t>3</w:t>
            </w:r>
          </w:p>
        </w:tc>
        <w:tc>
          <w:tcPr>
            <w:tcW w:w="485" w:type="dxa"/>
            <w:shd w:val="clear" w:color="auto" w:fill="auto"/>
            <w:noWrap/>
            <w:vAlign w:val="bottom"/>
            <w:hideMark/>
          </w:tcPr>
          <w:p w14:paraId="62019F50" w14:textId="77777777" w:rsidR="00151741" w:rsidRPr="004624D3" w:rsidRDefault="00151741" w:rsidP="0062265A">
            <w:pPr>
              <w:spacing w:after="0" w:line="276" w:lineRule="auto"/>
              <w:jc w:val="center"/>
              <w:rPr>
                <w:rFonts w:eastAsia="Times New Roman" w:cs="Times New Roman"/>
                <w:bCs/>
                <w:color w:val="000000"/>
              </w:rPr>
            </w:pPr>
            <w:r w:rsidRPr="004624D3">
              <w:rPr>
                <w:rFonts w:eastAsia="Times New Roman" w:cs="Times New Roman"/>
                <w:bCs/>
                <w:color w:val="000000"/>
              </w:rPr>
              <w:t>R</w:t>
            </w:r>
          </w:p>
        </w:tc>
        <w:tc>
          <w:tcPr>
            <w:tcW w:w="485" w:type="dxa"/>
            <w:shd w:val="clear" w:color="auto" w:fill="auto"/>
            <w:noWrap/>
            <w:vAlign w:val="bottom"/>
            <w:hideMark/>
          </w:tcPr>
          <w:p w14:paraId="73499F4B" w14:textId="77777777" w:rsidR="00151741" w:rsidRPr="004624D3" w:rsidRDefault="00151741" w:rsidP="0062265A">
            <w:pPr>
              <w:spacing w:after="0" w:line="276" w:lineRule="auto"/>
              <w:jc w:val="center"/>
              <w:rPr>
                <w:rFonts w:eastAsia="Times New Roman" w:cs="Times New Roman"/>
                <w:bCs/>
                <w:color w:val="000000"/>
              </w:rPr>
            </w:pPr>
            <w:r w:rsidRPr="004624D3">
              <w:rPr>
                <w:rFonts w:eastAsia="Times New Roman" w:cs="Times New Roman"/>
                <w:bCs/>
                <w:color w:val="000000"/>
              </w:rPr>
              <w:t>R</w:t>
            </w:r>
          </w:p>
        </w:tc>
        <w:tc>
          <w:tcPr>
            <w:tcW w:w="485" w:type="dxa"/>
            <w:shd w:val="clear" w:color="auto" w:fill="auto"/>
            <w:noWrap/>
            <w:vAlign w:val="bottom"/>
            <w:hideMark/>
          </w:tcPr>
          <w:p w14:paraId="6A70FB47" w14:textId="77777777" w:rsidR="00151741" w:rsidRPr="004624D3" w:rsidRDefault="00151741" w:rsidP="0062265A">
            <w:pPr>
              <w:spacing w:after="0" w:line="276" w:lineRule="auto"/>
              <w:jc w:val="center"/>
              <w:rPr>
                <w:rFonts w:eastAsia="Times New Roman" w:cs="Times New Roman"/>
                <w:bCs/>
                <w:color w:val="000000"/>
              </w:rPr>
            </w:pPr>
            <w:r w:rsidRPr="004624D3">
              <w:rPr>
                <w:rFonts w:eastAsia="Times New Roman" w:cs="Times New Roman"/>
                <w:bCs/>
                <w:color w:val="000000"/>
              </w:rPr>
              <w:t>R</w:t>
            </w:r>
          </w:p>
        </w:tc>
        <w:tc>
          <w:tcPr>
            <w:tcW w:w="1380" w:type="dxa"/>
            <w:shd w:val="clear" w:color="auto" w:fill="auto"/>
            <w:noWrap/>
            <w:vAlign w:val="bottom"/>
            <w:hideMark/>
          </w:tcPr>
          <w:p w14:paraId="0B64B687" w14:textId="77777777" w:rsidR="00151741" w:rsidRPr="004624D3" w:rsidRDefault="00151741" w:rsidP="0062265A">
            <w:pPr>
              <w:spacing w:after="0" w:line="276" w:lineRule="auto"/>
              <w:rPr>
                <w:rFonts w:eastAsia="Times New Roman" w:cs="Times New Roman"/>
                <w:bCs/>
                <w:color w:val="000000"/>
              </w:rPr>
            </w:pPr>
            <w:r w:rsidRPr="004624D3">
              <w:rPr>
                <w:rFonts w:eastAsia="Times New Roman" w:cs="Times New Roman"/>
                <w:bCs/>
                <w:color w:val="000000"/>
              </w:rPr>
              <w:t xml:space="preserve"> At risk in the 3 waves </w:t>
            </w:r>
          </w:p>
        </w:tc>
        <w:tc>
          <w:tcPr>
            <w:tcW w:w="874" w:type="dxa"/>
            <w:shd w:val="clear" w:color="auto" w:fill="auto"/>
            <w:noWrap/>
            <w:vAlign w:val="bottom"/>
            <w:hideMark/>
          </w:tcPr>
          <w:p w14:paraId="31BB0374" w14:textId="77777777" w:rsidR="00151741" w:rsidRPr="004624D3" w:rsidRDefault="00151741" w:rsidP="0062265A">
            <w:pPr>
              <w:spacing w:after="0" w:line="276" w:lineRule="auto"/>
              <w:jc w:val="right"/>
              <w:rPr>
                <w:rFonts w:eastAsia="Times New Roman" w:cs="Times New Roman"/>
                <w:bCs/>
                <w:color w:val="000000"/>
              </w:rPr>
            </w:pPr>
            <w:r w:rsidRPr="004624D3">
              <w:rPr>
                <w:rFonts w:eastAsia="Times New Roman" w:cs="Times New Roman"/>
                <w:bCs/>
                <w:color w:val="000000"/>
              </w:rPr>
              <w:t xml:space="preserve">               2,950 </w:t>
            </w:r>
          </w:p>
        </w:tc>
        <w:tc>
          <w:tcPr>
            <w:tcW w:w="907" w:type="dxa"/>
            <w:shd w:val="clear" w:color="auto" w:fill="auto"/>
            <w:noWrap/>
            <w:vAlign w:val="bottom"/>
            <w:hideMark/>
          </w:tcPr>
          <w:p w14:paraId="6E804BA2"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82.0 </w:t>
            </w:r>
          </w:p>
        </w:tc>
        <w:tc>
          <w:tcPr>
            <w:tcW w:w="912" w:type="dxa"/>
            <w:shd w:val="clear" w:color="auto" w:fill="auto"/>
            <w:noWrap/>
            <w:vAlign w:val="bottom"/>
            <w:hideMark/>
          </w:tcPr>
          <w:p w14:paraId="4AE28587" w14:textId="77777777" w:rsidR="00151741" w:rsidRPr="004624D3" w:rsidRDefault="00151741" w:rsidP="0062265A">
            <w:pPr>
              <w:spacing w:after="0" w:line="276" w:lineRule="auto"/>
              <w:jc w:val="right"/>
              <w:rPr>
                <w:rFonts w:eastAsia="Times New Roman" w:cs="Times New Roman"/>
                <w:bCs/>
                <w:color w:val="000000"/>
              </w:rPr>
            </w:pPr>
            <w:r w:rsidRPr="004624D3">
              <w:rPr>
                <w:rFonts w:eastAsia="Times New Roman" w:cs="Times New Roman"/>
                <w:bCs/>
                <w:color w:val="000000"/>
              </w:rPr>
              <w:t xml:space="preserve">           2,565 </w:t>
            </w:r>
          </w:p>
        </w:tc>
        <w:tc>
          <w:tcPr>
            <w:tcW w:w="1134" w:type="dxa"/>
            <w:shd w:val="clear" w:color="auto" w:fill="auto"/>
            <w:noWrap/>
            <w:vAlign w:val="bottom"/>
            <w:hideMark/>
          </w:tcPr>
          <w:p w14:paraId="6F2979A9" w14:textId="77777777" w:rsidR="00151741" w:rsidRPr="004624D3" w:rsidRDefault="00151741" w:rsidP="0062265A">
            <w:pPr>
              <w:spacing w:after="0" w:line="276" w:lineRule="auto"/>
              <w:jc w:val="right"/>
              <w:rPr>
                <w:rFonts w:eastAsia="Times New Roman" w:cs="Times New Roman"/>
                <w:bCs/>
                <w:color w:val="000000"/>
              </w:rPr>
            </w:pPr>
            <w:r w:rsidRPr="004624D3">
              <w:rPr>
                <w:rFonts w:eastAsia="Times New Roman" w:cs="Times New Roman"/>
                <w:bCs/>
                <w:color w:val="000000"/>
              </w:rPr>
              <w:t xml:space="preserve">                    86.9 </w:t>
            </w:r>
          </w:p>
        </w:tc>
        <w:tc>
          <w:tcPr>
            <w:tcW w:w="874" w:type="dxa"/>
            <w:shd w:val="clear" w:color="auto" w:fill="auto"/>
            <w:noWrap/>
            <w:vAlign w:val="bottom"/>
            <w:hideMark/>
          </w:tcPr>
          <w:p w14:paraId="252D3EA2" w14:textId="77777777" w:rsidR="00151741" w:rsidRPr="004624D3" w:rsidRDefault="00151741" w:rsidP="0062265A">
            <w:pPr>
              <w:spacing w:after="0" w:line="276" w:lineRule="auto"/>
              <w:jc w:val="right"/>
              <w:rPr>
                <w:rFonts w:eastAsia="Times New Roman" w:cs="Times New Roman"/>
                <w:bCs/>
                <w:color w:val="000000"/>
              </w:rPr>
            </w:pPr>
            <w:r w:rsidRPr="004624D3">
              <w:rPr>
                <w:rFonts w:eastAsia="Times New Roman" w:cs="Times New Roman"/>
                <w:bCs/>
                <w:color w:val="000000"/>
              </w:rPr>
              <w:t xml:space="preserve">            2,864 </w:t>
            </w:r>
          </w:p>
        </w:tc>
        <w:tc>
          <w:tcPr>
            <w:tcW w:w="907" w:type="dxa"/>
            <w:shd w:val="clear" w:color="auto" w:fill="auto"/>
            <w:noWrap/>
            <w:vAlign w:val="bottom"/>
            <w:hideMark/>
          </w:tcPr>
          <w:p w14:paraId="53C8989A"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74.0 </w:t>
            </w:r>
          </w:p>
        </w:tc>
        <w:tc>
          <w:tcPr>
            <w:tcW w:w="912" w:type="dxa"/>
            <w:shd w:val="clear" w:color="auto" w:fill="auto"/>
            <w:noWrap/>
            <w:vAlign w:val="bottom"/>
            <w:hideMark/>
          </w:tcPr>
          <w:p w14:paraId="51933E49" w14:textId="77777777" w:rsidR="00151741" w:rsidRPr="004624D3" w:rsidRDefault="00151741" w:rsidP="0062265A">
            <w:pPr>
              <w:spacing w:after="0" w:line="276" w:lineRule="auto"/>
              <w:jc w:val="right"/>
              <w:rPr>
                <w:rFonts w:eastAsia="Times New Roman" w:cs="Times New Roman"/>
                <w:bCs/>
                <w:color w:val="000000"/>
              </w:rPr>
            </w:pPr>
            <w:r w:rsidRPr="004624D3">
              <w:rPr>
                <w:rFonts w:eastAsia="Times New Roman" w:cs="Times New Roman"/>
                <w:bCs/>
                <w:color w:val="000000"/>
              </w:rPr>
              <w:t xml:space="preserve">       2,537 </w:t>
            </w:r>
          </w:p>
        </w:tc>
        <w:tc>
          <w:tcPr>
            <w:tcW w:w="1135" w:type="dxa"/>
            <w:shd w:val="clear" w:color="auto" w:fill="auto"/>
            <w:noWrap/>
            <w:vAlign w:val="bottom"/>
            <w:hideMark/>
          </w:tcPr>
          <w:p w14:paraId="18C95768" w14:textId="77777777" w:rsidR="00151741" w:rsidRPr="004624D3" w:rsidRDefault="00151741" w:rsidP="0062265A">
            <w:pPr>
              <w:spacing w:after="0" w:line="276" w:lineRule="auto"/>
              <w:jc w:val="right"/>
              <w:rPr>
                <w:rFonts w:eastAsia="Times New Roman" w:cs="Times New Roman"/>
                <w:bCs/>
                <w:color w:val="000000"/>
              </w:rPr>
            </w:pPr>
            <w:r w:rsidRPr="004624D3">
              <w:rPr>
                <w:rFonts w:eastAsia="Times New Roman" w:cs="Times New Roman"/>
                <w:bCs/>
                <w:color w:val="000000"/>
              </w:rPr>
              <w:t xml:space="preserve">                 88.6 </w:t>
            </w:r>
          </w:p>
        </w:tc>
      </w:tr>
      <w:tr w:rsidR="00151741" w:rsidRPr="004624D3" w14:paraId="2A6E16CC" w14:textId="77777777" w:rsidTr="00801649">
        <w:trPr>
          <w:trHeight w:val="294"/>
        </w:trPr>
        <w:tc>
          <w:tcPr>
            <w:tcW w:w="851" w:type="dxa"/>
            <w:shd w:val="clear" w:color="auto" w:fill="auto"/>
            <w:noWrap/>
            <w:vAlign w:val="bottom"/>
            <w:hideMark/>
          </w:tcPr>
          <w:p w14:paraId="2AB772D5"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2</w:t>
            </w:r>
          </w:p>
        </w:tc>
        <w:tc>
          <w:tcPr>
            <w:tcW w:w="485" w:type="dxa"/>
            <w:shd w:val="clear" w:color="auto" w:fill="auto"/>
            <w:noWrap/>
            <w:vAlign w:val="bottom"/>
            <w:hideMark/>
          </w:tcPr>
          <w:p w14:paraId="5ABD2088"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485" w:type="dxa"/>
            <w:shd w:val="clear" w:color="auto" w:fill="auto"/>
            <w:noWrap/>
            <w:vAlign w:val="bottom"/>
            <w:hideMark/>
          </w:tcPr>
          <w:p w14:paraId="2495E25E"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485" w:type="dxa"/>
            <w:shd w:val="clear" w:color="auto" w:fill="auto"/>
            <w:noWrap/>
            <w:vAlign w:val="bottom"/>
            <w:hideMark/>
          </w:tcPr>
          <w:p w14:paraId="2519E546"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1380" w:type="dxa"/>
            <w:vMerge w:val="restart"/>
            <w:shd w:val="clear" w:color="auto" w:fill="auto"/>
            <w:vAlign w:val="center"/>
            <w:hideMark/>
          </w:tcPr>
          <w:p w14:paraId="6D7D7FF3"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xml:space="preserve"> at risk in intermittent waves  </w:t>
            </w:r>
          </w:p>
        </w:tc>
        <w:tc>
          <w:tcPr>
            <w:tcW w:w="874" w:type="dxa"/>
            <w:shd w:val="clear" w:color="auto" w:fill="auto"/>
            <w:noWrap/>
            <w:vAlign w:val="bottom"/>
            <w:hideMark/>
          </w:tcPr>
          <w:p w14:paraId="02A27F19"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280 </w:t>
            </w:r>
          </w:p>
        </w:tc>
        <w:tc>
          <w:tcPr>
            <w:tcW w:w="907" w:type="dxa"/>
            <w:shd w:val="clear" w:color="auto" w:fill="auto"/>
            <w:noWrap/>
            <w:vAlign w:val="bottom"/>
            <w:hideMark/>
          </w:tcPr>
          <w:p w14:paraId="2EF29243"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7.8 </w:t>
            </w:r>
          </w:p>
        </w:tc>
        <w:tc>
          <w:tcPr>
            <w:tcW w:w="912" w:type="dxa"/>
            <w:shd w:val="clear" w:color="auto" w:fill="auto"/>
            <w:vAlign w:val="center"/>
            <w:hideMark/>
          </w:tcPr>
          <w:p w14:paraId="2AE1E65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181 </w:t>
            </w:r>
          </w:p>
        </w:tc>
        <w:tc>
          <w:tcPr>
            <w:tcW w:w="1134" w:type="dxa"/>
            <w:shd w:val="clear" w:color="auto" w:fill="auto"/>
            <w:noWrap/>
            <w:vAlign w:val="bottom"/>
            <w:hideMark/>
          </w:tcPr>
          <w:p w14:paraId="374D70F7"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64.6 </w:t>
            </w:r>
          </w:p>
        </w:tc>
        <w:tc>
          <w:tcPr>
            <w:tcW w:w="874" w:type="dxa"/>
            <w:shd w:val="clear" w:color="auto" w:fill="auto"/>
            <w:noWrap/>
            <w:vAlign w:val="bottom"/>
            <w:hideMark/>
          </w:tcPr>
          <w:p w14:paraId="30F38EC5"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460 </w:t>
            </w:r>
          </w:p>
        </w:tc>
        <w:tc>
          <w:tcPr>
            <w:tcW w:w="907" w:type="dxa"/>
            <w:shd w:val="clear" w:color="auto" w:fill="auto"/>
            <w:noWrap/>
            <w:vAlign w:val="bottom"/>
            <w:hideMark/>
          </w:tcPr>
          <w:p w14:paraId="0AB8E9A5"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11.9 </w:t>
            </w:r>
          </w:p>
        </w:tc>
        <w:tc>
          <w:tcPr>
            <w:tcW w:w="912" w:type="dxa"/>
            <w:shd w:val="clear" w:color="auto" w:fill="auto"/>
            <w:vAlign w:val="center"/>
            <w:hideMark/>
          </w:tcPr>
          <w:p w14:paraId="72E81CC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300 </w:t>
            </w:r>
          </w:p>
        </w:tc>
        <w:tc>
          <w:tcPr>
            <w:tcW w:w="1135" w:type="dxa"/>
            <w:shd w:val="clear" w:color="auto" w:fill="auto"/>
            <w:noWrap/>
            <w:vAlign w:val="bottom"/>
            <w:hideMark/>
          </w:tcPr>
          <w:p w14:paraId="4DA412B2"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65.2 </w:t>
            </w:r>
          </w:p>
        </w:tc>
      </w:tr>
      <w:tr w:rsidR="00151741" w:rsidRPr="004624D3" w14:paraId="54066E8F" w14:textId="77777777" w:rsidTr="00801649">
        <w:trPr>
          <w:trHeight w:val="294"/>
        </w:trPr>
        <w:tc>
          <w:tcPr>
            <w:tcW w:w="851" w:type="dxa"/>
            <w:shd w:val="clear" w:color="auto" w:fill="auto"/>
            <w:noWrap/>
            <w:vAlign w:val="bottom"/>
            <w:hideMark/>
          </w:tcPr>
          <w:p w14:paraId="5C6D6BAC"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1</w:t>
            </w:r>
          </w:p>
        </w:tc>
        <w:tc>
          <w:tcPr>
            <w:tcW w:w="485" w:type="dxa"/>
            <w:shd w:val="clear" w:color="auto" w:fill="auto"/>
            <w:noWrap/>
            <w:vAlign w:val="bottom"/>
            <w:hideMark/>
          </w:tcPr>
          <w:p w14:paraId="6CC87DF9"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485" w:type="dxa"/>
            <w:shd w:val="clear" w:color="auto" w:fill="auto"/>
            <w:noWrap/>
            <w:vAlign w:val="bottom"/>
            <w:hideMark/>
          </w:tcPr>
          <w:p w14:paraId="6295A726"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223A5A03"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1380" w:type="dxa"/>
            <w:vMerge/>
            <w:vAlign w:val="center"/>
            <w:hideMark/>
          </w:tcPr>
          <w:p w14:paraId="339BEC93" w14:textId="77777777" w:rsidR="00151741" w:rsidRPr="004624D3" w:rsidRDefault="00151741" w:rsidP="0062265A">
            <w:pPr>
              <w:spacing w:after="0" w:line="276" w:lineRule="auto"/>
              <w:rPr>
                <w:rFonts w:eastAsia="Times New Roman" w:cs="Times New Roman"/>
                <w:color w:val="000000"/>
              </w:rPr>
            </w:pPr>
          </w:p>
        </w:tc>
        <w:tc>
          <w:tcPr>
            <w:tcW w:w="874" w:type="dxa"/>
            <w:shd w:val="clear" w:color="auto" w:fill="auto"/>
            <w:noWrap/>
            <w:vAlign w:val="bottom"/>
            <w:hideMark/>
          </w:tcPr>
          <w:p w14:paraId="7FCF81D0"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143 </w:t>
            </w:r>
          </w:p>
        </w:tc>
        <w:tc>
          <w:tcPr>
            <w:tcW w:w="907" w:type="dxa"/>
            <w:shd w:val="clear" w:color="auto" w:fill="auto"/>
            <w:noWrap/>
            <w:vAlign w:val="bottom"/>
            <w:hideMark/>
          </w:tcPr>
          <w:p w14:paraId="56B41487"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4.0 </w:t>
            </w:r>
          </w:p>
        </w:tc>
        <w:tc>
          <w:tcPr>
            <w:tcW w:w="912" w:type="dxa"/>
            <w:shd w:val="clear" w:color="auto" w:fill="auto"/>
            <w:vAlign w:val="center"/>
            <w:hideMark/>
          </w:tcPr>
          <w:p w14:paraId="55846492"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32 </w:t>
            </w:r>
          </w:p>
        </w:tc>
        <w:tc>
          <w:tcPr>
            <w:tcW w:w="1134" w:type="dxa"/>
            <w:shd w:val="clear" w:color="auto" w:fill="auto"/>
            <w:noWrap/>
            <w:vAlign w:val="bottom"/>
            <w:hideMark/>
          </w:tcPr>
          <w:p w14:paraId="53131399"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22.4 </w:t>
            </w:r>
          </w:p>
        </w:tc>
        <w:tc>
          <w:tcPr>
            <w:tcW w:w="874" w:type="dxa"/>
            <w:shd w:val="clear" w:color="auto" w:fill="auto"/>
            <w:noWrap/>
            <w:vAlign w:val="bottom"/>
            <w:hideMark/>
          </w:tcPr>
          <w:p w14:paraId="1DE3B744"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228 </w:t>
            </w:r>
          </w:p>
        </w:tc>
        <w:tc>
          <w:tcPr>
            <w:tcW w:w="907" w:type="dxa"/>
            <w:shd w:val="clear" w:color="auto" w:fill="auto"/>
            <w:noWrap/>
            <w:vAlign w:val="bottom"/>
            <w:hideMark/>
          </w:tcPr>
          <w:p w14:paraId="43FA67A5"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5.9 </w:t>
            </w:r>
          </w:p>
        </w:tc>
        <w:tc>
          <w:tcPr>
            <w:tcW w:w="912" w:type="dxa"/>
            <w:shd w:val="clear" w:color="auto" w:fill="auto"/>
            <w:vAlign w:val="center"/>
            <w:hideMark/>
          </w:tcPr>
          <w:p w14:paraId="78670AC4"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57 </w:t>
            </w:r>
          </w:p>
        </w:tc>
        <w:tc>
          <w:tcPr>
            <w:tcW w:w="1135" w:type="dxa"/>
            <w:shd w:val="clear" w:color="auto" w:fill="auto"/>
            <w:noWrap/>
            <w:vAlign w:val="bottom"/>
            <w:hideMark/>
          </w:tcPr>
          <w:p w14:paraId="2414FBA3"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25.0 </w:t>
            </w:r>
          </w:p>
        </w:tc>
      </w:tr>
      <w:tr w:rsidR="00151741" w:rsidRPr="004624D3" w14:paraId="31DF4148" w14:textId="77777777" w:rsidTr="00801649">
        <w:trPr>
          <w:trHeight w:val="294"/>
        </w:trPr>
        <w:tc>
          <w:tcPr>
            <w:tcW w:w="851" w:type="dxa"/>
            <w:shd w:val="clear" w:color="auto" w:fill="auto"/>
            <w:noWrap/>
            <w:vAlign w:val="bottom"/>
            <w:hideMark/>
          </w:tcPr>
          <w:p w14:paraId="15CC55B1"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2</w:t>
            </w:r>
          </w:p>
        </w:tc>
        <w:tc>
          <w:tcPr>
            <w:tcW w:w="485" w:type="dxa"/>
            <w:shd w:val="clear" w:color="auto" w:fill="auto"/>
            <w:noWrap/>
            <w:vAlign w:val="bottom"/>
            <w:hideMark/>
          </w:tcPr>
          <w:p w14:paraId="5B0036CC"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485" w:type="dxa"/>
            <w:shd w:val="clear" w:color="auto" w:fill="auto"/>
            <w:noWrap/>
            <w:vAlign w:val="bottom"/>
            <w:hideMark/>
          </w:tcPr>
          <w:p w14:paraId="32432599"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5506313A"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1380" w:type="dxa"/>
            <w:vMerge/>
            <w:vAlign w:val="center"/>
            <w:hideMark/>
          </w:tcPr>
          <w:p w14:paraId="699B6552" w14:textId="77777777" w:rsidR="00151741" w:rsidRPr="004624D3" w:rsidRDefault="00151741" w:rsidP="0062265A">
            <w:pPr>
              <w:spacing w:after="0" w:line="276" w:lineRule="auto"/>
              <w:rPr>
                <w:rFonts w:eastAsia="Times New Roman" w:cs="Times New Roman"/>
                <w:color w:val="000000"/>
              </w:rPr>
            </w:pPr>
          </w:p>
        </w:tc>
        <w:tc>
          <w:tcPr>
            <w:tcW w:w="874" w:type="dxa"/>
            <w:shd w:val="clear" w:color="auto" w:fill="auto"/>
            <w:noWrap/>
            <w:vAlign w:val="bottom"/>
            <w:hideMark/>
          </w:tcPr>
          <w:p w14:paraId="098AE02C"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18 </w:t>
            </w:r>
          </w:p>
        </w:tc>
        <w:tc>
          <w:tcPr>
            <w:tcW w:w="907" w:type="dxa"/>
            <w:shd w:val="clear" w:color="auto" w:fill="auto"/>
            <w:noWrap/>
            <w:vAlign w:val="bottom"/>
            <w:hideMark/>
          </w:tcPr>
          <w:p w14:paraId="2FC6A23F"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0.5 </w:t>
            </w:r>
          </w:p>
        </w:tc>
        <w:tc>
          <w:tcPr>
            <w:tcW w:w="912" w:type="dxa"/>
            <w:shd w:val="clear" w:color="auto" w:fill="auto"/>
            <w:vAlign w:val="center"/>
            <w:hideMark/>
          </w:tcPr>
          <w:p w14:paraId="724B0F72"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9 </w:t>
            </w:r>
          </w:p>
        </w:tc>
        <w:tc>
          <w:tcPr>
            <w:tcW w:w="1134" w:type="dxa"/>
            <w:shd w:val="clear" w:color="auto" w:fill="auto"/>
            <w:noWrap/>
            <w:vAlign w:val="bottom"/>
            <w:hideMark/>
          </w:tcPr>
          <w:p w14:paraId="449C69F9"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50.0 </w:t>
            </w:r>
          </w:p>
        </w:tc>
        <w:tc>
          <w:tcPr>
            <w:tcW w:w="874" w:type="dxa"/>
            <w:shd w:val="clear" w:color="auto" w:fill="auto"/>
            <w:noWrap/>
            <w:vAlign w:val="bottom"/>
            <w:hideMark/>
          </w:tcPr>
          <w:p w14:paraId="3F9A3C1D"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12 </w:t>
            </w:r>
          </w:p>
        </w:tc>
        <w:tc>
          <w:tcPr>
            <w:tcW w:w="907" w:type="dxa"/>
            <w:shd w:val="clear" w:color="auto" w:fill="auto"/>
            <w:noWrap/>
            <w:vAlign w:val="bottom"/>
            <w:hideMark/>
          </w:tcPr>
          <w:p w14:paraId="1B010964"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0.3 </w:t>
            </w:r>
          </w:p>
        </w:tc>
        <w:tc>
          <w:tcPr>
            <w:tcW w:w="912" w:type="dxa"/>
            <w:shd w:val="clear" w:color="auto" w:fill="auto"/>
            <w:vAlign w:val="center"/>
            <w:hideMark/>
          </w:tcPr>
          <w:p w14:paraId="11D2078A"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4 </w:t>
            </w:r>
          </w:p>
        </w:tc>
        <w:tc>
          <w:tcPr>
            <w:tcW w:w="1135" w:type="dxa"/>
            <w:shd w:val="clear" w:color="auto" w:fill="auto"/>
            <w:noWrap/>
            <w:vAlign w:val="bottom"/>
            <w:hideMark/>
          </w:tcPr>
          <w:p w14:paraId="4177F42D"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33.3 </w:t>
            </w:r>
          </w:p>
        </w:tc>
      </w:tr>
      <w:tr w:rsidR="00151741" w:rsidRPr="004624D3" w14:paraId="6F6F2B7B" w14:textId="77777777" w:rsidTr="00801649">
        <w:trPr>
          <w:trHeight w:val="294"/>
        </w:trPr>
        <w:tc>
          <w:tcPr>
            <w:tcW w:w="851" w:type="dxa"/>
            <w:shd w:val="clear" w:color="auto" w:fill="auto"/>
            <w:noWrap/>
            <w:vAlign w:val="bottom"/>
            <w:hideMark/>
          </w:tcPr>
          <w:p w14:paraId="5CD84650"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2</w:t>
            </w:r>
          </w:p>
        </w:tc>
        <w:tc>
          <w:tcPr>
            <w:tcW w:w="485" w:type="dxa"/>
            <w:shd w:val="clear" w:color="auto" w:fill="auto"/>
            <w:noWrap/>
            <w:vAlign w:val="bottom"/>
            <w:hideMark/>
          </w:tcPr>
          <w:p w14:paraId="700E5F20"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72643653"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485" w:type="dxa"/>
            <w:shd w:val="clear" w:color="auto" w:fill="auto"/>
            <w:noWrap/>
            <w:vAlign w:val="bottom"/>
            <w:hideMark/>
          </w:tcPr>
          <w:p w14:paraId="0984F6FB"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1380" w:type="dxa"/>
            <w:vMerge/>
            <w:vAlign w:val="center"/>
            <w:hideMark/>
          </w:tcPr>
          <w:p w14:paraId="4D03B328" w14:textId="77777777" w:rsidR="00151741" w:rsidRPr="004624D3" w:rsidRDefault="00151741" w:rsidP="0062265A">
            <w:pPr>
              <w:spacing w:after="0" w:line="276" w:lineRule="auto"/>
              <w:rPr>
                <w:rFonts w:eastAsia="Times New Roman" w:cs="Times New Roman"/>
                <w:color w:val="000000"/>
              </w:rPr>
            </w:pPr>
          </w:p>
        </w:tc>
        <w:tc>
          <w:tcPr>
            <w:tcW w:w="874" w:type="dxa"/>
            <w:shd w:val="clear" w:color="auto" w:fill="auto"/>
            <w:noWrap/>
            <w:vAlign w:val="bottom"/>
            <w:hideMark/>
          </w:tcPr>
          <w:p w14:paraId="21FCD34F"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13 </w:t>
            </w:r>
          </w:p>
        </w:tc>
        <w:tc>
          <w:tcPr>
            <w:tcW w:w="907" w:type="dxa"/>
            <w:shd w:val="clear" w:color="auto" w:fill="auto"/>
            <w:noWrap/>
            <w:vAlign w:val="bottom"/>
            <w:hideMark/>
          </w:tcPr>
          <w:p w14:paraId="7B434600"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0.4 </w:t>
            </w:r>
          </w:p>
        </w:tc>
        <w:tc>
          <w:tcPr>
            <w:tcW w:w="912" w:type="dxa"/>
            <w:shd w:val="clear" w:color="auto" w:fill="auto"/>
            <w:vAlign w:val="center"/>
            <w:hideMark/>
          </w:tcPr>
          <w:p w14:paraId="5EE1791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6 </w:t>
            </w:r>
          </w:p>
        </w:tc>
        <w:tc>
          <w:tcPr>
            <w:tcW w:w="1134" w:type="dxa"/>
            <w:shd w:val="clear" w:color="auto" w:fill="auto"/>
            <w:noWrap/>
            <w:vAlign w:val="bottom"/>
            <w:hideMark/>
          </w:tcPr>
          <w:p w14:paraId="0AEE5FD0"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46.2 </w:t>
            </w:r>
          </w:p>
        </w:tc>
        <w:tc>
          <w:tcPr>
            <w:tcW w:w="874" w:type="dxa"/>
            <w:shd w:val="clear" w:color="auto" w:fill="auto"/>
            <w:noWrap/>
            <w:vAlign w:val="bottom"/>
            <w:hideMark/>
          </w:tcPr>
          <w:p w14:paraId="75DE71D8"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15 </w:t>
            </w:r>
          </w:p>
        </w:tc>
        <w:tc>
          <w:tcPr>
            <w:tcW w:w="907" w:type="dxa"/>
            <w:shd w:val="clear" w:color="auto" w:fill="auto"/>
            <w:noWrap/>
            <w:vAlign w:val="bottom"/>
            <w:hideMark/>
          </w:tcPr>
          <w:p w14:paraId="71C27004"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0.4 </w:t>
            </w:r>
          </w:p>
        </w:tc>
        <w:tc>
          <w:tcPr>
            <w:tcW w:w="912" w:type="dxa"/>
            <w:shd w:val="clear" w:color="auto" w:fill="auto"/>
            <w:vAlign w:val="center"/>
            <w:hideMark/>
          </w:tcPr>
          <w:p w14:paraId="4B502FBB"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4 </w:t>
            </w:r>
          </w:p>
        </w:tc>
        <w:tc>
          <w:tcPr>
            <w:tcW w:w="1135" w:type="dxa"/>
            <w:shd w:val="clear" w:color="auto" w:fill="auto"/>
            <w:noWrap/>
            <w:vAlign w:val="bottom"/>
            <w:hideMark/>
          </w:tcPr>
          <w:p w14:paraId="5E43F086"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26.7 </w:t>
            </w:r>
          </w:p>
        </w:tc>
      </w:tr>
      <w:tr w:rsidR="00151741" w:rsidRPr="004624D3" w14:paraId="3E0AC871" w14:textId="77777777" w:rsidTr="00801649">
        <w:trPr>
          <w:trHeight w:val="294"/>
        </w:trPr>
        <w:tc>
          <w:tcPr>
            <w:tcW w:w="851" w:type="dxa"/>
            <w:shd w:val="clear" w:color="auto" w:fill="auto"/>
            <w:noWrap/>
            <w:vAlign w:val="bottom"/>
            <w:hideMark/>
          </w:tcPr>
          <w:p w14:paraId="16E3EF9E"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1</w:t>
            </w:r>
          </w:p>
        </w:tc>
        <w:tc>
          <w:tcPr>
            <w:tcW w:w="485" w:type="dxa"/>
            <w:shd w:val="clear" w:color="auto" w:fill="auto"/>
            <w:noWrap/>
            <w:vAlign w:val="bottom"/>
            <w:hideMark/>
          </w:tcPr>
          <w:p w14:paraId="416C4376"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7164CF25"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485" w:type="dxa"/>
            <w:shd w:val="clear" w:color="auto" w:fill="auto"/>
            <w:noWrap/>
            <w:vAlign w:val="bottom"/>
            <w:hideMark/>
          </w:tcPr>
          <w:p w14:paraId="436BB102"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1380" w:type="dxa"/>
            <w:vMerge/>
            <w:vAlign w:val="center"/>
            <w:hideMark/>
          </w:tcPr>
          <w:p w14:paraId="1572693A" w14:textId="77777777" w:rsidR="00151741" w:rsidRPr="004624D3" w:rsidRDefault="00151741" w:rsidP="0062265A">
            <w:pPr>
              <w:spacing w:after="0" w:line="276" w:lineRule="auto"/>
              <w:rPr>
                <w:rFonts w:eastAsia="Times New Roman" w:cs="Times New Roman"/>
                <w:color w:val="000000"/>
              </w:rPr>
            </w:pPr>
          </w:p>
        </w:tc>
        <w:tc>
          <w:tcPr>
            <w:tcW w:w="874" w:type="dxa"/>
            <w:shd w:val="clear" w:color="auto" w:fill="auto"/>
            <w:noWrap/>
            <w:vAlign w:val="bottom"/>
            <w:hideMark/>
          </w:tcPr>
          <w:p w14:paraId="613BA53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7 </w:t>
            </w:r>
          </w:p>
        </w:tc>
        <w:tc>
          <w:tcPr>
            <w:tcW w:w="907" w:type="dxa"/>
            <w:shd w:val="clear" w:color="auto" w:fill="auto"/>
            <w:noWrap/>
            <w:vAlign w:val="bottom"/>
            <w:hideMark/>
          </w:tcPr>
          <w:p w14:paraId="483D41CF"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0.2 </w:t>
            </w:r>
          </w:p>
        </w:tc>
        <w:tc>
          <w:tcPr>
            <w:tcW w:w="912" w:type="dxa"/>
            <w:shd w:val="clear" w:color="auto" w:fill="auto"/>
            <w:vAlign w:val="center"/>
            <w:hideMark/>
          </w:tcPr>
          <w:p w14:paraId="71128973"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3 </w:t>
            </w:r>
          </w:p>
        </w:tc>
        <w:tc>
          <w:tcPr>
            <w:tcW w:w="1134" w:type="dxa"/>
            <w:shd w:val="clear" w:color="auto" w:fill="auto"/>
            <w:noWrap/>
            <w:vAlign w:val="bottom"/>
            <w:hideMark/>
          </w:tcPr>
          <w:p w14:paraId="6F2FE627"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42.9 </w:t>
            </w:r>
          </w:p>
        </w:tc>
        <w:tc>
          <w:tcPr>
            <w:tcW w:w="874" w:type="dxa"/>
            <w:shd w:val="clear" w:color="auto" w:fill="auto"/>
            <w:noWrap/>
            <w:vAlign w:val="bottom"/>
            <w:hideMark/>
          </w:tcPr>
          <w:p w14:paraId="1B9D5D3B"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5 </w:t>
            </w:r>
          </w:p>
        </w:tc>
        <w:tc>
          <w:tcPr>
            <w:tcW w:w="907" w:type="dxa"/>
            <w:shd w:val="clear" w:color="auto" w:fill="auto"/>
            <w:noWrap/>
            <w:vAlign w:val="bottom"/>
            <w:hideMark/>
          </w:tcPr>
          <w:p w14:paraId="7F0E6C08"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0.1 </w:t>
            </w:r>
          </w:p>
        </w:tc>
        <w:tc>
          <w:tcPr>
            <w:tcW w:w="912" w:type="dxa"/>
            <w:shd w:val="clear" w:color="auto" w:fill="auto"/>
            <w:vAlign w:val="center"/>
            <w:hideMark/>
          </w:tcPr>
          <w:p w14:paraId="675379AC"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   </w:t>
            </w:r>
          </w:p>
        </w:tc>
        <w:tc>
          <w:tcPr>
            <w:tcW w:w="1135" w:type="dxa"/>
            <w:shd w:val="clear" w:color="auto" w:fill="auto"/>
            <w:noWrap/>
            <w:vAlign w:val="bottom"/>
            <w:hideMark/>
          </w:tcPr>
          <w:p w14:paraId="086FA49D"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   </w:t>
            </w:r>
          </w:p>
        </w:tc>
      </w:tr>
      <w:tr w:rsidR="00151741" w:rsidRPr="004624D3" w14:paraId="237B042C" w14:textId="77777777" w:rsidTr="00801649">
        <w:trPr>
          <w:trHeight w:val="294"/>
        </w:trPr>
        <w:tc>
          <w:tcPr>
            <w:tcW w:w="851" w:type="dxa"/>
            <w:shd w:val="clear" w:color="auto" w:fill="auto"/>
            <w:noWrap/>
            <w:vAlign w:val="bottom"/>
            <w:hideMark/>
          </w:tcPr>
          <w:p w14:paraId="3EB873BD"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1</w:t>
            </w:r>
          </w:p>
        </w:tc>
        <w:tc>
          <w:tcPr>
            <w:tcW w:w="485" w:type="dxa"/>
            <w:shd w:val="clear" w:color="auto" w:fill="auto"/>
            <w:noWrap/>
            <w:vAlign w:val="bottom"/>
            <w:hideMark/>
          </w:tcPr>
          <w:p w14:paraId="453CE796"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4C8D3BBC"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613977C2"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R</w:t>
            </w:r>
          </w:p>
        </w:tc>
        <w:tc>
          <w:tcPr>
            <w:tcW w:w="1380" w:type="dxa"/>
            <w:vMerge/>
            <w:vAlign w:val="center"/>
            <w:hideMark/>
          </w:tcPr>
          <w:p w14:paraId="74B42CDB" w14:textId="77777777" w:rsidR="00151741" w:rsidRPr="004624D3" w:rsidRDefault="00151741" w:rsidP="0062265A">
            <w:pPr>
              <w:spacing w:after="0" w:line="276" w:lineRule="auto"/>
              <w:rPr>
                <w:rFonts w:eastAsia="Times New Roman" w:cs="Times New Roman"/>
                <w:color w:val="000000"/>
              </w:rPr>
            </w:pPr>
          </w:p>
        </w:tc>
        <w:tc>
          <w:tcPr>
            <w:tcW w:w="874" w:type="dxa"/>
            <w:shd w:val="clear" w:color="auto" w:fill="auto"/>
            <w:noWrap/>
            <w:vAlign w:val="bottom"/>
            <w:hideMark/>
          </w:tcPr>
          <w:p w14:paraId="3F29D687"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11 </w:t>
            </w:r>
          </w:p>
        </w:tc>
        <w:tc>
          <w:tcPr>
            <w:tcW w:w="907" w:type="dxa"/>
            <w:shd w:val="clear" w:color="auto" w:fill="auto"/>
            <w:noWrap/>
            <w:vAlign w:val="bottom"/>
            <w:hideMark/>
          </w:tcPr>
          <w:p w14:paraId="4317D46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0.3 </w:t>
            </w:r>
          </w:p>
        </w:tc>
        <w:tc>
          <w:tcPr>
            <w:tcW w:w="912" w:type="dxa"/>
            <w:shd w:val="clear" w:color="auto" w:fill="auto"/>
            <w:vAlign w:val="center"/>
            <w:hideMark/>
          </w:tcPr>
          <w:p w14:paraId="043B773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6 </w:t>
            </w:r>
          </w:p>
        </w:tc>
        <w:tc>
          <w:tcPr>
            <w:tcW w:w="1134" w:type="dxa"/>
            <w:shd w:val="clear" w:color="auto" w:fill="auto"/>
            <w:noWrap/>
            <w:vAlign w:val="bottom"/>
            <w:hideMark/>
          </w:tcPr>
          <w:p w14:paraId="7858402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54.5 </w:t>
            </w:r>
          </w:p>
        </w:tc>
        <w:tc>
          <w:tcPr>
            <w:tcW w:w="874" w:type="dxa"/>
            <w:shd w:val="clear" w:color="auto" w:fill="auto"/>
            <w:noWrap/>
            <w:vAlign w:val="bottom"/>
            <w:hideMark/>
          </w:tcPr>
          <w:p w14:paraId="6CA12E1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7 </w:t>
            </w:r>
          </w:p>
        </w:tc>
        <w:tc>
          <w:tcPr>
            <w:tcW w:w="907" w:type="dxa"/>
            <w:shd w:val="clear" w:color="auto" w:fill="auto"/>
            <w:noWrap/>
            <w:vAlign w:val="bottom"/>
            <w:hideMark/>
          </w:tcPr>
          <w:p w14:paraId="7E713A95"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0.2 </w:t>
            </w:r>
          </w:p>
        </w:tc>
        <w:tc>
          <w:tcPr>
            <w:tcW w:w="912" w:type="dxa"/>
            <w:shd w:val="clear" w:color="auto" w:fill="auto"/>
            <w:vAlign w:val="center"/>
            <w:hideMark/>
          </w:tcPr>
          <w:p w14:paraId="58E1626F"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 </w:t>
            </w:r>
          </w:p>
        </w:tc>
        <w:tc>
          <w:tcPr>
            <w:tcW w:w="1135" w:type="dxa"/>
            <w:shd w:val="clear" w:color="auto" w:fill="auto"/>
            <w:noWrap/>
            <w:vAlign w:val="bottom"/>
            <w:hideMark/>
          </w:tcPr>
          <w:p w14:paraId="598A2359"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14.3 </w:t>
            </w:r>
          </w:p>
        </w:tc>
      </w:tr>
      <w:tr w:rsidR="00151741" w:rsidRPr="004624D3" w14:paraId="45633D80" w14:textId="77777777" w:rsidTr="00801649">
        <w:trPr>
          <w:trHeight w:val="294"/>
        </w:trPr>
        <w:tc>
          <w:tcPr>
            <w:tcW w:w="851" w:type="dxa"/>
            <w:shd w:val="clear" w:color="auto" w:fill="auto"/>
            <w:noWrap/>
            <w:vAlign w:val="bottom"/>
            <w:hideMark/>
          </w:tcPr>
          <w:p w14:paraId="415BC29B" w14:textId="77777777" w:rsidR="00151741" w:rsidRPr="004624D3" w:rsidRDefault="00151741" w:rsidP="0062265A">
            <w:pPr>
              <w:spacing w:after="0" w:line="276" w:lineRule="auto"/>
              <w:jc w:val="center"/>
              <w:rPr>
                <w:rFonts w:eastAsia="Times New Roman" w:cs="Times New Roman"/>
                <w:bCs/>
                <w:color w:val="000000"/>
              </w:rPr>
            </w:pPr>
            <w:r w:rsidRPr="004624D3">
              <w:rPr>
                <w:rFonts w:eastAsia="Times New Roman" w:cs="Times New Roman"/>
                <w:bCs/>
                <w:color w:val="000000"/>
              </w:rPr>
              <w:t>0</w:t>
            </w:r>
          </w:p>
        </w:tc>
        <w:tc>
          <w:tcPr>
            <w:tcW w:w="485" w:type="dxa"/>
            <w:shd w:val="clear" w:color="auto" w:fill="auto"/>
            <w:noWrap/>
            <w:vAlign w:val="bottom"/>
            <w:hideMark/>
          </w:tcPr>
          <w:p w14:paraId="78459E1B"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21CF5DEF"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485" w:type="dxa"/>
            <w:shd w:val="clear" w:color="auto" w:fill="auto"/>
            <w:noWrap/>
            <w:vAlign w:val="bottom"/>
            <w:hideMark/>
          </w:tcPr>
          <w:p w14:paraId="2B53517F" w14:textId="77777777" w:rsidR="00151741" w:rsidRPr="004624D3" w:rsidRDefault="00151741" w:rsidP="0062265A">
            <w:pPr>
              <w:spacing w:after="0" w:line="276" w:lineRule="auto"/>
              <w:jc w:val="center"/>
              <w:rPr>
                <w:rFonts w:eastAsia="Times New Roman" w:cs="Times New Roman"/>
                <w:color w:val="000000"/>
              </w:rPr>
            </w:pPr>
            <w:r w:rsidRPr="004624D3">
              <w:rPr>
                <w:rFonts w:eastAsia="Times New Roman" w:cs="Times New Roman"/>
                <w:color w:val="000000"/>
              </w:rPr>
              <w:t>.</w:t>
            </w:r>
          </w:p>
        </w:tc>
        <w:tc>
          <w:tcPr>
            <w:tcW w:w="1380" w:type="dxa"/>
            <w:shd w:val="clear" w:color="auto" w:fill="auto"/>
            <w:noWrap/>
            <w:vAlign w:val="bottom"/>
            <w:hideMark/>
          </w:tcPr>
          <w:p w14:paraId="366A4D67"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 xml:space="preserve"> Not at risk in any wave </w:t>
            </w:r>
          </w:p>
        </w:tc>
        <w:tc>
          <w:tcPr>
            <w:tcW w:w="874" w:type="dxa"/>
            <w:shd w:val="clear" w:color="auto" w:fill="auto"/>
            <w:noWrap/>
            <w:vAlign w:val="bottom"/>
            <w:hideMark/>
          </w:tcPr>
          <w:p w14:paraId="27284136"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177 </w:t>
            </w:r>
          </w:p>
        </w:tc>
        <w:tc>
          <w:tcPr>
            <w:tcW w:w="907" w:type="dxa"/>
            <w:shd w:val="clear" w:color="auto" w:fill="auto"/>
            <w:noWrap/>
            <w:vAlign w:val="bottom"/>
            <w:hideMark/>
          </w:tcPr>
          <w:p w14:paraId="4E5A7175"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4.9 </w:t>
            </w:r>
          </w:p>
        </w:tc>
        <w:tc>
          <w:tcPr>
            <w:tcW w:w="912" w:type="dxa"/>
            <w:shd w:val="clear" w:color="auto" w:fill="auto"/>
            <w:noWrap/>
            <w:vAlign w:val="bottom"/>
            <w:hideMark/>
          </w:tcPr>
          <w:p w14:paraId="7EBF8239"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w:t>
            </w:r>
          </w:p>
        </w:tc>
        <w:tc>
          <w:tcPr>
            <w:tcW w:w="1134" w:type="dxa"/>
            <w:shd w:val="clear" w:color="auto" w:fill="auto"/>
            <w:noWrap/>
            <w:vAlign w:val="bottom"/>
            <w:hideMark/>
          </w:tcPr>
          <w:p w14:paraId="13F3B40E"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w:t>
            </w:r>
          </w:p>
        </w:tc>
        <w:tc>
          <w:tcPr>
            <w:tcW w:w="874" w:type="dxa"/>
            <w:shd w:val="clear" w:color="auto" w:fill="auto"/>
            <w:noWrap/>
            <w:vAlign w:val="bottom"/>
            <w:hideMark/>
          </w:tcPr>
          <w:p w14:paraId="074F2D91"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279 </w:t>
            </w:r>
          </w:p>
        </w:tc>
        <w:tc>
          <w:tcPr>
            <w:tcW w:w="907" w:type="dxa"/>
            <w:shd w:val="clear" w:color="auto" w:fill="auto"/>
            <w:noWrap/>
            <w:vAlign w:val="bottom"/>
            <w:hideMark/>
          </w:tcPr>
          <w:p w14:paraId="0393DB29"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7.2 </w:t>
            </w:r>
          </w:p>
        </w:tc>
        <w:tc>
          <w:tcPr>
            <w:tcW w:w="912" w:type="dxa"/>
            <w:shd w:val="clear" w:color="auto" w:fill="auto"/>
            <w:noWrap/>
            <w:vAlign w:val="bottom"/>
            <w:hideMark/>
          </w:tcPr>
          <w:p w14:paraId="5A4B724F"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w:t>
            </w:r>
          </w:p>
        </w:tc>
        <w:tc>
          <w:tcPr>
            <w:tcW w:w="1135" w:type="dxa"/>
            <w:shd w:val="clear" w:color="auto" w:fill="auto"/>
            <w:noWrap/>
            <w:vAlign w:val="bottom"/>
            <w:hideMark/>
          </w:tcPr>
          <w:p w14:paraId="1B6D264E"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w:t>
            </w:r>
          </w:p>
        </w:tc>
      </w:tr>
      <w:tr w:rsidR="00151741" w:rsidRPr="004624D3" w14:paraId="17861D91" w14:textId="77777777" w:rsidTr="00801649">
        <w:trPr>
          <w:trHeight w:val="294"/>
        </w:trPr>
        <w:tc>
          <w:tcPr>
            <w:tcW w:w="3686" w:type="dxa"/>
            <w:gridSpan w:val="5"/>
            <w:shd w:val="clear" w:color="auto" w:fill="auto"/>
            <w:noWrap/>
            <w:vAlign w:val="bottom"/>
            <w:hideMark/>
          </w:tcPr>
          <w:p w14:paraId="0B3B3610" w14:textId="77777777" w:rsidR="00151741" w:rsidRPr="004624D3" w:rsidRDefault="00151741" w:rsidP="0062265A">
            <w:pPr>
              <w:spacing w:after="0" w:line="276" w:lineRule="auto"/>
              <w:rPr>
                <w:rFonts w:eastAsia="Times New Roman" w:cs="Times New Roman"/>
                <w:color w:val="000000"/>
              </w:rPr>
            </w:pPr>
            <w:r w:rsidRPr="004624D3">
              <w:rPr>
                <w:rFonts w:eastAsia="Times New Roman" w:cs="Times New Roman"/>
                <w:color w:val="000000"/>
              </w:rPr>
              <w:t>Total sample</w:t>
            </w:r>
          </w:p>
        </w:tc>
        <w:tc>
          <w:tcPr>
            <w:tcW w:w="874" w:type="dxa"/>
            <w:shd w:val="clear" w:color="auto" w:fill="auto"/>
            <w:noWrap/>
            <w:vAlign w:val="bottom"/>
            <w:hideMark/>
          </w:tcPr>
          <w:p w14:paraId="7995C020"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3,599 </w:t>
            </w:r>
          </w:p>
        </w:tc>
        <w:tc>
          <w:tcPr>
            <w:tcW w:w="907" w:type="dxa"/>
            <w:shd w:val="clear" w:color="auto" w:fill="auto"/>
            <w:noWrap/>
            <w:vAlign w:val="bottom"/>
            <w:hideMark/>
          </w:tcPr>
          <w:p w14:paraId="00F8944C"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100.0 </w:t>
            </w:r>
          </w:p>
        </w:tc>
        <w:tc>
          <w:tcPr>
            <w:tcW w:w="912" w:type="dxa"/>
            <w:shd w:val="clear" w:color="auto" w:fill="auto"/>
            <w:noWrap/>
            <w:vAlign w:val="bottom"/>
            <w:hideMark/>
          </w:tcPr>
          <w:p w14:paraId="5B5DE713" w14:textId="77777777" w:rsidR="00151741" w:rsidRPr="004624D3" w:rsidRDefault="00151741" w:rsidP="0062265A">
            <w:pPr>
              <w:spacing w:after="0" w:line="276" w:lineRule="auto"/>
              <w:jc w:val="right"/>
              <w:rPr>
                <w:rFonts w:eastAsia="Times New Roman" w:cs="Times New Roman"/>
                <w:color w:val="000000"/>
              </w:rPr>
            </w:pPr>
            <w:r w:rsidRPr="004624D3">
              <w:rPr>
                <w:rFonts w:eastAsia="Times New Roman" w:cs="Times New Roman"/>
                <w:color w:val="000000"/>
              </w:rPr>
              <w:t xml:space="preserve">           2,802 </w:t>
            </w:r>
          </w:p>
        </w:tc>
        <w:tc>
          <w:tcPr>
            <w:tcW w:w="1134" w:type="dxa"/>
            <w:shd w:val="clear" w:color="auto" w:fill="auto"/>
            <w:noWrap/>
            <w:vAlign w:val="bottom"/>
            <w:hideMark/>
          </w:tcPr>
          <w:p w14:paraId="3C7697F9" w14:textId="77777777" w:rsidR="00151741" w:rsidRPr="004624D3" w:rsidRDefault="00151741" w:rsidP="0062265A">
            <w:pPr>
              <w:spacing w:after="0" w:line="276" w:lineRule="auto"/>
              <w:jc w:val="right"/>
              <w:rPr>
                <w:rFonts w:eastAsia="Times New Roman" w:cs="Times New Roman"/>
              </w:rPr>
            </w:pPr>
            <w:r w:rsidRPr="004624D3">
              <w:rPr>
                <w:rFonts w:eastAsia="Times New Roman" w:cs="Times New Roman"/>
              </w:rPr>
              <w:t>81.9</w:t>
            </w:r>
          </w:p>
        </w:tc>
        <w:tc>
          <w:tcPr>
            <w:tcW w:w="874" w:type="dxa"/>
            <w:shd w:val="clear" w:color="auto" w:fill="auto"/>
            <w:noWrap/>
            <w:vAlign w:val="bottom"/>
            <w:hideMark/>
          </w:tcPr>
          <w:p w14:paraId="2CB1091E" w14:textId="77777777" w:rsidR="00151741" w:rsidRPr="004624D3" w:rsidRDefault="00151741" w:rsidP="0062265A">
            <w:pPr>
              <w:spacing w:after="0" w:line="276" w:lineRule="auto"/>
              <w:jc w:val="right"/>
              <w:rPr>
                <w:rFonts w:eastAsia="Times New Roman" w:cs="Times New Roman"/>
              </w:rPr>
            </w:pPr>
            <w:r w:rsidRPr="004624D3">
              <w:rPr>
                <w:rFonts w:eastAsia="Times New Roman" w:cs="Times New Roman"/>
              </w:rPr>
              <w:t xml:space="preserve">            3,870 </w:t>
            </w:r>
          </w:p>
        </w:tc>
        <w:tc>
          <w:tcPr>
            <w:tcW w:w="907" w:type="dxa"/>
            <w:shd w:val="clear" w:color="auto" w:fill="auto"/>
            <w:noWrap/>
            <w:vAlign w:val="bottom"/>
            <w:hideMark/>
          </w:tcPr>
          <w:p w14:paraId="1EB79FB0" w14:textId="77777777" w:rsidR="00151741" w:rsidRPr="004624D3" w:rsidRDefault="00151741" w:rsidP="0062265A">
            <w:pPr>
              <w:spacing w:after="0" w:line="276" w:lineRule="auto"/>
              <w:jc w:val="right"/>
              <w:rPr>
                <w:rFonts w:eastAsia="Times New Roman" w:cs="Times New Roman"/>
              </w:rPr>
            </w:pPr>
            <w:r w:rsidRPr="004624D3">
              <w:rPr>
                <w:rFonts w:eastAsia="Times New Roman" w:cs="Times New Roman"/>
              </w:rPr>
              <w:t xml:space="preserve">            100.0 </w:t>
            </w:r>
          </w:p>
        </w:tc>
        <w:tc>
          <w:tcPr>
            <w:tcW w:w="912" w:type="dxa"/>
            <w:shd w:val="clear" w:color="auto" w:fill="auto"/>
            <w:noWrap/>
            <w:vAlign w:val="bottom"/>
            <w:hideMark/>
          </w:tcPr>
          <w:p w14:paraId="0575E9F9" w14:textId="77777777" w:rsidR="00151741" w:rsidRPr="004624D3" w:rsidRDefault="00151741" w:rsidP="0062265A">
            <w:pPr>
              <w:spacing w:after="0" w:line="276" w:lineRule="auto"/>
              <w:jc w:val="right"/>
              <w:rPr>
                <w:rFonts w:eastAsia="Times New Roman" w:cs="Times New Roman"/>
              </w:rPr>
            </w:pPr>
            <w:r w:rsidRPr="004624D3">
              <w:rPr>
                <w:rFonts w:eastAsia="Times New Roman" w:cs="Times New Roman"/>
              </w:rPr>
              <w:t xml:space="preserve">       2,903 </w:t>
            </w:r>
          </w:p>
        </w:tc>
        <w:tc>
          <w:tcPr>
            <w:tcW w:w="1135" w:type="dxa"/>
            <w:shd w:val="clear" w:color="auto" w:fill="auto"/>
            <w:noWrap/>
            <w:vAlign w:val="bottom"/>
            <w:hideMark/>
          </w:tcPr>
          <w:p w14:paraId="179DB06E" w14:textId="77777777" w:rsidR="00151741" w:rsidRPr="004624D3" w:rsidRDefault="00151741" w:rsidP="0062265A">
            <w:pPr>
              <w:spacing w:after="0" w:line="276" w:lineRule="auto"/>
              <w:jc w:val="right"/>
              <w:rPr>
                <w:rFonts w:eastAsia="Times New Roman" w:cs="Times New Roman"/>
              </w:rPr>
            </w:pPr>
            <w:r w:rsidRPr="004624D3">
              <w:rPr>
                <w:rFonts w:eastAsia="Times New Roman" w:cs="Times New Roman"/>
              </w:rPr>
              <w:t>80.8</w:t>
            </w:r>
          </w:p>
        </w:tc>
      </w:tr>
      <w:tr w:rsidR="00151741" w:rsidRPr="004624D3" w14:paraId="01A61611" w14:textId="77777777" w:rsidTr="00801649">
        <w:trPr>
          <w:trHeight w:val="294"/>
        </w:trPr>
        <w:tc>
          <w:tcPr>
            <w:tcW w:w="7513" w:type="dxa"/>
            <w:gridSpan w:val="9"/>
            <w:shd w:val="clear" w:color="auto" w:fill="auto"/>
            <w:noWrap/>
            <w:vAlign w:val="bottom"/>
            <w:hideMark/>
          </w:tcPr>
          <w:p w14:paraId="0F290099" w14:textId="77777777" w:rsidR="00151741" w:rsidRPr="004624D3" w:rsidRDefault="00151741" w:rsidP="0062265A">
            <w:pPr>
              <w:spacing w:after="0" w:line="276" w:lineRule="auto"/>
              <w:rPr>
                <w:rFonts w:eastAsia="Times New Roman" w:cs="Times New Roman"/>
              </w:rPr>
            </w:pPr>
            <w:r w:rsidRPr="004624D3">
              <w:rPr>
                <w:rFonts w:eastAsia="Times New Roman" w:cs="Times New Roman"/>
                <w:color w:val="000000"/>
              </w:rPr>
              <w:t>*Risk (R): if individual has at least one parent or a parent-in-law alive</w:t>
            </w:r>
          </w:p>
        </w:tc>
        <w:tc>
          <w:tcPr>
            <w:tcW w:w="874" w:type="dxa"/>
            <w:shd w:val="clear" w:color="auto" w:fill="auto"/>
            <w:noWrap/>
            <w:vAlign w:val="bottom"/>
            <w:hideMark/>
          </w:tcPr>
          <w:p w14:paraId="3308948C" w14:textId="77777777" w:rsidR="00151741" w:rsidRPr="004624D3" w:rsidRDefault="00151741" w:rsidP="0062265A">
            <w:pPr>
              <w:spacing w:after="0" w:line="276" w:lineRule="auto"/>
              <w:rPr>
                <w:rFonts w:eastAsia="Times New Roman" w:cs="Times New Roman"/>
              </w:rPr>
            </w:pPr>
          </w:p>
        </w:tc>
        <w:tc>
          <w:tcPr>
            <w:tcW w:w="907" w:type="dxa"/>
            <w:shd w:val="clear" w:color="auto" w:fill="auto"/>
            <w:noWrap/>
            <w:vAlign w:val="bottom"/>
            <w:hideMark/>
          </w:tcPr>
          <w:p w14:paraId="6B3783B7" w14:textId="77777777" w:rsidR="00151741" w:rsidRPr="004624D3" w:rsidRDefault="00151741" w:rsidP="0062265A">
            <w:pPr>
              <w:spacing w:after="0" w:line="276" w:lineRule="auto"/>
              <w:rPr>
                <w:rFonts w:eastAsia="Times New Roman" w:cs="Times New Roman"/>
              </w:rPr>
            </w:pPr>
          </w:p>
        </w:tc>
        <w:tc>
          <w:tcPr>
            <w:tcW w:w="912" w:type="dxa"/>
            <w:shd w:val="clear" w:color="auto" w:fill="auto"/>
            <w:noWrap/>
            <w:vAlign w:val="bottom"/>
            <w:hideMark/>
          </w:tcPr>
          <w:p w14:paraId="4BC500E9" w14:textId="77777777" w:rsidR="00151741" w:rsidRPr="004624D3" w:rsidRDefault="00151741" w:rsidP="0062265A">
            <w:pPr>
              <w:spacing w:after="0" w:line="276" w:lineRule="auto"/>
              <w:rPr>
                <w:rFonts w:eastAsia="Times New Roman" w:cs="Times New Roman"/>
              </w:rPr>
            </w:pPr>
          </w:p>
        </w:tc>
        <w:tc>
          <w:tcPr>
            <w:tcW w:w="1135" w:type="dxa"/>
            <w:shd w:val="clear" w:color="auto" w:fill="auto"/>
            <w:noWrap/>
            <w:vAlign w:val="bottom"/>
            <w:hideMark/>
          </w:tcPr>
          <w:p w14:paraId="5FC0C72E" w14:textId="77777777" w:rsidR="00151741" w:rsidRPr="004624D3" w:rsidRDefault="00151741" w:rsidP="0062265A">
            <w:pPr>
              <w:spacing w:after="0" w:line="276" w:lineRule="auto"/>
              <w:rPr>
                <w:rFonts w:eastAsia="Times New Roman" w:cs="Times New Roman"/>
              </w:rPr>
            </w:pPr>
          </w:p>
        </w:tc>
      </w:tr>
    </w:tbl>
    <w:p w14:paraId="1719E0FF" w14:textId="77777777" w:rsidR="00BC1A59" w:rsidRPr="004624D3" w:rsidRDefault="00BC1A59" w:rsidP="0062265A">
      <w:pPr>
        <w:spacing w:after="0" w:line="276" w:lineRule="auto"/>
      </w:pPr>
      <w:r w:rsidRPr="004624D3">
        <w:t>Source: Authors’ analysis of the NCDS.</w:t>
      </w:r>
    </w:p>
    <w:p w14:paraId="6830F563" w14:textId="2F99F9E3" w:rsidR="00BC1A59" w:rsidRPr="004624D3" w:rsidRDefault="00BC1A59" w:rsidP="0062265A">
      <w:pPr>
        <w:spacing w:after="0" w:line="276" w:lineRule="auto"/>
      </w:pPr>
    </w:p>
    <w:p w14:paraId="41145447" w14:textId="77777777" w:rsidR="00E91999" w:rsidRPr="004624D3" w:rsidRDefault="00E91999" w:rsidP="0062265A">
      <w:pPr>
        <w:spacing w:after="0" w:line="276" w:lineRule="auto"/>
      </w:pPr>
    </w:p>
    <w:p w14:paraId="112E7E76" w14:textId="35597371" w:rsidR="00801649" w:rsidRPr="004624D3" w:rsidRDefault="00BC1A59" w:rsidP="0062265A">
      <w:pPr>
        <w:spacing w:after="0" w:line="276" w:lineRule="auto"/>
      </w:pPr>
      <w:r w:rsidRPr="004624D3">
        <w:t xml:space="preserve">Supplementary Table 2. Among </w:t>
      </w:r>
      <w:r w:rsidR="00097686" w:rsidRPr="004624D3">
        <w:t>men</w:t>
      </w:r>
      <w:r w:rsidRPr="004624D3">
        <w:t xml:space="preserve"> at risk of caring in any wave, caring trajectories by education</w:t>
      </w:r>
      <w:r w:rsidR="00097686" w:rsidRPr="004624D3">
        <w:t xml:space="preserve"> (%, N)</w:t>
      </w:r>
    </w:p>
    <w:tbl>
      <w:tblPr>
        <w:tblW w:w="1091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005"/>
        <w:gridCol w:w="485"/>
        <w:gridCol w:w="485"/>
        <w:gridCol w:w="485"/>
        <w:gridCol w:w="794"/>
        <w:gridCol w:w="998"/>
        <w:gridCol w:w="851"/>
        <w:gridCol w:w="991"/>
        <w:gridCol w:w="992"/>
        <w:gridCol w:w="875"/>
        <w:gridCol w:w="717"/>
        <w:gridCol w:w="818"/>
      </w:tblGrid>
      <w:tr w:rsidR="00E04B7D" w:rsidRPr="004624D3" w14:paraId="196AE3A2" w14:textId="77777777" w:rsidTr="00801649">
        <w:trPr>
          <w:trHeight w:val="588"/>
        </w:trPr>
        <w:tc>
          <w:tcPr>
            <w:tcW w:w="1419" w:type="dxa"/>
            <w:shd w:val="clear" w:color="auto" w:fill="auto"/>
            <w:noWrap/>
            <w:vAlign w:val="bottom"/>
            <w:hideMark/>
          </w:tcPr>
          <w:p w14:paraId="4483F212" w14:textId="77777777" w:rsidR="00E04B7D" w:rsidRPr="004624D3" w:rsidRDefault="00E04B7D" w:rsidP="0062265A">
            <w:pPr>
              <w:spacing w:after="0" w:line="276" w:lineRule="auto"/>
            </w:pPr>
            <w:r w:rsidRPr="004624D3">
              <w:t>Trajectories</w:t>
            </w:r>
          </w:p>
        </w:tc>
        <w:tc>
          <w:tcPr>
            <w:tcW w:w="1005" w:type="dxa"/>
            <w:shd w:val="clear" w:color="auto" w:fill="auto"/>
            <w:vAlign w:val="bottom"/>
            <w:hideMark/>
          </w:tcPr>
          <w:p w14:paraId="14EA75B5" w14:textId="77777777" w:rsidR="00E04B7D" w:rsidRPr="004624D3" w:rsidRDefault="00E04B7D" w:rsidP="0062265A">
            <w:pPr>
              <w:spacing w:after="0" w:line="276" w:lineRule="auto"/>
            </w:pPr>
            <w:r w:rsidRPr="004624D3">
              <w:t># caring episodes</w:t>
            </w:r>
          </w:p>
        </w:tc>
        <w:tc>
          <w:tcPr>
            <w:tcW w:w="485" w:type="dxa"/>
            <w:shd w:val="clear" w:color="auto" w:fill="auto"/>
            <w:noWrap/>
            <w:vAlign w:val="bottom"/>
            <w:hideMark/>
          </w:tcPr>
          <w:p w14:paraId="01B25A14" w14:textId="77777777" w:rsidR="00E04B7D" w:rsidRPr="004624D3" w:rsidRDefault="00E04B7D" w:rsidP="0062265A">
            <w:pPr>
              <w:spacing w:after="0" w:line="276" w:lineRule="auto"/>
            </w:pPr>
            <w:r w:rsidRPr="004624D3">
              <w:t>w7</w:t>
            </w:r>
          </w:p>
        </w:tc>
        <w:tc>
          <w:tcPr>
            <w:tcW w:w="485" w:type="dxa"/>
            <w:shd w:val="clear" w:color="auto" w:fill="auto"/>
            <w:noWrap/>
            <w:vAlign w:val="bottom"/>
            <w:hideMark/>
          </w:tcPr>
          <w:p w14:paraId="32366305" w14:textId="77777777" w:rsidR="00E04B7D" w:rsidRPr="004624D3" w:rsidRDefault="00E04B7D" w:rsidP="0062265A">
            <w:pPr>
              <w:spacing w:after="0" w:line="276" w:lineRule="auto"/>
            </w:pPr>
            <w:r w:rsidRPr="004624D3">
              <w:t>w8</w:t>
            </w:r>
          </w:p>
        </w:tc>
        <w:tc>
          <w:tcPr>
            <w:tcW w:w="485" w:type="dxa"/>
            <w:shd w:val="clear" w:color="auto" w:fill="auto"/>
            <w:noWrap/>
            <w:vAlign w:val="bottom"/>
            <w:hideMark/>
          </w:tcPr>
          <w:p w14:paraId="6B8181AB" w14:textId="77777777" w:rsidR="00E04B7D" w:rsidRPr="004624D3" w:rsidRDefault="00E04B7D" w:rsidP="0062265A">
            <w:pPr>
              <w:spacing w:after="0" w:line="276" w:lineRule="auto"/>
            </w:pPr>
            <w:r w:rsidRPr="004624D3">
              <w:t>w9</w:t>
            </w:r>
          </w:p>
        </w:tc>
        <w:tc>
          <w:tcPr>
            <w:tcW w:w="794" w:type="dxa"/>
            <w:shd w:val="clear" w:color="auto" w:fill="auto"/>
            <w:noWrap/>
            <w:vAlign w:val="center"/>
            <w:hideMark/>
          </w:tcPr>
          <w:p w14:paraId="62587F92" w14:textId="77777777" w:rsidR="00E04B7D" w:rsidRPr="004624D3" w:rsidRDefault="00E04B7D" w:rsidP="0062265A">
            <w:pPr>
              <w:spacing w:after="0" w:line="276" w:lineRule="auto"/>
            </w:pPr>
            <w:r w:rsidRPr="004624D3">
              <w:t>None</w:t>
            </w:r>
          </w:p>
        </w:tc>
        <w:tc>
          <w:tcPr>
            <w:tcW w:w="998" w:type="dxa"/>
            <w:shd w:val="clear" w:color="auto" w:fill="auto"/>
            <w:noWrap/>
            <w:vAlign w:val="center"/>
            <w:hideMark/>
          </w:tcPr>
          <w:p w14:paraId="7822E704" w14:textId="77777777" w:rsidR="00E04B7D" w:rsidRPr="004624D3" w:rsidRDefault="00E04B7D" w:rsidP="0062265A">
            <w:pPr>
              <w:spacing w:after="0" w:line="276" w:lineRule="auto"/>
            </w:pPr>
            <w:r w:rsidRPr="004624D3">
              <w:t>Low O-level</w:t>
            </w:r>
          </w:p>
        </w:tc>
        <w:tc>
          <w:tcPr>
            <w:tcW w:w="851" w:type="dxa"/>
            <w:shd w:val="clear" w:color="auto" w:fill="auto"/>
            <w:noWrap/>
            <w:vAlign w:val="center"/>
            <w:hideMark/>
          </w:tcPr>
          <w:p w14:paraId="6E0582A1" w14:textId="77777777" w:rsidR="00E04B7D" w:rsidRPr="004624D3" w:rsidRDefault="00E04B7D" w:rsidP="0062265A">
            <w:pPr>
              <w:spacing w:after="0" w:line="276" w:lineRule="auto"/>
            </w:pPr>
            <w:r w:rsidRPr="004624D3">
              <w:t>High O-level</w:t>
            </w:r>
          </w:p>
        </w:tc>
        <w:tc>
          <w:tcPr>
            <w:tcW w:w="991" w:type="dxa"/>
            <w:shd w:val="clear" w:color="auto" w:fill="auto"/>
            <w:vAlign w:val="center"/>
            <w:hideMark/>
          </w:tcPr>
          <w:p w14:paraId="64715631" w14:textId="77777777" w:rsidR="00E04B7D" w:rsidRPr="004624D3" w:rsidRDefault="00E04B7D" w:rsidP="0062265A">
            <w:pPr>
              <w:spacing w:after="0" w:line="276" w:lineRule="auto"/>
            </w:pPr>
            <w:r w:rsidRPr="004624D3">
              <w:t>A-level &amp; Sub-degree</w:t>
            </w:r>
          </w:p>
        </w:tc>
        <w:tc>
          <w:tcPr>
            <w:tcW w:w="992" w:type="dxa"/>
            <w:shd w:val="clear" w:color="auto" w:fill="auto"/>
            <w:vAlign w:val="center"/>
            <w:hideMark/>
          </w:tcPr>
          <w:p w14:paraId="6B0491CE" w14:textId="77777777" w:rsidR="00E04B7D" w:rsidRPr="004624D3" w:rsidRDefault="00E04B7D" w:rsidP="0062265A">
            <w:pPr>
              <w:spacing w:after="0" w:line="276" w:lineRule="auto"/>
            </w:pPr>
            <w:r w:rsidRPr="004624D3">
              <w:t>Degree &amp; higher</w:t>
            </w:r>
          </w:p>
        </w:tc>
        <w:tc>
          <w:tcPr>
            <w:tcW w:w="875" w:type="dxa"/>
            <w:shd w:val="clear" w:color="auto" w:fill="auto"/>
            <w:noWrap/>
            <w:vAlign w:val="center"/>
            <w:hideMark/>
          </w:tcPr>
          <w:p w14:paraId="295A7D47" w14:textId="77777777" w:rsidR="00E04B7D" w:rsidRPr="004624D3" w:rsidRDefault="00E04B7D" w:rsidP="0062265A">
            <w:pPr>
              <w:spacing w:after="0" w:line="276" w:lineRule="auto"/>
            </w:pPr>
            <w:r w:rsidRPr="004624D3">
              <w:t>Row %</w:t>
            </w:r>
          </w:p>
        </w:tc>
        <w:tc>
          <w:tcPr>
            <w:tcW w:w="717" w:type="dxa"/>
            <w:shd w:val="clear" w:color="auto" w:fill="auto"/>
            <w:noWrap/>
            <w:vAlign w:val="center"/>
            <w:hideMark/>
          </w:tcPr>
          <w:p w14:paraId="0F84E6EF" w14:textId="77777777" w:rsidR="00E04B7D" w:rsidRPr="004624D3" w:rsidRDefault="00E04B7D" w:rsidP="0062265A">
            <w:pPr>
              <w:spacing w:after="0" w:line="276" w:lineRule="auto"/>
            </w:pPr>
            <w:r w:rsidRPr="004624D3">
              <w:t>Total</w:t>
            </w:r>
          </w:p>
        </w:tc>
        <w:tc>
          <w:tcPr>
            <w:tcW w:w="818" w:type="dxa"/>
            <w:shd w:val="clear" w:color="auto" w:fill="auto"/>
            <w:noWrap/>
            <w:vAlign w:val="center"/>
            <w:hideMark/>
          </w:tcPr>
          <w:p w14:paraId="789C2601" w14:textId="77777777" w:rsidR="00E04B7D" w:rsidRPr="004624D3" w:rsidRDefault="00E04B7D" w:rsidP="0062265A">
            <w:pPr>
              <w:spacing w:after="0" w:line="276" w:lineRule="auto"/>
            </w:pPr>
            <w:r w:rsidRPr="004624D3">
              <w:t>Col %</w:t>
            </w:r>
          </w:p>
        </w:tc>
      </w:tr>
      <w:tr w:rsidR="00E04B7D" w:rsidRPr="004624D3" w14:paraId="4B057657" w14:textId="77777777" w:rsidTr="00801649">
        <w:trPr>
          <w:trHeight w:val="294"/>
        </w:trPr>
        <w:tc>
          <w:tcPr>
            <w:tcW w:w="1419" w:type="dxa"/>
            <w:shd w:val="clear" w:color="auto" w:fill="auto"/>
            <w:noWrap/>
            <w:vAlign w:val="bottom"/>
            <w:hideMark/>
          </w:tcPr>
          <w:p w14:paraId="34AB8DA7" w14:textId="794C1BF8" w:rsidR="00E04B7D" w:rsidRPr="004624D3" w:rsidRDefault="007B2B8A" w:rsidP="0062265A">
            <w:pPr>
              <w:spacing w:after="0" w:line="276" w:lineRule="auto"/>
            </w:pPr>
            <w:r w:rsidRPr="004624D3">
              <w:t>Repeat</w:t>
            </w:r>
            <w:r w:rsidR="00E04B7D" w:rsidRPr="004624D3">
              <w:t xml:space="preserve"> carers</w:t>
            </w:r>
          </w:p>
        </w:tc>
        <w:tc>
          <w:tcPr>
            <w:tcW w:w="1005" w:type="dxa"/>
            <w:shd w:val="clear" w:color="auto" w:fill="auto"/>
            <w:noWrap/>
            <w:vAlign w:val="bottom"/>
            <w:hideMark/>
          </w:tcPr>
          <w:p w14:paraId="3466044E" w14:textId="77777777" w:rsidR="00E04B7D" w:rsidRPr="004624D3" w:rsidRDefault="00E04B7D" w:rsidP="0062265A">
            <w:pPr>
              <w:spacing w:after="0" w:line="276" w:lineRule="auto"/>
            </w:pPr>
            <w:r w:rsidRPr="004624D3">
              <w:t>3</w:t>
            </w:r>
          </w:p>
        </w:tc>
        <w:tc>
          <w:tcPr>
            <w:tcW w:w="485" w:type="dxa"/>
            <w:shd w:val="clear" w:color="auto" w:fill="auto"/>
            <w:noWrap/>
            <w:vAlign w:val="bottom"/>
            <w:hideMark/>
          </w:tcPr>
          <w:p w14:paraId="48BFE67F" w14:textId="77777777" w:rsidR="00E04B7D" w:rsidRPr="004624D3" w:rsidRDefault="00E04B7D" w:rsidP="0062265A">
            <w:pPr>
              <w:spacing w:after="0" w:line="276" w:lineRule="auto"/>
            </w:pPr>
            <w:r w:rsidRPr="004624D3">
              <w:t>C</w:t>
            </w:r>
          </w:p>
        </w:tc>
        <w:tc>
          <w:tcPr>
            <w:tcW w:w="485" w:type="dxa"/>
            <w:shd w:val="clear" w:color="auto" w:fill="auto"/>
            <w:noWrap/>
            <w:vAlign w:val="bottom"/>
            <w:hideMark/>
          </w:tcPr>
          <w:p w14:paraId="04FA7EE4" w14:textId="77777777" w:rsidR="00E04B7D" w:rsidRPr="004624D3" w:rsidRDefault="00E04B7D" w:rsidP="0062265A">
            <w:pPr>
              <w:spacing w:after="0" w:line="276" w:lineRule="auto"/>
            </w:pPr>
            <w:r w:rsidRPr="004624D3">
              <w:t>C</w:t>
            </w:r>
          </w:p>
        </w:tc>
        <w:tc>
          <w:tcPr>
            <w:tcW w:w="485" w:type="dxa"/>
            <w:shd w:val="clear" w:color="auto" w:fill="auto"/>
            <w:noWrap/>
            <w:vAlign w:val="bottom"/>
            <w:hideMark/>
          </w:tcPr>
          <w:p w14:paraId="18E2A1C2" w14:textId="77777777" w:rsidR="00E04B7D" w:rsidRPr="004624D3" w:rsidRDefault="00E04B7D" w:rsidP="0062265A">
            <w:pPr>
              <w:spacing w:after="0" w:line="276" w:lineRule="auto"/>
            </w:pPr>
            <w:r w:rsidRPr="004624D3">
              <w:t>C</w:t>
            </w:r>
          </w:p>
        </w:tc>
        <w:tc>
          <w:tcPr>
            <w:tcW w:w="794" w:type="dxa"/>
            <w:shd w:val="clear" w:color="auto" w:fill="auto"/>
            <w:noWrap/>
            <w:vAlign w:val="bottom"/>
            <w:hideMark/>
          </w:tcPr>
          <w:p w14:paraId="49645A68" w14:textId="77777777" w:rsidR="00E04B7D" w:rsidRPr="004624D3" w:rsidRDefault="00E04B7D" w:rsidP="0062265A">
            <w:pPr>
              <w:spacing w:after="0" w:line="276" w:lineRule="auto"/>
            </w:pPr>
            <w:r w:rsidRPr="004624D3">
              <w:t>18.2%</w:t>
            </w:r>
          </w:p>
        </w:tc>
        <w:tc>
          <w:tcPr>
            <w:tcW w:w="998" w:type="dxa"/>
            <w:shd w:val="clear" w:color="auto" w:fill="auto"/>
            <w:noWrap/>
            <w:vAlign w:val="bottom"/>
            <w:hideMark/>
          </w:tcPr>
          <w:p w14:paraId="29ED13D6" w14:textId="77777777" w:rsidR="00E04B7D" w:rsidRPr="004624D3" w:rsidRDefault="00E04B7D" w:rsidP="0062265A">
            <w:pPr>
              <w:spacing w:after="0" w:line="276" w:lineRule="auto"/>
            </w:pPr>
            <w:r w:rsidRPr="004624D3">
              <w:t>15.5%</w:t>
            </w:r>
          </w:p>
        </w:tc>
        <w:tc>
          <w:tcPr>
            <w:tcW w:w="851" w:type="dxa"/>
            <w:shd w:val="clear" w:color="auto" w:fill="auto"/>
            <w:noWrap/>
            <w:vAlign w:val="bottom"/>
            <w:hideMark/>
          </w:tcPr>
          <w:p w14:paraId="071EBA3C" w14:textId="77777777" w:rsidR="00E04B7D" w:rsidRPr="004624D3" w:rsidRDefault="00E04B7D" w:rsidP="0062265A">
            <w:pPr>
              <w:spacing w:after="0" w:line="276" w:lineRule="auto"/>
            </w:pPr>
            <w:r w:rsidRPr="004624D3">
              <w:t>32.4%</w:t>
            </w:r>
          </w:p>
        </w:tc>
        <w:tc>
          <w:tcPr>
            <w:tcW w:w="991" w:type="dxa"/>
            <w:shd w:val="clear" w:color="auto" w:fill="auto"/>
            <w:noWrap/>
            <w:vAlign w:val="bottom"/>
            <w:hideMark/>
          </w:tcPr>
          <w:p w14:paraId="40DB39D5" w14:textId="77777777" w:rsidR="00E04B7D" w:rsidRPr="004624D3" w:rsidRDefault="00E04B7D" w:rsidP="0062265A">
            <w:pPr>
              <w:spacing w:after="0" w:line="276" w:lineRule="auto"/>
            </w:pPr>
            <w:r w:rsidRPr="004624D3">
              <w:t>12.8%</w:t>
            </w:r>
          </w:p>
        </w:tc>
        <w:tc>
          <w:tcPr>
            <w:tcW w:w="992" w:type="dxa"/>
            <w:shd w:val="clear" w:color="auto" w:fill="auto"/>
            <w:noWrap/>
            <w:vAlign w:val="bottom"/>
            <w:hideMark/>
          </w:tcPr>
          <w:p w14:paraId="35467666" w14:textId="77777777" w:rsidR="00E04B7D" w:rsidRPr="004624D3" w:rsidRDefault="00E04B7D" w:rsidP="0062265A">
            <w:pPr>
              <w:spacing w:after="0" w:line="276" w:lineRule="auto"/>
            </w:pPr>
            <w:r w:rsidRPr="004624D3">
              <w:t>20.9%</w:t>
            </w:r>
          </w:p>
        </w:tc>
        <w:tc>
          <w:tcPr>
            <w:tcW w:w="875" w:type="dxa"/>
            <w:shd w:val="clear" w:color="auto" w:fill="auto"/>
            <w:noWrap/>
            <w:vAlign w:val="bottom"/>
            <w:hideMark/>
          </w:tcPr>
          <w:p w14:paraId="6B38EE9C" w14:textId="77777777" w:rsidR="00E04B7D" w:rsidRPr="004624D3" w:rsidRDefault="00E04B7D" w:rsidP="0062265A">
            <w:pPr>
              <w:spacing w:after="0" w:line="276" w:lineRule="auto"/>
            </w:pPr>
            <w:r w:rsidRPr="004624D3">
              <w:t>100.0%</w:t>
            </w:r>
          </w:p>
        </w:tc>
        <w:tc>
          <w:tcPr>
            <w:tcW w:w="717" w:type="dxa"/>
            <w:shd w:val="clear" w:color="auto" w:fill="auto"/>
            <w:noWrap/>
            <w:vAlign w:val="bottom"/>
            <w:hideMark/>
          </w:tcPr>
          <w:p w14:paraId="0226C26C" w14:textId="77777777" w:rsidR="00E04B7D" w:rsidRPr="004624D3" w:rsidRDefault="00E04B7D" w:rsidP="0062265A">
            <w:pPr>
              <w:spacing w:after="0" w:line="276" w:lineRule="auto"/>
            </w:pPr>
            <w:r w:rsidRPr="004624D3">
              <w:t xml:space="preserve">            148 </w:t>
            </w:r>
          </w:p>
        </w:tc>
        <w:tc>
          <w:tcPr>
            <w:tcW w:w="818" w:type="dxa"/>
            <w:shd w:val="clear" w:color="auto" w:fill="auto"/>
            <w:noWrap/>
            <w:vAlign w:val="bottom"/>
            <w:hideMark/>
          </w:tcPr>
          <w:p w14:paraId="23FD6481" w14:textId="77777777" w:rsidR="00E04B7D" w:rsidRPr="004624D3" w:rsidRDefault="00E04B7D" w:rsidP="0062265A">
            <w:pPr>
              <w:spacing w:after="0" w:line="276" w:lineRule="auto"/>
            </w:pPr>
            <w:r w:rsidRPr="004624D3">
              <w:t>4.3%</w:t>
            </w:r>
          </w:p>
        </w:tc>
      </w:tr>
      <w:tr w:rsidR="00E04B7D" w:rsidRPr="004624D3" w14:paraId="4B960768" w14:textId="77777777" w:rsidTr="00801649">
        <w:trPr>
          <w:trHeight w:val="294"/>
        </w:trPr>
        <w:tc>
          <w:tcPr>
            <w:tcW w:w="1419" w:type="dxa"/>
            <w:shd w:val="clear" w:color="auto" w:fill="auto"/>
            <w:noWrap/>
            <w:vAlign w:val="bottom"/>
            <w:hideMark/>
          </w:tcPr>
          <w:p w14:paraId="2B99D168" w14:textId="77777777" w:rsidR="00E04B7D" w:rsidRPr="004624D3" w:rsidRDefault="00E04B7D" w:rsidP="0062265A">
            <w:pPr>
              <w:spacing w:after="0" w:line="276" w:lineRule="auto"/>
            </w:pPr>
            <w:r w:rsidRPr="004624D3">
              <w:t>New carers</w:t>
            </w:r>
          </w:p>
        </w:tc>
        <w:tc>
          <w:tcPr>
            <w:tcW w:w="1005" w:type="dxa"/>
            <w:shd w:val="clear" w:color="auto" w:fill="auto"/>
            <w:noWrap/>
            <w:vAlign w:val="bottom"/>
            <w:hideMark/>
          </w:tcPr>
          <w:p w14:paraId="4703488A" w14:textId="77777777" w:rsidR="00E04B7D" w:rsidRPr="004624D3" w:rsidRDefault="00E04B7D" w:rsidP="0062265A">
            <w:pPr>
              <w:spacing w:after="0" w:line="276" w:lineRule="auto"/>
            </w:pPr>
            <w:r w:rsidRPr="004624D3">
              <w:t>1</w:t>
            </w:r>
          </w:p>
        </w:tc>
        <w:tc>
          <w:tcPr>
            <w:tcW w:w="1455" w:type="dxa"/>
            <w:gridSpan w:val="3"/>
            <w:shd w:val="clear" w:color="auto" w:fill="auto"/>
            <w:noWrap/>
            <w:vAlign w:val="bottom"/>
            <w:hideMark/>
          </w:tcPr>
          <w:p w14:paraId="6402B417" w14:textId="44E3CD15" w:rsidR="00E04B7D" w:rsidRPr="004624D3" w:rsidRDefault="00E04B7D" w:rsidP="0062265A">
            <w:pPr>
              <w:spacing w:after="0" w:line="276" w:lineRule="auto"/>
            </w:pPr>
            <w:r w:rsidRPr="004624D3">
              <w:t>N</w:t>
            </w:r>
            <w:r w:rsidR="00E90FC8" w:rsidRPr="004624D3">
              <w:t>-</w:t>
            </w:r>
            <w:r w:rsidRPr="004624D3">
              <w:t>N</w:t>
            </w:r>
            <w:r w:rsidR="00BC0E6D" w:rsidRPr="004624D3">
              <w:t>-</w:t>
            </w:r>
            <w:r w:rsidRPr="004624D3">
              <w:t>C / N</w:t>
            </w:r>
            <w:r w:rsidR="00BC0E6D" w:rsidRPr="004624D3">
              <w:t>-</w:t>
            </w:r>
            <w:r w:rsidRPr="004624D3">
              <w:t>C</w:t>
            </w:r>
            <w:r w:rsidR="00BC0E6D" w:rsidRPr="004624D3">
              <w:t>-</w:t>
            </w:r>
            <w:r w:rsidRPr="004624D3">
              <w:t>C</w:t>
            </w:r>
          </w:p>
        </w:tc>
        <w:tc>
          <w:tcPr>
            <w:tcW w:w="794" w:type="dxa"/>
            <w:shd w:val="clear" w:color="auto" w:fill="auto"/>
            <w:noWrap/>
            <w:vAlign w:val="bottom"/>
            <w:hideMark/>
          </w:tcPr>
          <w:p w14:paraId="56C3CE04" w14:textId="77777777" w:rsidR="00E04B7D" w:rsidRPr="004624D3" w:rsidRDefault="00E04B7D" w:rsidP="0062265A">
            <w:pPr>
              <w:spacing w:after="0" w:line="276" w:lineRule="auto"/>
            </w:pPr>
            <w:r w:rsidRPr="004624D3">
              <w:t>14.4%</w:t>
            </w:r>
          </w:p>
        </w:tc>
        <w:tc>
          <w:tcPr>
            <w:tcW w:w="998" w:type="dxa"/>
            <w:shd w:val="clear" w:color="auto" w:fill="auto"/>
            <w:noWrap/>
            <w:vAlign w:val="bottom"/>
            <w:hideMark/>
          </w:tcPr>
          <w:p w14:paraId="30C34C5E" w14:textId="77777777" w:rsidR="00E04B7D" w:rsidRPr="004624D3" w:rsidRDefault="00E04B7D" w:rsidP="0062265A">
            <w:pPr>
              <w:spacing w:after="0" w:line="276" w:lineRule="auto"/>
            </w:pPr>
            <w:r w:rsidRPr="004624D3">
              <w:t>16.1%</w:t>
            </w:r>
          </w:p>
        </w:tc>
        <w:tc>
          <w:tcPr>
            <w:tcW w:w="851" w:type="dxa"/>
            <w:shd w:val="clear" w:color="auto" w:fill="auto"/>
            <w:noWrap/>
            <w:vAlign w:val="bottom"/>
            <w:hideMark/>
          </w:tcPr>
          <w:p w14:paraId="4F556E9D" w14:textId="77777777" w:rsidR="00E04B7D" w:rsidRPr="004624D3" w:rsidRDefault="00E04B7D" w:rsidP="0062265A">
            <w:pPr>
              <w:spacing w:after="0" w:line="276" w:lineRule="auto"/>
            </w:pPr>
            <w:r w:rsidRPr="004624D3">
              <w:t>34.6%</w:t>
            </w:r>
          </w:p>
        </w:tc>
        <w:tc>
          <w:tcPr>
            <w:tcW w:w="991" w:type="dxa"/>
            <w:shd w:val="clear" w:color="auto" w:fill="auto"/>
            <w:noWrap/>
            <w:vAlign w:val="bottom"/>
            <w:hideMark/>
          </w:tcPr>
          <w:p w14:paraId="1B816D48" w14:textId="77777777" w:rsidR="00E04B7D" w:rsidRPr="004624D3" w:rsidRDefault="00E04B7D" w:rsidP="0062265A">
            <w:pPr>
              <w:spacing w:after="0" w:line="276" w:lineRule="auto"/>
            </w:pPr>
            <w:r w:rsidRPr="004624D3">
              <w:t>12.4%</w:t>
            </w:r>
          </w:p>
        </w:tc>
        <w:tc>
          <w:tcPr>
            <w:tcW w:w="992" w:type="dxa"/>
            <w:shd w:val="clear" w:color="auto" w:fill="auto"/>
            <w:noWrap/>
            <w:vAlign w:val="bottom"/>
            <w:hideMark/>
          </w:tcPr>
          <w:p w14:paraId="4F4A1A61" w14:textId="77777777" w:rsidR="00E04B7D" w:rsidRPr="004624D3" w:rsidRDefault="00E04B7D" w:rsidP="0062265A">
            <w:pPr>
              <w:spacing w:after="0" w:line="276" w:lineRule="auto"/>
            </w:pPr>
            <w:r w:rsidRPr="004624D3">
              <w:t>22.5%</w:t>
            </w:r>
          </w:p>
        </w:tc>
        <w:tc>
          <w:tcPr>
            <w:tcW w:w="875" w:type="dxa"/>
            <w:shd w:val="clear" w:color="auto" w:fill="auto"/>
            <w:noWrap/>
            <w:vAlign w:val="bottom"/>
            <w:hideMark/>
          </w:tcPr>
          <w:p w14:paraId="68E2D00E" w14:textId="77777777" w:rsidR="00E04B7D" w:rsidRPr="004624D3" w:rsidRDefault="00E04B7D" w:rsidP="0062265A">
            <w:pPr>
              <w:spacing w:after="0" w:line="276" w:lineRule="auto"/>
            </w:pPr>
            <w:r w:rsidRPr="004624D3">
              <w:t>100.0%</w:t>
            </w:r>
          </w:p>
        </w:tc>
        <w:tc>
          <w:tcPr>
            <w:tcW w:w="717" w:type="dxa"/>
            <w:shd w:val="clear" w:color="auto" w:fill="auto"/>
            <w:noWrap/>
            <w:vAlign w:val="bottom"/>
            <w:hideMark/>
          </w:tcPr>
          <w:p w14:paraId="60549A9A" w14:textId="77777777" w:rsidR="00E04B7D" w:rsidRPr="004624D3" w:rsidRDefault="00E04B7D" w:rsidP="0062265A">
            <w:pPr>
              <w:spacing w:after="0" w:line="276" w:lineRule="auto"/>
            </w:pPr>
            <w:r w:rsidRPr="004624D3">
              <w:t xml:space="preserve">         1,770 </w:t>
            </w:r>
          </w:p>
        </w:tc>
        <w:tc>
          <w:tcPr>
            <w:tcW w:w="818" w:type="dxa"/>
            <w:shd w:val="clear" w:color="auto" w:fill="auto"/>
            <w:noWrap/>
            <w:vAlign w:val="bottom"/>
            <w:hideMark/>
          </w:tcPr>
          <w:p w14:paraId="28BBE6E7" w14:textId="77777777" w:rsidR="00E04B7D" w:rsidRPr="004624D3" w:rsidRDefault="00E04B7D" w:rsidP="0062265A">
            <w:pPr>
              <w:spacing w:after="0" w:line="276" w:lineRule="auto"/>
            </w:pPr>
            <w:r w:rsidRPr="004624D3">
              <w:t>51.7%</w:t>
            </w:r>
          </w:p>
        </w:tc>
      </w:tr>
      <w:tr w:rsidR="00E04B7D" w:rsidRPr="004624D3" w14:paraId="14223844" w14:textId="77777777" w:rsidTr="00801649">
        <w:trPr>
          <w:trHeight w:val="294"/>
        </w:trPr>
        <w:tc>
          <w:tcPr>
            <w:tcW w:w="1419" w:type="dxa"/>
            <w:shd w:val="clear" w:color="auto" w:fill="auto"/>
            <w:noWrap/>
            <w:vAlign w:val="bottom"/>
            <w:hideMark/>
          </w:tcPr>
          <w:p w14:paraId="55A6F24D" w14:textId="77777777" w:rsidR="00E04B7D" w:rsidRPr="004624D3" w:rsidRDefault="00E04B7D" w:rsidP="0062265A">
            <w:pPr>
              <w:spacing w:after="0" w:line="276" w:lineRule="auto"/>
            </w:pPr>
            <w:r w:rsidRPr="004624D3">
              <w:t>Sporadic/ intermittent carers</w:t>
            </w:r>
          </w:p>
        </w:tc>
        <w:tc>
          <w:tcPr>
            <w:tcW w:w="1005" w:type="dxa"/>
            <w:shd w:val="clear" w:color="auto" w:fill="auto"/>
            <w:noWrap/>
            <w:vAlign w:val="bottom"/>
            <w:hideMark/>
          </w:tcPr>
          <w:p w14:paraId="00AA65CB" w14:textId="77777777" w:rsidR="00E04B7D" w:rsidRPr="004624D3" w:rsidRDefault="00E04B7D" w:rsidP="0062265A">
            <w:pPr>
              <w:spacing w:after="0" w:line="276" w:lineRule="auto"/>
            </w:pPr>
            <w:r w:rsidRPr="004624D3">
              <w:t>1 / 2</w:t>
            </w:r>
          </w:p>
        </w:tc>
        <w:tc>
          <w:tcPr>
            <w:tcW w:w="1455" w:type="dxa"/>
            <w:gridSpan w:val="3"/>
            <w:shd w:val="clear" w:color="auto" w:fill="auto"/>
            <w:noWrap/>
            <w:vAlign w:val="bottom"/>
            <w:hideMark/>
          </w:tcPr>
          <w:p w14:paraId="240FCCDA" w14:textId="63094307" w:rsidR="00E04B7D" w:rsidRPr="004624D3" w:rsidRDefault="00E04B7D" w:rsidP="0062265A">
            <w:pPr>
              <w:spacing w:after="0" w:line="276" w:lineRule="auto"/>
            </w:pPr>
            <w:r w:rsidRPr="004624D3">
              <w:t>N</w:t>
            </w:r>
            <w:r w:rsidR="00BC0E6D" w:rsidRPr="004624D3">
              <w:t>-</w:t>
            </w:r>
            <w:r w:rsidRPr="004624D3">
              <w:t>C</w:t>
            </w:r>
            <w:r w:rsidR="00BC0E6D" w:rsidRPr="004624D3">
              <w:t>-</w:t>
            </w:r>
            <w:r w:rsidRPr="004624D3">
              <w:t>N / C</w:t>
            </w:r>
            <w:r w:rsidR="00BC0E6D" w:rsidRPr="004624D3">
              <w:t>-</w:t>
            </w:r>
            <w:r w:rsidRPr="004624D3">
              <w:t>N</w:t>
            </w:r>
            <w:r w:rsidR="00BC0E6D" w:rsidRPr="004624D3">
              <w:t>-</w:t>
            </w:r>
            <w:r w:rsidRPr="004624D3">
              <w:t>C</w:t>
            </w:r>
          </w:p>
        </w:tc>
        <w:tc>
          <w:tcPr>
            <w:tcW w:w="794" w:type="dxa"/>
            <w:shd w:val="clear" w:color="auto" w:fill="auto"/>
            <w:noWrap/>
            <w:vAlign w:val="bottom"/>
            <w:hideMark/>
          </w:tcPr>
          <w:p w14:paraId="0D329234" w14:textId="77777777" w:rsidR="00E04B7D" w:rsidRPr="004624D3" w:rsidRDefault="00E04B7D" w:rsidP="0062265A">
            <w:pPr>
              <w:spacing w:after="0" w:line="276" w:lineRule="auto"/>
            </w:pPr>
            <w:r w:rsidRPr="004624D3">
              <w:t>15.5%</w:t>
            </w:r>
          </w:p>
        </w:tc>
        <w:tc>
          <w:tcPr>
            <w:tcW w:w="998" w:type="dxa"/>
            <w:shd w:val="clear" w:color="auto" w:fill="auto"/>
            <w:noWrap/>
            <w:vAlign w:val="bottom"/>
            <w:hideMark/>
          </w:tcPr>
          <w:p w14:paraId="681F8D0C" w14:textId="77777777" w:rsidR="00E04B7D" w:rsidRPr="004624D3" w:rsidRDefault="00E04B7D" w:rsidP="0062265A">
            <w:pPr>
              <w:spacing w:after="0" w:line="276" w:lineRule="auto"/>
            </w:pPr>
            <w:r w:rsidRPr="004624D3">
              <w:t>17.6%</w:t>
            </w:r>
          </w:p>
        </w:tc>
        <w:tc>
          <w:tcPr>
            <w:tcW w:w="851" w:type="dxa"/>
            <w:shd w:val="clear" w:color="auto" w:fill="auto"/>
            <w:noWrap/>
            <w:vAlign w:val="bottom"/>
            <w:hideMark/>
          </w:tcPr>
          <w:p w14:paraId="1D72F7BD" w14:textId="77777777" w:rsidR="00E04B7D" w:rsidRPr="004624D3" w:rsidRDefault="00E04B7D" w:rsidP="0062265A">
            <w:pPr>
              <w:spacing w:after="0" w:line="276" w:lineRule="auto"/>
            </w:pPr>
            <w:r w:rsidRPr="004624D3">
              <w:t>30.6%</w:t>
            </w:r>
          </w:p>
        </w:tc>
        <w:tc>
          <w:tcPr>
            <w:tcW w:w="991" w:type="dxa"/>
            <w:shd w:val="clear" w:color="auto" w:fill="auto"/>
            <w:noWrap/>
            <w:vAlign w:val="bottom"/>
            <w:hideMark/>
          </w:tcPr>
          <w:p w14:paraId="5E96DEE2" w14:textId="77777777" w:rsidR="00E04B7D" w:rsidRPr="004624D3" w:rsidRDefault="00E04B7D" w:rsidP="0062265A">
            <w:pPr>
              <w:spacing w:after="0" w:line="276" w:lineRule="auto"/>
            </w:pPr>
            <w:r w:rsidRPr="004624D3">
              <w:t>12.9%</w:t>
            </w:r>
          </w:p>
        </w:tc>
        <w:tc>
          <w:tcPr>
            <w:tcW w:w="992" w:type="dxa"/>
            <w:shd w:val="clear" w:color="auto" w:fill="auto"/>
            <w:noWrap/>
            <w:vAlign w:val="bottom"/>
            <w:hideMark/>
          </w:tcPr>
          <w:p w14:paraId="5CF15A0B" w14:textId="77777777" w:rsidR="00E04B7D" w:rsidRPr="004624D3" w:rsidRDefault="00E04B7D" w:rsidP="0062265A">
            <w:pPr>
              <w:spacing w:after="0" w:line="276" w:lineRule="auto"/>
            </w:pPr>
            <w:r w:rsidRPr="004624D3">
              <w:t>23.3%</w:t>
            </w:r>
          </w:p>
        </w:tc>
        <w:tc>
          <w:tcPr>
            <w:tcW w:w="875" w:type="dxa"/>
            <w:shd w:val="clear" w:color="auto" w:fill="auto"/>
            <w:noWrap/>
            <w:vAlign w:val="bottom"/>
            <w:hideMark/>
          </w:tcPr>
          <w:p w14:paraId="32183EF3" w14:textId="77777777" w:rsidR="00E04B7D" w:rsidRPr="004624D3" w:rsidRDefault="00E04B7D" w:rsidP="0062265A">
            <w:pPr>
              <w:spacing w:after="0" w:line="276" w:lineRule="auto"/>
            </w:pPr>
            <w:r w:rsidRPr="004624D3">
              <w:t>100.0%</w:t>
            </w:r>
          </w:p>
        </w:tc>
        <w:tc>
          <w:tcPr>
            <w:tcW w:w="717" w:type="dxa"/>
            <w:shd w:val="clear" w:color="auto" w:fill="auto"/>
            <w:noWrap/>
            <w:vAlign w:val="bottom"/>
            <w:hideMark/>
          </w:tcPr>
          <w:p w14:paraId="6733B9C8" w14:textId="77777777" w:rsidR="00E04B7D" w:rsidRPr="004624D3" w:rsidRDefault="00E04B7D" w:rsidP="0062265A">
            <w:pPr>
              <w:spacing w:after="0" w:line="276" w:lineRule="auto"/>
            </w:pPr>
            <w:r w:rsidRPr="004624D3">
              <w:t xml:space="preserve">            510 </w:t>
            </w:r>
          </w:p>
        </w:tc>
        <w:tc>
          <w:tcPr>
            <w:tcW w:w="818" w:type="dxa"/>
            <w:shd w:val="clear" w:color="auto" w:fill="auto"/>
            <w:noWrap/>
            <w:vAlign w:val="bottom"/>
            <w:hideMark/>
          </w:tcPr>
          <w:p w14:paraId="466B0EC3" w14:textId="77777777" w:rsidR="00E04B7D" w:rsidRPr="004624D3" w:rsidRDefault="00E04B7D" w:rsidP="0062265A">
            <w:pPr>
              <w:spacing w:after="0" w:line="276" w:lineRule="auto"/>
            </w:pPr>
            <w:r w:rsidRPr="004624D3">
              <w:t>14.9%</w:t>
            </w:r>
          </w:p>
        </w:tc>
      </w:tr>
      <w:tr w:rsidR="00E04B7D" w:rsidRPr="004624D3" w14:paraId="53CCABD3" w14:textId="77777777" w:rsidTr="00801649">
        <w:trPr>
          <w:trHeight w:val="294"/>
        </w:trPr>
        <w:tc>
          <w:tcPr>
            <w:tcW w:w="1419" w:type="dxa"/>
            <w:shd w:val="clear" w:color="auto" w:fill="auto"/>
            <w:noWrap/>
            <w:vAlign w:val="bottom"/>
            <w:hideMark/>
          </w:tcPr>
          <w:p w14:paraId="7FD551FB" w14:textId="77777777" w:rsidR="00E04B7D" w:rsidRPr="004624D3" w:rsidRDefault="00E04B7D" w:rsidP="0062265A">
            <w:pPr>
              <w:spacing w:after="0" w:line="276" w:lineRule="auto"/>
            </w:pPr>
            <w:r w:rsidRPr="004624D3">
              <w:t>Stopped caring</w:t>
            </w:r>
          </w:p>
        </w:tc>
        <w:tc>
          <w:tcPr>
            <w:tcW w:w="1005" w:type="dxa"/>
            <w:shd w:val="clear" w:color="auto" w:fill="auto"/>
            <w:noWrap/>
            <w:vAlign w:val="bottom"/>
            <w:hideMark/>
          </w:tcPr>
          <w:p w14:paraId="35B6FCC0" w14:textId="77777777" w:rsidR="00E04B7D" w:rsidRPr="004624D3" w:rsidRDefault="00E04B7D" w:rsidP="0062265A">
            <w:pPr>
              <w:spacing w:after="0" w:line="276" w:lineRule="auto"/>
            </w:pPr>
            <w:r w:rsidRPr="004624D3">
              <w:t xml:space="preserve"> 1 / 2</w:t>
            </w:r>
          </w:p>
        </w:tc>
        <w:tc>
          <w:tcPr>
            <w:tcW w:w="1455" w:type="dxa"/>
            <w:gridSpan w:val="3"/>
            <w:shd w:val="clear" w:color="auto" w:fill="auto"/>
            <w:noWrap/>
            <w:vAlign w:val="bottom"/>
            <w:hideMark/>
          </w:tcPr>
          <w:p w14:paraId="480B2140" w14:textId="611AD848" w:rsidR="00E04B7D" w:rsidRPr="004624D3" w:rsidRDefault="00E04B7D" w:rsidP="0062265A">
            <w:pPr>
              <w:spacing w:after="0" w:line="276" w:lineRule="auto"/>
            </w:pPr>
            <w:r w:rsidRPr="004624D3">
              <w:t>C</w:t>
            </w:r>
            <w:r w:rsidR="00BC0E6D" w:rsidRPr="004624D3">
              <w:t>-</w:t>
            </w:r>
            <w:r w:rsidRPr="004624D3">
              <w:t>N</w:t>
            </w:r>
            <w:r w:rsidR="008C3D54" w:rsidRPr="004624D3">
              <w:t>-</w:t>
            </w:r>
            <w:r w:rsidRPr="004624D3">
              <w:t>N / C</w:t>
            </w:r>
            <w:r w:rsidR="008C3D54" w:rsidRPr="004624D3">
              <w:t>-</w:t>
            </w:r>
            <w:r w:rsidRPr="004624D3">
              <w:t>C</w:t>
            </w:r>
            <w:r w:rsidR="008C3D54" w:rsidRPr="004624D3">
              <w:t>-</w:t>
            </w:r>
            <w:r w:rsidRPr="004624D3">
              <w:t>N</w:t>
            </w:r>
          </w:p>
        </w:tc>
        <w:tc>
          <w:tcPr>
            <w:tcW w:w="794" w:type="dxa"/>
            <w:shd w:val="clear" w:color="auto" w:fill="auto"/>
            <w:noWrap/>
            <w:vAlign w:val="bottom"/>
            <w:hideMark/>
          </w:tcPr>
          <w:p w14:paraId="6E07635F" w14:textId="77777777" w:rsidR="00E04B7D" w:rsidRPr="004624D3" w:rsidRDefault="00E04B7D" w:rsidP="0062265A">
            <w:pPr>
              <w:spacing w:after="0" w:line="276" w:lineRule="auto"/>
            </w:pPr>
            <w:r w:rsidRPr="004624D3">
              <w:t>21.2%</w:t>
            </w:r>
          </w:p>
        </w:tc>
        <w:tc>
          <w:tcPr>
            <w:tcW w:w="998" w:type="dxa"/>
            <w:shd w:val="clear" w:color="auto" w:fill="auto"/>
            <w:noWrap/>
            <w:vAlign w:val="bottom"/>
            <w:hideMark/>
          </w:tcPr>
          <w:p w14:paraId="2C7C2C86" w14:textId="77777777" w:rsidR="00E04B7D" w:rsidRPr="004624D3" w:rsidRDefault="00E04B7D" w:rsidP="0062265A">
            <w:pPr>
              <w:spacing w:after="0" w:line="276" w:lineRule="auto"/>
            </w:pPr>
            <w:r w:rsidRPr="004624D3">
              <w:t>18.2%</w:t>
            </w:r>
          </w:p>
        </w:tc>
        <w:tc>
          <w:tcPr>
            <w:tcW w:w="851" w:type="dxa"/>
            <w:shd w:val="clear" w:color="auto" w:fill="auto"/>
            <w:noWrap/>
            <w:vAlign w:val="bottom"/>
            <w:hideMark/>
          </w:tcPr>
          <w:p w14:paraId="32C4D1A5" w14:textId="77777777" w:rsidR="00E04B7D" w:rsidRPr="004624D3" w:rsidRDefault="00E04B7D" w:rsidP="0062265A">
            <w:pPr>
              <w:spacing w:after="0" w:line="276" w:lineRule="auto"/>
            </w:pPr>
            <w:r w:rsidRPr="004624D3">
              <w:t>29.9%</w:t>
            </w:r>
          </w:p>
        </w:tc>
        <w:tc>
          <w:tcPr>
            <w:tcW w:w="991" w:type="dxa"/>
            <w:shd w:val="clear" w:color="auto" w:fill="auto"/>
            <w:noWrap/>
            <w:vAlign w:val="bottom"/>
            <w:hideMark/>
          </w:tcPr>
          <w:p w14:paraId="43AB6CED" w14:textId="77777777" w:rsidR="00E04B7D" w:rsidRPr="004624D3" w:rsidRDefault="00E04B7D" w:rsidP="0062265A">
            <w:pPr>
              <w:spacing w:after="0" w:line="276" w:lineRule="auto"/>
            </w:pPr>
            <w:r w:rsidRPr="004624D3">
              <w:t>10.9%</w:t>
            </w:r>
          </w:p>
        </w:tc>
        <w:tc>
          <w:tcPr>
            <w:tcW w:w="992" w:type="dxa"/>
            <w:shd w:val="clear" w:color="auto" w:fill="auto"/>
            <w:noWrap/>
            <w:vAlign w:val="bottom"/>
            <w:hideMark/>
          </w:tcPr>
          <w:p w14:paraId="227E8C9A" w14:textId="77777777" w:rsidR="00E04B7D" w:rsidRPr="004624D3" w:rsidRDefault="00E04B7D" w:rsidP="0062265A">
            <w:pPr>
              <w:spacing w:after="0" w:line="276" w:lineRule="auto"/>
            </w:pPr>
            <w:r w:rsidRPr="004624D3">
              <w:t>19.7%</w:t>
            </w:r>
          </w:p>
        </w:tc>
        <w:tc>
          <w:tcPr>
            <w:tcW w:w="875" w:type="dxa"/>
            <w:shd w:val="clear" w:color="auto" w:fill="auto"/>
            <w:noWrap/>
            <w:vAlign w:val="bottom"/>
            <w:hideMark/>
          </w:tcPr>
          <w:p w14:paraId="6BE4B4E1" w14:textId="77777777" w:rsidR="00E04B7D" w:rsidRPr="004624D3" w:rsidRDefault="00E04B7D" w:rsidP="0062265A">
            <w:pPr>
              <w:spacing w:after="0" w:line="276" w:lineRule="auto"/>
            </w:pPr>
            <w:r w:rsidRPr="004624D3">
              <w:t>100.0%</w:t>
            </w:r>
          </w:p>
        </w:tc>
        <w:tc>
          <w:tcPr>
            <w:tcW w:w="717" w:type="dxa"/>
            <w:shd w:val="clear" w:color="auto" w:fill="auto"/>
            <w:noWrap/>
            <w:vAlign w:val="bottom"/>
            <w:hideMark/>
          </w:tcPr>
          <w:p w14:paraId="3FFBF9C6" w14:textId="77777777" w:rsidR="00E04B7D" w:rsidRPr="004624D3" w:rsidRDefault="00E04B7D" w:rsidP="0062265A">
            <w:pPr>
              <w:spacing w:after="0" w:line="276" w:lineRule="auto"/>
            </w:pPr>
            <w:r w:rsidRPr="004624D3">
              <w:t xml:space="preserve">            137 </w:t>
            </w:r>
          </w:p>
        </w:tc>
        <w:tc>
          <w:tcPr>
            <w:tcW w:w="818" w:type="dxa"/>
            <w:shd w:val="clear" w:color="auto" w:fill="auto"/>
            <w:noWrap/>
            <w:vAlign w:val="bottom"/>
            <w:hideMark/>
          </w:tcPr>
          <w:p w14:paraId="40A9F945" w14:textId="77777777" w:rsidR="00E04B7D" w:rsidRPr="004624D3" w:rsidRDefault="00E04B7D" w:rsidP="0062265A">
            <w:pPr>
              <w:spacing w:after="0" w:line="276" w:lineRule="auto"/>
            </w:pPr>
            <w:r w:rsidRPr="004624D3">
              <w:t>4.0%</w:t>
            </w:r>
          </w:p>
        </w:tc>
      </w:tr>
      <w:tr w:rsidR="00E04B7D" w:rsidRPr="004624D3" w14:paraId="7D84553A" w14:textId="77777777" w:rsidTr="00801649">
        <w:trPr>
          <w:trHeight w:val="294"/>
        </w:trPr>
        <w:tc>
          <w:tcPr>
            <w:tcW w:w="1419" w:type="dxa"/>
            <w:shd w:val="clear" w:color="auto" w:fill="auto"/>
            <w:noWrap/>
            <w:vAlign w:val="bottom"/>
            <w:hideMark/>
          </w:tcPr>
          <w:p w14:paraId="6DE89CBC" w14:textId="77777777" w:rsidR="00E04B7D" w:rsidRPr="004624D3" w:rsidRDefault="00E04B7D" w:rsidP="0062265A">
            <w:pPr>
              <w:spacing w:after="0" w:line="276" w:lineRule="auto"/>
            </w:pPr>
            <w:r w:rsidRPr="004624D3">
              <w:lastRenderedPageBreak/>
              <w:t>Non carers</w:t>
            </w:r>
          </w:p>
        </w:tc>
        <w:tc>
          <w:tcPr>
            <w:tcW w:w="1005" w:type="dxa"/>
            <w:shd w:val="clear" w:color="auto" w:fill="auto"/>
            <w:noWrap/>
            <w:vAlign w:val="bottom"/>
            <w:hideMark/>
          </w:tcPr>
          <w:p w14:paraId="0FD1C565" w14:textId="77777777" w:rsidR="00E04B7D" w:rsidRPr="004624D3" w:rsidRDefault="00E04B7D" w:rsidP="0062265A">
            <w:pPr>
              <w:spacing w:after="0" w:line="276" w:lineRule="auto"/>
            </w:pPr>
            <w:r w:rsidRPr="004624D3">
              <w:t>0</w:t>
            </w:r>
          </w:p>
        </w:tc>
        <w:tc>
          <w:tcPr>
            <w:tcW w:w="485" w:type="dxa"/>
            <w:shd w:val="clear" w:color="auto" w:fill="auto"/>
            <w:noWrap/>
            <w:vAlign w:val="bottom"/>
            <w:hideMark/>
          </w:tcPr>
          <w:p w14:paraId="7D8E7926" w14:textId="77777777" w:rsidR="00E04B7D" w:rsidRPr="004624D3" w:rsidRDefault="00E04B7D" w:rsidP="0062265A">
            <w:pPr>
              <w:spacing w:after="0" w:line="276" w:lineRule="auto"/>
            </w:pPr>
            <w:r w:rsidRPr="004624D3">
              <w:t>N</w:t>
            </w:r>
          </w:p>
        </w:tc>
        <w:tc>
          <w:tcPr>
            <w:tcW w:w="485" w:type="dxa"/>
            <w:shd w:val="clear" w:color="auto" w:fill="auto"/>
            <w:noWrap/>
            <w:vAlign w:val="bottom"/>
            <w:hideMark/>
          </w:tcPr>
          <w:p w14:paraId="5DCA8F41" w14:textId="77777777" w:rsidR="00E04B7D" w:rsidRPr="004624D3" w:rsidRDefault="00E04B7D" w:rsidP="0062265A">
            <w:pPr>
              <w:spacing w:after="0" w:line="276" w:lineRule="auto"/>
            </w:pPr>
            <w:r w:rsidRPr="004624D3">
              <w:t>N</w:t>
            </w:r>
          </w:p>
        </w:tc>
        <w:tc>
          <w:tcPr>
            <w:tcW w:w="485" w:type="dxa"/>
            <w:shd w:val="clear" w:color="auto" w:fill="auto"/>
            <w:noWrap/>
            <w:vAlign w:val="bottom"/>
            <w:hideMark/>
          </w:tcPr>
          <w:p w14:paraId="3EE6928C" w14:textId="77777777" w:rsidR="00E04B7D" w:rsidRPr="004624D3" w:rsidRDefault="00E04B7D" w:rsidP="0062265A">
            <w:pPr>
              <w:spacing w:after="0" w:line="276" w:lineRule="auto"/>
            </w:pPr>
            <w:r w:rsidRPr="004624D3">
              <w:t>N</w:t>
            </w:r>
          </w:p>
        </w:tc>
        <w:tc>
          <w:tcPr>
            <w:tcW w:w="794" w:type="dxa"/>
            <w:shd w:val="clear" w:color="auto" w:fill="auto"/>
            <w:noWrap/>
            <w:vAlign w:val="bottom"/>
            <w:hideMark/>
          </w:tcPr>
          <w:p w14:paraId="2E90C7D9" w14:textId="77777777" w:rsidR="00E04B7D" w:rsidRPr="004624D3" w:rsidRDefault="00E04B7D" w:rsidP="0062265A">
            <w:pPr>
              <w:spacing w:after="0" w:line="276" w:lineRule="auto"/>
            </w:pPr>
            <w:r w:rsidRPr="004624D3">
              <w:t>16.3%</w:t>
            </w:r>
          </w:p>
        </w:tc>
        <w:tc>
          <w:tcPr>
            <w:tcW w:w="998" w:type="dxa"/>
            <w:shd w:val="clear" w:color="auto" w:fill="auto"/>
            <w:noWrap/>
            <w:vAlign w:val="bottom"/>
            <w:hideMark/>
          </w:tcPr>
          <w:p w14:paraId="034F9226" w14:textId="77777777" w:rsidR="00E04B7D" w:rsidRPr="004624D3" w:rsidRDefault="00E04B7D" w:rsidP="0062265A">
            <w:pPr>
              <w:spacing w:after="0" w:line="276" w:lineRule="auto"/>
            </w:pPr>
            <w:r w:rsidRPr="004624D3">
              <w:t>13.1%</w:t>
            </w:r>
          </w:p>
        </w:tc>
        <w:tc>
          <w:tcPr>
            <w:tcW w:w="851" w:type="dxa"/>
            <w:shd w:val="clear" w:color="auto" w:fill="auto"/>
            <w:noWrap/>
            <w:vAlign w:val="bottom"/>
            <w:hideMark/>
          </w:tcPr>
          <w:p w14:paraId="1EA665C4" w14:textId="77777777" w:rsidR="00E04B7D" w:rsidRPr="004624D3" w:rsidRDefault="00E04B7D" w:rsidP="0062265A">
            <w:pPr>
              <w:spacing w:after="0" w:line="276" w:lineRule="auto"/>
            </w:pPr>
            <w:r w:rsidRPr="004624D3">
              <w:t>30.9%</w:t>
            </w:r>
          </w:p>
        </w:tc>
        <w:tc>
          <w:tcPr>
            <w:tcW w:w="991" w:type="dxa"/>
            <w:shd w:val="clear" w:color="auto" w:fill="auto"/>
            <w:noWrap/>
            <w:vAlign w:val="bottom"/>
            <w:hideMark/>
          </w:tcPr>
          <w:p w14:paraId="709ADF41" w14:textId="77777777" w:rsidR="00E04B7D" w:rsidRPr="004624D3" w:rsidRDefault="00E04B7D" w:rsidP="0062265A">
            <w:pPr>
              <w:spacing w:after="0" w:line="276" w:lineRule="auto"/>
            </w:pPr>
            <w:r w:rsidRPr="004624D3">
              <w:t>14.2%</w:t>
            </w:r>
          </w:p>
        </w:tc>
        <w:tc>
          <w:tcPr>
            <w:tcW w:w="992" w:type="dxa"/>
            <w:shd w:val="clear" w:color="auto" w:fill="auto"/>
            <w:noWrap/>
            <w:vAlign w:val="bottom"/>
            <w:hideMark/>
          </w:tcPr>
          <w:p w14:paraId="0073A34C" w14:textId="77777777" w:rsidR="00E04B7D" w:rsidRPr="004624D3" w:rsidRDefault="00E04B7D" w:rsidP="0062265A">
            <w:pPr>
              <w:spacing w:after="0" w:line="276" w:lineRule="auto"/>
            </w:pPr>
            <w:r w:rsidRPr="004624D3">
              <w:t>25.4%</w:t>
            </w:r>
          </w:p>
        </w:tc>
        <w:tc>
          <w:tcPr>
            <w:tcW w:w="875" w:type="dxa"/>
            <w:shd w:val="clear" w:color="auto" w:fill="auto"/>
            <w:noWrap/>
            <w:vAlign w:val="bottom"/>
            <w:hideMark/>
          </w:tcPr>
          <w:p w14:paraId="6F4C56A0" w14:textId="77777777" w:rsidR="00E04B7D" w:rsidRPr="004624D3" w:rsidRDefault="00E04B7D" w:rsidP="0062265A">
            <w:pPr>
              <w:spacing w:after="0" w:line="276" w:lineRule="auto"/>
            </w:pPr>
            <w:r w:rsidRPr="004624D3">
              <w:t>100.0%</w:t>
            </w:r>
          </w:p>
        </w:tc>
        <w:tc>
          <w:tcPr>
            <w:tcW w:w="717" w:type="dxa"/>
            <w:shd w:val="clear" w:color="auto" w:fill="auto"/>
            <w:noWrap/>
            <w:vAlign w:val="bottom"/>
            <w:hideMark/>
          </w:tcPr>
          <w:p w14:paraId="5EA424EC" w14:textId="77777777" w:rsidR="00E04B7D" w:rsidRPr="004624D3" w:rsidRDefault="00E04B7D" w:rsidP="0062265A">
            <w:pPr>
              <w:spacing w:after="0" w:line="276" w:lineRule="auto"/>
            </w:pPr>
            <w:r w:rsidRPr="004624D3">
              <w:t xml:space="preserve">            857 </w:t>
            </w:r>
          </w:p>
        </w:tc>
        <w:tc>
          <w:tcPr>
            <w:tcW w:w="818" w:type="dxa"/>
            <w:shd w:val="clear" w:color="auto" w:fill="auto"/>
            <w:noWrap/>
            <w:vAlign w:val="bottom"/>
            <w:hideMark/>
          </w:tcPr>
          <w:p w14:paraId="5A294D38" w14:textId="77777777" w:rsidR="00E04B7D" w:rsidRPr="004624D3" w:rsidRDefault="00E04B7D" w:rsidP="0062265A">
            <w:pPr>
              <w:spacing w:after="0" w:line="276" w:lineRule="auto"/>
            </w:pPr>
            <w:r w:rsidRPr="004624D3">
              <w:t>25.0%</w:t>
            </w:r>
          </w:p>
        </w:tc>
      </w:tr>
      <w:tr w:rsidR="00E04B7D" w:rsidRPr="004624D3" w14:paraId="10AFF990" w14:textId="77777777" w:rsidTr="00801649">
        <w:trPr>
          <w:trHeight w:val="294"/>
        </w:trPr>
        <w:tc>
          <w:tcPr>
            <w:tcW w:w="1419" w:type="dxa"/>
            <w:shd w:val="clear" w:color="auto" w:fill="auto"/>
            <w:noWrap/>
            <w:vAlign w:val="bottom"/>
            <w:hideMark/>
          </w:tcPr>
          <w:p w14:paraId="58C683E3" w14:textId="77777777" w:rsidR="00E04B7D" w:rsidRPr="004624D3" w:rsidRDefault="00E04B7D" w:rsidP="0062265A">
            <w:pPr>
              <w:spacing w:after="0" w:line="276" w:lineRule="auto"/>
            </w:pPr>
            <w:r w:rsidRPr="004624D3">
              <w:t>Total</w:t>
            </w:r>
          </w:p>
        </w:tc>
        <w:tc>
          <w:tcPr>
            <w:tcW w:w="1005" w:type="dxa"/>
            <w:shd w:val="clear" w:color="auto" w:fill="auto"/>
            <w:noWrap/>
            <w:vAlign w:val="bottom"/>
            <w:hideMark/>
          </w:tcPr>
          <w:p w14:paraId="52BE7202" w14:textId="77777777" w:rsidR="00E04B7D" w:rsidRPr="004624D3" w:rsidRDefault="00E04B7D" w:rsidP="0062265A">
            <w:pPr>
              <w:spacing w:after="0" w:line="276" w:lineRule="auto"/>
            </w:pPr>
            <w:r w:rsidRPr="004624D3">
              <w:t> </w:t>
            </w:r>
          </w:p>
        </w:tc>
        <w:tc>
          <w:tcPr>
            <w:tcW w:w="485" w:type="dxa"/>
            <w:shd w:val="clear" w:color="auto" w:fill="auto"/>
            <w:noWrap/>
            <w:vAlign w:val="bottom"/>
            <w:hideMark/>
          </w:tcPr>
          <w:p w14:paraId="6F2888B2" w14:textId="77777777" w:rsidR="00E04B7D" w:rsidRPr="004624D3" w:rsidRDefault="00E04B7D" w:rsidP="0062265A">
            <w:pPr>
              <w:spacing w:after="0" w:line="276" w:lineRule="auto"/>
            </w:pPr>
            <w:r w:rsidRPr="004624D3">
              <w:t> </w:t>
            </w:r>
          </w:p>
        </w:tc>
        <w:tc>
          <w:tcPr>
            <w:tcW w:w="485" w:type="dxa"/>
            <w:shd w:val="clear" w:color="auto" w:fill="auto"/>
            <w:noWrap/>
            <w:vAlign w:val="bottom"/>
            <w:hideMark/>
          </w:tcPr>
          <w:p w14:paraId="011109EE" w14:textId="77777777" w:rsidR="00E04B7D" w:rsidRPr="004624D3" w:rsidRDefault="00E04B7D" w:rsidP="0062265A">
            <w:pPr>
              <w:spacing w:after="0" w:line="276" w:lineRule="auto"/>
            </w:pPr>
            <w:r w:rsidRPr="004624D3">
              <w:t> </w:t>
            </w:r>
          </w:p>
        </w:tc>
        <w:tc>
          <w:tcPr>
            <w:tcW w:w="485" w:type="dxa"/>
            <w:shd w:val="clear" w:color="auto" w:fill="auto"/>
            <w:noWrap/>
            <w:vAlign w:val="bottom"/>
            <w:hideMark/>
          </w:tcPr>
          <w:p w14:paraId="05B6AD48" w14:textId="77777777" w:rsidR="00E04B7D" w:rsidRPr="004624D3" w:rsidRDefault="00E04B7D" w:rsidP="0062265A">
            <w:pPr>
              <w:spacing w:after="0" w:line="276" w:lineRule="auto"/>
            </w:pPr>
            <w:r w:rsidRPr="004624D3">
              <w:t> </w:t>
            </w:r>
          </w:p>
        </w:tc>
        <w:tc>
          <w:tcPr>
            <w:tcW w:w="794" w:type="dxa"/>
            <w:shd w:val="clear" w:color="auto" w:fill="auto"/>
            <w:noWrap/>
            <w:vAlign w:val="bottom"/>
            <w:hideMark/>
          </w:tcPr>
          <w:p w14:paraId="4C225103" w14:textId="77777777" w:rsidR="00E04B7D" w:rsidRPr="004624D3" w:rsidRDefault="00E04B7D" w:rsidP="0062265A">
            <w:pPr>
              <w:spacing w:after="0" w:line="276" w:lineRule="auto"/>
            </w:pPr>
            <w:r w:rsidRPr="004624D3">
              <w:t>15.5%</w:t>
            </w:r>
          </w:p>
        </w:tc>
        <w:tc>
          <w:tcPr>
            <w:tcW w:w="998" w:type="dxa"/>
            <w:shd w:val="clear" w:color="auto" w:fill="auto"/>
            <w:noWrap/>
            <w:vAlign w:val="bottom"/>
            <w:hideMark/>
          </w:tcPr>
          <w:p w14:paraId="5B8ACBB8" w14:textId="77777777" w:rsidR="00E04B7D" w:rsidRPr="004624D3" w:rsidRDefault="00E04B7D" w:rsidP="0062265A">
            <w:pPr>
              <w:spacing w:after="0" w:line="276" w:lineRule="auto"/>
            </w:pPr>
            <w:r w:rsidRPr="004624D3">
              <w:t>15.6%</w:t>
            </w:r>
          </w:p>
        </w:tc>
        <w:tc>
          <w:tcPr>
            <w:tcW w:w="851" w:type="dxa"/>
            <w:shd w:val="clear" w:color="auto" w:fill="auto"/>
            <w:noWrap/>
            <w:vAlign w:val="bottom"/>
            <w:hideMark/>
          </w:tcPr>
          <w:p w14:paraId="76B63472" w14:textId="77777777" w:rsidR="00E04B7D" w:rsidRPr="004624D3" w:rsidRDefault="00E04B7D" w:rsidP="0062265A">
            <w:pPr>
              <w:spacing w:after="0" w:line="276" w:lineRule="auto"/>
            </w:pPr>
            <w:r w:rsidRPr="004624D3">
              <w:t>32.8%</w:t>
            </w:r>
          </w:p>
        </w:tc>
        <w:tc>
          <w:tcPr>
            <w:tcW w:w="991" w:type="dxa"/>
            <w:shd w:val="clear" w:color="auto" w:fill="auto"/>
            <w:noWrap/>
            <w:vAlign w:val="bottom"/>
            <w:hideMark/>
          </w:tcPr>
          <w:p w14:paraId="4706FB1D" w14:textId="77777777" w:rsidR="00E04B7D" w:rsidRPr="004624D3" w:rsidRDefault="00E04B7D" w:rsidP="0062265A">
            <w:pPr>
              <w:spacing w:after="0" w:line="276" w:lineRule="auto"/>
            </w:pPr>
            <w:r w:rsidRPr="004624D3">
              <w:t>12.9%</w:t>
            </w:r>
          </w:p>
        </w:tc>
        <w:tc>
          <w:tcPr>
            <w:tcW w:w="992" w:type="dxa"/>
            <w:shd w:val="clear" w:color="auto" w:fill="auto"/>
            <w:noWrap/>
            <w:vAlign w:val="bottom"/>
            <w:hideMark/>
          </w:tcPr>
          <w:p w14:paraId="71DC718E" w14:textId="77777777" w:rsidR="00E04B7D" w:rsidRPr="004624D3" w:rsidRDefault="00E04B7D" w:rsidP="0062265A">
            <w:pPr>
              <w:spacing w:after="0" w:line="276" w:lineRule="auto"/>
            </w:pPr>
            <w:r w:rsidRPr="004624D3">
              <w:t>23.2%</w:t>
            </w:r>
          </w:p>
        </w:tc>
        <w:tc>
          <w:tcPr>
            <w:tcW w:w="875" w:type="dxa"/>
            <w:shd w:val="clear" w:color="auto" w:fill="auto"/>
            <w:noWrap/>
            <w:vAlign w:val="bottom"/>
            <w:hideMark/>
          </w:tcPr>
          <w:p w14:paraId="30FD559D" w14:textId="77777777" w:rsidR="00E04B7D" w:rsidRPr="004624D3" w:rsidRDefault="00E04B7D" w:rsidP="0062265A">
            <w:pPr>
              <w:spacing w:after="0" w:line="276" w:lineRule="auto"/>
            </w:pPr>
            <w:r w:rsidRPr="004624D3">
              <w:t>100.0%</w:t>
            </w:r>
          </w:p>
        </w:tc>
        <w:tc>
          <w:tcPr>
            <w:tcW w:w="717" w:type="dxa"/>
            <w:shd w:val="clear" w:color="auto" w:fill="auto"/>
            <w:noWrap/>
            <w:vAlign w:val="bottom"/>
            <w:hideMark/>
          </w:tcPr>
          <w:p w14:paraId="01CA39C9" w14:textId="77777777" w:rsidR="00E04B7D" w:rsidRPr="004624D3" w:rsidRDefault="00E04B7D" w:rsidP="0062265A">
            <w:pPr>
              <w:spacing w:after="0" w:line="276" w:lineRule="auto"/>
            </w:pPr>
            <w:r w:rsidRPr="004624D3">
              <w:t xml:space="preserve">         3,422 </w:t>
            </w:r>
          </w:p>
        </w:tc>
        <w:tc>
          <w:tcPr>
            <w:tcW w:w="818" w:type="dxa"/>
            <w:shd w:val="clear" w:color="auto" w:fill="auto"/>
            <w:noWrap/>
            <w:vAlign w:val="bottom"/>
            <w:hideMark/>
          </w:tcPr>
          <w:p w14:paraId="46178E04" w14:textId="77777777" w:rsidR="00E04B7D" w:rsidRPr="004624D3" w:rsidRDefault="00E04B7D" w:rsidP="0062265A">
            <w:pPr>
              <w:spacing w:after="0" w:line="276" w:lineRule="auto"/>
            </w:pPr>
            <w:r w:rsidRPr="004624D3">
              <w:t>100.0%</w:t>
            </w:r>
          </w:p>
        </w:tc>
      </w:tr>
    </w:tbl>
    <w:p w14:paraId="680E0802" w14:textId="1F6104D5" w:rsidR="0056444B" w:rsidRPr="004624D3" w:rsidRDefault="0056444B" w:rsidP="0062265A">
      <w:pPr>
        <w:spacing w:after="0" w:line="276" w:lineRule="auto"/>
      </w:pPr>
      <w:r w:rsidRPr="004624D3">
        <w:t>Note: C= Caring; N= Not caring</w:t>
      </w:r>
    </w:p>
    <w:p w14:paraId="69B4A4A2" w14:textId="318F787C" w:rsidR="00E04B7D" w:rsidRPr="004624D3" w:rsidRDefault="00BC1A59" w:rsidP="0062265A">
      <w:pPr>
        <w:spacing w:after="0" w:line="276" w:lineRule="auto"/>
      </w:pPr>
      <w:r w:rsidRPr="004624D3">
        <w:t>Source: Authors’ analysis of the NCDS.</w:t>
      </w:r>
    </w:p>
    <w:p w14:paraId="63229ED2" w14:textId="7F4C4F7E" w:rsidR="00E04B7D" w:rsidRPr="004624D3" w:rsidRDefault="00E04B7D" w:rsidP="0062265A">
      <w:pPr>
        <w:spacing w:after="0" w:line="276" w:lineRule="auto"/>
      </w:pPr>
    </w:p>
    <w:p w14:paraId="370FEBB2" w14:textId="77777777" w:rsidR="00E91999" w:rsidRPr="004624D3" w:rsidRDefault="00E91999" w:rsidP="0062265A">
      <w:pPr>
        <w:spacing w:after="0" w:line="276" w:lineRule="auto"/>
      </w:pPr>
    </w:p>
    <w:p w14:paraId="265BA32D" w14:textId="77777777" w:rsidR="00E91999" w:rsidRPr="004624D3" w:rsidRDefault="00E91999" w:rsidP="0062265A">
      <w:pPr>
        <w:spacing w:after="0" w:line="276" w:lineRule="auto"/>
      </w:pPr>
    </w:p>
    <w:p w14:paraId="242B5284" w14:textId="2B5FBD14" w:rsidR="00DD1FF7" w:rsidRPr="004624D3" w:rsidRDefault="00DD1FF7">
      <w:r w:rsidRPr="004624D3">
        <w:br w:type="page"/>
      </w:r>
    </w:p>
    <w:p w14:paraId="59ECC549" w14:textId="12E57093" w:rsidR="00DD1FF7" w:rsidRPr="004624D3" w:rsidRDefault="00DD1FF7"/>
    <w:p w14:paraId="2D928A1D" w14:textId="2D09541E" w:rsidR="00BC1A59" w:rsidRPr="004624D3" w:rsidRDefault="00BC1A59" w:rsidP="0062265A">
      <w:pPr>
        <w:spacing w:after="0" w:line="276" w:lineRule="auto"/>
      </w:pPr>
      <w:r w:rsidRPr="004624D3">
        <w:t xml:space="preserve">Supplementary Table 3. Among </w:t>
      </w:r>
      <w:r w:rsidR="00097686" w:rsidRPr="004624D3">
        <w:t>women</w:t>
      </w:r>
      <w:r w:rsidRPr="004624D3">
        <w:t xml:space="preserve"> at risk of caring in any wave, caring trajectories by education</w:t>
      </w:r>
      <w:r w:rsidR="00097686" w:rsidRPr="004624D3">
        <w:t xml:space="preserve"> (%, N)</w:t>
      </w:r>
      <w:r w:rsidRPr="004624D3">
        <w:t>.</w:t>
      </w:r>
    </w:p>
    <w:tbl>
      <w:tblPr>
        <w:tblW w:w="10964" w:type="dxa"/>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022"/>
        <w:gridCol w:w="490"/>
        <w:gridCol w:w="504"/>
        <w:gridCol w:w="532"/>
        <w:gridCol w:w="788"/>
        <w:gridCol w:w="850"/>
        <w:gridCol w:w="851"/>
        <w:gridCol w:w="850"/>
        <w:gridCol w:w="993"/>
        <w:gridCol w:w="992"/>
        <w:gridCol w:w="709"/>
        <w:gridCol w:w="997"/>
      </w:tblGrid>
      <w:tr w:rsidR="006B70AD" w:rsidRPr="004624D3" w14:paraId="310ACD56" w14:textId="77777777" w:rsidTr="00E23943">
        <w:trPr>
          <w:trHeight w:val="881"/>
        </w:trPr>
        <w:tc>
          <w:tcPr>
            <w:tcW w:w="1386" w:type="dxa"/>
            <w:shd w:val="clear" w:color="auto" w:fill="auto"/>
            <w:noWrap/>
            <w:vAlign w:val="bottom"/>
            <w:hideMark/>
          </w:tcPr>
          <w:p w14:paraId="042E4F6D" w14:textId="77777777" w:rsidR="00E04B7D" w:rsidRPr="004624D3" w:rsidRDefault="00E04B7D" w:rsidP="0062265A">
            <w:pPr>
              <w:spacing w:after="0" w:line="276" w:lineRule="auto"/>
            </w:pPr>
            <w:r w:rsidRPr="004624D3">
              <w:t>Trajectories</w:t>
            </w:r>
          </w:p>
        </w:tc>
        <w:tc>
          <w:tcPr>
            <w:tcW w:w="1022" w:type="dxa"/>
            <w:shd w:val="clear" w:color="auto" w:fill="auto"/>
            <w:vAlign w:val="bottom"/>
            <w:hideMark/>
          </w:tcPr>
          <w:p w14:paraId="7FA9BEEB" w14:textId="77777777" w:rsidR="00E04B7D" w:rsidRPr="004624D3" w:rsidRDefault="00E04B7D" w:rsidP="0062265A">
            <w:pPr>
              <w:spacing w:after="0" w:line="276" w:lineRule="auto"/>
            </w:pPr>
            <w:r w:rsidRPr="004624D3">
              <w:t># caring episodes</w:t>
            </w:r>
          </w:p>
        </w:tc>
        <w:tc>
          <w:tcPr>
            <w:tcW w:w="490" w:type="dxa"/>
            <w:shd w:val="clear" w:color="auto" w:fill="auto"/>
            <w:noWrap/>
            <w:vAlign w:val="bottom"/>
            <w:hideMark/>
          </w:tcPr>
          <w:p w14:paraId="2E0E31A9" w14:textId="77777777" w:rsidR="00E04B7D" w:rsidRPr="004624D3" w:rsidRDefault="00E04B7D" w:rsidP="0062265A">
            <w:pPr>
              <w:spacing w:after="0" w:line="276" w:lineRule="auto"/>
            </w:pPr>
            <w:r w:rsidRPr="004624D3">
              <w:t>w7</w:t>
            </w:r>
          </w:p>
        </w:tc>
        <w:tc>
          <w:tcPr>
            <w:tcW w:w="504" w:type="dxa"/>
            <w:shd w:val="clear" w:color="auto" w:fill="auto"/>
            <w:noWrap/>
            <w:vAlign w:val="bottom"/>
            <w:hideMark/>
          </w:tcPr>
          <w:p w14:paraId="7193F6A2" w14:textId="77777777" w:rsidR="00E04B7D" w:rsidRPr="004624D3" w:rsidRDefault="00E04B7D" w:rsidP="0062265A">
            <w:pPr>
              <w:spacing w:after="0" w:line="276" w:lineRule="auto"/>
            </w:pPr>
            <w:r w:rsidRPr="004624D3">
              <w:t>w8</w:t>
            </w:r>
          </w:p>
        </w:tc>
        <w:tc>
          <w:tcPr>
            <w:tcW w:w="532" w:type="dxa"/>
            <w:shd w:val="clear" w:color="auto" w:fill="auto"/>
            <w:noWrap/>
            <w:vAlign w:val="bottom"/>
            <w:hideMark/>
          </w:tcPr>
          <w:p w14:paraId="5469A7AD" w14:textId="77777777" w:rsidR="00E04B7D" w:rsidRPr="004624D3" w:rsidRDefault="00E04B7D" w:rsidP="0062265A">
            <w:pPr>
              <w:spacing w:after="0" w:line="276" w:lineRule="auto"/>
            </w:pPr>
            <w:r w:rsidRPr="004624D3">
              <w:t>w9</w:t>
            </w:r>
          </w:p>
        </w:tc>
        <w:tc>
          <w:tcPr>
            <w:tcW w:w="788" w:type="dxa"/>
            <w:shd w:val="clear" w:color="auto" w:fill="auto"/>
            <w:noWrap/>
            <w:vAlign w:val="center"/>
            <w:hideMark/>
          </w:tcPr>
          <w:p w14:paraId="74527761" w14:textId="77777777" w:rsidR="00E04B7D" w:rsidRPr="004624D3" w:rsidRDefault="00E04B7D" w:rsidP="0062265A">
            <w:pPr>
              <w:spacing w:after="0" w:line="276" w:lineRule="auto"/>
            </w:pPr>
            <w:r w:rsidRPr="004624D3">
              <w:t>None</w:t>
            </w:r>
          </w:p>
        </w:tc>
        <w:tc>
          <w:tcPr>
            <w:tcW w:w="850" w:type="dxa"/>
            <w:shd w:val="clear" w:color="auto" w:fill="auto"/>
            <w:noWrap/>
            <w:vAlign w:val="center"/>
            <w:hideMark/>
          </w:tcPr>
          <w:p w14:paraId="1ABAB4C8" w14:textId="77777777" w:rsidR="00E04B7D" w:rsidRPr="004624D3" w:rsidRDefault="00E04B7D" w:rsidP="0062265A">
            <w:pPr>
              <w:spacing w:after="0" w:line="276" w:lineRule="auto"/>
            </w:pPr>
            <w:r w:rsidRPr="004624D3">
              <w:t>Low O-level</w:t>
            </w:r>
          </w:p>
        </w:tc>
        <w:tc>
          <w:tcPr>
            <w:tcW w:w="851" w:type="dxa"/>
            <w:shd w:val="clear" w:color="auto" w:fill="auto"/>
            <w:noWrap/>
            <w:vAlign w:val="center"/>
            <w:hideMark/>
          </w:tcPr>
          <w:p w14:paraId="07B62FE8" w14:textId="77777777" w:rsidR="00E04B7D" w:rsidRPr="004624D3" w:rsidRDefault="00E04B7D" w:rsidP="0062265A">
            <w:pPr>
              <w:spacing w:after="0" w:line="276" w:lineRule="auto"/>
            </w:pPr>
            <w:r w:rsidRPr="004624D3">
              <w:t>High O-level</w:t>
            </w:r>
          </w:p>
        </w:tc>
        <w:tc>
          <w:tcPr>
            <w:tcW w:w="850" w:type="dxa"/>
            <w:shd w:val="clear" w:color="auto" w:fill="auto"/>
            <w:vAlign w:val="center"/>
            <w:hideMark/>
          </w:tcPr>
          <w:p w14:paraId="73588330" w14:textId="77777777" w:rsidR="00E04B7D" w:rsidRPr="004624D3" w:rsidRDefault="00E04B7D" w:rsidP="0062265A">
            <w:pPr>
              <w:spacing w:after="0" w:line="276" w:lineRule="auto"/>
            </w:pPr>
            <w:r w:rsidRPr="004624D3">
              <w:t>A-level &amp; Sub-degree</w:t>
            </w:r>
          </w:p>
        </w:tc>
        <w:tc>
          <w:tcPr>
            <w:tcW w:w="993" w:type="dxa"/>
            <w:shd w:val="clear" w:color="auto" w:fill="auto"/>
            <w:vAlign w:val="center"/>
            <w:hideMark/>
          </w:tcPr>
          <w:p w14:paraId="25ADB336" w14:textId="77777777" w:rsidR="00E04B7D" w:rsidRPr="004624D3" w:rsidRDefault="00E04B7D" w:rsidP="0062265A">
            <w:pPr>
              <w:spacing w:after="0" w:line="276" w:lineRule="auto"/>
            </w:pPr>
            <w:r w:rsidRPr="004624D3">
              <w:t>Degree &amp; higher</w:t>
            </w:r>
          </w:p>
        </w:tc>
        <w:tc>
          <w:tcPr>
            <w:tcW w:w="992" w:type="dxa"/>
            <w:shd w:val="clear" w:color="auto" w:fill="auto"/>
            <w:noWrap/>
            <w:vAlign w:val="center"/>
            <w:hideMark/>
          </w:tcPr>
          <w:p w14:paraId="13C0F251" w14:textId="77777777" w:rsidR="00E04B7D" w:rsidRPr="004624D3" w:rsidRDefault="00E04B7D" w:rsidP="0062265A">
            <w:pPr>
              <w:spacing w:after="0" w:line="276" w:lineRule="auto"/>
            </w:pPr>
            <w:r w:rsidRPr="004624D3">
              <w:t>Row %</w:t>
            </w:r>
          </w:p>
        </w:tc>
        <w:tc>
          <w:tcPr>
            <w:tcW w:w="709" w:type="dxa"/>
            <w:shd w:val="clear" w:color="auto" w:fill="auto"/>
            <w:noWrap/>
            <w:vAlign w:val="center"/>
            <w:hideMark/>
          </w:tcPr>
          <w:p w14:paraId="6C1CBCC7" w14:textId="77777777" w:rsidR="00E04B7D" w:rsidRPr="004624D3" w:rsidRDefault="00E04B7D" w:rsidP="0062265A">
            <w:pPr>
              <w:spacing w:after="0" w:line="276" w:lineRule="auto"/>
            </w:pPr>
            <w:r w:rsidRPr="004624D3">
              <w:t>Total</w:t>
            </w:r>
          </w:p>
        </w:tc>
        <w:tc>
          <w:tcPr>
            <w:tcW w:w="997" w:type="dxa"/>
            <w:shd w:val="clear" w:color="auto" w:fill="auto"/>
            <w:noWrap/>
            <w:vAlign w:val="center"/>
            <w:hideMark/>
          </w:tcPr>
          <w:p w14:paraId="258316B4" w14:textId="77777777" w:rsidR="00E04B7D" w:rsidRPr="004624D3" w:rsidRDefault="00E04B7D" w:rsidP="0062265A">
            <w:pPr>
              <w:spacing w:after="0" w:line="276" w:lineRule="auto"/>
            </w:pPr>
            <w:r w:rsidRPr="004624D3">
              <w:t>Col %</w:t>
            </w:r>
          </w:p>
        </w:tc>
      </w:tr>
      <w:tr w:rsidR="006B70AD" w:rsidRPr="004624D3" w14:paraId="465457BC" w14:textId="77777777" w:rsidTr="00E23943">
        <w:trPr>
          <w:trHeight w:val="294"/>
        </w:trPr>
        <w:tc>
          <w:tcPr>
            <w:tcW w:w="1386" w:type="dxa"/>
            <w:shd w:val="clear" w:color="auto" w:fill="auto"/>
            <w:noWrap/>
            <w:vAlign w:val="bottom"/>
            <w:hideMark/>
          </w:tcPr>
          <w:p w14:paraId="06741CD6" w14:textId="7D666B26" w:rsidR="00E04B7D" w:rsidRPr="004624D3" w:rsidRDefault="007B2B8A" w:rsidP="0062265A">
            <w:pPr>
              <w:spacing w:after="0" w:line="276" w:lineRule="auto"/>
            </w:pPr>
            <w:r w:rsidRPr="004624D3">
              <w:t>Repeat</w:t>
            </w:r>
            <w:r w:rsidR="00E04B7D" w:rsidRPr="004624D3">
              <w:t xml:space="preserve"> carers</w:t>
            </w:r>
          </w:p>
        </w:tc>
        <w:tc>
          <w:tcPr>
            <w:tcW w:w="1022" w:type="dxa"/>
            <w:shd w:val="clear" w:color="auto" w:fill="auto"/>
            <w:noWrap/>
            <w:vAlign w:val="bottom"/>
            <w:hideMark/>
          </w:tcPr>
          <w:p w14:paraId="2F82E0E3" w14:textId="77777777" w:rsidR="00E04B7D" w:rsidRPr="004624D3" w:rsidRDefault="00E04B7D" w:rsidP="0062265A">
            <w:pPr>
              <w:spacing w:after="0" w:line="276" w:lineRule="auto"/>
            </w:pPr>
            <w:r w:rsidRPr="004624D3">
              <w:t>3</w:t>
            </w:r>
          </w:p>
        </w:tc>
        <w:tc>
          <w:tcPr>
            <w:tcW w:w="490" w:type="dxa"/>
            <w:shd w:val="clear" w:color="auto" w:fill="auto"/>
            <w:noWrap/>
            <w:vAlign w:val="bottom"/>
            <w:hideMark/>
          </w:tcPr>
          <w:p w14:paraId="4AFA1F35" w14:textId="77777777" w:rsidR="00E04B7D" w:rsidRPr="004624D3" w:rsidRDefault="00E04B7D" w:rsidP="0062265A">
            <w:pPr>
              <w:spacing w:after="0" w:line="276" w:lineRule="auto"/>
            </w:pPr>
            <w:r w:rsidRPr="004624D3">
              <w:t>C</w:t>
            </w:r>
          </w:p>
        </w:tc>
        <w:tc>
          <w:tcPr>
            <w:tcW w:w="504" w:type="dxa"/>
            <w:shd w:val="clear" w:color="auto" w:fill="auto"/>
            <w:noWrap/>
            <w:vAlign w:val="bottom"/>
            <w:hideMark/>
          </w:tcPr>
          <w:p w14:paraId="788C1DAD" w14:textId="77777777" w:rsidR="00E04B7D" w:rsidRPr="004624D3" w:rsidRDefault="00E04B7D" w:rsidP="0062265A">
            <w:pPr>
              <w:spacing w:after="0" w:line="276" w:lineRule="auto"/>
            </w:pPr>
            <w:r w:rsidRPr="004624D3">
              <w:t>C</w:t>
            </w:r>
          </w:p>
        </w:tc>
        <w:tc>
          <w:tcPr>
            <w:tcW w:w="532" w:type="dxa"/>
            <w:shd w:val="clear" w:color="auto" w:fill="auto"/>
            <w:noWrap/>
            <w:vAlign w:val="bottom"/>
            <w:hideMark/>
          </w:tcPr>
          <w:p w14:paraId="325B657E" w14:textId="77777777" w:rsidR="00E04B7D" w:rsidRPr="004624D3" w:rsidRDefault="00E04B7D" w:rsidP="0062265A">
            <w:pPr>
              <w:spacing w:after="0" w:line="276" w:lineRule="auto"/>
            </w:pPr>
            <w:r w:rsidRPr="004624D3">
              <w:t>C</w:t>
            </w:r>
          </w:p>
        </w:tc>
        <w:tc>
          <w:tcPr>
            <w:tcW w:w="788" w:type="dxa"/>
            <w:shd w:val="clear" w:color="auto" w:fill="auto"/>
            <w:noWrap/>
            <w:vAlign w:val="bottom"/>
            <w:hideMark/>
          </w:tcPr>
          <w:p w14:paraId="77515F1F" w14:textId="77777777" w:rsidR="00E04B7D" w:rsidRPr="004624D3" w:rsidRDefault="00E04B7D" w:rsidP="0062265A">
            <w:pPr>
              <w:spacing w:after="0" w:line="276" w:lineRule="auto"/>
            </w:pPr>
            <w:r w:rsidRPr="004624D3">
              <w:t>8.3%</w:t>
            </w:r>
          </w:p>
        </w:tc>
        <w:tc>
          <w:tcPr>
            <w:tcW w:w="850" w:type="dxa"/>
            <w:shd w:val="clear" w:color="auto" w:fill="auto"/>
            <w:noWrap/>
            <w:vAlign w:val="bottom"/>
            <w:hideMark/>
          </w:tcPr>
          <w:p w14:paraId="07BB2BFD" w14:textId="77777777" w:rsidR="00E04B7D" w:rsidRPr="004624D3" w:rsidRDefault="00E04B7D" w:rsidP="0062265A">
            <w:pPr>
              <w:spacing w:after="0" w:line="276" w:lineRule="auto"/>
            </w:pPr>
            <w:r w:rsidRPr="004624D3">
              <w:t>11.8%</w:t>
            </w:r>
          </w:p>
        </w:tc>
        <w:tc>
          <w:tcPr>
            <w:tcW w:w="851" w:type="dxa"/>
            <w:shd w:val="clear" w:color="auto" w:fill="auto"/>
            <w:noWrap/>
            <w:vAlign w:val="bottom"/>
            <w:hideMark/>
          </w:tcPr>
          <w:p w14:paraId="329348FA" w14:textId="77777777" w:rsidR="00E04B7D" w:rsidRPr="004624D3" w:rsidRDefault="00E04B7D" w:rsidP="0062265A">
            <w:pPr>
              <w:spacing w:after="0" w:line="276" w:lineRule="auto"/>
            </w:pPr>
            <w:r w:rsidRPr="004624D3">
              <w:t>44.1%</w:t>
            </w:r>
          </w:p>
        </w:tc>
        <w:tc>
          <w:tcPr>
            <w:tcW w:w="850" w:type="dxa"/>
            <w:shd w:val="clear" w:color="auto" w:fill="auto"/>
            <w:noWrap/>
            <w:vAlign w:val="bottom"/>
            <w:hideMark/>
          </w:tcPr>
          <w:p w14:paraId="57635DE9" w14:textId="77777777" w:rsidR="00E04B7D" w:rsidRPr="004624D3" w:rsidRDefault="00E04B7D" w:rsidP="0062265A">
            <w:pPr>
              <w:spacing w:after="0" w:line="276" w:lineRule="auto"/>
            </w:pPr>
            <w:r w:rsidRPr="004624D3">
              <w:t>11.8%</w:t>
            </w:r>
          </w:p>
        </w:tc>
        <w:tc>
          <w:tcPr>
            <w:tcW w:w="993" w:type="dxa"/>
            <w:shd w:val="clear" w:color="auto" w:fill="auto"/>
            <w:noWrap/>
            <w:vAlign w:val="bottom"/>
            <w:hideMark/>
          </w:tcPr>
          <w:p w14:paraId="1A168B3D" w14:textId="77777777" w:rsidR="00E04B7D" w:rsidRPr="004624D3" w:rsidRDefault="00E04B7D" w:rsidP="0062265A">
            <w:pPr>
              <w:spacing w:after="0" w:line="276" w:lineRule="auto"/>
            </w:pPr>
            <w:r w:rsidRPr="004624D3">
              <w:t>24.0%</w:t>
            </w:r>
          </w:p>
        </w:tc>
        <w:tc>
          <w:tcPr>
            <w:tcW w:w="992" w:type="dxa"/>
            <w:shd w:val="clear" w:color="auto" w:fill="auto"/>
            <w:noWrap/>
            <w:vAlign w:val="bottom"/>
            <w:hideMark/>
          </w:tcPr>
          <w:p w14:paraId="6DE86399" w14:textId="77777777" w:rsidR="00E04B7D" w:rsidRPr="004624D3" w:rsidRDefault="00E04B7D" w:rsidP="0062265A">
            <w:pPr>
              <w:spacing w:after="0" w:line="276" w:lineRule="auto"/>
            </w:pPr>
            <w:r w:rsidRPr="004624D3">
              <w:t>100.0%</w:t>
            </w:r>
          </w:p>
        </w:tc>
        <w:tc>
          <w:tcPr>
            <w:tcW w:w="709" w:type="dxa"/>
            <w:shd w:val="clear" w:color="auto" w:fill="auto"/>
            <w:noWrap/>
            <w:vAlign w:val="bottom"/>
            <w:hideMark/>
          </w:tcPr>
          <w:p w14:paraId="0741C684" w14:textId="77777777" w:rsidR="00E04B7D" w:rsidRPr="004624D3" w:rsidRDefault="00E04B7D" w:rsidP="0062265A">
            <w:pPr>
              <w:spacing w:after="0" w:line="276" w:lineRule="auto"/>
            </w:pPr>
            <w:r w:rsidRPr="004624D3">
              <w:t>254</w:t>
            </w:r>
          </w:p>
        </w:tc>
        <w:tc>
          <w:tcPr>
            <w:tcW w:w="997" w:type="dxa"/>
            <w:shd w:val="clear" w:color="auto" w:fill="auto"/>
            <w:noWrap/>
            <w:vAlign w:val="bottom"/>
            <w:hideMark/>
          </w:tcPr>
          <w:p w14:paraId="01697905" w14:textId="77777777" w:rsidR="00E04B7D" w:rsidRPr="004624D3" w:rsidRDefault="00E04B7D" w:rsidP="0062265A">
            <w:pPr>
              <w:spacing w:after="0" w:line="276" w:lineRule="auto"/>
            </w:pPr>
            <w:r w:rsidRPr="004624D3">
              <w:t>7.1%</w:t>
            </w:r>
          </w:p>
        </w:tc>
      </w:tr>
      <w:tr w:rsidR="006B70AD" w:rsidRPr="004624D3" w14:paraId="7E474879" w14:textId="77777777" w:rsidTr="00E23943">
        <w:trPr>
          <w:trHeight w:val="294"/>
        </w:trPr>
        <w:tc>
          <w:tcPr>
            <w:tcW w:w="1386" w:type="dxa"/>
            <w:shd w:val="clear" w:color="auto" w:fill="auto"/>
            <w:noWrap/>
            <w:vAlign w:val="bottom"/>
            <w:hideMark/>
          </w:tcPr>
          <w:p w14:paraId="2CB69380" w14:textId="77777777" w:rsidR="00E04B7D" w:rsidRPr="004624D3" w:rsidRDefault="00E04B7D" w:rsidP="0062265A">
            <w:pPr>
              <w:spacing w:after="0" w:line="276" w:lineRule="auto"/>
            </w:pPr>
            <w:r w:rsidRPr="004624D3">
              <w:t>New carers</w:t>
            </w:r>
          </w:p>
        </w:tc>
        <w:tc>
          <w:tcPr>
            <w:tcW w:w="1022" w:type="dxa"/>
            <w:shd w:val="clear" w:color="auto" w:fill="auto"/>
            <w:noWrap/>
            <w:vAlign w:val="bottom"/>
            <w:hideMark/>
          </w:tcPr>
          <w:p w14:paraId="73457063" w14:textId="77777777" w:rsidR="00E04B7D" w:rsidRPr="004624D3" w:rsidRDefault="00E04B7D" w:rsidP="0062265A">
            <w:pPr>
              <w:spacing w:after="0" w:line="276" w:lineRule="auto"/>
            </w:pPr>
            <w:r w:rsidRPr="004624D3">
              <w:t>1</w:t>
            </w:r>
          </w:p>
        </w:tc>
        <w:tc>
          <w:tcPr>
            <w:tcW w:w="1526" w:type="dxa"/>
            <w:gridSpan w:val="3"/>
            <w:shd w:val="clear" w:color="auto" w:fill="auto"/>
            <w:noWrap/>
            <w:vAlign w:val="bottom"/>
            <w:hideMark/>
          </w:tcPr>
          <w:p w14:paraId="49F56C77" w14:textId="6383E41D" w:rsidR="00E04B7D" w:rsidRPr="004624D3" w:rsidRDefault="00E04B7D" w:rsidP="0062265A">
            <w:pPr>
              <w:spacing w:after="0" w:line="276" w:lineRule="auto"/>
            </w:pPr>
            <w:r w:rsidRPr="004624D3">
              <w:t>N</w:t>
            </w:r>
            <w:r w:rsidR="008C3D54" w:rsidRPr="004624D3">
              <w:t>-</w:t>
            </w:r>
            <w:r w:rsidRPr="004624D3">
              <w:t>N</w:t>
            </w:r>
            <w:r w:rsidR="008C3D54" w:rsidRPr="004624D3">
              <w:t>-</w:t>
            </w:r>
            <w:r w:rsidRPr="004624D3">
              <w:t>C / N</w:t>
            </w:r>
            <w:r w:rsidR="008C3D54" w:rsidRPr="004624D3">
              <w:t>-</w:t>
            </w:r>
            <w:r w:rsidRPr="004624D3">
              <w:t>C</w:t>
            </w:r>
            <w:r w:rsidR="008C3D54" w:rsidRPr="004624D3">
              <w:t>-</w:t>
            </w:r>
            <w:r w:rsidRPr="004624D3">
              <w:t>C</w:t>
            </w:r>
          </w:p>
        </w:tc>
        <w:tc>
          <w:tcPr>
            <w:tcW w:w="788" w:type="dxa"/>
            <w:shd w:val="clear" w:color="auto" w:fill="auto"/>
            <w:noWrap/>
            <w:vAlign w:val="bottom"/>
            <w:hideMark/>
          </w:tcPr>
          <w:p w14:paraId="674EFDA6" w14:textId="77777777" w:rsidR="00E04B7D" w:rsidRPr="004624D3" w:rsidRDefault="00E04B7D" w:rsidP="0062265A">
            <w:pPr>
              <w:spacing w:after="0" w:line="276" w:lineRule="auto"/>
            </w:pPr>
            <w:r w:rsidRPr="004624D3">
              <w:t>12.4%</w:t>
            </w:r>
          </w:p>
        </w:tc>
        <w:tc>
          <w:tcPr>
            <w:tcW w:w="850" w:type="dxa"/>
            <w:shd w:val="clear" w:color="auto" w:fill="auto"/>
            <w:noWrap/>
            <w:vAlign w:val="bottom"/>
            <w:hideMark/>
          </w:tcPr>
          <w:p w14:paraId="5C65C323" w14:textId="77777777" w:rsidR="00E04B7D" w:rsidRPr="004624D3" w:rsidRDefault="00E04B7D" w:rsidP="0062265A">
            <w:pPr>
              <w:spacing w:after="0" w:line="276" w:lineRule="auto"/>
            </w:pPr>
            <w:r w:rsidRPr="004624D3">
              <w:t>13.5%</w:t>
            </w:r>
          </w:p>
        </w:tc>
        <w:tc>
          <w:tcPr>
            <w:tcW w:w="851" w:type="dxa"/>
            <w:shd w:val="clear" w:color="auto" w:fill="auto"/>
            <w:noWrap/>
            <w:vAlign w:val="bottom"/>
            <w:hideMark/>
          </w:tcPr>
          <w:p w14:paraId="46FBFCE4" w14:textId="77777777" w:rsidR="00E04B7D" w:rsidRPr="004624D3" w:rsidRDefault="00E04B7D" w:rsidP="0062265A">
            <w:pPr>
              <w:spacing w:after="0" w:line="276" w:lineRule="auto"/>
            </w:pPr>
            <w:r w:rsidRPr="004624D3">
              <w:t>37.2%</w:t>
            </w:r>
          </w:p>
        </w:tc>
        <w:tc>
          <w:tcPr>
            <w:tcW w:w="850" w:type="dxa"/>
            <w:shd w:val="clear" w:color="auto" w:fill="auto"/>
            <w:noWrap/>
            <w:vAlign w:val="bottom"/>
            <w:hideMark/>
          </w:tcPr>
          <w:p w14:paraId="4C21953D" w14:textId="77777777" w:rsidR="00E04B7D" w:rsidRPr="004624D3" w:rsidRDefault="00E04B7D" w:rsidP="0062265A">
            <w:pPr>
              <w:spacing w:after="0" w:line="276" w:lineRule="auto"/>
            </w:pPr>
            <w:r w:rsidRPr="004624D3">
              <w:t>14.9%</w:t>
            </w:r>
          </w:p>
        </w:tc>
        <w:tc>
          <w:tcPr>
            <w:tcW w:w="993" w:type="dxa"/>
            <w:shd w:val="clear" w:color="auto" w:fill="auto"/>
            <w:noWrap/>
            <w:vAlign w:val="bottom"/>
            <w:hideMark/>
          </w:tcPr>
          <w:p w14:paraId="3F6719E8" w14:textId="77777777" w:rsidR="00E04B7D" w:rsidRPr="004624D3" w:rsidRDefault="00E04B7D" w:rsidP="0062265A">
            <w:pPr>
              <w:spacing w:after="0" w:line="276" w:lineRule="auto"/>
            </w:pPr>
            <w:r w:rsidRPr="004624D3">
              <w:t>22.1%</w:t>
            </w:r>
          </w:p>
        </w:tc>
        <w:tc>
          <w:tcPr>
            <w:tcW w:w="992" w:type="dxa"/>
            <w:shd w:val="clear" w:color="auto" w:fill="auto"/>
            <w:noWrap/>
            <w:vAlign w:val="bottom"/>
            <w:hideMark/>
          </w:tcPr>
          <w:p w14:paraId="71599D77" w14:textId="77777777" w:rsidR="00E04B7D" w:rsidRPr="004624D3" w:rsidRDefault="00E04B7D" w:rsidP="0062265A">
            <w:pPr>
              <w:spacing w:after="0" w:line="276" w:lineRule="auto"/>
            </w:pPr>
            <w:r w:rsidRPr="004624D3">
              <w:t>100.0%</w:t>
            </w:r>
          </w:p>
        </w:tc>
        <w:tc>
          <w:tcPr>
            <w:tcW w:w="709" w:type="dxa"/>
            <w:shd w:val="clear" w:color="auto" w:fill="auto"/>
            <w:noWrap/>
            <w:vAlign w:val="bottom"/>
            <w:hideMark/>
          </w:tcPr>
          <w:p w14:paraId="15FAC350" w14:textId="77777777" w:rsidR="00E04B7D" w:rsidRPr="004624D3" w:rsidRDefault="00E04B7D" w:rsidP="0062265A">
            <w:pPr>
              <w:spacing w:after="0" w:line="276" w:lineRule="auto"/>
            </w:pPr>
            <w:r w:rsidRPr="004624D3">
              <w:t>1457</w:t>
            </w:r>
          </w:p>
        </w:tc>
        <w:tc>
          <w:tcPr>
            <w:tcW w:w="997" w:type="dxa"/>
            <w:shd w:val="clear" w:color="auto" w:fill="auto"/>
            <w:noWrap/>
            <w:vAlign w:val="bottom"/>
            <w:hideMark/>
          </w:tcPr>
          <w:p w14:paraId="502388E3" w14:textId="77777777" w:rsidR="00E04B7D" w:rsidRPr="004624D3" w:rsidRDefault="00E04B7D" w:rsidP="0062265A">
            <w:pPr>
              <w:spacing w:after="0" w:line="276" w:lineRule="auto"/>
            </w:pPr>
            <w:r w:rsidRPr="004624D3">
              <w:t>40.6%</w:t>
            </w:r>
          </w:p>
        </w:tc>
      </w:tr>
      <w:tr w:rsidR="006B70AD" w:rsidRPr="004624D3" w14:paraId="6268F116" w14:textId="77777777" w:rsidTr="00E23943">
        <w:trPr>
          <w:trHeight w:val="294"/>
        </w:trPr>
        <w:tc>
          <w:tcPr>
            <w:tcW w:w="1386" w:type="dxa"/>
            <w:shd w:val="clear" w:color="auto" w:fill="auto"/>
            <w:noWrap/>
            <w:vAlign w:val="bottom"/>
            <w:hideMark/>
          </w:tcPr>
          <w:p w14:paraId="0FB44C43" w14:textId="77777777" w:rsidR="00E04B7D" w:rsidRPr="004624D3" w:rsidRDefault="00E04B7D" w:rsidP="0062265A">
            <w:pPr>
              <w:spacing w:after="0" w:line="276" w:lineRule="auto"/>
            </w:pPr>
            <w:r w:rsidRPr="004624D3">
              <w:t>Sporadic/ intermittent carers</w:t>
            </w:r>
          </w:p>
        </w:tc>
        <w:tc>
          <w:tcPr>
            <w:tcW w:w="1022" w:type="dxa"/>
            <w:shd w:val="clear" w:color="auto" w:fill="auto"/>
            <w:noWrap/>
            <w:vAlign w:val="bottom"/>
            <w:hideMark/>
          </w:tcPr>
          <w:p w14:paraId="12DE5506" w14:textId="77777777" w:rsidR="00E04B7D" w:rsidRPr="004624D3" w:rsidRDefault="00E04B7D" w:rsidP="0062265A">
            <w:pPr>
              <w:spacing w:after="0" w:line="276" w:lineRule="auto"/>
            </w:pPr>
            <w:r w:rsidRPr="004624D3">
              <w:t>1 / 2</w:t>
            </w:r>
          </w:p>
        </w:tc>
        <w:tc>
          <w:tcPr>
            <w:tcW w:w="1526" w:type="dxa"/>
            <w:gridSpan w:val="3"/>
            <w:shd w:val="clear" w:color="auto" w:fill="auto"/>
            <w:noWrap/>
            <w:vAlign w:val="bottom"/>
            <w:hideMark/>
          </w:tcPr>
          <w:p w14:paraId="767080DF" w14:textId="1FD07A56" w:rsidR="00E04B7D" w:rsidRPr="004624D3" w:rsidRDefault="00E04B7D" w:rsidP="0062265A">
            <w:pPr>
              <w:spacing w:after="0" w:line="276" w:lineRule="auto"/>
            </w:pPr>
            <w:r w:rsidRPr="004624D3">
              <w:t>N</w:t>
            </w:r>
            <w:r w:rsidR="008C3D54" w:rsidRPr="004624D3">
              <w:t>-</w:t>
            </w:r>
            <w:r w:rsidRPr="004624D3">
              <w:t>C</w:t>
            </w:r>
            <w:r w:rsidR="008C3D54" w:rsidRPr="004624D3">
              <w:t>-</w:t>
            </w:r>
            <w:r w:rsidRPr="004624D3">
              <w:t>N / C</w:t>
            </w:r>
            <w:r w:rsidR="008C3D54" w:rsidRPr="004624D3">
              <w:t>-</w:t>
            </w:r>
            <w:r w:rsidRPr="004624D3">
              <w:t>N</w:t>
            </w:r>
            <w:r w:rsidR="008C3D54" w:rsidRPr="004624D3">
              <w:t>-</w:t>
            </w:r>
            <w:r w:rsidRPr="004624D3">
              <w:t>C</w:t>
            </w:r>
          </w:p>
        </w:tc>
        <w:tc>
          <w:tcPr>
            <w:tcW w:w="788" w:type="dxa"/>
            <w:shd w:val="clear" w:color="auto" w:fill="auto"/>
            <w:noWrap/>
            <w:vAlign w:val="bottom"/>
            <w:hideMark/>
          </w:tcPr>
          <w:p w14:paraId="550CE5F8" w14:textId="77777777" w:rsidR="00E04B7D" w:rsidRPr="004624D3" w:rsidRDefault="00E04B7D" w:rsidP="0062265A">
            <w:pPr>
              <w:spacing w:after="0" w:line="276" w:lineRule="auto"/>
            </w:pPr>
            <w:r w:rsidRPr="004624D3">
              <w:t>12.1%</w:t>
            </w:r>
          </w:p>
        </w:tc>
        <w:tc>
          <w:tcPr>
            <w:tcW w:w="850" w:type="dxa"/>
            <w:shd w:val="clear" w:color="auto" w:fill="auto"/>
            <w:noWrap/>
            <w:vAlign w:val="bottom"/>
            <w:hideMark/>
          </w:tcPr>
          <w:p w14:paraId="6ADF37C7" w14:textId="77777777" w:rsidR="00E04B7D" w:rsidRPr="004624D3" w:rsidRDefault="00E04B7D" w:rsidP="0062265A">
            <w:pPr>
              <w:spacing w:after="0" w:line="276" w:lineRule="auto"/>
            </w:pPr>
            <w:r w:rsidRPr="004624D3">
              <w:t>13.2%</w:t>
            </w:r>
          </w:p>
        </w:tc>
        <w:tc>
          <w:tcPr>
            <w:tcW w:w="851" w:type="dxa"/>
            <w:shd w:val="clear" w:color="auto" w:fill="auto"/>
            <w:noWrap/>
            <w:vAlign w:val="bottom"/>
            <w:hideMark/>
          </w:tcPr>
          <w:p w14:paraId="106BC196" w14:textId="77777777" w:rsidR="00E04B7D" w:rsidRPr="004624D3" w:rsidRDefault="00E04B7D" w:rsidP="0062265A">
            <w:pPr>
              <w:spacing w:after="0" w:line="276" w:lineRule="auto"/>
            </w:pPr>
            <w:r w:rsidRPr="004624D3">
              <w:t>38.9%</w:t>
            </w:r>
          </w:p>
        </w:tc>
        <w:tc>
          <w:tcPr>
            <w:tcW w:w="850" w:type="dxa"/>
            <w:shd w:val="clear" w:color="auto" w:fill="auto"/>
            <w:noWrap/>
            <w:vAlign w:val="bottom"/>
            <w:hideMark/>
          </w:tcPr>
          <w:p w14:paraId="10EE4760" w14:textId="77777777" w:rsidR="00E04B7D" w:rsidRPr="004624D3" w:rsidRDefault="00E04B7D" w:rsidP="0062265A">
            <w:pPr>
              <w:spacing w:after="0" w:line="276" w:lineRule="auto"/>
            </w:pPr>
            <w:r w:rsidRPr="004624D3">
              <w:t>15.0%</w:t>
            </w:r>
          </w:p>
        </w:tc>
        <w:tc>
          <w:tcPr>
            <w:tcW w:w="993" w:type="dxa"/>
            <w:shd w:val="clear" w:color="auto" w:fill="auto"/>
            <w:noWrap/>
            <w:vAlign w:val="bottom"/>
            <w:hideMark/>
          </w:tcPr>
          <w:p w14:paraId="2034E3FA" w14:textId="77777777" w:rsidR="00E04B7D" w:rsidRPr="004624D3" w:rsidRDefault="00E04B7D" w:rsidP="0062265A">
            <w:pPr>
              <w:spacing w:after="0" w:line="276" w:lineRule="auto"/>
            </w:pPr>
            <w:r w:rsidRPr="004624D3">
              <w:t>20.7%</w:t>
            </w:r>
          </w:p>
        </w:tc>
        <w:tc>
          <w:tcPr>
            <w:tcW w:w="992" w:type="dxa"/>
            <w:shd w:val="clear" w:color="auto" w:fill="auto"/>
            <w:noWrap/>
            <w:vAlign w:val="bottom"/>
            <w:hideMark/>
          </w:tcPr>
          <w:p w14:paraId="281AA6D8" w14:textId="77777777" w:rsidR="00E04B7D" w:rsidRPr="004624D3" w:rsidRDefault="00E04B7D" w:rsidP="0062265A">
            <w:pPr>
              <w:spacing w:after="0" w:line="276" w:lineRule="auto"/>
            </w:pPr>
            <w:r w:rsidRPr="004624D3">
              <w:t>100.0%</w:t>
            </w:r>
          </w:p>
        </w:tc>
        <w:tc>
          <w:tcPr>
            <w:tcW w:w="709" w:type="dxa"/>
            <w:shd w:val="clear" w:color="auto" w:fill="auto"/>
            <w:noWrap/>
            <w:vAlign w:val="bottom"/>
            <w:hideMark/>
          </w:tcPr>
          <w:p w14:paraId="217F68B7" w14:textId="77777777" w:rsidR="00E04B7D" w:rsidRPr="004624D3" w:rsidRDefault="00E04B7D" w:rsidP="0062265A">
            <w:pPr>
              <w:spacing w:after="0" w:line="276" w:lineRule="auto"/>
            </w:pPr>
            <w:r w:rsidRPr="004624D3">
              <w:t>552</w:t>
            </w:r>
          </w:p>
        </w:tc>
        <w:tc>
          <w:tcPr>
            <w:tcW w:w="997" w:type="dxa"/>
            <w:shd w:val="clear" w:color="auto" w:fill="auto"/>
            <w:noWrap/>
            <w:vAlign w:val="bottom"/>
            <w:hideMark/>
          </w:tcPr>
          <w:p w14:paraId="2FE0E975" w14:textId="77777777" w:rsidR="00E04B7D" w:rsidRPr="004624D3" w:rsidRDefault="00E04B7D" w:rsidP="0062265A">
            <w:pPr>
              <w:spacing w:after="0" w:line="276" w:lineRule="auto"/>
            </w:pPr>
            <w:r w:rsidRPr="004624D3">
              <w:t>15.4%</w:t>
            </w:r>
          </w:p>
        </w:tc>
      </w:tr>
      <w:tr w:rsidR="006B70AD" w:rsidRPr="004624D3" w14:paraId="1C5A4190" w14:textId="77777777" w:rsidTr="00E23943">
        <w:trPr>
          <w:trHeight w:val="294"/>
        </w:trPr>
        <w:tc>
          <w:tcPr>
            <w:tcW w:w="1386" w:type="dxa"/>
            <w:shd w:val="clear" w:color="auto" w:fill="auto"/>
            <w:noWrap/>
            <w:vAlign w:val="bottom"/>
            <w:hideMark/>
          </w:tcPr>
          <w:p w14:paraId="6EF5D30C" w14:textId="77777777" w:rsidR="00E04B7D" w:rsidRPr="004624D3" w:rsidRDefault="00E04B7D" w:rsidP="0062265A">
            <w:pPr>
              <w:spacing w:after="0" w:line="276" w:lineRule="auto"/>
            </w:pPr>
            <w:r w:rsidRPr="004624D3">
              <w:t>Stopped caring</w:t>
            </w:r>
          </w:p>
        </w:tc>
        <w:tc>
          <w:tcPr>
            <w:tcW w:w="1022" w:type="dxa"/>
            <w:shd w:val="clear" w:color="auto" w:fill="auto"/>
            <w:noWrap/>
            <w:vAlign w:val="bottom"/>
            <w:hideMark/>
          </w:tcPr>
          <w:p w14:paraId="67AE6F70" w14:textId="77777777" w:rsidR="00E04B7D" w:rsidRPr="004624D3" w:rsidRDefault="00E04B7D" w:rsidP="0062265A">
            <w:pPr>
              <w:spacing w:after="0" w:line="276" w:lineRule="auto"/>
            </w:pPr>
            <w:r w:rsidRPr="004624D3">
              <w:t xml:space="preserve"> 1 / 2</w:t>
            </w:r>
          </w:p>
        </w:tc>
        <w:tc>
          <w:tcPr>
            <w:tcW w:w="1526" w:type="dxa"/>
            <w:gridSpan w:val="3"/>
            <w:shd w:val="clear" w:color="auto" w:fill="auto"/>
            <w:noWrap/>
            <w:vAlign w:val="bottom"/>
            <w:hideMark/>
          </w:tcPr>
          <w:p w14:paraId="29F61419" w14:textId="7832B971" w:rsidR="00E04B7D" w:rsidRPr="004624D3" w:rsidRDefault="00E04B7D" w:rsidP="0062265A">
            <w:pPr>
              <w:spacing w:after="0" w:line="276" w:lineRule="auto"/>
            </w:pPr>
            <w:r w:rsidRPr="004624D3">
              <w:t>C</w:t>
            </w:r>
            <w:r w:rsidR="008C3D54" w:rsidRPr="004624D3">
              <w:t>-</w:t>
            </w:r>
            <w:r w:rsidRPr="004624D3">
              <w:t>N</w:t>
            </w:r>
            <w:r w:rsidR="008C3D54" w:rsidRPr="004624D3">
              <w:t>-</w:t>
            </w:r>
            <w:r w:rsidRPr="004624D3">
              <w:t>N / C</w:t>
            </w:r>
            <w:r w:rsidR="008C3D54" w:rsidRPr="004624D3">
              <w:t>-</w:t>
            </w:r>
            <w:r w:rsidRPr="004624D3">
              <w:t>C</w:t>
            </w:r>
            <w:r w:rsidR="008C3D54" w:rsidRPr="004624D3">
              <w:t>-</w:t>
            </w:r>
            <w:r w:rsidRPr="004624D3">
              <w:t>N</w:t>
            </w:r>
          </w:p>
        </w:tc>
        <w:tc>
          <w:tcPr>
            <w:tcW w:w="788" w:type="dxa"/>
            <w:shd w:val="clear" w:color="auto" w:fill="auto"/>
            <w:noWrap/>
            <w:vAlign w:val="bottom"/>
            <w:hideMark/>
          </w:tcPr>
          <w:p w14:paraId="606DD8F3" w14:textId="77777777" w:rsidR="00E04B7D" w:rsidRPr="004624D3" w:rsidRDefault="00E04B7D" w:rsidP="0062265A">
            <w:pPr>
              <w:spacing w:after="0" w:line="276" w:lineRule="auto"/>
            </w:pPr>
            <w:r w:rsidRPr="004624D3">
              <w:t>14.6%</w:t>
            </w:r>
          </w:p>
        </w:tc>
        <w:tc>
          <w:tcPr>
            <w:tcW w:w="850" w:type="dxa"/>
            <w:shd w:val="clear" w:color="auto" w:fill="auto"/>
            <w:noWrap/>
            <w:vAlign w:val="bottom"/>
            <w:hideMark/>
          </w:tcPr>
          <w:p w14:paraId="7128C242" w14:textId="77777777" w:rsidR="00E04B7D" w:rsidRPr="004624D3" w:rsidRDefault="00E04B7D" w:rsidP="0062265A">
            <w:pPr>
              <w:spacing w:after="0" w:line="276" w:lineRule="auto"/>
            </w:pPr>
            <w:r w:rsidRPr="004624D3">
              <w:t>12.0%</w:t>
            </w:r>
          </w:p>
        </w:tc>
        <w:tc>
          <w:tcPr>
            <w:tcW w:w="851" w:type="dxa"/>
            <w:shd w:val="clear" w:color="auto" w:fill="auto"/>
            <w:noWrap/>
            <w:vAlign w:val="bottom"/>
            <w:hideMark/>
          </w:tcPr>
          <w:p w14:paraId="43B151F7" w14:textId="77777777" w:rsidR="00E04B7D" w:rsidRPr="004624D3" w:rsidRDefault="00E04B7D" w:rsidP="0062265A">
            <w:pPr>
              <w:spacing w:after="0" w:line="276" w:lineRule="auto"/>
            </w:pPr>
            <w:r w:rsidRPr="004624D3">
              <w:t>37.2%</w:t>
            </w:r>
          </w:p>
        </w:tc>
        <w:tc>
          <w:tcPr>
            <w:tcW w:w="850" w:type="dxa"/>
            <w:shd w:val="clear" w:color="auto" w:fill="auto"/>
            <w:noWrap/>
            <w:vAlign w:val="bottom"/>
            <w:hideMark/>
          </w:tcPr>
          <w:p w14:paraId="04A25178" w14:textId="77777777" w:rsidR="00E04B7D" w:rsidRPr="004624D3" w:rsidRDefault="00E04B7D" w:rsidP="0062265A">
            <w:pPr>
              <w:spacing w:after="0" w:line="276" w:lineRule="auto"/>
            </w:pPr>
            <w:r w:rsidRPr="004624D3">
              <w:t>13.9%</w:t>
            </w:r>
          </w:p>
        </w:tc>
        <w:tc>
          <w:tcPr>
            <w:tcW w:w="993" w:type="dxa"/>
            <w:shd w:val="clear" w:color="auto" w:fill="auto"/>
            <w:noWrap/>
            <w:vAlign w:val="bottom"/>
            <w:hideMark/>
          </w:tcPr>
          <w:p w14:paraId="621C08D0" w14:textId="77777777" w:rsidR="00E04B7D" w:rsidRPr="004624D3" w:rsidRDefault="00E04B7D" w:rsidP="0062265A">
            <w:pPr>
              <w:spacing w:after="0" w:line="276" w:lineRule="auto"/>
            </w:pPr>
            <w:r w:rsidRPr="004624D3">
              <w:t>22.3%</w:t>
            </w:r>
          </w:p>
        </w:tc>
        <w:tc>
          <w:tcPr>
            <w:tcW w:w="992" w:type="dxa"/>
            <w:shd w:val="clear" w:color="auto" w:fill="auto"/>
            <w:noWrap/>
            <w:vAlign w:val="bottom"/>
            <w:hideMark/>
          </w:tcPr>
          <w:p w14:paraId="688AF172" w14:textId="77777777" w:rsidR="00E04B7D" w:rsidRPr="004624D3" w:rsidRDefault="00E04B7D" w:rsidP="0062265A">
            <w:pPr>
              <w:spacing w:after="0" w:line="276" w:lineRule="auto"/>
            </w:pPr>
            <w:r w:rsidRPr="004624D3">
              <w:t>100.0%</w:t>
            </w:r>
          </w:p>
        </w:tc>
        <w:tc>
          <w:tcPr>
            <w:tcW w:w="709" w:type="dxa"/>
            <w:shd w:val="clear" w:color="auto" w:fill="auto"/>
            <w:noWrap/>
            <w:vAlign w:val="bottom"/>
            <w:hideMark/>
          </w:tcPr>
          <w:p w14:paraId="355D931B" w14:textId="77777777" w:rsidR="00E04B7D" w:rsidRPr="004624D3" w:rsidRDefault="00E04B7D" w:rsidP="0062265A">
            <w:pPr>
              <w:spacing w:after="0" w:line="276" w:lineRule="auto"/>
            </w:pPr>
            <w:r w:rsidRPr="004624D3">
              <w:t>274</w:t>
            </w:r>
          </w:p>
        </w:tc>
        <w:tc>
          <w:tcPr>
            <w:tcW w:w="997" w:type="dxa"/>
            <w:shd w:val="clear" w:color="auto" w:fill="auto"/>
            <w:noWrap/>
            <w:vAlign w:val="bottom"/>
            <w:hideMark/>
          </w:tcPr>
          <w:p w14:paraId="61E153D7" w14:textId="77777777" w:rsidR="00E04B7D" w:rsidRPr="004624D3" w:rsidRDefault="00E04B7D" w:rsidP="0062265A">
            <w:pPr>
              <w:spacing w:after="0" w:line="276" w:lineRule="auto"/>
            </w:pPr>
            <w:r w:rsidRPr="004624D3">
              <w:t>7.6%</w:t>
            </w:r>
          </w:p>
        </w:tc>
      </w:tr>
      <w:tr w:rsidR="006B70AD" w:rsidRPr="004624D3" w14:paraId="15B4CD64" w14:textId="77777777" w:rsidTr="00E23943">
        <w:trPr>
          <w:trHeight w:val="294"/>
        </w:trPr>
        <w:tc>
          <w:tcPr>
            <w:tcW w:w="1386" w:type="dxa"/>
            <w:shd w:val="clear" w:color="auto" w:fill="auto"/>
            <w:noWrap/>
            <w:vAlign w:val="bottom"/>
            <w:hideMark/>
          </w:tcPr>
          <w:p w14:paraId="4D91FEB7" w14:textId="77777777" w:rsidR="00E04B7D" w:rsidRPr="004624D3" w:rsidRDefault="00E04B7D" w:rsidP="0062265A">
            <w:pPr>
              <w:spacing w:after="0" w:line="276" w:lineRule="auto"/>
            </w:pPr>
            <w:r w:rsidRPr="004624D3">
              <w:t>Non carers</w:t>
            </w:r>
          </w:p>
        </w:tc>
        <w:tc>
          <w:tcPr>
            <w:tcW w:w="1022" w:type="dxa"/>
            <w:shd w:val="clear" w:color="auto" w:fill="auto"/>
            <w:noWrap/>
            <w:vAlign w:val="bottom"/>
            <w:hideMark/>
          </w:tcPr>
          <w:p w14:paraId="74E57E4E" w14:textId="77777777" w:rsidR="00E04B7D" w:rsidRPr="004624D3" w:rsidRDefault="00E04B7D" w:rsidP="0062265A">
            <w:pPr>
              <w:spacing w:after="0" w:line="276" w:lineRule="auto"/>
            </w:pPr>
            <w:r w:rsidRPr="004624D3">
              <w:t>0</w:t>
            </w:r>
          </w:p>
        </w:tc>
        <w:tc>
          <w:tcPr>
            <w:tcW w:w="490" w:type="dxa"/>
            <w:shd w:val="clear" w:color="auto" w:fill="auto"/>
            <w:noWrap/>
            <w:vAlign w:val="bottom"/>
            <w:hideMark/>
          </w:tcPr>
          <w:p w14:paraId="232B6FA6" w14:textId="77777777" w:rsidR="00E04B7D" w:rsidRPr="004624D3" w:rsidRDefault="00E04B7D" w:rsidP="0062265A">
            <w:pPr>
              <w:spacing w:after="0" w:line="276" w:lineRule="auto"/>
            </w:pPr>
            <w:r w:rsidRPr="004624D3">
              <w:t>N</w:t>
            </w:r>
          </w:p>
        </w:tc>
        <w:tc>
          <w:tcPr>
            <w:tcW w:w="504" w:type="dxa"/>
            <w:shd w:val="clear" w:color="auto" w:fill="auto"/>
            <w:noWrap/>
            <w:vAlign w:val="bottom"/>
            <w:hideMark/>
          </w:tcPr>
          <w:p w14:paraId="5466E9C7" w14:textId="77777777" w:rsidR="00E04B7D" w:rsidRPr="004624D3" w:rsidRDefault="00E04B7D" w:rsidP="0062265A">
            <w:pPr>
              <w:spacing w:after="0" w:line="276" w:lineRule="auto"/>
            </w:pPr>
            <w:r w:rsidRPr="004624D3">
              <w:t>N</w:t>
            </w:r>
          </w:p>
        </w:tc>
        <w:tc>
          <w:tcPr>
            <w:tcW w:w="532" w:type="dxa"/>
            <w:shd w:val="clear" w:color="auto" w:fill="auto"/>
            <w:noWrap/>
            <w:vAlign w:val="bottom"/>
            <w:hideMark/>
          </w:tcPr>
          <w:p w14:paraId="0B235329" w14:textId="77777777" w:rsidR="00E04B7D" w:rsidRPr="004624D3" w:rsidRDefault="00E04B7D" w:rsidP="0062265A">
            <w:pPr>
              <w:spacing w:after="0" w:line="276" w:lineRule="auto"/>
            </w:pPr>
            <w:r w:rsidRPr="004624D3">
              <w:t>N</w:t>
            </w:r>
          </w:p>
        </w:tc>
        <w:tc>
          <w:tcPr>
            <w:tcW w:w="788" w:type="dxa"/>
            <w:shd w:val="clear" w:color="auto" w:fill="auto"/>
            <w:noWrap/>
            <w:vAlign w:val="bottom"/>
            <w:hideMark/>
          </w:tcPr>
          <w:p w14:paraId="6539F388" w14:textId="77777777" w:rsidR="00E04B7D" w:rsidRPr="004624D3" w:rsidRDefault="00E04B7D" w:rsidP="0062265A">
            <w:pPr>
              <w:spacing w:after="0" w:line="276" w:lineRule="auto"/>
            </w:pPr>
            <w:r w:rsidRPr="004624D3">
              <w:t>12.9%</w:t>
            </w:r>
          </w:p>
        </w:tc>
        <w:tc>
          <w:tcPr>
            <w:tcW w:w="850" w:type="dxa"/>
            <w:shd w:val="clear" w:color="auto" w:fill="auto"/>
            <w:noWrap/>
            <w:vAlign w:val="bottom"/>
            <w:hideMark/>
          </w:tcPr>
          <w:p w14:paraId="7B40859D" w14:textId="77777777" w:rsidR="00E04B7D" w:rsidRPr="004624D3" w:rsidRDefault="00E04B7D" w:rsidP="0062265A">
            <w:pPr>
              <w:spacing w:after="0" w:line="276" w:lineRule="auto"/>
            </w:pPr>
            <w:r w:rsidRPr="004624D3">
              <w:t>12.2%</w:t>
            </w:r>
          </w:p>
        </w:tc>
        <w:tc>
          <w:tcPr>
            <w:tcW w:w="851" w:type="dxa"/>
            <w:shd w:val="clear" w:color="auto" w:fill="auto"/>
            <w:noWrap/>
            <w:vAlign w:val="bottom"/>
            <w:hideMark/>
          </w:tcPr>
          <w:p w14:paraId="7552D6BC" w14:textId="77777777" w:rsidR="00E04B7D" w:rsidRPr="004624D3" w:rsidRDefault="00E04B7D" w:rsidP="0062265A">
            <w:pPr>
              <w:spacing w:after="0" w:line="276" w:lineRule="auto"/>
            </w:pPr>
            <w:r w:rsidRPr="004624D3">
              <w:t>36.1%</w:t>
            </w:r>
          </w:p>
        </w:tc>
        <w:tc>
          <w:tcPr>
            <w:tcW w:w="850" w:type="dxa"/>
            <w:shd w:val="clear" w:color="auto" w:fill="auto"/>
            <w:noWrap/>
            <w:vAlign w:val="bottom"/>
            <w:hideMark/>
          </w:tcPr>
          <w:p w14:paraId="0604F07F" w14:textId="77777777" w:rsidR="00E04B7D" w:rsidRPr="004624D3" w:rsidRDefault="00E04B7D" w:rsidP="0062265A">
            <w:pPr>
              <w:spacing w:after="0" w:line="276" w:lineRule="auto"/>
            </w:pPr>
            <w:r w:rsidRPr="004624D3">
              <w:t>15.8%</w:t>
            </w:r>
          </w:p>
        </w:tc>
        <w:tc>
          <w:tcPr>
            <w:tcW w:w="993" w:type="dxa"/>
            <w:shd w:val="clear" w:color="auto" w:fill="auto"/>
            <w:noWrap/>
            <w:vAlign w:val="bottom"/>
            <w:hideMark/>
          </w:tcPr>
          <w:p w14:paraId="068AF7E8" w14:textId="77777777" w:rsidR="00E04B7D" w:rsidRPr="004624D3" w:rsidRDefault="00E04B7D" w:rsidP="0062265A">
            <w:pPr>
              <w:spacing w:after="0" w:line="276" w:lineRule="auto"/>
            </w:pPr>
            <w:r w:rsidRPr="004624D3">
              <w:t>22.9%</w:t>
            </w:r>
          </w:p>
        </w:tc>
        <w:tc>
          <w:tcPr>
            <w:tcW w:w="992" w:type="dxa"/>
            <w:shd w:val="clear" w:color="auto" w:fill="auto"/>
            <w:noWrap/>
            <w:vAlign w:val="bottom"/>
            <w:hideMark/>
          </w:tcPr>
          <w:p w14:paraId="1C552280" w14:textId="77777777" w:rsidR="00E04B7D" w:rsidRPr="004624D3" w:rsidRDefault="00E04B7D" w:rsidP="0062265A">
            <w:pPr>
              <w:spacing w:after="0" w:line="276" w:lineRule="auto"/>
            </w:pPr>
            <w:r w:rsidRPr="004624D3">
              <w:t>100.0%</w:t>
            </w:r>
          </w:p>
        </w:tc>
        <w:tc>
          <w:tcPr>
            <w:tcW w:w="709" w:type="dxa"/>
            <w:shd w:val="clear" w:color="auto" w:fill="auto"/>
            <w:noWrap/>
            <w:vAlign w:val="bottom"/>
            <w:hideMark/>
          </w:tcPr>
          <w:p w14:paraId="09194A37" w14:textId="77777777" w:rsidR="00E04B7D" w:rsidRPr="004624D3" w:rsidRDefault="00E04B7D" w:rsidP="0062265A">
            <w:pPr>
              <w:spacing w:after="0" w:line="276" w:lineRule="auto"/>
            </w:pPr>
            <w:r w:rsidRPr="004624D3">
              <w:t>1054</w:t>
            </w:r>
          </w:p>
        </w:tc>
        <w:tc>
          <w:tcPr>
            <w:tcW w:w="997" w:type="dxa"/>
            <w:shd w:val="clear" w:color="auto" w:fill="auto"/>
            <w:noWrap/>
            <w:vAlign w:val="bottom"/>
            <w:hideMark/>
          </w:tcPr>
          <w:p w14:paraId="2A40DEEC" w14:textId="77777777" w:rsidR="00E04B7D" w:rsidRPr="004624D3" w:rsidRDefault="00E04B7D" w:rsidP="0062265A">
            <w:pPr>
              <w:spacing w:after="0" w:line="276" w:lineRule="auto"/>
            </w:pPr>
            <w:r w:rsidRPr="004624D3">
              <w:t>29.4%</w:t>
            </w:r>
          </w:p>
        </w:tc>
      </w:tr>
      <w:tr w:rsidR="006B70AD" w:rsidRPr="004624D3" w14:paraId="59967CE6" w14:textId="77777777" w:rsidTr="00E23943">
        <w:trPr>
          <w:trHeight w:val="294"/>
        </w:trPr>
        <w:tc>
          <w:tcPr>
            <w:tcW w:w="1386" w:type="dxa"/>
            <w:shd w:val="clear" w:color="auto" w:fill="auto"/>
            <w:noWrap/>
            <w:vAlign w:val="bottom"/>
            <w:hideMark/>
          </w:tcPr>
          <w:p w14:paraId="54383E02" w14:textId="77777777" w:rsidR="00E04B7D" w:rsidRPr="004624D3" w:rsidRDefault="00E04B7D" w:rsidP="0062265A">
            <w:pPr>
              <w:spacing w:after="0" w:line="276" w:lineRule="auto"/>
            </w:pPr>
            <w:r w:rsidRPr="004624D3">
              <w:t>Total</w:t>
            </w:r>
          </w:p>
        </w:tc>
        <w:tc>
          <w:tcPr>
            <w:tcW w:w="1022" w:type="dxa"/>
            <w:shd w:val="clear" w:color="auto" w:fill="auto"/>
            <w:noWrap/>
            <w:vAlign w:val="bottom"/>
            <w:hideMark/>
          </w:tcPr>
          <w:p w14:paraId="0CAFB3E9" w14:textId="77777777" w:rsidR="00E04B7D" w:rsidRPr="004624D3" w:rsidRDefault="00E04B7D" w:rsidP="0062265A">
            <w:pPr>
              <w:spacing w:after="0" w:line="276" w:lineRule="auto"/>
            </w:pPr>
            <w:r w:rsidRPr="004624D3">
              <w:t> </w:t>
            </w:r>
          </w:p>
        </w:tc>
        <w:tc>
          <w:tcPr>
            <w:tcW w:w="490" w:type="dxa"/>
            <w:shd w:val="clear" w:color="auto" w:fill="auto"/>
            <w:noWrap/>
            <w:vAlign w:val="bottom"/>
            <w:hideMark/>
          </w:tcPr>
          <w:p w14:paraId="4B95BBAC" w14:textId="77777777" w:rsidR="00E04B7D" w:rsidRPr="004624D3" w:rsidRDefault="00E04B7D" w:rsidP="0062265A">
            <w:pPr>
              <w:spacing w:after="0" w:line="276" w:lineRule="auto"/>
            </w:pPr>
            <w:r w:rsidRPr="004624D3">
              <w:t> </w:t>
            </w:r>
          </w:p>
        </w:tc>
        <w:tc>
          <w:tcPr>
            <w:tcW w:w="504" w:type="dxa"/>
            <w:shd w:val="clear" w:color="auto" w:fill="auto"/>
            <w:noWrap/>
            <w:vAlign w:val="bottom"/>
            <w:hideMark/>
          </w:tcPr>
          <w:p w14:paraId="4A4DA102" w14:textId="77777777" w:rsidR="00E04B7D" w:rsidRPr="004624D3" w:rsidRDefault="00E04B7D" w:rsidP="0062265A">
            <w:pPr>
              <w:spacing w:after="0" w:line="276" w:lineRule="auto"/>
            </w:pPr>
            <w:r w:rsidRPr="004624D3">
              <w:t> </w:t>
            </w:r>
          </w:p>
        </w:tc>
        <w:tc>
          <w:tcPr>
            <w:tcW w:w="532" w:type="dxa"/>
            <w:shd w:val="clear" w:color="auto" w:fill="auto"/>
            <w:noWrap/>
            <w:vAlign w:val="bottom"/>
            <w:hideMark/>
          </w:tcPr>
          <w:p w14:paraId="1F26964E" w14:textId="77777777" w:rsidR="00E04B7D" w:rsidRPr="004624D3" w:rsidRDefault="00E04B7D" w:rsidP="0062265A">
            <w:pPr>
              <w:spacing w:after="0" w:line="276" w:lineRule="auto"/>
            </w:pPr>
            <w:r w:rsidRPr="004624D3">
              <w:t> </w:t>
            </w:r>
          </w:p>
        </w:tc>
        <w:tc>
          <w:tcPr>
            <w:tcW w:w="788" w:type="dxa"/>
            <w:shd w:val="clear" w:color="auto" w:fill="auto"/>
            <w:noWrap/>
            <w:vAlign w:val="bottom"/>
            <w:hideMark/>
          </w:tcPr>
          <w:p w14:paraId="2660FA3D" w14:textId="77777777" w:rsidR="00E04B7D" w:rsidRPr="004624D3" w:rsidRDefault="00E04B7D" w:rsidP="0062265A">
            <w:pPr>
              <w:spacing w:after="0" w:line="276" w:lineRule="auto"/>
            </w:pPr>
            <w:r w:rsidRPr="004624D3">
              <w:t>12.4%</w:t>
            </w:r>
          </w:p>
        </w:tc>
        <w:tc>
          <w:tcPr>
            <w:tcW w:w="850" w:type="dxa"/>
            <w:shd w:val="clear" w:color="auto" w:fill="auto"/>
            <w:noWrap/>
            <w:vAlign w:val="bottom"/>
            <w:hideMark/>
          </w:tcPr>
          <w:p w14:paraId="716CD012" w14:textId="77777777" w:rsidR="00E04B7D" w:rsidRPr="004624D3" w:rsidRDefault="00E04B7D" w:rsidP="0062265A">
            <w:pPr>
              <w:spacing w:after="0" w:line="276" w:lineRule="auto"/>
            </w:pPr>
            <w:r w:rsidRPr="004624D3">
              <w:t>12.8%</w:t>
            </w:r>
          </w:p>
        </w:tc>
        <w:tc>
          <w:tcPr>
            <w:tcW w:w="851" w:type="dxa"/>
            <w:shd w:val="clear" w:color="auto" w:fill="auto"/>
            <w:noWrap/>
            <w:vAlign w:val="bottom"/>
            <w:hideMark/>
          </w:tcPr>
          <w:p w14:paraId="7677418A" w14:textId="77777777" w:rsidR="00E04B7D" w:rsidRPr="004624D3" w:rsidRDefault="00E04B7D" w:rsidP="0062265A">
            <w:pPr>
              <w:spacing w:after="0" w:line="276" w:lineRule="auto"/>
            </w:pPr>
            <w:r w:rsidRPr="004624D3">
              <w:t>37.6%</w:t>
            </w:r>
          </w:p>
        </w:tc>
        <w:tc>
          <w:tcPr>
            <w:tcW w:w="850" w:type="dxa"/>
            <w:shd w:val="clear" w:color="auto" w:fill="auto"/>
            <w:noWrap/>
            <w:vAlign w:val="bottom"/>
            <w:hideMark/>
          </w:tcPr>
          <w:p w14:paraId="581A46D7" w14:textId="77777777" w:rsidR="00E04B7D" w:rsidRPr="004624D3" w:rsidRDefault="00E04B7D" w:rsidP="0062265A">
            <w:pPr>
              <w:spacing w:after="0" w:line="276" w:lineRule="auto"/>
            </w:pPr>
            <w:r w:rsidRPr="004624D3">
              <w:t>14.9%</w:t>
            </w:r>
          </w:p>
        </w:tc>
        <w:tc>
          <w:tcPr>
            <w:tcW w:w="993" w:type="dxa"/>
            <w:shd w:val="clear" w:color="auto" w:fill="auto"/>
            <w:noWrap/>
            <w:vAlign w:val="bottom"/>
            <w:hideMark/>
          </w:tcPr>
          <w:p w14:paraId="031C7BC1" w14:textId="77777777" w:rsidR="00E04B7D" w:rsidRPr="004624D3" w:rsidRDefault="00E04B7D" w:rsidP="0062265A">
            <w:pPr>
              <w:spacing w:after="0" w:line="276" w:lineRule="auto"/>
            </w:pPr>
            <w:r w:rsidRPr="004624D3">
              <w:t>22.3%</w:t>
            </w:r>
          </w:p>
        </w:tc>
        <w:tc>
          <w:tcPr>
            <w:tcW w:w="992" w:type="dxa"/>
            <w:shd w:val="clear" w:color="auto" w:fill="auto"/>
            <w:noWrap/>
            <w:vAlign w:val="bottom"/>
            <w:hideMark/>
          </w:tcPr>
          <w:p w14:paraId="76C43FD3" w14:textId="77777777" w:rsidR="00E04B7D" w:rsidRPr="004624D3" w:rsidRDefault="00E04B7D" w:rsidP="0062265A">
            <w:pPr>
              <w:spacing w:after="0" w:line="276" w:lineRule="auto"/>
            </w:pPr>
            <w:r w:rsidRPr="004624D3">
              <w:t>100.0%</w:t>
            </w:r>
          </w:p>
        </w:tc>
        <w:tc>
          <w:tcPr>
            <w:tcW w:w="709" w:type="dxa"/>
            <w:shd w:val="clear" w:color="auto" w:fill="auto"/>
            <w:noWrap/>
            <w:vAlign w:val="bottom"/>
            <w:hideMark/>
          </w:tcPr>
          <w:p w14:paraId="61D18201" w14:textId="77777777" w:rsidR="00E04B7D" w:rsidRPr="004624D3" w:rsidRDefault="00E04B7D" w:rsidP="0062265A">
            <w:pPr>
              <w:spacing w:after="0" w:line="276" w:lineRule="auto"/>
            </w:pPr>
            <w:r w:rsidRPr="004624D3">
              <w:t>3591</w:t>
            </w:r>
          </w:p>
        </w:tc>
        <w:tc>
          <w:tcPr>
            <w:tcW w:w="997" w:type="dxa"/>
            <w:shd w:val="clear" w:color="auto" w:fill="auto"/>
            <w:noWrap/>
            <w:vAlign w:val="bottom"/>
            <w:hideMark/>
          </w:tcPr>
          <w:p w14:paraId="3D7556FA" w14:textId="77777777" w:rsidR="00E04B7D" w:rsidRPr="004624D3" w:rsidRDefault="00E04B7D" w:rsidP="0062265A">
            <w:pPr>
              <w:spacing w:after="0" w:line="276" w:lineRule="auto"/>
            </w:pPr>
            <w:r w:rsidRPr="004624D3">
              <w:t>100.0%</w:t>
            </w:r>
          </w:p>
        </w:tc>
      </w:tr>
    </w:tbl>
    <w:p w14:paraId="6A57B84F" w14:textId="5E93131C" w:rsidR="0056444B" w:rsidRPr="004624D3" w:rsidRDefault="0056444B" w:rsidP="0062265A">
      <w:pPr>
        <w:spacing w:after="0" w:line="276" w:lineRule="auto"/>
      </w:pPr>
      <w:r w:rsidRPr="004624D3">
        <w:t>Note: C= Caring; N= Not caring</w:t>
      </w:r>
    </w:p>
    <w:p w14:paraId="552B9BA9" w14:textId="3BACAC38" w:rsidR="00E04B7D" w:rsidRPr="004624D3" w:rsidRDefault="00BC1A59" w:rsidP="0062265A">
      <w:pPr>
        <w:spacing w:after="0" w:line="276" w:lineRule="auto"/>
      </w:pPr>
      <w:r w:rsidRPr="004624D3">
        <w:t>Source: Authors’ analysis of the NCDS.</w:t>
      </w:r>
    </w:p>
    <w:p w14:paraId="75BC778B" w14:textId="248FC200" w:rsidR="00BC1A59" w:rsidRPr="004624D3" w:rsidRDefault="00BC1A59" w:rsidP="0062265A">
      <w:pPr>
        <w:spacing w:after="0" w:line="276" w:lineRule="auto"/>
      </w:pPr>
    </w:p>
    <w:p w14:paraId="3A124CDF" w14:textId="77777777" w:rsidR="00E91999" w:rsidRPr="004624D3" w:rsidRDefault="00E91999" w:rsidP="0062265A">
      <w:pPr>
        <w:spacing w:after="0" w:line="276" w:lineRule="auto"/>
      </w:pPr>
    </w:p>
    <w:p w14:paraId="5DB0EE7D" w14:textId="77777777" w:rsidR="00DD1FF7" w:rsidRPr="004624D3" w:rsidRDefault="00DD1FF7">
      <w:bookmarkStart w:id="5" w:name="_Hlk23926446"/>
      <w:r w:rsidRPr="004624D3">
        <w:br w:type="page"/>
      </w:r>
    </w:p>
    <w:p w14:paraId="233E10B1" w14:textId="6B5958CF" w:rsidR="00525C0E" w:rsidRPr="004624D3" w:rsidRDefault="00715A4B" w:rsidP="0062265A">
      <w:pPr>
        <w:spacing w:after="0" w:line="276" w:lineRule="auto"/>
      </w:pPr>
      <w:r w:rsidRPr="004624D3">
        <w:lastRenderedPageBreak/>
        <w:t xml:space="preserve">Supplementary </w:t>
      </w:r>
      <w:r w:rsidR="00525C0E" w:rsidRPr="004624D3">
        <w:t xml:space="preserve">Table </w:t>
      </w:r>
      <w:r w:rsidRPr="004624D3">
        <w:t>4</w:t>
      </w:r>
      <w:r w:rsidR="00525C0E" w:rsidRPr="004624D3">
        <w:t>: Logistic regression showing the predictors of (a) depression and (b) self-reported poor health at age 55</w:t>
      </w:r>
      <w:r w:rsidRPr="004624D3">
        <w:t>, Men.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2976"/>
        <w:gridCol w:w="3691"/>
      </w:tblGrid>
      <w:tr w:rsidR="00DD707F" w:rsidRPr="004624D3" w14:paraId="5DBAF819" w14:textId="77777777" w:rsidTr="0056444B">
        <w:trPr>
          <w:trHeight w:val="915"/>
        </w:trPr>
        <w:tc>
          <w:tcPr>
            <w:tcW w:w="3256" w:type="dxa"/>
            <w:shd w:val="clear" w:color="auto" w:fill="auto"/>
            <w:vAlign w:val="center"/>
            <w:hideMark/>
          </w:tcPr>
          <w:p w14:paraId="478C457E"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 </w:t>
            </w:r>
          </w:p>
        </w:tc>
        <w:tc>
          <w:tcPr>
            <w:tcW w:w="2976" w:type="dxa"/>
            <w:shd w:val="clear" w:color="auto" w:fill="auto"/>
            <w:vAlign w:val="center"/>
            <w:hideMark/>
          </w:tcPr>
          <w:p w14:paraId="29F0B004" w14:textId="77777777" w:rsidR="00897784" w:rsidRPr="004624D3" w:rsidRDefault="00DD707F" w:rsidP="0062265A">
            <w:pPr>
              <w:spacing w:after="0" w:line="276" w:lineRule="auto"/>
              <w:jc w:val="center"/>
              <w:rPr>
                <w:rFonts w:ascii="Calibri" w:eastAsia="Times New Roman" w:hAnsi="Calibri" w:cs="Calibri"/>
                <w:color w:val="000000"/>
                <w:lang w:eastAsia="es-ES"/>
              </w:rPr>
            </w:pPr>
            <w:r w:rsidRPr="004624D3">
              <w:rPr>
                <w:rFonts w:ascii="Calibri" w:eastAsia="Times New Roman" w:hAnsi="Calibri" w:cs="Calibri"/>
                <w:color w:val="000000"/>
                <w:lang w:eastAsia="es-ES"/>
              </w:rPr>
              <w:t>(a)</w:t>
            </w:r>
            <w:r w:rsidRPr="004624D3">
              <w:rPr>
                <w:rFonts w:ascii="Times New Roman" w:eastAsia="Times New Roman" w:hAnsi="Times New Roman" w:cs="Times New Roman"/>
                <w:color w:val="000000"/>
                <w:sz w:val="14"/>
                <w:szCs w:val="14"/>
                <w:lang w:eastAsia="es-ES"/>
              </w:rPr>
              <w:t xml:space="preserve">    </w:t>
            </w:r>
            <w:r w:rsidRPr="004624D3">
              <w:rPr>
                <w:rFonts w:ascii="Calibri" w:eastAsia="Times New Roman" w:hAnsi="Calibri" w:cs="Calibri"/>
                <w:color w:val="000000"/>
                <w:lang w:eastAsia="es-ES"/>
              </w:rPr>
              <w:t xml:space="preserve">Depression </w:t>
            </w:r>
          </w:p>
          <w:p w14:paraId="6B52BFB9" w14:textId="4CFD3BEC" w:rsidR="00DD707F" w:rsidRPr="004624D3" w:rsidRDefault="00DD707F" w:rsidP="0062265A">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eastAsia="es-ES"/>
              </w:rPr>
              <w:t>at age 55</w:t>
            </w:r>
          </w:p>
        </w:tc>
        <w:tc>
          <w:tcPr>
            <w:tcW w:w="3691" w:type="dxa"/>
            <w:shd w:val="clear" w:color="auto" w:fill="auto"/>
            <w:vAlign w:val="center"/>
            <w:hideMark/>
          </w:tcPr>
          <w:p w14:paraId="0897C46B" w14:textId="77777777" w:rsidR="00897784" w:rsidRPr="004624D3" w:rsidRDefault="00DD707F" w:rsidP="0062265A">
            <w:pPr>
              <w:spacing w:after="0" w:line="276" w:lineRule="auto"/>
              <w:jc w:val="center"/>
              <w:rPr>
                <w:rFonts w:ascii="Calibri" w:eastAsia="Times New Roman" w:hAnsi="Calibri" w:cs="Calibri"/>
                <w:color w:val="000000"/>
                <w:lang w:eastAsia="es-ES"/>
              </w:rPr>
            </w:pPr>
            <w:r w:rsidRPr="004624D3">
              <w:rPr>
                <w:rFonts w:ascii="Calibri" w:eastAsia="Times New Roman" w:hAnsi="Calibri" w:cs="Calibri"/>
                <w:color w:val="000000"/>
                <w:lang w:eastAsia="es-ES"/>
              </w:rPr>
              <w:t>(b)</w:t>
            </w:r>
            <w:r w:rsidRPr="004624D3">
              <w:rPr>
                <w:rFonts w:ascii="Times New Roman" w:eastAsia="Times New Roman" w:hAnsi="Times New Roman" w:cs="Times New Roman"/>
                <w:color w:val="000000"/>
                <w:sz w:val="14"/>
                <w:szCs w:val="14"/>
                <w:lang w:eastAsia="es-ES"/>
              </w:rPr>
              <w:t xml:space="preserve">    </w:t>
            </w:r>
            <w:r w:rsidRPr="004624D3">
              <w:rPr>
                <w:rFonts w:ascii="Calibri" w:eastAsia="Times New Roman" w:hAnsi="Calibri" w:cs="Calibri"/>
                <w:color w:val="000000"/>
                <w:lang w:eastAsia="es-ES"/>
              </w:rPr>
              <w:t xml:space="preserve">Self-reported poor health </w:t>
            </w:r>
          </w:p>
          <w:p w14:paraId="60920AF3" w14:textId="7B9E7267" w:rsidR="00DD707F" w:rsidRPr="004624D3" w:rsidRDefault="00DD707F" w:rsidP="0062265A">
            <w:pPr>
              <w:spacing w:after="0" w:line="276" w:lineRule="auto"/>
              <w:jc w:val="center"/>
              <w:rPr>
                <w:rFonts w:ascii="Calibri" w:eastAsia="Times New Roman" w:hAnsi="Calibri" w:cs="Calibri"/>
                <w:color w:val="000000"/>
                <w:lang w:eastAsia="es-ES"/>
              </w:rPr>
            </w:pPr>
            <w:r w:rsidRPr="004624D3">
              <w:rPr>
                <w:rFonts w:ascii="Calibri" w:eastAsia="Times New Roman" w:hAnsi="Calibri" w:cs="Calibri"/>
                <w:color w:val="000000"/>
                <w:lang w:eastAsia="es-ES"/>
              </w:rPr>
              <w:t>at age 55</w:t>
            </w:r>
          </w:p>
        </w:tc>
      </w:tr>
      <w:tr w:rsidR="00DD707F" w:rsidRPr="004624D3" w14:paraId="320A27C0" w14:textId="77777777" w:rsidTr="0056444B">
        <w:trPr>
          <w:trHeight w:val="300"/>
        </w:trPr>
        <w:tc>
          <w:tcPr>
            <w:tcW w:w="3256" w:type="dxa"/>
            <w:shd w:val="clear" w:color="auto" w:fill="auto"/>
            <w:vAlign w:val="center"/>
            <w:hideMark/>
          </w:tcPr>
          <w:p w14:paraId="68CCBF88" w14:textId="1BFAEA84" w:rsidR="00DD707F" w:rsidRPr="004624D3" w:rsidRDefault="007B2B8A"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Repeat</w:t>
            </w:r>
            <w:r w:rsidR="00DD707F" w:rsidRPr="004624D3">
              <w:rPr>
                <w:rFonts w:ascii="Calibri" w:eastAsia="Times New Roman" w:hAnsi="Calibri" w:cs="Calibri"/>
                <w:b/>
                <w:color w:val="000000"/>
                <w:lang w:eastAsia="es-ES"/>
              </w:rPr>
              <w:t xml:space="preserve"> carers (ref)</w:t>
            </w:r>
          </w:p>
        </w:tc>
        <w:tc>
          <w:tcPr>
            <w:tcW w:w="2976" w:type="dxa"/>
            <w:shd w:val="clear" w:color="auto" w:fill="auto"/>
            <w:noWrap/>
            <w:vAlign w:val="center"/>
            <w:hideMark/>
          </w:tcPr>
          <w:p w14:paraId="11DCA631"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91" w:type="dxa"/>
            <w:shd w:val="clear" w:color="auto" w:fill="auto"/>
            <w:noWrap/>
            <w:vAlign w:val="center"/>
            <w:hideMark/>
          </w:tcPr>
          <w:p w14:paraId="58E05AD9"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0C443CC6" w14:textId="77777777" w:rsidTr="0056444B">
        <w:trPr>
          <w:trHeight w:val="300"/>
        </w:trPr>
        <w:tc>
          <w:tcPr>
            <w:tcW w:w="3256" w:type="dxa"/>
            <w:shd w:val="clear" w:color="auto" w:fill="auto"/>
            <w:vAlign w:val="center"/>
            <w:hideMark/>
          </w:tcPr>
          <w:p w14:paraId="4AA3C053"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New carers</w:t>
            </w:r>
          </w:p>
        </w:tc>
        <w:tc>
          <w:tcPr>
            <w:tcW w:w="2976" w:type="dxa"/>
            <w:shd w:val="clear" w:color="auto" w:fill="auto"/>
            <w:noWrap/>
            <w:vAlign w:val="center"/>
            <w:hideMark/>
          </w:tcPr>
          <w:p w14:paraId="07160640" w14:textId="6B82BF6F"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0.733</w:t>
            </w:r>
            <w:r w:rsidR="0056444B" w:rsidRPr="004624D3">
              <w:rPr>
                <w:rFonts w:ascii="Calibri" w:eastAsia="Times New Roman" w:hAnsi="Calibri" w:cs="Calibri"/>
                <w:color w:val="000000"/>
                <w:lang w:val="es-ES" w:eastAsia="es-ES"/>
              </w:rPr>
              <w:t xml:space="preserve"> (0.21)</w:t>
            </w:r>
          </w:p>
        </w:tc>
        <w:tc>
          <w:tcPr>
            <w:tcW w:w="3691" w:type="dxa"/>
            <w:shd w:val="clear" w:color="auto" w:fill="auto"/>
            <w:noWrap/>
            <w:vAlign w:val="center"/>
            <w:hideMark/>
          </w:tcPr>
          <w:p w14:paraId="72FA6D69" w14:textId="0F3D55CA"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0.725</w:t>
            </w:r>
            <w:r w:rsidR="0056444B" w:rsidRPr="004624D3">
              <w:rPr>
                <w:rFonts w:ascii="Calibri" w:eastAsia="Times New Roman" w:hAnsi="Calibri" w:cs="Calibri"/>
                <w:color w:val="000000"/>
                <w:lang w:val="es-ES" w:eastAsia="es-ES"/>
              </w:rPr>
              <w:t xml:space="preserve"> (0.29)</w:t>
            </w:r>
          </w:p>
        </w:tc>
      </w:tr>
      <w:tr w:rsidR="00DD707F" w:rsidRPr="004624D3" w14:paraId="5401C8A2" w14:textId="77777777" w:rsidTr="0056444B">
        <w:trPr>
          <w:trHeight w:val="600"/>
        </w:trPr>
        <w:tc>
          <w:tcPr>
            <w:tcW w:w="3256" w:type="dxa"/>
            <w:shd w:val="clear" w:color="auto" w:fill="auto"/>
            <w:vAlign w:val="center"/>
            <w:hideMark/>
          </w:tcPr>
          <w:p w14:paraId="46657275"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Sporadic/ intermittent carers</w:t>
            </w:r>
          </w:p>
        </w:tc>
        <w:tc>
          <w:tcPr>
            <w:tcW w:w="2976" w:type="dxa"/>
            <w:shd w:val="clear" w:color="auto" w:fill="auto"/>
            <w:noWrap/>
            <w:vAlign w:val="center"/>
            <w:hideMark/>
          </w:tcPr>
          <w:p w14:paraId="3CE4BE2F" w14:textId="08F4A4C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0.940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(0.29)</w:t>
            </w:r>
          </w:p>
        </w:tc>
        <w:tc>
          <w:tcPr>
            <w:tcW w:w="3691" w:type="dxa"/>
            <w:shd w:val="clear" w:color="auto" w:fill="auto"/>
            <w:noWrap/>
            <w:vAlign w:val="center"/>
            <w:hideMark/>
          </w:tcPr>
          <w:p w14:paraId="2E60D616" w14:textId="2C6209BC"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0.922</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(0.41)</w:t>
            </w:r>
          </w:p>
        </w:tc>
      </w:tr>
      <w:tr w:rsidR="00DD707F" w:rsidRPr="004624D3" w14:paraId="566AC423" w14:textId="77777777" w:rsidTr="0056444B">
        <w:trPr>
          <w:trHeight w:val="435"/>
        </w:trPr>
        <w:tc>
          <w:tcPr>
            <w:tcW w:w="3256" w:type="dxa"/>
            <w:shd w:val="clear" w:color="auto" w:fill="auto"/>
            <w:vAlign w:val="center"/>
            <w:hideMark/>
          </w:tcPr>
          <w:p w14:paraId="4D344E07"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Stopped caring</w:t>
            </w:r>
          </w:p>
        </w:tc>
        <w:tc>
          <w:tcPr>
            <w:tcW w:w="2976" w:type="dxa"/>
            <w:shd w:val="clear" w:color="auto" w:fill="auto"/>
            <w:noWrap/>
            <w:vAlign w:val="center"/>
            <w:hideMark/>
          </w:tcPr>
          <w:p w14:paraId="6AA249DE" w14:textId="35E0B7B6"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1.213</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(0.45)</w:t>
            </w:r>
          </w:p>
        </w:tc>
        <w:tc>
          <w:tcPr>
            <w:tcW w:w="3691" w:type="dxa"/>
            <w:shd w:val="clear" w:color="auto" w:fill="auto"/>
            <w:noWrap/>
            <w:vAlign w:val="center"/>
            <w:hideMark/>
          </w:tcPr>
          <w:p w14:paraId="6EF8B5FE" w14:textId="481C47EA"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0.862</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(0.47)</w:t>
            </w:r>
          </w:p>
        </w:tc>
      </w:tr>
      <w:tr w:rsidR="00DD707F" w:rsidRPr="004624D3" w14:paraId="50B8615B" w14:textId="77777777" w:rsidTr="0056444B">
        <w:trPr>
          <w:trHeight w:val="300"/>
        </w:trPr>
        <w:tc>
          <w:tcPr>
            <w:tcW w:w="3256" w:type="dxa"/>
            <w:shd w:val="clear" w:color="auto" w:fill="auto"/>
            <w:vAlign w:val="center"/>
            <w:hideMark/>
          </w:tcPr>
          <w:p w14:paraId="5A87CD1F"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Non-carers</w:t>
            </w:r>
          </w:p>
        </w:tc>
        <w:tc>
          <w:tcPr>
            <w:tcW w:w="2976" w:type="dxa"/>
            <w:shd w:val="clear" w:color="auto" w:fill="auto"/>
            <w:noWrap/>
            <w:vAlign w:val="center"/>
            <w:hideMark/>
          </w:tcPr>
          <w:p w14:paraId="26D50464" w14:textId="589DB976"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0.782</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(0.24)</w:t>
            </w:r>
          </w:p>
        </w:tc>
        <w:tc>
          <w:tcPr>
            <w:tcW w:w="3691" w:type="dxa"/>
            <w:shd w:val="clear" w:color="auto" w:fill="auto"/>
            <w:noWrap/>
            <w:vAlign w:val="center"/>
            <w:hideMark/>
          </w:tcPr>
          <w:p w14:paraId="551639E8" w14:textId="7FFFB4F2"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1.004</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(0.42)</w:t>
            </w:r>
          </w:p>
        </w:tc>
      </w:tr>
      <w:tr w:rsidR="00DD707F" w:rsidRPr="004624D3" w14:paraId="73D2C081" w14:textId="77777777" w:rsidTr="0056444B">
        <w:trPr>
          <w:trHeight w:val="626"/>
        </w:trPr>
        <w:tc>
          <w:tcPr>
            <w:tcW w:w="3256" w:type="dxa"/>
            <w:shd w:val="clear" w:color="auto" w:fill="auto"/>
            <w:vAlign w:val="center"/>
            <w:hideMark/>
          </w:tcPr>
          <w:p w14:paraId="0F0354EE" w14:textId="77777777" w:rsidR="00DD707F" w:rsidRPr="004624D3" w:rsidRDefault="00DD707F" w:rsidP="0062265A">
            <w:pPr>
              <w:spacing w:after="0" w:line="276" w:lineRule="auto"/>
              <w:rPr>
                <w:rFonts w:ascii="Calibri" w:eastAsia="Times New Roman" w:hAnsi="Calibri" w:cs="Calibri"/>
                <w:b/>
                <w:color w:val="000000"/>
                <w:lang w:eastAsia="es-ES"/>
              </w:rPr>
            </w:pPr>
            <w:r w:rsidRPr="004624D3">
              <w:rPr>
                <w:rFonts w:ascii="Calibri" w:eastAsia="Times New Roman" w:hAnsi="Calibri" w:cs="Calibri"/>
                <w:b/>
                <w:color w:val="000000"/>
                <w:lang w:eastAsia="es-ES"/>
              </w:rPr>
              <w:t>No depression at age 46 (ref)</w:t>
            </w:r>
          </w:p>
        </w:tc>
        <w:tc>
          <w:tcPr>
            <w:tcW w:w="2976" w:type="dxa"/>
            <w:shd w:val="clear" w:color="auto" w:fill="auto"/>
            <w:noWrap/>
            <w:vAlign w:val="center"/>
            <w:hideMark/>
          </w:tcPr>
          <w:p w14:paraId="0DDDF3A0"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91" w:type="dxa"/>
            <w:shd w:val="clear" w:color="auto" w:fill="auto"/>
            <w:noWrap/>
            <w:vAlign w:val="center"/>
            <w:hideMark/>
          </w:tcPr>
          <w:p w14:paraId="16D7E757" w14:textId="0EE4CF37" w:rsidR="00DD707F" w:rsidRPr="004624D3" w:rsidRDefault="007E45D3"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r>
      <w:tr w:rsidR="00DD707F" w:rsidRPr="004624D3" w14:paraId="66E51D01" w14:textId="77777777" w:rsidTr="0056444B">
        <w:trPr>
          <w:trHeight w:val="300"/>
        </w:trPr>
        <w:tc>
          <w:tcPr>
            <w:tcW w:w="3256" w:type="dxa"/>
            <w:shd w:val="clear" w:color="auto" w:fill="auto"/>
            <w:vAlign w:val="center"/>
            <w:hideMark/>
          </w:tcPr>
          <w:p w14:paraId="77301523"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Depression at age 46</w:t>
            </w:r>
          </w:p>
        </w:tc>
        <w:tc>
          <w:tcPr>
            <w:tcW w:w="2976" w:type="dxa"/>
            <w:shd w:val="clear" w:color="auto" w:fill="auto"/>
            <w:noWrap/>
            <w:vAlign w:val="center"/>
            <w:hideMark/>
          </w:tcPr>
          <w:p w14:paraId="0AA7DEB9" w14:textId="1031913E"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18.30***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(6.83)</w:t>
            </w:r>
          </w:p>
        </w:tc>
        <w:tc>
          <w:tcPr>
            <w:tcW w:w="3691" w:type="dxa"/>
            <w:shd w:val="clear" w:color="auto" w:fill="auto"/>
            <w:noWrap/>
            <w:vAlign w:val="center"/>
            <w:hideMark/>
          </w:tcPr>
          <w:p w14:paraId="65180E2F" w14:textId="7AEE286D" w:rsidR="00DD707F" w:rsidRPr="004624D3" w:rsidRDefault="007E45D3"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r>
      <w:tr w:rsidR="009B48BA" w:rsidRPr="004624D3" w14:paraId="18EC8607" w14:textId="77777777" w:rsidTr="009B48BA">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B0E33" w14:textId="77777777" w:rsidR="009B48BA" w:rsidRPr="004624D3" w:rsidRDefault="009B48BA" w:rsidP="00A55DB6">
            <w:pPr>
              <w:spacing w:after="0" w:line="276" w:lineRule="auto"/>
              <w:rPr>
                <w:rFonts w:ascii="Calibri" w:eastAsia="Times New Roman" w:hAnsi="Calibri" w:cs="Calibri"/>
                <w:b/>
                <w:bCs/>
                <w:color w:val="000000"/>
                <w:lang w:eastAsia="es-ES"/>
              </w:rPr>
            </w:pPr>
            <w:r w:rsidRPr="004624D3">
              <w:rPr>
                <w:rFonts w:ascii="Calibri" w:eastAsia="Times New Roman" w:hAnsi="Calibri" w:cs="Calibri"/>
                <w:b/>
                <w:bCs/>
                <w:color w:val="000000"/>
                <w:lang w:eastAsia="es-ES"/>
              </w:rPr>
              <w:t>Excellent/ very good/ good/ fair health at age 46 (ref)</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CA3CD" w14:textId="77777777" w:rsidR="009B48BA" w:rsidRPr="004624D3" w:rsidRDefault="009B48BA" w:rsidP="009B48B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c>
          <w:tcPr>
            <w:tcW w:w="3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4D140" w14:textId="77777777" w:rsidR="009B48BA" w:rsidRPr="004624D3" w:rsidRDefault="009B48BA" w:rsidP="00A55DB6">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9B48BA" w:rsidRPr="004624D3" w14:paraId="5668C826" w14:textId="77777777" w:rsidTr="009B48BA">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E8519" w14:textId="77777777" w:rsidR="009B48BA" w:rsidRPr="004624D3" w:rsidRDefault="009B48BA" w:rsidP="00A55DB6">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Poor health at age 46</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4DFA8" w14:textId="77777777" w:rsidR="009B48BA" w:rsidRPr="004624D3" w:rsidRDefault="009B48BA" w:rsidP="009B48B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c>
          <w:tcPr>
            <w:tcW w:w="3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5061F" w14:textId="77777777" w:rsidR="009B48BA" w:rsidRPr="004624D3" w:rsidRDefault="009B48BA" w:rsidP="00A55DB6">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38.15*** (12.88)</w:t>
            </w:r>
          </w:p>
        </w:tc>
      </w:tr>
      <w:tr w:rsidR="00DD707F" w:rsidRPr="004624D3" w14:paraId="3CD946F8" w14:textId="77777777" w:rsidTr="0056444B">
        <w:trPr>
          <w:trHeight w:val="600"/>
        </w:trPr>
        <w:tc>
          <w:tcPr>
            <w:tcW w:w="3256" w:type="dxa"/>
            <w:shd w:val="clear" w:color="auto" w:fill="auto"/>
            <w:vAlign w:val="center"/>
            <w:hideMark/>
          </w:tcPr>
          <w:p w14:paraId="6A6BE1F0" w14:textId="77777777" w:rsidR="00DD707F" w:rsidRPr="004624D3" w:rsidRDefault="00DD707F"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Married/ civil partnership (ref)</w:t>
            </w:r>
          </w:p>
        </w:tc>
        <w:tc>
          <w:tcPr>
            <w:tcW w:w="2976" w:type="dxa"/>
            <w:shd w:val="clear" w:color="auto" w:fill="auto"/>
            <w:noWrap/>
            <w:vAlign w:val="center"/>
            <w:hideMark/>
          </w:tcPr>
          <w:p w14:paraId="47C79944"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91" w:type="dxa"/>
            <w:shd w:val="clear" w:color="auto" w:fill="auto"/>
            <w:noWrap/>
            <w:vAlign w:val="center"/>
            <w:hideMark/>
          </w:tcPr>
          <w:p w14:paraId="4F4FA0D1"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4D840DF8" w14:textId="77777777" w:rsidTr="0056444B">
        <w:trPr>
          <w:trHeight w:val="300"/>
        </w:trPr>
        <w:tc>
          <w:tcPr>
            <w:tcW w:w="3256" w:type="dxa"/>
            <w:shd w:val="clear" w:color="auto" w:fill="auto"/>
            <w:vAlign w:val="center"/>
            <w:hideMark/>
          </w:tcPr>
          <w:p w14:paraId="76847826"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Single never married</w:t>
            </w:r>
          </w:p>
        </w:tc>
        <w:tc>
          <w:tcPr>
            <w:tcW w:w="2976" w:type="dxa"/>
            <w:shd w:val="clear" w:color="auto" w:fill="auto"/>
            <w:noWrap/>
            <w:vAlign w:val="center"/>
            <w:hideMark/>
          </w:tcPr>
          <w:p w14:paraId="530244C3" w14:textId="39C318AF"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2.281***</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(0.52)</w:t>
            </w:r>
          </w:p>
        </w:tc>
        <w:tc>
          <w:tcPr>
            <w:tcW w:w="3691" w:type="dxa"/>
            <w:shd w:val="clear" w:color="auto" w:fill="auto"/>
            <w:noWrap/>
            <w:vAlign w:val="center"/>
            <w:hideMark/>
          </w:tcPr>
          <w:p w14:paraId="1914C987" w14:textId="04D3507A"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2.949***</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(0.86)</w:t>
            </w:r>
          </w:p>
        </w:tc>
      </w:tr>
      <w:tr w:rsidR="00DD707F" w:rsidRPr="004624D3" w14:paraId="69C22946" w14:textId="77777777" w:rsidTr="0056444B">
        <w:trPr>
          <w:trHeight w:val="600"/>
        </w:trPr>
        <w:tc>
          <w:tcPr>
            <w:tcW w:w="3256" w:type="dxa"/>
            <w:shd w:val="clear" w:color="auto" w:fill="auto"/>
            <w:vAlign w:val="center"/>
            <w:hideMark/>
          </w:tcPr>
          <w:p w14:paraId="25C5350E"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Divorced/ separated/ widowed</w:t>
            </w:r>
          </w:p>
        </w:tc>
        <w:tc>
          <w:tcPr>
            <w:tcW w:w="2976" w:type="dxa"/>
            <w:shd w:val="clear" w:color="auto" w:fill="auto"/>
            <w:noWrap/>
            <w:vAlign w:val="center"/>
            <w:hideMark/>
          </w:tcPr>
          <w:p w14:paraId="19912085" w14:textId="0C96CC8A"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1.596*</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(0.39)</w:t>
            </w:r>
          </w:p>
        </w:tc>
        <w:tc>
          <w:tcPr>
            <w:tcW w:w="3691" w:type="dxa"/>
            <w:shd w:val="clear" w:color="auto" w:fill="auto"/>
            <w:noWrap/>
            <w:vAlign w:val="center"/>
            <w:hideMark/>
          </w:tcPr>
          <w:p w14:paraId="6F995E43" w14:textId="72C4D95A"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2.272***</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(0.69)</w:t>
            </w:r>
          </w:p>
        </w:tc>
      </w:tr>
      <w:tr w:rsidR="00DD707F" w:rsidRPr="004624D3" w14:paraId="48A64531" w14:textId="77777777" w:rsidTr="0056444B">
        <w:trPr>
          <w:trHeight w:val="557"/>
        </w:trPr>
        <w:tc>
          <w:tcPr>
            <w:tcW w:w="3256" w:type="dxa"/>
            <w:shd w:val="clear" w:color="auto" w:fill="auto"/>
            <w:vAlign w:val="center"/>
            <w:hideMark/>
          </w:tcPr>
          <w:p w14:paraId="49C54E80" w14:textId="77777777" w:rsidR="00DD707F" w:rsidRPr="004624D3" w:rsidRDefault="00DD707F" w:rsidP="0062265A">
            <w:pPr>
              <w:spacing w:after="0" w:line="276" w:lineRule="auto"/>
              <w:rPr>
                <w:rFonts w:ascii="Calibri" w:eastAsia="Times New Roman" w:hAnsi="Calibri" w:cs="Calibri"/>
                <w:b/>
                <w:color w:val="000000"/>
                <w:lang w:eastAsia="es-ES"/>
              </w:rPr>
            </w:pPr>
            <w:r w:rsidRPr="004624D3">
              <w:rPr>
                <w:rFonts w:ascii="Calibri" w:eastAsia="Times New Roman" w:hAnsi="Calibri" w:cs="Calibri"/>
                <w:b/>
                <w:color w:val="000000"/>
                <w:lang w:eastAsia="es-ES"/>
              </w:rPr>
              <w:t>Did not become widowed between age 46 and 55 (ref)</w:t>
            </w:r>
          </w:p>
        </w:tc>
        <w:tc>
          <w:tcPr>
            <w:tcW w:w="2976" w:type="dxa"/>
            <w:shd w:val="clear" w:color="auto" w:fill="auto"/>
            <w:noWrap/>
            <w:vAlign w:val="center"/>
            <w:hideMark/>
          </w:tcPr>
          <w:p w14:paraId="31616CBA"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91" w:type="dxa"/>
            <w:shd w:val="clear" w:color="auto" w:fill="auto"/>
            <w:noWrap/>
            <w:vAlign w:val="center"/>
            <w:hideMark/>
          </w:tcPr>
          <w:p w14:paraId="0194E873"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29D455AC" w14:textId="77777777" w:rsidTr="0056444B">
        <w:trPr>
          <w:trHeight w:val="600"/>
        </w:trPr>
        <w:tc>
          <w:tcPr>
            <w:tcW w:w="3256" w:type="dxa"/>
            <w:shd w:val="clear" w:color="auto" w:fill="auto"/>
            <w:vAlign w:val="center"/>
            <w:hideMark/>
          </w:tcPr>
          <w:p w14:paraId="2DB9323C"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Became widowed between age 46 and 55</w:t>
            </w:r>
          </w:p>
        </w:tc>
        <w:tc>
          <w:tcPr>
            <w:tcW w:w="2976" w:type="dxa"/>
            <w:shd w:val="clear" w:color="auto" w:fill="auto"/>
            <w:noWrap/>
            <w:vAlign w:val="center"/>
            <w:hideMark/>
          </w:tcPr>
          <w:p w14:paraId="34C8E70A" w14:textId="0A76B0F4"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3.491***</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(0.70)</w:t>
            </w:r>
          </w:p>
        </w:tc>
        <w:tc>
          <w:tcPr>
            <w:tcW w:w="3691" w:type="dxa"/>
            <w:shd w:val="clear" w:color="auto" w:fill="auto"/>
            <w:noWrap/>
            <w:vAlign w:val="center"/>
            <w:hideMark/>
          </w:tcPr>
          <w:p w14:paraId="1A5429CD" w14:textId="066F3159"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1.849*</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(0.59)</w:t>
            </w:r>
          </w:p>
        </w:tc>
      </w:tr>
      <w:tr w:rsidR="00DD707F" w:rsidRPr="004624D3" w14:paraId="77CEE2EA" w14:textId="77777777" w:rsidTr="0056444B">
        <w:trPr>
          <w:trHeight w:val="386"/>
        </w:trPr>
        <w:tc>
          <w:tcPr>
            <w:tcW w:w="3256" w:type="dxa"/>
            <w:shd w:val="clear" w:color="auto" w:fill="auto"/>
            <w:vAlign w:val="center"/>
            <w:hideMark/>
          </w:tcPr>
          <w:p w14:paraId="0BB1D13B" w14:textId="77777777" w:rsidR="00DD707F" w:rsidRPr="004624D3" w:rsidRDefault="00DD707F"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Living alone (ref)</w:t>
            </w:r>
          </w:p>
        </w:tc>
        <w:tc>
          <w:tcPr>
            <w:tcW w:w="2976" w:type="dxa"/>
            <w:shd w:val="clear" w:color="auto" w:fill="auto"/>
            <w:noWrap/>
            <w:vAlign w:val="center"/>
            <w:hideMark/>
          </w:tcPr>
          <w:p w14:paraId="3FB46973"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91" w:type="dxa"/>
            <w:shd w:val="clear" w:color="auto" w:fill="auto"/>
            <w:noWrap/>
            <w:vAlign w:val="center"/>
            <w:hideMark/>
          </w:tcPr>
          <w:p w14:paraId="073E3048"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218E9A15" w14:textId="77777777" w:rsidTr="0056444B">
        <w:trPr>
          <w:trHeight w:val="600"/>
        </w:trPr>
        <w:tc>
          <w:tcPr>
            <w:tcW w:w="3256" w:type="dxa"/>
            <w:shd w:val="clear" w:color="auto" w:fill="auto"/>
            <w:vAlign w:val="center"/>
            <w:hideMark/>
          </w:tcPr>
          <w:p w14:paraId="56E42404"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Living with partner only</w:t>
            </w:r>
          </w:p>
        </w:tc>
        <w:tc>
          <w:tcPr>
            <w:tcW w:w="2976" w:type="dxa"/>
            <w:shd w:val="clear" w:color="auto" w:fill="auto"/>
            <w:noWrap/>
            <w:vAlign w:val="center"/>
            <w:hideMark/>
          </w:tcPr>
          <w:p w14:paraId="094694C8" w14:textId="52B603B8"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1.358*</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(0.23)</w:t>
            </w:r>
          </w:p>
        </w:tc>
        <w:tc>
          <w:tcPr>
            <w:tcW w:w="3691" w:type="dxa"/>
            <w:shd w:val="clear" w:color="auto" w:fill="auto"/>
            <w:noWrap/>
            <w:vAlign w:val="center"/>
            <w:hideMark/>
          </w:tcPr>
          <w:p w14:paraId="73C682A3" w14:textId="2BB981D0"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1.084</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(0.27)</w:t>
            </w:r>
          </w:p>
        </w:tc>
      </w:tr>
      <w:tr w:rsidR="00DD707F" w:rsidRPr="004624D3" w14:paraId="57F5A584" w14:textId="77777777" w:rsidTr="0056444B">
        <w:trPr>
          <w:trHeight w:val="300"/>
        </w:trPr>
        <w:tc>
          <w:tcPr>
            <w:tcW w:w="3256" w:type="dxa"/>
            <w:shd w:val="clear" w:color="auto" w:fill="auto"/>
            <w:vAlign w:val="center"/>
            <w:hideMark/>
          </w:tcPr>
          <w:p w14:paraId="569FD916"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Living with partner and others</w:t>
            </w:r>
          </w:p>
        </w:tc>
        <w:tc>
          <w:tcPr>
            <w:tcW w:w="2976" w:type="dxa"/>
            <w:shd w:val="clear" w:color="auto" w:fill="auto"/>
            <w:noWrap/>
            <w:vAlign w:val="center"/>
            <w:hideMark/>
          </w:tcPr>
          <w:p w14:paraId="4D57F92F" w14:textId="7F365042"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r w:rsidR="00C634B7"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w:t>
            </w:r>
          </w:p>
        </w:tc>
        <w:tc>
          <w:tcPr>
            <w:tcW w:w="3691" w:type="dxa"/>
            <w:shd w:val="clear" w:color="auto" w:fill="auto"/>
            <w:noWrap/>
            <w:vAlign w:val="center"/>
            <w:hideMark/>
          </w:tcPr>
          <w:p w14:paraId="42FF51E5" w14:textId="61B1F8E6"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r w:rsidR="00C634B7"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w:t>
            </w:r>
          </w:p>
        </w:tc>
      </w:tr>
      <w:tr w:rsidR="00DD707F" w:rsidRPr="004624D3" w14:paraId="6F31C502" w14:textId="77777777" w:rsidTr="0056444B">
        <w:trPr>
          <w:trHeight w:val="521"/>
        </w:trPr>
        <w:tc>
          <w:tcPr>
            <w:tcW w:w="3256" w:type="dxa"/>
            <w:shd w:val="clear" w:color="auto" w:fill="auto"/>
            <w:vAlign w:val="center"/>
            <w:hideMark/>
          </w:tcPr>
          <w:p w14:paraId="6CB69FA5"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Living with others only</w:t>
            </w:r>
          </w:p>
        </w:tc>
        <w:tc>
          <w:tcPr>
            <w:tcW w:w="2976" w:type="dxa"/>
            <w:shd w:val="clear" w:color="auto" w:fill="auto"/>
            <w:noWrap/>
            <w:vAlign w:val="center"/>
            <w:hideMark/>
          </w:tcPr>
          <w:p w14:paraId="35175CB3" w14:textId="0665CD03"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0.790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(0.23)</w:t>
            </w:r>
          </w:p>
        </w:tc>
        <w:tc>
          <w:tcPr>
            <w:tcW w:w="3691" w:type="dxa"/>
            <w:shd w:val="clear" w:color="auto" w:fill="auto"/>
            <w:noWrap/>
            <w:vAlign w:val="center"/>
            <w:hideMark/>
          </w:tcPr>
          <w:p w14:paraId="5C4C1E43" w14:textId="06B5C57C"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0.700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(0.26)</w:t>
            </w:r>
          </w:p>
        </w:tc>
      </w:tr>
      <w:tr w:rsidR="00DD707F" w:rsidRPr="004624D3" w14:paraId="24FD6B55" w14:textId="77777777" w:rsidTr="0056444B">
        <w:trPr>
          <w:trHeight w:val="281"/>
        </w:trPr>
        <w:tc>
          <w:tcPr>
            <w:tcW w:w="3256" w:type="dxa"/>
            <w:shd w:val="clear" w:color="auto" w:fill="auto"/>
            <w:vAlign w:val="center"/>
            <w:hideMark/>
          </w:tcPr>
          <w:p w14:paraId="77EE313F" w14:textId="77777777" w:rsidR="00DD707F" w:rsidRPr="004624D3" w:rsidRDefault="00DD707F"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No qualifications (ref)</w:t>
            </w:r>
          </w:p>
        </w:tc>
        <w:tc>
          <w:tcPr>
            <w:tcW w:w="2976" w:type="dxa"/>
            <w:shd w:val="clear" w:color="auto" w:fill="auto"/>
            <w:noWrap/>
            <w:vAlign w:val="center"/>
            <w:hideMark/>
          </w:tcPr>
          <w:p w14:paraId="07E43374"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91" w:type="dxa"/>
            <w:shd w:val="clear" w:color="auto" w:fill="auto"/>
            <w:noWrap/>
            <w:vAlign w:val="center"/>
            <w:hideMark/>
          </w:tcPr>
          <w:p w14:paraId="58969C77" w14:textId="77777777"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7C667576" w14:textId="77777777" w:rsidTr="0056444B">
        <w:trPr>
          <w:trHeight w:val="300"/>
        </w:trPr>
        <w:tc>
          <w:tcPr>
            <w:tcW w:w="3256" w:type="dxa"/>
            <w:shd w:val="clear" w:color="auto" w:fill="auto"/>
            <w:vAlign w:val="center"/>
            <w:hideMark/>
          </w:tcPr>
          <w:p w14:paraId="290B5726"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Low O-level</w:t>
            </w:r>
          </w:p>
        </w:tc>
        <w:tc>
          <w:tcPr>
            <w:tcW w:w="2976" w:type="dxa"/>
            <w:shd w:val="clear" w:color="auto" w:fill="auto"/>
            <w:noWrap/>
            <w:vAlign w:val="center"/>
            <w:hideMark/>
          </w:tcPr>
          <w:p w14:paraId="331B1A48" w14:textId="1AF3D929"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0.687*</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(0.14)</w:t>
            </w:r>
          </w:p>
        </w:tc>
        <w:tc>
          <w:tcPr>
            <w:tcW w:w="3691" w:type="dxa"/>
            <w:shd w:val="clear" w:color="auto" w:fill="auto"/>
            <w:noWrap/>
            <w:vAlign w:val="center"/>
            <w:hideMark/>
          </w:tcPr>
          <w:p w14:paraId="31CC0EF4" w14:textId="1781FD64"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0.664</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(0.19)</w:t>
            </w:r>
          </w:p>
        </w:tc>
      </w:tr>
      <w:tr w:rsidR="00DD707F" w:rsidRPr="004624D3" w14:paraId="274B6C03" w14:textId="77777777" w:rsidTr="0056444B">
        <w:trPr>
          <w:trHeight w:val="300"/>
        </w:trPr>
        <w:tc>
          <w:tcPr>
            <w:tcW w:w="3256" w:type="dxa"/>
            <w:shd w:val="clear" w:color="auto" w:fill="auto"/>
            <w:vAlign w:val="center"/>
            <w:hideMark/>
          </w:tcPr>
          <w:p w14:paraId="513B9821"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High O-level</w:t>
            </w:r>
          </w:p>
        </w:tc>
        <w:tc>
          <w:tcPr>
            <w:tcW w:w="2976" w:type="dxa"/>
            <w:shd w:val="clear" w:color="auto" w:fill="auto"/>
            <w:noWrap/>
            <w:vAlign w:val="center"/>
            <w:hideMark/>
          </w:tcPr>
          <w:p w14:paraId="7648015A" w14:textId="17DEBBC2"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0.590***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(0.10)</w:t>
            </w:r>
          </w:p>
        </w:tc>
        <w:tc>
          <w:tcPr>
            <w:tcW w:w="3691" w:type="dxa"/>
            <w:shd w:val="clear" w:color="auto" w:fill="auto"/>
            <w:noWrap/>
            <w:vAlign w:val="center"/>
            <w:hideMark/>
          </w:tcPr>
          <w:p w14:paraId="4368D1F5" w14:textId="70E2991A"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0.637*</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(0.15)</w:t>
            </w:r>
          </w:p>
        </w:tc>
      </w:tr>
      <w:tr w:rsidR="00DD707F" w:rsidRPr="004624D3" w14:paraId="0CF1B3B6" w14:textId="77777777" w:rsidTr="0056444B">
        <w:trPr>
          <w:trHeight w:val="300"/>
        </w:trPr>
        <w:tc>
          <w:tcPr>
            <w:tcW w:w="3256" w:type="dxa"/>
            <w:shd w:val="clear" w:color="auto" w:fill="auto"/>
            <w:vAlign w:val="center"/>
            <w:hideMark/>
          </w:tcPr>
          <w:p w14:paraId="4067F93E"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A-level and sub-Degree</w:t>
            </w:r>
          </w:p>
        </w:tc>
        <w:tc>
          <w:tcPr>
            <w:tcW w:w="2976" w:type="dxa"/>
            <w:shd w:val="clear" w:color="auto" w:fill="auto"/>
            <w:noWrap/>
            <w:vAlign w:val="center"/>
            <w:hideMark/>
          </w:tcPr>
          <w:p w14:paraId="6FD1A5DF" w14:textId="56D5CE5A"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0.744</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(0.16)</w:t>
            </w:r>
          </w:p>
        </w:tc>
        <w:tc>
          <w:tcPr>
            <w:tcW w:w="3691" w:type="dxa"/>
            <w:shd w:val="clear" w:color="auto" w:fill="auto"/>
            <w:noWrap/>
            <w:vAlign w:val="center"/>
            <w:hideMark/>
          </w:tcPr>
          <w:p w14:paraId="58D560DC" w14:textId="401867FE"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0.656</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(0.19)</w:t>
            </w:r>
          </w:p>
        </w:tc>
      </w:tr>
      <w:tr w:rsidR="00DD707F" w:rsidRPr="004624D3" w14:paraId="63426ECD" w14:textId="77777777" w:rsidTr="0056444B">
        <w:trPr>
          <w:trHeight w:val="300"/>
        </w:trPr>
        <w:tc>
          <w:tcPr>
            <w:tcW w:w="3256" w:type="dxa"/>
            <w:shd w:val="clear" w:color="auto" w:fill="auto"/>
            <w:vAlign w:val="center"/>
            <w:hideMark/>
          </w:tcPr>
          <w:p w14:paraId="0795861A"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Degree and higher</w:t>
            </w:r>
          </w:p>
        </w:tc>
        <w:tc>
          <w:tcPr>
            <w:tcW w:w="2976" w:type="dxa"/>
            <w:shd w:val="clear" w:color="auto" w:fill="auto"/>
            <w:noWrap/>
            <w:vAlign w:val="center"/>
            <w:hideMark/>
          </w:tcPr>
          <w:p w14:paraId="0E46584F" w14:textId="635A3A78"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0.641**</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(0.12)</w:t>
            </w:r>
          </w:p>
        </w:tc>
        <w:tc>
          <w:tcPr>
            <w:tcW w:w="3691" w:type="dxa"/>
            <w:shd w:val="clear" w:color="auto" w:fill="auto"/>
            <w:noWrap/>
            <w:vAlign w:val="center"/>
            <w:hideMark/>
          </w:tcPr>
          <w:p w14:paraId="3BB67F67" w14:textId="035A4455"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0.362***</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(0.11)</w:t>
            </w:r>
          </w:p>
        </w:tc>
      </w:tr>
      <w:tr w:rsidR="00DD707F" w:rsidRPr="004624D3" w14:paraId="4C249FDD" w14:textId="77777777" w:rsidTr="0056444B">
        <w:trPr>
          <w:trHeight w:val="563"/>
        </w:trPr>
        <w:tc>
          <w:tcPr>
            <w:tcW w:w="3256" w:type="dxa"/>
            <w:shd w:val="clear" w:color="auto" w:fill="auto"/>
            <w:vAlign w:val="center"/>
            <w:hideMark/>
          </w:tcPr>
          <w:p w14:paraId="61AFDCCC"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w:t>
            </w:r>
          </w:p>
        </w:tc>
        <w:tc>
          <w:tcPr>
            <w:tcW w:w="2976" w:type="dxa"/>
            <w:shd w:val="clear" w:color="auto" w:fill="auto"/>
            <w:noWrap/>
            <w:vAlign w:val="center"/>
            <w:hideMark/>
          </w:tcPr>
          <w:p w14:paraId="32B669A2" w14:textId="19905FC0"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w:t>
            </w:r>
            <w:r w:rsidR="007E45D3" w:rsidRPr="004624D3">
              <w:rPr>
                <w:rFonts w:ascii="Calibri" w:eastAsia="Times New Roman" w:hAnsi="Calibri" w:cs="Calibri"/>
                <w:color w:val="000000"/>
                <w:lang w:val="es-ES" w:eastAsia="es-ES"/>
              </w:rPr>
              <w:t>,</w:t>
            </w:r>
            <w:r w:rsidRPr="004624D3">
              <w:rPr>
                <w:rFonts w:ascii="Calibri" w:eastAsia="Times New Roman" w:hAnsi="Calibri" w:cs="Calibri"/>
                <w:color w:val="000000"/>
                <w:lang w:val="es-ES" w:eastAsia="es-ES"/>
              </w:rPr>
              <w:t>417</w:t>
            </w:r>
          </w:p>
        </w:tc>
        <w:tc>
          <w:tcPr>
            <w:tcW w:w="3691" w:type="dxa"/>
            <w:shd w:val="clear" w:color="auto" w:fill="auto"/>
            <w:noWrap/>
            <w:vAlign w:val="center"/>
            <w:hideMark/>
          </w:tcPr>
          <w:p w14:paraId="1AFF386E" w14:textId="3C9E2223" w:rsidR="00DD707F" w:rsidRPr="004624D3" w:rsidRDefault="00DD707F" w:rsidP="0062265A">
            <w:pPr>
              <w:spacing w:after="0" w:line="276" w:lineRule="auto"/>
              <w:ind w:firstLineChars="500" w:firstLine="110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w:t>
            </w:r>
            <w:r w:rsidR="007E45D3" w:rsidRPr="004624D3">
              <w:rPr>
                <w:rFonts w:ascii="Calibri" w:eastAsia="Times New Roman" w:hAnsi="Calibri" w:cs="Calibri"/>
                <w:color w:val="000000"/>
                <w:lang w:val="es-ES" w:eastAsia="es-ES"/>
              </w:rPr>
              <w:t>,</w:t>
            </w:r>
            <w:r w:rsidRPr="004624D3">
              <w:rPr>
                <w:rFonts w:ascii="Calibri" w:eastAsia="Times New Roman" w:hAnsi="Calibri" w:cs="Calibri"/>
                <w:color w:val="000000"/>
                <w:lang w:val="es-ES" w:eastAsia="es-ES"/>
              </w:rPr>
              <w:t>419</w:t>
            </w:r>
          </w:p>
        </w:tc>
      </w:tr>
      <w:tr w:rsidR="00DD707F" w:rsidRPr="004624D3" w14:paraId="40BB6C2B" w14:textId="77777777" w:rsidTr="00E91999">
        <w:trPr>
          <w:trHeight w:val="300"/>
        </w:trPr>
        <w:tc>
          <w:tcPr>
            <w:tcW w:w="9923" w:type="dxa"/>
            <w:gridSpan w:val="3"/>
            <w:shd w:val="clear" w:color="auto" w:fill="auto"/>
            <w:noWrap/>
            <w:vAlign w:val="bottom"/>
            <w:hideMark/>
          </w:tcPr>
          <w:p w14:paraId="3415BB33" w14:textId="391F3598"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Note: Exponentiated coefficients; Standard errors in parentheses</w:t>
            </w:r>
            <w:r w:rsidR="00415FE7" w:rsidRPr="004624D3">
              <w:rPr>
                <w:rFonts w:ascii="Calibri" w:eastAsia="Times New Roman" w:hAnsi="Calibri" w:cs="Calibri"/>
                <w:color w:val="000000"/>
                <w:lang w:eastAsia="es-ES"/>
              </w:rPr>
              <w:t>; (ref) Reference category</w:t>
            </w:r>
          </w:p>
        </w:tc>
      </w:tr>
      <w:tr w:rsidR="00DD707F" w:rsidRPr="004624D3" w14:paraId="5EFCCB44" w14:textId="77777777" w:rsidTr="0056444B">
        <w:trPr>
          <w:trHeight w:val="300"/>
        </w:trPr>
        <w:tc>
          <w:tcPr>
            <w:tcW w:w="6232" w:type="dxa"/>
            <w:gridSpan w:val="2"/>
            <w:shd w:val="clear" w:color="auto" w:fill="auto"/>
            <w:noWrap/>
            <w:vAlign w:val="bottom"/>
            <w:hideMark/>
          </w:tcPr>
          <w:p w14:paraId="713182E3"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p&lt;.1;  ** p&lt;.05;  *** p&lt;.01</w:t>
            </w:r>
          </w:p>
        </w:tc>
        <w:tc>
          <w:tcPr>
            <w:tcW w:w="3691" w:type="dxa"/>
            <w:shd w:val="clear" w:color="auto" w:fill="auto"/>
            <w:noWrap/>
            <w:vAlign w:val="bottom"/>
            <w:hideMark/>
          </w:tcPr>
          <w:p w14:paraId="1377336E" w14:textId="77777777" w:rsidR="00DD707F" w:rsidRPr="004624D3" w:rsidRDefault="00DD707F" w:rsidP="0062265A">
            <w:pPr>
              <w:spacing w:after="0" w:line="276" w:lineRule="auto"/>
              <w:rPr>
                <w:rFonts w:ascii="Calibri" w:eastAsia="Times New Roman" w:hAnsi="Calibri" w:cs="Calibri"/>
                <w:color w:val="000000"/>
                <w:lang w:val="es-ES" w:eastAsia="es-ES"/>
              </w:rPr>
            </w:pPr>
          </w:p>
        </w:tc>
      </w:tr>
    </w:tbl>
    <w:p w14:paraId="4318E3B2" w14:textId="77777777" w:rsidR="00525C0E" w:rsidRPr="004624D3" w:rsidRDefault="00525C0E" w:rsidP="0062265A">
      <w:pPr>
        <w:spacing w:after="0" w:line="276" w:lineRule="auto"/>
      </w:pPr>
    </w:p>
    <w:bookmarkEnd w:id="5"/>
    <w:p w14:paraId="16C7FDBC" w14:textId="77777777" w:rsidR="00E91999" w:rsidRPr="004624D3" w:rsidRDefault="00E91999" w:rsidP="0062265A">
      <w:pPr>
        <w:spacing w:after="0" w:line="276" w:lineRule="auto"/>
      </w:pPr>
    </w:p>
    <w:p w14:paraId="6AFD3D80" w14:textId="77777777" w:rsidR="00DD1FF7" w:rsidRPr="004624D3" w:rsidRDefault="00DD1FF7">
      <w:r w:rsidRPr="004624D3">
        <w:br w:type="page"/>
      </w:r>
    </w:p>
    <w:p w14:paraId="6C4AD93B" w14:textId="67BA23D3" w:rsidR="00715A4B" w:rsidRPr="004624D3" w:rsidRDefault="00715A4B" w:rsidP="0062265A">
      <w:pPr>
        <w:spacing w:after="0" w:line="276" w:lineRule="auto"/>
      </w:pPr>
      <w:r w:rsidRPr="004624D3">
        <w:lastRenderedPageBreak/>
        <w:t>Supplementary Table 5: Logistic regression showing the predictors of (a) depression and (b) self-reported poor health at age 55, Women.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2976"/>
        <w:gridCol w:w="3686"/>
      </w:tblGrid>
      <w:tr w:rsidR="00DD707F" w:rsidRPr="004624D3" w14:paraId="681930C2" w14:textId="77777777" w:rsidTr="0056444B">
        <w:trPr>
          <w:trHeight w:val="915"/>
        </w:trPr>
        <w:tc>
          <w:tcPr>
            <w:tcW w:w="3256" w:type="dxa"/>
            <w:shd w:val="clear" w:color="auto" w:fill="auto"/>
            <w:vAlign w:val="center"/>
            <w:hideMark/>
          </w:tcPr>
          <w:p w14:paraId="3A7FC8F7"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 </w:t>
            </w:r>
          </w:p>
        </w:tc>
        <w:tc>
          <w:tcPr>
            <w:tcW w:w="2976" w:type="dxa"/>
            <w:shd w:val="clear" w:color="auto" w:fill="auto"/>
            <w:vAlign w:val="center"/>
            <w:hideMark/>
          </w:tcPr>
          <w:p w14:paraId="534D6F77" w14:textId="77777777" w:rsidR="00DD707F" w:rsidRPr="004624D3" w:rsidRDefault="00DD707F" w:rsidP="0062265A">
            <w:pPr>
              <w:spacing w:after="0" w:line="276" w:lineRule="auto"/>
              <w:jc w:val="center"/>
              <w:rPr>
                <w:rFonts w:ascii="Calibri" w:eastAsia="Times New Roman" w:hAnsi="Calibri" w:cs="Calibri"/>
                <w:color w:val="000000"/>
                <w:lang w:val="es-ES" w:eastAsia="es-ES"/>
              </w:rPr>
            </w:pPr>
            <w:r w:rsidRPr="004624D3">
              <w:rPr>
                <w:rFonts w:ascii="Calibri" w:eastAsia="Times New Roman" w:hAnsi="Calibri" w:cs="Calibri"/>
                <w:color w:val="000000"/>
                <w:lang w:eastAsia="es-ES"/>
              </w:rPr>
              <w:t>(a)</w:t>
            </w:r>
            <w:r w:rsidRPr="004624D3">
              <w:rPr>
                <w:rFonts w:ascii="Times New Roman" w:eastAsia="Times New Roman" w:hAnsi="Times New Roman" w:cs="Times New Roman"/>
                <w:color w:val="000000"/>
                <w:sz w:val="14"/>
                <w:szCs w:val="14"/>
                <w:lang w:eastAsia="es-ES"/>
              </w:rPr>
              <w:t xml:space="preserve">    </w:t>
            </w:r>
            <w:r w:rsidRPr="004624D3">
              <w:rPr>
                <w:rFonts w:ascii="Calibri" w:eastAsia="Times New Roman" w:hAnsi="Calibri" w:cs="Calibri"/>
                <w:color w:val="000000"/>
                <w:lang w:eastAsia="es-ES"/>
              </w:rPr>
              <w:t>Depression at age 55</w:t>
            </w:r>
          </w:p>
        </w:tc>
        <w:tc>
          <w:tcPr>
            <w:tcW w:w="3686" w:type="dxa"/>
            <w:shd w:val="clear" w:color="auto" w:fill="auto"/>
            <w:vAlign w:val="center"/>
            <w:hideMark/>
          </w:tcPr>
          <w:p w14:paraId="5CBA09DC" w14:textId="77777777" w:rsidR="00DD707F" w:rsidRPr="004624D3" w:rsidRDefault="00DD707F" w:rsidP="0062265A">
            <w:pPr>
              <w:spacing w:after="0" w:line="276" w:lineRule="auto"/>
              <w:jc w:val="center"/>
              <w:rPr>
                <w:rFonts w:ascii="Calibri" w:eastAsia="Times New Roman" w:hAnsi="Calibri" w:cs="Calibri"/>
                <w:color w:val="000000"/>
                <w:lang w:eastAsia="es-ES"/>
              </w:rPr>
            </w:pPr>
            <w:r w:rsidRPr="004624D3">
              <w:rPr>
                <w:rFonts w:ascii="Calibri" w:eastAsia="Times New Roman" w:hAnsi="Calibri" w:cs="Calibri"/>
                <w:color w:val="000000"/>
                <w:lang w:eastAsia="es-ES"/>
              </w:rPr>
              <w:t>(b)</w:t>
            </w:r>
            <w:r w:rsidRPr="004624D3">
              <w:rPr>
                <w:rFonts w:ascii="Times New Roman" w:eastAsia="Times New Roman" w:hAnsi="Times New Roman" w:cs="Times New Roman"/>
                <w:color w:val="000000"/>
                <w:sz w:val="14"/>
                <w:szCs w:val="14"/>
                <w:lang w:eastAsia="es-ES"/>
              </w:rPr>
              <w:t xml:space="preserve">    </w:t>
            </w:r>
            <w:r w:rsidRPr="004624D3">
              <w:rPr>
                <w:rFonts w:ascii="Calibri" w:eastAsia="Times New Roman" w:hAnsi="Calibri" w:cs="Calibri"/>
                <w:color w:val="000000"/>
                <w:lang w:eastAsia="es-ES"/>
              </w:rPr>
              <w:t>Self-reported poor health at age 55</w:t>
            </w:r>
          </w:p>
        </w:tc>
      </w:tr>
      <w:tr w:rsidR="00DD707F" w:rsidRPr="004624D3" w14:paraId="32DC45F1" w14:textId="77777777" w:rsidTr="0056444B">
        <w:trPr>
          <w:trHeight w:val="300"/>
        </w:trPr>
        <w:tc>
          <w:tcPr>
            <w:tcW w:w="3256" w:type="dxa"/>
            <w:shd w:val="clear" w:color="auto" w:fill="auto"/>
            <w:vAlign w:val="center"/>
            <w:hideMark/>
          </w:tcPr>
          <w:p w14:paraId="29707BA3" w14:textId="14A7D9DE" w:rsidR="00DD707F" w:rsidRPr="004624D3" w:rsidRDefault="007B2B8A"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Repeat</w:t>
            </w:r>
            <w:r w:rsidR="00DD707F" w:rsidRPr="004624D3">
              <w:rPr>
                <w:rFonts w:ascii="Calibri" w:eastAsia="Times New Roman" w:hAnsi="Calibri" w:cs="Calibri"/>
                <w:b/>
                <w:color w:val="000000"/>
                <w:lang w:eastAsia="es-ES"/>
              </w:rPr>
              <w:t xml:space="preserve"> carers (ref)</w:t>
            </w:r>
          </w:p>
        </w:tc>
        <w:tc>
          <w:tcPr>
            <w:tcW w:w="2976" w:type="dxa"/>
            <w:shd w:val="clear" w:color="auto" w:fill="auto"/>
            <w:noWrap/>
            <w:vAlign w:val="center"/>
            <w:hideMark/>
          </w:tcPr>
          <w:p w14:paraId="5B43EB0A"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86" w:type="dxa"/>
            <w:shd w:val="clear" w:color="auto" w:fill="auto"/>
            <w:noWrap/>
            <w:vAlign w:val="center"/>
            <w:hideMark/>
          </w:tcPr>
          <w:p w14:paraId="579CBBC4"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1DBD18E9" w14:textId="77777777" w:rsidTr="0056444B">
        <w:trPr>
          <w:trHeight w:val="300"/>
        </w:trPr>
        <w:tc>
          <w:tcPr>
            <w:tcW w:w="3256" w:type="dxa"/>
            <w:shd w:val="clear" w:color="auto" w:fill="auto"/>
            <w:vAlign w:val="center"/>
            <w:hideMark/>
          </w:tcPr>
          <w:p w14:paraId="4773EC11"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New carers</w:t>
            </w:r>
          </w:p>
        </w:tc>
        <w:tc>
          <w:tcPr>
            <w:tcW w:w="2976" w:type="dxa"/>
            <w:shd w:val="clear" w:color="auto" w:fill="auto"/>
            <w:noWrap/>
            <w:vAlign w:val="center"/>
            <w:hideMark/>
          </w:tcPr>
          <w:p w14:paraId="453426E3" w14:textId="53FC8E81"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0.731</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(0.14)</w:t>
            </w:r>
          </w:p>
        </w:tc>
        <w:tc>
          <w:tcPr>
            <w:tcW w:w="3686" w:type="dxa"/>
            <w:shd w:val="clear" w:color="auto" w:fill="auto"/>
            <w:noWrap/>
            <w:vAlign w:val="center"/>
            <w:hideMark/>
          </w:tcPr>
          <w:p w14:paraId="7CC49CB7" w14:textId="4C5E2D4C"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0.777</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(0.24)</w:t>
            </w:r>
          </w:p>
        </w:tc>
      </w:tr>
      <w:tr w:rsidR="00DD707F" w:rsidRPr="004624D3" w14:paraId="47D22ED6" w14:textId="77777777" w:rsidTr="0056444B">
        <w:trPr>
          <w:trHeight w:val="600"/>
        </w:trPr>
        <w:tc>
          <w:tcPr>
            <w:tcW w:w="3256" w:type="dxa"/>
            <w:shd w:val="clear" w:color="auto" w:fill="auto"/>
            <w:vAlign w:val="center"/>
            <w:hideMark/>
          </w:tcPr>
          <w:p w14:paraId="3C827E20"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Sporadic/ intermittent carers</w:t>
            </w:r>
          </w:p>
        </w:tc>
        <w:tc>
          <w:tcPr>
            <w:tcW w:w="2976" w:type="dxa"/>
            <w:shd w:val="clear" w:color="auto" w:fill="auto"/>
            <w:noWrap/>
            <w:vAlign w:val="center"/>
            <w:hideMark/>
          </w:tcPr>
          <w:p w14:paraId="752D720E" w14:textId="514485A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0.800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(0.17)</w:t>
            </w:r>
          </w:p>
        </w:tc>
        <w:tc>
          <w:tcPr>
            <w:tcW w:w="3686" w:type="dxa"/>
            <w:shd w:val="clear" w:color="auto" w:fill="auto"/>
            <w:noWrap/>
            <w:vAlign w:val="center"/>
            <w:hideMark/>
          </w:tcPr>
          <w:p w14:paraId="6B7D7A85" w14:textId="4CC83B2C"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1.085</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(0.36)</w:t>
            </w:r>
          </w:p>
        </w:tc>
      </w:tr>
      <w:tr w:rsidR="00DD707F" w:rsidRPr="004624D3" w14:paraId="5E5E64B4" w14:textId="77777777" w:rsidTr="0056444B">
        <w:trPr>
          <w:trHeight w:val="435"/>
        </w:trPr>
        <w:tc>
          <w:tcPr>
            <w:tcW w:w="3256" w:type="dxa"/>
            <w:shd w:val="clear" w:color="auto" w:fill="auto"/>
            <w:vAlign w:val="center"/>
            <w:hideMark/>
          </w:tcPr>
          <w:p w14:paraId="2A248596"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Stopped caring</w:t>
            </w:r>
          </w:p>
        </w:tc>
        <w:tc>
          <w:tcPr>
            <w:tcW w:w="2976" w:type="dxa"/>
            <w:shd w:val="clear" w:color="auto" w:fill="auto"/>
            <w:noWrap/>
            <w:vAlign w:val="center"/>
            <w:hideMark/>
          </w:tcPr>
          <w:p w14:paraId="562583B0" w14:textId="1567FC3E"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0.834</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(0.20)</w:t>
            </w:r>
          </w:p>
        </w:tc>
        <w:tc>
          <w:tcPr>
            <w:tcW w:w="3686" w:type="dxa"/>
            <w:shd w:val="clear" w:color="auto" w:fill="auto"/>
            <w:noWrap/>
            <w:vAlign w:val="center"/>
            <w:hideMark/>
          </w:tcPr>
          <w:p w14:paraId="7839D99D" w14:textId="3892E93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1.030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(0.40)</w:t>
            </w:r>
          </w:p>
        </w:tc>
      </w:tr>
      <w:tr w:rsidR="00DD707F" w:rsidRPr="004624D3" w14:paraId="08B317D6" w14:textId="77777777" w:rsidTr="0056444B">
        <w:trPr>
          <w:trHeight w:val="409"/>
        </w:trPr>
        <w:tc>
          <w:tcPr>
            <w:tcW w:w="3256" w:type="dxa"/>
            <w:shd w:val="clear" w:color="auto" w:fill="auto"/>
            <w:vAlign w:val="center"/>
            <w:hideMark/>
          </w:tcPr>
          <w:p w14:paraId="2A0DADE8"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Non-carers</w:t>
            </w:r>
          </w:p>
        </w:tc>
        <w:tc>
          <w:tcPr>
            <w:tcW w:w="2976" w:type="dxa"/>
            <w:shd w:val="clear" w:color="auto" w:fill="auto"/>
            <w:noWrap/>
            <w:vAlign w:val="center"/>
            <w:hideMark/>
          </w:tcPr>
          <w:p w14:paraId="69D56BBB" w14:textId="14EAF93B"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0.898</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(0.17)</w:t>
            </w:r>
          </w:p>
        </w:tc>
        <w:tc>
          <w:tcPr>
            <w:tcW w:w="3686" w:type="dxa"/>
            <w:shd w:val="clear" w:color="auto" w:fill="auto"/>
            <w:noWrap/>
            <w:vAlign w:val="center"/>
            <w:hideMark/>
          </w:tcPr>
          <w:p w14:paraId="3B92C597" w14:textId="7709C1D6"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0.918</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(0.29)</w:t>
            </w:r>
          </w:p>
        </w:tc>
      </w:tr>
      <w:tr w:rsidR="00DD707F" w:rsidRPr="004624D3" w14:paraId="73C174B5" w14:textId="77777777" w:rsidTr="0056444B">
        <w:trPr>
          <w:trHeight w:val="557"/>
        </w:trPr>
        <w:tc>
          <w:tcPr>
            <w:tcW w:w="3256" w:type="dxa"/>
            <w:shd w:val="clear" w:color="auto" w:fill="auto"/>
            <w:vAlign w:val="center"/>
            <w:hideMark/>
          </w:tcPr>
          <w:p w14:paraId="5D66D7B6" w14:textId="77777777" w:rsidR="00DD707F" w:rsidRPr="004624D3" w:rsidRDefault="00DD707F" w:rsidP="0062265A">
            <w:pPr>
              <w:spacing w:after="0" w:line="276" w:lineRule="auto"/>
              <w:rPr>
                <w:rFonts w:ascii="Calibri" w:eastAsia="Times New Roman" w:hAnsi="Calibri" w:cs="Calibri"/>
                <w:b/>
                <w:color w:val="000000"/>
                <w:lang w:eastAsia="es-ES"/>
              </w:rPr>
            </w:pPr>
            <w:r w:rsidRPr="004624D3">
              <w:rPr>
                <w:rFonts w:ascii="Calibri" w:eastAsia="Times New Roman" w:hAnsi="Calibri" w:cs="Calibri"/>
                <w:b/>
                <w:color w:val="000000"/>
                <w:lang w:eastAsia="es-ES"/>
              </w:rPr>
              <w:t>No depression at age 46 (ref)</w:t>
            </w:r>
          </w:p>
        </w:tc>
        <w:tc>
          <w:tcPr>
            <w:tcW w:w="2976" w:type="dxa"/>
            <w:shd w:val="clear" w:color="auto" w:fill="auto"/>
            <w:noWrap/>
            <w:vAlign w:val="center"/>
            <w:hideMark/>
          </w:tcPr>
          <w:p w14:paraId="4D6E4598"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86" w:type="dxa"/>
            <w:shd w:val="clear" w:color="auto" w:fill="auto"/>
            <w:noWrap/>
            <w:vAlign w:val="center"/>
            <w:hideMark/>
          </w:tcPr>
          <w:p w14:paraId="1A70C850" w14:textId="1D91DE54"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w:t>
            </w:r>
            <w:r w:rsidR="007E45D3" w:rsidRPr="004624D3">
              <w:rPr>
                <w:rFonts w:ascii="Calibri" w:eastAsia="Times New Roman" w:hAnsi="Calibri" w:cs="Calibri"/>
                <w:color w:val="000000"/>
                <w:lang w:val="es-ES" w:eastAsia="es-ES"/>
              </w:rPr>
              <w:t>-</w:t>
            </w:r>
          </w:p>
        </w:tc>
      </w:tr>
      <w:tr w:rsidR="00DD707F" w:rsidRPr="004624D3" w14:paraId="4AD643E3" w14:textId="77777777" w:rsidTr="0056444B">
        <w:trPr>
          <w:trHeight w:val="136"/>
        </w:trPr>
        <w:tc>
          <w:tcPr>
            <w:tcW w:w="3256" w:type="dxa"/>
            <w:shd w:val="clear" w:color="auto" w:fill="auto"/>
            <w:vAlign w:val="center"/>
            <w:hideMark/>
          </w:tcPr>
          <w:p w14:paraId="5FA7472D"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Depression at age 46</w:t>
            </w:r>
          </w:p>
        </w:tc>
        <w:tc>
          <w:tcPr>
            <w:tcW w:w="2976" w:type="dxa"/>
            <w:shd w:val="clear" w:color="auto" w:fill="auto"/>
            <w:noWrap/>
            <w:vAlign w:val="center"/>
            <w:hideMark/>
          </w:tcPr>
          <w:p w14:paraId="2F627A44" w14:textId="4F83F8C2"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17.13***</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(5.08)</w:t>
            </w:r>
          </w:p>
        </w:tc>
        <w:tc>
          <w:tcPr>
            <w:tcW w:w="3686" w:type="dxa"/>
            <w:shd w:val="clear" w:color="auto" w:fill="auto"/>
            <w:noWrap/>
            <w:vAlign w:val="center"/>
            <w:hideMark/>
          </w:tcPr>
          <w:p w14:paraId="6FF95246" w14:textId="000AF265" w:rsidR="00DD707F" w:rsidRPr="004624D3" w:rsidRDefault="007E45D3"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r>
      <w:tr w:rsidR="009B48BA" w:rsidRPr="004624D3" w14:paraId="2B587FB0" w14:textId="77777777" w:rsidTr="009B48BA">
        <w:trPr>
          <w:trHeight w:val="13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5A57F81D" w14:textId="77777777" w:rsidR="009B48BA" w:rsidRPr="004624D3" w:rsidRDefault="009B48BA" w:rsidP="00A55DB6">
            <w:pPr>
              <w:spacing w:after="0" w:line="276" w:lineRule="auto"/>
              <w:rPr>
                <w:rFonts w:ascii="Calibri" w:eastAsia="Times New Roman" w:hAnsi="Calibri" w:cs="Calibri"/>
                <w:b/>
                <w:bCs/>
                <w:color w:val="000000"/>
                <w:lang w:eastAsia="es-ES"/>
              </w:rPr>
            </w:pPr>
            <w:r w:rsidRPr="004624D3">
              <w:rPr>
                <w:rFonts w:ascii="Calibri" w:eastAsia="Times New Roman" w:hAnsi="Calibri" w:cs="Calibri"/>
                <w:b/>
                <w:bCs/>
                <w:color w:val="000000"/>
                <w:lang w:eastAsia="es-ES"/>
              </w:rPr>
              <w:t>Excellent/ very good/ good/ fair health at age 46 (ref)</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6504A" w14:textId="77777777" w:rsidR="009B48BA" w:rsidRPr="004624D3" w:rsidRDefault="009B48BA" w:rsidP="009B48BA">
            <w:pPr>
              <w:spacing w:after="0" w:line="276" w:lineRule="auto"/>
              <w:ind w:firstLineChars="400" w:firstLine="883"/>
              <w:rPr>
                <w:rFonts w:ascii="Calibri" w:eastAsia="Times New Roman" w:hAnsi="Calibri" w:cs="Calibri"/>
                <w:b/>
                <w:bCs/>
                <w:color w:val="000000"/>
                <w:lang w:val="es-ES" w:eastAsia="es-ES"/>
              </w:rPr>
            </w:pPr>
            <w:r w:rsidRPr="004624D3">
              <w:rPr>
                <w:rFonts w:ascii="Calibri" w:eastAsia="Times New Roman" w:hAnsi="Calibri" w:cs="Calibri"/>
                <w:b/>
                <w:bCs/>
                <w:color w:val="000000"/>
                <w:lang w:val="es-ES" w:eastAsia="es-ES"/>
              </w:rPr>
              <w:t>-</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32C54" w14:textId="77777777" w:rsidR="009B48BA" w:rsidRPr="004624D3" w:rsidRDefault="009B48BA" w:rsidP="00A55DB6">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9B48BA" w:rsidRPr="004624D3" w14:paraId="06194F11" w14:textId="77777777" w:rsidTr="009B48BA">
        <w:trPr>
          <w:trHeight w:val="13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D274F5C" w14:textId="77777777" w:rsidR="009B48BA" w:rsidRPr="004624D3" w:rsidRDefault="009B48BA" w:rsidP="00A55DB6">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Poor health at age 46</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871D" w14:textId="77777777" w:rsidR="009B48BA" w:rsidRPr="004624D3" w:rsidRDefault="009B48BA" w:rsidP="009B48B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845C5" w14:textId="77777777" w:rsidR="009B48BA" w:rsidRPr="004624D3" w:rsidRDefault="009B48BA" w:rsidP="00A55DB6">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12.70*** (3.65)</w:t>
            </w:r>
          </w:p>
        </w:tc>
      </w:tr>
      <w:tr w:rsidR="00DD707F" w:rsidRPr="004624D3" w14:paraId="597B4C56" w14:textId="77777777" w:rsidTr="0056444B">
        <w:trPr>
          <w:trHeight w:val="404"/>
        </w:trPr>
        <w:tc>
          <w:tcPr>
            <w:tcW w:w="3256" w:type="dxa"/>
            <w:shd w:val="clear" w:color="auto" w:fill="auto"/>
            <w:vAlign w:val="center"/>
            <w:hideMark/>
          </w:tcPr>
          <w:p w14:paraId="371B0407" w14:textId="77777777" w:rsidR="00DD707F" w:rsidRPr="004624D3" w:rsidRDefault="00DD707F"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Married/ civil partnership (ref)</w:t>
            </w:r>
          </w:p>
        </w:tc>
        <w:tc>
          <w:tcPr>
            <w:tcW w:w="2976" w:type="dxa"/>
            <w:shd w:val="clear" w:color="auto" w:fill="auto"/>
            <w:noWrap/>
            <w:vAlign w:val="center"/>
            <w:hideMark/>
          </w:tcPr>
          <w:p w14:paraId="22766240"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86" w:type="dxa"/>
            <w:shd w:val="clear" w:color="auto" w:fill="auto"/>
            <w:noWrap/>
            <w:vAlign w:val="center"/>
            <w:hideMark/>
          </w:tcPr>
          <w:p w14:paraId="32A405B2"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3B3E4C09" w14:textId="77777777" w:rsidTr="0056444B">
        <w:trPr>
          <w:trHeight w:val="80"/>
        </w:trPr>
        <w:tc>
          <w:tcPr>
            <w:tcW w:w="3256" w:type="dxa"/>
            <w:shd w:val="clear" w:color="auto" w:fill="auto"/>
            <w:vAlign w:val="center"/>
            <w:hideMark/>
          </w:tcPr>
          <w:p w14:paraId="6A2C74CD"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Single never married</w:t>
            </w:r>
          </w:p>
        </w:tc>
        <w:tc>
          <w:tcPr>
            <w:tcW w:w="2976" w:type="dxa"/>
            <w:shd w:val="clear" w:color="auto" w:fill="auto"/>
            <w:noWrap/>
            <w:vAlign w:val="center"/>
            <w:hideMark/>
          </w:tcPr>
          <w:p w14:paraId="4689DC73" w14:textId="090B340E"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1.987***</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(0.47)</w:t>
            </w:r>
          </w:p>
        </w:tc>
        <w:tc>
          <w:tcPr>
            <w:tcW w:w="3686" w:type="dxa"/>
            <w:shd w:val="clear" w:color="auto" w:fill="auto"/>
            <w:noWrap/>
            <w:vAlign w:val="center"/>
            <w:hideMark/>
          </w:tcPr>
          <w:p w14:paraId="31DB0AE9" w14:textId="27A53C68"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2.407**</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(0.84)</w:t>
            </w:r>
          </w:p>
        </w:tc>
      </w:tr>
      <w:tr w:rsidR="00DD707F" w:rsidRPr="004624D3" w14:paraId="6A5D9A41" w14:textId="77777777" w:rsidTr="0056444B">
        <w:trPr>
          <w:trHeight w:val="600"/>
        </w:trPr>
        <w:tc>
          <w:tcPr>
            <w:tcW w:w="3256" w:type="dxa"/>
            <w:shd w:val="clear" w:color="auto" w:fill="auto"/>
            <w:vAlign w:val="center"/>
            <w:hideMark/>
          </w:tcPr>
          <w:p w14:paraId="58A9A3FA"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Divorced/ separated/ widowed</w:t>
            </w:r>
          </w:p>
        </w:tc>
        <w:tc>
          <w:tcPr>
            <w:tcW w:w="2976" w:type="dxa"/>
            <w:shd w:val="clear" w:color="auto" w:fill="auto"/>
            <w:noWrap/>
            <w:vAlign w:val="center"/>
            <w:hideMark/>
          </w:tcPr>
          <w:p w14:paraId="7F049392" w14:textId="0DD8C180"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2.027***</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(0.44)</w:t>
            </w:r>
          </w:p>
        </w:tc>
        <w:tc>
          <w:tcPr>
            <w:tcW w:w="3686" w:type="dxa"/>
            <w:shd w:val="clear" w:color="auto" w:fill="auto"/>
            <w:noWrap/>
            <w:vAlign w:val="center"/>
            <w:hideMark/>
          </w:tcPr>
          <w:p w14:paraId="6D9E3B80" w14:textId="58AE093D"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2.315***</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(0.73)</w:t>
            </w:r>
          </w:p>
        </w:tc>
      </w:tr>
      <w:tr w:rsidR="00DD707F" w:rsidRPr="004624D3" w14:paraId="59ED34D9" w14:textId="77777777" w:rsidTr="0056444B">
        <w:trPr>
          <w:trHeight w:val="544"/>
        </w:trPr>
        <w:tc>
          <w:tcPr>
            <w:tcW w:w="3256" w:type="dxa"/>
            <w:shd w:val="clear" w:color="auto" w:fill="auto"/>
            <w:vAlign w:val="center"/>
            <w:hideMark/>
          </w:tcPr>
          <w:p w14:paraId="7E6FF651" w14:textId="77777777" w:rsidR="00DD707F" w:rsidRPr="004624D3" w:rsidRDefault="00DD707F" w:rsidP="0062265A">
            <w:pPr>
              <w:spacing w:after="0" w:line="276" w:lineRule="auto"/>
              <w:rPr>
                <w:rFonts w:ascii="Calibri" w:eastAsia="Times New Roman" w:hAnsi="Calibri" w:cs="Calibri"/>
                <w:b/>
                <w:color w:val="000000"/>
                <w:lang w:eastAsia="es-ES"/>
              </w:rPr>
            </w:pPr>
            <w:r w:rsidRPr="004624D3">
              <w:rPr>
                <w:rFonts w:ascii="Calibri" w:eastAsia="Times New Roman" w:hAnsi="Calibri" w:cs="Calibri"/>
                <w:b/>
                <w:color w:val="000000"/>
                <w:lang w:eastAsia="es-ES"/>
              </w:rPr>
              <w:t>Did not become widowed between age 46 and 55 (ref)</w:t>
            </w:r>
          </w:p>
        </w:tc>
        <w:tc>
          <w:tcPr>
            <w:tcW w:w="2976" w:type="dxa"/>
            <w:shd w:val="clear" w:color="auto" w:fill="auto"/>
            <w:noWrap/>
            <w:vAlign w:val="center"/>
            <w:hideMark/>
          </w:tcPr>
          <w:p w14:paraId="28496AA0"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86" w:type="dxa"/>
            <w:shd w:val="clear" w:color="auto" w:fill="auto"/>
            <w:noWrap/>
            <w:vAlign w:val="center"/>
            <w:hideMark/>
          </w:tcPr>
          <w:p w14:paraId="238C56DD"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5F16118C" w14:textId="77777777" w:rsidTr="0056444B">
        <w:trPr>
          <w:trHeight w:val="278"/>
        </w:trPr>
        <w:tc>
          <w:tcPr>
            <w:tcW w:w="3256" w:type="dxa"/>
            <w:shd w:val="clear" w:color="auto" w:fill="auto"/>
            <w:vAlign w:val="center"/>
            <w:hideMark/>
          </w:tcPr>
          <w:p w14:paraId="7C115D7E"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Became widowed between age 46 and 55</w:t>
            </w:r>
          </w:p>
        </w:tc>
        <w:tc>
          <w:tcPr>
            <w:tcW w:w="2976" w:type="dxa"/>
            <w:shd w:val="clear" w:color="auto" w:fill="auto"/>
            <w:noWrap/>
            <w:vAlign w:val="center"/>
            <w:hideMark/>
          </w:tcPr>
          <w:p w14:paraId="413CA3DC" w14:textId="03817F4D"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2.450***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(0.38)</w:t>
            </w:r>
          </w:p>
        </w:tc>
        <w:tc>
          <w:tcPr>
            <w:tcW w:w="3686" w:type="dxa"/>
            <w:shd w:val="clear" w:color="auto" w:fill="auto"/>
            <w:noWrap/>
            <w:vAlign w:val="center"/>
            <w:hideMark/>
          </w:tcPr>
          <w:p w14:paraId="4E66F6C7" w14:textId="3E442E39"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2.510***</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(0.56)</w:t>
            </w:r>
          </w:p>
        </w:tc>
      </w:tr>
      <w:tr w:rsidR="00DD707F" w:rsidRPr="004624D3" w14:paraId="6332B1CA" w14:textId="77777777" w:rsidTr="0056444B">
        <w:trPr>
          <w:trHeight w:val="560"/>
        </w:trPr>
        <w:tc>
          <w:tcPr>
            <w:tcW w:w="3256" w:type="dxa"/>
            <w:shd w:val="clear" w:color="auto" w:fill="auto"/>
            <w:vAlign w:val="center"/>
            <w:hideMark/>
          </w:tcPr>
          <w:p w14:paraId="18DC2E39" w14:textId="77777777" w:rsidR="00DD707F" w:rsidRPr="004624D3" w:rsidRDefault="00DD707F"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Living alone (ref)</w:t>
            </w:r>
          </w:p>
        </w:tc>
        <w:tc>
          <w:tcPr>
            <w:tcW w:w="2976" w:type="dxa"/>
            <w:shd w:val="clear" w:color="auto" w:fill="auto"/>
            <w:noWrap/>
            <w:vAlign w:val="center"/>
            <w:hideMark/>
          </w:tcPr>
          <w:p w14:paraId="51E5F4DB"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86" w:type="dxa"/>
            <w:shd w:val="clear" w:color="auto" w:fill="auto"/>
            <w:noWrap/>
            <w:vAlign w:val="center"/>
            <w:hideMark/>
          </w:tcPr>
          <w:p w14:paraId="7DEF5F94"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2C6C72A2" w14:textId="77777777" w:rsidTr="0056444B">
        <w:trPr>
          <w:trHeight w:val="153"/>
        </w:trPr>
        <w:tc>
          <w:tcPr>
            <w:tcW w:w="3256" w:type="dxa"/>
            <w:shd w:val="clear" w:color="auto" w:fill="auto"/>
            <w:vAlign w:val="center"/>
            <w:hideMark/>
          </w:tcPr>
          <w:p w14:paraId="2ADB8A7F"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Living with partner only</w:t>
            </w:r>
          </w:p>
        </w:tc>
        <w:tc>
          <w:tcPr>
            <w:tcW w:w="2976" w:type="dxa"/>
            <w:shd w:val="clear" w:color="auto" w:fill="auto"/>
            <w:noWrap/>
            <w:vAlign w:val="center"/>
            <w:hideMark/>
          </w:tcPr>
          <w:p w14:paraId="435CE422" w14:textId="19FD4FF8"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1.364**</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(0.17)</w:t>
            </w:r>
          </w:p>
        </w:tc>
        <w:tc>
          <w:tcPr>
            <w:tcW w:w="3686" w:type="dxa"/>
            <w:shd w:val="clear" w:color="auto" w:fill="auto"/>
            <w:noWrap/>
            <w:vAlign w:val="center"/>
            <w:hideMark/>
          </w:tcPr>
          <w:p w14:paraId="5DA8B674" w14:textId="25F189E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1.867***</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(0.35)</w:t>
            </w:r>
          </w:p>
        </w:tc>
      </w:tr>
      <w:tr w:rsidR="00DD707F" w:rsidRPr="004624D3" w14:paraId="4D652E14" w14:textId="77777777" w:rsidTr="0056444B">
        <w:trPr>
          <w:trHeight w:val="300"/>
        </w:trPr>
        <w:tc>
          <w:tcPr>
            <w:tcW w:w="3256" w:type="dxa"/>
            <w:shd w:val="clear" w:color="auto" w:fill="auto"/>
            <w:vAlign w:val="center"/>
            <w:hideMark/>
          </w:tcPr>
          <w:p w14:paraId="7EC87276"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Living with partner and others</w:t>
            </w:r>
          </w:p>
        </w:tc>
        <w:tc>
          <w:tcPr>
            <w:tcW w:w="2976" w:type="dxa"/>
            <w:shd w:val="clear" w:color="auto" w:fill="auto"/>
            <w:noWrap/>
            <w:vAlign w:val="center"/>
            <w:hideMark/>
          </w:tcPr>
          <w:p w14:paraId="6ADC1E76" w14:textId="602B68EA"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r w:rsidR="00C634B7" w:rsidRPr="004624D3">
              <w:rPr>
                <w:rFonts w:ascii="Calibri" w:eastAsia="Times New Roman" w:hAnsi="Calibri" w:cs="Calibri"/>
                <w:color w:val="000000"/>
                <w:lang w:val="es-ES" w:eastAsia="es-ES"/>
              </w:rPr>
              <w:t xml:space="preserve"> (.)</w:t>
            </w:r>
          </w:p>
        </w:tc>
        <w:tc>
          <w:tcPr>
            <w:tcW w:w="3686" w:type="dxa"/>
            <w:shd w:val="clear" w:color="auto" w:fill="auto"/>
            <w:noWrap/>
            <w:vAlign w:val="center"/>
            <w:hideMark/>
          </w:tcPr>
          <w:p w14:paraId="19898FFA" w14:textId="0682BA22"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r w:rsidR="00C634B7" w:rsidRPr="004624D3">
              <w:rPr>
                <w:rFonts w:ascii="Calibri" w:eastAsia="Times New Roman" w:hAnsi="Calibri" w:cs="Calibri"/>
                <w:color w:val="000000"/>
                <w:lang w:val="es-ES" w:eastAsia="es-ES"/>
              </w:rPr>
              <w:t xml:space="preserve"> (.)</w:t>
            </w:r>
          </w:p>
        </w:tc>
      </w:tr>
      <w:tr w:rsidR="00DD707F" w:rsidRPr="004624D3" w14:paraId="235BB424" w14:textId="77777777" w:rsidTr="0056444B">
        <w:trPr>
          <w:trHeight w:val="539"/>
        </w:trPr>
        <w:tc>
          <w:tcPr>
            <w:tcW w:w="3256" w:type="dxa"/>
            <w:shd w:val="clear" w:color="auto" w:fill="auto"/>
            <w:vAlign w:val="center"/>
            <w:hideMark/>
          </w:tcPr>
          <w:p w14:paraId="549E6F7B"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Living with others only</w:t>
            </w:r>
          </w:p>
        </w:tc>
        <w:tc>
          <w:tcPr>
            <w:tcW w:w="2976" w:type="dxa"/>
            <w:shd w:val="clear" w:color="auto" w:fill="auto"/>
            <w:noWrap/>
            <w:vAlign w:val="center"/>
            <w:hideMark/>
          </w:tcPr>
          <w:p w14:paraId="5D27A723" w14:textId="461DE25A"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0.758</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(0.17)</w:t>
            </w:r>
          </w:p>
        </w:tc>
        <w:tc>
          <w:tcPr>
            <w:tcW w:w="3686" w:type="dxa"/>
            <w:shd w:val="clear" w:color="auto" w:fill="auto"/>
            <w:noWrap/>
            <w:vAlign w:val="center"/>
            <w:hideMark/>
          </w:tcPr>
          <w:p w14:paraId="5543C14E" w14:textId="23BE53B1"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0.793</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(0.26)</w:t>
            </w:r>
          </w:p>
        </w:tc>
      </w:tr>
      <w:tr w:rsidR="00DD707F" w:rsidRPr="004624D3" w14:paraId="08292AD4" w14:textId="77777777" w:rsidTr="0056444B">
        <w:trPr>
          <w:trHeight w:val="600"/>
        </w:trPr>
        <w:tc>
          <w:tcPr>
            <w:tcW w:w="3256" w:type="dxa"/>
            <w:shd w:val="clear" w:color="auto" w:fill="auto"/>
            <w:vAlign w:val="center"/>
            <w:hideMark/>
          </w:tcPr>
          <w:p w14:paraId="62ABFC7A" w14:textId="77777777" w:rsidR="00DD707F" w:rsidRPr="004624D3" w:rsidRDefault="00DD707F" w:rsidP="0062265A">
            <w:pPr>
              <w:spacing w:after="0" w:line="276" w:lineRule="auto"/>
              <w:rPr>
                <w:rFonts w:ascii="Calibri" w:eastAsia="Times New Roman" w:hAnsi="Calibri" w:cs="Calibri"/>
                <w:b/>
                <w:color w:val="000000"/>
                <w:lang w:val="es-ES" w:eastAsia="es-ES"/>
              </w:rPr>
            </w:pPr>
            <w:r w:rsidRPr="004624D3">
              <w:rPr>
                <w:rFonts w:ascii="Calibri" w:eastAsia="Times New Roman" w:hAnsi="Calibri" w:cs="Calibri"/>
                <w:b/>
                <w:color w:val="000000"/>
                <w:lang w:eastAsia="es-ES"/>
              </w:rPr>
              <w:t>No qualifications (ref)</w:t>
            </w:r>
          </w:p>
        </w:tc>
        <w:tc>
          <w:tcPr>
            <w:tcW w:w="2976" w:type="dxa"/>
            <w:shd w:val="clear" w:color="auto" w:fill="auto"/>
            <w:noWrap/>
            <w:vAlign w:val="center"/>
            <w:hideMark/>
          </w:tcPr>
          <w:p w14:paraId="7B01C65C"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c>
          <w:tcPr>
            <w:tcW w:w="3686" w:type="dxa"/>
            <w:shd w:val="clear" w:color="auto" w:fill="auto"/>
            <w:noWrap/>
            <w:vAlign w:val="center"/>
            <w:hideMark/>
          </w:tcPr>
          <w:p w14:paraId="0E23A2CC" w14:textId="77777777"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1</w:t>
            </w:r>
          </w:p>
        </w:tc>
      </w:tr>
      <w:tr w:rsidR="00DD707F" w:rsidRPr="004624D3" w14:paraId="059AA383" w14:textId="77777777" w:rsidTr="0056444B">
        <w:trPr>
          <w:trHeight w:val="300"/>
        </w:trPr>
        <w:tc>
          <w:tcPr>
            <w:tcW w:w="3256" w:type="dxa"/>
            <w:shd w:val="clear" w:color="auto" w:fill="auto"/>
            <w:vAlign w:val="center"/>
            <w:hideMark/>
          </w:tcPr>
          <w:p w14:paraId="2E5CBBC4"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Low O-level</w:t>
            </w:r>
          </w:p>
        </w:tc>
        <w:tc>
          <w:tcPr>
            <w:tcW w:w="2976" w:type="dxa"/>
            <w:shd w:val="clear" w:color="auto" w:fill="auto"/>
            <w:noWrap/>
            <w:vAlign w:val="center"/>
            <w:hideMark/>
          </w:tcPr>
          <w:p w14:paraId="369C233F" w14:textId="73E05CD6"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0.501***</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(0.09)</w:t>
            </w:r>
          </w:p>
        </w:tc>
        <w:tc>
          <w:tcPr>
            <w:tcW w:w="3686" w:type="dxa"/>
            <w:shd w:val="clear" w:color="auto" w:fill="auto"/>
            <w:noWrap/>
            <w:vAlign w:val="center"/>
            <w:hideMark/>
          </w:tcPr>
          <w:p w14:paraId="1F0107F2" w14:textId="579D6A4B"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0.733</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(0.17)</w:t>
            </w:r>
          </w:p>
        </w:tc>
      </w:tr>
      <w:tr w:rsidR="00DD707F" w:rsidRPr="004624D3" w14:paraId="1F169321" w14:textId="77777777" w:rsidTr="0056444B">
        <w:trPr>
          <w:trHeight w:val="300"/>
        </w:trPr>
        <w:tc>
          <w:tcPr>
            <w:tcW w:w="3256" w:type="dxa"/>
            <w:shd w:val="clear" w:color="auto" w:fill="auto"/>
            <w:vAlign w:val="center"/>
            <w:hideMark/>
          </w:tcPr>
          <w:p w14:paraId="09B55FFA"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High O-level</w:t>
            </w:r>
          </w:p>
        </w:tc>
        <w:tc>
          <w:tcPr>
            <w:tcW w:w="2976" w:type="dxa"/>
            <w:shd w:val="clear" w:color="auto" w:fill="auto"/>
            <w:noWrap/>
            <w:vAlign w:val="center"/>
            <w:hideMark/>
          </w:tcPr>
          <w:p w14:paraId="0E2FB312" w14:textId="01567F13"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0.618***</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(0.09)</w:t>
            </w:r>
          </w:p>
        </w:tc>
        <w:tc>
          <w:tcPr>
            <w:tcW w:w="3686" w:type="dxa"/>
            <w:shd w:val="clear" w:color="auto" w:fill="auto"/>
            <w:noWrap/>
            <w:vAlign w:val="center"/>
            <w:hideMark/>
          </w:tcPr>
          <w:p w14:paraId="56F56452" w14:textId="4D03938A"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0.396***</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(0.08)</w:t>
            </w:r>
          </w:p>
        </w:tc>
      </w:tr>
      <w:tr w:rsidR="00DD707F" w:rsidRPr="004624D3" w14:paraId="7342487A" w14:textId="77777777" w:rsidTr="0056444B">
        <w:trPr>
          <w:trHeight w:val="300"/>
        </w:trPr>
        <w:tc>
          <w:tcPr>
            <w:tcW w:w="3256" w:type="dxa"/>
            <w:shd w:val="clear" w:color="auto" w:fill="auto"/>
            <w:vAlign w:val="center"/>
            <w:hideMark/>
          </w:tcPr>
          <w:p w14:paraId="200ADBB9" w14:textId="77777777"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A-level and sub-Degree</w:t>
            </w:r>
          </w:p>
        </w:tc>
        <w:tc>
          <w:tcPr>
            <w:tcW w:w="2976" w:type="dxa"/>
            <w:shd w:val="clear" w:color="auto" w:fill="auto"/>
            <w:noWrap/>
            <w:vAlign w:val="center"/>
            <w:hideMark/>
          </w:tcPr>
          <w:p w14:paraId="5B9BFFA7" w14:textId="6E559CCB"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0.581***</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(0.10)</w:t>
            </w:r>
          </w:p>
        </w:tc>
        <w:tc>
          <w:tcPr>
            <w:tcW w:w="3686" w:type="dxa"/>
            <w:shd w:val="clear" w:color="auto" w:fill="auto"/>
            <w:noWrap/>
            <w:vAlign w:val="center"/>
            <w:hideMark/>
          </w:tcPr>
          <w:p w14:paraId="0AAB9365" w14:textId="1D3FFC3D"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0.355***</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(0.10)</w:t>
            </w:r>
          </w:p>
        </w:tc>
      </w:tr>
      <w:tr w:rsidR="00DD707F" w:rsidRPr="004624D3" w14:paraId="7DB283BE" w14:textId="77777777" w:rsidTr="0056444B">
        <w:trPr>
          <w:trHeight w:val="300"/>
        </w:trPr>
        <w:tc>
          <w:tcPr>
            <w:tcW w:w="3256" w:type="dxa"/>
            <w:shd w:val="clear" w:color="auto" w:fill="auto"/>
            <w:vAlign w:val="center"/>
            <w:hideMark/>
          </w:tcPr>
          <w:p w14:paraId="6C71F0E3"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Degree and higher</w:t>
            </w:r>
          </w:p>
        </w:tc>
        <w:tc>
          <w:tcPr>
            <w:tcW w:w="2976" w:type="dxa"/>
            <w:shd w:val="clear" w:color="auto" w:fill="auto"/>
            <w:noWrap/>
            <w:vAlign w:val="center"/>
            <w:hideMark/>
          </w:tcPr>
          <w:p w14:paraId="6A332049" w14:textId="656D0DFB"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0.411***</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(0.07)</w:t>
            </w:r>
          </w:p>
        </w:tc>
        <w:tc>
          <w:tcPr>
            <w:tcW w:w="3686" w:type="dxa"/>
            <w:shd w:val="clear" w:color="auto" w:fill="auto"/>
            <w:noWrap/>
            <w:vAlign w:val="center"/>
            <w:hideMark/>
          </w:tcPr>
          <w:p w14:paraId="466A790B" w14:textId="3ABC613D"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0.273***</w:t>
            </w:r>
            <w:r w:rsidR="007E45D3" w:rsidRPr="004624D3">
              <w:rPr>
                <w:rFonts w:ascii="Calibri" w:eastAsia="Times New Roman" w:hAnsi="Calibri" w:cs="Calibri"/>
                <w:color w:val="000000"/>
                <w:lang w:val="es-ES" w:eastAsia="es-ES"/>
              </w:rPr>
              <w:t xml:space="preserve"> </w:t>
            </w:r>
            <w:r w:rsidR="0056444B" w:rsidRPr="004624D3">
              <w:rPr>
                <w:rFonts w:ascii="Calibri" w:eastAsia="Times New Roman" w:hAnsi="Calibri" w:cs="Calibri"/>
                <w:color w:val="000000"/>
                <w:lang w:val="es-ES" w:eastAsia="es-ES"/>
              </w:rPr>
              <w:t>(0.07)</w:t>
            </w:r>
          </w:p>
        </w:tc>
      </w:tr>
      <w:tr w:rsidR="00DD707F" w:rsidRPr="004624D3" w14:paraId="2057CA84" w14:textId="77777777" w:rsidTr="0056444B">
        <w:trPr>
          <w:trHeight w:val="486"/>
        </w:trPr>
        <w:tc>
          <w:tcPr>
            <w:tcW w:w="3256" w:type="dxa"/>
            <w:shd w:val="clear" w:color="auto" w:fill="auto"/>
            <w:vAlign w:val="center"/>
            <w:hideMark/>
          </w:tcPr>
          <w:p w14:paraId="714C3E71" w14:textId="77777777" w:rsidR="00DD707F" w:rsidRPr="004624D3"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eastAsia="es-ES"/>
              </w:rPr>
              <w:t>N</w:t>
            </w:r>
          </w:p>
        </w:tc>
        <w:tc>
          <w:tcPr>
            <w:tcW w:w="2976" w:type="dxa"/>
            <w:shd w:val="clear" w:color="auto" w:fill="auto"/>
            <w:noWrap/>
            <w:vAlign w:val="center"/>
            <w:hideMark/>
          </w:tcPr>
          <w:p w14:paraId="150478C7" w14:textId="4E4B8FE3"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w:t>
            </w:r>
            <w:r w:rsidR="0056444B" w:rsidRPr="004624D3">
              <w:rPr>
                <w:rFonts w:ascii="Calibri" w:eastAsia="Times New Roman" w:hAnsi="Calibri" w:cs="Calibri"/>
                <w:color w:val="000000"/>
                <w:lang w:val="es-ES" w:eastAsia="es-ES"/>
              </w:rPr>
              <w:t>,</w:t>
            </w:r>
            <w:r w:rsidRPr="004624D3">
              <w:rPr>
                <w:rFonts w:ascii="Calibri" w:eastAsia="Times New Roman" w:hAnsi="Calibri" w:cs="Calibri"/>
                <w:color w:val="000000"/>
                <w:lang w:val="es-ES" w:eastAsia="es-ES"/>
              </w:rPr>
              <w:t>587</w:t>
            </w:r>
          </w:p>
        </w:tc>
        <w:tc>
          <w:tcPr>
            <w:tcW w:w="3686" w:type="dxa"/>
            <w:shd w:val="clear" w:color="auto" w:fill="auto"/>
            <w:noWrap/>
            <w:vAlign w:val="center"/>
            <w:hideMark/>
          </w:tcPr>
          <w:p w14:paraId="679A2A5B" w14:textId="43DBC4CA" w:rsidR="00DD707F" w:rsidRPr="004624D3" w:rsidRDefault="00DD707F" w:rsidP="0062265A">
            <w:pPr>
              <w:spacing w:after="0" w:line="276" w:lineRule="auto"/>
              <w:ind w:firstLineChars="400" w:firstLine="880"/>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3</w:t>
            </w:r>
            <w:r w:rsidR="0056444B" w:rsidRPr="004624D3">
              <w:rPr>
                <w:rFonts w:ascii="Calibri" w:eastAsia="Times New Roman" w:hAnsi="Calibri" w:cs="Calibri"/>
                <w:color w:val="000000"/>
                <w:lang w:val="es-ES" w:eastAsia="es-ES"/>
              </w:rPr>
              <w:t>,</w:t>
            </w:r>
            <w:r w:rsidRPr="004624D3">
              <w:rPr>
                <w:rFonts w:ascii="Calibri" w:eastAsia="Times New Roman" w:hAnsi="Calibri" w:cs="Calibri"/>
                <w:color w:val="000000"/>
                <w:lang w:val="es-ES" w:eastAsia="es-ES"/>
              </w:rPr>
              <w:t>588</w:t>
            </w:r>
          </w:p>
        </w:tc>
      </w:tr>
      <w:tr w:rsidR="00DD707F" w:rsidRPr="004624D3" w14:paraId="32E55A84" w14:textId="77777777" w:rsidTr="0056444B">
        <w:trPr>
          <w:trHeight w:val="300"/>
        </w:trPr>
        <w:tc>
          <w:tcPr>
            <w:tcW w:w="9918" w:type="dxa"/>
            <w:gridSpan w:val="3"/>
            <w:shd w:val="clear" w:color="auto" w:fill="auto"/>
            <w:noWrap/>
            <w:vAlign w:val="bottom"/>
            <w:hideMark/>
          </w:tcPr>
          <w:p w14:paraId="6300DB2E" w14:textId="5E0A657A" w:rsidR="00DD707F" w:rsidRPr="004624D3" w:rsidRDefault="00DD707F" w:rsidP="0062265A">
            <w:pPr>
              <w:spacing w:after="0" w:line="276" w:lineRule="auto"/>
              <w:rPr>
                <w:rFonts w:ascii="Calibri" w:eastAsia="Times New Roman" w:hAnsi="Calibri" w:cs="Calibri"/>
                <w:color w:val="000000"/>
                <w:lang w:eastAsia="es-ES"/>
              </w:rPr>
            </w:pPr>
            <w:r w:rsidRPr="004624D3">
              <w:rPr>
                <w:rFonts w:ascii="Calibri" w:eastAsia="Times New Roman" w:hAnsi="Calibri" w:cs="Calibri"/>
                <w:color w:val="000000"/>
                <w:lang w:eastAsia="es-ES"/>
              </w:rPr>
              <w:t>Note: Exponentiated coefficients; Standard errors in parentheses</w:t>
            </w:r>
            <w:r w:rsidR="00C65844" w:rsidRPr="004624D3">
              <w:rPr>
                <w:rFonts w:ascii="Calibri" w:eastAsia="Times New Roman" w:hAnsi="Calibri" w:cs="Calibri"/>
                <w:color w:val="000000"/>
                <w:lang w:eastAsia="es-ES"/>
              </w:rPr>
              <w:t>; (ref) Reference category</w:t>
            </w:r>
          </w:p>
        </w:tc>
      </w:tr>
      <w:tr w:rsidR="00DD707F" w:rsidRPr="00DD707F" w14:paraId="3B071A6F" w14:textId="77777777" w:rsidTr="0056444B">
        <w:trPr>
          <w:trHeight w:val="300"/>
        </w:trPr>
        <w:tc>
          <w:tcPr>
            <w:tcW w:w="6232" w:type="dxa"/>
            <w:gridSpan w:val="2"/>
            <w:shd w:val="clear" w:color="auto" w:fill="auto"/>
            <w:noWrap/>
            <w:vAlign w:val="bottom"/>
            <w:hideMark/>
          </w:tcPr>
          <w:p w14:paraId="23CE3586" w14:textId="77777777" w:rsidR="00DD707F" w:rsidRPr="00DD707F" w:rsidRDefault="00DD707F" w:rsidP="0062265A">
            <w:pPr>
              <w:spacing w:after="0" w:line="276" w:lineRule="auto"/>
              <w:rPr>
                <w:rFonts w:ascii="Calibri" w:eastAsia="Times New Roman" w:hAnsi="Calibri" w:cs="Calibri"/>
                <w:color w:val="000000"/>
                <w:lang w:val="es-ES" w:eastAsia="es-ES"/>
              </w:rPr>
            </w:pPr>
            <w:r w:rsidRPr="004624D3">
              <w:rPr>
                <w:rFonts w:ascii="Calibri" w:eastAsia="Times New Roman" w:hAnsi="Calibri" w:cs="Calibri"/>
                <w:color w:val="000000"/>
                <w:lang w:val="es-ES" w:eastAsia="es-ES"/>
              </w:rPr>
              <w:t>* p&lt;.1;  ** p&lt;.05;  *** p&lt;.01</w:t>
            </w:r>
          </w:p>
        </w:tc>
        <w:tc>
          <w:tcPr>
            <w:tcW w:w="3686" w:type="dxa"/>
            <w:shd w:val="clear" w:color="auto" w:fill="auto"/>
            <w:noWrap/>
            <w:vAlign w:val="bottom"/>
            <w:hideMark/>
          </w:tcPr>
          <w:p w14:paraId="38E818AB" w14:textId="77777777" w:rsidR="00DD707F" w:rsidRPr="00DD707F" w:rsidRDefault="00DD707F" w:rsidP="0062265A">
            <w:pPr>
              <w:spacing w:after="0" w:line="276" w:lineRule="auto"/>
              <w:rPr>
                <w:rFonts w:ascii="Calibri" w:eastAsia="Times New Roman" w:hAnsi="Calibri" w:cs="Calibri"/>
                <w:color w:val="000000"/>
                <w:lang w:val="es-ES" w:eastAsia="es-ES"/>
              </w:rPr>
            </w:pPr>
          </w:p>
        </w:tc>
      </w:tr>
    </w:tbl>
    <w:p w14:paraId="6D50C878" w14:textId="77777777" w:rsidR="00715A4B" w:rsidRDefault="00715A4B" w:rsidP="0062265A">
      <w:pPr>
        <w:spacing w:after="0" w:line="276" w:lineRule="auto"/>
      </w:pPr>
    </w:p>
    <w:p w14:paraId="57EF4CAB" w14:textId="77777777" w:rsidR="00BC1A59" w:rsidRPr="00005C9B" w:rsidRDefault="00BC1A59" w:rsidP="0062265A">
      <w:pPr>
        <w:spacing w:after="0" w:line="276" w:lineRule="auto"/>
      </w:pPr>
    </w:p>
    <w:sectPr w:rsidR="00BC1A59" w:rsidRPr="00005C9B" w:rsidSect="006D36D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CB95" w14:textId="77777777" w:rsidR="00E77CD0" w:rsidRDefault="00E77CD0" w:rsidP="00C4599C">
      <w:pPr>
        <w:spacing w:after="0" w:line="240" w:lineRule="auto"/>
      </w:pPr>
      <w:r>
        <w:separator/>
      </w:r>
    </w:p>
  </w:endnote>
  <w:endnote w:type="continuationSeparator" w:id="0">
    <w:p w14:paraId="7174916D" w14:textId="77777777" w:rsidR="00E77CD0" w:rsidRDefault="00E77CD0" w:rsidP="00C4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5C61" w14:textId="77777777" w:rsidR="00BE6150" w:rsidRDefault="00BE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FC6D" w14:textId="77777777" w:rsidR="00E77CD0" w:rsidRDefault="00E77CD0" w:rsidP="00C4599C">
      <w:pPr>
        <w:spacing w:after="0" w:line="240" w:lineRule="auto"/>
      </w:pPr>
      <w:r>
        <w:separator/>
      </w:r>
    </w:p>
  </w:footnote>
  <w:footnote w:type="continuationSeparator" w:id="0">
    <w:p w14:paraId="659139C4" w14:textId="77777777" w:rsidR="00E77CD0" w:rsidRDefault="00E77CD0" w:rsidP="00C45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D55"/>
    <w:multiLevelType w:val="hybridMultilevel"/>
    <w:tmpl w:val="24564986"/>
    <w:lvl w:ilvl="0" w:tplc="8E8AB3A4">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67546"/>
    <w:multiLevelType w:val="hybridMultilevel"/>
    <w:tmpl w:val="98DE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1035B"/>
    <w:multiLevelType w:val="multilevel"/>
    <w:tmpl w:val="1A360E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60F39A4"/>
    <w:multiLevelType w:val="hybridMultilevel"/>
    <w:tmpl w:val="9B14E118"/>
    <w:lvl w:ilvl="0" w:tplc="347AA5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34312"/>
    <w:multiLevelType w:val="hybridMultilevel"/>
    <w:tmpl w:val="08F02574"/>
    <w:lvl w:ilvl="0" w:tplc="347AA5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A643B"/>
    <w:multiLevelType w:val="hybridMultilevel"/>
    <w:tmpl w:val="6770BE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FC4B26"/>
    <w:multiLevelType w:val="hybridMultilevel"/>
    <w:tmpl w:val="49D4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7B7F3E"/>
    <w:multiLevelType w:val="hybridMultilevel"/>
    <w:tmpl w:val="BB7E3F78"/>
    <w:lvl w:ilvl="0" w:tplc="347AA5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4426B"/>
    <w:multiLevelType w:val="hybridMultilevel"/>
    <w:tmpl w:val="B1F0F6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5B4AEF"/>
    <w:multiLevelType w:val="hybridMultilevel"/>
    <w:tmpl w:val="E9F6320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67E63B47"/>
    <w:multiLevelType w:val="hybridMultilevel"/>
    <w:tmpl w:val="B76E9CC0"/>
    <w:lvl w:ilvl="0" w:tplc="A94A1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FA30724"/>
    <w:multiLevelType w:val="hybridMultilevel"/>
    <w:tmpl w:val="4D6C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F3A73"/>
    <w:multiLevelType w:val="hybridMultilevel"/>
    <w:tmpl w:val="B76E9CC0"/>
    <w:lvl w:ilvl="0" w:tplc="A94A1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B6D45E9"/>
    <w:multiLevelType w:val="hybridMultilevel"/>
    <w:tmpl w:val="F590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A61409"/>
    <w:multiLevelType w:val="hybridMultilevel"/>
    <w:tmpl w:val="C06A5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10A2E"/>
    <w:multiLevelType w:val="hybridMultilevel"/>
    <w:tmpl w:val="6770BE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14"/>
  </w:num>
  <w:num w:numId="5">
    <w:abstractNumId w:val="1"/>
  </w:num>
  <w:num w:numId="6">
    <w:abstractNumId w:val="13"/>
  </w:num>
  <w:num w:numId="7">
    <w:abstractNumId w:val="12"/>
  </w:num>
  <w:num w:numId="8">
    <w:abstractNumId w:val="10"/>
  </w:num>
  <w:num w:numId="9">
    <w:abstractNumId w:val="6"/>
  </w:num>
  <w:num w:numId="10">
    <w:abstractNumId w:val="2"/>
  </w:num>
  <w:num w:numId="11">
    <w:abstractNumId w:val="3"/>
  </w:num>
  <w:num w:numId="12">
    <w:abstractNumId w:val="8"/>
  </w:num>
  <w:num w:numId="13">
    <w:abstractNumId w:val="4"/>
  </w:num>
  <w:num w:numId="14">
    <w:abstractNumId w:val="7"/>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6B"/>
    <w:rsid w:val="00001B40"/>
    <w:rsid w:val="00001CAF"/>
    <w:rsid w:val="00005C9B"/>
    <w:rsid w:val="00007338"/>
    <w:rsid w:val="0001028A"/>
    <w:rsid w:val="000131FB"/>
    <w:rsid w:val="00017BF9"/>
    <w:rsid w:val="000206B0"/>
    <w:rsid w:val="0002599A"/>
    <w:rsid w:val="0002639B"/>
    <w:rsid w:val="00027ADD"/>
    <w:rsid w:val="00030A61"/>
    <w:rsid w:val="00035016"/>
    <w:rsid w:val="000360A5"/>
    <w:rsid w:val="000421E6"/>
    <w:rsid w:val="00044393"/>
    <w:rsid w:val="00045E9F"/>
    <w:rsid w:val="00055DE1"/>
    <w:rsid w:val="00062AAC"/>
    <w:rsid w:val="00064D4A"/>
    <w:rsid w:val="000650DD"/>
    <w:rsid w:val="000658C0"/>
    <w:rsid w:val="00072B68"/>
    <w:rsid w:val="00075767"/>
    <w:rsid w:val="00077AC2"/>
    <w:rsid w:val="000833BC"/>
    <w:rsid w:val="00084C7B"/>
    <w:rsid w:val="000865A5"/>
    <w:rsid w:val="00087D5D"/>
    <w:rsid w:val="00087D6A"/>
    <w:rsid w:val="00093637"/>
    <w:rsid w:val="00094BEF"/>
    <w:rsid w:val="0009568F"/>
    <w:rsid w:val="00097686"/>
    <w:rsid w:val="000A02F6"/>
    <w:rsid w:val="000A0816"/>
    <w:rsid w:val="000A0FF2"/>
    <w:rsid w:val="000A110E"/>
    <w:rsid w:val="000A17DF"/>
    <w:rsid w:val="000A2C6B"/>
    <w:rsid w:val="000A5578"/>
    <w:rsid w:val="000B020E"/>
    <w:rsid w:val="000B03DB"/>
    <w:rsid w:val="000B7AA9"/>
    <w:rsid w:val="000C18A4"/>
    <w:rsid w:val="000C2064"/>
    <w:rsid w:val="000D2FE3"/>
    <w:rsid w:val="000E1229"/>
    <w:rsid w:val="000E1ED2"/>
    <w:rsid w:val="000E431B"/>
    <w:rsid w:val="000F0ABB"/>
    <w:rsid w:val="000F4060"/>
    <w:rsid w:val="000F6D8B"/>
    <w:rsid w:val="00102392"/>
    <w:rsid w:val="001041F3"/>
    <w:rsid w:val="0010470A"/>
    <w:rsid w:val="00107407"/>
    <w:rsid w:val="00115824"/>
    <w:rsid w:val="00117A35"/>
    <w:rsid w:val="00123A66"/>
    <w:rsid w:val="0012643E"/>
    <w:rsid w:val="00127EF9"/>
    <w:rsid w:val="001300BA"/>
    <w:rsid w:val="00133760"/>
    <w:rsid w:val="00133F1A"/>
    <w:rsid w:val="0013636C"/>
    <w:rsid w:val="001368B2"/>
    <w:rsid w:val="00140084"/>
    <w:rsid w:val="001405E4"/>
    <w:rsid w:val="001412FD"/>
    <w:rsid w:val="00141488"/>
    <w:rsid w:val="00143283"/>
    <w:rsid w:val="00147363"/>
    <w:rsid w:val="00151741"/>
    <w:rsid w:val="001519D1"/>
    <w:rsid w:val="00160813"/>
    <w:rsid w:val="00161211"/>
    <w:rsid w:val="001632AD"/>
    <w:rsid w:val="00167B0D"/>
    <w:rsid w:val="00172362"/>
    <w:rsid w:val="00174288"/>
    <w:rsid w:val="00174DC0"/>
    <w:rsid w:val="001810D2"/>
    <w:rsid w:val="00181917"/>
    <w:rsid w:val="00182B16"/>
    <w:rsid w:val="00187602"/>
    <w:rsid w:val="001877EF"/>
    <w:rsid w:val="00191926"/>
    <w:rsid w:val="0019636E"/>
    <w:rsid w:val="00196FE9"/>
    <w:rsid w:val="001A54E7"/>
    <w:rsid w:val="001A6B19"/>
    <w:rsid w:val="001C0720"/>
    <w:rsid w:val="001C0F8D"/>
    <w:rsid w:val="001C1280"/>
    <w:rsid w:val="001C1ADB"/>
    <w:rsid w:val="001C1EC9"/>
    <w:rsid w:val="001C2ED2"/>
    <w:rsid w:val="001C5D1B"/>
    <w:rsid w:val="001D0250"/>
    <w:rsid w:val="001D2903"/>
    <w:rsid w:val="001D79FB"/>
    <w:rsid w:val="001D7F58"/>
    <w:rsid w:val="001E22E7"/>
    <w:rsid w:val="001E2E5F"/>
    <w:rsid w:val="001E326E"/>
    <w:rsid w:val="001E41A5"/>
    <w:rsid w:val="001E4B4E"/>
    <w:rsid w:val="001F3A08"/>
    <w:rsid w:val="001F3CC1"/>
    <w:rsid w:val="001F45F8"/>
    <w:rsid w:val="001F6778"/>
    <w:rsid w:val="001F7FD3"/>
    <w:rsid w:val="00200985"/>
    <w:rsid w:val="002028C5"/>
    <w:rsid w:val="00203387"/>
    <w:rsid w:val="00203841"/>
    <w:rsid w:val="00221028"/>
    <w:rsid w:val="002212C5"/>
    <w:rsid w:val="002253E4"/>
    <w:rsid w:val="002308C0"/>
    <w:rsid w:val="00235407"/>
    <w:rsid w:val="00235DBE"/>
    <w:rsid w:val="00241593"/>
    <w:rsid w:val="002427C9"/>
    <w:rsid w:val="00247118"/>
    <w:rsid w:val="00253175"/>
    <w:rsid w:val="00261047"/>
    <w:rsid w:val="00261054"/>
    <w:rsid w:val="00263217"/>
    <w:rsid w:val="00267D06"/>
    <w:rsid w:val="00275EEE"/>
    <w:rsid w:val="00281B24"/>
    <w:rsid w:val="002822BF"/>
    <w:rsid w:val="00285255"/>
    <w:rsid w:val="0028757B"/>
    <w:rsid w:val="00287DAA"/>
    <w:rsid w:val="002941D6"/>
    <w:rsid w:val="00297F62"/>
    <w:rsid w:val="002A0BC9"/>
    <w:rsid w:val="002A19E5"/>
    <w:rsid w:val="002A230F"/>
    <w:rsid w:val="002A6660"/>
    <w:rsid w:val="002B108C"/>
    <w:rsid w:val="002B431E"/>
    <w:rsid w:val="002B6320"/>
    <w:rsid w:val="002C0C1F"/>
    <w:rsid w:val="002C30E6"/>
    <w:rsid w:val="002C602C"/>
    <w:rsid w:val="002C695F"/>
    <w:rsid w:val="002C6ACB"/>
    <w:rsid w:val="002C6D7E"/>
    <w:rsid w:val="002D2D59"/>
    <w:rsid w:val="002D3B54"/>
    <w:rsid w:val="002D57F5"/>
    <w:rsid w:val="002D626B"/>
    <w:rsid w:val="002D696E"/>
    <w:rsid w:val="002E410E"/>
    <w:rsid w:val="002E509F"/>
    <w:rsid w:val="002F40BD"/>
    <w:rsid w:val="002F4797"/>
    <w:rsid w:val="002F63AC"/>
    <w:rsid w:val="003075C8"/>
    <w:rsid w:val="00312BB5"/>
    <w:rsid w:val="00312E04"/>
    <w:rsid w:val="0031597F"/>
    <w:rsid w:val="00317E51"/>
    <w:rsid w:val="00321E17"/>
    <w:rsid w:val="00324266"/>
    <w:rsid w:val="00327E90"/>
    <w:rsid w:val="003309EB"/>
    <w:rsid w:val="0033272F"/>
    <w:rsid w:val="003437B6"/>
    <w:rsid w:val="00343BC6"/>
    <w:rsid w:val="003456D1"/>
    <w:rsid w:val="00345C7A"/>
    <w:rsid w:val="003504D3"/>
    <w:rsid w:val="003517CB"/>
    <w:rsid w:val="00355295"/>
    <w:rsid w:val="00355451"/>
    <w:rsid w:val="00356D27"/>
    <w:rsid w:val="00357746"/>
    <w:rsid w:val="00363865"/>
    <w:rsid w:val="00365397"/>
    <w:rsid w:val="003671FE"/>
    <w:rsid w:val="00372B1C"/>
    <w:rsid w:val="00380F1F"/>
    <w:rsid w:val="003823E2"/>
    <w:rsid w:val="00385C61"/>
    <w:rsid w:val="003966AB"/>
    <w:rsid w:val="003967BA"/>
    <w:rsid w:val="003A03D3"/>
    <w:rsid w:val="003A1AD5"/>
    <w:rsid w:val="003A2CAB"/>
    <w:rsid w:val="003A3B74"/>
    <w:rsid w:val="003B002E"/>
    <w:rsid w:val="003B0168"/>
    <w:rsid w:val="003B1411"/>
    <w:rsid w:val="003B4DE3"/>
    <w:rsid w:val="003B68BA"/>
    <w:rsid w:val="003B6F19"/>
    <w:rsid w:val="003B752B"/>
    <w:rsid w:val="003C0236"/>
    <w:rsid w:val="003C2318"/>
    <w:rsid w:val="003C4AEC"/>
    <w:rsid w:val="003C516F"/>
    <w:rsid w:val="003C6960"/>
    <w:rsid w:val="003D0113"/>
    <w:rsid w:val="003D0BA6"/>
    <w:rsid w:val="003D14F9"/>
    <w:rsid w:val="003D5969"/>
    <w:rsid w:val="003D6A18"/>
    <w:rsid w:val="003E50E7"/>
    <w:rsid w:val="003E594C"/>
    <w:rsid w:val="003F1242"/>
    <w:rsid w:val="003F2D0D"/>
    <w:rsid w:val="003F2E82"/>
    <w:rsid w:val="00400562"/>
    <w:rsid w:val="004017C0"/>
    <w:rsid w:val="00405531"/>
    <w:rsid w:val="00413305"/>
    <w:rsid w:val="00413839"/>
    <w:rsid w:val="00413878"/>
    <w:rsid w:val="00413D62"/>
    <w:rsid w:val="00415B0C"/>
    <w:rsid w:val="00415FE7"/>
    <w:rsid w:val="00416307"/>
    <w:rsid w:val="004207B5"/>
    <w:rsid w:val="0042254F"/>
    <w:rsid w:val="00422C0A"/>
    <w:rsid w:val="00426BFF"/>
    <w:rsid w:val="00431C7A"/>
    <w:rsid w:val="004365D5"/>
    <w:rsid w:val="0044045D"/>
    <w:rsid w:val="00442548"/>
    <w:rsid w:val="00442C53"/>
    <w:rsid w:val="00450FCB"/>
    <w:rsid w:val="004522CA"/>
    <w:rsid w:val="00452F3D"/>
    <w:rsid w:val="00453BFA"/>
    <w:rsid w:val="004624D3"/>
    <w:rsid w:val="0047031E"/>
    <w:rsid w:val="0047299D"/>
    <w:rsid w:val="004747A4"/>
    <w:rsid w:val="004813C7"/>
    <w:rsid w:val="00482E2A"/>
    <w:rsid w:val="00493092"/>
    <w:rsid w:val="004931A2"/>
    <w:rsid w:val="0049340B"/>
    <w:rsid w:val="00493F70"/>
    <w:rsid w:val="004948CC"/>
    <w:rsid w:val="004A2AE7"/>
    <w:rsid w:val="004A7537"/>
    <w:rsid w:val="004A7608"/>
    <w:rsid w:val="004B24EB"/>
    <w:rsid w:val="004B36A5"/>
    <w:rsid w:val="004B5544"/>
    <w:rsid w:val="004B5A74"/>
    <w:rsid w:val="004B7874"/>
    <w:rsid w:val="004C0B0B"/>
    <w:rsid w:val="004C1715"/>
    <w:rsid w:val="004C608A"/>
    <w:rsid w:val="004D0293"/>
    <w:rsid w:val="004D05EF"/>
    <w:rsid w:val="004D0C6F"/>
    <w:rsid w:val="004D211D"/>
    <w:rsid w:val="004D2373"/>
    <w:rsid w:val="004D49BF"/>
    <w:rsid w:val="004D7636"/>
    <w:rsid w:val="004E604F"/>
    <w:rsid w:val="004F010A"/>
    <w:rsid w:val="004F24B2"/>
    <w:rsid w:val="004F3297"/>
    <w:rsid w:val="004F5174"/>
    <w:rsid w:val="004F5EDD"/>
    <w:rsid w:val="00500239"/>
    <w:rsid w:val="005048A3"/>
    <w:rsid w:val="00506E51"/>
    <w:rsid w:val="005072C1"/>
    <w:rsid w:val="00512C5A"/>
    <w:rsid w:val="00513446"/>
    <w:rsid w:val="00517F06"/>
    <w:rsid w:val="00520CE5"/>
    <w:rsid w:val="00521278"/>
    <w:rsid w:val="00524C4E"/>
    <w:rsid w:val="00525C0E"/>
    <w:rsid w:val="00527B89"/>
    <w:rsid w:val="00533B0C"/>
    <w:rsid w:val="00535146"/>
    <w:rsid w:val="00537DC4"/>
    <w:rsid w:val="005409D9"/>
    <w:rsid w:val="00547374"/>
    <w:rsid w:val="00547ABB"/>
    <w:rsid w:val="00547BDB"/>
    <w:rsid w:val="005502F4"/>
    <w:rsid w:val="005524BE"/>
    <w:rsid w:val="0055336C"/>
    <w:rsid w:val="00561C65"/>
    <w:rsid w:val="00562B00"/>
    <w:rsid w:val="0056444B"/>
    <w:rsid w:val="005652CE"/>
    <w:rsid w:val="00565FC6"/>
    <w:rsid w:val="00566147"/>
    <w:rsid w:val="00566285"/>
    <w:rsid w:val="005666D6"/>
    <w:rsid w:val="005668CB"/>
    <w:rsid w:val="00566CAF"/>
    <w:rsid w:val="00567D7E"/>
    <w:rsid w:val="00573FA8"/>
    <w:rsid w:val="00576A74"/>
    <w:rsid w:val="005776D6"/>
    <w:rsid w:val="0058000B"/>
    <w:rsid w:val="0058258A"/>
    <w:rsid w:val="00584F08"/>
    <w:rsid w:val="005908F0"/>
    <w:rsid w:val="00590CEC"/>
    <w:rsid w:val="00591BE7"/>
    <w:rsid w:val="00591D41"/>
    <w:rsid w:val="005966AF"/>
    <w:rsid w:val="005978A2"/>
    <w:rsid w:val="005A1F3D"/>
    <w:rsid w:val="005A226D"/>
    <w:rsid w:val="005A4A9F"/>
    <w:rsid w:val="005A6B82"/>
    <w:rsid w:val="005B2DB3"/>
    <w:rsid w:val="005B328E"/>
    <w:rsid w:val="005B3957"/>
    <w:rsid w:val="005B417C"/>
    <w:rsid w:val="005B50C6"/>
    <w:rsid w:val="005B7081"/>
    <w:rsid w:val="005C07CA"/>
    <w:rsid w:val="005C09B0"/>
    <w:rsid w:val="005D1314"/>
    <w:rsid w:val="005D23FE"/>
    <w:rsid w:val="005D3CD0"/>
    <w:rsid w:val="005E2623"/>
    <w:rsid w:val="005F1391"/>
    <w:rsid w:val="005F13D9"/>
    <w:rsid w:val="005F3785"/>
    <w:rsid w:val="005F5130"/>
    <w:rsid w:val="00600E4B"/>
    <w:rsid w:val="00603A6A"/>
    <w:rsid w:val="00607D9B"/>
    <w:rsid w:val="00611DF2"/>
    <w:rsid w:val="00612761"/>
    <w:rsid w:val="0062265A"/>
    <w:rsid w:val="00626A98"/>
    <w:rsid w:val="006270E7"/>
    <w:rsid w:val="0063140E"/>
    <w:rsid w:val="00631A70"/>
    <w:rsid w:val="0063286F"/>
    <w:rsid w:val="00632AAA"/>
    <w:rsid w:val="00632DD8"/>
    <w:rsid w:val="0063775E"/>
    <w:rsid w:val="006403A1"/>
    <w:rsid w:val="00641978"/>
    <w:rsid w:val="00644DE4"/>
    <w:rsid w:val="0065132E"/>
    <w:rsid w:val="00652C99"/>
    <w:rsid w:val="006556F8"/>
    <w:rsid w:val="00656788"/>
    <w:rsid w:val="00656977"/>
    <w:rsid w:val="006600D0"/>
    <w:rsid w:val="00662752"/>
    <w:rsid w:val="006658AF"/>
    <w:rsid w:val="00670F6C"/>
    <w:rsid w:val="00672191"/>
    <w:rsid w:val="006724C8"/>
    <w:rsid w:val="00673BAD"/>
    <w:rsid w:val="006762F3"/>
    <w:rsid w:val="00681440"/>
    <w:rsid w:val="006900FC"/>
    <w:rsid w:val="00690754"/>
    <w:rsid w:val="00691B52"/>
    <w:rsid w:val="006933B0"/>
    <w:rsid w:val="00696399"/>
    <w:rsid w:val="006A67B0"/>
    <w:rsid w:val="006B70AD"/>
    <w:rsid w:val="006B7E19"/>
    <w:rsid w:val="006C2B72"/>
    <w:rsid w:val="006C726E"/>
    <w:rsid w:val="006C7741"/>
    <w:rsid w:val="006C7921"/>
    <w:rsid w:val="006C7C8D"/>
    <w:rsid w:val="006D2DB6"/>
    <w:rsid w:val="006D36BB"/>
    <w:rsid w:val="006D36DC"/>
    <w:rsid w:val="006D6851"/>
    <w:rsid w:val="006D77FE"/>
    <w:rsid w:val="006E0908"/>
    <w:rsid w:val="006E21AA"/>
    <w:rsid w:val="006E42D8"/>
    <w:rsid w:val="006E43B3"/>
    <w:rsid w:val="006E73ED"/>
    <w:rsid w:val="006F12C3"/>
    <w:rsid w:val="006F4E7D"/>
    <w:rsid w:val="006F6021"/>
    <w:rsid w:val="007007A6"/>
    <w:rsid w:val="007020B7"/>
    <w:rsid w:val="0070430C"/>
    <w:rsid w:val="00704D0A"/>
    <w:rsid w:val="0070724F"/>
    <w:rsid w:val="00710BF5"/>
    <w:rsid w:val="00710E73"/>
    <w:rsid w:val="00711BBE"/>
    <w:rsid w:val="00712DF7"/>
    <w:rsid w:val="0071337E"/>
    <w:rsid w:val="0071535E"/>
    <w:rsid w:val="00715A4B"/>
    <w:rsid w:val="007177F5"/>
    <w:rsid w:val="0072013A"/>
    <w:rsid w:val="00720703"/>
    <w:rsid w:val="00720C6A"/>
    <w:rsid w:val="00735B56"/>
    <w:rsid w:val="00737819"/>
    <w:rsid w:val="00742AED"/>
    <w:rsid w:val="00742C67"/>
    <w:rsid w:val="00744B54"/>
    <w:rsid w:val="00752F0F"/>
    <w:rsid w:val="007533E6"/>
    <w:rsid w:val="00753FF8"/>
    <w:rsid w:val="007560C9"/>
    <w:rsid w:val="00757146"/>
    <w:rsid w:val="00757DAC"/>
    <w:rsid w:val="00761F9B"/>
    <w:rsid w:val="007630D9"/>
    <w:rsid w:val="00764FE1"/>
    <w:rsid w:val="007702A1"/>
    <w:rsid w:val="00772075"/>
    <w:rsid w:val="00772367"/>
    <w:rsid w:val="0077269D"/>
    <w:rsid w:val="00773888"/>
    <w:rsid w:val="00776F9E"/>
    <w:rsid w:val="00780A20"/>
    <w:rsid w:val="0078416A"/>
    <w:rsid w:val="007918B5"/>
    <w:rsid w:val="00795992"/>
    <w:rsid w:val="007A1897"/>
    <w:rsid w:val="007A37F5"/>
    <w:rsid w:val="007A506B"/>
    <w:rsid w:val="007A62B3"/>
    <w:rsid w:val="007A644A"/>
    <w:rsid w:val="007A73C8"/>
    <w:rsid w:val="007B2B8A"/>
    <w:rsid w:val="007B2F9A"/>
    <w:rsid w:val="007B306B"/>
    <w:rsid w:val="007B52D1"/>
    <w:rsid w:val="007B559B"/>
    <w:rsid w:val="007C2519"/>
    <w:rsid w:val="007C71FB"/>
    <w:rsid w:val="007C7584"/>
    <w:rsid w:val="007D0076"/>
    <w:rsid w:val="007D15B9"/>
    <w:rsid w:val="007D4BF1"/>
    <w:rsid w:val="007D5361"/>
    <w:rsid w:val="007D58FF"/>
    <w:rsid w:val="007D6E5C"/>
    <w:rsid w:val="007E45D3"/>
    <w:rsid w:val="007E7E91"/>
    <w:rsid w:val="007F1F1F"/>
    <w:rsid w:val="007F2037"/>
    <w:rsid w:val="007F5388"/>
    <w:rsid w:val="007F5779"/>
    <w:rsid w:val="007F7C94"/>
    <w:rsid w:val="008009F1"/>
    <w:rsid w:val="00800A9A"/>
    <w:rsid w:val="00800F33"/>
    <w:rsid w:val="00801649"/>
    <w:rsid w:val="00801775"/>
    <w:rsid w:val="00801F3D"/>
    <w:rsid w:val="0080330B"/>
    <w:rsid w:val="008078FE"/>
    <w:rsid w:val="008109D5"/>
    <w:rsid w:val="0081347B"/>
    <w:rsid w:val="00816E57"/>
    <w:rsid w:val="00822ADB"/>
    <w:rsid w:val="0082660E"/>
    <w:rsid w:val="008279CF"/>
    <w:rsid w:val="008376F3"/>
    <w:rsid w:val="00837AB9"/>
    <w:rsid w:val="008407D8"/>
    <w:rsid w:val="008422DF"/>
    <w:rsid w:val="008475E7"/>
    <w:rsid w:val="0085090C"/>
    <w:rsid w:val="00851B3D"/>
    <w:rsid w:val="00853833"/>
    <w:rsid w:val="00856478"/>
    <w:rsid w:val="00856C69"/>
    <w:rsid w:val="00860FA0"/>
    <w:rsid w:val="00861B6C"/>
    <w:rsid w:val="00864483"/>
    <w:rsid w:val="00864635"/>
    <w:rsid w:val="00864F88"/>
    <w:rsid w:val="00867250"/>
    <w:rsid w:val="00884B05"/>
    <w:rsid w:val="00884BEB"/>
    <w:rsid w:val="00897784"/>
    <w:rsid w:val="008A0489"/>
    <w:rsid w:val="008A3500"/>
    <w:rsid w:val="008A357F"/>
    <w:rsid w:val="008A65B2"/>
    <w:rsid w:val="008B3CC0"/>
    <w:rsid w:val="008B6B6F"/>
    <w:rsid w:val="008C3D54"/>
    <w:rsid w:val="008C5837"/>
    <w:rsid w:val="008D3DF6"/>
    <w:rsid w:val="008D437A"/>
    <w:rsid w:val="008D4C0E"/>
    <w:rsid w:val="008D690E"/>
    <w:rsid w:val="008E2302"/>
    <w:rsid w:val="008E569F"/>
    <w:rsid w:val="008E5B8B"/>
    <w:rsid w:val="008F0556"/>
    <w:rsid w:val="008F3337"/>
    <w:rsid w:val="008F4C19"/>
    <w:rsid w:val="009004D8"/>
    <w:rsid w:val="00903C5F"/>
    <w:rsid w:val="00904B38"/>
    <w:rsid w:val="0090665B"/>
    <w:rsid w:val="00910B3E"/>
    <w:rsid w:val="009132C9"/>
    <w:rsid w:val="00913A2B"/>
    <w:rsid w:val="00913D6E"/>
    <w:rsid w:val="00926852"/>
    <w:rsid w:val="009307C9"/>
    <w:rsid w:val="00931556"/>
    <w:rsid w:val="00933BFC"/>
    <w:rsid w:val="00943101"/>
    <w:rsid w:val="00943F70"/>
    <w:rsid w:val="00944AE5"/>
    <w:rsid w:val="00952E9C"/>
    <w:rsid w:val="00956D5F"/>
    <w:rsid w:val="00971229"/>
    <w:rsid w:val="00971F26"/>
    <w:rsid w:val="00972906"/>
    <w:rsid w:val="00975C35"/>
    <w:rsid w:val="009774FE"/>
    <w:rsid w:val="00982909"/>
    <w:rsid w:val="009840C1"/>
    <w:rsid w:val="00985997"/>
    <w:rsid w:val="009921D6"/>
    <w:rsid w:val="00994AFA"/>
    <w:rsid w:val="0099786E"/>
    <w:rsid w:val="009A0288"/>
    <w:rsid w:val="009B1FF5"/>
    <w:rsid w:val="009B2C27"/>
    <w:rsid w:val="009B48BA"/>
    <w:rsid w:val="009C3105"/>
    <w:rsid w:val="009C3C24"/>
    <w:rsid w:val="009C43AD"/>
    <w:rsid w:val="009D1CDE"/>
    <w:rsid w:val="009D2D23"/>
    <w:rsid w:val="009E103A"/>
    <w:rsid w:val="009E208D"/>
    <w:rsid w:val="009E2F95"/>
    <w:rsid w:val="009E5DC1"/>
    <w:rsid w:val="009F005F"/>
    <w:rsid w:val="009F2DD0"/>
    <w:rsid w:val="009F3880"/>
    <w:rsid w:val="00A0135C"/>
    <w:rsid w:val="00A045EC"/>
    <w:rsid w:val="00A04D55"/>
    <w:rsid w:val="00A0521F"/>
    <w:rsid w:val="00A102AB"/>
    <w:rsid w:val="00A1153D"/>
    <w:rsid w:val="00A16788"/>
    <w:rsid w:val="00A169A2"/>
    <w:rsid w:val="00A174F5"/>
    <w:rsid w:val="00A22695"/>
    <w:rsid w:val="00A23C57"/>
    <w:rsid w:val="00A24225"/>
    <w:rsid w:val="00A317A0"/>
    <w:rsid w:val="00A3234D"/>
    <w:rsid w:val="00A33B34"/>
    <w:rsid w:val="00A40D8A"/>
    <w:rsid w:val="00A4212F"/>
    <w:rsid w:val="00A50BAC"/>
    <w:rsid w:val="00A52500"/>
    <w:rsid w:val="00A532B8"/>
    <w:rsid w:val="00A544A1"/>
    <w:rsid w:val="00A5584F"/>
    <w:rsid w:val="00A55DB6"/>
    <w:rsid w:val="00A560BF"/>
    <w:rsid w:val="00A56EEB"/>
    <w:rsid w:val="00A648AF"/>
    <w:rsid w:val="00A65B33"/>
    <w:rsid w:val="00A66A0E"/>
    <w:rsid w:val="00A66BBB"/>
    <w:rsid w:val="00A7788F"/>
    <w:rsid w:val="00A80801"/>
    <w:rsid w:val="00A83539"/>
    <w:rsid w:val="00A87752"/>
    <w:rsid w:val="00A93998"/>
    <w:rsid w:val="00A9743B"/>
    <w:rsid w:val="00AA0582"/>
    <w:rsid w:val="00AA2150"/>
    <w:rsid w:val="00AA25A4"/>
    <w:rsid w:val="00AA6062"/>
    <w:rsid w:val="00AA637E"/>
    <w:rsid w:val="00AA6DF2"/>
    <w:rsid w:val="00AA7C84"/>
    <w:rsid w:val="00AB33A0"/>
    <w:rsid w:val="00AC3260"/>
    <w:rsid w:val="00AC471F"/>
    <w:rsid w:val="00AC6758"/>
    <w:rsid w:val="00AD0455"/>
    <w:rsid w:val="00AD149A"/>
    <w:rsid w:val="00AD170A"/>
    <w:rsid w:val="00AD2906"/>
    <w:rsid w:val="00AD57F6"/>
    <w:rsid w:val="00AD6E2B"/>
    <w:rsid w:val="00AE45D5"/>
    <w:rsid w:val="00AE6A88"/>
    <w:rsid w:val="00AF284D"/>
    <w:rsid w:val="00B00625"/>
    <w:rsid w:val="00B04214"/>
    <w:rsid w:val="00B05597"/>
    <w:rsid w:val="00B05637"/>
    <w:rsid w:val="00B065C0"/>
    <w:rsid w:val="00B23400"/>
    <w:rsid w:val="00B235C5"/>
    <w:rsid w:val="00B27B67"/>
    <w:rsid w:val="00B31E91"/>
    <w:rsid w:val="00B32ECC"/>
    <w:rsid w:val="00B33059"/>
    <w:rsid w:val="00B33792"/>
    <w:rsid w:val="00B34C94"/>
    <w:rsid w:val="00B34F6F"/>
    <w:rsid w:val="00B37B0F"/>
    <w:rsid w:val="00B43183"/>
    <w:rsid w:val="00B44972"/>
    <w:rsid w:val="00B4532F"/>
    <w:rsid w:val="00B45FFA"/>
    <w:rsid w:val="00B474A5"/>
    <w:rsid w:val="00B54E0E"/>
    <w:rsid w:val="00B5654D"/>
    <w:rsid w:val="00B570E3"/>
    <w:rsid w:val="00B605AB"/>
    <w:rsid w:val="00B61142"/>
    <w:rsid w:val="00B6552F"/>
    <w:rsid w:val="00B65D65"/>
    <w:rsid w:val="00B71FBD"/>
    <w:rsid w:val="00B80F3A"/>
    <w:rsid w:val="00B8320D"/>
    <w:rsid w:val="00B87710"/>
    <w:rsid w:val="00B96400"/>
    <w:rsid w:val="00BA579E"/>
    <w:rsid w:val="00BA67CE"/>
    <w:rsid w:val="00BA6926"/>
    <w:rsid w:val="00BB1E93"/>
    <w:rsid w:val="00BB3E10"/>
    <w:rsid w:val="00BC0E6D"/>
    <w:rsid w:val="00BC1A59"/>
    <w:rsid w:val="00BC357E"/>
    <w:rsid w:val="00BD084B"/>
    <w:rsid w:val="00BD1201"/>
    <w:rsid w:val="00BD15E9"/>
    <w:rsid w:val="00BD1DB5"/>
    <w:rsid w:val="00BD7E08"/>
    <w:rsid w:val="00BE5857"/>
    <w:rsid w:val="00BE60DD"/>
    <w:rsid w:val="00BE6150"/>
    <w:rsid w:val="00BE6AE7"/>
    <w:rsid w:val="00BE73CB"/>
    <w:rsid w:val="00BF04D9"/>
    <w:rsid w:val="00BF73E6"/>
    <w:rsid w:val="00C01AFE"/>
    <w:rsid w:val="00C1056D"/>
    <w:rsid w:val="00C17790"/>
    <w:rsid w:val="00C25898"/>
    <w:rsid w:val="00C30CDB"/>
    <w:rsid w:val="00C3344E"/>
    <w:rsid w:val="00C338D3"/>
    <w:rsid w:val="00C35CAD"/>
    <w:rsid w:val="00C40F3D"/>
    <w:rsid w:val="00C42CD9"/>
    <w:rsid w:val="00C4599C"/>
    <w:rsid w:val="00C46A14"/>
    <w:rsid w:val="00C51EB2"/>
    <w:rsid w:val="00C5200A"/>
    <w:rsid w:val="00C52441"/>
    <w:rsid w:val="00C57141"/>
    <w:rsid w:val="00C604E5"/>
    <w:rsid w:val="00C6193A"/>
    <w:rsid w:val="00C634B7"/>
    <w:rsid w:val="00C64B51"/>
    <w:rsid w:val="00C64DEE"/>
    <w:rsid w:val="00C65844"/>
    <w:rsid w:val="00C6765B"/>
    <w:rsid w:val="00C73490"/>
    <w:rsid w:val="00C75BA3"/>
    <w:rsid w:val="00C778ED"/>
    <w:rsid w:val="00C80C76"/>
    <w:rsid w:val="00C813C5"/>
    <w:rsid w:val="00C81751"/>
    <w:rsid w:val="00C86A22"/>
    <w:rsid w:val="00C90C7F"/>
    <w:rsid w:val="00C90F0D"/>
    <w:rsid w:val="00C9180B"/>
    <w:rsid w:val="00C928FA"/>
    <w:rsid w:val="00CA3EF9"/>
    <w:rsid w:val="00CA3FA8"/>
    <w:rsid w:val="00CA6790"/>
    <w:rsid w:val="00CA7767"/>
    <w:rsid w:val="00CA7D89"/>
    <w:rsid w:val="00CB1AD0"/>
    <w:rsid w:val="00CB2580"/>
    <w:rsid w:val="00CB6D25"/>
    <w:rsid w:val="00CB77FF"/>
    <w:rsid w:val="00CC0BFB"/>
    <w:rsid w:val="00CC7AE6"/>
    <w:rsid w:val="00CD5D5B"/>
    <w:rsid w:val="00CD692D"/>
    <w:rsid w:val="00CE47CD"/>
    <w:rsid w:val="00CE5841"/>
    <w:rsid w:val="00CE6DD8"/>
    <w:rsid w:val="00CE708A"/>
    <w:rsid w:val="00CE7931"/>
    <w:rsid w:val="00CF01BD"/>
    <w:rsid w:val="00CF1F7C"/>
    <w:rsid w:val="00D035BE"/>
    <w:rsid w:val="00D03899"/>
    <w:rsid w:val="00D0425D"/>
    <w:rsid w:val="00D0544C"/>
    <w:rsid w:val="00D06232"/>
    <w:rsid w:val="00D06D37"/>
    <w:rsid w:val="00D130C8"/>
    <w:rsid w:val="00D13470"/>
    <w:rsid w:val="00D136BD"/>
    <w:rsid w:val="00D215EE"/>
    <w:rsid w:val="00D216E9"/>
    <w:rsid w:val="00D2185D"/>
    <w:rsid w:val="00D22B5B"/>
    <w:rsid w:val="00D24FE9"/>
    <w:rsid w:val="00D318D9"/>
    <w:rsid w:val="00D32AA7"/>
    <w:rsid w:val="00D34F6D"/>
    <w:rsid w:val="00D417C6"/>
    <w:rsid w:val="00D41BA7"/>
    <w:rsid w:val="00D4352E"/>
    <w:rsid w:val="00D4461D"/>
    <w:rsid w:val="00D5030A"/>
    <w:rsid w:val="00D50862"/>
    <w:rsid w:val="00D51555"/>
    <w:rsid w:val="00D51CC4"/>
    <w:rsid w:val="00D5331F"/>
    <w:rsid w:val="00D5584A"/>
    <w:rsid w:val="00D5606C"/>
    <w:rsid w:val="00D57110"/>
    <w:rsid w:val="00D6236A"/>
    <w:rsid w:val="00D62C6F"/>
    <w:rsid w:val="00D6629C"/>
    <w:rsid w:val="00D70EF0"/>
    <w:rsid w:val="00D84340"/>
    <w:rsid w:val="00D85602"/>
    <w:rsid w:val="00D863B0"/>
    <w:rsid w:val="00D87365"/>
    <w:rsid w:val="00D87A80"/>
    <w:rsid w:val="00D9101C"/>
    <w:rsid w:val="00D91352"/>
    <w:rsid w:val="00D91B3C"/>
    <w:rsid w:val="00D96979"/>
    <w:rsid w:val="00D96CD9"/>
    <w:rsid w:val="00D96D65"/>
    <w:rsid w:val="00DA4003"/>
    <w:rsid w:val="00DA48A4"/>
    <w:rsid w:val="00DA5857"/>
    <w:rsid w:val="00DB2B62"/>
    <w:rsid w:val="00DC2FEE"/>
    <w:rsid w:val="00DC5A25"/>
    <w:rsid w:val="00DC614E"/>
    <w:rsid w:val="00DD13B4"/>
    <w:rsid w:val="00DD1FF7"/>
    <w:rsid w:val="00DD2A46"/>
    <w:rsid w:val="00DD3EF7"/>
    <w:rsid w:val="00DD3FFD"/>
    <w:rsid w:val="00DD707F"/>
    <w:rsid w:val="00DF1257"/>
    <w:rsid w:val="00DF16C5"/>
    <w:rsid w:val="00DF1ADF"/>
    <w:rsid w:val="00DF3AB1"/>
    <w:rsid w:val="00DF7B23"/>
    <w:rsid w:val="00E04B7D"/>
    <w:rsid w:val="00E0749A"/>
    <w:rsid w:val="00E1340D"/>
    <w:rsid w:val="00E14D26"/>
    <w:rsid w:val="00E20E77"/>
    <w:rsid w:val="00E220C9"/>
    <w:rsid w:val="00E22EFE"/>
    <w:rsid w:val="00E232E8"/>
    <w:rsid w:val="00E23943"/>
    <w:rsid w:val="00E27FCE"/>
    <w:rsid w:val="00E336DE"/>
    <w:rsid w:val="00E35395"/>
    <w:rsid w:val="00E373D1"/>
    <w:rsid w:val="00E40382"/>
    <w:rsid w:val="00E4483C"/>
    <w:rsid w:val="00E47AC5"/>
    <w:rsid w:val="00E50764"/>
    <w:rsid w:val="00E5141C"/>
    <w:rsid w:val="00E51629"/>
    <w:rsid w:val="00E55B3C"/>
    <w:rsid w:val="00E55D42"/>
    <w:rsid w:val="00E56CF5"/>
    <w:rsid w:val="00E5715C"/>
    <w:rsid w:val="00E614A0"/>
    <w:rsid w:val="00E6211B"/>
    <w:rsid w:val="00E717F7"/>
    <w:rsid w:val="00E739FD"/>
    <w:rsid w:val="00E73C33"/>
    <w:rsid w:val="00E75E3E"/>
    <w:rsid w:val="00E7732F"/>
    <w:rsid w:val="00E77CD0"/>
    <w:rsid w:val="00E87455"/>
    <w:rsid w:val="00E875FD"/>
    <w:rsid w:val="00E90FC8"/>
    <w:rsid w:val="00E91224"/>
    <w:rsid w:val="00E91999"/>
    <w:rsid w:val="00E92C25"/>
    <w:rsid w:val="00E92EA6"/>
    <w:rsid w:val="00E9308D"/>
    <w:rsid w:val="00E9310F"/>
    <w:rsid w:val="00E974CA"/>
    <w:rsid w:val="00EA041A"/>
    <w:rsid w:val="00EA0E87"/>
    <w:rsid w:val="00EA1503"/>
    <w:rsid w:val="00EA18F3"/>
    <w:rsid w:val="00EA54BB"/>
    <w:rsid w:val="00EB4805"/>
    <w:rsid w:val="00EC378C"/>
    <w:rsid w:val="00EC43C7"/>
    <w:rsid w:val="00EC64B3"/>
    <w:rsid w:val="00EC6DD7"/>
    <w:rsid w:val="00ED268A"/>
    <w:rsid w:val="00EE44C7"/>
    <w:rsid w:val="00EE5A1E"/>
    <w:rsid w:val="00EE70C4"/>
    <w:rsid w:val="00EE79DB"/>
    <w:rsid w:val="00EF0621"/>
    <w:rsid w:val="00EF24EC"/>
    <w:rsid w:val="00EF4D34"/>
    <w:rsid w:val="00F11186"/>
    <w:rsid w:val="00F157A2"/>
    <w:rsid w:val="00F158D6"/>
    <w:rsid w:val="00F21BC6"/>
    <w:rsid w:val="00F32DCC"/>
    <w:rsid w:val="00F44B1D"/>
    <w:rsid w:val="00F5065C"/>
    <w:rsid w:val="00F54AEE"/>
    <w:rsid w:val="00F56E8B"/>
    <w:rsid w:val="00F62C52"/>
    <w:rsid w:val="00F67284"/>
    <w:rsid w:val="00F7301F"/>
    <w:rsid w:val="00F75EC9"/>
    <w:rsid w:val="00F762AB"/>
    <w:rsid w:val="00F77D9D"/>
    <w:rsid w:val="00F8222F"/>
    <w:rsid w:val="00F831F6"/>
    <w:rsid w:val="00F840CD"/>
    <w:rsid w:val="00F8491F"/>
    <w:rsid w:val="00F870C0"/>
    <w:rsid w:val="00F873D7"/>
    <w:rsid w:val="00F94E93"/>
    <w:rsid w:val="00F95B72"/>
    <w:rsid w:val="00FA4501"/>
    <w:rsid w:val="00FA4E7F"/>
    <w:rsid w:val="00FA5A77"/>
    <w:rsid w:val="00FA6256"/>
    <w:rsid w:val="00FA6C15"/>
    <w:rsid w:val="00FB7AAF"/>
    <w:rsid w:val="00FC026A"/>
    <w:rsid w:val="00FC6AD3"/>
    <w:rsid w:val="00FC7814"/>
    <w:rsid w:val="00FD0456"/>
    <w:rsid w:val="00FD7565"/>
    <w:rsid w:val="00FE44F6"/>
    <w:rsid w:val="00FE613E"/>
    <w:rsid w:val="00FE7A3D"/>
    <w:rsid w:val="00FF490C"/>
    <w:rsid w:val="00FF4E3F"/>
    <w:rsid w:val="00FF63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58FC"/>
  <w15:docId w15:val="{53A7F902-4CB0-42B9-98C0-C506D987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0E"/>
  </w:style>
  <w:style w:type="paragraph" w:styleId="Heading1">
    <w:name w:val="heading 1"/>
    <w:basedOn w:val="Normal"/>
    <w:next w:val="Normal"/>
    <w:link w:val="Heading1Char"/>
    <w:uiPriority w:val="9"/>
    <w:qFormat/>
    <w:rsid w:val="00123A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B605AB"/>
    <w:pPr>
      <w:keepNext/>
      <w:keepLines/>
      <w:spacing w:after="0" w:line="240" w:lineRule="auto"/>
      <w:outlineLvl w:val="1"/>
    </w:pPr>
    <w:rPr>
      <w:rFonts w:eastAsiaTheme="majorEastAsia"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06B"/>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7B306B"/>
    <w:pPr>
      <w:ind w:left="720"/>
      <w:contextualSpacing/>
    </w:pPr>
  </w:style>
  <w:style w:type="paragraph" w:styleId="Header">
    <w:name w:val="header"/>
    <w:basedOn w:val="Normal"/>
    <w:link w:val="HeaderChar"/>
    <w:uiPriority w:val="99"/>
    <w:unhideWhenUsed/>
    <w:rsid w:val="00C45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9C"/>
  </w:style>
  <w:style w:type="paragraph" w:styleId="Footer">
    <w:name w:val="footer"/>
    <w:basedOn w:val="Normal"/>
    <w:link w:val="FooterChar"/>
    <w:uiPriority w:val="99"/>
    <w:unhideWhenUsed/>
    <w:rsid w:val="00C45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9C"/>
  </w:style>
  <w:style w:type="paragraph" w:styleId="BalloonText">
    <w:name w:val="Balloon Text"/>
    <w:basedOn w:val="Normal"/>
    <w:link w:val="BalloonTextChar"/>
    <w:uiPriority w:val="99"/>
    <w:semiHidden/>
    <w:unhideWhenUsed/>
    <w:rsid w:val="00D96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79"/>
    <w:rPr>
      <w:rFonts w:ascii="Tahoma" w:hAnsi="Tahoma" w:cs="Tahoma"/>
      <w:sz w:val="16"/>
      <w:szCs w:val="16"/>
    </w:rPr>
  </w:style>
  <w:style w:type="character" w:customStyle="1" w:styleId="Heading2Char">
    <w:name w:val="Heading 2 Char"/>
    <w:basedOn w:val="DefaultParagraphFont"/>
    <w:link w:val="Heading2"/>
    <w:uiPriority w:val="9"/>
    <w:rsid w:val="00B605AB"/>
    <w:rPr>
      <w:rFonts w:eastAsiaTheme="majorEastAsia" w:cs="Times New Roman"/>
      <w:b/>
      <w:bCs/>
      <w:iCs/>
    </w:rPr>
  </w:style>
  <w:style w:type="character" w:styleId="CommentReference">
    <w:name w:val="annotation reference"/>
    <w:basedOn w:val="DefaultParagraphFont"/>
    <w:uiPriority w:val="99"/>
    <w:semiHidden/>
    <w:unhideWhenUsed/>
    <w:rsid w:val="002C602C"/>
    <w:rPr>
      <w:sz w:val="16"/>
      <w:szCs w:val="16"/>
    </w:rPr>
  </w:style>
  <w:style w:type="paragraph" w:styleId="CommentText">
    <w:name w:val="annotation text"/>
    <w:basedOn w:val="Normal"/>
    <w:link w:val="CommentTextChar"/>
    <w:uiPriority w:val="99"/>
    <w:unhideWhenUsed/>
    <w:rsid w:val="002C602C"/>
    <w:pPr>
      <w:spacing w:line="240" w:lineRule="auto"/>
    </w:pPr>
    <w:rPr>
      <w:sz w:val="20"/>
      <w:szCs w:val="20"/>
    </w:rPr>
  </w:style>
  <w:style w:type="character" w:customStyle="1" w:styleId="CommentTextChar">
    <w:name w:val="Comment Text Char"/>
    <w:basedOn w:val="DefaultParagraphFont"/>
    <w:link w:val="CommentText"/>
    <w:uiPriority w:val="99"/>
    <w:rsid w:val="002C602C"/>
    <w:rPr>
      <w:sz w:val="20"/>
      <w:szCs w:val="20"/>
    </w:rPr>
  </w:style>
  <w:style w:type="paragraph" w:styleId="CommentSubject">
    <w:name w:val="annotation subject"/>
    <w:basedOn w:val="CommentText"/>
    <w:next w:val="CommentText"/>
    <w:link w:val="CommentSubjectChar"/>
    <w:uiPriority w:val="99"/>
    <w:semiHidden/>
    <w:unhideWhenUsed/>
    <w:rsid w:val="002C602C"/>
    <w:rPr>
      <w:b/>
      <w:bCs/>
    </w:rPr>
  </w:style>
  <w:style w:type="character" w:customStyle="1" w:styleId="CommentSubjectChar">
    <w:name w:val="Comment Subject Char"/>
    <w:basedOn w:val="CommentTextChar"/>
    <w:link w:val="CommentSubject"/>
    <w:uiPriority w:val="99"/>
    <w:semiHidden/>
    <w:rsid w:val="002C602C"/>
    <w:rPr>
      <w:b/>
      <w:bCs/>
      <w:sz w:val="20"/>
      <w:szCs w:val="20"/>
    </w:rPr>
  </w:style>
  <w:style w:type="table" w:styleId="TableGrid">
    <w:name w:val="Table Grid"/>
    <w:basedOn w:val="TableNormal"/>
    <w:uiPriority w:val="39"/>
    <w:rsid w:val="0065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C69"/>
    <w:rPr>
      <w:color w:val="0563C1" w:themeColor="hyperlink"/>
      <w:u w:val="single"/>
    </w:rPr>
  </w:style>
  <w:style w:type="character" w:styleId="UnresolvedMention">
    <w:name w:val="Unresolved Mention"/>
    <w:basedOn w:val="DefaultParagraphFont"/>
    <w:uiPriority w:val="99"/>
    <w:semiHidden/>
    <w:unhideWhenUsed/>
    <w:rsid w:val="00856C69"/>
    <w:rPr>
      <w:color w:val="605E5C"/>
      <w:shd w:val="clear" w:color="auto" w:fill="E1DFDD"/>
    </w:rPr>
  </w:style>
  <w:style w:type="character" w:customStyle="1" w:styleId="Heading1Char">
    <w:name w:val="Heading 1 Char"/>
    <w:basedOn w:val="DefaultParagraphFont"/>
    <w:link w:val="Heading1"/>
    <w:uiPriority w:val="9"/>
    <w:rsid w:val="00123A66"/>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123A66"/>
  </w:style>
  <w:style w:type="character" w:customStyle="1" w:styleId="sr-only">
    <w:name w:val="sr-only"/>
    <w:basedOn w:val="DefaultParagraphFont"/>
    <w:rsid w:val="00123A66"/>
  </w:style>
  <w:style w:type="character" w:customStyle="1" w:styleId="text">
    <w:name w:val="text"/>
    <w:basedOn w:val="DefaultParagraphFont"/>
    <w:rsid w:val="00123A66"/>
  </w:style>
  <w:style w:type="character" w:customStyle="1" w:styleId="author-ref">
    <w:name w:val="author-ref"/>
    <w:basedOn w:val="DefaultParagraphFont"/>
    <w:rsid w:val="00123A66"/>
  </w:style>
  <w:style w:type="character" w:customStyle="1" w:styleId="button-text">
    <w:name w:val="button-text"/>
    <w:basedOn w:val="DefaultParagraphFont"/>
    <w:rsid w:val="00123A66"/>
  </w:style>
  <w:style w:type="character" w:styleId="FollowedHyperlink">
    <w:name w:val="FollowedHyperlink"/>
    <w:basedOn w:val="DefaultParagraphFont"/>
    <w:uiPriority w:val="99"/>
    <w:semiHidden/>
    <w:unhideWhenUsed/>
    <w:rsid w:val="004813C7"/>
    <w:rPr>
      <w:color w:val="954F72" w:themeColor="followedHyperlink"/>
      <w:u w:val="single"/>
    </w:rPr>
  </w:style>
  <w:style w:type="paragraph" w:styleId="Revision">
    <w:name w:val="Revision"/>
    <w:hidden/>
    <w:uiPriority w:val="99"/>
    <w:semiHidden/>
    <w:rsid w:val="001877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0232">
      <w:bodyDiv w:val="1"/>
      <w:marLeft w:val="0"/>
      <w:marRight w:val="0"/>
      <w:marTop w:val="0"/>
      <w:marBottom w:val="0"/>
      <w:divBdr>
        <w:top w:val="none" w:sz="0" w:space="0" w:color="auto"/>
        <w:left w:val="none" w:sz="0" w:space="0" w:color="auto"/>
        <w:bottom w:val="none" w:sz="0" w:space="0" w:color="auto"/>
        <w:right w:val="none" w:sz="0" w:space="0" w:color="auto"/>
      </w:divBdr>
    </w:div>
    <w:div w:id="141312587">
      <w:bodyDiv w:val="1"/>
      <w:marLeft w:val="0"/>
      <w:marRight w:val="0"/>
      <w:marTop w:val="0"/>
      <w:marBottom w:val="0"/>
      <w:divBdr>
        <w:top w:val="none" w:sz="0" w:space="0" w:color="auto"/>
        <w:left w:val="none" w:sz="0" w:space="0" w:color="auto"/>
        <w:bottom w:val="none" w:sz="0" w:space="0" w:color="auto"/>
        <w:right w:val="none" w:sz="0" w:space="0" w:color="auto"/>
      </w:divBdr>
    </w:div>
    <w:div w:id="147862012">
      <w:bodyDiv w:val="1"/>
      <w:marLeft w:val="0"/>
      <w:marRight w:val="0"/>
      <w:marTop w:val="0"/>
      <w:marBottom w:val="0"/>
      <w:divBdr>
        <w:top w:val="none" w:sz="0" w:space="0" w:color="auto"/>
        <w:left w:val="none" w:sz="0" w:space="0" w:color="auto"/>
        <w:bottom w:val="none" w:sz="0" w:space="0" w:color="auto"/>
        <w:right w:val="none" w:sz="0" w:space="0" w:color="auto"/>
      </w:divBdr>
    </w:div>
    <w:div w:id="242497410">
      <w:bodyDiv w:val="1"/>
      <w:marLeft w:val="0"/>
      <w:marRight w:val="0"/>
      <w:marTop w:val="0"/>
      <w:marBottom w:val="0"/>
      <w:divBdr>
        <w:top w:val="none" w:sz="0" w:space="0" w:color="auto"/>
        <w:left w:val="none" w:sz="0" w:space="0" w:color="auto"/>
        <w:bottom w:val="none" w:sz="0" w:space="0" w:color="auto"/>
        <w:right w:val="none" w:sz="0" w:space="0" w:color="auto"/>
      </w:divBdr>
    </w:div>
    <w:div w:id="476456386">
      <w:bodyDiv w:val="1"/>
      <w:marLeft w:val="0"/>
      <w:marRight w:val="0"/>
      <w:marTop w:val="0"/>
      <w:marBottom w:val="0"/>
      <w:divBdr>
        <w:top w:val="none" w:sz="0" w:space="0" w:color="auto"/>
        <w:left w:val="none" w:sz="0" w:space="0" w:color="auto"/>
        <w:bottom w:val="none" w:sz="0" w:space="0" w:color="auto"/>
        <w:right w:val="none" w:sz="0" w:space="0" w:color="auto"/>
      </w:divBdr>
    </w:div>
    <w:div w:id="488134003">
      <w:bodyDiv w:val="1"/>
      <w:marLeft w:val="0"/>
      <w:marRight w:val="0"/>
      <w:marTop w:val="0"/>
      <w:marBottom w:val="0"/>
      <w:divBdr>
        <w:top w:val="none" w:sz="0" w:space="0" w:color="auto"/>
        <w:left w:val="none" w:sz="0" w:space="0" w:color="auto"/>
        <w:bottom w:val="none" w:sz="0" w:space="0" w:color="auto"/>
        <w:right w:val="none" w:sz="0" w:space="0" w:color="auto"/>
      </w:divBdr>
    </w:div>
    <w:div w:id="506483788">
      <w:bodyDiv w:val="1"/>
      <w:marLeft w:val="0"/>
      <w:marRight w:val="0"/>
      <w:marTop w:val="0"/>
      <w:marBottom w:val="0"/>
      <w:divBdr>
        <w:top w:val="none" w:sz="0" w:space="0" w:color="auto"/>
        <w:left w:val="none" w:sz="0" w:space="0" w:color="auto"/>
        <w:bottom w:val="none" w:sz="0" w:space="0" w:color="auto"/>
        <w:right w:val="none" w:sz="0" w:space="0" w:color="auto"/>
      </w:divBdr>
    </w:div>
    <w:div w:id="539168506">
      <w:bodyDiv w:val="1"/>
      <w:marLeft w:val="0"/>
      <w:marRight w:val="0"/>
      <w:marTop w:val="0"/>
      <w:marBottom w:val="0"/>
      <w:divBdr>
        <w:top w:val="none" w:sz="0" w:space="0" w:color="auto"/>
        <w:left w:val="none" w:sz="0" w:space="0" w:color="auto"/>
        <w:bottom w:val="none" w:sz="0" w:space="0" w:color="auto"/>
        <w:right w:val="none" w:sz="0" w:space="0" w:color="auto"/>
      </w:divBdr>
    </w:div>
    <w:div w:id="580719731">
      <w:bodyDiv w:val="1"/>
      <w:marLeft w:val="0"/>
      <w:marRight w:val="0"/>
      <w:marTop w:val="0"/>
      <w:marBottom w:val="0"/>
      <w:divBdr>
        <w:top w:val="none" w:sz="0" w:space="0" w:color="auto"/>
        <w:left w:val="none" w:sz="0" w:space="0" w:color="auto"/>
        <w:bottom w:val="none" w:sz="0" w:space="0" w:color="auto"/>
        <w:right w:val="none" w:sz="0" w:space="0" w:color="auto"/>
      </w:divBdr>
    </w:div>
    <w:div w:id="580721207">
      <w:bodyDiv w:val="1"/>
      <w:marLeft w:val="0"/>
      <w:marRight w:val="0"/>
      <w:marTop w:val="0"/>
      <w:marBottom w:val="0"/>
      <w:divBdr>
        <w:top w:val="none" w:sz="0" w:space="0" w:color="auto"/>
        <w:left w:val="none" w:sz="0" w:space="0" w:color="auto"/>
        <w:bottom w:val="none" w:sz="0" w:space="0" w:color="auto"/>
        <w:right w:val="none" w:sz="0" w:space="0" w:color="auto"/>
      </w:divBdr>
    </w:div>
    <w:div w:id="661277499">
      <w:bodyDiv w:val="1"/>
      <w:marLeft w:val="0"/>
      <w:marRight w:val="0"/>
      <w:marTop w:val="0"/>
      <w:marBottom w:val="0"/>
      <w:divBdr>
        <w:top w:val="none" w:sz="0" w:space="0" w:color="auto"/>
        <w:left w:val="none" w:sz="0" w:space="0" w:color="auto"/>
        <w:bottom w:val="none" w:sz="0" w:space="0" w:color="auto"/>
        <w:right w:val="none" w:sz="0" w:space="0" w:color="auto"/>
      </w:divBdr>
    </w:div>
    <w:div w:id="667749518">
      <w:bodyDiv w:val="1"/>
      <w:marLeft w:val="0"/>
      <w:marRight w:val="0"/>
      <w:marTop w:val="0"/>
      <w:marBottom w:val="0"/>
      <w:divBdr>
        <w:top w:val="none" w:sz="0" w:space="0" w:color="auto"/>
        <w:left w:val="none" w:sz="0" w:space="0" w:color="auto"/>
        <w:bottom w:val="none" w:sz="0" w:space="0" w:color="auto"/>
        <w:right w:val="none" w:sz="0" w:space="0" w:color="auto"/>
      </w:divBdr>
    </w:div>
    <w:div w:id="820002871">
      <w:bodyDiv w:val="1"/>
      <w:marLeft w:val="0"/>
      <w:marRight w:val="0"/>
      <w:marTop w:val="0"/>
      <w:marBottom w:val="0"/>
      <w:divBdr>
        <w:top w:val="none" w:sz="0" w:space="0" w:color="auto"/>
        <w:left w:val="none" w:sz="0" w:space="0" w:color="auto"/>
        <w:bottom w:val="none" w:sz="0" w:space="0" w:color="auto"/>
        <w:right w:val="none" w:sz="0" w:space="0" w:color="auto"/>
      </w:divBdr>
    </w:div>
    <w:div w:id="933708299">
      <w:bodyDiv w:val="1"/>
      <w:marLeft w:val="0"/>
      <w:marRight w:val="0"/>
      <w:marTop w:val="0"/>
      <w:marBottom w:val="0"/>
      <w:divBdr>
        <w:top w:val="none" w:sz="0" w:space="0" w:color="auto"/>
        <w:left w:val="none" w:sz="0" w:space="0" w:color="auto"/>
        <w:bottom w:val="none" w:sz="0" w:space="0" w:color="auto"/>
        <w:right w:val="none" w:sz="0" w:space="0" w:color="auto"/>
      </w:divBdr>
    </w:div>
    <w:div w:id="973873659">
      <w:bodyDiv w:val="1"/>
      <w:marLeft w:val="0"/>
      <w:marRight w:val="0"/>
      <w:marTop w:val="0"/>
      <w:marBottom w:val="0"/>
      <w:divBdr>
        <w:top w:val="none" w:sz="0" w:space="0" w:color="auto"/>
        <w:left w:val="none" w:sz="0" w:space="0" w:color="auto"/>
        <w:bottom w:val="none" w:sz="0" w:space="0" w:color="auto"/>
        <w:right w:val="none" w:sz="0" w:space="0" w:color="auto"/>
      </w:divBdr>
    </w:div>
    <w:div w:id="1034695775">
      <w:bodyDiv w:val="1"/>
      <w:marLeft w:val="0"/>
      <w:marRight w:val="0"/>
      <w:marTop w:val="0"/>
      <w:marBottom w:val="0"/>
      <w:divBdr>
        <w:top w:val="none" w:sz="0" w:space="0" w:color="auto"/>
        <w:left w:val="none" w:sz="0" w:space="0" w:color="auto"/>
        <w:bottom w:val="none" w:sz="0" w:space="0" w:color="auto"/>
        <w:right w:val="none" w:sz="0" w:space="0" w:color="auto"/>
      </w:divBdr>
    </w:div>
    <w:div w:id="1072699936">
      <w:bodyDiv w:val="1"/>
      <w:marLeft w:val="0"/>
      <w:marRight w:val="0"/>
      <w:marTop w:val="0"/>
      <w:marBottom w:val="0"/>
      <w:divBdr>
        <w:top w:val="none" w:sz="0" w:space="0" w:color="auto"/>
        <w:left w:val="none" w:sz="0" w:space="0" w:color="auto"/>
        <w:bottom w:val="none" w:sz="0" w:space="0" w:color="auto"/>
        <w:right w:val="none" w:sz="0" w:space="0" w:color="auto"/>
      </w:divBdr>
    </w:div>
    <w:div w:id="1145971618">
      <w:bodyDiv w:val="1"/>
      <w:marLeft w:val="0"/>
      <w:marRight w:val="0"/>
      <w:marTop w:val="0"/>
      <w:marBottom w:val="0"/>
      <w:divBdr>
        <w:top w:val="none" w:sz="0" w:space="0" w:color="auto"/>
        <w:left w:val="none" w:sz="0" w:space="0" w:color="auto"/>
        <w:bottom w:val="none" w:sz="0" w:space="0" w:color="auto"/>
        <w:right w:val="none" w:sz="0" w:space="0" w:color="auto"/>
      </w:divBdr>
    </w:div>
    <w:div w:id="1172531271">
      <w:bodyDiv w:val="1"/>
      <w:marLeft w:val="0"/>
      <w:marRight w:val="0"/>
      <w:marTop w:val="0"/>
      <w:marBottom w:val="0"/>
      <w:divBdr>
        <w:top w:val="none" w:sz="0" w:space="0" w:color="auto"/>
        <w:left w:val="none" w:sz="0" w:space="0" w:color="auto"/>
        <w:bottom w:val="none" w:sz="0" w:space="0" w:color="auto"/>
        <w:right w:val="none" w:sz="0" w:space="0" w:color="auto"/>
      </w:divBdr>
    </w:div>
    <w:div w:id="1186796087">
      <w:bodyDiv w:val="1"/>
      <w:marLeft w:val="0"/>
      <w:marRight w:val="0"/>
      <w:marTop w:val="0"/>
      <w:marBottom w:val="0"/>
      <w:divBdr>
        <w:top w:val="none" w:sz="0" w:space="0" w:color="auto"/>
        <w:left w:val="none" w:sz="0" w:space="0" w:color="auto"/>
        <w:bottom w:val="none" w:sz="0" w:space="0" w:color="auto"/>
        <w:right w:val="none" w:sz="0" w:space="0" w:color="auto"/>
      </w:divBdr>
      <w:divsChild>
        <w:div w:id="431628711">
          <w:marLeft w:val="0"/>
          <w:marRight w:val="0"/>
          <w:marTop w:val="0"/>
          <w:marBottom w:val="0"/>
          <w:divBdr>
            <w:top w:val="none" w:sz="0" w:space="0" w:color="auto"/>
            <w:left w:val="none" w:sz="0" w:space="0" w:color="auto"/>
            <w:bottom w:val="none" w:sz="0" w:space="0" w:color="auto"/>
            <w:right w:val="none" w:sz="0" w:space="0" w:color="auto"/>
          </w:divBdr>
          <w:divsChild>
            <w:div w:id="1949313995">
              <w:marLeft w:val="0"/>
              <w:marRight w:val="0"/>
              <w:marTop w:val="0"/>
              <w:marBottom w:val="120"/>
              <w:divBdr>
                <w:top w:val="none" w:sz="0" w:space="0" w:color="auto"/>
                <w:left w:val="none" w:sz="0" w:space="0" w:color="auto"/>
                <w:bottom w:val="none" w:sz="0" w:space="0" w:color="auto"/>
                <w:right w:val="none" w:sz="0" w:space="0" w:color="auto"/>
              </w:divBdr>
              <w:divsChild>
                <w:div w:id="3227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47672">
      <w:bodyDiv w:val="1"/>
      <w:marLeft w:val="0"/>
      <w:marRight w:val="0"/>
      <w:marTop w:val="0"/>
      <w:marBottom w:val="0"/>
      <w:divBdr>
        <w:top w:val="none" w:sz="0" w:space="0" w:color="auto"/>
        <w:left w:val="none" w:sz="0" w:space="0" w:color="auto"/>
        <w:bottom w:val="none" w:sz="0" w:space="0" w:color="auto"/>
        <w:right w:val="none" w:sz="0" w:space="0" w:color="auto"/>
      </w:divBdr>
    </w:div>
    <w:div w:id="1280140581">
      <w:bodyDiv w:val="1"/>
      <w:marLeft w:val="0"/>
      <w:marRight w:val="0"/>
      <w:marTop w:val="0"/>
      <w:marBottom w:val="0"/>
      <w:divBdr>
        <w:top w:val="none" w:sz="0" w:space="0" w:color="auto"/>
        <w:left w:val="none" w:sz="0" w:space="0" w:color="auto"/>
        <w:bottom w:val="none" w:sz="0" w:space="0" w:color="auto"/>
        <w:right w:val="none" w:sz="0" w:space="0" w:color="auto"/>
      </w:divBdr>
    </w:div>
    <w:div w:id="1408452393">
      <w:bodyDiv w:val="1"/>
      <w:marLeft w:val="0"/>
      <w:marRight w:val="0"/>
      <w:marTop w:val="0"/>
      <w:marBottom w:val="0"/>
      <w:divBdr>
        <w:top w:val="none" w:sz="0" w:space="0" w:color="auto"/>
        <w:left w:val="none" w:sz="0" w:space="0" w:color="auto"/>
        <w:bottom w:val="none" w:sz="0" w:space="0" w:color="auto"/>
        <w:right w:val="none" w:sz="0" w:space="0" w:color="auto"/>
      </w:divBdr>
    </w:div>
    <w:div w:id="1548298429">
      <w:bodyDiv w:val="1"/>
      <w:marLeft w:val="0"/>
      <w:marRight w:val="0"/>
      <w:marTop w:val="0"/>
      <w:marBottom w:val="0"/>
      <w:divBdr>
        <w:top w:val="none" w:sz="0" w:space="0" w:color="auto"/>
        <w:left w:val="none" w:sz="0" w:space="0" w:color="auto"/>
        <w:bottom w:val="none" w:sz="0" w:space="0" w:color="auto"/>
        <w:right w:val="none" w:sz="0" w:space="0" w:color="auto"/>
      </w:divBdr>
    </w:div>
    <w:div w:id="1718508540">
      <w:bodyDiv w:val="1"/>
      <w:marLeft w:val="0"/>
      <w:marRight w:val="0"/>
      <w:marTop w:val="0"/>
      <w:marBottom w:val="0"/>
      <w:divBdr>
        <w:top w:val="none" w:sz="0" w:space="0" w:color="auto"/>
        <w:left w:val="none" w:sz="0" w:space="0" w:color="auto"/>
        <w:bottom w:val="none" w:sz="0" w:space="0" w:color="auto"/>
        <w:right w:val="none" w:sz="0" w:space="0" w:color="auto"/>
      </w:divBdr>
      <w:divsChild>
        <w:div w:id="205869530">
          <w:marLeft w:val="0"/>
          <w:marRight w:val="0"/>
          <w:marTop w:val="0"/>
          <w:marBottom w:val="120"/>
          <w:divBdr>
            <w:top w:val="none" w:sz="0" w:space="0" w:color="auto"/>
            <w:left w:val="none" w:sz="0" w:space="0" w:color="auto"/>
            <w:bottom w:val="none" w:sz="0" w:space="0" w:color="auto"/>
            <w:right w:val="none" w:sz="0" w:space="0" w:color="auto"/>
          </w:divBdr>
          <w:divsChild>
            <w:div w:id="393622378">
              <w:marLeft w:val="0"/>
              <w:marRight w:val="0"/>
              <w:marTop w:val="0"/>
              <w:marBottom w:val="0"/>
              <w:divBdr>
                <w:top w:val="none" w:sz="0" w:space="0" w:color="auto"/>
                <w:left w:val="none" w:sz="0" w:space="0" w:color="auto"/>
                <w:bottom w:val="none" w:sz="0" w:space="0" w:color="auto"/>
                <w:right w:val="none" w:sz="0" w:space="0" w:color="auto"/>
              </w:divBdr>
              <w:divsChild>
                <w:div w:id="569732177">
                  <w:marLeft w:val="0"/>
                  <w:marRight w:val="0"/>
                  <w:marTop w:val="0"/>
                  <w:marBottom w:val="0"/>
                  <w:divBdr>
                    <w:top w:val="none" w:sz="0" w:space="0" w:color="auto"/>
                    <w:left w:val="none" w:sz="0" w:space="0" w:color="auto"/>
                    <w:bottom w:val="none" w:sz="0" w:space="0" w:color="auto"/>
                    <w:right w:val="none" w:sz="0" w:space="0" w:color="auto"/>
                  </w:divBdr>
                  <w:divsChild>
                    <w:div w:id="12454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6095">
      <w:bodyDiv w:val="1"/>
      <w:marLeft w:val="0"/>
      <w:marRight w:val="0"/>
      <w:marTop w:val="0"/>
      <w:marBottom w:val="0"/>
      <w:divBdr>
        <w:top w:val="none" w:sz="0" w:space="0" w:color="auto"/>
        <w:left w:val="none" w:sz="0" w:space="0" w:color="auto"/>
        <w:bottom w:val="none" w:sz="0" w:space="0" w:color="auto"/>
        <w:right w:val="none" w:sz="0" w:space="0" w:color="auto"/>
      </w:divBdr>
    </w:div>
    <w:div w:id="1956984349">
      <w:bodyDiv w:val="1"/>
      <w:marLeft w:val="0"/>
      <w:marRight w:val="0"/>
      <w:marTop w:val="0"/>
      <w:marBottom w:val="0"/>
      <w:divBdr>
        <w:top w:val="none" w:sz="0" w:space="0" w:color="auto"/>
        <w:left w:val="none" w:sz="0" w:space="0" w:color="auto"/>
        <w:bottom w:val="none" w:sz="0" w:space="0" w:color="auto"/>
        <w:right w:val="none" w:sz="0" w:space="0" w:color="auto"/>
      </w:divBdr>
    </w:div>
    <w:div w:id="2073648404">
      <w:bodyDiv w:val="1"/>
      <w:marLeft w:val="0"/>
      <w:marRight w:val="0"/>
      <w:marTop w:val="0"/>
      <w:marBottom w:val="0"/>
      <w:divBdr>
        <w:top w:val="none" w:sz="0" w:space="0" w:color="auto"/>
        <w:left w:val="none" w:sz="0" w:space="0" w:color="auto"/>
        <w:bottom w:val="none" w:sz="0" w:space="0" w:color="auto"/>
        <w:right w:val="none" w:sz="0" w:space="0" w:color="auto"/>
      </w:divBdr>
    </w:div>
    <w:div w:id="2141533845">
      <w:bodyDiv w:val="1"/>
      <w:marLeft w:val="0"/>
      <w:marRight w:val="0"/>
      <w:marTop w:val="0"/>
      <w:marBottom w:val="0"/>
      <w:divBdr>
        <w:top w:val="none" w:sz="0" w:space="0" w:color="auto"/>
        <w:left w:val="none" w:sz="0" w:space="0" w:color="auto"/>
        <w:bottom w:val="none" w:sz="0" w:space="0" w:color="auto"/>
        <w:right w:val="none" w:sz="0" w:space="0" w:color="auto"/>
      </w:divBdr>
      <w:divsChild>
        <w:div w:id="34890723">
          <w:marLeft w:val="0"/>
          <w:marRight w:val="0"/>
          <w:marTop w:val="0"/>
          <w:marBottom w:val="0"/>
          <w:divBdr>
            <w:top w:val="none" w:sz="0" w:space="0" w:color="auto"/>
            <w:left w:val="none" w:sz="0" w:space="0" w:color="auto"/>
            <w:bottom w:val="none" w:sz="0" w:space="0" w:color="auto"/>
            <w:right w:val="none" w:sz="0" w:space="0" w:color="auto"/>
          </w:divBdr>
          <w:divsChild>
            <w:div w:id="209846616">
              <w:marLeft w:val="0"/>
              <w:marRight w:val="0"/>
              <w:marTop w:val="0"/>
              <w:marBottom w:val="120"/>
              <w:divBdr>
                <w:top w:val="none" w:sz="0" w:space="0" w:color="auto"/>
                <w:left w:val="none" w:sz="0" w:space="0" w:color="auto"/>
                <w:bottom w:val="none" w:sz="0" w:space="0" w:color="auto"/>
                <w:right w:val="none" w:sz="0" w:space="0" w:color="auto"/>
              </w:divBdr>
              <w:divsChild>
                <w:div w:id="14353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1471-2458-14-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birthsdeathsandmarriages/lifeexpectancies/bulletins/nationallifetablesunitedkingdom/2016to2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11/j.1741-3737.2005.00194.x" TargetMode="External"/><Relationship Id="rId4" Type="http://schemas.openxmlformats.org/officeDocument/2006/relationships/settings" Target="settings.xml"/><Relationship Id="rId9" Type="http://schemas.openxmlformats.org/officeDocument/2006/relationships/hyperlink" Target="http://doi.org/10.1080/15350770802157802" TargetMode="External"/><Relationship Id="rId14" Type="http://schemas.openxmlformats.org/officeDocument/2006/relationships/hyperlink" Target="https://sotonac-my.sharepoint.com/personal/nkm1n20_soton_ac_uk/Documents/Supervision/Supervision%20Collection%20(2021)/Meeting%20Notes/Supervision%204%20(11-11-21).docx?web=1"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s://d.docs.live.net/efcbfde8032431b3/Madelin_UPF/5_Publications/4_Caring%20trajectories_draft_NCDS/0_Data/NCDS_sweeps_7_8_9_06112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1"/>
          <c:order val="0"/>
          <c:tx>
            <c:strRef>
              <c:f>'[NCDS_sweeps_7_8_9_061120.xlsx]Table 2-figure 1'!$A$11</c:f>
              <c:strCache>
                <c:ptCount val="1"/>
                <c:pt idx="0">
                  <c:v>&lt;9 hrs</c:v>
                </c:pt>
              </c:strCache>
            </c:strRef>
          </c:tx>
          <c:spPr>
            <a:solidFill>
              <a:schemeClr val="bg1">
                <a:lumMod val="85000"/>
              </a:schemeClr>
            </a:solidFill>
          </c:spPr>
          <c:invertIfNegative val="0"/>
          <c:cat>
            <c:multiLvlStrRef>
              <c:f>'[NCDS_sweeps_7_8_9_061120.xlsx]Table 2-figure 1'!$B$3:$G$4</c:f>
              <c:multiLvlStrCache>
                <c:ptCount val="6"/>
                <c:lvl>
                  <c:pt idx="0">
                    <c:v>Male     (9%)</c:v>
                  </c:pt>
                  <c:pt idx="1">
                    <c:v>Female     (16%)</c:v>
                  </c:pt>
                  <c:pt idx="2">
                    <c:v>Male      (61%)</c:v>
                  </c:pt>
                  <c:pt idx="3">
                    <c:v>Female      (58%)</c:v>
                  </c:pt>
                  <c:pt idx="4">
                    <c:v>Male     (65%)</c:v>
                  </c:pt>
                  <c:pt idx="5">
                    <c:v>Female      (60%)</c:v>
                  </c:pt>
                </c:lvl>
                <c:lvl>
                  <c:pt idx="0">
                    <c:v>Wave 7 (46yrs)</c:v>
                  </c:pt>
                  <c:pt idx="2">
                    <c:v>Wave 8 (50yrs)</c:v>
                  </c:pt>
                  <c:pt idx="4">
                    <c:v>Wave 9 (55yrs)</c:v>
                  </c:pt>
                </c:lvl>
              </c:multiLvlStrCache>
            </c:multiLvlStrRef>
          </c:cat>
          <c:val>
            <c:numRef>
              <c:f>'[NCDS_sweeps_7_8_9_061120.xlsx]Table 2-figure 1'!$B$11:$G$11</c:f>
              <c:numCache>
                <c:formatCode>0.0%</c:formatCode>
                <c:ptCount val="6"/>
                <c:pt idx="0">
                  <c:v>0.79100000000000004</c:v>
                </c:pt>
                <c:pt idx="1">
                  <c:v>0.69099999999999995</c:v>
                </c:pt>
                <c:pt idx="2">
                  <c:v>0.93100000000000005</c:v>
                </c:pt>
                <c:pt idx="3">
                  <c:v>0.85899999999999999</c:v>
                </c:pt>
                <c:pt idx="4">
                  <c:v>0.88</c:v>
                </c:pt>
                <c:pt idx="5">
                  <c:v>0.79800000000000004</c:v>
                </c:pt>
              </c:numCache>
            </c:numRef>
          </c:val>
          <c:extLst>
            <c:ext xmlns:c16="http://schemas.microsoft.com/office/drawing/2014/chart" uri="{C3380CC4-5D6E-409C-BE32-E72D297353CC}">
              <c16:uniqueId val="{00000000-7B7F-4AB3-B15C-ACB9FEDB2808}"/>
            </c:ext>
          </c:extLst>
        </c:ser>
        <c:ser>
          <c:idx val="2"/>
          <c:order val="1"/>
          <c:tx>
            <c:strRef>
              <c:f>'[NCDS_sweeps_7_8_9_061120.xlsx]Table 2-figure 1'!$A$12</c:f>
              <c:strCache>
                <c:ptCount val="1"/>
                <c:pt idx="0">
                  <c:v>10-19 hrs</c:v>
                </c:pt>
              </c:strCache>
            </c:strRef>
          </c:tx>
          <c:spPr>
            <a:solidFill>
              <a:schemeClr val="bg1">
                <a:lumMod val="50000"/>
              </a:schemeClr>
            </a:solidFill>
          </c:spPr>
          <c:invertIfNegative val="0"/>
          <c:cat>
            <c:multiLvlStrRef>
              <c:f>'[NCDS_sweeps_7_8_9_061120.xlsx]Table 2-figure 1'!$B$3:$G$4</c:f>
              <c:multiLvlStrCache>
                <c:ptCount val="6"/>
                <c:lvl>
                  <c:pt idx="0">
                    <c:v>Male     (9%)</c:v>
                  </c:pt>
                  <c:pt idx="1">
                    <c:v>Female     (16%)</c:v>
                  </c:pt>
                  <c:pt idx="2">
                    <c:v>Male      (61%)</c:v>
                  </c:pt>
                  <c:pt idx="3">
                    <c:v>Female      (58%)</c:v>
                  </c:pt>
                  <c:pt idx="4">
                    <c:v>Male     (65%)</c:v>
                  </c:pt>
                  <c:pt idx="5">
                    <c:v>Female      (60%)</c:v>
                  </c:pt>
                </c:lvl>
                <c:lvl>
                  <c:pt idx="0">
                    <c:v>Wave 7 (46yrs)</c:v>
                  </c:pt>
                  <c:pt idx="2">
                    <c:v>Wave 8 (50yrs)</c:v>
                  </c:pt>
                  <c:pt idx="4">
                    <c:v>Wave 9 (55yrs)</c:v>
                  </c:pt>
                </c:lvl>
              </c:multiLvlStrCache>
            </c:multiLvlStrRef>
          </c:cat>
          <c:val>
            <c:numRef>
              <c:f>'[NCDS_sweeps_7_8_9_061120.xlsx]Table 2-figure 1'!$B$12:$G$12</c:f>
              <c:numCache>
                <c:formatCode>0.0%</c:formatCode>
                <c:ptCount val="6"/>
                <c:pt idx="0">
                  <c:v>0.11600000000000001</c:v>
                </c:pt>
                <c:pt idx="1">
                  <c:v>0.189</c:v>
                </c:pt>
                <c:pt idx="2">
                  <c:v>4.2999999999999997E-2</c:v>
                </c:pt>
                <c:pt idx="3">
                  <c:v>8.8999999999999996E-2</c:v>
                </c:pt>
                <c:pt idx="4">
                  <c:v>7.4999999999999997E-2</c:v>
                </c:pt>
                <c:pt idx="5">
                  <c:v>0.126</c:v>
                </c:pt>
              </c:numCache>
            </c:numRef>
          </c:val>
          <c:extLst>
            <c:ext xmlns:c16="http://schemas.microsoft.com/office/drawing/2014/chart" uri="{C3380CC4-5D6E-409C-BE32-E72D297353CC}">
              <c16:uniqueId val="{00000001-7B7F-4AB3-B15C-ACB9FEDB2808}"/>
            </c:ext>
          </c:extLst>
        </c:ser>
        <c:ser>
          <c:idx val="3"/>
          <c:order val="2"/>
          <c:tx>
            <c:strRef>
              <c:f>'[NCDS_sweeps_7_8_9_061120.xlsx]Table 2-figure 1'!$A$13</c:f>
              <c:strCache>
                <c:ptCount val="1"/>
                <c:pt idx="0">
                  <c:v>20+ hrs</c:v>
                </c:pt>
              </c:strCache>
            </c:strRef>
          </c:tx>
          <c:spPr>
            <a:solidFill>
              <a:schemeClr val="tx1">
                <a:lumMod val="75000"/>
                <a:lumOff val="25000"/>
              </a:schemeClr>
            </a:solidFill>
          </c:spPr>
          <c:invertIfNegative val="0"/>
          <c:cat>
            <c:multiLvlStrRef>
              <c:f>'[NCDS_sweeps_7_8_9_061120.xlsx]Table 2-figure 1'!$B$3:$G$4</c:f>
              <c:multiLvlStrCache>
                <c:ptCount val="6"/>
                <c:lvl>
                  <c:pt idx="0">
                    <c:v>Male     (9%)</c:v>
                  </c:pt>
                  <c:pt idx="1">
                    <c:v>Female     (16%)</c:v>
                  </c:pt>
                  <c:pt idx="2">
                    <c:v>Male      (61%)</c:v>
                  </c:pt>
                  <c:pt idx="3">
                    <c:v>Female      (58%)</c:v>
                  </c:pt>
                  <c:pt idx="4">
                    <c:v>Male     (65%)</c:v>
                  </c:pt>
                  <c:pt idx="5">
                    <c:v>Female      (60%)</c:v>
                  </c:pt>
                </c:lvl>
                <c:lvl>
                  <c:pt idx="0">
                    <c:v>Wave 7 (46yrs)</c:v>
                  </c:pt>
                  <c:pt idx="2">
                    <c:v>Wave 8 (50yrs)</c:v>
                  </c:pt>
                  <c:pt idx="4">
                    <c:v>Wave 9 (55yrs)</c:v>
                  </c:pt>
                </c:lvl>
              </c:multiLvlStrCache>
            </c:multiLvlStrRef>
          </c:cat>
          <c:val>
            <c:numRef>
              <c:f>'[NCDS_sweeps_7_8_9_061120.xlsx]Table 2-figure 1'!$B$13:$G$13</c:f>
              <c:numCache>
                <c:formatCode>0.0%</c:formatCode>
                <c:ptCount val="6"/>
                <c:pt idx="0">
                  <c:v>9.2999999999999999E-2</c:v>
                </c:pt>
                <c:pt idx="1">
                  <c:v>0.12</c:v>
                </c:pt>
                <c:pt idx="2">
                  <c:v>2.5999999999999999E-2</c:v>
                </c:pt>
                <c:pt idx="3">
                  <c:v>5.1999999999999998E-2</c:v>
                </c:pt>
                <c:pt idx="4">
                  <c:v>4.4999999999999998E-2</c:v>
                </c:pt>
                <c:pt idx="5">
                  <c:v>7.5999999999999998E-2</c:v>
                </c:pt>
              </c:numCache>
            </c:numRef>
          </c:val>
          <c:extLst>
            <c:ext xmlns:c16="http://schemas.microsoft.com/office/drawing/2014/chart" uri="{C3380CC4-5D6E-409C-BE32-E72D297353CC}">
              <c16:uniqueId val="{00000002-7B7F-4AB3-B15C-ACB9FEDB2808}"/>
            </c:ext>
          </c:extLst>
        </c:ser>
        <c:dLbls>
          <c:showLegendKey val="0"/>
          <c:showVal val="0"/>
          <c:showCatName val="0"/>
          <c:showSerName val="0"/>
          <c:showPercent val="0"/>
          <c:showBubbleSize val="0"/>
        </c:dLbls>
        <c:gapWidth val="150"/>
        <c:overlap val="100"/>
        <c:axId val="97558912"/>
        <c:axId val="97560448"/>
      </c:barChart>
      <c:catAx>
        <c:axId val="97558912"/>
        <c:scaling>
          <c:orientation val="minMax"/>
        </c:scaling>
        <c:delete val="0"/>
        <c:axPos val="b"/>
        <c:title>
          <c:tx>
            <c:rich>
              <a:bodyPr/>
              <a:lstStyle/>
              <a:p>
                <a:pPr>
                  <a:defRPr/>
                </a:pPr>
                <a:r>
                  <a:rPr lang="en-US"/>
                  <a:t>Percentage of individuals providing care at each wave by sex</a:t>
                </a:r>
              </a:p>
            </c:rich>
          </c:tx>
          <c:layout>
            <c:manualLayout>
              <c:xMode val="edge"/>
              <c:yMode val="edge"/>
              <c:x val="0.14984886264216976"/>
              <c:y val="0.90383202099737536"/>
            </c:manualLayout>
          </c:layout>
          <c:overlay val="0"/>
        </c:title>
        <c:numFmt formatCode="General" sourceLinked="1"/>
        <c:majorTickMark val="out"/>
        <c:minorTickMark val="none"/>
        <c:tickLblPos val="nextTo"/>
        <c:crossAx val="97560448"/>
        <c:crosses val="autoZero"/>
        <c:auto val="1"/>
        <c:lblAlgn val="ctr"/>
        <c:lblOffset val="100"/>
        <c:noMultiLvlLbl val="0"/>
      </c:catAx>
      <c:valAx>
        <c:axId val="97560448"/>
        <c:scaling>
          <c:orientation val="minMax"/>
          <c:max val="1"/>
          <c:min val="0.5"/>
        </c:scaling>
        <c:delete val="0"/>
        <c:axPos val="l"/>
        <c:majorGridlines/>
        <c:numFmt formatCode="0%" sourceLinked="1"/>
        <c:majorTickMark val="out"/>
        <c:minorTickMark val="none"/>
        <c:tickLblPos val="nextTo"/>
        <c:crossAx val="97558912"/>
        <c:crosses val="autoZero"/>
        <c:crossBetween val="between"/>
      </c:valAx>
    </c:plotArea>
    <c:legend>
      <c:legendPos val="r"/>
      <c:layout>
        <c:manualLayout>
          <c:xMode val="edge"/>
          <c:yMode val="edge"/>
          <c:x val="0.82990398075240601"/>
          <c:y val="0.34977592086703452"/>
          <c:w val="0.15342935258092738"/>
          <c:h val="0.24602603246022819"/>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0.8125</cdr:x>
      <cdr:y>0.13095</cdr:y>
    </cdr:from>
    <cdr:to>
      <cdr:x>1</cdr:x>
      <cdr:y>0.39286</cdr:y>
    </cdr:to>
    <cdr:sp macro="" textlink="">
      <cdr:nvSpPr>
        <cdr:cNvPr id="2" name="CuadroTexto 1">
          <a:extLst xmlns:a="http://schemas.openxmlformats.org/drawingml/2006/main">
            <a:ext uri="{FF2B5EF4-FFF2-40B4-BE49-F238E27FC236}">
              <a16:creationId xmlns:a16="http://schemas.microsoft.com/office/drawing/2014/main" id="{AF45F743-5815-4E33-84AC-ABEE8DA57C9B}"/>
            </a:ext>
          </a:extLst>
        </cdr:cNvPr>
        <cdr:cNvSpPr txBox="1"/>
      </cdr:nvSpPr>
      <cdr:spPr>
        <a:xfrm xmlns:a="http://schemas.openxmlformats.org/drawingml/2006/main">
          <a:off x="3714750" y="366713"/>
          <a:ext cx="857250" cy="73342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a:t>Intensity</a:t>
          </a:r>
          <a:r>
            <a:rPr lang="es-ES" sz="1100" baseline="0"/>
            <a:t> of </a:t>
          </a:r>
        </a:p>
        <a:p xmlns:a="http://schemas.openxmlformats.org/drawingml/2006/main">
          <a:pPr algn="ctr"/>
          <a:r>
            <a:rPr lang="es-ES" sz="1100" baseline="0"/>
            <a:t>care provided </a:t>
          </a:r>
        </a:p>
        <a:p xmlns:a="http://schemas.openxmlformats.org/drawingml/2006/main">
          <a:pPr algn="ctr"/>
          <a:r>
            <a:rPr lang="es-ES" sz="1100" baseline="0"/>
            <a:t>weekly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6D877-47D5-4001-B0FD-9331CD06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9914</Words>
  <Characters>56513</Characters>
  <Application>Microsoft Office Word</Application>
  <DocSecurity>0</DocSecurity>
  <Lines>470</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Southampton</Company>
  <LinksUpToDate>false</LinksUpToDate>
  <CharactersWithSpaces>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Gomez Leon M.</dc:creator>
  <cp:lastModifiedBy>Maria Evandrou</cp:lastModifiedBy>
  <cp:revision>5</cp:revision>
  <cp:lastPrinted>2022-02-15T09:43:00Z</cp:lastPrinted>
  <dcterms:created xsi:type="dcterms:W3CDTF">2022-03-25T13:24:00Z</dcterms:created>
  <dcterms:modified xsi:type="dcterms:W3CDTF">2022-03-25T13:39:00Z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