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938" w:rsidRDefault="005B1938" w:rsidP="001665AB">
      <w:pPr>
        <w:pStyle w:val="01Title"/>
      </w:pPr>
      <w:r>
        <w:fldChar w:fldCharType="begin"/>
      </w:r>
      <w:r>
        <w:instrText xml:space="preserve"> MACROBUTTON MTEditEquationSection2 </w:instrText>
      </w:r>
      <w:r w:rsidRPr="00D341FD">
        <w:rPr>
          <w:rStyle w:val="MTEquationSection"/>
          <w:rFonts w:hint="eastAsia"/>
        </w:rPr>
        <w:instrText>公式章</w:instrText>
      </w:r>
      <w:r w:rsidRPr="00D341FD">
        <w:rPr>
          <w:rStyle w:val="MTEquationSection"/>
          <w:rFonts w:hint="eastAsia"/>
        </w:rPr>
        <w:instrText xml:space="preserve"> 1 </w:instrText>
      </w:r>
      <w:r w:rsidRPr="00D341FD">
        <w:rPr>
          <w:rStyle w:val="MTEquationSection"/>
          <w:rFonts w:hint="eastAsia"/>
        </w:rPr>
        <w:instrText>节</w:instrText>
      </w:r>
      <w:r w:rsidRPr="00D341FD">
        <w:rPr>
          <w:rStyle w:val="MTEquationSection"/>
          <w:rFonts w:hint="eastAsia"/>
        </w:rPr>
        <w:instrText xml:space="preserve"> 1</w:instrText>
      </w:r>
      <w:r>
        <w:fldChar w:fldCharType="begin"/>
      </w:r>
      <w:r>
        <w:instrText xml:space="preserve"> </w:instrText>
      </w:r>
      <w:r>
        <w:rPr>
          <w:rFonts w:hint="eastAsia"/>
        </w:rPr>
        <w:instrText>SEQ MTEqn \r \h \* MERGEFORMAT</w:instrText>
      </w:r>
      <w:r>
        <w:instrText xml:space="preserve">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t xml:space="preserve">Deep-subwavelength gap modes </w:t>
      </w:r>
      <w:r w:rsidR="00DE522B">
        <w:t>in</w:t>
      </w:r>
      <w:r>
        <w:t xml:space="preserve"> all-dielectric metasurfaces for high-efficiency and large-angle </w:t>
      </w:r>
      <w:r w:rsidR="00DE522B" w:rsidRPr="007B5EDA">
        <w:t>wavefront bending</w:t>
      </w:r>
    </w:p>
    <w:p w:rsidR="005B1938" w:rsidRDefault="005B1938" w:rsidP="001665AB">
      <w:pPr>
        <w:pStyle w:val="02Author-OE"/>
        <w:rPr>
          <w:vertAlign w:val="superscript"/>
        </w:rPr>
      </w:pPr>
      <w:r>
        <w:t>Wen LYU,</w:t>
      </w:r>
      <w:r w:rsidRPr="00722A6E">
        <w:rPr>
          <w:vertAlign w:val="superscript"/>
        </w:rPr>
        <w:t>1</w:t>
      </w:r>
      <w:r>
        <w:t xml:space="preserve"> Jiaming Liu,</w:t>
      </w:r>
      <w:r w:rsidRPr="00D42E52">
        <w:rPr>
          <w:vertAlign w:val="superscript"/>
        </w:rPr>
        <w:t>1</w:t>
      </w:r>
      <w:r w:rsidRPr="00A03147">
        <w:t xml:space="preserve"> </w:t>
      </w:r>
      <w:r>
        <w:t>Shengqi Yin,</w:t>
      </w:r>
      <w:r w:rsidRPr="00A42074">
        <w:rPr>
          <w:vertAlign w:val="superscript"/>
        </w:rPr>
        <w:t>2</w:t>
      </w:r>
      <w:r>
        <w:rPr>
          <w:vertAlign w:val="superscript"/>
        </w:rPr>
        <w:t xml:space="preserve"> </w:t>
      </w:r>
      <w:r>
        <w:t>Xiaojiao Deng,</w:t>
      </w:r>
      <w:r w:rsidRPr="00722A6E">
        <w:rPr>
          <w:vertAlign w:val="superscript"/>
        </w:rPr>
        <w:t>1</w:t>
      </w:r>
      <w:r w:rsidR="00F50424">
        <w:t xml:space="preserve"> </w:t>
      </w:r>
      <w:r>
        <w:t>Xu Fang,</w:t>
      </w:r>
      <w:r w:rsidRPr="00B244C2">
        <w:rPr>
          <w:vertAlign w:val="superscript"/>
        </w:rPr>
        <w:t>2</w:t>
      </w:r>
      <w:r>
        <w:rPr>
          <w:vertAlign w:val="superscript"/>
        </w:rPr>
        <w:t>,3</w:t>
      </w:r>
      <w:r>
        <w:t xml:space="preserve"> Hua Geng,</w:t>
      </w:r>
      <w:r w:rsidRPr="00B244C2">
        <w:rPr>
          <w:vertAlign w:val="superscript"/>
        </w:rPr>
        <w:t>1</w:t>
      </w:r>
      <w:r>
        <w:rPr>
          <w:vertAlign w:val="superscript"/>
        </w:rPr>
        <w:t>,4</w:t>
      </w:r>
      <w:r>
        <w:t xml:space="preserve"> and Xiaoping Zheng</w:t>
      </w:r>
      <w:r>
        <w:rPr>
          <w:vertAlign w:val="superscript"/>
        </w:rPr>
        <w:t>1</w:t>
      </w:r>
    </w:p>
    <w:p w:rsidR="005B1938" w:rsidRPr="007B288C" w:rsidRDefault="005B1938" w:rsidP="001665AB">
      <w:pPr>
        <w:pStyle w:val="03AuthorAffiliation"/>
      </w:pPr>
      <w:r w:rsidRPr="007B288C">
        <w:rPr>
          <w:vertAlign w:val="superscript"/>
        </w:rPr>
        <w:t>1</w:t>
      </w:r>
      <w:r w:rsidRPr="007B288C">
        <w:t xml:space="preserve">Department of Automation, </w:t>
      </w:r>
      <w:r w:rsidR="009F1D19" w:rsidRPr="007B288C">
        <w:t xml:space="preserve">Beijing National Research Center for Information Science and Technology, </w:t>
      </w:r>
      <w:r w:rsidRPr="007B288C">
        <w:t>Tsinghua University, Beijing 100084, China</w:t>
      </w:r>
    </w:p>
    <w:p w:rsidR="005B1938" w:rsidRDefault="005B1938" w:rsidP="001665AB">
      <w:pPr>
        <w:pStyle w:val="03AuthorAffiliation"/>
      </w:pPr>
      <w:r w:rsidRPr="007B288C">
        <w:rPr>
          <w:vertAlign w:val="superscript"/>
        </w:rPr>
        <w:t>2</w:t>
      </w:r>
      <w:r w:rsidRPr="007B288C">
        <w:t>School of Electronics and Computer Science, Univers</w:t>
      </w:r>
      <w:r w:rsidRPr="00B244C2">
        <w:t xml:space="preserve">ity of Southampton, </w:t>
      </w:r>
      <w:r w:rsidR="00627676">
        <w:t xml:space="preserve">Southampton </w:t>
      </w:r>
      <w:r w:rsidRPr="00B244C2">
        <w:t>SO17 1BJ, UK</w:t>
      </w:r>
    </w:p>
    <w:p w:rsidR="005B1938" w:rsidRPr="00390027" w:rsidRDefault="005B1938" w:rsidP="001665AB">
      <w:pPr>
        <w:pStyle w:val="04Email"/>
        <w:rPr>
          <w:lang w:eastAsia="zh-CN"/>
        </w:rPr>
      </w:pPr>
      <w:r>
        <w:rPr>
          <w:vertAlign w:val="superscript"/>
          <w:lang w:eastAsia="zh-CN"/>
        </w:rPr>
        <w:t>3</w:t>
      </w:r>
      <w:r w:rsidRPr="00390027">
        <w:rPr>
          <w:lang w:eastAsia="zh-CN"/>
        </w:rPr>
        <w:t>x.fang@soton.ac.uk</w:t>
      </w:r>
    </w:p>
    <w:p w:rsidR="005B1938" w:rsidRPr="00390027" w:rsidRDefault="005B1938" w:rsidP="001665AB">
      <w:pPr>
        <w:pStyle w:val="04Email"/>
      </w:pPr>
      <w:r w:rsidRPr="00390027">
        <w:rPr>
          <w:vertAlign w:val="superscript"/>
        </w:rPr>
        <w:t>4</w:t>
      </w:r>
      <w:r w:rsidRPr="00390027">
        <w:t>genghua@tsinghua.edu.cn</w:t>
      </w:r>
    </w:p>
    <w:p w:rsidR="005B1938" w:rsidRPr="003840FE" w:rsidRDefault="005B1938" w:rsidP="001665AB">
      <w:pPr>
        <w:pStyle w:val="03AuthorAffiliation"/>
      </w:pPr>
    </w:p>
    <w:p w:rsidR="00666D4D" w:rsidRPr="00E35AB3" w:rsidRDefault="005B1938" w:rsidP="00625A85">
      <w:pPr>
        <w:pStyle w:val="06AbstractBody"/>
      </w:pPr>
      <w:r w:rsidRPr="00827636">
        <w:rPr>
          <w:rFonts w:cs="Times New Roman"/>
          <w:b/>
        </w:rPr>
        <w:t>Abstract:</w:t>
      </w:r>
      <w:r w:rsidRPr="00437F52">
        <w:t xml:space="preserve"> </w:t>
      </w:r>
      <w:r w:rsidR="0032176D">
        <w:t>A</w:t>
      </w:r>
      <w:r w:rsidR="0032176D" w:rsidRPr="006134CE">
        <w:t>ll-dielectric</w:t>
      </w:r>
      <w:r w:rsidR="009C6E8B">
        <w:t>, phase-gradient</w:t>
      </w:r>
      <w:r w:rsidR="0032176D" w:rsidRPr="006134CE">
        <w:t xml:space="preserve"> metasurfaces</w:t>
      </w:r>
      <w:r w:rsidR="0032176D">
        <w:t xml:space="preserve"> </w:t>
      </w:r>
      <w:r w:rsidR="0010341C">
        <w:t xml:space="preserve">manipulate light </w:t>
      </w:r>
      <w:r w:rsidR="00CD668F">
        <w:t>via</w:t>
      </w:r>
      <w:r w:rsidR="0032176D">
        <w:t xml:space="preserve"> </w:t>
      </w:r>
      <w:r w:rsidR="0010341C">
        <w:t xml:space="preserve">a </w:t>
      </w:r>
      <w:r w:rsidR="00F273EF">
        <w:t>judicious</w:t>
      </w:r>
      <w:r w:rsidR="00CD668F">
        <w:t>ly designed planar</w:t>
      </w:r>
      <w:r w:rsidR="00F273EF">
        <w:t xml:space="preserve"> </w:t>
      </w:r>
      <w:r w:rsidR="0010341C">
        <w:t>distribution of high and low refractive indices.</w:t>
      </w:r>
      <w:r w:rsidR="00DE522B">
        <w:t xml:space="preserve"> In </w:t>
      </w:r>
      <w:r w:rsidR="00CD668F">
        <w:t>the established design</w:t>
      </w:r>
      <w:r w:rsidR="00DE522B">
        <w:t xml:space="preserve"> approach</w:t>
      </w:r>
      <w:r w:rsidR="00CD668F">
        <w:t>es</w:t>
      </w:r>
      <w:r w:rsidR="00DE522B">
        <w:t xml:space="preserve">, </w:t>
      </w:r>
      <w:r w:rsidR="00CD668F">
        <w:t xml:space="preserve">the high-index elements play a dominant role, while </w:t>
      </w:r>
      <w:r w:rsidR="00DE522B">
        <w:t xml:space="preserve">the electromagnetic field </w:t>
      </w:r>
      <w:r w:rsidR="00CD668F">
        <w:t xml:space="preserve">existing </w:t>
      </w:r>
      <w:bookmarkStart w:id="0" w:name="_Hlk97157282"/>
      <w:r w:rsidR="00DE522B">
        <w:t xml:space="preserve">between </w:t>
      </w:r>
      <w:r w:rsidR="00CD668F">
        <w:t>these</w:t>
      </w:r>
      <w:r w:rsidR="00DE522B">
        <w:t xml:space="preserve"> elements </w:t>
      </w:r>
      <w:bookmarkEnd w:id="0"/>
      <w:r w:rsidR="00DE522B">
        <w:t xml:space="preserve">is </w:t>
      </w:r>
      <w:r w:rsidR="00E30CD4">
        <w:t>routinely</w:t>
      </w:r>
      <w:r w:rsidR="00DE522B">
        <w:t xml:space="preserve"> viewed as either a</w:t>
      </w:r>
      <w:r w:rsidR="00E30CD4">
        <w:t xml:space="preserve">n incidental by-product or detrimental crosstalk. </w:t>
      </w:r>
      <w:r w:rsidR="0062234A">
        <w:t xml:space="preserve">Here we propose an </w:t>
      </w:r>
      <w:r w:rsidR="0062234A" w:rsidRPr="00E35AB3">
        <w:t xml:space="preserve">alternative approach </w:t>
      </w:r>
      <w:r w:rsidR="00431263" w:rsidRPr="00E35AB3">
        <w:t xml:space="preserve">that </w:t>
      </w:r>
      <w:r w:rsidR="00CC08A7" w:rsidRPr="00E35AB3">
        <w:t>concentrates on exploring</w:t>
      </w:r>
      <w:r w:rsidR="00431263" w:rsidRPr="00E35AB3">
        <w:t xml:space="preserve"> the </w:t>
      </w:r>
      <w:r w:rsidR="0010341C" w:rsidRPr="00E35AB3">
        <w:t>low</w:t>
      </w:r>
      <w:r w:rsidR="00CC08A7" w:rsidRPr="00E35AB3">
        <w:t>-</w:t>
      </w:r>
      <w:r w:rsidR="0010341C" w:rsidRPr="00E35AB3">
        <w:t>index materials</w:t>
      </w:r>
      <w:r w:rsidR="00CC08A7" w:rsidRPr="00E35AB3">
        <w:t xml:space="preserve"> for wavefront shaping</w:t>
      </w:r>
      <w:r w:rsidR="0010341C" w:rsidRPr="00E35AB3">
        <w:t>.</w:t>
      </w:r>
      <w:r w:rsidR="00CD668F" w:rsidRPr="00E35AB3">
        <w:t xml:space="preserve"> </w:t>
      </w:r>
      <w:r w:rsidR="004E6CAC" w:rsidRPr="00E35AB3">
        <w:t xml:space="preserve">In our </w:t>
      </w:r>
      <w:r w:rsidR="00A51FD6" w:rsidRPr="00E35AB3">
        <w:t>Si metasurface</w:t>
      </w:r>
      <w:r w:rsidR="004E6CAC" w:rsidRPr="00E35AB3">
        <w:t>, the low-index air gap bet</w:t>
      </w:r>
      <w:r w:rsidR="00666D4D" w:rsidRPr="00E35AB3">
        <w:t xml:space="preserve">ween </w:t>
      </w:r>
      <w:r w:rsidR="00364858" w:rsidRPr="00E35AB3">
        <w:t xml:space="preserve">adjacent </w:t>
      </w:r>
      <w:r w:rsidR="00666D4D" w:rsidRPr="00E35AB3">
        <w:t>Si fins is judiciously tuned</w:t>
      </w:r>
      <w:r w:rsidR="004E6CAC" w:rsidRPr="00E35AB3">
        <w:t>, while the high-index Si fins only have a single size across the whole metasurface. Th</w:t>
      </w:r>
      <w:r w:rsidR="00FD2CB7" w:rsidRPr="00E35AB3">
        <w:t>ese gap modes</w:t>
      </w:r>
      <w:r w:rsidR="004E6CAC" w:rsidRPr="00E35AB3">
        <w:t xml:space="preserve"> </w:t>
      </w:r>
      <w:r w:rsidR="00FD2CB7" w:rsidRPr="00E35AB3">
        <w:t>provide</w:t>
      </w:r>
      <w:r w:rsidR="004E6CAC" w:rsidRPr="00E35AB3">
        <w:t xml:space="preserve"> the full 2</w:t>
      </w:r>
      <w:r w:rsidR="004E6CAC" w:rsidRPr="00E35AB3">
        <w:rPr>
          <w:rFonts w:cs="Times New Roman"/>
        </w:rPr>
        <w:t>π</w:t>
      </w:r>
      <w:r w:rsidR="00FD2CB7" w:rsidRPr="00E35AB3">
        <w:t xml:space="preserve"> phase coverage, </w:t>
      </w:r>
      <w:r w:rsidR="0062234A" w:rsidRPr="00E35AB3">
        <w:t xml:space="preserve">as well as high and relatively uniform transmission, </w:t>
      </w:r>
      <w:r w:rsidR="00015F38" w:rsidRPr="00E35AB3">
        <w:t>at</w:t>
      </w:r>
      <w:r w:rsidR="0062234A" w:rsidRPr="00E35AB3">
        <w:t xml:space="preserve"> the deep</w:t>
      </w:r>
      <w:r w:rsidR="00940B6B" w:rsidRPr="00E35AB3">
        <w:t>-</w:t>
      </w:r>
      <w:r w:rsidR="0062234A" w:rsidRPr="00E35AB3">
        <w:t xml:space="preserve">subwavelength </w:t>
      </w:r>
      <w:r w:rsidR="00015F38" w:rsidRPr="00E35AB3">
        <w:t>scale</w:t>
      </w:r>
      <w:r w:rsidR="00FD2CB7" w:rsidRPr="00E35AB3">
        <w:t xml:space="preserve">. These characteristics are ideal for </w:t>
      </w:r>
      <w:r w:rsidR="00666D4D" w:rsidRPr="00E35AB3">
        <w:t xml:space="preserve">mapping a </w:t>
      </w:r>
      <w:r w:rsidR="00CC08A7" w:rsidRPr="00E35AB3">
        <w:t>steep</w:t>
      </w:r>
      <w:r w:rsidR="00666D4D" w:rsidRPr="00E35AB3">
        <w:t xml:space="preserve"> phase gradient, consequently suitable for </w:t>
      </w:r>
      <w:r w:rsidR="0001679F" w:rsidRPr="00E35AB3">
        <w:t>high-efficiency and large-angle wavefront bending</w:t>
      </w:r>
      <w:r w:rsidR="00666D4D" w:rsidRPr="00E35AB3">
        <w:t>. This</w:t>
      </w:r>
      <w:r w:rsidR="009E75F7" w:rsidRPr="00E35AB3">
        <w:t xml:space="preserve"> light manipulation </w:t>
      </w:r>
      <w:r w:rsidR="00666D4D" w:rsidRPr="00E35AB3">
        <w:t xml:space="preserve">capability </w:t>
      </w:r>
      <w:r w:rsidR="009E75F7" w:rsidRPr="00E35AB3">
        <w:t xml:space="preserve">is </w:t>
      </w:r>
      <w:r w:rsidR="00A31886" w:rsidRPr="00E35AB3">
        <w:t>exemplified with</w:t>
      </w:r>
      <w:r w:rsidR="00D01EC0" w:rsidRPr="00E35AB3">
        <w:t xml:space="preserve"> numerical simulation </w:t>
      </w:r>
      <w:r w:rsidR="009E75F7" w:rsidRPr="00E35AB3">
        <w:t>in PW-SW (freely propagating wave to surface wave) conversion, where the wavefront is deflected by an angle of 90</w:t>
      </w:r>
      <w:r w:rsidR="009E75F7" w:rsidRPr="00E35AB3">
        <w:rPr>
          <w:rFonts w:cs="Times New Roman"/>
        </w:rPr>
        <w:t>°</w:t>
      </w:r>
      <w:r w:rsidR="009E75F7" w:rsidRPr="00E35AB3">
        <w:t>.</w:t>
      </w:r>
      <w:r w:rsidR="00641D33" w:rsidRPr="00E35AB3">
        <w:t xml:space="preserve"> </w:t>
      </w:r>
      <w:r w:rsidR="00A64B2C" w:rsidRPr="00E35AB3">
        <w:t xml:space="preserve">In the gap-mode meta-converters, the average unit size can be only 1/60 of free-space wavelength, an order of magnitude smaller than that of conventional all-dielectric metasurfaces. Their conversion efficiency can </w:t>
      </w:r>
      <w:r w:rsidR="00364858" w:rsidRPr="00E35AB3">
        <w:t>reach</w:t>
      </w:r>
      <w:r w:rsidR="00641D33" w:rsidRPr="00E35AB3">
        <w:t xml:space="preserve"> </w:t>
      </w:r>
      <w:r w:rsidR="00132D21" w:rsidRPr="00E35AB3">
        <w:t>68</w:t>
      </w:r>
      <w:r w:rsidR="00641D33" w:rsidRPr="00E35AB3">
        <w:t xml:space="preserve">%, </w:t>
      </w:r>
      <w:r w:rsidR="00B65891" w:rsidRPr="00E35AB3">
        <w:t xml:space="preserve">the highest </w:t>
      </w:r>
      <w:r w:rsidR="00641D33" w:rsidRPr="00E35AB3">
        <w:t>value</w:t>
      </w:r>
      <w:r w:rsidR="008637D2" w:rsidRPr="00E35AB3">
        <w:t xml:space="preserve"> reported</w:t>
      </w:r>
      <w:r w:rsidR="00641D33" w:rsidRPr="00E35AB3">
        <w:t xml:space="preserve"> for </w:t>
      </w:r>
      <w:r w:rsidR="00364858" w:rsidRPr="00E35AB3">
        <w:t xml:space="preserve">any </w:t>
      </w:r>
      <w:r w:rsidR="00641D33" w:rsidRPr="00E35AB3">
        <w:t xml:space="preserve">all-dielectric </w:t>
      </w:r>
      <w:r w:rsidR="001E1976" w:rsidRPr="00E35AB3">
        <w:t xml:space="preserve">gradient </w:t>
      </w:r>
      <w:r w:rsidR="00641D33" w:rsidRPr="00E35AB3">
        <w:t xml:space="preserve">metasurface </w:t>
      </w:r>
      <w:r w:rsidR="008637D2" w:rsidRPr="00E35AB3">
        <w:t xml:space="preserve">THz </w:t>
      </w:r>
      <w:r w:rsidR="00364858" w:rsidRPr="00E35AB3">
        <w:t>converter.</w:t>
      </w:r>
    </w:p>
    <w:p w:rsidR="005B1938" w:rsidRPr="00E35AB3" w:rsidRDefault="005B1938" w:rsidP="001665AB">
      <w:pPr>
        <w:pStyle w:val="07Copyright"/>
      </w:pPr>
      <w:r w:rsidRPr="00E35AB3">
        <w:t xml:space="preserve">© </w:t>
      </w:r>
      <w:r w:rsidRPr="00E35AB3">
        <w:rPr>
          <w:color w:val="FF0000"/>
        </w:rPr>
        <w:t>202</w:t>
      </w:r>
      <w:r w:rsidR="004137BA" w:rsidRPr="00E35AB3">
        <w:rPr>
          <w:color w:val="FF0000"/>
        </w:rPr>
        <w:t>2</w:t>
      </w:r>
      <w:r w:rsidRPr="00E35AB3">
        <w:t xml:space="preserve"> Optica Publishing Group under the terms of the </w:t>
      </w:r>
      <w:hyperlink r:id="rId8" w:history="1">
        <w:r w:rsidRPr="00E35AB3">
          <w:rPr>
            <w:color w:val="2F2FB1"/>
          </w:rPr>
          <w:t>Optica Open Access Publishing Agreement</w:t>
        </w:r>
      </w:hyperlink>
    </w:p>
    <w:p w:rsidR="005B1938" w:rsidRPr="00E35AB3" w:rsidRDefault="005B1938" w:rsidP="001665AB">
      <w:pPr>
        <w:pStyle w:val="08SectionHeader10"/>
        <w:numPr>
          <w:ilvl w:val="0"/>
          <w:numId w:val="5"/>
        </w:numPr>
      </w:pPr>
      <w:bookmarkStart w:id="1" w:name="_Hlk85552282"/>
      <w:r w:rsidRPr="00E35AB3">
        <w:t>Introduction</w:t>
      </w:r>
    </w:p>
    <w:p w:rsidR="005B1938" w:rsidRPr="00E35AB3" w:rsidRDefault="006F6C86" w:rsidP="00362E6B">
      <w:pPr>
        <w:pStyle w:val="09BodyFirstParagraph"/>
        <w:rPr>
          <w:lang w:eastAsia="zh-CN"/>
        </w:rPr>
      </w:pPr>
      <w:bookmarkStart w:id="2" w:name="_Hlk97211072"/>
      <w:bookmarkEnd w:id="1"/>
      <w:r w:rsidRPr="00E35AB3">
        <w:rPr>
          <w:rFonts w:hint="eastAsia"/>
          <w:lang w:eastAsia="zh-CN"/>
        </w:rPr>
        <w:t>Deflecting</w:t>
      </w:r>
      <w:r w:rsidRPr="00E35AB3">
        <w:rPr>
          <w:lang w:eastAsia="zh-CN"/>
        </w:rPr>
        <w:t xml:space="preserve"> incident light </w:t>
      </w:r>
      <w:r w:rsidRPr="00E35AB3">
        <w:rPr>
          <w:rFonts w:hint="eastAsia"/>
          <w:lang w:eastAsia="zh-CN"/>
        </w:rPr>
        <w:t>at</w:t>
      </w:r>
      <w:r w:rsidRPr="00E35AB3">
        <w:rPr>
          <w:lang w:eastAsia="zh-CN"/>
        </w:rPr>
        <w:t xml:space="preserve"> </w:t>
      </w:r>
      <w:r w:rsidRPr="00E35AB3">
        <w:rPr>
          <w:rFonts w:hint="eastAsia"/>
          <w:lang w:eastAsia="zh-CN"/>
        </w:rPr>
        <w:t>large</w:t>
      </w:r>
      <w:r w:rsidRPr="00E35AB3">
        <w:rPr>
          <w:lang w:eastAsia="zh-CN"/>
        </w:rPr>
        <w:t xml:space="preserve"> </w:t>
      </w:r>
      <w:r w:rsidRPr="00E35AB3">
        <w:rPr>
          <w:rFonts w:hint="eastAsia"/>
          <w:lang w:eastAsia="zh-CN"/>
        </w:rPr>
        <w:t>angles</w:t>
      </w:r>
      <w:r w:rsidRPr="00E35AB3">
        <w:rPr>
          <w:lang w:eastAsia="zh-CN"/>
        </w:rPr>
        <w:t xml:space="preserve"> and high efficiencies using nano- and microstructures </w:t>
      </w:r>
      <w:r w:rsidRPr="00E35AB3">
        <w:rPr>
          <w:rFonts w:hint="eastAsia"/>
          <w:lang w:eastAsia="zh-CN"/>
        </w:rPr>
        <w:t>promise</w:t>
      </w:r>
      <w:r w:rsidRPr="00E35AB3">
        <w:rPr>
          <w:lang w:eastAsia="zh-CN"/>
        </w:rPr>
        <w:t xml:space="preserve">s </w:t>
      </w:r>
      <w:r w:rsidRPr="00E35AB3">
        <w:rPr>
          <w:rFonts w:hint="eastAsia"/>
          <w:lang w:eastAsia="zh-CN"/>
        </w:rPr>
        <w:t>various</w:t>
      </w:r>
      <w:r w:rsidRPr="00E35AB3">
        <w:rPr>
          <w:lang w:eastAsia="zh-CN"/>
        </w:rPr>
        <w:t xml:space="preserve"> </w:t>
      </w:r>
      <w:r w:rsidRPr="00E35AB3">
        <w:rPr>
          <w:rFonts w:hint="eastAsia"/>
          <w:lang w:eastAsia="zh-CN"/>
        </w:rPr>
        <w:t>applications</w:t>
      </w:r>
      <w:r w:rsidRPr="00E35AB3">
        <w:rPr>
          <w:lang w:eastAsia="zh-CN"/>
        </w:rPr>
        <w:t xml:space="preserve"> in </w:t>
      </w:r>
      <w:r w:rsidRPr="00E35AB3">
        <w:rPr>
          <w:rFonts w:hint="eastAsia"/>
          <w:lang w:eastAsia="zh-CN"/>
        </w:rPr>
        <w:t>spectroscopy</w:t>
      </w:r>
      <w:r w:rsidRPr="00E35AB3">
        <w:rPr>
          <w:lang w:eastAsia="zh-CN"/>
        </w:rPr>
        <w:t xml:space="preserve"> [</w:t>
      </w:r>
      <w:r w:rsidR="007621CF" w:rsidRPr="00E35AB3">
        <w:rPr>
          <w:lang w:eastAsia="zh-CN"/>
        </w:rPr>
        <w:t>1</w:t>
      </w:r>
      <w:r w:rsidRPr="00E35AB3">
        <w:rPr>
          <w:lang w:eastAsia="zh-CN"/>
        </w:rPr>
        <w:t>]</w:t>
      </w:r>
      <w:r w:rsidRPr="00E35AB3">
        <w:rPr>
          <w:rFonts w:hint="eastAsia"/>
          <w:lang w:eastAsia="zh-CN"/>
        </w:rPr>
        <w:t>,</w:t>
      </w:r>
      <w:r w:rsidRPr="00E35AB3">
        <w:rPr>
          <w:lang w:eastAsia="zh-CN"/>
        </w:rPr>
        <w:t xml:space="preserve"> imaging [</w:t>
      </w:r>
      <w:r w:rsidR="007621CF" w:rsidRPr="00E35AB3">
        <w:rPr>
          <w:lang w:eastAsia="zh-CN"/>
        </w:rPr>
        <w:t>2</w:t>
      </w:r>
      <w:r w:rsidRPr="00E35AB3">
        <w:rPr>
          <w:lang w:eastAsia="zh-CN"/>
        </w:rPr>
        <w:t>], optical holography [</w:t>
      </w:r>
      <w:r w:rsidR="007621CF" w:rsidRPr="00E35AB3">
        <w:rPr>
          <w:lang w:eastAsia="zh-CN"/>
        </w:rPr>
        <w:t>3</w:t>
      </w:r>
      <w:r w:rsidRPr="00E35AB3">
        <w:rPr>
          <w:lang w:eastAsia="zh-CN"/>
        </w:rPr>
        <w:t>], sensing [</w:t>
      </w:r>
      <w:r w:rsidR="007621CF" w:rsidRPr="00E35AB3">
        <w:rPr>
          <w:lang w:eastAsia="zh-CN"/>
        </w:rPr>
        <w:t>4</w:t>
      </w:r>
      <w:r w:rsidRPr="00E35AB3">
        <w:rPr>
          <w:lang w:eastAsia="zh-CN"/>
        </w:rPr>
        <w:t>] and on-chip photonic circuitry [</w:t>
      </w:r>
      <w:r w:rsidR="007621CF" w:rsidRPr="00E35AB3">
        <w:rPr>
          <w:lang w:eastAsia="zh-CN"/>
        </w:rPr>
        <w:t>5</w:t>
      </w:r>
      <w:r w:rsidRPr="00E35AB3">
        <w:rPr>
          <w:lang w:eastAsia="zh-CN"/>
        </w:rPr>
        <w:t xml:space="preserve">]. </w:t>
      </w:r>
      <w:r w:rsidRPr="00E35AB3">
        <w:rPr>
          <w:rFonts w:hint="eastAsia"/>
          <w:lang w:eastAsia="zh-CN"/>
        </w:rPr>
        <w:t>R</w:t>
      </w:r>
      <w:r w:rsidRPr="00E35AB3">
        <w:rPr>
          <w:lang w:eastAsia="zh-CN"/>
        </w:rPr>
        <w:t xml:space="preserve">ecently, </w:t>
      </w:r>
      <w:r w:rsidRPr="00E35AB3">
        <w:t>all-dielectric metasurfaces [</w:t>
      </w:r>
      <w:r w:rsidR="007621CF" w:rsidRPr="00E35AB3">
        <w:t>6,7</w:t>
      </w:r>
      <w:r w:rsidRPr="00E35AB3">
        <w:t>]</w:t>
      </w:r>
      <w:r w:rsidRPr="00E35AB3">
        <w:rPr>
          <w:lang w:eastAsia="zh-CN"/>
        </w:rPr>
        <w:t xml:space="preserve"> have emerged as a promising new approach to this goal. In addition to their capability of providing a high level of wavefront control, these metasurfaces are inherently low in optical loss [</w:t>
      </w:r>
      <w:r w:rsidR="007621CF" w:rsidRPr="00E35AB3">
        <w:rPr>
          <w:lang w:eastAsia="zh-CN"/>
        </w:rPr>
        <w:t>8-10</w:t>
      </w:r>
      <w:r w:rsidRPr="00E35AB3">
        <w:rPr>
          <w:lang w:eastAsia="zh-CN"/>
        </w:rPr>
        <w:t>], which is widely regarded as an important advantage over metallic metasurfaces in regimes from the terahertz (THz) to the visible. However, for large-angle wavefront bending, in particular in the form of PW-SW (freely propagating wave to surface wave) conversion, their performances are actually far inferior to those of plasmonic and metallic metasurfaces [</w:t>
      </w:r>
      <w:r w:rsidR="007621CF" w:rsidRPr="00E35AB3">
        <w:rPr>
          <w:lang w:eastAsia="zh-CN"/>
        </w:rPr>
        <w:t>11-14</w:t>
      </w:r>
      <w:r w:rsidRPr="00E35AB3">
        <w:rPr>
          <w:lang w:eastAsia="zh-CN"/>
        </w:rPr>
        <w:t>]. As compared to the nearly perfect PW-SW conversion reported in metallic metasurfaces, the conversion efficiency is much lower in all-dielectric, phase-gradient metasurfaces. The record value that we can find is only 39.5%, according to the numerical simulation of Ref. [</w:t>
      </w:r>
      <w:r w:rsidR="007621CF" w:rsidRPr="00E35AB3">
        <w:rPr>
          <w:lang w:eastAsia="zh-CN"/>
        </w:rPr>
        <w:t>15</w:t>
      </w:r>
      <w:r w:rsidRPr="00E35AB3">
        <w:rPr>
          <w:lang w:eastAsia="zh-CN"/>
        </w:rPr>
        <w:t>].</w:t>
      </w:r>
    </w:p>
    <w:bookmarkEnd w:id="2"/>
    <w:p w:rsidR="00365F9E" w:rsidRPr="00E35AB3" w:rsidRDefault="007621CF" w:rsidP="00B57CBE">
      <w:pPr>
        <w:pStyle w:val="10BodySubsequentParagraph"/>
        <w:ind w:firstLine="289"/>
        <w:rPr>
          <w:rFonts w:cs="Times New Roman"/>
        </w:rPr>
      </w:pPr>
      <w:r w:rsidRPr="00E35AB3">
        <w:rPr>
          <w:lang w:eastAsia="zh-CN"/>
        </w:rPr>
        <w:t>L</w:t>
      </w:r>
      <w:r w:rsidR="009D0222" w:rsidRPr="00E35AB3">
        <w:rPr>
          <w:lang w:eastAsia="zh-CN"/>
        </w:rPr>
        <w:t>arge-angle, high-efficiency wa</w:t>
      </w:r>
      <w:r w:rsidR="00C62C5D" w:rsidRPr="00E35AB3">
        <w:rPr>
          <w:lang w:eastAsia="zh-CN"/>
        </w:rPr>
        <w:t>vefront bending</w:t>
      </w:r>
      <w:r w:rsidR="00A64B2C" w:rsidRPr="00E35AB3">
        <w:rPr>
          <w:lang w:eastAsia="zh-CN"/>
        </w:rPr>
        <w:t xml:space="preserve"> i</w:t>
      </w:r>
      <w:r w:rsidR="00C62C5D" w:rsidRPr="00E35AB3">
        <w:rPr>
          <w:lang w:eastAsia="zh-CN"/>
        </w:rPr>
        <w:t>s a challenging task for all-dielectric</w:t>
      </w:r>
      <w:r w:rsidR="009C6E8B" w:rsidRPr="00E35AB3">
        <w:rPr>
          <w:lang w:eastAsia="zh-CN"/>
        </w:rPr>
        <w:t>, phase gradient</w:t>
      </w:r>
      <w:r w:rsidR="00C62C5D" w:rsidRPr="00E35AB3">
        <w:rPr>
          <w:lang w:eastAsia="zh-CN"/>
        </w:rPr>
        <w:t xml:space="preserve"> metasurfaces, </w:t>
      </w:r>
      <w:r w:rsidR="001B1257" w:rsidRPr="00E35AB3">
        <w:rPr>
          <w:lang w:eastAsia="zh-CN"/>
        </w:rPr>
        <w:t xml:space="preserve">mainly </w:t>
      </w:r>
      <w:r w:rsidR="00C62C5D" w:rsidRPr="00E35AB3">
        <w:rPr>
          <w:lang w:eastAsia="zh-CN"/>
        </w:rPr>
        <w:t xml:space="preserve">due to </w:t>
      </w:r>
      <w:bookmarkStart w:id="3" w:name="_Hlk86592545"/>
      <w:r w:rsidR="00C62C5D" w:rsidRPr="00E35AB3">
        <w:rPr>
          <w:lang w:eastAsia="zh-CN"/>
        </w:rPr>
        <w:t>the</w:t>
      </w:r>
      <w:r w:rsidR="001B1257" w:rsidRPr="00E35AB3">
        <w:rPr>
          <w:lang w:eastAsia="zh-CN"/>
        </w:rPr>
        <w:t xml:space="preserve">se two </w:t>
      </w:r>
      <w:r w:rsidR="0032176D" w:rsidRPr="00E35AB3">
        <w:rPr>
          <w:lang w:eastAsia="zh-CN"/>
        </w:rPr>
        <w:t xml:space="preserve">limiting </w:t>
      </w:r>
      <w:r w:rsidR="001B1257" w:rsidRPr="00E35AB3">
        <w:rPr>
          <w:lang w:eastAsia="zh-CN"/>
        </w:rPr>
        <w:t>factors:</w:t>
      </w:r>
      <w:r w:rsidR="00E61408" w:rsidRPr="00E35AB3">
        <w:rPr>
          <w:lang w:eastAsia="zh-CN"/>
        </w:rPr>
        <w:t xml:space="preserve"> </w:t>
      </w:r>
      <w:bookmarkStart w:id="4" w:name="_Hlk97157238"/>
      <w:r w:rsidR="005B1938" w:rsidRPr="00E35AB3">
        <w:rPr>
          <w:lang w:eastAsia="zh-CN"/>
        </w:rPr>
        <w:t xml:space="preserve">relatively large transversal </w:t>
      </w:r>
      <w:r w:rsidR="00C62C5D" w:rsidRPr="00E35AB3">
        <w:rPr>
          <w:lang w:eastAsia="zh-CN"/>
        </w:rPr>
        <w:t>size</w:t>
      </w:r>
      <w:r w:rsidR="005B1938" w:rsidRPr="00E35AB3">
        <w:rPr>
          <w:lang w:eastAsia="zh-CN"/>
        </w:rPr>
        <w:t xml:space="preserve"> of dielectric </w:t>
      </w:r>
      <w:r w:rsidR="004152C5" w:rsidRPr="00E35AB3">
        <w:rPr>
          <w:lang w:eastAsia="zh-CN"/>
        </w:rPr>
        <w:t>element</w:t>
      </w:r>
      <w:r w:rsidR="005B1938" w:rsidRPr="00E35AB3">
        <w:rPr>
          <w:lang w:eastAsia="zh-CN"/>
        </w:rPr>
        <w:t>s</w:t>
      </w:r>
      <w:bookmarkEnd w:id="3"/>
      <w:r w:rsidR="005B1938" w:rsidRPr="00E35AB3">
        <w:rPr>
          <w:lang w:eastAsia="zh-CN"/>
        </w:rPr>
        <w:t xml:space="preserve"> </w:t>
      </w:r>
      <w:r w:rsidR="00CE2B7A" w:rsidRPr="00E35AB3">
        <w:rPr>
          <w:lang w:eastAsia="zh-CN"/>
        </w:rPr>
        <w:t>[</w:t>
      </w:r>
      <w:r w:rsidRPr="00E35AB3">
        <w:rPr>
          <w:lang w:eastAsia="zh-CN"/>
        </w:rPr>
        <w:t>16</w:t>
      </w:r>
      <w:r w:rsidR="00CE2B7A" w:rsidRPr="00E35AB3">
        <w:rPr>
          <w:lang w:eastAsia="zh-CN"/>
        </w:rPr>
        <w:t>]</w:t>
      </w:r>
      <w:r w:rsidR="001B1257" w:rsidRPr="00E35AB3">
        <w:rPr>
          <w:noProof/>
          <w:lang w:eastAsia="zh-CN"/>
        </w:rPr>
        <w:t>, and the</w:t>
      </w:r>
      <w:r w:rsidR="00B614FA" w:rsidRPr="00E35AB3">
        <w:rPr>
          <w:noProof/>
          <w:lang w:eastAsia="zh-CN"/>
        </w:rPr>
        <w:t xml:space="preserve"> </w:t>
      </w:r>
      <w:r w:rsidR="00940B6B" w:rsidRPr="00E35AB3">
        <w:rPr>
          <w:noProof/>
          <w:lang w:eastAsia="zh-CN"/>
        </w:rPr>
        <w:t xml:space="preserve">finite </w:t>
      </w:r>
      <w:r w:rsidR="00B614FA" w:rsidRPr="00E35AB3">
        <w:rPr>
          <w:noProof/>
          <w:lang w:eastAsia="zh-CN"/>
        </w:rPr>
        <w:t>cross</w:t>
      </w:r>
      <w:r w:rsidR="001B1257" w:rsidRPr="00E35AB3">
        <w:rPr>
          <w:noProof/>
          <w:lang w:eastAsia="zh-CN"/>
        </w:rPr>
        <w:t>talk between adjacent elements</w:t>
      </w:r>
      <w:r w:rsidR="005B1938" w:rsidRPr="00E35AB3">
        <w:rPr>
          <w:lang w:eastAsia="zh-CN"/>
        </w:rPr>
        <w:t>.</w:t>
      </w:r>
      <w:bookmarkEnd w:id="4"/>
      <w:r w:rsidR="005B1938" w:rsidRPr="00E35AB3">
        <w:rPr>
          <w:lang w:eastAsia="zh-CN"/>
        </w:rPr>
        <w:t xml:space="preserve"> </w:t>
      </w:r>
      <w:r w:rsidR="00DF0166" w:rsidRPr="00E35AB3">
        <w:rPr>
          <w:lang w:eastAsia="zh-CN"/>
        </w:rPr>
        <w:lastRenderedPageBreak/>
        <w:t>For an all-dielectric</w:t>
      </w:r>
      <w:r w:rsidR="009C6E8B" w:rsidRPr="00E35AB3">
        <w:rPr>
          <w:lang w:eastAsia="zh-CN"/>
        </w:rPr>
        <w:t>, phase-gradient</w:t>
      </w:r>
      <w:r w:rsidR="00DF0166" w:rsidRPr="00E35AB3">
        <w:rPr>
          <w:lang w:eastAsia="zh-CN"/>
        </w:rPr>
        <w:t xml:space="preserve"> metasurface t</w:t>
      </w:r>
      <w:r w:rsidR="00C62C5D" w:rsidRPr="00E35AB3">
        <w:rPr>
          <w:lang w:eastAsia="zh-CN"/>
        </w:rPr>
        <w:t xml:space="preserve">o change the propagation direction of linearly polarized incident light while preserving its polarization direction, </w:t>
      </w:r>
      <w:r w:rsidR="004152C5" w:rsidRPr="00E35AB3">
        <w:rPr>
          <w:lang w:eastAsia="zh-CN"/>
        </w:rPr>
        <w:t>as required in the majority</w:t>
      </w:r>
      <w:r w:rsidR="00853AF8" w:rsidRPr="00E35AB3">
        <w:rPr>
          <w:lang w:eastAsia="zh-CN"/>
        </w:rPr>
        <w:t xml:space="preserve"> </w:t>
      </w:r>
      <w:r w:rsidR="004152C5" w:rsidRPr="00E35AB3">
        <w:rPr>
          <w:lang w:eastAsia="zh-CN"/>
        </w:rPr>
        <w:t xml:space="preserve">of applications, </w:t>
      </w:r>
      <w:r w:rsidR="00456398" w:rsidRPr="00E35AB3">
        <w:rPr>
          <w:lang w:eastAsia="zh-CN"/>
        </w:rPr>
        <w:t>two design approaches</w:t>
      </w:r>
      <w:r w:rsidR="00B614FA" w:rsidRPr="00E35AB3">
        <w:rPr>
          <w:lang w:eastAsia="zh-CN"/>
        </w:rPr>
        <w:t xml:space="preserve"> are widely adopted</w:t>
      </w:r>
      <w:r w:rsidR="00754EC1" w:rsidRPr="00E35AB3">
        <w:rPr>
          <w:lang w:eastAsia="zh-CN"/>
        </w:rPr>
        <w:t xml:space="preserve"> in the research community</w:t>
      </w:r>
      <w:r w:rsidR="00B614FA" w:rsidRPr="00E35AB3">
        <w:rPr>
          <w:lang w:eastAsia="zh-CN"/>
        </w:rPr>
        <w:t xml:space="preserve"> </w:t>
      </w:r>
      <w:r w:rsidR="00CE2B7A" w:rsidRPr="00E35AB3">
        <w:rPr>
          <w:lang w:eastAsia="zh-CN"/>
        </w:rPr>
        <w:t>[</w:t>
      </w:r>
      <w:r w:rsidR="0026236B" w:rsidRPr="00E35AB3">
        <w:rPr>
          <w:lang w:eastAsia="zh-CN"/>
        </w:rPr>
        <w:t>17-19</w:t>
      </w:r>
      <w:r w:rsidR="00CE2B7A" w:rsidRPr="00E35AB3">
        <w:rPr>
          <w:lang w:eastAsia="zh-CN"/>
        </w:rPr>
        <w:t>]</w:t>
      </w:r>
      <w:r w:rsidR="008637D2" w:rsidRPr="00E35AB3">
        <w:rPr>
          <w:lang w:eastAsia="zh-CN"/>
        </w:rPr>
        <w:t>.</w:t>
      </w:r>
      <w:r w:rsidR="00B614FA" w:rsidRPr="00E35AB3">
        <w:rPr>
          <w:lang w:eastAsia="zh-CN"/>
        </w:rPr>
        <w:t xml:space="preserve"> The first utilizes</w:t>
      </w:r>
      <w:r w:rsidR="00456398" w:rsidRPr="00E35AB3">
        <w:rPr>
          <w:lang w:eastAsia="zh-CN"/>
        </w:rPr>
        <w:t xml:space="preserve"> the Mie resonance</w:t>
      </w:r>
      <w:r w:rsidR="00B614FA" w:rsidRPr="00E35AB3">
        <w:rPr>
          <w:lang w:eastAsia="zh-CN"/>
        </w:rPr>
        <w:t>, and the second is</w:t>
      </w:r>
      <w:r w:rsidR="00456398" w:rsidRPr="00E35AB3">
        <w:rPr>
          <w:lang w:eastAsia="zh-CN"/>
        </w:rPr>
        <w:t xml:space="preserve"> based on the </w:t>
      </w:r>
      <w:r w:rsidR="004152C5" w:rsidRPr="00E35AB3">
        <w:rPr>
          <w:lang w:eastAsia="zh-CN"/>
        </w:rPr>
        <w:t>effective refractive index approximation.</w:t>
      </w:r>
      <w:r w:rsidR="00D578C8" w:rsidRPr="00E35AB3">
        <w:rPr>
          <w:lang w:eastAsia="zh-CN"/>
        </w:rPr>
        <w:t xml:space="preserve"> The Mie resonance </w:t>
      </w:r>
      <w:r w:rsidR="00AA4A84" w:rsidRPr="00E35AB3">
        <w:rPr>
          <w:lang w:eastAsia="zh-CN"/>
        </w:rPr>
        <w:t xml:space="preserve">approach provides </w:t>
      </w:r>
      <w:r w:rsidR="00AA4A84" w:rsidRPr="00E35AB3">
        <w:t>the required 2π phase coverage by overlapping electric and magnetic dipol</w:t>
      </w:r>
      <w:r w:rsidR="000207D4" w:rsidRPr="00E35AB3">
        <w:t>ar</w:t>
      </w:r>
      <w:r w:rsidR="00AA4A84" w:rsidRPr="00E35AB3">
        <w:t xml:space="preserve"> Mie-type resonances of a </w:t>
      </w:r>
      <w:r w:rsidR="00940B6B" w:rsidRPr="00E35AB3">
        <w:t xml:space="preserve">high-index </w:t>
      </w:r>
      <w:r w:rsidR="00AA4A84" w:rsidRPr="00E35AB3">
        <w:t>dielectric resonator</w:t>
      </w:r>
      <w:r w:rsidR="00137107" w:rsidRPr="00E35AB3">
        <w:t xml:space="preserve"> </w:t>
      </w:r>
      <w:r w:rsidR="0026236B" w:rsidRPr="00E35AB3">
        <w:t>[17].</w:t>
      </w:r>
      <w:r w:rsidR="00AA4A84" w:rsidRPr="00E35AB3">
        <w:t xml:space="preserve"> As both resonances are highl</w:t>
      </w:r>
      <w:r w:rsidR="00456398" w:rsidRPr="00E35AB3">
        <w:t>y</w:t>
      </w:r>
      <w:r w:rsidR="00AA4A84" w:rsidRPr="00E35AB3">
        <w:t xml:space="preserve"> sensitive to the size and the aspect ratio of the resonator, the planar dim</w:t>
      </w:r>
      <w:r w:rsidR="00754EC1" w:rsidRPr="00E35AB3">
        <w:t>ensions</w:t>
      </w:r>
      <w:r w:rsidR="00AA4A84" w:rsidRPr="00E35AB3">
        <w:t xml:space="preserve"> of the resonator cannot be </w:t>
      </w:r>
      <w:r w:rsidR="00D01EC0" w:rsidRPr="00E35AB3">
        <w:t>significantly</w:t>
      </w:r>
      <w:r w:rsidR="00AA4A84" w:rsidRPr="00E35AB3">
        <w:t xml:space="preserve"> smaller than the </w:t>
      </w:r>
      <w:r w:rsidR="00456398" w:rsidRPr="00E35AB3">
        <w:t>free-space</w:t>
      </w:r>
      <w:r w:rsidR="00AA4A84" w:rsidRPr="00E35AB3">
        <w:t xml:space="preserve"> wavelength</w:t>
      </w:r>
      <w:r w:rsidR="00456398" w:rsidRPr="00E35AB3">
        <w:t xml:space="preserve"> </w:t>
      </w:r>
      <w:r w:rsidR="00456398" w:rsidRPr="00E35AB3">
        <w:rPr>
          <w:rFonts w:cs="Times New Roman"/>
        </w:rPr>
        <w:t>λ</w:t>
      </w:r>
      <w:r w:rsidR="00456398" w:rsidRPr="00E35AB3">
        <w:rPr>
          <w:rFonts w:cs="Times New Roman"/>
          <w:vertAlign w:val="subscript"/>
        </w:rPr>
        <w:t>0</w:t>
      </w:r>
      <w:r w:rsidR="00456398" w:rsidRPr="00E35AB3">
        <w:rPr>
          <w:rFonts w:cs="Times New Roman"/>
        </w:rPr>
        <w:t xml:space="preserve"> of the incident light</w:t>
      </w:r>
      <w:r w:rsidR="00456398" w:rsidRPr="00E35AB3">
        <w:t xml:space="preserve">. </w:t>
      </w:r>
      <w:r w:rsidR="00DF0166" w:rsidRPr="00E35AB3">
        <w:t xml:space="preserve">For example, in circular Si pillars residing on a glass substrate, </w:t>
      </w:r>
      <w:r w:rsidR="00D01EC0" w:rsidRPr="00E35AB3">
        <w:rPr>
          <w:rFonts w:cs="Times New Roman"/>
        </w:rPr>
        <w:t>regarding</w:t>
      </w:r>
      <w:r w:rsidR="00754EC1" w:rsidRPr="00E35AB3">
        <w:rPr>
          <w:rFonts w:cs="Times New Roman"/>
        </w:rPr>
        <w:t xml:space="preserve"> the side length of a light scattering unit,</w:t>
      </w:r>
      <w:r w:rsidR="00754EC1" w:rsidRPr="00E35AB3">
        <w:t xml:space="preserve"> </w:t>
      </w:r>
      <w:r w:rsidR="00DF0166" w:rsidRPr="00E35AB3">
        <w:t>a</w:t>
      </w:r>
      <w:r w:rsidR="00456398" w:rsidRPr="00E35AB3">
        <w:t xml:space="preserve"> guideline value is </w:t>
      </w:r>
      <w:r w:rsidR="00456398" w:rsidRPr="00E35AB3">
        <w:rPr>
          <w:rFonts w:cs="Times New Roman"/>
        </w:rPr>
        <w:t>λ</w:t>
      </w:r>
      <w:r w:rsidR="00456398" w:rsidRPr="00E35AB3">
        <w:rPr>
          <w:rFonts w:cs="Times New Roman"/>
          <w:vertAlign w:val="subscript"/>
        </w:rPr>
        <w:t>0</w:t>
      </w:r>
      <w:r w:rsidR="00456398" w:rsidRPr="00E35AB3">
        <w:rPr>
          <w:rFonts w:cs="Times New Roman"/>
        </w:rPr>
        <w:t>/</w:t>
      </w:r>
      <w:r w:rsidR="00754EC1" w:rsidRPr="00E35AB3">
        <w:rPr>
          <w:rFonts w:cs="Times New Roman"/>
        </w:rPr>
        <w:t>2</w:t>
      </w:r>
      <w:r w:rsidR="00456398" w:rsidRPr="00E35AB3">
        <w:rPr>
          <w:rFonts w:cs="Times New Roman"/>
        </w:rPr>
        <w:t xml:space="preserve"> </w:t>
      </w:r>
      <w:r w:rsidR="00815B0D" w:rsidRPr="00E35AB3">
        <w:rPr>
          <w:rFonts w:cs="Times New Roman"/>
        </w:rPr>
        <w:t>[8, 20, 21].</w:t>
      </w:r>
      <w:r w:rsidR="00456398" w:rsidRPr="00E35AB3">
        <w:rPr>
          <w:rFonts w:cs="Times New Roman"/>
        </w:rPr>
        <w:t xml:space="preserve"> </w:t>
      </w:r>
      <w:r w:rsidR="00B57CBE" w:rsidRPr="00E35AB3">
        <w:rPr>
          <w:rFonts w:cs="Times New Roman"/>
        </w:rPr>
        <w:t xml:space="preserve">Here a unit </w:t>
      </w:r>
      <w:r w:rsidR="00D01EC0" w:rsidRPr="00E35AB3">
        <w:rPr>
          <w:rFonts w:cs="Times New Roman"/>
        </w:rPr>
        <w:t xml:space="preserve">refers to a section of a metasurface that </w:t>
      </w:r>
      <w:r w:rsidR="00776855" w:rsidRPr="00E35AB3">
        <w:rPr>
          <w:rFonts w:cs="Times New Roman"/>
        </w:rPr>
        <w:t xml:space="preserve">consists </w:t>
      </w:r>
      <w:r w:rsidR="00B57CBE" w:rsidRPr="00E35AB3">
        <w:rPr>
          <w:rFonts w:cs="Times New Roman"/>
        </w:rPr>
        <w:t xml:space="preserve">of </w:t>
      </w:r>
      <w:r w:rsidR="00776855" w:rsidRPr="00E35AB3">
        <w:rPr>
          <w:rFonts w:cs="Times New Roman"/>
        </w:rPr>
        <w:t xml:space="preserve">both </w:t>
      </w:r>
      <w:r w:rsidR="00B57CBE" w:rsidRPr="00E35AB3">
        <w:rPr>
          <w:rFonts w:cs="Times New Roman"/>
        </w:rPr>
        <w:t xml:space="preserve">high and low index </w:t>
      </w:r>
      <w:r w:rsidR="00D01EC0" w:rsidRPr="00E35AB3">
        <w:rPr>
          <w:rFonts w:cs="Times New Roman"/>
        </w:rPr>
        <w:t>material</w:t>
      </w:r>
      <w:r w:rsidR="00B57CBE" w:rsidRPr="00E35AB3">
        <w:rPr>
          <w:rFonts w:cs="Times New Roman"/>
        </w:rPr>
        <w:t xml:space="preserve">s, and several </w:t>
      </w:r>
      <w:r w:rsidR="009C6E8B" w:rsidRPr="00E35AB3">
        <w:rPr>
          <w:rFonts w:cs="Times New Roman"/>
        </w:rPr>
        <w:t xml:space="preserve">similar or </w:t>
      </w:r>
      <w:r w:rsidR="00B57CBE" w:rsidRPr="00E35AB3">
        <w:rPr>
          <w:rFonts w:cs="Times New Roman"/>
        </w:rPr>
        <w:t>equal</w:t>
      </w:r>
      <w:r w:rsidR="00776855" w:rsidRPr="00E35AB3">
        <w:rPr>
          <w:rFonts w:cs="Times New Roman"/>
        </w:rPr>
        <w:t>-</w:t>
      </w:r>
      <w:r w:rsidR="00B57CBE" w:rsidRPr="00E35AB3">
        <w:rPr>
          <w:rFonts w:cs="Times New Roman"/>
        </w:rPr>
        <w:t xml:space="preserve">sized units form a super unit cell, which is the smallest periodic </w:t>
      </w:r>
      <w:r w:rsidR="00776855" w:rsidRPr="00E35AB3">
        <w:rPr>
          <w:rFonts w:cs="Times New Roman"/>
        </w:rPr>
        <w:t>part of a metasurface.</w:t>
      </w:r>
      <w:r w:rsidR="00B57CBE" w:rsidRPr="00E35AB3">
        <w:rPr>
          <w:rFonts w:cs="Times New Roman"/>
        </w:rPr>
        <w:t xml:space="preserve"> </w:t>
      </w:r>
      <w:r w:rsidR="00456398" w:rsidRPr="00E35AB3">
        <w:rPr>
          <w:rFonts w:cs="Times New Roman"/>
        </w:rPr>
        <w:t xml:space="preserve">For the </w:t>
      </w:r>
      <w:r w:rsidR="001C461E" w:rsidRPr="00E35AB3">
        <w:rPr>
          <w:rFonts w:cs="Times New Roman"/>
        </w:rPr>
        <w:t xml:space="preserve">second </w:t>
      </w:r>
      <w:r w:rsidR="00456398" w:rsidRPr="00E35AB3">
        <w:rPr>
          <w:rFonts w:cs="Times New Roman"/>
        </w:rPr>
        <w:t>approach</w:t>
      </w:r>
      <w:r w:rsidR="00282FD2" w:rsidRPr="00E35AB3">
        <w:rPr>
          <w:rFonts w:cs="Times New Roman"/>
        </w:rPr>
        <w:t xml:space="preserve"> </w:t>
      </w:r>
      <w:r w:rsidR="001C461E" w:rsidRPr="00E35AB3">
        <w:rPr>
          <w:rFonts w:cs="Times New Roman"/>
        </w:rPr>
        <w:t>that utilizes</w:t>
      </w:r>
      <w:r w:rsidR="00282FD2" w:rsidRPr="00E35AB3">
        <w:rPr>
          <w:rFonts w:cs="Times New Roman"/>
        </w:rPr>
        <w:t xml:space="preserve"> </w:t>
      </w:r>
      <w:r w:rsidR="00456398" w:rsidRPr="00E35AB3">
        <w:rPr>
          <w:rFonts w:cs="Times New Roman"/>
        </w:rPr>
        <w:t>the effective refractive index</w:t>
      </w:r>
      <w:r w:rsidR="00754EC1" w:rsidRPr="00E35AB3">
        <w:rPr>
          <w:rFonts w:cs="Times New Roman"/>
        </w:rPr>
        <w:t xml:space="preserve"> </w:t>
      </w:r>
      <w:r w:rsidR="00754EC1" w:rsidRPr="00E35AB3">
        <w:rPr>
          <w:lang w:eastAsia="zh-CN"/>
        </w:rPr>
        <w:t>approximation</w:t>
      </w:r>
      <w:r w:rsidR="00456398" w:rsidRPr="00E35AB3">
        <w:rPr>
          <w:rFonts w:cs="Times New Roman"/>
        </w:rPr>
        <w:t>,</w:t>
      </w:r>
      <w:r w:rsidR="00463612" w:rsidRPr="00E35AB3">
        <w:rPr>
          <w:rFonts w:cs="Times New Roman"/>
        </w:rPr>
        <w:t xml:space="preserve"> </w:t>
      </w:r>
      <w:r w:rsidR="00282FD2" w:rsidRPr="00E35AB3">
        <w:rPr>
          <w:rFonts w:cs="Times New Roman"/>
        </w:rPr>
        <w:t>the phase accumulation is proportional to the metasurface thickness</w:t>
      </w:r>
      <w:r w:rsidR="00137107" w:rsidRPr="00E35AB3">
        <w:rPr>
          <w:rFonts w:cs="Times New Roman"/>
        </w:rPr>
        <w:t xml:space="preserve"> </w:t>
      </w:r>
      <w:r w:rsidR="00754EC1" w:rsidRPr="00E35AB3">
        <w:rPr>
          <w:rFonts w:cs="Times New Roman"/>
        </w:rPr>
        <w:t xml:space="preserve">for a given planar pattern </w:t>
      </w:r>
      <w:r w:rsidR="00D75FBE" w:rsidRPr="00E35AB3">
        <w:rPr>
          <w:rFonts w:cs="Times New Roman"/>
        </w:rPr>
        <w:t>[19, 22].</w:t>
      </w:r>
      <w:r w:rsidR="00282FD2" w:rsidRPr="00E35AB3">
        <w:rPr>
          <w:rFonts w:cs="Times New Roman"/>
        </w:rPr>
        <w:t xml:space="preserve"> This feature </w:t>
      </w:r>
      <w:r w:rsidR="00365F9E" w:rsidRPr="00E35AB3">
        <w:rPr>
          <w:rFonts w:cs="Times New Roman"/>
        </w:rPr>
        <w:t xml:space="preserve">consequently allows </w:t>
      </w:r>
      <w:r w:rsidR="00D01EC0" w:rsidRPr="00E35AB3">
        <w:rPr>
          <w:rFonts w:cs="Times New Roman"/>
        </w:rPr>
        <w:t xml:space="preserve">for </w:t>
      </w:r>
      <w:r w:rsidR="00365F9E" w:rsidRPr="00E35AB3">
        <w:rPr>
          <w:rFonts w:cs="Times New Roman"/>
        </w:rPr>
        <w:t xml:space="preserve">a more compact </w:t>
      </w:r>
      <w:r w:rsidR="001C461E" w:rsidRPr="00E35AB3">
        <w:rPr>
          <w:rFonts w:cs="Times New Roman"/>
        </w:rPr>
        <w:t xml:space="preserve">in-plane </w:t>
      </w:r>
      <w:r w:rsidR="00365F9E" w:rsidRPr="00E35AB3">
        <w:rPr>
          <w:rFonts w:cs="Times New Roman"/>
        </w:rPr>
        <w:t>unit distribution, where the unit side length typically ranges from λ</w:t>
      </w:r>
      <w:r w:rsidR="00365F9E" w:rsidRPr="00E35AB3">
        <w:rPr>
          <w:rFonts w:cs="Times New Roman"/>
          <w:vertAlign w:val="subscript"/>
        </w:rPr>
        <w:t>0</w:t>
      </w:r>
      <w:r w:rsidR="00365F9E" w:rsidRPr="00E35AB3">
        <w:rPr>
          <w:rFonts w:cs="Times New Roman"/>
        </w:rPr>
        <w:t>/2 to λ</w:t>
      </w:r>
      <w:r w:rsidR="00365F9E" w:rsidRPr="00E35AB3">
        <w:rPr>
          <w:rFonts w:cs="Times New Roman"/>
          <w:vertAlign w:val="subscript"/>
        </w:rPr>
        <w:t>0</w:t>
      </w:r>
      <w:r w:rsidR="00365F9E" w:rsidRPr="00E35AB3">
        <w:rPr>
          <w:rFonts w:cs="Times New Roman"/>
        </w:rPr>
        <w:t xml:space="preserve">/5 </w:t>
      </w:r>
      <w:r w:rsidR="00D75FBE" w:rsidRPr="00E35AB3">
        <w:rPr>
          <w:rFonts w:cs="Times New Roman"/>
        </w:rPr>
        <w:t>[15, 22-25].</w:t>
      </w:r>
      <w:r w:rsidR="00B57CBE" w:rsidRPr="00E35AB3">
        <w:rPr>
          <w:rFonts w:cs="Times New Roman"/>
        </w:rPr>
        <w:t xml:space="preserve"> </w:t>
      </w:r>
      <w:r w:rsidR="00365F9E" w:rsidRPr="00E35AB3">
        <w:rPr>
          <w:rFonts w:cs="Times New Roman"/>
        </w:rPr>
        <w:t>Further reducing the unit size is apparently unfeasible</w:t>
      </w:r>
      <w:r w:rsidR="00940B6B" w:rsidRPr="00E35AB3">
        <w:rPr>
          <w:rFonts w:cs="Times New Roman"/>
        </w:rPr>
        <w:t xml:space="preserve"> based on existing reports</w:t>
      </w:r>
      <w:r w:rsidR="00B57CBE" w:rsidRPr="00E35AB3">
        <w:rPr>
          <w:rFonts w:cs="Times New Roman"/>
        </w:rPr>
        <w:t>. In the conventional view</w:t>
      </w:r>
      <w:r w:rsidR="00D75FBE" w:rsidRPr="00E35AB3">
        <w:rPr>
          <w:rFonts w:cs="Times New Roman"/>
        </w:rPr>
        <w:t xml:space="preserve"> [26]</w:t>
      </w:r>
      <w:r w:rsidR="00B57CBE" w:rsidRPr="00E35AB3">
        <w:rPr>
          <w:rFonts w:cs="Times New Roman"/>
        </w:rPr>
        <w:t xml:space="preserve">, </w:t>
      </w:r>
      <w:r w:rsidR="001C461E" w:rsidRPr="00E35AB3">
        <w:rPr>
          <w:rFonts w:cs="Times New Roman"/>
        </w:rPr>
        <w:t>it is mainly due to</w:t>
      </w:r>
      <w:r w:rsidR="00B57CBE" w:rsidRPr="00E35AB3">
        <w:rPr>
          <w:rFonts w:cs="Times New Roman"/>
        </w:rPr>
        <w:t xml:space="preserve"> the crosstalk between adjacent </w:t>
      </w:r>
      <w:r w:rsidR="00940B6B" w:rsidRPr="00E35AB3">
        <w:rPr>
          <w:rFonts w:cs="Times New Roman"/>
        </w:rPr>
        <w:t xml:space="preserve">high-index </w:t>
      </w:r>
      <w:r w:rsidR="00B57CBE" w:rsidRPr="00E35AB3">
        <w:rPr>
          <w:rFonts w:cs="Times New Roman"/>
        </w:rPr>
        <w:t>units.</w:t>
      </w:r>
    </w:p>
    <w:p w:rsidR="00137107" w:rsidRPr="00E35AB3" w:rsidRDefault="00366DC2" w:rsidP="007A474F">
      <w:pPr>
        <w:pStyle w:val="10BodySubsequentParagraph"/>
        <w:ind w:firstLine="289"/>
      </w:pPr>
      <w:r w:rsidRPr="00E35AB3">
        <w:rPr>
          <w:rFonts w:cs="Times New Roman"/>
        </w:rPr>
        <w:t>In all-dielectric metasurfaces, c</w:t>
      </w:r>
      <w:r w:rsidR="00137107" w:rsidRPr="00E35AB3">
        <w:rPr>
          <w:rFonts w:cs="Times New Roman"/>
        </w:rPr>
        <w:t xml:space="preserve">rosstalk </w:t>
      </w:r>
      <w:r w:rsidR="001B34EE" w:rsidRPr="00E35AB3">
        <w:rPr>
          <w:rFonts w:cs="Times New Roman"/>
        </w:rPr>
        <w:t>appear</w:t>
      </w:r>
      <w:r w:rsidRPr="00E35AB3">
        <w:rPr>
          <w:rFonts w:cs="Times New Roman"/>
        </w:rPr>
        <w:t>s</w:t>
      </w:r>
      <w:r w:rsidR="001B34EE" w:rsidRPr="00E35AB3">
        <w:rPr>
          <w:rFonts w:cs="Times New Roman"/>
        </w:rPr>
        <w:t xml:space="preserve"> as </w:t>
      </w:r>
      <w:r w:rsidRPr="00E35AB3">
        <w:rPr>
          <w:rFonts w:cs="Times New Roman"/>
        </w:rPr>
        <w:t xml:space="preserve">a strong electromagnetic field </w:t>
      </w:r>
      <w:r w:rsidR="00D01EC0" w:rsidRPr="00E35AB3">
        <w:rPr>
          <w:rFonts w:cs="Times New Roman"/>
        </w:rPr>
        <w:t xml:space="preserve">existing </w:t>
      </w:r>
      <w:r w:rsidRPr="00E35AB3">
        <w:rPr>
          <w:rFonts w:cs="Times New Roman"/>
        </w:rPr>
        <w:t xml:space="preserve">between adjacent </w:t>
      </w:r>
      <w:r w:rsidR="00D01EC0" w:rsidRPr="00E35AB3">
        <w:rPr>
          <w:rFonts w:cs="Times New Roman"/>
        </w:rPr>
        <w:t xml:space="preserve">elements of </w:t>
      </w:r>
      <w:r w:rsidRPr="00E35AB3">
        <w:rPr>
          <w:rFonts w:cs="Times New Roman"/>
        </w:rPr>
        <w:t>high</w:t>
      </w:r>
      <w:r w:rsidR="00D01EC0" w:rsidRPr="00E35AB3">
        <w:rPr>
          <w:rFonts w:cs="Times New Roman"/>
        </w:rPr>
        <w:t>-</w:t>
      </w:r>
      <w:r w:rsidRPr="00E35AB3">
        <w:rPr>
          <w:rFonts w:cs="Times New Roman"/>
        </w:rPr>
        <w:t xml:space="preserve">index </w:t>
      </w:r>
      <w:r w:rsidR="00D01EC0" w:rsidRPr="00E35AB3">
        <w:rPr>
          <w:rFonts w:cs="Times New Roman"/>
        </w:rPr>
        <w:t>materials</w:t>
      </w:r>
      <w:r w:rsidR="00137107" w:rsidRPr="00E35AB3">
        <w:t>.</w:t>
      </w:r>
      <w:r w:rsidR="00C84D50" w:rsidRPr="00E35AB3">
        <w:t xml:space="preserve"> </w:t>
      </w:r>
      <w:r w:rsidRPr="00E35AB3">
        <w:t>The magnitude of the crosstalk depends on the gap size between high</w:t>
      </w:r>
      <w:r w:rsidR="00D01EC0" w:rsidRPr="00E35AB3">
        <w:t>-</w:t>
      </w:r>
      <w:r w:rsidRPr="00E35AB3">
        <w:t>index elements</w:t>
      </w:r>
      <w:r w:rsidR="00776855" w:rsidRPr="00E35AB3">
        <w:t xml:space="preserve">, as well as </w:t>
      </w:r>
      <w:r w:rsidRPr="00E35AB3">
        <w:t xml:space="preserve">light deflection angle. </w:t>
      </w:r>
      <w:r w:rsidR="00C84D50" w:rsidRPr="00E35AB3">
        <w:t>As pointed out in Refs</w:t>
      </w:r>
      <w:r w:rsidR="002A4C89" w:rsidRPr="00E35AB3">
        <w:t>.</w:t>
      </w:r>
      <w:r w:rsidR="00C84D50" w:rsidRPr="00E35AB3">
        <w:t xml:space="preserve"> </w:t>
      </w:r>
      <w:r w:rsidR="00D75FBE" w:rsidRPr="00E35AB3">
        <w:t>[16, 22, 27]</w:t>
      </w:r>
      <w:r w:rsidR="00C84D50" w:rsidRPr="00E35AB3">
        <w:t xml:space="preserve"> </w:t>
      </w:r>
      <w:r w:rsidR="005A5EE6" w:rsidRPr="00E35AB3">
        <w:t>for</w:t>
      </w:r>
      <w:r w:rsidR="002A4C89" w:rsidRPr="00E35AB3">
        <w:t xml:space="preserve"> the second design approach discussed above, </w:t>
      </w:r>
      <w:r w:rsidR="00C84D50" w:rsidRPr="00E35AB3">
        <w:t>th</w:t>
      </w:r>
      <w:r w:rsidR="00776855" w:rsidRPr="00E35AB3">
        <w:t>e influence of cross</w:t>
      </w:r>
      <w:r w:rsidR="00C84D50" w:rsidRPr="00E35AB3">
        <w:t xml:space="preserve">talk </w:t>
      </w:r>
      <w:r w:rsidR="00EC747A" w:rsidRPr="00E35AB3">
        <w:t>frequently hinders</w:t>
      </w:r>
      <w:r w:rsidR="00ED3681" w:rsidRPr="00E35AB3">
        <w:t xml:space="preserve"> wavefront </w:t>
      </w:r>
      <w:r w:rsidR="00EC747A" w:rsidRPr="00E35AB3">
        <w:t>bending for</w:t>
      </w:r>
      <w:r w:rsidR="00ED3681" w:rsidRPr="00E35AB3">
        <w:t xml:space="preserve"> an</w:t>
      </w:r>
      <w:r w:rsidR="00EC747A" w:rsidRPr="00E35AB3">
        <w:t>y</w:t>
      </w:r>
      <w:r w:rsidR="00ED3681" w:rsidRPr="00E35AB3">
        <w:t xml:space="preserve"> angle larger than</w:t>
      </w:r>
      <w:r w:rsidR="00C84D50" w:rsidRPr="00E35AB3">
        <w:t xml:space="preserve"> </w:t>
      </w:r>
      <w:r w:rsidR="00EC747A" w:rsidRPr="00E35AB3">
        <w:t>~</w:t>
      </w:r>
      <w:r w:rsidR="00C84D50" w:rsidRPr="00E35AB3">
        <w:t>40</w:t>
      </w:r>
      <w:r w:rsidR="00C84D50" w:rsidRPr="00E35AB3">
        <w:rPr>
          <w:rFonts w:cs="Times New Roman"/>
        </w:rPr>
        <w:t>°</w:t>
      </w:r>
      <w:r w:rsidR="00C84D50" w:rsidRPr="00E35AB3">
        <w:t xml:space="preserve">. </w:t>
      </w:r>
      <w:r w:rsidR="00E07168" w:rsidRPr="00E35AB3">
        <w:t xml:space="preserve">By comparison, for the PW-SW conversion under normal incidence, the </w:t>
      </w:r>
      <w:r w:rsidR="00D01EC0" w:rsidRPr="00E35AB3">
        <w:t xml:space="preserve">target </w:t>
      </w:r>
      <w:r w:rsidR="00E07168" w:rsidRPr="00E35AB3">
        <w:t xml:space="preserve">application analyzed here, </w:t>
      </w:r>
      <w:bookmarkStart w:id="5" w:name="_Hlk97041503"/>
      <w:r w:rsidR="00E07168" w:rsidRPr="00E35AB3">
        <w:t xml:space="preserve">the </w:t>
      </w:r>
      <w:r w:rsidR="00B145DD" w:rsidRPr="00E35AB3">
        <w:t>d</w:t>
      </w:r>
      <w:r w:rsidR="00E07168" w:rsidRPr="00E35AB3">
        <w:t xml:space="preserve">eflection angle is </w:t>
      </w:r>
      <w:r w:rsidR="00B145DD" w:rsidRPr="00E35AB3">
        <w:t xml:space="preserve">required to be </w:t>
      </w:r>
      <w:r w:rsidR="00E07168" w:rsidRPr="00E35AB3">
        <w:t>90</w:t>
      </w:r>
      <w:r w:rsidR="00E07168" w:rsidRPr="00E35AB3">
        <w:rPr>
          <w:rFonts w:cs="Times New Roman"/>
        </w:rPr>
        <w:t>°</w:t>
      </w:r>
      <w:bookmarkEnd w:id="5"/>
      <w:r w:rsidR="00E07168" w:rsidRPr="00E35AB3">
        <w:rPr>
          <w:rFonts w:cs="Times New Roman"/>
        </w:rPr>
        <w:t>.</w:t>
      </w:r>
      <w:r w:rsidR="00190997" w:rsidRPr="00E35AB3">
        <w:rPr>
          <w:rFonts w:cs="Times New Roman"/>
        </w:rPr>
        <w:t xml:space="preserve"> It is worth pointing out here a recent work [</w:t>
      </w:r>
      <w:r w:rsidR="009809BA" w:rsidRPr="00E35AB3">
        <w:rPr>
          <w:rFonts w:cs="Times New Roman"/>
        </w:rPr>
        <w:t>28</w:t>
      </w:r>
      <w:r w:rsidR="00190997" w:rsidRPr="00E35AB3">
        <w:rPr>
          <w:rFonts w:cs="Times New Roman"/>
        </w:rPr>
        <w:t>], which utilizes a metasurface to convert a PW to a waveguide mode in the near-infrared regime. Because of the total internal reflection inside the waveguide, the PW and the guided mode form an acute angle in their propagating directions, effectively reducing the light deflection angle for the metasurface. By comparison, the SW discussed here propagates along a direction orthogonal to that of the incident wave, and its excitation requires wavefront bending at exactly 90°.</w:t>
      </w:r>
    </w:p>
    <w:p w:rsidR="005B1938" w:rsidRPr="00E35AB3" w:rsidRDefault="00E07168" w:rsidP="00ED3681">
      <w:pPr>
        <w:pStyle w:val="10BodySubsequentParagraph"/>
        <w:ind w:firstLine="289"/>
      </w:pPr>
      <w:r w:rsidRPr="00E35AB3">
        <w:t xml:space="preserve">In this work, we propose a new design strategy that is dedicated to high-efficiency, large-angle wavefront bending. </w:t>
      </w:r>
      <w:r w:rsidR="001B34EE" w:rsidRPr="00E35AB3">
        <w:t>Rather than trying to suppress or eliminate the</w:t>
      </w:r>
      <w:r w:rsidR="00ED3681" w:rsidRPr="00E35AB3">
        <w:t xml:space="preserve"> influence of the</w:t>
      </w:r>
      <w:r w:rsidR="001B34EE" w:rsidRPr="00E35AB3">
        <w:t xml:space="preserve"> electromagnetic field between adjacent </w:t>
      </w:r>
      <w:r w:rsidR="00ED3681" w:rsidRPr="00E35AB3">
        <w:t xml:space="preserve">high-index </w:t>
      </w:r>
      <w:r w:rsidR="001B34EE" w:rsidRPr="00E35AB3">
        <w:t>elemen</w:t>
      </w:r>
      <w:r w:rsidR="00366DC2" w:rsidRPr="00E35AB3">
        <w:t xml:space="preserve">ts, this work adopts </w:t>
      </w:r>
      <w:r w:rsidR="00ED3681" w:rsidRPr="00E35AB3">
        <w:t xml:space="preserve">an opposite approach, by judiciously exploring it for light bending. The contrast between this new approach and the two established approaches discussed above can find some </w:t>
      </w:r>
      <w:r w:rsidR="00DF4ABE" w:rsidRPr="00E35AB3">
        <w:t>analogy</w:t>
      </w:r>
      <w:r w:rsidR="00ED3681" w:rsidRPr="00E35AB3">
        <w:t xml:space="preserve"> in </w:t>
      </w:r>
      <w:r w:rsidR="00A6007E" w:rsidRPr="00E35AB3">
        <w:t xml:space="preserve">Si photonics research. While the electromagnetic field at the waveguide surface is considered a source of loss </w:t>
      </w:r>
      <w:r w:rsidR="00EC747A" w:rsidRPr="00E35AB3">
        <w:t>in rib and ridge waveguides, this field</w:t>
      </w:r>
      <w:r w:rsidR="00A6007E" w:rsidRPr="00E35AB3">
        <w:t xml:space="preserve"> </w:t>
      </w:r>
      <w:r w:rsidR="00ED3681" w:rsidRPr="00E35AB3">
        <w:t>is</w:t>
      </w:r>
      <w:r w:rsidR="00A6007E" w:rsidRPr="00E35AB3">
        <w:t xml:space="preserve"> utilized in slot waveguides for sensing </w:t>
      </w:r>
      <w:r w:rsidR="00D75FBE" w:rsidRPr="00E35AB3">
        <w:t>[2</w:t>
      </w:r>
      <w:r w:rsidR="009809BA" w:rsidRPr="00E35AB3">
        <w:t>9</w:t>
      </w:r>
      <w:r w:rsidR="00D75FBE" w:rsidRPr="00E35AB3">
        <w:t xml:space="preserve">, </w:t>
      </w:r>
      <w:r w:rsidR="009809BA" w:rsidRPr="00E35AB3">
        <w:t>30</w:t>
      </w:r>
      <w:r w:rsidR="00D75FBE" w:rsidRPr="00E35AB3">
        <w:t>].</w:t>
      </w:r>
      <w:r w:rsidR="008D3275" w:rsidRPr="00E35AB3">
        <w:t xml:space="preserve"> </w:t>
      </w:r>
      <w:r w:rsidR="002A5A53" w:rsidRPr="00E35AB3">
        <w:t xml:space="preserve">We show here that </w:t>
      </w:r>
      <w:r w:rsidR="00940B6B" w:rsidRPr="00E35AB3">
        <w:t>the same principle</w:t>
      </w:r>
      <w:r w:rsidR="002A5A53" w:rsidRPr="00E35AB3">
        <w:t xml:space="preserve"> can also be applied in</w:t>
      </w:r>
      <w:r w:rsidR="008D3275" w:rsidRPr="00E35AB3">
        <w:t xml:space="preserve"> </w:t>
      </w:r>
      <w:r w:rsidR="00DF4ABE" w:rsidRPr="00E35AB3">
        <w:t>all-</w:t>
      </w:r>
      <w:r w:rsidR="008D3275" w:rsidRPr="00E35AB3">
        <w:t>dielectric metasurface</w:t>
      </w:r>
      <w:r w:rsidR="002A5A53" w:rsidRPr="00E35AB3">
        <w:t xml:space="preserve"> research: the field between the gaps of high-index materials can be functional rather than detrimental</w:t>
      </w:r>
      <w:r w:rsidR="008D3275" w:rsidRPr="00E35AB3">
        <w:t>.</w:t>
      </w:r>
    </w:p>
    <w:p w:rsidR="00454526" w:rsidRPr="00E35AB3" w:rsidRDefault="00454526" w:rsidP="00ED3681">
      <w:pPr>
        <w:pStyle w:val="10BodySubsequentParagraph"/>
        <w:ind w:firstLine="289"/>
      </w:pPr>
      <w:r w:rsidRPr="00E35AB3">
        <w:t>In the following sections, we concentrate on demonstrating SW excitation in these gap-mode metasurfaces in the THz regime. Multiple PW-SW THz meta-convertors have been reported [</w:t>
      </w:r>
      <w:r w:rsidR="009809BA" w:rsidRPr="00E35AB3">
        <w:t>31-36</w:t>
      </w:r>
      <w:r w:rsidRPr="00E35AB3">
        <w:t>], with target applications ranging from light focusing [</w:t>
      </w:r>
      <w:r w:rsidR="009809BA" w:rsidRPr="00E35AB3">
        <w:t>31</w:t>
      </w:r>
      <w:r w:rsidRPr="00E35AB3">
        <w:t>] and sensing [</w:t>
      </w:r>
      <w:r w:rsidR="009809BA" w:rsidRPr="00E35AB3">
        <w:t>32, 33, 36</w:t>
      </w:r>
      <w:r w:rsidRPr="00E35AB3">
        <w:t>] to on-chip THz systems [</w:t>
      </w:r>
      <w:r w:rsidR="009809BA" w:rsidRPr="00E35AB3">
        <w:t>34</w:t>
      </w:r>
      <w:r w:rsidRPr="00E35AB3">
        <w:t>]. A high conversion efficiency is critical for all these potential applications, and this work shows that it can be achieved using gap-mode dielectric metasurfaces.</w:t>
      </w:r>
    </w:p>
    <w:p w:rsidR="005B1938" w:rsidRPr="00E35AB3" w:rsidRDefault="005B1938" w:rsidP="001665AB">
      <w:pPr>
        <w:pStyle w:val="08SectionHeader1"/>
      </w:pPr>
      <w:r w:rsidRPr="00E35AB3">
        <w:t xml:space="preserve">Si metasurfaces and their gap-mode </w:t>
      </w:r>
      <w:r w:rsidR="00EC747A" w:rsidRPr="00E35AB3">
        <w:t>configuration</w:t>
      </w:r>
    </w:p>
    <w:p w:rsidR="00421329" w:rsidRPr="00E35AB3" w:rsidRDefault="009441D2" w:rsidP="005F5536">
      <w:pPr>
        <w:pStyle w:val="09BodyFirstParagraph"/>
      </w:pPr>
      <w:r w:rsidRPr="00E35AB3">
        <w:t xml:space="preserve">Figure 1 schematically illustrates three Si metasurfaces, with </w:t>
      </w:r>
      <w:r w:rsidR="00DF4ABE" w:rsidRPr="00E35AB3">
        <w:t xml:space="preserve">a </w:t>
      </w:r>
      <w:r w:rsidR="00DF4ABE" w:rsidRPr="00E35AB3">
        <w:rPr>
          <w:rFonts w:hint="eastAsia"/>
          <w:lang w:eastAsia="zh-CN"/>
        </w:rPr>
        <w:t>gap</w:t>
      </w:r>
      <w:r w:rsidR="00DF4ABE" w:rsidRPr="00E35AB3">
        <w:t xml:space="preserve">-mode Si metasurface </w:t>
      </w:r>
      <w:r w:rsidRPr="00E35AB3">
        <w:t>[</w:t>
      </w:r>
      <w:r w:rsidR="00696DAF" w:rsidRPr="00E35AB3">
        <w:t>Fig. 1</w:t>
      </w:r>
      <w:r w:rsidR="00DF4ABE" w:rsidRPr="00E35AB3">
        <w:t>(a)</w:t>
      </w:r>
      <w:r w:rsidRPr="00E35AB3">
        <w:t>]</w:t>
      </w:r>
      <w:r w:rsidR="00696DAF" w:rsidRPr="00E35AB3">
        <w:t xml:space="preserve"> </w:t>
      </w:r>
      <w:r w:rsidRPr="00E35AB3">
        <w:t xml:space="preserve">shown </w:t>
      </w:r>
      <w:r w:rsidR="00DF4ABE" w:rsidRPr="00E35AB3">
        <w:t>in comparison to</w:t>
      </w:r>
      <w:r w:rsidR="005B1938" w:rsidRPr="00E35AB3">
        <w:t xml:space="preserve"> </w:t>
      </w:r>
      <w:r w:rsidR="001C461E" w:rsidRPr="00E35AB3">
        <w:t>two</w:t>
      </w:r>
      <w:r w:rsidR="005B1938" w:rsidRPr="00E35AB3">
        <w:t xml:space="preserve"> conventional </w:t>
      </w:r>
      <w:r w:rsidR="00DF4ABE" w:rsidRPr="00E35AB3">
        <w:t>Si</w:t>
      </w:r>
      <w:r w:rsidR="005B1938" w:rsidRPr="00E35AB3">
        <w:t xml:space="preserve"> metasurface</w:t>
      </w:r>
      <w:r w:rsidR="001C461E" w:rsidRPr="00E35AB3">
        <w:t>s</w:t>
      </w:r>
      <w:r w:rsidR="005B1938" w:rsidRPr="00E35AB3">
        <w:t xml:space="preserve"> </w:t>
      </w:r>
      <w:r w:rsidRPr="00E35AB3">
        <w:t>[</w:t>
      </w:r>
      <w:r w:rsidR="00DF4ABE" w:rsidRPr="00E35AB3">
        <w:t>Fig</w:t>
      </w:r>
      <w:r w:rsidR="001C461E" w:rsidRPr="00E35AB3">
        <w:t>s</w:t>
      </w:r>
      <w:r w:rsidR="00DF4ABE" w:rsidRPr="00E35AB3">
        <w:t>. 1(b)</w:t>
      </w:r>
      <w:r w:rsidR="001C461E" w:rsidRPr="00E35AB3">
        <w:t xml:space="preserve"> and 1(c)</w:t>
      </w:r>
      <w:r w:rsidRPr="00E35AB3">
        <w:t>]</w:t>
      </w:r>
      <w:r w:rsidR="005B1938" w:rsidRPr="00E35AB3">
        <w:t xml:space="preserve">. </w:t>
      </w:r>
      <w:r w:rsidR="001C461E" w:rsidRPr="00E35AB3">
        <w:t xml:space="preserve">All the </w:t>
      </w:r>
      <w:r w:rsidR="001C461E" w:rsidRPr="00E35AB3">
        <w:lastRenderedPageBreak/>
        <w:t>three</w:t>
      </w:r>
      <w:r w:rsidR="005B1938" w:rsidRPr="00E35AB3">
        <w:t xml:space="preserve"> metasurfaces are a one-dimensional grating of Si fins that are infinitely long along the planar </w:t>
      </w:r>
      <w:r w:rsidR="005B1938" w:rsidRPr="00E35AB3">
        <w:rPr>
          <w:i/>
        </w:rPr>
        <w:t>y</w:t>
      </w:r>
      <w:r w:rsidR="005B1938" w:rsidRPr="00E35AB3">
        <w:t xml:space="preserve"> axis. In the gap-mode metasurface [Fig. 1(a)], all the Si fins are identical, while the </w:t>
      </w:r>
      <w:r w:rsidR="00C95F83" w:rsidRPr="00E35AB3">
        <w:t xml:space="preserve">air </w:t>
      </w:r>
      <w:r w:rsidR="005B1938" w:rsidRPr="00E35AB3">
        <w:t xml:space="preserve">gap varies in width across a </w:t>
      </w:r>
      <w:r w:rsidR="00696DAF" w:rsidRPr="00E35AB3">
        <w:t xml:space="preserve">super </w:t>
      </w:r>
      <w:r w:rsidR="005B1938" w:rsidRPr="00E35AB3">
        <w:t xml:space="preserve">unit cell. In contrast, a conventional </w:t>
      </w:r>
      <w:r w:rsidR="008A5FC1" w:rsidRPr="00E35AB3">
        <w:t>design</w:t>
      </w:r>
      <w:r w:rsidR="005B1938" w:rsidRPr="00E35AB3">
        <w:t xml:space="preserve"> usually adjust</w:t>
      </w:r>
      <w:r w:rsidR="008A5FC1" w:rsidRPr="00E35AB3">
        <w:t>s</w:t>
      </w:r>
      <w:r w:rsidR="005B1938" w:rsidRPr="00E35AB3">
        <w:t xml:space="preserve"> the width of both the fin and the gap [Fig. 1(b)]</w:t>
      </w:r>
      <w:r w:rsidR="001C461E" w:rsidRPr="00E35AB3">
        <w:t xml:space="preserve">, or only that of the fin </w:t>
      </w:r>
      <w:r w:rsidR="005B69A5" w:rsidRPr="00E35AB3">
        <w:t>[Fig. 1(c)]</w:t>
      </w:r>
      <w:r w:rsidR="005B1938" w:rsidRPr="00E35AB3">
        <w:t xml:space="preserve">. Although this difference may seem subtle, </w:t>
      </w:r>
      <w:r w:rsidR="005B69A5" w:rsidRPr="00E35AB3">
        <w:t>Fig. 1(a)</w:t>
      </w:r>
      <w:r w:rsidR="005B1938" w:rsidRPr="00E35AB3">
        <w:t xml:space="preserve"> in fact </w:t>
      </w:r>
      <w:r w:rsidR="00696DAF" w:rsidRPr="00E35AB3">
        <w:t xml:space="preserve">reveals </w:t>
      </w:r>
      <w:r w:rsidRPr="00E35AB3">
        <w:t xml:space="preserve">a </w:t>
      </w:r>
      <w:r w:rsidR="005B69A5" w:rsidRPr="00E35AB3">
        <w:t>new</w:t>
      </w:r>
      <w:r w:rsidRPr="00E35AB3">
        <w:t xml:space="preserve"> design strategy</w:t>
      </w:r>
      <w:r w:rsidR="00696DAF" w:rsidRPr="00E35AB3">
        <w:t xml:space="preserve"> for </w:t>
      </w:r>
      <w:r w:rsidRPr="00E35AB3">
        <w:t>all-dielectric</w:t>
      </w:r>
      <w:r w:rsidR="009C6E8B" w:rsidRPr="00E35AB3">
        <w:t>, phase-gradient</w:t>
      </w:r>
      <w:r w:rsidRPr="00E35AB3">
        <w:t xml:space="preserve"> metasurfaces</w:t>
      </w:r>
      <w:r w:rsidR="005B1938" w:rsidRPr="00E35AB3">
        <w:t>.</w:t>
      </w:r>
    </w:p>
    <w:p w:rsidR="005F5536" w:rsidRPr="00E35AB3" w:rsidRDefault="00E35AB3" w:rsidP="007B288C">
      <w:pPr>
        <w:pStyle w:val="10BodySubsequentParagraph"/>
        <w:ind w:firstLine="0"/>
        <w:jc w:val="center"/>
      </w:pPr>
      <w:r w:rsidRPr="00E35AB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187.5pt">
            <v:imagedata r:id="rId9" o:title="Fig1"/>
          </v:shape>
        </w:pict>
      </w:r>
    </w:p>
    <w:p w:rsidR="000A631E" w:rsidRPr="00E35AB3" w:rsidRDefault="005B1938" w:rsidP="00C6617D">
      <w:pPr>
        <w:pStyle w:val="10BodySubsequentParagraph"/>
        <w:spacing w:before="120" w:after="120"/>
        <w:ind w:left="720" w:right="720" w:firstLine="0"/>
        <w:rPr>
          <w:rFonts w:eastAsia="DengXian"/>
          <w:sz w:val="16"/>
          <w:szCs w:val="16"/>
          <w:lang w:val="en-GB" w:eastAsia="zh-CN"/>
        </w:rPr>
      </w:pPr>
      <w:r w:rsidRPr="00E35AB3">
        <w:rPr>
          <w:b/>
          <w:sz w:val="16"/>
          <w:szCs w:val="16"/>
          <w:lang w:eastAsia="zh-CN"/>
        </w:rPr>
        <w:t>Fig.</w:t>
      </w:r>
      <w:r w:rsidR="00390558" w:rsidRPr="00E35AB3">
        <w:rPr>
          <w:b/>
          <w:sz w:val="16"/>
          <w:szCs w:val="16"/>
          <w:lang w:eastAsia="zh-CN"/>
        </w:rPr>
        <w:t xml:space="preserve"> </w:t>
      </w:r>
      <w:r w:rsidRPr="00E35AB3">
        <w:rPr>
          <w:b/>
          <w:sz w:val="16"/>
          <w:szCs w:val="16"/>
          <w:lang w:eastAsia="zh-CN"/>
        </w:rPr>
        <w:t xml:space="preserve">1. </w:t>
      </w:r>
      <w:r w:rsidRPr="00E35AB3">
        <w:rPr>
          <w:sz w:val="16"/>
          <w:szCs w:val="16"/>
          <w:lang w:eastAsia="zh-CN"/>
        </w:rPr>
        <w:t>Schematic of t</w:t>
      </w:r>
      <w:r w:rsidR="005B69A5" w:rsidRPr="00E35AB3">
        <w:rPr>
          <w:sz w:val="16"/>
          <w:szCs w:val="16"/>
          <w:lang w:eastAsia="zh-CN"/>
        </w:rPr>
        <w:t>hree</w:t>
      </w:r>
      <w:r w:rsidRPr="00E35AB3">
        <w:rPr>
          <w:sz w:val="16"/>
          <w:szCs w:val="16"/>
          <w:lang w:eastAsia="zh-CN"/>
        </w:rPr>
        <w:t xml:space="preserve"> different types of phase</w:t>
      </w:r>
      <w:r w:rsidR="00C06562" w:rsidRPr="00E35AB3">
        <w:rPr>
          <w:sz w:val="16"/>
          <w:szCs w:val="16"/>
          <w:lang w:eastAsia="zh-CN"/>
        </w:rPr>
        <w:t>-</w:t>
      </w:r>
      <w:r w:rsidRPr="00E35AB3">
        <w:rPr>
          <w:sz w:val="16"/>
          <w:szCs w:val="16"/>
          <w:lang w:eastAsia="zh-CN"/>
        </w:rPr>
        <w:t xml:space="preserve">gradient metasurfaces. </w:t>
      </w:r>
      <w:r w:rsidR="005B69A5" w:rsidRPr="00E35AB3">
        <w:rPr>
          <w:sz w:val="16"/>
          <w:szCs w:val="16"/>
          <w:lang w:eastAsia="zh-CN"/>
        </w:rPr>
        <w:t>All the</w:t>
      </w:r>
      <w:r w:rsidRPr="00E35AB3">
        <w:rPr>
          <w:sz w:val="16"/>
          <w:szCs w:val="16"/>
          <w:lang w:eastAsia="zh-CN"/>
        </w:rPr>
        <w:t xml:space="preserve"> metasurfaces </w:t>
      </w:r>
      <w:r w:rsidR="00696DAF" w:rsidRPr="00E35AB3">
        <w:rPr>
          <w:sz w:val="16"/>
          <w:szCs w:val="16"/>
          <w:lang w:eastAsia="zh-CN"/>
        </w:rPr>
        <w:t>consist of</w:t>
      </w:r>
      <w:r w:rsidRPr="00E35AB3">
        <w:rPr>
          <w:sz w:val="16"/>
          <w:szCs w:val="16"/>
          <w:lang w:eastAsia="zh-CN"/>
        </w:rPr>
        <w:t xml:space="preserve"> a one-dimensional grating of infinitely long Si fins residing on top of a glass substrate. (a) The gap-mode metasurface proposed in this work </w:t>
      </w:r>
      <w:r w:rsidR="00696DAF" w:rsidRPr="00E35AB3">
        <w:rPr>
          <w:sz w:val="16"/>
          <w:szCs w:val="16"/>
          <w:lang w:eastAsia="zh-CN"/>
        </w:rPr>
        <w:t>produces</w:t>
      </w:r>
      <w:r w:rsidRPr="00E35AB3">
        <w:rPr>
          <w:sz w:val="16"/>
          <w:szCs w:val="16"/>
          <w:lang w:eastAsia="zh-CN"/>
        </w:rPr>
        <w:t xml:space="preserve"> a designated phase gradient only by tuning the air gap width </w:t>
      </w:r>
      <m:oMath>
        <m:r>
          <m:rPr>
            <m:sty m:val="p"/>
          </m:rPr>
          <w:rPr>
            <w:rFonts w:ascii="Cambria Math" w:hAnsi="Cambria Math"/>
            <w:sz w:val="16"/>
            <w:szCs w:val="16"/>
            <w:lang w:eastAsia="zh-CN"/>
          </w:rPr>
          <m:t>g</m:t>
        </m:r>
      </m:oMath>
      <w:r w:rsidR="005E19F5" w:rsidRPr="00E35AB3">
        <w:rPr>
          <w:sz w:val="16"/>
          <w:szCs w:val="16"/>
          <w:lang w:eastAsia="zh-CN"/>
        </w:rPr>
        <w:t xml:space="preserve"> (from </w:t>
      </w:r>
      <m:oMath>
        <m:sSub>
          <m:sSubPr>
            <m:ctrlPr>
              <w:rPr>
                <w:rFonts w:ascii="Cambria Math" w:hAnsi="Cambria Math"/>
                <w:sz w:val="16"/>
                <w:szCs w:val="16"/>
                <w:lang w:eastAsia="zh-CN"/>
              </w:rPr>
            </m:ctrlPr>
          </m:sSubPr>
          <m:e>
            <m:r>
              <m:rPr>
                <m:sty m:val="p"/>
              </m:rPr>
              <w:rPr>
                <w:rFonts w:ascii="Cambria Math" w:hAnsi="Cambria Math"/>
                <w:sz w:val="16"/>
                <w:szCs w:val="16"/>
                <w:lang w:eastAsia="zh-CN"/>
              </w:rPr>
              <m:t>g</m:t>
            </m:r>
          </m:e>
          <m:sub>
            <m:r>
              <m:rPr>
                <m:sty m:val="p"/>
              </m:rPr>
              <w:rPr>
                <w:rFonts w:ascii="Cambria Math" w:hAnsi="Cambria Math"/>
                <w:sz w:val="16"/>
                <w:szCs w:val="16"/>
                <w:lang w:eastAsia="zh-CN"/>
              </w:rPr>
              <m:t>1</m:t>
            </m:r>
          </m:sub>
        </m:sSub>
      </m:oMath>
      <w:r w:rsidR="005E19F5" w:rsidRPr="00E35AB3">
        <w:rPr>
          <w:sz w:val="16"/>
          <w:szCs w:val="16"/>
          <w:lang w:eastAsia="zh-CN"/>
        </w:rPr>
        <w:t xml:space="preserve"> to </w:t>
      </w:r>
      <m:oMath>
        <m:sSub>
          <m:sSubPr>
            <m:ctrlPr>
              <w:rPr>
                <w:rFonts w:ascii="Cambria Math" w:hAnsi="Cambria Math"/>
                <w:sz w:val="16"/>
                <w:szCs w:val="16"/>
                <w:lang w:eastAsia="zh-CN"/>
              </w:rPr>
            </m:ctrlPr>
          </m:sSubPr>
          <m:e>
            <m:r>
              <m:rPr>
                <m:sty m:val="p"/>
              </m:rPr>
              <w:rPr>
                <w:rFonts w:ascii="Cambria Math" w:hAnsi="Cambria Math"/>
                <w:sz w:val="16"/>
                <w:szCs w:val="16"/>
                <w:lang w:eastAsia="zh-CN"/>
              </w:rPr>
              <m:t>g</m:t>
            </m:r>
          </m:e>
          <m:sub>
            <m:r>
              <m:rPr>
                <m:sty m:val="p"/>
              </m:rPr>
              <w:rPr>
                <w:rFonts w:ascii="Cambria Math" w:hAnsi="Cambria Math"/>
                <w:sz w:val="16"/>
                <w:szCs w:val="16"/>
                <w:lang w:eastAsia="zh-CN"/>
              </w:rPr>
              <m:t>5</m:t>
            </m:r>
          </m:sub>
        </m:sSub>
      </m:oMath>
      <w:r w:rsidR="005E19F5" w:rsidRPr="00E35AB3">
        <w:rPr>
          <w:sz w:val="16"/>
          <w:szCs w:val="16"/>
          <w:lang w:eastAsia="zh-CN"/>
        </w:rPr>
        <w:t xml:space="preserve"> in the schematic)</w:t>
      </w:r>
      <w:r w:rsidRPr="00E35AB3">
        <w:rPr>
          <w:sz w:val="16"/>
          <w:szCs w:val="16"/>
          <w:lang w:eastAsia="zh-CN"/>
        </w:rPr>
        <w:t xml:space="preserve">. All the Si fins have an identical width of </w:t>
      </w:r>
      <m:oMath>
        <m:r>
          <m:rPr>
            <m:sty m:val="p"/>
          </m:rPr>
          <w:rPr>
            <w:rFonts w:ascii="Cambria Math" w:hAnsi="Cambria Math"/>
            <w:sz w:val="16"/>
            <w:szCs w:val="16"/>
            <w:lang w:eastAsia="zh-CN"/>
          </w:rPr>
          <m:t>d</m:t>
        </m:r>
      </m:oMath>
      <w:r w:rsidRPr="00E35AB3">
        <w:rPr>
          <w:sz w:val="16"/>
          <w:szCs w:val="16"/>
          <w:lang w:eastAsia="zh-CN"/>
        </w:rPr>
        <w:t xml:space="preserve">. (b) </w:t>
      </w:r>
      <w:r w:rsidR="009C6E8B" w:rsidRPr="00E35AB3">
        <w:rPr>
          <w:sz w:val="16"/>
          <w:szCs w:val="16"/>
          <w:lang w:eastAsia="zh-CN"/>
        </w:rPr>
        <w:t>A conventional design strategy would require</w:t>
      </w:r>
      <w:r w:rsidR="00C6617D" w:rsidRPr="00E35AB3">
        <w:rPr>
          <w:sz w:val="16"/>
          <w:szCs w:val="16"/>
          <w:lang w:eastAsia="zh-CN"/>
        </w:rPr>
        <w:t xml:space="preserve"> a uniform unit periodicity </w:t>
      </w:r>
      <m:oMath>
        <m:sSub>
          <m:sSubPr>
            <m:ctrlPr>
              <w:rPr>
                <w:rFonts w:ascii="Cambria Math" w:hAnsi="Cambria Math"/>
                <w:sz w:val="16"/>
                <w:szCs w:val="16"/>
                <w:lang w:eastAsia="zh-CN"/>
              </w:rPr>
            </m:ctrlPr>
          </m:sSubPr>
          <m:e>
            <m:r>
              <m:rPr>
                <m:sty m:val="p"/>
              </m:rPr>
              <w:rPr>
                <w:rFonts w:ascii="Cambria Math" w:hAnsi="Cambria Math"/>
                <w:sz w:val="16"/>
                <w:szCs w:val="16"/>
                <w:lang w:eastAsia="zh-CN"/>
              </w:rPr>
              <m:t>p</m:t>
            </m:r>
          </m:e>
          <m:sub>
            <m:r>
              <m:rPr>
                <m:sty m:val="p"/>
              </m:rPr>
              <w:rPr>
                <w:rFonts w:ascii="Cambria Math" w:hAnsi="Cambria Math"/>
                <w:sz w:val="16"/>
                <w:szCs w:val="16"/>
                <w:lang w:eastAsia="zh-CN"/>
              </w:rPr>
              <m:t>u</m:t>
            </m:r>
          </m:sub>
        </m:sSub>
      </m:oMath>
      <w:r w:rsidR="00C6617D" w:rsidRPr="00E35AB3">
        <w:rPr>
          <w:sz w:val="16"/>
          <w:szCs w:val="16"/>
          <w:lang w:eastAsia="zh-CN"/>
        </w:rPr>
        <w:t xml:space="preserve">, </w:t>
      </w:r>
      <w:r w:rsidR="005F5536" w:rsidRPr="00E35AB3">
        <w:rPr>
          <w:sz w:val="16"/>
          <w:szCs w:val="16"/>
          <w:lang w:eastAsia="zh-CN"/>
        </w:rPr>
        <w:t>which is equivalent to a uniform center-to-center distance between adjacent high-index elements. This results</w:t>
      </w:r>
      <w:r w:rsidR="00C6617D" w:rsidRPr="00E35AB3">
        <w:rPr>
          <w:sz w:val="16"/>
          <w:szCs w:val="16"/>
          <w:lang w:eastAsia="zh-CN"/>
        </w:rPr>
        <w:t xml:space="preserve"> in variation</w:t>
      </w:r>
      <w:r w:rsidR="005F5536" w:rsidRPr="00E35AB3">
        <w:rPr>
          <w:sz w:val="16"/>
          <w:szCs w:val="16"/>
          <w:lang w:eastAsia="zh-CN"/>
        </w:rPr>
        <w:t>s</w:t>
      </w:r>
      <w:r w:rsidR="00C6617D" w:rsidRPr="00E35AB3">
        <w:rPr>
          <w:sz w:val="16"/>
          <w:szCs w:val="16"/>
          <w:lang w:eastAsia="zh-CN"/>
        </w:rPr>
        <w:t xml:space="preserve"> in both</w:t>
      </w:r>
      <w:r w:rsidRPr="00E35AB3">
        <w:rPr>
          <w:sz w:val="16"/>
          <w:szCs w:val="16"/>
          <w:lang w:eastAsia="zh-CN"/>
        </w:rPr>
        <w:t xml:space="preserve"> </w:t>
      </w:r>
      <m:oMath>
        <m:r>
          <m:rPr>
            <m:sty m:val="p"/>
          </m:rPr>
          <w:rPr>
            <w:rFonts w:ascii="Cambria Math" w:hAnsi="Cambria Math"/>
            <w:sz w:val="16"/>
            <w:szCs w:val="16"/>
            <w:lang w:eastAsia="zh-CN"/>
          </w:rPr>
          <m:t>g</m:t>
        </m:r>
      </m:oMath>
      <w:r w:rsidRPr="00E35AB3">
        <w:rPr>
          <w:sz w:val="16"/>
          <w:szCs w:val="16"/>
          <w:lang w:eastAsia="zh-CN"/>
        </w:rPr>
        <w:t xml:space="preserve"> and </w:t>
      </w:r>
      <m:oMath>
        <m:r>
          <m:rPr>
            <m:sty m:val="p"/>
          </m:rPr>
          <w:rPr>
            <w:rFonts w:ascii="Cambria Math" w:hAnsi="Cambria Math"/>
            <w:sz w:val="16"/>
            <w:szCs w:val="16"/>
            <w:lang w:eastAsia="zh-CN"/>
          </w:rPr>
          <m:t>d</m:t>
        </m:r>
      </m:oMath>
      <w:r w:rsidR="005F5536" w:rsidRPr="00E35AB3">
        <w:rPr>
          <w:sz w:val="16"/>
          <w:szCs w:val="16"/>
          <w:lang w:eastAsia="zh-CN"/>
        </w:rPr>
        <w:t xml:space="preserve"> across a </w:t>
      </w:r>
      <w:r w:rsidR="00047F3F" w:rsidRPr="00E35AB3">
        <w:rPr>
          <w:sz w:val="16"/>
          <w:szCs w:val="16"/>
          <w:lang w:eastAsia="zh-CN"/>
        </w:rPr>
        <w:t>super unit cell</w:t>
      </w:r>
      <w:r w:rsidR="00C6617D" w:rsidRPr="00E35AB3">
        <w:rPr>
          <w:sz w:val="16"/>
          <w:szCs w:val="16"/>
          <w:lang w:eastAsia="zh-CN"/>
        </w:rPr>
        <w:t xml:space="preserve">. (c) </w:t>
      </w:r>
      <w:r w:rsidR="009C6E8B" w:rsidRPr="00E35AB3">
        <w:rPr>
          <w:sz w:val="16"/>
          <w:szCs w:val="16"/>
          <w:lang w:eastAsia="zh-CN"/>
        </w:rPr>
        <w:t>Another conventional design strategy would require</w:t>
      </w:r>
      <w:r w:rsidR="00B45FD1" w:rsidRPr="00E35AB3">
        <w:rPr>
          <w:sz w:val="16"/>
          <w:szCs w:val="16"/>
          <w:lang w:eastAsia="zh-CN"/>
        </w:rPr>
        <w:t xml:space="preserve"> the gap width</w:t>
      </w:r>
      <w:r w:rsidR="00C6617D" w:rsidRPr="00E35AB3">
        <w:rPr>
          <w:sz w:val="16"/>
          <w:szCs w:val="16"/>
          <w:lang w:eastAsia="zh-CN"/>
        </w:rPr>
        <w:t xml:space="preserve"> </w:t>
      </w:r>
      <m:oMath>
        <m:r>
          <m:rPr>
            <m:sty m:val="p"/>
          </m:rPr>
          <w:rPr>
            <w:rFonts w:ascii="Cambria Math" w:hAnsi="Cambria Math"/>
            <w:sz w:val="16"/>
            <w:szCs w:val="16"/>
            <w:lang w:eastAsia="zh-CN"/>
          </w:rPr>
          <m:t>g</m:t>
        </m:r>
      </m:oMath>
      <w:r w:rsidR="00C6617D" w:rsidRPr="00E35AB3">
        <w:rPr>
          <w:sz w:val="16"/>
          <w:szCs w:val="16"/>
          <w:lang w:eastAsia="zh-CN"/>
        </w:rPr>
        <w:t xml:space="preserve"> to be a constant.</w:t>
      </w:r>
      <w:r w:rsidRPr="00E35AB3">
        <w:rPr>
          <w:sz w:val="16"/>
          <w:szCs w:val="16"/>
          <w:lang w:eastAsia="zh-CN"/>
        </w:rPr>
        <w:t xml:space="preserve"> (</w:t>
      </w:r>
      <w:r w:rsidR="00C6617D" w:rsidRPr="00E35AB3">
        <w:rPr>
          <w:sz w:val="16"/>
          <w:szCs w:val="16"/>
          <w:lang w:eastAsia="zh-CN"/>
        </w:rPr>
        <w:t>d</w:t>
      </w:r>
      <w:r w:rsidRPr="00E35AB3">
        <w:rPr>
          <w:sz w:val="16"/>
          <w:szCs w:val="16"/>
          <w:lang w:eastAsia="zh-CN"/>
        </w:rPr>
        <w:t>) A perspective view of the gap-mode metasurface</w:t>
      </w:r>
      <w:r w:rsidR="009C6E8B" w:rsidRPr="00E35AB3">
        <w:rPr>
          <w:sz w:val="16"/>
          <w:szCs w:val="16"/>
          <w:lang w:eastAsia="zh-CN"/>
        </w:rPr>
        <w:t xml:space="preserve"> for PW-SW conversion</w:t>
      </w:r>
      <w:r w:rsidRPr="00E35AB3">
        <w:rPr>
          <w:sz w:val="16"/>
          <w:szCs w:val="16"/>
          <w:lang w:eastAsia="zh-CN"/>
        </w:rPr>
        <w:t>.</w:t>
      </w:r>
      <w:r w:rsidR="003C28D3" w:rsidRPr="00E35AB3">
        <w:rPr>
          <w:sz w:val="16"/>
          <w:szCs w:val="16"/>
          <w:lang w:eastAsia="zh-CN"/>
        </w:rPr>
        <w:t xml:space="preserve"> </w:t>
      </w:r>
      <w:r w:rsidR="00CB7A72" w:rsidRPr="00E35AB3">
        <w:rPr>
          <w:sz w:val="16"/>
          <w:szCs w:val="16"/>
          <w:lang w:eastAsia="zh-CN"/>
        </w:rPr>
        <w:t>The metasurface</w:t>
      </w:r>
      <w:r w:rsidR="003C28D3" w:rsidRPr="00E35AB3">
        <w:rPr>
          <w:sz w:val="16"/>
          <w:szCs w:val="16"/>
          <w:lang w:eastAsia="zh-CN"/>
        </w:rPr>
        <w:t xml:space="preserve"> is illuminated by a plane wave at normal incidence from the glass substrate. The free</w:t>
      </w:r>
      <w:r w:rsidR="00940B6B" w:rsidRPr="00E35AB3">
        <w:rPr>
          <w:sz w:val="16"/>
          <w:szCs w:val="16"/>
          <w:lang w:eastAsia="zh-CN"/>
        </w:rPr>
        <w:t>-</w:t>
      </w:r>
      <w:r w:rsidR="003C28D3" w:rsidRPr="00E35AB3">
        <w:rPr>
          <w:sz w:val="16"/>
          <w:szCs w:val="16"/>
          <w:lang w:eastAsia="zh-CN"/>
        </w:rPr>
        <w:t xml:space="preserve">space wavelength </w:t>
      </w:r>
      <w:r w:rsidR="005B69A5" w:rsidRPr="00E35AB3">
        <w:rPr>
          <w:sz w:val="16"/>
          <w:szCs w:val="16"/>
          <w:lang w:eastAsia="zh-CN"/>
        </w:rPr>
        <w:t>λ</w:t>
      </w:r>
      <w:r w:rsidR="005B69A5" w:rsidRPr="00E35AB3">
        <w:rPr>
          <w:sz w:val="16"/>
          <w:szCs w:val="16"/>
          <w:vertAlign w:val="subscript"/>
          <w:lang w:eastAsia="zh-CN"/>
        </w:rPr>
        <w:t>0</w:t>
      </w:r>
      <w:r w:rsidR="005B69A5" w:rsidRPr="00E35AB3">
        <w:rPr>
          <w:sz w:val="16"/>
          <w:szCs w:val="16"/>
          <w:lang w:eastAsia="zh-CN"/>
        </w:rPr>
        <w:t xml:space="preserve"> </w:t>
      </w:r>
      <w:r w:rsidR="003C28D3" w:rsidRPr="00E35AB3">
        <w:rPr>
          <w:sz w:val="16"/>
          <w:szCs w:val="16"/>
          <w:lang w:eastAsia="zh-CN"/>
        </w:rPr>
        <w:t xml:space="preserve">is 375 </w:t>
      </w:r>
      <w:r w:rsidR="003C28D3" w:rsidRPr="00E35AB3">
        <w:rPr>
          <w:rFonts w:cs="Times New Roman"/>
          <w:sz w:val="16"/>
          <w:szCs w:val="16"/>
          <w:lang w:eastAsia="zh-CN"/>
        </w:rPr>
        <w:t>μ</w:t>
      </w:r>
      <w:r w:rsidR="003C28D3" w:rsidRPr="00E35AB3">
        <w:rPr>
          <w:sz w:val="16"/>
          <w:szCs w:val="16"/>
          <w:lang w:eastAsia="zh-CN"/>
        </w:rPr>
        <w:t xml:space="preserve">m, and the light is linearly polarized in the </w:t>
      </w:r>
      <w:r w:rsidR="003C28D3" w:rsidRPr="00E35AB3">
        <w:rPr>
          <w:i/>
          <w:sz w:val="16"/>
          <w:szCs w:val="16"/>
          <w:lang w:eastAsia="zh-CN"/>
        </w:rPr>
        <w:t>x</w:t>
      </w:r>
      <w:r w:rsidR="003C28D3" w:rsidRPr="00E35AB3">
        <w:rPr>
          <w:sz w:val="16"/>
          <w:szCs w:val="16"/>
          <w:lang w:eastAsia="zh-CN"/>
        </w:rPr>
        <w:t xml:space="preserve"> direction.</w:t>
      </w:r>
      <w:r w:rsidR="00C6617D" w:rsidRPr="00E35AB3">
        <w:rPr>
          <w:sz w:val="16"/>
          <w:szCs w:val="16"/>
          <w:lang w:eastAsia="zh-CN"/>
        </w:rPr>
        <w:t xml:space="preserve"> </w:t>
      </w:r>
      <w:r w:rsidR="00B45FD1" w:rsidRPr="00E35AB3">
        <w:rPr>
          <w:sz w:val="16"/>
          <w:szCs w:val="16"/>
          <w:lang w:eastAsia="zh-CN"/>
        </w:rPr>
        <w:t xml:space="preserve">A super unit cell, which is the smallest periodic unit, is highlighted using the dashed </w:t>
      </w:r>
      <w:r w:rsidR="00B45FD1" w:rsidRPr="00E35AB3">
        <w:rPr>
          <w:rFonts w:eastAsia="DengXian"/>
          <w:sz w:val="16"/>
          <w:szCs w:val="16"/>
          <w:lang w:val="en-GB" w:eastAsia="zh-CN"/>
        </w:rPr>
        <w:t>parallelogram.</w:t>
      </w:r>
    </w:p>
    <w:p w:rsidR="005B1938" w:rsidRPr="00E35AB3" w:rsidRDefault="000A631E" w:rsidP="007A474F">
      <w:pPr>
        <w:pStyle w:val="10BodySubsequentParagraph"/>
        <w:ind w:firstLine="289"/>
        <w:rPr>
          <w:lang w:eastAsia="zh-CN"/>
        </w:rPr>
      </w:pPr>
      <w:r w:rsidRPr="00E35AB3">
        <w:t>T</w:t>
      </w:r>
      <w:r w:rsidR="005B1938" w:rsidRPr="00E35AB3">
        <w:t xml:space="preserve">o clarify the </w:t>
      </w:r>
      <w:r w:rsidRPr="00E35AB3">
        <w:t xml:space="preserve">contrast of these </w:t>
      </w:r>
      <w:r w:rsidR="00A44770" w:rsidRPr="00E35AB3">
        <w:t>t</w:t>
      </w:r>
      <w:r w:rsidR="009441D2" w:rsidRPr="00E35AB3">
        <w:t>hree</w:t>
      </w:r>
      <w:r w:rsidR="00A44770" w:rsidRPr="00E35AB3">
        <w:t xml:space="preserve"> designs and the underlying design strategies</w:t>
      </w:r>
      <w:r w:rsidR="005B1938" w:rsidRPr="00E35AB3">
        <w:t xml:space="preserve">, Fig. 2 shows the numerically simulated electromagnetic properties of a set of constituent </w:t>
      </w:r>
      <w:r w:rsidRPr="00E35AB3">
        <w:t>unit</w:t>
      </w:r>
      <w:r w:rsidR="006B0C46" w:rsidRPr="00E35AB3">
        <w:t>s. Here a unit is</w:t>
      </w:r>
      <w:r w:rsidR="005B1938" w:rsidRPr="00E35AB3">
        <w:t xml:space="preserve"> a Si fin with air gaps on its two sides, or </w:t>
      </w:r>
      <w:r w:rsidRPr="00E35AB3">
        <w:t>alternatively</w:t>
      </w:r>
      <w:r w:rsidR="005B1938" w:rsidRPr="00E35AB3">
        <w:t xml:space="preserve"> an air ga</w:t>
      </w:r>
      <w:r w:rsidR="006B0C46" w:rsidRPr="00E35AB3">
        <w:t>p with Si fins on its two sides</w:t>
      </w:r>
      <w:r w:rsidR="005B1938" w:rsidRPr="00E35AB3">
        <w:t xml:space="preserve">. The simulation, for Fig. 2 and all that followed, was conducted </w:t>
      </w:r>
      <w:r w:rsidR="005B1938" w:rsidRPr="00E35AB3">
        <w:rPr>
          <w:lang w:eastAsia="zh-CN"/>
        </w:rPr>
        <w:t xml:space="preserve">using a commercial finite element solver (COMSOL Multiphysics). </w:t>
      </w:r>
      <w:r w:rsidR="005B1938" w:rsidRPr="00E35AB3">
        <w:t>The simulation covered both periodic and non-periodic structures, for which the settings followed our recent works</w:t>
      </w:r>
      <w:r w:rsidR="00D75FBE" w:rsidRPr="00E35AB3">
        <w:t xml:space="preserve"> [20, </w:t>
      </w:r>
      <w:r w:rsidR="009809BA" w:rsidRPr="00E35AB3">
        <w:t>37</w:t>
      </w:r>
      <w:r w:rsidR="00D75FBE" w:rsidRPr="00E35AB3">
        <w:t>]</w:t>
      </w:r>
      <w:r w:rsidR="005B1938" w:rsidRPr="00E35AB3">
        <w:t xml:space="preserve">. </w:t>
      </w:r>
      <w:r w:rsidR="005B1938" w:rsidRPr="00E35AB3">
        <w:rPr>
          <w:lang w:eastAsia="zh-CN"/>
        </w:rPr>
        <w:t>The glass substrate, which mechanically supported the Si fins, was treated to have an infinite thickness. The incident light had a frequency of 0.8 THz</w:t>
      </w:r>
      <w:r w:rsidRPr="00E35AB3">
        <w:rPr>
          <w:lang w:eastAsia="zh-CN"/>
        </w:rPr>
        <w:t xml:space="preserve"> and a</w:t>
      </w:r>
      <w:r w:rsidR="005B1938" w:rsidRPr="00E35AB3">
        <w:rPr>
          <w:lang w:eastAsia="zh-CN"/>
        </w:rPr>
        <w:t xml:space="preserve"> </w:t>
      </w:r>
      <w:r w:rsidRPr="00E35AB3">
        <w:rPr>
          <w:lang w:eastAsia="zh-CN"/>
        </w:rPr>
        <w:t xml:space="preserve">free-space </w:t>
      </w:r>
      <w:r w:rsidR="005B1938" w:rsidRPr="00E35AB3">
        <w:rPr>
          <w:lang w:eastAsia="zh-CN"/>
        </w:rPr>
        <w:t xml:space="preserve">wavelength </w:t>
      </w:r>
      <w:r w:rsidRPr="00E35AB3">
        <w:rPr>
          <w:rFonts w:cs="Times New Roman"/>
          <w:lang w:eastAsia="zh-CN"/>
        </w:rPr>
        <w:t>λ</w:t>
      </w:r>
      <w:r w:rsidRPr="00E35AB3">
        <w:rPr>
          <w:vertAlign w:val="subscript"/>
          <w:lang w:eastAsia="zh-CN"/>
        </w:rPr>
        <w:t>0</w:t>
      </w:r>
      <w:r w:rsidRPr="00E35AB3">
        <w:rPr>
          <w:lang w:eastAsia="zh-CN"/>
        </w:rPr>
        <w:t xml:space="preserve"> of</w:t>
      </w:r>
      <w:r w:rsidR="005B1938" w:rsidRPr="00E35AB3">
        <w:rPr>
          <w:lang w:eastAsia="zh-CN"/>
        </w:rPr>
        <w:t xml:space="preserve"> 375 </w:t>
      </w:r>
      <w:r w:rsidR="005B1938" w:rsidRPr="00E35AB3">
        <w:rPr>
          <w:rFonts w:cs="Times New Roman"/>
        </w:rPr>
        <w:t>μ</w:t>
      </w:r>
      <w:r w:rsidR="005B1938" w:rsidRPr="00E35AB3">
        <w:t>m. It illuminated the Si fins at normal incidence from the glass side, and had a polarization orthogonal to the fins</w:t>
      </w:r>
      <w:r w:rsidRPr="00E35AB3">
        <w:t xml:space="preserve"> (i.e. along the </w:t>
      </w:r>
      <w:r w:rsidRPr="00E35AB3">
        <w:rPr>
          <w:i/>
        </w:rPr>
        <w:t>x</w:t>
      </w:r>
      <w:r w:rsidRPr="00E35AB3">
        <w:t xml:space="preserve"> axis in Fig. 1)</w:t>
      </w:r>
      <w:r w:rsidR="005B1938" w:rsidRPr="00E35AB3">
        <w:t>.</w:t>
      </w:r>
      <w:r w:rsidR="005B1938" w:rsidRPr="00E35AB3">
        <w:rPr>
          <w:lang w:eastAsia="zh-CN"/>
        </w:rPr>
        <w:t xml:space="preserve"> </w:t>
      </w:r>
      <w:bookmarkStart w:id="6" w:name="_Hlk97137345"/>
      <w:r w:rsidR="005B1938" w:rsidRPr="00E35AB3">
        <w:rPr>
          <w:lang w:eastAsia="zh-CN"/>
        </w:rPr>
        <w:t>Both Si and SiO</w:t>
      </w:r>
      <w:r w:rsidR="005B1938" w:rsidRPr="00E35AB3">
        <w:rPr>
          <w:vertAlign w:val="subscript"/>
          <w:lang w:eastAsia="zh-CN"/>
        </w:rPr>
        <w:t xml:space="preserve">2 </w:t>
      </w:r>
      <w:r w:rsidR="005B1938" w:rsidRPr="00E35AB3">
        <w:rPr>
          <w:lang w:eastAsia="zh-CN"/>
        </w:rPr>
        <w:t>were treated as lossless, and their dielectric constants</w:t>
      </w:r>
      <w:r w:rsidR="00D75FBE" w:rsidRPr="00E35AB3">
        <w:rPr>
          <w:lang w:eastAsia="zh-CN"/>
        </w:rPr>
        <w:t xml:space="preserve"> [3</w:t>
      </w:r>
      <w:r w:rsidR="009809BA" w:rsidRPr="00E35AB3">
        <w:rPr>
          <w:lang w:eastAsia="zh-CN"/>
        </w:rPr>
        <w:t>8</w:t>
      </w:r>
      <w:r w:rsidR="00D75FBE" w:rsidRPr="00E35AB3">
        <w:rPr>
          <w:lang w:eastAsia="zh-CN"/>
        </w:rPr>
        <w:t>, 3</w:t>
      </w:r>
      <w:r w:rsidR="009809BA" w:rsidRPr="00E35AB3">
        <w:rPr>
          <w:lang w:eastAsia="zh-CN"/>
        </w:rPr>
        <w:t>9</w:t>
      </w:r>
      <w:r w:rsidR="00D75FBE" w:rsidRPr="00E35AB3">
        <w:rPr>
          <w:lang w:eastAsia="zh-CN"/>
        </w:rPr>
        <w:t xml:space="preserve">] </w:t>
      </w:r>
      <w:r w:rsidR="005B1938" w:rsidRPr="00E35AB3">
        <w:rPr>
          <w:lang w:eastAsia="zh-CN"/>
        </w:rPr>
        <w:t>were 11.67 and 3.84, respectively</w:t>
      </w:r>
      <w:r w:rsidR="003B5189" w:rsidRPr="00E35AB3">
        <w:rPr>
          <w:lang w:eastAsia="zh-CN"/>
        </w:rPr>
        <w:t>.</w:t>
      </w:r>
      <w:bookmarkEnd w:id="6"/>
    </w:p>
    <w:p w:rsidR="007A357D" w:rsidRPr="00E35AB3" w:rsidRDefault="003B5189" w:rsidP="000B099F">
      <w:pPr>
        <w:pStyle w:val="10BodySubsequentParagraph"/>
        <w:ind w:firstLine="289"/>
      </w:pPr>
      <w:r w:rsidRPr="00E35AB3">
        <w:t xml:space="preserve">Figures 2(a) and 2(b) show the dependence of light transmission on the gap size </w:t>
      </w:r>
      <m:oMath>
        <m:r>
          <m:rPr>
            <m:sty m:val="p"/>
          </m:rPr>
          <w:rPr>
            <w:rFonts w:ascii="Cambria Math" w:hAnsi="Cambria Math"/>
            <w:lang w:eastAsia="zh-CN"/>
          </w:rPr>
          <m:t>g</m:t>
        </m:r>
      </m:oMath>
      <w:r w:rsidRPr="00E35AB3">
        <w:rPr>
          <w:lang w:eastAsia="zh-CN"/>
        </w:rPr>
        <w:t xml:space="preserve"> and the fin width </w:t>
      </w:r>
      <m:oMath>
        <m:r>
          <m:rPr>
            <m:sty m:val="p"/>
          </m:rPr>
          <w:rPr>
            <w:rFonts w:ascii="Cambria Math" w:hAnsi="Cambria Math"/>
            <w:lang w:eastAsia="zh-CN"/>
          </w:rPr>
          <m:t>d</m:t>
        </m:r>
      </m:oMath>
      <w:r w:rsidRPr="00E35AB3">
        <w:rPr>
          <w:lang w:eastAsia="zh-CN"/>
        </w:rPr>
        <w:t xml:space="preserve">, with the fin height </w:t>
      </w:r>
      <m:oMath>
        <m:r>
          <m:rPr>
            <m:sty m:val="p"/>
          </m:rPr>
          <w:rPr>
            <w:rFonts w:ascii="Cambria Math" w:hAnsi="Cambria Math"/>
            <w:lang w:eastAsia="zh-CN"/>
          </w:rPr>
          <m:t>h</m:t>
        </m:r>
      </m:oMath>
      <w:r w:rsidRPr="00E35AB3">
        <w:rPr>
          <w:lang w:eastAsia="zh-CN"/>
        </w:rPr>
        <w:t xml:space="preserve"> fixed at 600 </w:t>
      </w:r>
      <w:r w:rsidRPr="00E35AB3">
        <w:rPr>
          <w:rFonts w:cs="Times New Roman"/>
          <w:lang w:eastAsia="zh-CN"/>
        </w:rPr>
        <w:t>μ</w:t>
      </w:r>
      <w:r w:rsidRPr="00E35AB3">
        <w:rPr>
          <w:lang w:eastAsia="zh-CN"/>
        </w:rPr>
        <w:t xml:space="preserve">m. </w:t>
      </w:r>
      <w:r w:rsidRPr="00E35AB3">
        <w:t>The results possess these two features that are crucial for constructing phase</w:t>
      </w:r>
      <w:r w:rsidR="00E84876" w:rsidRPr="00E35AB3">
        <w:t>-</w:t>
      </w:r>
      <w:r w:rsidRPr="00E35AB3">
        <w:t xml:space="preserve">gradient metasurfaces: the full </w:t>
      </w:r>
      <w:r w:rsidRPr="00E35AB3">
        <w:rPr>
          <w:lang w:eastAsia="zh-CN"/>
        </w:rPr>
        <w:t>2</w:t>
      </w:r>
      <w:r w:rsidRPr="00E35AB3">
        <w:rPr>
          <w:rFonts w:cs="Times New Roman"/>
          <w:lang w:eastAsia="zh-CN"/>
        </w:rPr>
        <w:t>π</w:t>
      </w:r>
      <w:r w:rsidRPr="00E35AB3">
        <w:rPr>
          <w:lang w:eastAsia="zh-CN"/>
        </w:rPr>
        <w:t xml:space="preserve"> coverage in the output phase [Fig. 2(a)] and </w:t>
      </w:r>
      <w:r w:rsidR="003E369F" w:rsidRPr="00E35AB3">
        <w:rPr>
          <w:lang w:eastAsia="zh-CN"/>
        </w:rPr>
        <w:t>the mostly stable</w:t>
      </w:r>
      <w:r w:rsidRPr="00E35AB3">
        <w:rPr>
          <w:lang w:eastAsia="zh-CN"/>
        </w:rPr>
        <w:t xml:space="preserve"> output intensity [Fig. 2(b)]</w:t>
      </w:r>
      <w:r w:rsidRPr="00E35AB3">
        <w:t>. Figure 2(a) shows that the</w:t>
      </w:r>
      <w:r w:rsidRPr="00E35AB3">
        <w:rPr>
          <w:lang w:eastAsia="zh-CN"/>
        </w:rPr>
        <w:t xml:space="preserve"> 2</w:t>
      </w:r>
      <w:r w:rsidRPr="00E35AB3">
        <w:rPr>
          <w:rFonts w:cs="Times New Roman"/>
          <w:lang w:eastAsia="zh-CN"/>
        </w:rPr>
        <w:t>π</w:t>
      </w:r>
      <w:r w:rsidRPr="00E35AB3">
        <w:rPr>
          <w:lang w:eastAsia="zh-CN"/>
        </w:rPr>
        <w:t xml:space="preserve"> phase coverage, a prerequisite for full wavefront control, can be achieved in deep-subwavelength regions. For example, it exists in the area where both </w:t>
      </w:r>
      <m:oMath>
        <m:r>
          <m:rPr>
            <m:sty m:val="p"/>
          </m:rPr>
          <w:rPr>
            <w:rFonts w:ascii="Cambria Math" w:hAnsi="Cambria Math"/>
            <w:lang w:eastAsia="zh-CN"/>
          </w:rPr>
          <m:t>g</m:t>
        </m:r>
      </m:oMath>
      <w:r w:rsidRPr="00E35AB3">
        <w:rPr>
          <w:lang w:eastAsia="zh-CN"/>
        </w:rPr>
        <w:t xml:space="preserve"> and </w:t>
      </w:r>
      <m:oMath>
        <m:r>
          <m:rPr>
            <m:sty m:val="p"/>
          </m:rPr>
          <w:rPr>
            <w:rFonts w:ascii="Cambria Math" w:hAnsi="Cambria Math"/>
            <w:lang w:eastAsia="zh-CN"/>
          </w:rPr>
          <m:t>d</m:t>
        </m:r>
      </m:oMath>
      <w:r w:rsidRPr="00E35AB3">
        <w:rPr>
          <w:lang w:eastAsia="zh-CN"/>
        </w:rPr>
        <w:t xml:space="preserve"> are between 5 </w:t>
      </w:r>
      <w:r w:rsidRPr="00E35AB3">
        <w:rPr>
          <w:rFonts w:cs="Times New Roman"/>
          <w:lang w:eastAsia="zh-CN"/>
        </w:rPr>
        <w:t>μ</w:t>
      </w:r>
      <w:r w:rsidRPr="00E35AB3">
        <w:rPr>
          <w:lang w:eastAsia="zh-CN"/>
        </w:rPr>
        <w:t xml:space="preserve">m and 25 </w:t>
      </w:r>
      <w:r w:rsidRPr="00E35AB3">
        <w:rPr>
          <w:rFonts w:cs="Times New Roman"/>
          <w:lang w:eastAsia="zh-CN"/>
        </w:rPr>
        <w:t>μ</w:t>
      </w:r>
      <w:r w:rsidRPr="00E35AB3">
        <w:rPr>
          <w:lang w:eastAsia="zh-CN"/>
        </w:rPr>
        <w:t xml:space="preserve">m, with the upper boundary merely </w:t>
      </w:r>
      <w:r w:rsidRPr="00E35AB3">
        <w:rPr>
          <w:rFonts w:cs="Times New Roman"/>
          <w:lang w:eastAsia="zh-CN"/>
        </w:rPr>
        <w:t>λ</w:t>
      </w:r>
      <w:r w:rsidRPr="00E35AB3">
        <w:rPr>
          <w:vertAlign w:val="subscript"/>
          <w:lang w:eastAsia="zh-CN"/>
        </w:rPr>
        <w:t>0</w:t>
      </w:r>
      <w:r w:rsidRPr="00E35AB3">
        <w:rPr>
          <w:lang w:eastAsia="zh-CN"/>
        </w:rPr>
        <w:t xml:space="preserve">/15. Figure 2(b) further shows that the intensity variation is relatively small in the deep-subwavelength regime. For example, in the </w:t>
      </w:r>
      <w:r w:rsidRPr="00E35AB3">
        <w:rPr>
          <w:lang w:eastAsia="zh-CN"/>
        </w:rPr>
        <w:lastRenderedPageBreak/>
        <w:t xml:space="preserve">same area of </w:t>
      </w:r>
      <m:oMath>
        <m:r>
          <w:rPr>
            <w:rFonts w:ascii="Cambria Math" w:hAnsi="Cambria Math"/>
            <w:lang w:eastAsia="zh-CN"/>
          </w:rPr>
          <m:t xml:space="preserve">5 </m:t>
        </m:r>
        <m:r>
          <m:rPr>
            <m:sty m:val="p"/>
          </m:rPr>
          <w:rPr>
            <w:rFonts w:ascii="Cambria Math" w:hAnsi="Cambria Math" w:cs="Times New Roman"/>
            <w:lang w:eastAsia="zh-CN"/>
          </w:rPr>
          <m:t>μ</m:t>
        </m:r>
        <m:r>
          <m:rPr>
            <m:sty m:val="p"/>
          </m:rPr>
          <w:rPr>
            <w:rFonts w:ascii="Cambria Math" w:hAnsi="Cambria Math"/>
            <w:lang w:eastAsia="zh-CN"/>
          </w:rPr>
          <m:t>m≤g,d≤25</m:t>
        </m:r>
        <m:r>
          <w:rPr>
            <w:rFonts w:ascii="Cambria Math" w:hAnsi="Cambria Math"/>
            <w:lang w:eastAsia="zh-CN"/>
          </w:rPr>
          <m:t xml:space="preserve"> </m:t>
        </m:r>
        <m:r>
          <m:rPr>
            <m:sty m:val="p"/>
          </m:rPr>
          <w:rPr>
            <w:rFonts w:ascii="Cambria Math" w:hAnsi="Cambria Math" w:cs="Times New Roman"/>
            <w:lang w:eastAsia="zh-CN"/>
          </w:rPr>
          <m:t>μ</m:t>
        </m:r>
        <m:r>
          <m:rPr>
            <m:sty m:val="p"/>
          </m:rPr>
          <w:rPr>
            <w:rFonts w:ascii="Cambria Math" w:hAnsi="Cambria Math"/>
            <w:lang w:eastAsia="zh-CN"/>
          </w:rPr>
          <m:t>m</m:t>
        </m:r>
      </m:oMath>
      <w:r w:rsidRPr="00E35AB3">
        <w:rPr>
          <w:lang w:eastAsia="zh-CN"/>
        </w:rPr>
        <w:t>, the variation range is within 0.87 and 1.00 (perfect transmission). These two features suggest that, the unit library shown in Figs. 2(a) and 2(b) can map a target phase profile at high fidelity, even if the profile is highly position dependent (e.g. a steep linear ramp).</w:t>
      </w:r>
    </w:p>
    <w:p w:rsidR="0093379C" w:rsidRPr="00E35AB3" w:rsidRDefault="00E35AB3" w:rsidP="00421329">
      <w:pPr>
        <w:pStyle w:val="10BodySubsequentParagraph"/>
        <w:ind w:firstLine="0"/>
        <w:jc w:val="center"/>
        <w:rPr>
          <w:lang w:eastAsia="zh-CN"/>
        </w:rPr>
      </w:pPr>
      <w:r w:rsidRPr="00E35AB3">
        <w:rPr>
          <w:lang w:eastAsia="zh-CN"/>
        </w:rPr>
        <w:pict>
          <v:shape id="_x0000_i1026" type="#_x0000_t75" style="width:377pt;height:4in">
            <v:imagedata r:id="rId10" o:title="Fig2"/>
          </v:shape>
        </w:pict>
      </w:r>
    </w:p>
    <w:p w:rsidR="005B1938" w:rsidRPr="00E35AB3" w:rsidRDefault="005B1938" w:rsidP="00682E08">
      <w:pPr>
        <w:pStyle w:val="09BodyFirstParagraph"/>
        <w:spacing w:after="120"/>
        <w:ind w:left="720" w:right="720"/>
        <w:rPr>
          <w:sz w:val="16"/>
          <w:szCs w:val="16"/>
          <w:lang w:eastAsia="zh-CN"/>
        </w:rPr>
      </w:pPr>
      <w:r w:rsidRPr="00E35AB3">
        <w:rPr>
          <w:sz w:val="16"/>
          <w:szCs w:val="16"/>
          <w:lang w:eastAsia="zh-CN"/>
        </w:rPr>
        <w:t>Fig.</w:t>
      </w:r>
      <w:r w:rsidR="00390558" w:rsidRPr="00E35AB3">
        <w:rPr>
          <w:sz w:val="16"/>
          <w:szCs w:val="16"/>
          <w:lang w:eastAsia="zh-CN"/>
        </w:rPr>
        <w:t xml:space="preserve"> </w:t>
      </w:r>
      <w:r w:rsidRPr="00E35AB3">
        <w:rPr>
          <w:sz w:val="16"/>
          <w:szCs w:val="16"/>
          <w:lang w:eastAsia="zh-CN"/>
        </w:rPr>
        <w:t xml:space="preserve">2. Relative phase and intensity of light transmission for </w:t>
      </w:r>
      <w:r w:rsidR="000A631E" w:rsidRPr="00E35AB3">
        <w:rPr>
          <w:sz w:val="16"/>
          <w:szCs w:val="16"/>
          <w:lang w:eastAsia="zh-CN"/>
        </w:rPr>
        <w:t>a range of gap-fin unit</w:t>
      </w:r>
      <w:r w:rsidRPr="00E35AB3">
        <w:rPr>
          <w:sz w:val="16"/>
          <w:szCs w:val="16"/>
          <w:lang w:eastAsia="zh-CN"/>
        </w:rPr>
        <w:t xml:space="preserve">s. (a) </w:t>
      </w:r>
      <w:r w:rsidR="008B2154" w:rsidRPr="00E35AB3">
        <w:rPr>
          <w:sz w:val="16"/>
          <w:szCs w:val="16"/>
          <w:lang w:eastAsia="zh-CN"/>
        </w:rPr>
        <w:t>T</w:t>
      </w:r>
      <w:r w:rsidRPr="00E35AB3">
        <w:rPr>
          <w:sz w:val="16"/>
          <w:szCs w:val="16"/>
          <w:lang w:eastAsia="zh-CN"/>
        </w:rPr>
        <w:t xml:space="preserve">he air gap width </w:t>
      </w:r>
      <m:oMath>
        <m:r>
          <m:rPr>
            <m:sty m:val="p"/>
          </m:rPr>
          <w:rPr>
            <w:rFonts w:ascii="Cambria Math" w:hAnsi="Cambria Math"/>
            <w:sz w:val="16"/>
            <w:szCs w:val="16"/>
            <w:lang w:eastAsia="zh-CN"/>
          </w:rPr>
          <m:t>g</m:t>
        </m:r>
      </m:oMath>
      <w:r w:rsidRPr="00E35AB3">
        <w:rPr>
          <w:sz w:val="16"/>
          <w:szCs w:val="16"/>
          <w:lang w:eastAsia="zh-CN"/>
        </w:rPr>
        <w:t xml:space="preserve"> and the Si fin width </w:t>
      </w:r>
      <m:oMath>
        <m:r>
          <m:rPr>
            <m:sty m:val="p"/>
          </m:rPr>
          <w:rPr>
            <w:rFonts w:ascii="Cambria Math" w:hAnsi="Cambria Math"/>
            <w:sz w:val="16"/>
            <w:szCs w:val="16"/>
            <w:lang w:eastAsia="zh-CN"/>
          </w:rPr>
          <m:t>d</m:t>
        </m:r>
      </m:oMath>
      <w:r w:rsidRPr="00E35AB3">
        <w:rPr>
          <w:sz w:val="16"/>
          <w:szCs w:val="16"/>
          <w:lang w:eastAsia="zh-CN"/>
        </w:rPr>
        <w:t xml:space="preserve"> are tuned </w:t>
      </w:r>
      <w:r w:rsidR="008B2154" w:rsidRPr="00E35AB3">
        <w:rPr>
          <w:sz w:val="16"/>
          <w:szCs w:val="16"/>
          <w:lang w:eastAsia="zh-CN"/>
        </w:rPr>
        <w:t xml:space="preserve">independently from each other, in the same range </w:t>
      </w:r>
      <w:r w:rsidRPr="00E35AB3">
        <w:rPr>
          <w:sz w:val="16"/>
          <w:szCs w:val="16"/>
          <w:lang w:eastAsia="zh-CN"/>
        </w:rPr>
        <w:t>from 5</w:t>
      </w:r>
      <w:r w:rsidR="000A631E" w:rsidRPr="00E35AB3">
        <w:rPr>
          <w:sz w:val="16"/>
          <w:szCs w:val="16"/>
          <w:lang w:eastAsia="zh-CN"/>
        </w:rPr>
        <w:t xml:space="preserve"> </w:t>
      </w:r>
      <w:r w:rsidRPr="00E35AB3">
        <w:rPr>
          <w:sz w:val="16"/>
          <w:szCs w:val="16"/>
          <w:lang w:eastAsia="zh-CN"/>
        </w:rPr>
        <w:t>μm to 65</w:t>
      </w:r>
      <w:r w:rsidR="000A631E" w:rsidRPr="00E35AB3">
        <w:rPr>
          <w:sz w:val="16"/>
          <w:szCs w:val="16"/>
          <w:lang w:eastAsia="zh-CN"/>
        </w:rPr>
        <w:t xml:space="preserve"> </w:t>
      </w:r>
      <w:r w:rsidRPr="00E35AB3">
        <w:rPr>
          <w:sz w:val="16"/>
          <w:szCs w:val="16"/>
          <w:lang w:eastAsia="zh-CN"/>
        </w:rPr>
        <w:t xml:space="preserve">μm. The phase is with respect to the incident light. </w:t>
      </w:r>
      <w:r w:rsidR="00C8043E" w:rsidRPr="00E35AB3">
        <w:rPr>
          <w:sz w:val="16"/>
          <w:szCs w:val="16"/>
          <w:lang w:eastAsia="zh-CN"/>
        </w:rPr>
        <w:t xml:space="preserve">The </w:t>
      </w:r>
      <w:r w:rsidR="003B2546" w:rsidRPr="00E35AB3">
        <w:rPr>
          <w:sz w:val="16"/>
          <w:szCs w:val="16"/>
          <w:lang w:eastAsia="zh-CN"/>
        </w:rPr>
        <w:t xml:space="preserve">three dashed lines converge </w:t>
      </w:r>
      <w:r w:rsidR="009C6E8B" w:rsidRPr="00E35AB3">
        <w:rPr>
          <w:sz w:val="16"/>
          <w:szCs w:val="16"/>
          <w:lang w:eastAsia="zh-CN"/>
        </w:rPr>
        <w:t>at</w:t>
      </w:r>
      <w:r w:rsidR="00B54A4C" w:rsidRPr="00E35AB3">
        <w:rPr>
          <w:sz w:val="16"/>
          <w:szCs w:val="16"/>
          <w:lang w:eastAsia="zh-CN"/>
        </w:rPr>
        <w:t xml:space="preserve"> </w:t>
      </w:r>
      <m:oMath>
        <m:r>
          <m:rPr>
            <m:sty m:val="p"/>
          </m:rPr>
          <w:rPr>
            <w:rFonts w:ascii="Cambria Math" w:hAnsi="Cambria Math"/>
            <w:sz w:val="16"/>
            <w:szCs w:val="16"/>
            <w:lang w:eastAsia="zh-CN"/>
          </w:rPr>
          <m:t>g</m:t>
        </m:r>
        <m:r>
          <w:rPr>
            <w:rFonts w:ascii="Cambria Math" w:hAnsi="Cambria Math"/>
            <w:sz w:val="16"/>
            <w:szCs w:val="16"/>
            <w:lang w:eastAsia="zh-CN"/>
          </w:rPr>
          <m:t>=</m:t>
        </m:r>
        <m:r>
          <m:rPr>
            <m:sty m:val="p"/>
          </m:rPr>
          <w:rPr>
            <w:rFonts w:ascii="Cambria Math" w:hAnsi="Cambria Math"/>
            <w:sz w:val="16"/>
            <w:szCs w:val="16"/>
            <w:lang w:eastAsia="zh-CN"/>
          </w:rPr>
          <m:t>d</m:t>
        </m:r>
        <m:r>
          <w:rPr>
            <w:rFonts w:ascii="Cambria Math" w:hAnsi="Cambria Math"/>
            <w:sz w:val="16"/>
            <w:szCs w:val="16"/>
            <w:lang w:eastAsia="zh-CN"/>
          </w:rPr>
          <m:t xml:space="preserve">=25 </m:t>
        </m:r>
        <m:r>
          <m:rPr>
            <m:sty m:val="p"/>
          </m:rPr>
          <w:rPr>
            <w:rFonts w:ascii="Cambria Math" w:hAnsi="Cambria Math"/>
            <w:sz w:val="16"/>
            <w:szCs w:val="16"/>
            <w:lang w:eastAsia="zh-CN"/>
          </w:rPr>
          <m:t>μm</m:t>
        </m:r>
      </m:oMath>
      <w:r w:rsidR="003B2546" w:rsidRPr="00E35AB3">
        <w:rPr>
          <w:sz w:val="16"/>
          <w:szCs w:val="16"/>
          <w:lang w:eastAsia="zh-CN"/>
        </w:rPr>
        <w:t>, a representative point that is chosen to facilitate discussion.</w:t>
      </w:r>
      <w:r w:rsidR="00C8043E" w:rsidRPr="00E35AB3">
        <w:rPr>
          <w:sz w:val="16"/>
          <w:szCs w:val="16"/>
          <w:lang w:eastAsia="zh-CN"/>
        </w:rPr>
        <w:t xml:space="preserve"> </w:t>
      </w:r>
      <w:r w:rsidRPr="00E35AB3">
        <w:rPr>
          <w:sz w:val="16"/>
          <w:szCs w:val="16"/>
          <w:lang w:eastAsia="zh-CN"/>
        </w:rPr>
        <w:t xml:space="preserve">(b) The intensity of the transmitted light with respect to the incident light, for the same </w:t>
      </w:r>
      <w:r w:rsidR="000A631E" w:rsidRPr="00E35AB3">
        <w:rPr>
          <w:sz w:val="16"/>
          <w:szCs w:val="16"/>
          <w:lang w:eastAsia="zh-CN"/>
        </w:rPr>
        <w:t>dimension</w:t>
      </w:r>
      <w:r w:rsidR="00940B6B" w:rsidRPr="00E35AB3">
        <w:rPr>
          <w:sz w:val="16"/>
          <w:szCs w:val="16"/>
          <w:lang w:eastAsia="zh-CN"/>
        </w:rPr>
        <w:t>al</w:t>
      </w:r>
      <w:r w:rsidRPr="00E35AB3">
        <w:rPr>
          <w:sz w:val="16"/>
          <w:szCs w:val="16"/>
          <w:lang w:eastAsia="zh-CN"/>
        </w:rPr>
        <w:t xml:space="preserve"> range. (c) The variation in the phase and the intensity, with </w:t>
      </w:r>
      <m:oMath>
        <m:r>
          <m:rPr>
            <m:sty m:val="p"/>
          </m:rPr>
          <w:rPr>
            <w:rFonts w:ascii="Cambria Math" w:hAnsi="Cambria Math"/>
            <w:sz w:val="16"/>
            <w:szCs w:val="16"/>
            <w:lang w:eastAsia="zh-CN"/>
          </w:rPr>
          <m:t>d</m:t>
        </m:r>
      </m:oMath>
      <w:r w:rsidRPr="00E35AB3">
        <w:rPr>
          <w:sz w:val="16"/>
          <w:szCs w:val="16"/>
          <w:lang w:eastAsia="zh-CN"/>
        </w:rPr>
        <w:t xml:space="preserve"> fixed at 25 μm (i.e. 1/15 of the free-space wavelength</w:t>
      </w:r>
      <w:r w:rsidR="000A631E" w:rsidRPr="00E35AB3">
        <w:rPr>
          <w:sz w:val="16"/>
          <w:szCs w:val="16"/>
          <w:lang w:eastAsia="zh-CN"/>
        </w:rPr>
        <w:t xml:space="preserve"> </w:t>
      </w:r>
      <w:r w:rsidR="000A631E" w:rsidRPr="00E35AB3">
        <w:rPr>
          <w:rFonts w:cs="Times New Roman"/>
          <w:sz w:val="16"/>
          <w:szCs w:val="16"/>
          <w:lang w:eastAsia="zh-CN"/>
        </w:rPr>
        <w:t>λ</w:t>
      </w:r>
      <w:r w:rsidR="000A631E" w:rsidRPr="00E35AB3">
        <w:rPr>
          <w:sz w:val="16"/>
          <w:szCs w:val="16"/>
          <w:vertAlign w:val="subscript"/>
          <w:lang w:eastAsia="zh-CN"/>
        </w:rPr>
        <w:t>0</w:t>
      </w:r>
      <w:r w:rsidRPr="00E35AB3">
        <w:rPr>
          <w:sz w:val="16"/>
          <w:szCs w:val="16"/>
          <w:lang w:eastAsia="zh-CN"/>
        </w:rPr>
        <w:t xml:space="preserve">) and </w:t>
      </w:r>
      <m:oMath>
        <m:r>
          <m:rPr>
            <m:sty m:val="p"/>
          </m:rPr>
          <w:rPr>
            <w:rFonts w:ascii="Cambria Math" w:hAnsi="Cambria Math"/>
            <w:sz w:val="16"/>
            <w:szCs w:val="16"/>
            <w:lang w:eastAsia="zh-CN"/>
          </w:rPr>
          <m:t>g</m:t>
        </m:r>
      </m:oMath>
      <w:r w:rsidRPr="00E35AB3">
        <w:rPr>
          <w:sz w:val="16"/>
          <w:szCs w:val="16"/>
          <w:lang w:eastAsia="zh-CN"/>
        </w:rPr>
        <w:t xml:space="preserve"> tuned across the whole range. The data corresponds to the vertical lines in (a) and (b). (d) </w:t>
      </w:r>
      <w:r w:rsidR="008D4EC7" w:rsidRPr="00E35AB3">
        <w:rPr>
          <w:sz w:val="16"/>
          <w:szCs w:val="16"/>
          <w:lang w:eastAsia="zh-CN"/>
        </w:rPr>
        <w:t xml:space="preserve">Electric field distribution </w:t>
      </w:r>
      <w:bookmarkStart w:id="7" w:name="_Hlk91682274"/>
      <w:r w:rsidR="00B54A4C" w:rsidRPr="00E35AB3">
        <w:rPr>
          <w:sz w:val="16"/>
          <w:szCs w:val="16"/>
          <w:lang w:eastAsia="zh-CN"/>
        </w:rPr>
        <w:t xml:space="preserve">insides </w:t>
      </w:r>
      <w:r w:rsidR="008D4EC7" w:rsidRPr="00E35AB3">
        <w:rPr>
          <w:sz w:val="16"/>
          <w:szCs w:val="16"/>
          <w:lang w:eastAsia="zh-CN"/>
        </w:rPr>
        <w:t>a representative unit</w:t>
      </w:r>
      <w:bookmarkEnd w:id="7"/>
      <w:r w:rsidR="00682E08" w:rsidRPr="00E35AB3">
        <w:rPr>
          <w:sz w:val="16"/>
          <w:szCs w:val="16"/>
          <w:lang w:eastAsia="zh-CN"/>
        </w:rPr>
        <w:t>, normalized against the incident light inside the SiO</w:t>
      </w:r>
      <w:r w:rsidR="00682E08" w:rsidRPr="00E35AB3">
        <w:rPr>
          <w:sz w:val="16"/>
          <w:szCs w:val="16"/>
          <w:vertAlign w:val="subscript"/>
          <w:lang w:eastAsia="zh-CN"/>
        </w:rPr>
        <w:t>2</w:t>
      </w:r>
      <w:r w:rsidR="00682E08" w:rsidRPr="00E35AB3">
        <w:rPr>
          <w:sz w:val="16"/>
          <w:szCs w:val="16"/>
          <w:lang w:eastAsia="zh-CN"/>
        </w:rPr>
        <w:t xml:space="preserve"> substrate</w:t>
      </w:r>
      <w:r w:rsidR="008D4EC7" w:rsidRPr="00E35AB3">
        <w:rPr>
          <w:sz w:val="16"/>
          <w:szCs w:val="16"/>
          <w:lang w:eastAsia="zh-CN"/>
        </w:rPr>
        <w:t xml:space="preserve">. It has </w:t>
      </w:r>
      <m:oMath>
        <m:r>
          <m:rPr>
            <m:sty m:val="p"/>
          </m:rPr>
          <w:rPr>
            <w:rFonts w:ascii="Cambria Math" w:hAnsi="Cambria Math"/>
            <w:sz w:val="16"/>
            <w:szCs w:val="16"/>
            <w:lang w:eastAsia="zh-CN"/>
          </w:rPr>
          <m:t>g</m:t>
        </m:r>
        <m:r>
          <w:rPr>
            <w:rFonts w:ascii="Cambria Math" w:hAnsi="Cambria Math"/>
            <w:sz w:val="16"/>
            <w:szCs w:val="16"/>
            <w:lang w:eastAsia="zh-CN"/>
          </w:rPr>
          <m:t>=</m:t>
        </m:r>
        <m:r>
          <m:rPr>
            <m:sty m:val="p"/>
          </m:rPr>
          <w:rPr>
            <w:rFonts w:ascii="Cambria Math" w:hAnsi="Cambria Math"/>
            <w:sz w:val="16"/>
            <w:szCs w:val="16"/>
            <w:lang w:eastAsia="zh-CN"/>
          </w:rPr>
          <m:t>d</m:t>
        </m:r>
        <m:r>
          <w:rPr>
            <w:rFonts w:ascii="Cambria Math" w:hAnsi="Cambria Math"/>
            <w:sz w:val="16"/>
            <w:szCs w:val="16"/>
            <w:lang w:eastAsia="zh-CN"/>
          </w:rPr>
          <m:t xml:space="preserve">=25 </m:t>
        </m:r>
        <m:r>
          <m:rPr>
            <m:sty m:val="p"/>
          </m:rPr>
          <w:rPr>
            <w:rFonts w:ascii="Cambria Math" w:hAnsi="Cambria Math"/>
            <w:sz w:val="16"/>
            <w:szCs w:val="16"/>
            <w:lang w:eastAsia="zh-CN"/>
          </w:rPr>
          <m:t>μm</m:t>
        </m:r>
      </m:oMath>
      <w:r w:rsidR="008D4EC7" w:rsidRPr="00E35AB3">
        <w:rPr>
          <w:sz w:val="16"/>
          <w:szCs w:val="16"/>
          <w:lang w:eastAsia="zh-CN"/>
        </w:rPr>
        <w:t xml:space="preserve">, </w:t>
      </w:r>
      <w:r w:rsidR="00B54A4C" w:rsidRPr="00E35AB3">
        <w:rPr>
          <w:sz w:val="16"/>
          <w:szCs w:val="16"/>
          <w:lang w:eastAsia="zh-CN"/>
        </w:rPr>
        <w:t>corresponding to the</w:t>
      </w:r>
      <w:r w:rsidR="008D4EC7" w:rsidRPr="00E35AB3">
        <w:rPr>
          <w:sz w:val="16"/>
          <w:szCs w:val="16"/>
          <w:lang w:eastAsia="zh-CN"/>
        </w:rPr>
        <w:t xml:space="preserve"> </w:t>
      </w:r>
      <w:r w:rsidR="009C6E8B" w:rsidRPr="00E35AB3">
        <w:rPr>
          <w:sz w:val="16"/>
          <w:szCs w:val="16"/>
          <w:lang w:eastAsia="zh-CN"/>
        </w:rPr>
        <w:t>point of line convergence</w:t>
      </w:r>
      <w:r w:rsidR="008D4EC7" w:rsidRPr="00E35AB3">
        <w:rPr>
          <w:sz w:val="16"/>
          <w:szCs w:val="16"/>
          <w:lang w:eastAsia="zh-CN"/>
        </w:rPr>
        <w:t xml:space="preserve"> in (a)</w:t>
      </w:r>
      <w:r w:rsidR="00B54A4C" w:rsidRPr="00E35AB3">
        <w:rPr>
          <w:sz w:val="16"/>
          <w:szCs w:val="16"/>
          <w:lang w:eastAsia="zh-CN"/>
        </w:rPr>
        <w:t xml:space="preserve"> and</w:t>
      </w:r>
      <w:r w:rsidR="008D4EC7" w:rsidRPr="00E35AB3">
        <w:rPr>
          <w:sz w:val="16"/>
          <w:szCs w:val="16"/>
          <w:lang w:eastAsia="zh-CN"/>
        </w:rPr>
        <w:t xml:space="preserve"> </w:t>
      </w:r>
      <w:r w:rsidR="00362666" w:rsidRPr="00E35AB3">
        <w:rPr>
          <w:sz w:val="16"/>
          <w:szCs w:val="16"/>
          <w:lang w:eastAsia="zh-CN"/>
        </w:rPr>
        <w:t>(b)</w:t>
      </w:r>
      <w:r w:rsidR="008D4EC7" w:rsidRPr="00E35AB3">
        <w:rPr>
          <w:sz w:val="16"/>
          <w:szCs w:val="16"/>
          <w:lang w:eastAsia="zh-CN"/>
        </w:rPr>
        <w:t>.</w:t>
      </w:r>
      <w:r w:rsidR="00682E08" w:rsidRPr="00E35AB3">
        <w:rPr>
          <w:sz w:val="16"/>
          <w:szCs w:val="16"/>
          <w:lang w:eastAsia="zh-CN"/>
        </w:rPr>
        <w:t xml:space="preserve"> </w:t>
      </w:r>
      <w:bookmarkStart w:id="8" w:name="_Hlk97749643"/>
      <w:r w:rsidR="00682E08" w:rsidRPr="00E35AB3">
        <w:rPr>
          <w:sz w:val="16"/>
          <w:szCs w:val="16"/>
          <w:lang w:eastAsia="zh-CN"/>
        </w:rPr>
        <w:t xml:space="preserve">The electric field inside the air gap </w:t>
      </w:r>
      <w:r w:rsidR="009C6E8B" w:rsidRPr="00E35AB3">
        <w:rPr>
          <w:sz w:val="16"/>
          <w:szCs w:val="16"/>
          <w:lang w:eastAsia="zh-CN"/>
        </w:rPr>
        <w:t>is enhanced by a factor of</w:t>
      </w:r>
      <w:r w:rsidR="00682E08" w:rsidRPr="00E35AB3">
        <w:rPr>
          <w:sz w:val="16"/>
          <w:szCs w:val="16"/>
          <w:lang w:eastAsia="zh-CN"/>
        </w:rPr>
        <w:t xml:space="preserve"> 2.4 </w:t>
      </w:r>
      <w:r w:rsidR="009C6E8B" w:rsidRPr="00E35AB3">
        <w:rPr>
          <w:sz w:val="16"/>
          <w:szCs w:val="16"/>
          <w:lang w:eastAsia="zh-CN"/>
        </w:rPr>
        <w:t xml:space="preserve">as compared to </w:t>
      </w:r>
      <w:r w:rsidR="00682E08" w:rsidRPr="00E35AB3">
        <w:rPr>
          <w:sz w:val="16"/>
          <w:szCs w:val="16"/>
          <w:lang w:eastAsia="zh-CN"/>
        </w:rPr>
        <w:t>the incident field.</w:t>
      </w:r>
      <w:bookmarkEnd w:id="8"/>
      <w:r w:rsidR="008D4EC7" w:rsidRPr="00E35AB3">
        <w:rPr>
          <w:sz w:val="16"/>
          <w:szCs w:val="16"/>
          <w:lang w:eastAsia="zh-CN"/>
        </w:rPr>
        <w:t xml:space="preserve"> In all the four panels, t</w:t>
      </w:r>
      <w:r w:rsidRPr="00E35AB3">
        <w:rPr>
          <w:sz w:val="16"/>
          <w:szCs w:val="16"/>
          <w:lang w:eastAsia="zh-CN"/>
        </w:rPr>
        <w:t xml:space="preserve">he </w:t>
      </w:r>
      <w:r w:rsidR="008D4EC7" w:rsidRPr="00E35AB3">
        <w:rPr>
          <w:sz w:val="16"/>
          <w:szCs w:val="16"/>
          <w:lang w:eastAsia="zh-CN"/>
        </w:rPr>
        <w:t xml:space="preserve">fin </w:t>
      </w:r>
      <w:r w:rsidRPr="00E35AB3">
        <w:rPr>
          <w:sz w:val="16"/>
          <w:szCs w:val="16"/>
          <w:lang w:eastAsia="zh-CN"/>
        </w:rPr>
        <w:t xml:space="preserve">height </w:t>
      </w:r>
      <m:oMath>
        <m:r>
          <m:rPr>
            <m:sty m:val="p"/>
          </m:rPr>
          <w:rPr>
            <w:rFonts w:ascii="Cambria Math" w:hAnsi="Cambria Math"/>
            <w:sz w:val="16"/>
            <w:szCs w:val="16"/>
            <w:lang w:eastAsia="zh-CN"/>
          </w:rPr>
          <m:t>h</m:t>
        </m:r>
      </m:oMath>
      <w:r w:rsidR="00362666" w:rsidRPr="00E35AB3">
        <w:rPr>
          <w:sz w:val="16"/>
          <w:szCs w:val="16"/>
          <w:lang w:eastAsia="zh-CN"/>
        </w:rPr>
        <w:t xml:space="preserve"> </w:t>
      </w:r>
      <w:r w:rsidRPr="00E35AB3">
        <w:rPr>
          <w:sz w:val="16"/>
          <w:szCs w:val="16"/>
          <w:lang w:eastAsia="zh-CN"/>
        </w:rPr>
        <w:t>is set as 600</w:t>
      </w:r>
      <w:r w:rsidR="008D4EC7" w:rsidRPr="00E35AB3">
        <w:rPr>
          <w:sz w:val="16"/>
          <w:szCs w:val="16"/>
          <w:lang w:eastAsia="zh-CN"/>
        </w:rPr>
        <w:t xml:space="preserve"> </w:t>
      </w:r>
      <w:r w:rsidRPr="00E35AB3">
        <w:rPr>
          <w:rFonts w:cs="Times New Roman"/>
          <w:sz w:val="16"/>
          <w:szCs w:val="16"/>
          <w:lang w:eastAsia="zh-CN"/>
        </w:rPr>
        <w:t>μ</w:t>
      </w:r>
      <w:r w:rsidRPr="00E35AB3">
        <w:rPr>
          <w:sz w:val="16"/>
          <w:szCs w:val="16"/>
          <w:lang w:eastAsia="zh-CN"/>
        </w:rPr>
        <w:t xml:space="preserve">m, </w:t>
      </w:r>
      <w:r w:rsidR="009C6E8B" w:rsidRPr="00E35AB3">
        <w:rPr>
          <w:sz w:val="16"/>
          <w:szCs w:val="16"/>
          <w:lang w:eastAsia="zh-CN"/>
        </w:rPr>
        <w:t>a parameter that</w:t>
      </w:r>
      <w:r w:rsidRPr="00E35AB3">
        <w:rPr>
          <w:sz w:val="16"/>
          <w:szCs w:val="16"/>
          <w:lang w:eastAsia="zh-CN"/>
        </w:rPr>
        <w:t xml:space="preserve"> is analyzed </w:t>
      </w:r>
      <w:r w:rsidR="008D4EC7" w:rsidRPr="00E35AB3">
        <w:rPr>
          <w:sz w:val="16"/>
          <w:szCs w:val="16"/>
          <w:lang w:eastAsia="zh-CN"/>
        </w:rPr>
        <w:t xml:space="preserve">in following discussions </w:t>
      </w:r>
      <w:r w:rsidRPr="00E35AB3">
        <w:rPr>
          <w:sz w:val="16"/>
          <w:szCs w:val="16"/>
          <w:lang w:eastAsia="zh-CN"/>
        </w:rPr>
        <w:t xml:space="preserve">and </w:t>
      </w:r>
      <w:r w:rsidR="008D4EC7" w:rsidRPr="00E35AB3">
        <w:rPr>
          <w:sz w:val="16"/>
          <w:szCs w:val="16"/>
          <w:lang w:eastAsia="zh-CN"/>
        </w:rPr>
        <w:t>adjusted in other examples</w:t>
      </w:r>
      <w:r w:rsidRPr="00E35AB3">
        <w:rPr>
          <w:sz w:val="16"/>
          <w:szCs w:val="16"/>
          <w:lang w:eastAsia="zh-CN"/>
        </w:rPr>
        <w:t>.</w:t>
      </w:r>
    </w:p>
    <w:p w:rsidR="00FC0774" w:rsidRPr="00E35AB3" w:rsidRDefault="00FC0774" w:rsidP="001664ED">
      <w:pPr>
        <w:pStyle w:val="10BodySubsequentParagraph"/>
        <w:ind w:firstLine="289"/>
        <w:rPr>
          <w:lang w:eastAsia="zh-CN"/>
        </w:rPr>
      </w:pPr>
      <w:r w:rsidRPr="00E35AB3">
        <w:t>W</w:t>
      </w:r>
      <w:r w:rsidR="005B1938" w:rsidRPr="00E35AB3">
        <w:t xml:space="preserve">e </w:t>
      </w:r>
      <w:r w:rsidRPr="00E35AB3">
        <w:t xml:space="preserve">now </w:t>
      </w:r>
      <w:r w:rsidR="005B1938" w:rsidRPr="00E35AB3">
        <w:t xml:space="preserve">consider a task of picking a few elements from the library in </w:t>
      </w:r>
      <w:bookmarkStart w:id="9" w:name="_Hlk97155672"/>
      <w:r w:rsidR="005B1938" w:rsidRPr="00E35AB3">
        <w:t>Figs. 2(a) and 2(b)</w:t>
      </w:r>
      <w:bookmarkEnd w:id="9"/>
      <w:r w:rsidR="005B1938" w:rsidRPr="00E35AB3">
        <w:t xml:space="preserve"> to provide uniform phase coverage of 2</w:t>
      </w:r>
      <w:r w:rsidR="005B1938" w:rsidRPr="00E35AB3">
        <w:rPr>
          <w:rFonts w:cs="Times New Roman"/>
        </w:rPr>
        <w:t>π</w:t>
      </w:r>
      <w:r w:rsidR="005B1938" w:rsidRPr="00E35AB3">
        <w:t xml:space="preserve">. A conventional solution, </w:t>
      </w:r>
      <w:bookmarkStart w:id="10" w:name="_Hlk97155772"/>
      <w:r w:rsidRPr="00E35AB3">
        <w:t xml:space="preserve">which corresponds to the </w:t>
      </w:r>
      <w:bookmarkEnd w:id="10"/>
      <w:r w:rsidRPr="00E35AB3">
        <w:t>metasurface in</w:t>
      </w:r>
      <w:r w:rsidR="005B1938" w:rsidRPr="00E35AB3">
        <w:t xml:space="preserve"> Fig. 1(b), is to pick elements from a line </w:t>
      </w:r>
      <w:r w:rsidRPr="00E35AB3">
        <w:t>parallel to the diagonal line in Figs. 2(a) and 2(b)</w:t>
      </w:r>
      <w:r w:rsidR="005B1938" w:rsidRPr="00E35AB3">
        <w:t xml:space="preserve">. This solution guarantees that </w:t>
      </w:r>
      <m:oMath>
        <m:r>
          <m:rPr>
            <m:sty m:val="p"/>
          </m:rPr>
          <w:rPr>
            <w:rFonts w:ascii="Cambria Math" w:hAnsi="Cambria Math"/>
            <w:lang w:eastAsia="zh-CN"/>
          </w:rPr>
          <m:t>g+d</m:t>
        </m:r>
      </m:oMath>
      <w:r w:rsidR="005B1938" w:rsidRPr="00E35AB3">
        <w:rPr>
          <w:lang w:eastAsia="zh-CN"/>
        </w:rPr>
        <w:t xml:space="preserve"> is a constant for all the </w:t>
      </w:r>
      <w:r w:rsidRPr="00E35AB3">
        <w:rPr>
          <w:lang w:eastAsia="zh-CN"/>
        </w:rPr>
        <w:t>units in a super unit cell</w:t>
      </w:r>
      <w:r w:rsidR="005B1938" w:rsidRPr="00E35AB3">
        <w:rPr>
          <w:lang w:eastAsia="zh-CN"/>
        </w:rPr>
        <w:t xml:space="preserve">. Another solution is to pick elements from a horizontal line, where </w:t>
      </w:r>
      <m:oMath>
        <m:r>
          <m:rPr>
            <m:sty m:val="p"/>
          </m:rPr>
          <w:rPr>
            <w:rFonts w:ascii="Cambria Math" w:hAnsi="Cambria Math"/>
            <w:lang w:eastAsia="zh-CN"/>
          </w:rPr>
          <m:t>g</m:t>
        </m:r>
      </m:oMath>
      <w:r w:rsidR="005B1938" w:rsidRPr="00E35AB3">
        <w:rPr>
          <w:lang w:eastAsia="zh-CN"/>
        </w:rPr>
        <w:t xml:space="preserve"> </w:t>
      </w:r>
      <w:r w:rsidR="00097B67" w:rsidRPr="00E35AB3">
        <w:rPr>
          <w:lang w:eastAsia="zh-CN"/>
        </w:rPr>
        <w:t>is</w:t>
      </w:r>
      <w:r w:rsidR="005B1938" w:rsidRPr="00E35AB3">
        <w:rPr>
          <w:lang w:eastAsia="zh-CN"/>
        </w:rPr>
        <w:t xml:space="preserve"> a constant</w:t>
      </w:r>
      <w:r w:rsidR="001664ED" w:rsidRPr="00E35AB3">
        <w:rPr>
          <w:lang w:eastAsia="zh-CN"/>
        </w:rPr>
        <w:t xml:space="preserve"> in a super unit cell</w:t>
      </w:r>
      <w:r w:rsidR="00F64CD1" w:rsidRPr="00E35AB3">
        <w:rPr>
          <w:lang w:eastAsia="zh-CN"/>
        </w:rPr>
        <w:t xml:space="preserve">. </w:t>
      </w:r>
      <w:r w:rsidR="00940B6B" w:rsidRPr="00E35AB3">
        <w:rPr>
          <w:lang w:eastAsia="zh-CN"/>
        </w:rPr>
        <w:t xml:space="preserve">These two </w:t>
      </w:r>
      <w:r w:rsidR="00F64CD1" w:rsidRPr="00E35AB3">
        <w:rPr>
          <w:lang w:eastAsia="zh-CN"/>
        </w:rPr>
        <w:t>solutions</w:t>
      </w:r>
      <w:r w:rsidRPr="00E35AB3">
        <w:rPr>
          <w:lang w:eastAsia="zh-CN"/>
        </w:rPr>
        <w:t xml:space="preserve"> correspond to </w:t>
      </w:r>
      <w:r w:rsidR="00F64CD1" w:rsidRPr="00E35AB3">
        <w:rPr>
          <w:lang w:eastAsia="zh-CN"/>
        </w:rPr>
        <w:t xml:space="preserve">metasurface design strategies </w:t>
      </w:r>
      <w:r w:rsidR="001664ED" w:rsidRPr="00E35AB3">
        <w:rPr>
          <w:lang w:eastAsia="zh-CN"/>
        </w:rPr>
        <w:t xml:space="preserve">that </w:t>
      </w:r>
      <w:r w:rsidR="00F64CD1" w:rsidRPr="00E35AB3">
        <w:rPr>
          <w:lang w:eastAsia="zh-CN"/>
        </w:rPr>
        <w:t xml:space="preserve">generate a uniform unit cell size and a uniform gap size. Example metasurfaces </w:t>
      </w:r>
      <w:r w:rsidR="001664ED" w:rsidRPr="00E35AB3">
        <w:rPr>
          <w:lang w:eastAsia="zh-CN"/>
        </w:rPr>
        <w:t>following</w:t>
      </w:r>
      <w:r w:rsidR="00F64CD1" w:rsidRPr="00E35AB3">
        <w:rPr>
          <w:lang w:eastAsia="zh-CN"/>
        </w:rPr>
        <w:t xml:space="preserve"> these two design strategies can be found in Refs.</w:t>
      </w:r>
      <w:r w:rsidR="009F24C0" w:rsidRPr="00E35AB3">
        <w:rPr>
          <w:lang w:eastAsia="zh-CN"/>
        </w:rPr>
        <w:t xml:space="preserve"> [15, </w:t>
      </w:r>
      <w:r w:rsidR="009809BA" w:rsidRPr="00E35AB3">
        <w:rPr>
          <w:lang w:eastAsia="zh-CN"/>
        </w:rPr>
        <w:t>40</w:t>
      </w:r>
      <w:r w:rsidR="009F24C0" w:rsidRPr="00E35AB3">
        <w:rPr>
          <w:lang w:eastAsia="zh-CN"/>
        </w:rPr>
        <w:t>].</w:t>
      </w:r>
    </w:p>
    <w:p w:rsidR="00362666" w:rsidRPr="00E35AB3" w:rsidRDefault="005B1938" w:rsidP="00A6371C">
      <w:pPr>
        <w:pStyle w:val="10BodySubsequentParagraph"/>
        <w:ind w:firstLine="289"/>
        <w:rPr>
          <w:rFonts w:cs="Times New Roman"/>
          <w:lang w:eastAsia="zh-CN"/>
        </w:rPr>
      </w:pPr>
      <w:r w:rsidRPr="00E35AB3">
        <w:rPr>
          <w:lang w:eastAsia="zh-CN"/>
        </w:rPr>
        <w:t>A key claim of this work is that, there exi</w:t>
      </w:r>
      <w:r w:rsidR="00097B67" w:rsidRPr="00E35AB3">
        <w:rPr>
          <w:lang w:eastAsia="zh-CN"/>
        </w:rPr>
        <w:t>s</w:t>
      </w:r>
      <w:r w:rsidRPr="00E35AB3">
        <w:rPr>
          <w:lang w:eastAsia="zh-CN"/>
        </w:rPr>
        <w:t xml:space="preserve">ts </w:t>
      </w:r>
      <w:r w:rsidR="00940B6B" w:rsidRPr="00E35AB3">
        <w:rPr>
          <w:lang w:eastAsia="zh-CN"/>
        </w:rPr>
        <w:t>a third</w:t>
      </w:r>
      <w:r w:rsidRPr="00E35AB3">
        <w:rPr>
          <w:lang w:eastAsia="zh-CN"/>
        </w:rPr>
        <w:t xml:space="preserve"> solution, which is to pick elements from a vertical line</w:t>
      </w:r>
      <w:r w:rsidR="001664ED" w:rsidRPr="00E35AB3">
        <w:rPr>
          <w:lang w:eastAsia="zh-CN"/>
        </w:rPr>
        <w:t xml:space="preserve"> in </w:t>
      </w:r>
      <w:r w:rsidR="001664ED" w:rsidRPr="00E35AB3">
        <w:t>Figs. 2(a) and 2(b)</w:t>
      </w:r>
      <w:r w:rsidRPr="00E35AB3">
        <w:rPr>
          <w:lang w:eastAsia="zh-CN"/>
        </w:rPr>
        <w:t xml:space="preserve">. In this solution, </w:t>
      </w:r>
      <m:oMath>
        <m:r>
          <m:rPr>
            <m:sty m:val="p"/>
          </m:rPr>
          <w:rPr>
            <w:rFonts w:ascii="Cambria Math" w:hAnsi="Cambria Math"/>
            <w:lang w:eastAsia="zh-CN"/>
          </w:rPr>
          <m:t>d</m:t>
        </m:r>
      </m:oMath>
      <w:r w:rsidRPr="00E35AB3">
        <w:rPr>
          <w:lang w:eastAsia="zh-CN"/>
        </w:rPr>
        <w:t xml:space="preserve"> rather than </w:t>
      </w:r>
      <m:oMath>
        <m:r>
          <m:rPr>
            <m:sty m:val="p"/>
          </m:rPr>
          <w:rPr>
            <w:rFonts w:ascii="Cambria Math" w:hAnsi="Cambria Math"/>
            <w:lang w:eastAsia="zh-CN"/>
          </w:rPr>
          <m:t>g</m:t>
        </m:r>
      </m:oMath>
      <w:r w:rsidRPr="00E35AB3">
        <w:rPr>
          <w:lang w:eastAsia="zh-CN"/>
        </w:rPr>
        <w:t xml:space="preserve"> is a constant. It implies that, all the Si fins in the metasurface have an identical size</w:t>
      </w:r>
      <w:r w:rsidR="00924C5D" w:rsidRPr="00E35AB3">
        <w:rPr>
          <w:lang w:eastAsia="zh-CN"/>
        </w:rPr>
        <w:t xml:space="preserve">, as drawn schematically </w:t>
      </w:r>
      <w:r w:rsidR="00924C5D" w:rsidRPr="00E35AB3">
        <w:rPr>
          <w:lang w:eastAsia="zh-CN"/>
        </w:rPr>
        <w:lastRenderedPageBreak/>
        <w:t>in Fig. 1(a). Here</w:t>
      </w:r>
      <w:r w:rsidRPr="00E35AB3">
        <w:rPr>
          <w:lang w:eastAsia="zh-CN"/>
        </w:rPr>
        <w:t xml:space="preserve"> </w:t>
      </w:r>
      <w:r w:rsidR="001664ED" w:rsidRPr="00E35AB3">
        <w:rPr>
          <w:lang w:eastAsia="zh-CN"/>
        </w:rPr>
        <w:t>the designated phase profile is generated purely by placing these identical fins at varying intervals</w:t>
      </w:r>
      <w:r w:rsidRPr="00E35AB3">
        <w:rPr>
          <w:lang w:eastAsia="zh-CN"/>
        </w:rPr>
        <w:t xml:space="preserve">. As a numerical demonstration, Fig. 2(c) shows the output </w:t>
      </w:r>
      <w:r w:rsidR="001664ED" w:rsidRPr="00E35AB3">
        <w:rPr>
          <w:lang w:eastAsia="zh-CN"/>
        </w:rPr>
        <w:t xml:space="preserve">phase </w:t>
      </w:r>
      <w:r w:rsidRPr="00E35AB3">
        <w:rPr>
          <w:lang w:eastAsia="zh-CN"/>
        </w:rPr>
        <w:t>and intensity at an</w:t>
      </w:r>
      <w:r w:rsidR="00D90E05" w:rsidRPr="00E35AB3">
        <w:rPr>
          <w:lang w:eastAsia="zh-CN"/>
        </w:rPr>
        <w:t xml:space="preserve"> example fin width of</w:t>
      </w:r>
      <w:r w:rsidRPr="00E35AB3">
        <w:rPr>
          <w:lang w:eastAsia="zh-CN"/>
        </w:rPr>
        <w:t xml:space="preserve"> </w:t>
      </w:r>
      <m:oMath>
        <m:r>
          <m:rPr>
            <m:sty m:val="p"/>
          </m:rPr>
          <w:rPr>
            <w:rFonts w:ascii="Cambria Math" w:hAnsi="Cambria Math"/>
            <w:lang w:eastAsia="zh-CN"/>
          </w:rPr>
          <m:t>d</m:t>
        </m:r>
        <m:r>
          <w:rPr>
            <w:rFonts w:ascii="Cambria Math" w:hAnsi="Cambria Math"/>
            <w:lang w:eastAsia="zh-CN"/>
          </w:rPr>
          <m:t xml:space="preserve">=25 </m:t>
        </m:r>
        <m:r>
          <m:rPr>
            <m:sty m:val="p"/>
          </m:rPr>
          <w:rPr>
            <w:rFonts w:ascii="Cambria Math" w:hAnsi="Cambria Math" w:cs="Times New Roman"/>
            <w:lang w:eastAsia="zh-CN"/>
          </w:rPr>
          <m:t>µ</m:t>
        </m:r>
        <m:r>
          <m:rPr>
            <m:sty m:val="p"/>
          </m:rPr>
          <w:rPr>
            <w:rFonts w:ascii="Cambria Math" w:hAnsi="Cambria Math"/>
            <w:lang w:eastAsia="zh-CN"/>
          </w:rPr>
          <m:t>m</m:t>
        </m:r>
      </m:oMath>
      <w:r w:rsidRPr="00E35AB3">
        <w:rPr>
          <w:lang w:eastAsia="zh-CN"/>
        </w:rPr>
        <w:t>. A phase coverage of 1.</w:t>
      </w:r>
      <w:r w:rsidR="006B37D6" w:rsidRPr="00E35AB3">
        <w:rPr>
          <w:rFonts w:eastAsia="DengXian" w:hint="eastAsia"/>
          <w:lang w:eastAsia="zh-CN"/>
        </w:rPr>
        <w:t>48</w:t>
      </w:r>
      <w:r w:rsidRPr="00E35AB3">
        <w:rPr>
          <w:rFonts w:cs="Times New Roman"/>
          <w:lang w:eastAsia="zh-CN"/>
        </w:rPr>
        <w:t xml:space="preserve">×2π is observed in the whole simulated range of </w:t>
      </w:r>
      <m:oMath>
        <m:r>
          <m:rPr>
            <m:sty m:val="p"/>
          </m:rPr>
          <w:rPr>
            <w:rFonts w:ascii="Cambria Math" w:hAnsi="Cambria Math"/>
            <w:lang w:eastAsia="zh-CN"/>
          </w:rPr>
          <m:t>g</m:t>
        </m:r>
        <m:r>
          <w:rPr>
            <w:rFonts w:ascii="Cambria Math" w:hAnsi="Cambria Math"/>
            <w:lang w:eastAsia="zh-CN"/>
          </w:rPr>
          <m:t xml:space="preserve">=5 </m:t>
        </m:r>
        <m:r>
          <m:rPr>
            <m:sty m:val="p"/>
          </m:rPr>
          <w:rPr>
            <w:rFonts w:ascii="Cambria Math" w:hAnsi="Cambria Math" w:cs="Times New Roman"/>
            <w:lang w:eastAsia="zh-CN"/>
          </w:rPr>
          <m:t>µ</m:t>
        </m:r>
        <m:r>
          <m:rPr>
            <m:sty m:val="p"/>
          </m:rPr>
          <w:rPr>
            <w:rFonts w:ascii="Cambria Math" w:hAnsi="Cambria Math"/>
            <w:lang w:eastAsia="zh-CN"/>
          </w:rPr>
          <m:t>m</m:t>
        </m:r>
        <m:r>
          <m:rPr>
            <m:sty m:val="p"/>
          </m:rPr>
          <w:rPr>
            <w:rFonts w:ascii="Cambria Math"/>
            <w:lang w:eastAsia="zh-CN"/>
          </w:rPr>
          <m:t xml:space="preserve"> ~ 65 </m:t>
        </m:r>
        <m:r>
          <m:rPr>
            <m:sty m:val="p"/>
          </m:rPr>
          <w:rPr>
            <w:rFonts w:ascii="Cambria Math" w:hAnsi="Cambria Math" w:cs="Times New Roman"/>
            <w:lang w:eastAsia="zh-CN"/>
          </w:rPr>
          <m:t>µ</m:t>
        </m:r>
        <m:r>
          <m:rPr>
            <m:sty m:val="p"/>
          </m:rPr>
          <w:rPr>
            <w:rFonts w:ascii="Cambria Math" w:hAnsi="Cambria Math"/>
            <w:lang w:eastAsia="zh-CN"/>
          </w:rPr>
          <m:t>m</m:t>
        </m:r>
      </m:oMath>
      <w:r w:rsidRPr="00E35AB3">
        <w:rPr>
          <w:rFonts w:cs="Times New Roman"/>
          <w:lang w:eastAsia="zh-CN"/>
        </w:rPr>
        <w:t>, and the</w:t>
      </w:r>
      <w:r w:rsidR="007A474F" w:rsidRPr="00E35AB3">
        <w:rPr>
          <w:rFonts w:cs="Times New Roman"/>
          <w:lang w:eastAsia="zh-CN"/>
        </w:rPr>
        <w:t xml:space="preserve"> intensity is </w:t>
      </w:r>
      <w:r w:rsidR="00924C5D" w:rsidRPr="00E35AB3">
        <w:rPr>
          <w:rFonts w:cs="Times New Roman"/>
          <w:lang w:eastAsia="zh-CN"/>
        </w:rPr>
        <w:t>always</w:t>
      </w:r>
      <w:r w:rsidR="007A474F" w:rsidRPr="00E35AB3">
        <w:rPr>
          <w:rFonts w:cs="Times New Roman"/>
          <w:lang w:eastAsia="zh-CN"/>
        </w:rPr>
        <w:t xml:space="preserve"> above 0.87</w:t>
      </w:r>
      <w:r w:rsidRPr="00E35AB3">
        <w:rPr>
          <w:rFonts w:cs="Times New Roman"/>
          <w:lang w:eastAsia="zh-CN"/>
        </w:rPr>
        <w:t>.</w:t>
      </w:r>
      <w:r w:rsidR="00D90E05" w:rsidRPr="00E35AB3">
        <w:rPr>
          <w:rFonts w:cs="Times New Roman"/>
          <w:lang w:eastAsia="zh-CN"/>
        </w:rPr>
        <w:t xml:space="preserve"> </w:t>
      </w:r>
      <w:r w:rsidR="00362666" w:rsidRPr="00E35AB3">
        <w:rPr>
          <w:rFonts w:cs="Times New Roman"/>
          <w:lang w:eastAsia="zh-CN"/>
        </w:rPr>
        <w:t xml:space="preserve">Figure 2(d) shows </w:t>
      </w:r>
      <w:r w:rsidR="00924C5D" w:rsidRPr="00E35AB3">
        <w:rPr>
          <w:rFonts w:cs="Times New Roman"/>
          <w:lang w:eastAsia="zh-CN"/>
        </w:rPr>
        <w:t xml:space="preserve">the </w:t>
      </w:r>
      <w:r w:rsidR="00362666" w:rsidRPr="00E35AB3">
        <w:rPr>
          <w:rFonts w:cs="Times New Roman"/>
          <w:lang w:eastAsia="zh-CN"/>
        </w:rPr>
        <w:t>electric field distribution of a representative unit</w:t>
      </w:r>
      <w:r w:rsidR="00A6371C" w:rsidRPr="00E35AB3">
        <w:rPr>
          <w:rFonts w:cs="Times New Roman"/>
          <w:lang w:eastAsia="zh-CN"/>
        </w:rPr>
        <w:t xml:space="preserve">, with has </w:t>
      </w:r>
      <m:oMath>
        <m:r>
          <m:rPr>
            <m:sty m:val="p"/>
          </m:rPr>
          <w:rPr>
            <w:rFonts w:ascii="Cambria Math" w:hAnsi="Cambria Math"/>
            <w:lang w:eastAsia="zh-CN"/>
          </w:rPr>
          <m:t xml:space="preserve">d=g=25 </m:t>
        </m:r>
        <m:r>
          <m:rPr>
            <m:sty m:val="p"/>
          </m:rPr>
          <w:rPr>
            <w:rFonts w:ascii="Cambria Math" w:hAnsi="Cambria Math" w:cs="Times New Roman"/>
            <w:lang w:eastAsia="zh-CN"/>
          </w:rPr>
          <m:t>µ</m:t>
        </m:r>
        <m:r>
          <m:rPr>
            <m:sty m:val="p"/>
          </m:rPr>
          <w:rPr>
            <w:rFonts w:ascii="Cambria Math" w:hAnsi="Cambria Math"/>
            <w:lang w:eastAsia="zh-CN"/>
          </w:rPr>
          <m:t>m</m:t>
        </m:r>
      </m:oMath>
      <w:r w:rsidR="00A6371C" w:rsidRPr="00E35AB3">
        <w:rPr>
          <w:rFonts w:cs="Times New Roman"/>
          <w:lang w:eastAsia="zh-CN"/>
        </w:rPr>
        <w:t xml:space="preserve">. </w:t>
      </w:r>
      <w:r w:rsidR="00097B67" w:rsidRPr="00E35AB3">
        <w:rPr>
          <w:rFonts w:cs="Times New Roman"/>
          <w:lang w:eastAsia="zh-CN"/>
        </w:rPr>
        <w:t>The field almost exclusively resides within the air gap, which can be referred to as an electromagnetic gap mode.</w:t>
      </w:r>
    </w:p>
    <w:p w:rsidR="007A474F" w:rsidRPr="00E35AB3" w:rsidRDefault="005B1938" w:rsidP="00B447E8">
      <w:pPr>
        <w:pStyle w:val="10BodySubsequentParagraph"/>
        <w:ind w:firstLine="289"/>
        <w:rPr>
          <w:lang w:eastAsia="zh-CN"/>
        </w:rPr>
      </w:pPr>
      <w:r w:rsidRPr="00E35AB3">
        <w:rPr>
          <w:lang w:eastAsia="zh-CN"/>
        </w:rPr>
        <w:t xml:space="preserve">We would like to highlight that this </w:t>
      </w:r>
      <w:r w:rsidR="00097B67" w:rsidRPr="00E35AB3">
        <w:rPr>
          <w:lang w:eastAsia="zh-CN"/>
        </w:rPr>
        <w:t>gap-mode</w:t>
      </w:r>
      <w:r w:rsidRPr="00E35AB3">
        <w:rPr>
          <w:lang w:eastAsia="zh-CN"/>
        </w:rPr>
        <w:t xml:space="preserve"> solution represents an interesting new </w:t>
      </w:r>
      <w:r w:rsidR="00A6371C" w:rsidRPr="00E35AB3">
        <w:rPr>
          <w:lang w:eastAsia="zh-CN"/>
        </w:rPr>
        <w:t>design strategy</w:t>
      </w:r>
      <w:r w:rsidRPr="00E35AB3">
        <w:rPr>
          <w:lang w:eastAsia="zh-CN"/>
        </w:rPr>
        <w:t xml:space="preserve">. </w:t>
      </w:r>
      <w:r w:rsidR="00777032" w:rsidRPr="00E35AB3">
        <w:rPr>
          <w:lang w:eastAsia="zh-CN"/>
        </w:rPr>
        <w:t xml:space="preserve">Although gap </w:t>
      </w:r>
      <w:r w:rsidR="00FC6659" w:rsidRPr="00E35AB3">
        <w:rPr>
          <w:lang w:eastAsia="zh-CN"/>
        </w:rPr>
        <w:t>modes</w:t>
      </w:r>
      <w:r w:rsidR="00777032" w:rsidRPr="00E35AB3">
        <w:rPr>
          <w:lang w:eastAsia="zh-CN"/>
        </w:rPr>
        <w:t xml:space="preserve"> have been intensively studied </w:t>
      </w:r>
      <w:r w:rsidR="00FC6659" w:rsidRPr="00E35AB3">
        <w:rPr>
          <w:lang w:eastAsia="zh-CN"/>
        </w:rPr>
        <w:t>in plasmonic</w:t>
      </w:r>
      <w:r w:rsidR="00777032" w:rsidRPr="00E35AB3">
        <w:rPr>
          <w:lang w:eastAsia="zh-CN"/>
        </w:rPr>
        <w:t xml:space="preserve"> metasurfaces</w:t>
      </w:r>
      <w:r w:rsidR="009F24C0" w:rsidRPr="00E35AB3">
        <w:rPr>
          <w:lang w:eastAsia="zh-CN"/>
        </w:rPr>
        <w:t xml:space="preserve"> </w:t>
      </w:r>
      <w:r w:rsidR="009809BA" w:rsidRPr="00E35AB3">
        <w:rPr>
          <w:lang w:eastAsia="zh-CN"/>
        </w:rPr>
        <w:t>[41</w:t>
      </w:r>
      <w:r w:rsidR="009F24C0" w:rsidRPr="00E35AB3">
        <w:rPr>
          <w:lang w:eastAsia="zh-CN"/>
        </w:rPr>
        <w:t xml:space="preserve">], </w:t>
      </w:r>
      <w:r w:rsidR="00FC6659" w:rsidRPr="00E35AB3">
        <w:rPr>
          <w:lang w:eastAsia="zh-CN"/>
        </w:rPr>
        <w:t>their counterparts in all-dielectric metasurfaces are rarely discussed</w:t>
      </w:r>
      <w:r w:rsidR="00EB304E" w:rsidRPr="00E35AB3">
        <w:rPr>
          <w:lang w:eastAsia="zh-CN"/>
        </w:rPr>
        <w:t xml:space="preserve"> </w:t>
      </w:r>
      <w:r w:rsidR="009F24C0" w:rsidRPr="00E35AB3">
        <w:rPr>
          <w:lang w:eastAsia="zh-CN"/>
        </w:rPr>
        <w:t>[</w:t>
      </w:r>
      <w:r w:rsidR="009809BA" w:rsidRPr="00E35AB3">
        <w:rPr>
          <w:lang w:eastAsia="zh-CN"/>
        </w:rPr>
        <w:t>42</w:t>
      </w:r>
      <w:r w:rsidR="009F24C0" w:rsidRPr="00E35AB3">
        <w:rPr>
          <w:lang w:eastAsia="zh-CN"/>
        </w:rPr>
        <w:t>-</w:t>
      </w:r>
      <w:r w:rsidR="009809BA" w:rsidRPr="00E35AB3">
        <w:rPr>
          <w:lang w:eastAsia="zh-CN"/>
        </w:rPr>
        <w:t>45</w:t>
      </w:r>
      <w:r w:rsidR="009F24C0" w:rsidRPr="00E35AB3">
        <w:rPr>
          <w:lang w:eastAsia="zh-CN"/>
        </w:rPr>
        <w:t>].</w:t>
      </w:r>
      <w:r w:rsidR="00B447E8" w:rsidRPr="00E35AB3">
        <w:rPr>
          <w:lang w:eastAsia="zh-CN"/>
        </w:rPr>
        <w:t xml:space="preserve"> </w:t>
      </w:r>
      <w:r w:rsidRPr="00E35AB3">
        <w:rPr>
          <w:lang w:eastAsia="zh-CN"/>
        </w:rPr>
        <w:t xml:space="preserve">In the majority of previous works on all-dielectric metasurface, the material with </w:t>
      </w:r>
      <w:r w:rsidR="00193C09" w:rsidRPr="00E35AB3">
        <w:rPr>
          <w:lang w:eastAsia="zh-CN"/>
        </w:rPr>
        <w:t xml:space="preserve">a </w:t>
      </w:r>
      <w:r w:rsidRPr="00E35AB3">
        <w:rPr>
          <w:lang w:eastAsia="zh-CN"/>
        </w:rPr>
        <w:t>high refractive index is viewed as being functional</w:t>
      </w:r>
      <w:r w:rsidR="00A6371C" w:rsidRPr="00E35AB3">
        <w:rPr>
          <w:lang w:eastAsia="zh-CN"/>
        </w:rPr>
        <w:t xml:space="preserve">, </w:t>
      </w:r>
      <w:r w:rsidR="00EF4118" w:rsidRPr="00E35AB3">
        <w:rPr>
          <w:lang w:eastAsia="zh-CN"/>
        </w:rPr>
        <w:t xml:space="preserve">and it attracts most of the </w:t>
      </w:r>
      <w:r w:rsidR="00B447E8" w:rsidRPr="00E35AB3">
        <w:rPr>
          <w:lang w:eastAsia="zh-CN"/>
        </w:rPr>
        <w:t xml:space="preserve">research </w:t>
      </w:r>
      <w:r w:rsidR="00EF4118" w:rsidRPr="00E35AB3">
        <w:rPr>
          <w:lang w:eastAsia="zh-CN"/>
        </w:rPr>
        <w:t xml:space="preserve">effort in analyzing metasurface properties. </w:t>
      </w:r>
      <w:r w:rsidRPr="00E35AB3">
        <w:rPr>
          <w:lang w:eastAsia="zh-CN"/>
        </w:rPr>
        <w:t xml:space="preserve">In this new </w:t>
      </w:r>
      <w:r w:rsidR="00EF4118" w:rsidRPr="00E35AB3">
        <w:rPr>
          <w:lang w:eastAsia="zh-CN"/>
        </w:rPr>
        <w:t>design strategy</w:t>
      </w:r>
      <w:r w:rsidRPr="00E35AB3">
        <w:rPr>
          <w:lang w:eastAsia="zh-CN"/>
        </w:rPr>
        <w:t xml:space="preserve">, </w:t>
      </w:r>
      <w:r w:rsidR="00EF4118" w:rsidRPr="00E35AB3">
        <w:rPr>
          <w:lang w:eastAsia="zh-CN"/>
        </w:rPr>
        <w:t>as demons</w:t>
      </w:r>
      <w:r w:rsidR="00B447E8" w:rsidRPr="00E35AB3">
        <w:rPr>
          <w:lang w:eastAsia="zh-CN"/>
        </w:rPr>
        <w:t>trated in Fig. 1(a) and Fig. 2,</w:t>
      </w:r>
      <w:r w:rsidRPr="00E35AB3">
        <w:rPr>
          <w:lang w:eastAsia="zh-CN"/>
        </w:rPr>
        <w:t xml:space="preserve"> all the Si fins have an identical shape (i.e. </w:t>
      </w:r>
      <w:r w:rsidR="00193C09" w:rsidRPr="00E35AB3">
        <w:rPr>
          <w:lang w:eastAsia="zh-CN"/>
        </w:rPr>
        <w:t xml:space="preserve">an </w:t>
      </w:r>
      <w:r w:rsidRPr="00E35AB3">
        <w:rPr>
          <w:lang w:eastAsia="zh-CN"/>
        </w:rPr>
        <w:t xml:space="preserve">identical </w:t>
      </w:r>
      <m:oMath>
        <m:r>
          <m:rPr>
            <m:sty m:val="p"/>
          </m:rPr>
          <w:rPr>
            <w:rFonts w:ascii="Cambria Math" w:hAnsi="Cambria Math"/>
            <w:lang w:eastAsia="zh-CN"/>
          </w:rPr>
          <m:t>d</m:t>
        </m:r>
      </m:oMath>
      <w:r w:rsidRPr="00E35AB3">
        <w:rPr>
          <w:lang w:eastAsia="zh-CN"/>
        </w:rPr>
        <w:t>)</w:t>
      </w:r>
      <w:r w:rsidR="00B447E8" w:rsidRPr="00E35AB3">
        <w:rPr>
          <w:lang w:eastAsia="zh-CN"/>
        </w:rPr>
        <w:t>.</w:t>
      </w:r>
      <w:r w:rsidRPr="00E35AB3">
        <w:rPr>
          <w:lang w:eastAsia="zh-CN"/>
        </w:rPr>
        <w:t xml:space="preserve"> </w:t>
      </w:r>
      <w:r w:rsidR="00B447E8" w:rsidRPr="00E35AB3">
        <w:rPr>
          <w:lang w:eastAsia="zh-CN"/>
        </w:rPr>
        <w:t xml:space="preserve">Consequently, </w:t>
      </w:r>
      <w:r w:rsidRPr="00E35AB3">
        <w:rPr>
          <w:lang w:eastAsia="zh-CN"/>
        </w:rPr>
        <w:t>the opposite view</w:t>
      </w:r>
      <w:r w:rsidR="00EF4118" w:rsidRPr="00E35AB3">
        <w:rPr>
          <w:lang w:eastAsia="zh-CN"/>
        </w:rPr>
        <w:t>point</w:t>
      </w:r>
      <w:r w:rsidRPr="00E35AB3">
        <w:rPr>
          <w:lang w:eastAsia="zh-CN"/>
        </w:rPr>
        <w:t xml:space="preserve"> is more natural: the low-index material (here air) is </w:t>
      </w:r>
      <w:r w:rsidR="00EF4118" w:rsidRPr="00E35AB3">
        <w:rPr>
          <w:lang w:eastAsia="zh-CN"/>
        </w:rPr>
        <w:t>judiciously</w:t>
      </w:r>
      <w:r w:rsidRPr="00E35AB3">
        <w:rPr>
          <w:lang w:eastAsia="zh-CN"/>
        </w:rPr>
        <w:t xml:space="preserve"> tuned, while the high-index material (here Si) is the uniform background. </w:t>
      </w:r>
      <w:r w:rsidR="00940B6B" w:rsidRPr="00E35AB3">
        <w:rPr>
          <w:lang w:eastAsia="zh-CN"/>
        </w:rPr>
        <w:t xml:space="preserve">A target phase gradient is achieved by separating identical high-index elements at designated, variable low-index gaps. </w:t>
      </w:r>
      <w:r w:rsidRPr="00E35AB3">
        <w:rPr>
          <w:lang w:eastAsia="zh-CN"/>
        </w:rPr>
        <w:t xml:space="preserve">To the best of our knowledge, the possibility of this </w:t>
      </w:r>
      <w:r w:rsidR="00777032" w:rsidRPr="00E35AB3">
        <w:rPr>
          <w:lang w:eastAsia="zh-CN"/>
        </w:rPr>
        <w:t>strategy</w:t>
      </w:r>
      <w:r w:rsidRPr="00E35AB3">
        <w:rPr>
          <w:lang w:eastAsia="zh-CN"/>
        </w:rPr>
        <w:t xml:space="preserve"> has never been discussed before, either in a one-dimensional metasurface </w:t>
      </w:r>
      <w:r w:rsidR="00EF4118" w:rsidRPr="00E35AB3">
        <w:rPr>
          <w:lang w:eastAsia="zh-CN"/>
        </w:rPr>
        <w:t>(the category</w:t>
      </w:r>
      <w:r w:rsidRPr="00E35AB3">
        <w:rPr>
          <w:lang w:eastAsia="zh-CN"/>
        </w:rPr>
        <w:t xml:space="preserve"> of </w:t>
      </w:r>
      <w:r w:rsidR="00EF4118" w:rsidRPr="00E35AB3">
        <w:rPr>
          <w:lang w:eastAsia="zh-CN"/>
        </w:rPr>
        <w:t>the metasurfaces analyzed here)</w:t>
      </w:r>
      <w:r w:rsidRPr="00E35AB3">
        <w:rPr>
          <w:lang w:eastAsia="zh-CN"/>
        </w:rPr>
        <w:t xml:space="preserve"> or in a two-dimensional metasurface.</w:t>
      </w:r>
      <w:r w:rsidR="00777032" w:rsidRPr="00E35AB3">
        <w:rPr>
          <w:lang w:eastAsia="zh-CN"/>
        </w:rPr>
        <w:t xml:space="preserve"> </w:t>
      </w:r>
    </w:p>
    <w:p w:rsidR="005B1938" w:rsidRPr="00E35AB3" w:rsidRDefault="005B1938" w:rsidP="00CD63E8">
      <w:pPr>
        <w:pStyle w:val="10BodySubsequentParagraph"/>
        <w:ind w:firstLine="289"/>
      </w:pPr>
      <w:r w:rsidRPr="00E35AB3">
        <w:t>In the following discussion, we first provide in Section 3 analytical interpretation of the results in Fig. 2. The interpretation not only provides insight into these results but also helps determine the value of fin height, which is chosen arb</w:t>
      </w:r>
      <w:r w:rsidR="00CD63E8" w:rsidRPr="00E35AB3">
        <w:t>itrarily for Fig. 2. In Section</w:t>
      </w:r>
      <w:r w:rsidRPr="00E35AB3">
        <w:t xml:space="preserve"> 4, we </w:t>
      </w:r>
      <w:r w:rsidR="00CD63E8" w:rsidRPr="00E35AB3">
        <w:t>analyze several</w:t>
      </w:r>
      <w:r w:rsidRPr="00E35AB3">
        <w:t xml:space="preserve"> </w:t>
      </w:r>
      <w:r w:rsidR="00CD63E8" w:rsidRPr="00E35AB3">
        <w:t>gap-mode metasurfaces</w:t>
      </w:r>
      <w:r w:rsidRPr="00E35AB3">
        <w:t xml:space="preserve"> for </w:t>
      </w:r>
      <w:r w:rsidR="00CD63E8" w:rsidRPr="00E35AB3">
        <w:t xml:space="preserve">PW-SW conversion, which serve as a numerical </w:t>
      </w:r>
      <w:r w:rsidR="00940B6B" w:rsidRPr="00E35AB3">
        <w:t>implementation</w:t>
      </w:r>
      <w:r w:rsidR="00CD63E8" w:rsidRPr="00E35AB3">
        <w:t xml:space="preserve"> of the </w:t>
      </w:r>
      <w:r w:rsidR="00940B6B" w:rsidRPr="00E35AB3">
        <w:t>design strategy</w:t>
      </w:r>
      <w:r w:rsidR="00CD63E8" w:rsidRPr="00E35AB3">
        <w:t xml:space="preserve"> in </w:t>
      </w:r>
      <w:r w:rsidRPr="00E35AB3">
        <w:t>high-efficiency and large-angle light bending</w:t>
      </w:r>
      <w:bookmarkStart w:id="11" w:name="_Hlk85102087"/>
      <w:r w:rsidR="00623FA6" w:rsidRPr="00E35AB3">
        <w:t>.</w:t>
      </w:r>
    </w:p>
    <w:bookmarkEnd w:id="11"/>
    <w:p w:rsidR="005B1938" w:rsidRPr="00E35AB3" w:rsidRDefault="007D26BC" w:rsidP="00CD48CB">
      <w:pPr>
        <w:pStyle w:val="08SectionHeader1"/>
      </w:pPr>
      <w:r w:rsidRPr="00E35AB3">
        <w:t>Transfer matrix a</w:t>
      </w:r>
      <w:r w:rsidR="005B1938" w:rsidRPr="00E35AB3">
        <w:t xml:space="preserve">nalysis </w:t>
      </w:r>
    </w:p>
    <w:p w:rsidR="00F233D8" w:rsidRPr="00E35AB3" w:rsidRDefault="00A51C39" w:rsidP="00F233D8">
      <w:pPr>
        <w:pStyle w:val="10BodySubsequentParagraph"/>
        <w:spacing w:before="120"/>
        <w:ind w:firstLine="0"/>
      </w:pPr>
      <w:r w:rsidRPr="00E35AB3">
        <w:t xml:space="preserve">We interpret the results shown in Figs. 2(a) and 2(b) by first making a comparison with the conventional design approach that is based </w:t>
      </w:r>
      <w:r w:rsidRPr="00E35AB3">
        <w:rPr>
          <w:lang w:eastAsia="zh-CN"/>
        </w:rPr>
        <w:t xml:space="preserve">on the effective refractive index approximation. </w:t>
      </w:r>
      <w:r w:rsidR="001E0AE6" w:rsidRPr="00E35AB3">
        <w:t xml:space="preserve">In the effective index </w:t>
      </w:r>
      <w:r w:rsidR="000121BE" w:rsidRPr="00E35AB3">
        <w:t>approach</w:t>
      </w:r>
      <w:r w:rsidR="001E0AE6" w:rsidRPr="00E35AB3">
        <w:t xml:space="preserve">, the phase accumulation for light </w:t>
      </w:r>
      <w:r w:rsidR="000121BE" w:rsidRPr="00E35AB3">
        <w:rPr>
          <w:rFonts w:cs="Times New Roman"/>
        </w:rPr>
        <w:t>λ</w:t>
      </w:r>
      <w:r w:rsidR="000121BE" w:rsidRPr="00E35AB3">
        <w:rPr>
          <w:vertAlign w:val="subscript"/>
        </w:rPr>
        <w:t>0</w:t>
      </w:r>
      <w:r w:rsidR="000121BE" w:rsidRPr="00E35AB3">
        <w:t xml:space="preserve"> </w:t>
      </w:r>
      <w:r w:rsidR="001E0AE6" w:rsidRPr="00E35AB3">
        <w:t xml:space="preserve">passing through a </w:t>
      </w:r>
      <w:r w:rsidR="000121BE" w:rsidRPr="00E35AB3">
        <w:t>metasurface unit</w:t>
      </w:r>
      <w:r w:rsidR="001E0AE6" w:rsidRPr="00E35AB3">
        <w:t xml:space="preserve"> with thickness </w:t>
      </w:r>
      <m:oMath>
        <m:r>
          <m:rPr>
            <m:sty m:val="p"/>
          </m:rPr>
          <w:rPr>
            <w:rFonts w:ascii="Cambria Math" w:hAnsi="Cambria Math"/>
          </w:rPr>
          <m:t>h</m:t>
        </m:r>
      </m:oMath>
      <w:r w:rsidR="001E0AE6" w:rsidRPr="00E35AB3">
        <w:t xml:space="preserve"> is expressed as </w:t>
      </w:r>
      <m:oMath>
        <m:r>
          <w:rPr>
            <w:rFonts w:ascii="Cambria Math" w:hAnsi="Cambria Math"/>
          </w:rPr>
          <m:t xml:space="preserve">2 π h </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eff</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 xml:space="preserve"> </m:t>
        </m:r>
      </m:oMath>
      <w:r w:rsidR="006078C9" w:rsidRPr="00E35AB3">
        <w:t xml:space="preserve">, where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006078C9" w:rsidRPr="00E35AB3">
        <w:t xml:space="preserve"> is the effective refractive index. This equation is derived from a single pass of the incident light in the film</w:t>
      </w:r>
      <w:r w:rsidR="000121BE" w:rsidRPr="00E35AB3">
        <w:t>,</w:t>
      </w:r>
      <w:r w:rsidR="006078C9" w:rsidRPr="00E35AB3">
        <w:t xml:space="preserve"> and </w:t>
      </w:r>
      <w:r w:rsidR="000121BE" w:rsidRPr="00E35AB3">
        <w:t xml:space="preserve">it </w:t>
      </w:r>
      <w:r w:rsidR="006078C9" w:rsidRPr="00E35AB3">
        <w:t xml:space="preserve">ignores the </w:t>
      </w:r>
      <w:r w:rsidR="000121BE" w:rsidRPr="00E35AB3">
        <w:t>multiple reflection</w:t>
      </w:r>
      <w:r w:rsidR="00B93FFE" w:rsidRPr="00E35AB3">
        <w:t xml:space="preserve"> of</w:t>
      </w:r>
      <w:r w:rsidR="006078C9" w:rsidRPr="00E35AB3">
        <w:t xml:space="preserve"> light inside the film. </w:t>
      </w:r>
      <w:r w:rsidR="000121BE" w:rsidRPr="00E35AB3">
        <w:t>Here</w:t>
      </w:r>
      <w:r w:rsidR="006078C9" w:rsidRPr="00E35AB3">
        <w:t xml:space="preserve">, </w:t>
      </w:r>
      <w:r w:rsidR="000121BE" w:rsidRPr="00E35AB3">
        <w:t xml:space="preserve">for analyzing the gap-mode metasurfaces, </w:t>
      </w:r>
      <w:r w:rsidR="006078C9" w:rsidRPr="00E35AB3">
        <w:t xml:space="preserve">we take the multiple </w:t>
      </w:r>
      <w:r w:rsidR="000121BE" w:rsidRPr="00E35AB3">
        <w:t>reflection</w:t>
      </w:r>
      <w:r w:rsidR="006078C9" w:rsidRPr="00E35AB3">
        <w:t xml:space="preserve"> into consideration</w:t>
      </w:r>
      <w:r w:rsidR="00792629" w:rsidRPr="00E35AB3">
        <w:t>, which is achieved</w:t>
      </w:r>
      <w:r w:rsidR="000121BE" w:rsidRPr="00E35AB3">
        <w:t xml:space="preserve"> by using the transfer matrix analysis.</w:t>
      </w:r>
    </w:p>
    <w:p w:rsidR="005167E3" w:rsidRPr="00E35AB3" w:rsidRDefault="005167E3" w:rsidP="00955279">
      <w:pPr>
        <w:pStyle w:val="09BodyFirstParagraph"/>
        <w:spacing w:before="0"/>
        <w:ind w:firstLine="289"/>
      </w:pPr>
      <w:r w:rsidRPr="00E35AB3">
        <w:t>As every point in Figs. 2(a) and 2(b) corresponds to an infinitely large, periodic array of air slit</w:t>
      </w:r>
      <w:r w:rsidR="000121BE" w:rsidRPr="00E35AB3">
        <w:t>s</w:t>
      </w:r>
      <w:r w:rsidRPr="00E35AB3">
        <w:t xml:space="preserve"> in a Si film, </w:t>
      </w:r>
      <w:r w:rsidR="000121BE" w:rsidRPr="00E35AB3">
        <w:t>we first</w:t>
      </w:r>
      <w:r w:rsidRPr="00E35AB3">
        <w:t xml:space="preserve"> extract the values of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00955279" w:rsidRPr="00E35AB3">
        <w:t xml:space="preserve"> </w:t>
      </w:r>
      <w:r w:rsidRPr="00E35AB3">
        <w:t>for such films.</w:t>
      </w:r>
      <w:r w:rsidR="002909E3" w:rsidRPr="00E35AB3">
        <w:t xml:space="preserve"> </w:t>
      </w:r>
      <w:r w:rsidR="00955279" w:rsidRPr="00E35AB3">
        <w:t xml:space="preserve">These values are obtained in numerical simulation from mode analysis [Fig. 3(a)], where </w:t>
      </w:r>
      <m:oMath>
        <m:r>
          <m:rPr>
            <m:sty m:val="p"/>
          </m:rPr>
          <w:rPr>
            <w:rFonts w:ascii="Cambria Math" w:hAnsi="Cambria Math"/>
          </w:rPr>
          <m:t>g</m:t>
        </m:r>
      </m:oMath>
      <w:r w:rsidR="00955279" w:rsidRPr="00E35AB3">
        <w:t xml:space="preserve"> and </w:t>
      </w:r>
      <m:oMath>
        <m:r>
          <m:rPr>
            <m:sty m:val="p"/>
          </m:rPr>
          <w:rPr>
            <w:rFonts w:ascii="Cambria Math" w:hAnsi="Cambria Math"/>
          </w:rPr>
          <m:t>d</m:t>
        </m:r>
      </m:oMath>
      <w:r w:rsidR="00955279" w:rsidRPr="00E35AB3">
        <w:t xml:space="preserve"> are tuned independently from each other in the same range as in Figs. 2(a) and 2(b). </w:t>
      </w:r>
      <w:r w:rsidR="004F72B8" w:rsidRPr="00E35AB3">
        <w:t xml:space="preserve">A pronounced feature of Fig. 3(a) is the monotonic increase in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004F72B8" w:rsidRPr="00E35AB3">
        <w:t xml:space="preserve"> from the top left to the bottom right.</w:t>
      </w:r>
      <w:r w:rsidR="00C61790" w:rsidRPr="00E35AB3">
        <w:t xml:space="preserve"> The top left corner corresponds to wide air slits (65 </w:t>
      </w:r>
      <w:r w:rsidR="00C61790" w:rsidRPr="00E35AB3">
        <w:rPr>
          <w:rFonts w:cs="Times New Roman"/>
        </w:rPr>
        <w:t>μ</w:t>
      </w:r>
      <w:r w:rsidR="00C61790" w:rsidRPr="00E35AB3">
        <w:t>m)</w:t>
      </w:r>
      <w:r w:rsidR="004F72B8" w:rsidRPr="00E35AB3">
        <w:t xml:space="preserve"> </w:t>
      </w:r>
      <w:r w:rsidR="00C61790" w:rsidRPr="00E35AB3">
        <w:t xml:space="preserve">separated by narrow Si fins (5 </w:t>
      </w:r>
      <w:r w:rsidR="00C61790" w:rsidRPr="00E35AB3">
        <w:rPr>
          <w:rFonts w:cs="Times New Roman"/>
        </w:rPr>
        <w:t>μ</w:t>
      </w:r>
      <w:r w:rsidR="00C61790" w:rsidRPr="00E35AB3">
        <w:t xml:space="preserve">m), and the value of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00C61790" w:rsidRPr="00E35AB3">
        <w:t xml:space="preserve"> is</w:t>
      </w:r>
      <w:r w:rsidR="00881866" w:rsidRPr="00E35AB3">
        <w:t xml:space="preserve"> 1.04</w:t>
      </w:r>
      <w:r w:rsidR="00C61790" w:rsidRPr="00E35AB3">
        <w:t xml:space="preserve">, close to that of air. By comparison, the bottom right corner corresponds to narrow air slits (5 </w:t>
      </w:r>
      <w:r w:rsidR="00C61790" w:rsidRPr="00E35AB3">
        <w:rPr>
          <w:rFonts w:cs="Times New Roman"/>
        </w:rPr>
        <w:t>μ</w:t>
      </w:r>
      <w:r w:rsidR="00C61790" w:rsidRPr="00E35AB3">
        <w:t xml:space="preserve">m) separated by wide Si fins (65 </w:t>
      </w:r>
      <w:r w:rsidR="00C61790" w:rsidRPr="00E35AB3">
        <w:rPr>
          <w:rFonts w:cs="Times New Roman"/>
        </w:rPr>
        <w:t>μ</w:t>
      </w:r>
      <w:r w:rsidR="00C61790" w:rsidRPr="00E35AB3">
        <w:t xml:space="preserve">m), and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00C61790" w:rsidRPr="00E35AB3">
        <w:t xml:space="preserve"> is </w:t>
      </w:r>
      <w:r w:rsidR="004E5160" w:rsidRPr="00E35AB3">
        <w:t>2.</w:t>
      </w:r>
      <w:r w:rsidR="00881866" w:rsidRPr="00E35AB3">
        <w:t>82</w:t>
      </w:r>
      <w:r w:rsidR="00C61790" w:rsidRPr="00E35AB3">
        <w:t>, much closer to that of Si.</w:t>
      </w:r>
      <w:r w:rsidR="000121BE" w:rsidRPr="00E35AB3">
        <w:t xml:space="preserve"> More discussion on the mode analysis can be found </w:t>
      </w:r>
      <w:r w:rsidR="00834891" w:rsidRPr="00E35AB3">
        <w:t xml:space="preserve">in </w:t>
      </w:r>
      <w:r w:rsidR="000121BE" w:rsidRPr="00E35AB3">
        <w:t xml:space="preserve">Supplementary </w:t>
      </w:r>
      <w:r w:rsidR="00834891" w:rsidRPr="00E35AB3">
        <w:t>Fig. S1</w:t>
      </w:r>
      <w:r w:rsidR="000121BE" w:rsidRPr="00E35AB3">
        <w:t>.</w:t>
      </w:r>
    </w:p>
    <w:p w:rsidR="007048E2" w:rsidRPr="00E35AB3" w:rsidRDefault="007048E2" w:rsidP="007048E2">
      <w:pPr>
        <w:pStyle w:val="10BodySubsequentParagraph"/>
        <w:ind w:firstLine="0"/>
        <w:jc w:val="center"/>
        <w:rPr>
          <w:lang w:eastAsia="zh-CN"/>
        </w:rPr>
      </w:pPr>
      <w:r w:rsidRPr="00E35AB3">
        <w:rPr>
          <w:noProof/>
          <w:lang w:val="en-GB" w:eastAsia="zh-CN"/>
        </w:rPr>
        <w:lastRenderedPageBreak/>
        <w:drawing>
          <wp:inline distT="0" distB="0" distL="0" distR="0" wp14:anchorId="67690EC9" wp14:editId="44691FB8">
            <wp:extent cx="4780915" cy="368681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0915" cy="3686810"/>
                    </a:xfrm>
                    <a:prstGeom prst="rect">
                      <a:avLst/>
                    </a:prstGeom>
                    <a:noFill/>
                    <a:ln>
                      <a:noFill/>
                    </a:ln>
                  </pic:spPr>
                </pic:pic>
              </a:graphicData>
            </a:graphic>
          </wp:inline>
        </w:drawing>
      </w:r>
    </w:p>
    <w:p w:rsidR="007048E2" w:rsidRPr="00E35AB3" w:rsidRDefault="007048E2" w:rsidP="007048E2">
      <w:pPr>
        <w:adjustRightInd w:val="0"/>
        <w:snapToGrid w:val="0"/>
        <w:spacing w:before="120" w:after="120" w:line="240" w:lineRule="auto"/>
        <w:ind w:left="720" w:right="720"/>
        <w:jc w:val="both"/>
        <w:rPr>
          <w:rFonts w:ascii="Times New Roman" w:hAnsi="Times New Roman"/>
          <w:color w:val="000000" w:themeColor="text1"/>
          <w:sz w:val="16"/>
          <w:szCs w:val="16"/>
        </w:rPr>
      </w:pPr>
      <w:r w:rsidRPr="00E35AB3">
        <w:rPr>
          <w:rFonts w:ascii="Times New Roman" w:hAnsi="Times New Roman"/>
          <w:b/>
          <w:color w:val="000000" w:themeColor="text1"/>
          <w:sz w:val="16"/>
          <w:szCs w:val="16"/>
          <w:lang w:eastAsia="zh-CN"/>
        </w:rPr>
        <w:t xml:space="preserve">Fig. 3. </w:t>
      </w:r>
      <w:r w:rsidRPr="00E35AB3">
        <w:rPr>
          <w:rFonts w:ascii="Times New Roman" w:hAnsi="Times New Roman"/>
          <w:color w:val="000000" w:themeColor="text1"/>
          <w:sz w:val="16"/>
          <w:szCs w:val="16"/>
        </w:rPr>
        <w:t>Transfer matrix analysis for the constituent units of gap-mode metasurfaces.</w:t>
      </w:r>
      <w:r w:rsidRPr="00E35AB3">
        <w:rPr>
          <w:rFonts w:ascii="Times New Roman" w:hAnsi="Times New Roman"/>
          <w:color w:val="000000" w:themeColor="text1"/>
          <w:sz w:val="16"/>
          <w:szCs w:val="16"/>
          <w:lang w:eastAsia="zh-CN"/>
        </w:rPr>
        <w:t xml:space="preserve"> (a) </w:t>
      </w:r>
      <w:r w:rsidRPr="00E35AB3">
        <w:rPr>
          <w:rFonts w:ascii="Times New Roman" w:hAnsi="Times New Roman"/>
          <w:color w:val="000000" w:themeColor="text1"/>
          <w:sz w:val="16"/>
          <w:szCs w:val="16"/>
        </w:rPr>
        <w:t xml:space="preserve">The effective refractive index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n</m:t>
            </m:r>
          </m:e>
          <m:sub>
            <m:r>
              <w:rPr>
                <w:rFonts w:ascii="Cambria Math" w:hAnsi="Cambria Math"/>
                <w:color w:val="000000" w:themeColor="text1"/>
                <w:sz w:val="16"/>
                <w:szCs w:val="16"/>
              </w:rPr>
              <m:t>eff</m:t>
            </m:r>
          </m:sub>
        </m:sSub>
        <m:r>
          <w:rPr>
            <w:rFonts w:ascii="Cambria Math" w:hAnsi="Cambria Math"/>
            <w:color w:val="000000" w:themeColor="text1"/>
            <w:sz w:val="16"/>
            <w:szCs w:val="16"/>
          </w:rPr>
          <m:t xml:space="preserve"> </m:t>
        </m:r>
      </m:oMath>
      <w:r w:rsidRPr="00E35AB3">
        <w:rPr>
          <w:rFonts w:ascii="Times New Roman" w:hAnsi="Times New Roman"/>
          <w:color w:val="000000" w:themeColor="text1"/>
          <w:sz w:val="16"/>
          <w:szCs w:val="16"/>
        </w:rPr>
        <w:t xml:space="preserve">of the gap mode, obtained by assuming an infinitely large film thickness </w:t>
      </w:r>
      <m:oMath>
        <m:r>
          <w:rPr>
            <w:rFonts w:ascii="Cambria Math" w:hAnsi="Cambria Math"/>
            <w:color w:val="000000" w:themeColor="text1"/>
            <w:sz w:val="16"/>
            <w:szCs w:val="16"/>
          </w:rPr>
          <m:t>h</m:t>
        </m:r>
      </m:oMath>
      <w:r w:rsidRPr="00E35AB3">
        <w:rPr>
          <w:rFonts w:ascii="Times New Roman" w:hAnsi="Times New Roman"/>
          <w:color w:val="000000" w:themeColor="text1"/>
          <w:sz w:val="16"/>
          <w:szCs w:val="16"/>
        </w:rPr>
        <w:t xml:space="preserve">. The fin width </w:t>
      </w:r>
      <m:oMath>
        <m:r>
          <m:rPr>
            <m:sty m:val="p"/>
          </m:rPr>
          <w:rPr>
            <w:rFonts w:ascii="Cambria Math" w:hAnsi="Cambria Math"/>
            <w:color w:val="000000" w:themeColor="text1"/>
            <w:sz w:val="16"/>
            <w:szCs w:val="16"/>
          </w:rPr>
          <m:t>d</m:t>
        </m:r>
      </m:oMath>
      <w:r w:rsidRPr="00E35AB3">
        <w:rPr>
          <w:rFonts w:ascii="Times New Roman" w:hAnsi="Times New Roman"/>
          <w:color w:val="000000" w:themeColor="text1"/>
          <w:sz w:val="16"/>
          <w:szCs w:val="16"/>
        </w:rPr>
        <w:t xml:space="preserve"> and the gap width </w:t>
      </w:r>
      <m:oMath>
        <m:r>
          <m:rPr>
            <m:sty m:val="p"/>
          </m:rPr>
          <w:rPr>
            <w:rFonts w:ascii="Cambria Math" w:hAnsi="Cambria Math"/>
            <w:color w:val="000000" w:themeColor="text1"/>
            <w:sz w:val="16"/>
            <w:szCs w:val="16"/>
          </w:rPr>
          <m:t>g</m:t>
        </m:r>
      </m:oMath>
      <w:r w:rsidRPr="00E35AB3">
        <w:rPr>
          <w:rFonts w:ascii="Times New Roman" w:hAnsi="Times New Roman"/>
          <w:color w:val="000000" w:themeColor="text1"/>
          <w:sz w:val="16"/>
          <w:szCs w:val="16"/>
        </w:rPr>
        <w:t xml:space="preserve"> vary from 5 μm to 65 μm. (b) The output phase and (c) the output intensity from the gap modes. In both (b) and (c), the film thickness is 600 μm, the same as that in Fig. 2. (d) The phase coverage achievable at four representative values of </w:t>
      </w:r>
      <m:oMath>
        <m:r>
          <m:rPr>
            <m:sty m:val="p"/>
          </m:rPr>
          <w:rPr>
            <w:rFonts w:ascii="Cambria Math" w:hAnsi="Cambria Math"/>
            <w:color w:val="000000" w:themeColor="text1"/>
            <w:sz w:val="16"/>
            <w:szCs w:val="16"/>
          </w:rPr>
          <m:t>d</m:t>
        </m:r>
      </m:oMath>
      <w:r w:rsidRPr="00E35AB3">
        <w:rPr>
          <w:rFonts w:ascii="Times New Roman" w:hAnsi="Times New Roman"/>
          <w:color w:val="000000" w:themeColor="text1"/>
          <w:sz w:val="16"/>
          <w:szCs w:val="16"/>
        </w:rPr>
        <w:t xml:space="preserve"> (10 μm, 15 μm, 30 μm and 45 μm), as </w:t>
      </w:r>
      <m:oMath>
        <m:r>
          <m:rPr>
            <m:sty m:val="p"/>
          </m:rPr>
          <w:rPr>
            <w:rFonts w:ascii="Cambria Math" w:hAnsi="Cambria Math"/>
            <w:color w:val="000000" w:themeColor="text1"/>
            <w:sz w:val="16"/>
            <w:szCs w:val="16"/>
          </w:rPr>
          <m:t>h</m:t>
        </m:r>
      </m:oMath>
      <w:r w:rsidRPr="00E35AB3">
        <w:rPr>
          <w:rFonts w:ascii="Times New Roman" w:hAnsi="Times New Roman"/>
          <w:color w:val="000000" w:themeColor="text1"/>
          <w:sz w:val="16"/>
          <w:szCs w:val="16"/>
        </w:rPr>
        <w:t xml:space="preserve"> ranges from 100 μm to 800 μm. Each data point is obtained by scanning </w:t>
      </w:r>
      <m:oMath>
        <m:r>
          <m:rPr>
            <m:sty m:val="p"/>
          </m:rPr>
          <w:rPr>
            <w:rFonts w:ascii="Cambria Math" w:hAnsi="Cambria Math"/>
            <w:color w:val="000000" w:themeColor="text1"/>
            <w:sz w:val="16"/>
            <w:szCs w:val="16"/>
          </w:rPr>
          <m:t>g</m:t>
        </m:r>
      </m:oMath>
      <w:r w:rsidRPr="00E35AB3">
        <w:rPr>
          <w:rFonts w:ascii="Times New Roman" w:hAnsi="Times New Roman"/>
          <w:color w:val="000000" w:themeColor="text1"/>
          <w:sz w:val="16"/>
          <w:szCs w:val="16"/>
        </w:rPr>
        <w:t xml:space="preserve"> from 5 μm to 65 μm. The solid lines utilize</w:t>
      </w:r>
      <w:r w:rsidRPr="00E35AB3">
        <w:rPr>
          <w:rFonts w:ascii="Times New Roman" w:eastAsia="DengXian" w:hAnsi="Times New Roman" w:hint="eastAsia"/>
          <w:color w:val="000000" w:themeColor="text1"/>
          <w:sz w:val="16"/>
          <w:szCs w:val="16"/>
          <w:lang w:eastAsia="zh-CN"/>
        </w:rPr>
        <w:t xml:space="preserve"> </w:t>
      </w:r>
      <w:r w:rsidRPr="00E35AB3">
        <w:rPr>
          <w:rFonts w:ascii="Times New Roman" w:hAnsi="Times New Roman"/>
          <w:color w:val="000000" w:themeColor="text1"/>
          <w:sz w:val="16"/>
          <w:szCs w:val="16"/>
        </w:rPr>
        <w:t>the transfer matrix analysis, and the dots are purely from numerical simulation.</w:t>
      </w:r>
    </w:p>
    <w:p w:rsidR="00EC2466" w:rsidRPr="00E35AB3" w:rsidRDefault="00226A76" w:rsidP="00EC2466">
      <w:pPr>
        <w:pStyle w:val="09BodyFirstParagraph"/>
        <w:spacing w:before="0"/>
        <w:ind w:firstLine="289"/>
      </w:pPr>
      <w:r w:rsidRPr="00E35AB3">
        <w:t xml:space="preserve">From the values of </w:t>
      </w:r>
      <m:oMath>
        <m:sSub>
          <m:sSubPr>
            <m:ctrlPr>
              <w:rPr>
                <w:rFonts w:ascii="Cambria Math" w:hAnsi="Cambria Math"/>
                <w:i/>
              </w:rPr>
            </m:ctrlPr>
          </m:sSubPr>
          <m:e>
            <m:r>
              <w:rPr>
                <w:rFonts w:ascii="Cambria Math" w:hAnsi="Cambria Math"/>
              </w:rPr>
              <m:t>n</m:t>
            </m:r>
          </m:e>
          <m:sub>
            <m:r>
              <w:rPr>
                <w:rFonts w:ascii="Cambria Math" w:hAnsi="Cambria Math"/>
              </w:rPr>
              <m:t>eff</m:t>
            </m:r>
          </m:sub>
        </m:sSub>
      </m:oMath>
      <w:r w:rsidRPr="00E35AB3">
        <w:t xml:space="preserve">, we can obtain the </w:t>
      </w:r>
      <w:r w:rsidR="003B5189" w:rsidRPr="00E35AB3">
        <w:t xml:space="preserve">complex </w:t>
      </w:r>
      <w:r w:rsidRPr="00E35AB3">
        <w:t xml:space="preserve">transmission coefficient </w:t>
      </w:r>
      <m:oMath>
        <m:r>
          <w:rPr>
            <w:rFonts w:ascii="Cambria Math" w:hAnsi="Cambria Math"/>
          </w:rPr>
          <m:t>t</m:t>
        </m:r>
      </m:oMath>
      <w:r w:rsidRPr="00E35AB3">
        <w:t xml:space="preserve"> for any film thickness </w:t>
      </w:r>
      <m:oMath>
        <m:r>
          <m:rPr>
            <m:sty m:val="p"/>
          </m:rPr>
          <w:rPr>
            <w:rFonts w:ascii="Cambria Math" w:hAnsi="Cambria Math"/>
          </w:rPr>
          <m:t>h</m:t>
        </m:r>
      </m:oMath>
      <w:r w:rsidRPr="00E35AB3">
        <w:t xml:space="preserve">, by using the transfer matrix analysis. The transfer matrix </w:t>
      </w:r>
      <m:oMath>
        <m:r>
          <w:rPr>
            <w:rFonts w:ascii="Cambria Math" w:hAnsi="Cambria Math"/>
          </w:rPr>
          <m:t>M</m:t>
        </m:r>
      </m:oMath>
      <w:r w:rsidRPr="00E35AB3">
        <w:t xml:space="preserve"> is a 2</w:t>
      </w:r>
      <w:r w:rsidRPr="00E35AB3">
        <w:rPr>
          <w:rFonts w:cs="Times New Roman"/>
        </w:rPr>
        <w:t>×</w:t>
      </w:r>
      <w:r w:rsidRPr="00E35AB3">
        <w:t xml:space="preserve">2 matrix </w:t>
      </w:r>
      <w:r w:rsidR="009F24C0" w:rsidRPr="00E35AB3">
        <w:t>[</w:t>
      </w:r>
      <w:r w:rsidR="009809BA" w:rsidRPr="00E35AB3">
        <w:t>46</w:t>
      </w:r>
      <w:r w:rsidR="009F24C0" w:rsidRPr="00E35AB3">
        <w:t>, 4</w:t>
      </w:r>
      <w:r w:rsidR="009809BA" w:rsidRPr="00E35AB3">
        <w:t>7</w:t>
      </w:r>
      <w:r w:rsidR="009F24C0" w:rsidRPr="00E35AB3">
        <w:t>] e</w:t>
      </w:r>
      <w:r w:rsidRPr="00E35AB3">
        <w:t>xpressed as</w:t>
      </w:r>
    </w:p>
    <w:p w:rsidR="003B5189" w:rsidRPr="00E35AB3" w:rsidRDefault="00EC2466" w:rsidP="003B5189">
      <w:pPr>
        <w:pStyle w:val="09BodyFirstParagraph"/>
        <w:spacing w:before="0"/>
        <w:jc w:val="center"/>
      </w:pPr>
      <m:oMathPara>
        <m:oMathParaPr>
          <m:jc m:val="right"/>
        </m:oMathParaPr>
        <m:oMath>
          <m:r>
            <w:rPr>
              <w:rFonts w:ascii="Cambria Math" w:hAnsi="Cambria Math"/>
            </w:rPr>
            <m:t>M=</m:t>
          </m:r>
          <m:d>
            <m:dPr>
              <m:begChr m:val="["/>
              <m:endChr m:val="]"/>
              <m:ctrlPr>
                <w:rPr>
                  <w:rFonts w:ascii="Cambria Math" w:hAnsi="Cambria Math"/>
                  <w:i/>
                </w:rPr>
              </m:ctrlPr>
            </m:dPr>
            <m:e>
              <m:m>
                <m:mPr>
                  <m:mcs>
                    <m:mc>
                      <m:mcPr>
                        <m:count m:val="2"/>
                        <m:mcJc m:val="center"/>
                      </m:mcPr>
                    </m:mc>
                  </m:mcs>
                  <m:ctrlPr>
                    <w:rPr>
                      <w:rFonts w:ascii="Cambria Math" w:hAnsi="Cambria Math"/>
                    </w:rPr>
                  </m:ctrlPr>
                </m:mPr>
                <m:mr>
                  <m:e>
                    <m:r>
                      <m:rPr>
                        <m:sty m:val="p"/>
                      </m:rPr>
                      <w:rPr>
                        <w:rFonts w:ascii="Cambria Math" w:hAnsi="Cambria Math"/>
                      </w:rPr>
                      <m:t>cos</m:t>
                    </m:r>
                    <m:r>
                      <w:rPr>
                        <w:rFonts w:ascii="Cambria Math" w:hAnsi="Cambria Math"/>
                      </w:rPr>
                      <m:t>δ</m:t>
                    </m:r>
                  </m:e>
                  <m:e>
                    <m:d>
                      <m:dPr>
                        <m:ctrlPr>
                          <w:rPr>
                            <w:rFonts w:ascii="Cambria Math" w:hAnsi="Cambria Math"/>
                            <w:i/>
                          </w:rPr>
                        </m:ctrlPr>
                      </m:dPr>
                      <m:e>
                        <m:f>
                          <m:fPr>
                            <m:type m:val="lin"/>
                            <m:ctrlPr>
                              <w:rPr>
                                <w:rFonts w:ascii="Cambria Math" w:hAnsi="Cambria Math"/>
                                <w:i/>
                              </w:rPr>
                            </m:ctrlPr>
                          </m:fPr>
                          <m:num>
                            <m:r>
                              <w:rPr>
                                <w:rFonts w:ascii="Cambria Math" w:hAnsi="Cambria Math"/>
                              </w:rPr>
                              <m:t>j</m:t>
                            </m:r>
                          </m:num>
                          <m:den>
                            <m:sSub>
                              <m:sSubPr>
                                <m:ctrlPr>
                                  <w:rPr>
                                    <w:rFonts w:ascii="Cambria Math" w:hAnsi="Cambria Math"/>
                                    <w:i/>
                                  </w:rPr>
                                </m:ctrlPr>
                              </m:sSubPr>
                              <m:e>
                                <m:r>
                                  <w:rPr>
                                    <w:rFonts w:ascii="Cambria Math" w:hAnsi="Cambria Math"/>
                                  </w:rPr>
                                  <m:t>n</m:t>
                                </m:r>
                              </m:e>
                              <m:sub>
                                <m:r>
                                  <w:rPr>
                                    <w:rFonts w:ascii="Cambria Math" w:hAnsi="Cambria Math"/>
                                  </w:rPr>
                                  <m:t>eff</m:t>
                                </m:r>
                              </m:sub>
                            </m:sSub>
                          </m:den>
                        </m:f>
                      </m:e>
                    </m:d>
                    <m:r>
                      <m:rPr>
                        <m:sty m:val="p"/>
                      </m:rPr>
                      <w:rPr>
                        <w:rFonts w:ascii="Cambria Math" w:hAnsi="Cambria Math"/>
                      </w:rPr>
                      <m:t>sin</m:t>
                    </m:r>
                    <m:r>
                      <w:rPr>
                        <w:rFonts w:ascii="Cambria Math" w:hAnsi="Cambria Math"/>
                      </w:rPr>
                      <m:t>δ</m:t>
                    </m:r>
                  </m:e>
                </m:mr>
                <m:mr>
                  <m:e>
                    <m:r>
                      <w:rPr>
                        <w:rFonts w:ascii="Cambria Math" w:hAnsi="Cambria Math"/>
                      </w:rPr>
                      <m:t xml:space="preserve">j </m:t>
                    </m:r>
                    <m:sSub>
                      <m:sSubPr>
                        <m:ctrlPr>
                          <w:rPr>
                            <w:rFonts w:ascii="Cambria Math" w:hAnsi="Cambria Math"/>
                            <w:i/>
                          </w:rPr>
                        </m:ctrlPr>
                      </m:sSubPr>
                      <m:e>
                        <m:r>
                          <w:rPr>
                            <w:rFonts w:ascii="Cambria Math" w:hAnsi="Cambria Math"/>
                          </w:rPr>
                          <m:t>n</m:t>
                        </m:r>
                      </m:e>
                      <m:sub>
                        <m:r>
                          <w:rPr>
                            <w:rFonts w:ascii="Cambria Math" w:hAnsi="Cambria Math"/>
                          </w:rPr>
                          <m:t>eff</m:t>
                        </m:r>
                      </m:sub>
                    </m:sSub>
                    <m:r>
                      <w:rPr>
                        <w:rFonts w:ascii="Cambria Math" w:hAnsi="Cambria Math"/>
                      </w:rPr>
                      <m:t xml:space="preserve"> </m:t>
                    </m:r>
                    <m:r>
                      <m:rPr>
                        <m:sty m:val="p"/>
                      </m:rPr>
                      <w:rPr>
                        <w:rFonts w:ascii="Cambria Math" w:hAnsi="Cambria Math"/>
                      </w:rPr>
                      <m:t>sin</m:t>
                    </m:r>
                    <m:r>
                      <w:rPr>
                        <w:rFonts w:ascii="Cambria Math" w:hAnsi="Cambria Math"/>
                      </w:rPr>
                      <m:t>δ</m:t>
                    </m:r>
                  </m:e>
                  <m:e>
                    <m:r>
                      <m:rPr>
                        <m:sty m:val="p"/>
                      </m:rPr>
                      <w:rPr>
                        <w:rFonts w:ascii="Cambria Math" w:hAnsi="Cambria Math"/>
                      </w:rPr>
                      <m:t>cos</m:t>
                    </m:r>
                    <m:r>
                      <w:rPr>
                        <w:rFonts w:ascii="Cambria Math" w:hAnsi="Cambria Math"/>
                      </w:rPr>
                      <m:t>δ</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11</m:t>
                        </m:r>
                      </m:sub>
                    </m:sSub>
                  </m:e>
                  <m:e>
                    <m:sSub>
                      <m:sSubPr>
                        <m:ctrlPr>
                          <w:rPr>
                            <w:rFonts w:ascii="Cambria Math" w:hAnsi="Cambria Math"/>
                            <w:i/>
                          </w:rPr>
                        </m:ctrlPr>
                      </m:sSubPr>
                      <m:e>
                        <m:r>
                          <w:rPr>
                            <w:rFonts w:ascii="Cambria Math" w:hAnsi="Cambria Math"/>
                          </w:rPr>
                          <m:t>m</m:t>
                        </m:r>
                      </m:e>
                      <m:sub>
                        <m:r>
                          <w:rPr>
                            <w:rFonts w:ascii="Cambria Math" w:hAnsi="Cambria Math"/>
                          </w:rPr>
                          <m:t>12</m:t>
                        </m:r>
                      </m:sub>
                    </m:sSub>
                  </m:e>
                </m:mr>
                <m:mr>
                  <m:e>
                    <m:sSub>
                      <m:sSubPr>
                        <m:ctrlPr>
                          <w:rPr>
                            <w:rFonts w:ascii="Cambria Math" w:hAnsi="Cambria Math"/>
                            <w:i/>
                          </w:rPr>
                        </m:ctrlPr>
                      </m:sSubPr>
                      <m:e>
                        <m:r>
                          <w:rPr>
                            <w:rFonts w:ascii="Cambria Math" w:hAnsi="Cambria Math"/>
                          </w:rPr>
                          <m:t>m</m:t>
                        </m:r>
                      </m:e>
                      <m:sub>
                        <m:r>
                          <w:rPr>
                            <w:rFonts w:ascii="Cambria Math" w:hAnsi="Cambria Math"/>
                          </w:rPr>
                          <m:t>21</m:t>
                        </m:r>
                      </m:sub>
                    </m:sSub>
                  </m:e>
                  <m:e>
                    <m:sSub>
                      <m:sSubPr>
                        <m:ctrlPr>
                          <w:rPr>
                            <w:rFonts w:ascii="Cambria Math" w:hAnsi="Cambria Math"/>
                            <w:i/>
                          </w:rPr>
                        </m:ctrlPr>
                      </m:sSubPr>
                      <m:e>
                        <m:r>
                          <w:rPr>
                            <w:rFonts w:ascii="Cambria Math" w:hAnsi="Cambria Math"/>
                          </w:rPr>
                          <m:t>m</m:t>
                        </m:r>
                      </m:e>
                      <m:sub>
                        <m:r>
                          <w:rPr>
                            <w:rFonts w:ascii="Cambria Math" w:hAnsi="Cambria Math"/>
                          </w:rPr>
                          <m:t>22</m:t>
                        </m:r>
                      </m:sub>
                    </m:sSub>
                  </m:e>
                </m:mr>
              </m:m>
            </m:e>
          </m:d>
          <m:r>
            <w:rPr>
              <w:rFonts w:ascii="Cambria Math" w:hAnsi="Cambria Math"/>
            </w:rPr>
            <m:t xml:space="preserve">                           (1)</m:t>
          </m:r>
        </m:oMath>
      </m:oMathPara>
    </w:p>
    <w:p w:rsidR="008954B2" w:rsidRPr="00E35AB3" w:rsidRDefault="004F4F36" w:rsidP="00F925C0">
      <w:pPr>
        <w:pStyle w:val="09BodyFirstParagraph"/>
        <w:spacing w:before="0"/>
        <w:rPr>
          <w:rFonts w:eastAsia="DengXian"/>
          <w:lang w:eastAsia="zh-CN"/>
        </w:rPr>
      </w:pPr>
      <w:r w:rsidRPr="00E35AB3">
        <w:t xml:space="preserve">where </w:t>
      </w:r>
      <m:oMath>
        <m:r>
          <w:rPr>
            <w:rFonts w:ascii="Cambria Math" w:hAnsi="Cambria Math"/>
          </w:rPr>
          <m:t>j</m:t>
        </m:r>
      </m:oMath>
      <w:r w:rsidRPr="00E35AB3">
        <w:t xml:space="preserve"> is the imaginary unit</w:t>
      </w:r>
      <w:r w:rsidR="008A5D44" w:rsidRPr="00E35AB3">
        <w:t xml:space="preserve"> </w:t>
      </w:r>
      <w:r w:rsidR="002F383D" w:rsidRPr="00E35AB3">
        <w:t>and</w:t>
      </w:r>
      <w:r w:rsidR="00496FDC" w:rsidRPr="00E35AB3">
        <w:t xml:space="preserve"> </w:t>
      </w:r>
      <m:oMath>
        <m:r>
          <w:rPr>
            <w:rFonts w:ascii="Cambria Math" w:hAnsi="Cambria Math"/>
          </w:rPr>
          <m:t xml:space="preserve">δ=2 π h </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eff</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oMath>
      <w:r w:rsidR="002F383D" w:rsidRPr="00E35AB3">
        <w:t xml:space="preserve"> </w:t>
      </w:r>
      <w:r w:rsidR="00496FDC" w:rsidRPr="00E35AB3">
        <w:t xml:space="preserve">is </w:t>
      </w:r>
      <w:r w:rsidR="002F383D" w:rsidRPr="00E35AB3">
        <w:t xml:space="preserve">the </w:t>
      </w:r>
      <w:r w:rsidR="00496FDC" w:rsidRPr="00E35AB3">
        <w:t>phase shift in the</w:t>
      </w:r>
      <w:r w:rsidR="008B20C4" w:rsidRPr="00E35AB3">
        <w:t xml:space="preserve"> </w:t>
      </w:r>
      <w:r w:rsidR="002F383D" w:rsidRPr="00E35AB3">
        <w:t>film</w:t>
      </w:r>
      <w:r w:rsidR="00496FDC" w:rsidRPr="00E35AB3">
        <w:t>.</w:t>
      </w:r>
      <w:r w:rsidR="00F925C0" w:rsidRPr="00E35AB3">
        <w:t xml:space="preserve"> The </w:t>
      </w:r>
      <w:r w:rsidR="00D85516" w:rsidRPr="00E35AB3">
        <w:t xml:space="preserve">transmission </w:t>
      </w:r>
      <w:r w:rsidR="00F925C0" w:rsidRPr="00E35AB3">
        <w:t xml:space="preserve">coefficient </w:t>
      </w:r>
      <m:oMath>
        <m:r>
          <w:rPr>
            <w:rFonts w:ascii="Cambria Math" w:hAnsi="Cambria Math" w:cs="Times New Roman"/>
          </w:rPr>
          <m:t>t</m:t>
        </m:r>
      </m:oMath>
      <w:r w:rsidR="00F925C0" w:rsidRPr="00E35AB3">
        <w:t xml:space="preserve"> </w:t>
      </w:r>
      <w:r w:rsidR="00525F44" w:rsidRPr="00E35AB3">
        <w:rPr>
          <w:rFonts w:eastAsia="DengXian" w:hint="eastAsia"/>
          <w:lang w:eastAsia="zh-CN"/>
        </w:rPr>
        <w:t xml:space="preserve">and </w:t>
      </w:r>
      <w:r w:rsidR="00D85516" w:rsidRPr="00E35AB3">
        <w:rPr>
          <w:rFonts w:eastAsia="DengXian"/>
          <w:lang w:eastAsia="zh-CN"/>
        </w:rPr>
        <w:t xml:space="preserve">the reflection </w:t>
      </w:r>
      <w:r w:rsidR="00525F44" w:rsidRPr="00E35AB3">
        <w:t xml:space="preserve">coefficient </w:t>
      </w:r>
      <m:oMath>
        <m:r>
          <w:rPr>
            <w:rFonts w:ascii="Cambria Math" w:hAnsi="Cambria Math" w:cs="Times New Roman"/>
          </w:rPr>
          <m:t>r</m:t>
        </m:r>
      </m:oMath>
      <w:r w:rsidR="00525F44" w:rsidRPr="00E35AB3">
        <w:t xml:space="preserve"> </w:t>
      </w:r>
      <w:r w:rsidR="00F925C0" w:rsidRPr="00E35AB3">
        <w:t xml:space="preserve">can be </w:t>
      </w:r>
      <w:r w:rsidR="00CF0CD7" w:rsidRPr="00E35AB3">
        <w:t xml:space="preserve">expressed </w:t>
      </w:r>
      <w:r w:rsidR="007E1C5D" w:rsidRPr="00E35AB3">
        <w:t xml:space="preserve">respectively </w:t>
      </w:r>
      <w:r w:rsidR="00CF0CD7" w:rsidRPr="00E35AB3">
        <w:t>as</w:t>
      </w:r>
    </w:p>
    <w:p w:rsidR="00CF0CD7" w:rsidRPr="00E35AB3" w:rsidRDefault="00CF0CD7" w:rsidP="00CF0CD7">
      <w:pPr>
        <w:pStyle w:val="10BodySubsequentParagraph"/>
        <w:ind w:firstLine="0"/>
        <w:rPr>
          <w:rFonts w:eastAsia="DengXian"/>
          <w:lang w:eastAsia="zh-CN"/>
        </w:rPr>
      </w:pPr>
      <m:oMathPara>
        <m:oMathParaPr>
          <m:jc m:val="right"/>
        </m:oMathParaPr>
        <m:oMath>
          <m:r>
            <w:rPr>
              <w:rFonts w:ascii="Cambria Math" w:hAnsi="Cambria Math" w:cs="Times New Roman"/>
            </w:rPr>
            <m:t xml:space="preserve">                                                t=</m:t>
          </m:r>
          <m:f>
            <m:fPr>
              <m:ctrlPr>
                <w:rPr>
                  <w:rFonts w:ascii="Cambria Math" w:hAnsi="Cambria Math" w:cs="Times New Roman"/>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11</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den>
          </m:f>
          <m:r>
            <w:rPr>
              <w:rFonts w:ascii="Cambria Math" w:hAnsi="Cambria Math" w:cs="Times New Roman"/>
            </w:rPr>
            <m:t xml:space="preserve">                                        (2)</m:t>
          </m:r>
        </m:oMath>
      </m:oMathPara>
    </w:p>
    <w:p w:rsidR="00525F44" w:rsidRPr="00E35AB3" w:rsidRDefault="00525F44" w:rsidP="00525F44">
      <w:pPr>
        <w:pStyle w:val="10BodySubsequentParagraph"/>
        <w:ind w:firstLineChars="350" w:firstLine="700"/>
        <w:rPr>
          <w:rFonts w:eastAsia="DengXian"/>
          <w:lang w:eastAsia="zh-CN"/>
        </w:rPr>
      </w:pPr>
      <m:oMathPara>
        <m:oMathParaPr>
          <m:jc m:val="right"/>
        </m:oMathParaPr>
        <m:oMath>
          <m:r>
            <w:rPr>
              <w:rFonts w:ascii="Cambria Math" w:hAnsi="Cambria Math" w:cs="Times New Roman"/>
            </w:rPr>
            <m:t xml:space="preserve">                                     r=    </m:t>
          </m:r>
          <m:f>
            <m:fPr>
              <m:ctrlPr>
                <w:rPr>
                  <w:rFonts w:ascii="Cambria Math" w:hAnsi="Cambria Math" w:cs="Times New Roman"/>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11</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i/>
                        </w:rPr>
                      </m:ctrlPr>
                    </m:sSubPr>
                    <m:e>
                      <m:r>
                        <w:rPr>
                          <w:rFonts w:ascii="Cambria Math" w:hAnsi="Cambria Math"/>
                        </w:rPr>
                        <m:t>m</m:t>
                      </m:r>
                    </m:e>
                    <m:sub>
                      <m:r>
                        <w:rPr>
                          <w:rFonts w:ascii="Cambria Math" w:hAnsi="Cambria Math"/>
                        </w:rPr>
                        <m:t>21</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e>
              </m:d>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11</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i/>
                        </w:rPr>
                      </m:ctrlPr>
                    </m:sSubPr>
                    <m:e>
                      <m:r>
                        <w:rPr>
                          <w:rFonts w:ascii="Cambria Math" w:hAnsi="Cambria Math"/>
                        </w:rPr>
                        <m:t>m</m:t>
                      </m:r>
                    </m:e>
                    <m:sub>
                      <m:r>
                        <w:rPr>
                          <w:rFonts w:ascii="Cambria Math" w:hAnsi="Cambria Math"/>
                        </w:rPr>
                        <m:t>21</m:t>
                      </m:r>
                    </m:sub>
                  </m:sSub>
                  <m:r>
                    <w:rPr>
                      <w:rFonts w:ascii="Cambria Math" w:hAnsi="Cambria Math"/>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12</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e>
              </m:d>
            </m:den>
          </m:f>
          <m:r>
            <w:rPr>
              <w:rFonts w:ascii="Cambria Math" w:hAnsi="Cambria Math" w:cs="Times New Roman"/>
            </w:rPr>
            <m:t xml:space="preserve">                                    (3)</m:t>
          </m:r>
        </m:oMath>
      </m:oMathPara>
    </w:p>
    <w:p w:rsidR="00421329" w:rsidRPr="00E35AB3" w:rsidRDefault="00496FDC" w:rsidP="005D418B">
      <w:pPr>
        <w:pStyle w:val="10BodySubsequentParagraph"/>
        <w:ind w:firstLine="0"/>
      </w:pPr>
      <w:r w:rsidRPr="00E35AB3">
        <w:t>where</w:t>
      </w:r>
      <w:r w:rsidR="002F383D" w:rsidRPr="00E35AB3">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oMath>
      <w:r w:rsidR="002F383D" w:rsidRPr="00E35AB3">
        <w:t xml:space="preserve">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oMath>
      <w:r w:rsidR="002F383D" w:rsidRPr="00E35AB3">
        <w:t xml:space="preserve"> are the refractive index of the substrate (SiO</w:t>
      </w:r>
      <w:r w:rsidR="002F383D" w:rsidRPr="00E35AB3">
        <w:rPr>
          <w:vertAlign w:val="subscript"/>
        </w:rPr>
        <w:t>2</w:t>
      </w:r>
      <w:r w:rsidR="002F383D" w:rsidRPr="00E35AB3">
        <w:t xml:space="preserve">) and air, respectively. </w:t>
      </w:r>
      <w:r w:rsidR="00DC7CFA" w:rsidRPr="00E35AB3">
        <w:t xml:space="preserve">For each pair of </w:t>
      </w:r>
      <m:oMath>
        <m:r>
          <m:rPr>
            <m:sty m:val="p"/>
          </m:rPr>
          <w:rPr>
            <w:rFonts w:ascii="Cambria Math" w:hAnsi="Cambria Math"/>
          </w:rPr>
          <m:t>g</m:t>
        </m:r>
      </m:oMath>
      <w:r w:rsidR="00DC7CFA" w:rsidRPr="00E35AB3">
        <w:t xml:space="preserve"> and </w:t>
      </w:r>
      <m:oMath>
        <m:r>
          <m:rPr>
            <m:sty m:val="p"/>
          </m:rPr>
          <w:rPr>
            <w:rFonts w:ascii="Cambria Math" w:hAnsi="Cambria Math"/>
          </w:rPr>
          <m:t>d</m:t>
        </m:r>
      </m:oMath>
      <w:r w:rsidR="00DC7CFA" w:rsidRPr="00E35AB3">
        <w:t xml:space="preserve">, </w:t>
      </w:r>
      <w:r w:rsidR="0065095A" w:rsidRPr="00E35AB3">
        <w:t xml:space="preserve">the coefficients </w:t>
      </w:r>
      <m:oMath>
        <m:r>
          <w:rPr>
            <w:rFonts w:ascii="Cambria Math" w:hAnsi="Cambria Math"/>
          </w:rPr>
          <m:t>t</m:t>
        </m:r>
      </m:oMath>
      <w:r w:rsidR="0065095A" w:rsidRPr="00E35AB3">
        <w:t xml:space="preserve"> and</w:t>
      </w:r>
      <w:r w:rsidR="00525F44" w:rsidRPr="00E35AB3">
        <w:t xml:space="preserve"> </w:t>
      </w:r>
      <m:oMath>
        <m:r>
          <w:rPr>
            <w:rFonts w:ascii="Cambria Math" w:hAnsi="Cambria Math" w:cs="Times New Roman"/>
          </w:rPr>
          <m:t>r</m:t>
        </m:r>
      </m:oMath>
      <w:r w:rsidR="00525F44" w:rsidRPr="00E35AB3">
        <w:t xml:space="preserve"> </w:t>
      </w:r>
      <w:r w:rsidR="0065095A" w:rsidRPr="00E35AB3">
        <w:t>are</w:t>
      </w:r>
      <w:r w:rsidR="004A3816" w:rsidRPr="00E35AB3">
        <w:t xml:space="preserve"> computed using the results in Fig. 3</w:t>
      </w:r>
      <w:r w:rsidR="00DC7CFA" w:rsidRPr="00E35AB3">
        <w:t>(a) and the t</w:t>
      </w:r>
      <w:r w:rsidR="00525F44" w:rsidRPr="00E35AB3">
        <w:rPr>
          <w:rFonts w:eastAsia="DengXian" w:hint="eastAsia"/>
          <w:lang w:eastAsia="zh-CN"/>
        </w:rPr>
        <w:t>hree</w:t>
      </w:r>
      <w:r w:rsidR="00DC7CFA" w:rsidRPr="00E35AB3">
        <w:t xml:space="preserve"> equations above</w:t>
      </w:r>
      <w:r w:rsidR="0065095A" w:rsidRPr="00E35AB3">
        <w:t>.</w:t>
      </w:r>
      <w:r w:rsidR="00DC7CFA" w:rsidRPr="00E35AB3">
        <w:t xml:space="preserve"> </w:t>
      </w:r>
      <w:r w:rsidR="0065095A" w:rsidRPr="00E35AB3">
        <w:t>The transmission</w:t>
      </w:r>
      <w:r w:rsidR="00DC7CFA" w:rsidRPr="00E35AB3">
        <w:t xml:space="preserve"> phase </w:t>
      </w:r>
      <m:oMath>
        <m:r>
          <m:rPr>
            <m:sty m:val="p"/>
          </m:rPr>
          <w:rPr>
            <w:rFonts w:ascii="Cambria Math" w:hAnsi="Cambria Math"/>
          </w:rPr>
          <m:t>φ</m:t>
        </m:r>
      </m:oMath>
      <w:r w:rsidR="00DC7CFA" w:rsidRPr="00E35AB3">
        <w:t xml:space="preserve"> and </w:t>
      </w:r>
      <w:r w:rsidR="0065095A" w:rsidRPr="00E35AB3">
        <w:t xml:space="preserve">transmission </w:t>
      </w:r>
      <w:r w:rsidR="00DC7CFA" w:rsidRPr="00E35AB3">
        <w:t>intensit</w:t>
      </w:r>
      <w:r w:rsidR="008637D2" w:rsidRPr="00E35AB3">
        <w:t xml:space="preserve">y </w:t>
      </w:r>
      <m:oMath>
        <m:r>
          <m:rPr>
            <m:sty m:val="p"/>
          </m:rP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r</m:t>
                </m:r>
              </m:e>
            </m:d>
          </m:e>
          <m:sup>
            <m:r>
              <w:rPr>
                <w:rFonts w:ascii="Cambria Math" w:hAnsi="Cambria Math"/>
              </w:rPr>
              <m:t>2</m:t>
            </m:r>
          </m:sup>
        </m:sSup>
        <m:r>
          <w:rPr>
            <w:rFonts w:ascii="Cambria Math" w:hAnsi="Cambria Math"/>
          </w:rPr>
          <m:t>)</m:t>
        </m:r>
      </m:oMath>
      <w:r w:rsidR="008637D2" w:rsidRPr="00E35AB3">
        <w:t xml:space="preserve"> </w:t>
      </w:r>
      <w:r w:rsidR="00F50424" w:rsidRPr="00E35AB3">
        <w:t xml:space="preserve">[here utilizing the lossless feature of the device] </w:t>
      </w:r>
      <w:r w:rsidR="00DC7CFA" w:rsidRPr="00E35AB3">
        <w:t xml:space="preserve">are </w:t>
      </w:r>
      <w:r w:rsidR="001F114E" w:rsidRPr="00E35AB3">
        <w:t>shown in Fig</w:t>
      </w:r>
      <w:r w:rsidR="00DD18C1" w:rsidRPr="00E35AB3">
        <w:t>s</w:t>
      </w:r>
      <w:r w:rsidR="001F114E" w:rsidRPr="00E35AB3">
        <w:t>.</w:t>
      </w:r>
      <w:r w:rsidR="00DD18C1" w:rsidRPr="00E35AB3">
        <w:t xml:space="preserve"> 3(b) and 3(c)</w:t>
      </w:r>
      <w:r w:rsidR="001F114E" w:rsidRPr="00E35AB3">
        <w:t>,</w:t>
      </w:r>
      <w:r w:rsidR="00DD18C1" w:rsidRPr="00E35AB3">
        <w:t xml:space="preserve"> </w:t>
      </w:r>
      <w:r w:rsidR="001F114E" w:rsidRPr="00E35AB3">
        <w:t xml:space="preserve">respectively. </w:t>
      </w:r>
      <w:r w:rsidR="00DD18C1" w:rsidRPr="00E35AB3">
        <w:t>The</w:t>
      </w:r>
      <w:r w:rsidR="002A67FD" w:rsidRPr="00E35AB3">
        <w:t xml:space="preserve"> results </w:t>
      </w:r>
      <w:r w:rsidR="009F24C0" w:rsidRPr="00E35AB3">
        <w:t>match well with</w:t>
      </w:r>
      <w:r w:rsidR="00DD18C1" w:rsidRPr="00E35AB3">
        <w:t xml:space="preserve"> those in Figs. 2(a) and 2(b), which are obtained from pure numerical simulation</w:t>
      </w:r>
      <w:r w:rsidR="009F24C0" w:rsidRPr="00E35AB3">
        <w:t xml:space="preserve"> (see Supplementary Fig. S</w:t>
      </w:r>
      <w:r w:rsidR="00834891" w:rsidRPr="00E35AB3">
        <w:t>2</w:t>
      </w:r>
      <w:r w:rsidR="009F24C0" w:rsidRPr="00E35AB3">
        <w:t xml:space="preserve"> for details)</w:t>
      </w:r>
      <w:r w:rsidR="00DD18C1" w:rsidRPr="00E35AB3">
        <w:t>.</w:t>
      </w:r>
      <w:r w:rsidR="002A67FD" w:rsidRPr="00E35AB3">
        <w:t xml:space="preserve"> This close matching </w:t>
      </w:r>
      <w:r w:rsidR="001F114E" w:rsidRPr="00E35AB3">
        <w:t>indicate</w:t>
      </w:r>
      <w:r w:rsidR="00EB7DFC" w:rsidRPr="00E35AB3">
        <w:t>s</w:t>
      </w:r>
      <w:r w:rsidR="002A67FD" w:rsidRPr="00E35AB3">
        <w:t xml:space="preserve"> that the gap</w:t>
      </w:r>
      <w:r w:rsidR="001F114E" w:rsidRPr="00E35AB3">
        <w:t xml:space="preserve"> </w:t>
      </w:r>
      <w:r w:rsidR="002A67FD" w:rsidRPr="00E35AB3">
        <w:lastRenderedPageBreak/>
        <w:t>mode discussed here can be treated as an effective medium</w:t>
      </w:r>
      <w:r w:rsidR="001F114E" w:rsidRPr="00E35AB3">
        <w:t>,</w:t>
      </w:r>
      <w:r w:rsidR="002A67FD" w:rsidRPr="00E35AB3">
        <w:t xml:space="preserve"> </w:t>
      </w:r>
      <w:r w:rsidR="00792629" w:rsidRPr="00E35AB3">
        <w:t>given that</w:t>
      </w:r>
      <w:r w:rsidR="001F114E" w:rsidRPr="00E35AB3">
        <w:t xml:space="preserve"> multiple reflection inside the medium</w:t>
      </w:r>
      <w:r w:rsidR="00792629" w:rsidRPr="00E35AB3">
        <w:t xml:space="preserve"> is considered</w:t>
      </w:r>
      <w:r w:rsidR="001F114E" w:rsidRPr="00E35AB3">
        <w:t>.</w:t>
      </w:r>
    </w:p>
    <w:p w:rsidR="00B82B54" w:rsidRPr="00E35AB3" w:rsidRDefault="00B82B54" w:rsidP="00B82B54">
      <w:pPr>
        <w:pStyle w:val="10BodySubsequentParagraph"/>
        <w:ind w:firstLine="289"/>
        <w:rPr>
          <w:rFonts w:cs="Times New Roman"/>
        </w:rPr>
      </w:pPr>
      <w:r w:rsidRPr="00E35AB3">
        <w:t>Before analyzing any specific gap-mode metasurface, it is worth discussing a key parameter here, the phase coverage. It is well accepted that a unit library, or a subset of it, needs to provide the complete 2</w:t>
      </w:r>
      <w:r w:rsidRPr="00E35AB3">
        <w:rPr>
          <w:rFonts w:cs="Times New Roman"/>
        </w:rPr>
        <w:t>π</w:t>
      </w:r>
      <w:r w:rsidRPr="00E35AB3">
        <w:t xml:space="preserve"> phase coverage, in order to enable a high level of wavefront control in the resulted metasurfaces. As a gap-mode metasurface is required to have a uniform fin width </w:t>
      </w:r>
      <m:oMath>
        <m:r>
          <m:rPr>
            <m:sty m:val="p"/>
          </m:rPr>
          <w:rPr>
            <w:rFonts w:ascii="Cambria Math" w:hAnsi="Cambria Math"/>
          </w:rPr>
          <m:t>d</m:t>
        </m:r>
      </m:oMath>
      <w:r w:rsidRPr="00E35AB3">
        <w:t xml:space="preserve">, the phase coverage depends on the other two geometric parameters, the fin height </w:t>
      </w:r>
      <m:oMath>
        <m:r>
          <m:rPr>
            <m:sty m:val="p"/>
          </m:rPr>
          <w:rPr>
            <w:rFonts w:ascii="Cambria Math" w:hAnsi="Cambria Math"/>
          </w:rPr>
          <m:t>h</m:t>
        </m:r>
      </m:oMath>
      <w:r w:rsidRPr="00E35AB3">
        <w:t xml:space="preserve"> and the gap size </w:t>
      </w:r>
      <m:oMath>
        <m:r>
          <m:rPr>
            <m:sty m:val="p"/>
          </m:rPr>
          <w:rPr>
            <w:rFonts w:ascii="Cambria Math" w:hAnsi="Cambria Math"/>
          </w:rPr>
          <m:t>g</m:t>
        </m:r>
      </m:oMath>
      <w:r w:rsidRPr="00E35AB3">
        <w:t xml:space="preserve">. Figure 2(d) shows the influence of </w:t>
      </w:r>
      <m:oMath>
        <m:r>
          <m:rPr>
            <m:sty m:val="p"/>
          </m:rPr>
          <w:rPr>
            <w:rFonts w:ascii="Cambria Math" w:hAnsi="Cambria Math"/>
          </w:rPr>
          <m:t>h</m:t>
        </m:r>
      </m:oMath>
      <w:r w:rsidRPr="00E35AB3">
        <w:t xml:space="preserve"> on the total phase coverage of </w:t>
      </w:r>
      <w:r w:rsidRPr="00E35AB3">
        <w:rPr>
          <w:rFonts w:cs="Times New Roman"/>
        </w:rPr>
        <w:t>Δφ,</w:t>
      </w:r>
      <w:r w:rsidRPr="00E35AB3">
        <w:t xml:space="preserve"> by limiting the range of </w:t>
      </w:r>
      <m:oMath>
        <m:r>
          <m:rPr>
            <m:sty m:val="p"/>
          </m:rPr>
          <w:rPr>
            <w:rFonts w:ascii="Cambria Math" w:hAnsi="Cambria Math"/>
          </w:rPr>
          <m:t>g</m:t>
        </m:r>
      </m:oMath>
      <w:r w:rsidRPr="00E35AB3">
        <w:t xml:space="preserve"> to 5 </w:t>
      </w:r>
      <w:r w:rsidRPr="00E35AB3">
        <w:rPr>
          <w:rFonts w:cs="Times New Roman"/>
        </w:rPr>
        <w:t>μ</w:t>
      </w:r>
      <w:r w:rsidRPr="00E35AB3">
        <w:t xml:space="preserve">m ~ 65 </w:t>
      </w:r>
      <w:r w:rsidRPr="00E35AB3">
        <w:rPr>
          <w:rFonts w:cs="Times New Roman"/>
        </w:rPr>
        <w:t>μ</w:t>
      </w:r>
      <w:r w:rsidRPr="00E35AB3">
        <w:t xml:space="preserve">m (i.e. the same range used in Fig. 2 and the other panels of Fig. 3). </w:t>
      </w:r>
      <w:r w:rsidRPr="00E35AB3">
        <w:rPr>
          <w:rFonts w:cs="Times New Roman"/>
        </w:rPr>
        <w:t>Both the pure numerical method, which is implemented for Fig. 2, and the numerical-analytical hybrid method, which is implemented for Figs. 3(b) and 3(</w:t>
      </w:r>
      <w:r w:rsidR="005F1CC1" w:rsidRPr="00E35AB3">
        <w:rPr>
          <w:rFonts w:cs="Times New Roman"/>
        </w:rPr>
        <w:t>c</w:t>
      </w:r>
      <w:r w:rsidRPr="00E35AB3">
        <w:rPr>
          <w:rFonts w:cs="Times New Roman"/>
        </w:rPr>
        <w:t xml:space="preserve">), are </w:t>
      </w:r>
      <w:r w:rsidR="004001BD" w:rsidRPr="00E35AB3">
        <w:rPr>
          <w:rFonts w:cs="Times New Roman"/>
        </w:rPr>
        <w:t>tested</w:t>
      </w:r>
      <w:r w:rsidRPr="00E35AB3">
        <w:rPr>
          <w:rFonts w:cs="Times New Roman"/>
        </w:rPr>
        <w:t xml:space="preserve"> here, and they produce almost identical results. The results show that, if the Si fins decrease in width</w:t>
      </w:r>
      <w:r w:rsidR="004001BD" w:rsidRPr="00E35AB3">
        <w:rPr>
          <w:rFonts w:cs="Times New Roman"/>
        </w:rPr>
        <w:t xml:space="preserve"> </w:t>
      </w:r>
      <m:oMath>
        <m:r>
          <m:rPr>
            <m:sty m:val="p"/>
          </m:rPr>
          <w:rPr>
            <w:rFonts w:ascii="Cambria Math" w:hAnsi="Cambria Math" w:cs="Times New Roman"/>
          </w:rPr>
          <m:t>d</m:t>
        </m:r>
      </m:oMath>
      <w:r w:rsidRPr="00E35AB3">
        <w:rPr>
          <w:rFonts w:cs="Times New Roman"/>
        </w:rPr>
        <w:t>, they have to increase in height</w:t>
      </w:r>
      <w:r w:rsidR="004001BD" w:rsidRPr="00E35AB3">
        <w:rPr>
          <w:rFonts w:cs="Times New Roman"/>
        </w:rPr>
        <w:t xml:space="preserve"> </w:t>
      </w:r>
      <m:oMath>
        <m:r>
          <m:rPr>
            <m:sty m:val="p"/>
          </m:rPr>
          <w:rPr>
            <w:rFonts w:ascii="Cambria Math" w:hAnsi="Cambria Math" w:cs="Times New Roman"/>
          </w:rPr>
          <m:t>h</m:t>
        </m:r>
      </m:oMath>
      <w:r w:rsidRPr="00E35AB3">
        <w:rPr>
          <w:rFonts w:cs="Times New Roman"/>
        </w:rPr>
        <w:t xml:space="preserve"> to provide </w:t>
      </w:r>
      <w:r w:rsidRPr="00E35AB3">
        <w:t>the 2</w:t>
      </w:r>
      <w:r w:rsidRPr="00E35AB3">
        <w:rPr>
          <w:rFonts w:cs="Times New Roman"/>
        </w:rPr>
        <w:t xml:space="preserve">π phase coverage. For example, at </w:t>
      </w:r>
      <m:oMath>
        <m:r>
          <m:rPr>
            <m:sty m:val="p"/>
          </m:rPr>
          <w:rPr>
            <w:rFonts w:ascii="Cambria Math" w:hAnsi="Cambria Math" w:cs="Times New Roman"/>
          </w:rPr>
          <m:t>d</m:t>
        </m:r>
        <m:r>
          <w:rPr>
            <w:rFonts w:ascii="Cambria Math" w:hAnsi="Cambria Math" w:cs="Times New Roman"/>
          </w:rPr>
          <m:t xml:space="preserve">=45 </m:t>
        </m:r>
        <m:r>
          <m:rPr>
            <m:sty m:val="p"/>
          </m:rPr>
          <w:rPr>
            <w:rFonts w:ascii="Cambria Math" w:hAnsi="Cambria Math" w:cs="Times New Roman"/>
          </w:rPr>
          <m:t>μm</m:t>
        </m:r>
      </m:oMath>
      <w:r w:rsidRPr="00E35AB3">
        <w:rPr>
          <w:rFonts w:cs="Times New Roman"/>
        </w:rPr>
        <w:t xml:space="preserve">, </w:t>
      </w:r>
      <m:oMath>
        <m:r>
          <m:rPr>
            <m:sty m:val="p"/>
          </m:rPr>
          <w:rPr>
            <w:rFonts w:ascii="Cambria Math" w:hAnsi="Cambria Math" w:cs="Times New Roman"/>
          </w:rPr>
          <m:t>h</m:t>
        </m:r>
      </m:oMath>
      <w:r w:rsidRPr="00E35AB3">
        <w:rPr>
          <w:rFonts w:cs="Times New Roman"/>
        </w:rPr>
        <w:t xml:space="preserve"> </w:t>
      </w:r>
      <w:r w:rsidR="004001BD" w:rsidRPr="00E35AB3">
        <w:rPr>
          <w:rFonts w:cs="Times New Roman"/>
        </w:rPr>
        <w:t>can be any value above</w:t>
      </w:r>
      <w:r w:rsidRPr="00E35AB3">
        <w:rPr>
          <w:rFonts w:cs="Times New Roman"/>
        </w:rPr>
        <w:t xml:space="preserve"> 362 μ</w:t>
      </w:r>
      <w:r w:rsidRPr="00E35AB3">
        <w:t>m</w:t>
      </w:r>
      <w:r w:rsidRPr="00E35AB3">
        <w:rPr>
          <w:rFonts w:cs="Times New Roman"/>
        </w:rPr>
        <w:t xml:space="preserve">. Once </w:t>
      </w:r>
      <m:oMath>
        <m:r>
          <m:rPr>
            <m:sty m:val="p"/>
          </m:rPr>
          <w:rPr>
            <w:rFonts w:ascii="Cambria Math" w:hAnsi="Cambria Math" w:cs="Times New Roman"/>
          </w:rPr>
          <m:t>d</m:t>
        </m:r>
      </m:oMath>
      <w:r w:rsidRPr="00E35AB3">
        <w:rPr>
          <w:rFonts w:cs="Times New Roman"/>
        </w:rPr>
        <w:t xml:space="preserve"> reduces to 10 μ</w:t>
      </w:r>
      <w:r w:rsidRPr="00E35AB3">
        <w:t xml:space="preserve">m, </w:t>
      </w:r>
      <w:r w:rsidR="004001BD" w:rsidRPr="00E35AB3">
        <w:t>the 2</w:t>
      </w:r>
      <w:r w:rsidR="004001BD" w:rsidRPr="00E35AB3">
        <w:rPr>
          <w:rFonts w:cs="Times New Roman"/>
        </w:rPr>
        <w:t>π</w:t>
      </w:r>
      <w:r w:rsidR="004001BD" w:rsidRPr="00E35AB3">
        <w:t xml:space="preserve"> threshold of </w:t>
      </w:r>
      <m:oMath>
        <m:r>
          <m:rPr>
            <m:sty m:val="p"/>
          </m:rPr>
          <w:rPr>
            <w:rFonts w:ascii="Cambria Math" w:hAnsi="Cambria Math" w:cs="Times New Roman"/>
          </w:rPr>
          <m:t>h</m:t>
        </m:r>
      </m:oMath>
      <w:r w:rsidRPr="00E35AB3">
        <w:t xml:space="preserve"> </w:t>
      </w:r>
      <w:r w:rsidR="004001BD" w:rsidRPr="00E35AB3">
        <w:t>increases to</w:t>
      </w:r>
      <w:r w:rsidRPr="00E35AB3">
        <w:rPr>
          <w:rFonts w:cs="Times New Roman"/>
        </w:rPr>
        <w:t xml:space="preserve"> 695 μ</w:t>
      </w:r>
      <w:r w:rsidRPr="00E35AB3">
        <w:t>m</w:t>
      </w:r>
      <w:r w:rsidRPr="00E35AB3">
        <w:rPr>
          <w:rFonts w:cs="Times New Roman"/>
        </w:rPr>
        <w:t>. This result is used for the analysis in Section 4.</w:t>
      </w:r>
    </w:p>
    <w:p w:rsidR="005B1938" w:rsidRPr="00E35AB3" w:rsidRDefault="005B1938" w:rsidP="001665AB">
      <w:pPr>
        <w:pStyle w:val="08SectionHeader1"/>
        <w:ind w:left="357" w:hanging="357"/>
      </w:pPr>
      <w:r w:rsidRPr="00E35AB3">
        <w:t xml:space="preserve">SW meta-couplers </w:t>
      </w:r>
      <w:r w:rsidR="00A25FB2" w:rsidRPr="00E35AB3">
        <w:t>based on gap-mode metasurfaces</w:t>
      </w:r>
    </w:p>
    <w:p w:rsidR="005B1938" w:rsidRPr="00E35AB3" w:rsidRDefault="005B1938" w:rsidP="00C611CD">
      <w:pPr>
        <w:pStyle w:val="10BodySubsequentParagraph"/>
        <w:spacing w:before="120"/>
        <w:ind w:firstLine="0"/>
        <w:rPr>
          <w:lang w:eastAsia="zh-CN"/>
        </w:rPr>
      </w:pPr>
      <w:r w:rsidRPr="00E35AB3">
        <w:rPr>
          <w:lang w:eastAsia="zh-CN"/>
        </w:rPr>
        <w:t>Due to their unique characteristics of deep</w:t>
      </w:r>
      <w:r w:rsidR="00940B6B" w:rsidRPr="00E35AB3">
        <w:rPr>
          <w:lang w:eastAsia="zh-CN"/>
        </w:rPr>
        <w:t>-</w:t>
      </w:r>
      <w:r w:rsidRPr="00E35AB3">
        <w:rPr>
          <w:lang w:eastAsia="zh-CN"/>
        </w:rPr>
        <w:t>subwavelength feature sizes, full 2</w:t>
      </w:r>
      <w:r w:rsidRPr="00E35AB3">
        <w:rPr>
          <w:rFonts w:cs="Times New Roman"/>
          <w:lang w:eastAsia="zh-CN"/>
        </w:rPr>
        <w:t>π</w:t>
      </w:r>
      <w:r w:rsidRPr="00E35AB3">
        <w:rPr>
          <w:lang w:eastAsia="zh-CN"/>
        </w:rPr>
        <w:t xml:space="preserve"> phase coverage and relatively small output intensity fluctuation, these gap modes are ideal for creating a s</w:t>
      </w:r>
      <w:r w:rsidR="00C611CD" w:rsidRPr="00E35AB3">
        <w:rPr>
          <w:lang w:eastAsia="zh-CN"/>
        </w:rPr>
        <w:t>teep</w:t>
      </w:r>
      <w:r w:rsidRPr="00E35AB3">
        <w:rPr>
          <w:lang w:eastAsia="zh-CN"/>
        </w:rPr>
        <w:t xml:space="preserve"> phase gradient. </w:t>
      </w:r>
      <w:r w:rsidR="00C611CD" w:rsidRPr="00E35AB3">
        <w:rPr>
          <w:lang w:eastAsia="zh-CN"/>
        </w:rPr>
        <w:t>In this sec</w:t>
      </w:r>
      <w:r w:rsidR="00940B6B" w:rsidRPr="00E35AB3">
        <w:rPr>
          <w:lang w:eastAsia="zh-CN"/>
        </w:rPr>
        <w:t>tion</w:t>
      </w:r>
      <w:r w:rsidR="00C611CD" w:rsidRPr="00E35AB3">
        <w:rPr>
          <w:lang w:eastAsia="zh-CN"/>
        </w:rPr>
        <w:t xml:space="preserve">, we exemplify these characteristics with the numerical demonstration of </w:t>
      </w:r>
      <w:r w:rsidRPr="00E35AB3">
        <w:rPr>
          <w:lang w:eastAsia="zh-CN"/>
        </w:rPr>
        <w:t>PW-SW conversion. At normal incidence shown in Fig. 1, the bending in the wave propagation direction is 90</w:t>
      </w:r>
      <w:r w:rsidRPr="00E35AB3">
        <w:rPr>
          <w:vertAlign w:val="superscript"/>
          <w:lang w:eastAsia="zh-CN"/>
        </w:rPr>
        <w:t>o</w:t>
      </w:r>
      <w:r w:rsidRPr="00E35AB3">
        <w:rPr>
          <w:lang w:eastAsia="zh-CN"/>
        </w:rPr>
        <w:t>, which is a challenge for many metasurface designs</w:t>
      </w:r>
      <w:r w:rsidR="00F46DCB" w:rsidRPr="00E35AB3">
        <w:rPr>
          <w:lang w:eastAsia="zh-CN"/>
        </w:rPr>
        <w:t xml:space="preserve"> </w:t>
      </w:r>
      <w:r w:rsidR="00F46DCB" w:rsidRPr="00E35AB3">
        <w:rPr>
          <w:color w:val="auto"/>
          <w:lang w:eastAsia="zh-CN"/>
        </w:rPr>
        <w:t>[16, 22, 27]</w:t>
      </w:r>
      <w:r w:rsidR="00F46DCB" w:rsidRPr="00E35AB3">
        <w:rPr>
          <w:lang w:eastAsia="zh-CN"/>
        </w:rPr>
        <w:t>.</w:t>
      </w:r>
    </w:p>
    <w:p w:rsidR="00B82B54" w:rsidRPr="00E35AB3" w:rsidRDefault="005B1938" w:rsidP="00B82B54">
      <w:pPr>
        <w:pStyle w:val="09BodyFirstParagraph"/>
        <w:spacing w:before="0"/>
        <w:ind w:firstLine="289"/>
        <w:rPr>
          <w:lang w:eastAsia="zh-CN"/>
        </w:rPr>
      </w:pPr>
      <w:r w:rsidRPr="00E35AB3">
        <w:rPr>
          <w:lang w:eastAsia="zh-CN"/>
        </w:rPr>
        <w:t xml:space="preserve">Following the </w:t>
      </w:r>
      <w:r w:rsidR="00D61041" w:rsidRPr="00E35AB3">
        <w:rPr>
          <w:lang w:eastAsia="zh-CN"/>
        </w:rPr>
        <w:t>steps taken</w:t>
      </w:r>
      <w:r w:rsidRPr="00E35AB3">
        <w:rPr>
          <w:lang w:eastAsia="zh-CN"/>
        </w:rPr>
        <w:t xml:space="preserve"> in our recent work on stretchable PW-SW meta-convert</w:t>
      </w:r>
      <w:r w:rsidR="004001BD" w:rsidRPr="00E35AB3">
        <w:rPr>
          <w:lang w:eastAsia="zh-CN"/>
        </w:rPr>
        <w:t>e</w:t>
      </w:r>
      <w:r w:rsidRPr="00E35AB3">
        <w:rPr>
          <w:lang w:eastAsia="zh-CN"/>
        </w:rPr>
        <w:t xml:space="preserve">rs </w:t>
      </w:r>
      <w:r w:rsidR="00F46DCB" w:rsidRPr="00E35AB3">
        <w:rPr>
          <w:lang w:eastAsia="zh-CN"/>
        </w:rPr>
        <w:t>[3</w:t>
      </w:r>
      <w:r w:rsidR="00EC01D0" w:rsidRPr="00E35AB3">
        <w:rPr>
          <w:lang w:eastAsia="zh-CN"/>
        </w:rPr>
        <w:t>7</w:t>
      </w:r>
      <w:r w:rsidR="00F46DCB" w:rsidRPr="00E35AB3">
        <w:rPr>
          <w:lang w:eastAsia="zh-CN"/>
        </w:rPr>
        <w:t>],</w:t>
      </w:r>
      <w:r w:rsidRPr="00E35AB3">
        <w:rPr>
          <w:lang w:eastAsia="zh-CN"/>
        </w:rPr>
        <w:t xml:space="preserve"> we first analyze</w:t>
      </w:r>
      <w:r w:rsidR="00D61041" w:rsidRPr="00E35AB3">
        <w:rPr>
          <w:lang w:eastAsia="zh-CN"/>
        </w:rPr>
        <w:t xml:space="preserve"> in Fig. 4</w:t>
      </w:r>
      <w:r w:rsidRPr="00E35AB3">
        <w:rPr>
          <w:lang w:eastAsia="zh-CN"/>
        </w:rPr>
        <w:t xml:space="preserve"> </w:t>
      </w:r>
      <w:r w:rsidR="00D61041" w:rsidRPr="00E35AB3">
        <w:rPr>
          <w:lang w:eastAsia="zh-CN"/>
        </w:rPr>
        <w:t>the</w:t>
      </w:r>
      <w:r w:rsidRPr="00E35AB3">
        <w:rPr>
          <w:lang w:eastAsia="zh-CN"/>
        </w:rPr>
        <w:t xml:space="preserve"> configuration</w:t>
      </w:r>
      <w:r w:rsidR="00D61041" w:rsidRPr="00E35AB3">
        <w:rPr>
          <w:lang w:eastAsia="zh-CN"/>
        </w:rPr>
        <w:t xml:space="preserve"> </w:t>
      </w:r>
      <w:r w:rsidRPr="00E35AB3">
        <w:rPr>
          <w:lang w:eastAsia="zh-CN"/>
        </w:rPr>
        <w:t xml:space="preserve">where an infinitely large </w:t>
      </w:r>
      <w:r w:rsidR="00D61041" w:rsidRPr="00E35AB3">
        <w:rPr>
          <w:lang w:eastAsia="zh-CN"/>
        </w:rPr>
        <w:t>meta-converter (or a meta-coupler)</w:t>
      </w:r>
      <w:r w:rsidRPr="00E35AB3">
        <w:rPr>
          <w:lang w:eastAsia="zh-CN"/>
        </w:rPr>
        <w:t xml:space="preserve"> is uniformly illuminated by a plane wave.</w:t>
      </w:r>
      <w:bookmarkStart w:id="12" w:name="_Hlk97219494"/>
      <w:r w:rsidR="00243585" w:rsidRPr="00E35AB3">
        <w:rPr>
          <w:lang w:eastAsia="zh-CN"/>
        </w:rPr>
        <w:t xml:space="preserve"> </w:t>
      </w:r>
      <w:r w:rsidRPr="00E35AB3">
        <w:rPr>
          <w:lang w:eastAsia="zh-CN"/>
        </w:rPr>
        <w:t xml:space="preserve">The configuration is </w:t>
      </w:r>
      <w:r w:rsidR="00F46DCB" w:rsidRPr="00E35AB3">
        <w:rPr>
          <w:lang w:eastAsia="zh-CN"/>
        </w:rPr>
        <w:t>then modified to approximate future experiments in Fig. 5</w:t>
      </w:r>
      <w:r w:rsidRPr="00E35AB3">
        <w:rPr>
          <w:lang w:eastAsia="zh-CN"/>
        </w:rPr>
        <w:t xml:space="preserve">, where only a limited area on the </w:t>
      </w:r>
      <w:r w:rsidR="004001BD" w:rsidRPr="00E35AB3">
        <w:rPr>
          <w:lang w:eastAsia="zh-CN"/>
        </w:rPr>
        <w:t>meta-converter</w:t>
      </w:r>
      <w:r w:rsidRPr="00E35AB3">
        <w:rPr>
          <w:lang w:eastAsia="zh-CN"/>
        </w:rPr>
        <w:t xml:space="preserve"> is illuminated. </w:t>
      </w:r>
      <w:bookmarkEnd w:id="12"/>
      <w:r w:rsidRPr="00E35AB3">
        <w:rPr>
          <w:lang w:eastAsia="zh-CN"/>
        </w:rPr>
        <w:t xml:space="preserve">This procedure of analysis can provide a clear visualization of the SW (in </w:t>
      </w:r>
      <w:r w:rsidR="00D61041" w:rsidRPr="00E35AB3">
        <w:rPr>
          <w:lang w:eastAsia="zh-CN"/>
        </w:rPr>
        <w:t>Fig. 4</w:t>
      </w:r>
      <w:r w:rsidRPr="00E35AB3">
        <w:rPr>
          <w:lang w:eastAsia="zh-CN"/>
        </w:rPr>
        <w:t xml:space="preserve">), as well a conversion efficiency (in </w:t>
      </w:r>
      <w:r w:rsidR="00D61041" w:rsidRPr="00E35AB3">
        <w:rPr>
          <w:lang w:eastAsia="zh-CN"/>
        </w:rPr>
        <w:t>Fig. 5</w:t>
      </w:r>
      <w:r w:rsidRPr="00E35AB3">
        <w:rPr>
          <w:lang w:eastAsia="zh-CN"/>
        </w:rPr>
        <w:t xml:space="preserve">) that is </w:t>
      </w:r>
      <w:r w:rsidR="004001BD" w:rsidRPr="00E35AB3">
        <w:rPr>
          <w:lang w:eastAsia="zh-CN"/>
        </w:rPr>
        <w:t>comparatively easy to verify</w:t>
      </w:r>
      <w:r w:rsidR="00A25FB2" w:rsidRPr="00E35AB3">
        <w:rPr>
          <w:lang w:eastAsia="zh-CN"/>
        </w:rPr>
        <w:t xml:space="preserve"> in future experiments.</w:t>
      </w:r>
      <w:bookmarkStart w:id="13" w:name="_Hlk85619236"/>
    </w:p>
    <w:p w:rsidR="00A25FB2" w:rsidRPr="00E35AB3" w:rsidRDefault="00A25FB2" w:rsidP="00652384">
      <w:pPr>
        <w:pStyle w:val="09BodyFirstParagraph"/>
        <w:spacing w:before="0"/>
        <w:ind w:firstLine="289"/>
        <w:rPr>
          <w:lang w:eastAsia="zh-CN"/>
        </w:rPr>
      </w:pPr>
      <w:r w:rsidRPr="00E35AB3">
        <w:rPr>
          <w:lang w:eastAsia="zh-CN"/>
        </w:rPr>
        <w:t xml:space="preserve">To demonstrate the flexibility in the gap-mode metasurface design, </w:t>
      </w:r>
      <w:r w:rsidR="00D61041" w:rsidRPr="00E35AB3">
        <w:rPr>
          <w:lang w:eastAsia="zh-CN"/>
        </w:rPr>
        <w:t xml:space="preserve">Fig. 4 presents four different meta-converters, where the unit number (i.e. the number of gaps) in a super unit cell is 8, 16, </w:t>
      </w:r>
      <w:r w:rsidR="00652384" w:rsidRPr="00E35AB3">
        <w:rPr>
          <w:lang w:eastAsia="zh-CN"/>
        </w:rPr>
        <w:t>30 and 60 in Figs. 4(a)</w:t>
      </w:r>
      <w:r w:rsidR="00E61408" w:rsidRPr="00E35AB3">
        <w:rPr>
          <w:lang w:eastAsia="zh-CN"/>
        </w:rPr>
        <w:t>-</w:t>
      </w:r>
      <w:r w:rsidR="00652384" w:rsidRPr="00E35AB3">
        <w:rPr>
          <w:lang w:eastAsia="zh-CN"/>
        </w:rPr>
        <w:t xml:space="preserve">(d), respectively. </w:t>
      </w:r>
      <w:r w:rsidR="00B221EE" w:rsidRPr="00E35AB3">
        <w:rPr>
          <w:lang w:eastAsia="zh-CN"/>
        </w:rPr>
        <w:t xml:space="preserve">In all the </w:t>
      </w:r>
      <w:r w:rsidR="00652384" w:rsidRPr="00E35AB3">
        <w:rPr>
          <w:lang w:eastAsia="zh-CN"/>
        </w:rPr>
        <w:t>four</w:t>
      </w:r>
      <w:r w:rsidR="00B221EE" w:rsidRPr="00E35AB3">
        <w:rPr>
          <w:lang w:eastAsia="zh-CN"/>
        </w:rPr>
        <w:t xml:space="preserve"> </w:t>
      </w:r>
      <w:r w:rsidR="00652384" w:rsidRPr="00E35AB3">
        <w:rPr>
          <w:lang w:eastAsia="zh-CN"/>
        </w:rPr>
        <w:t>designs</w:t>
      </w:r>
      <w:r w:rsidR="00B221EE" w:rsidRPr="00E35AB3">
        <w:rPr>
          <w:lang w:eastAsia="zh-CN"/>
        </w:rPr>
        <w:t xml:space="preserve">, </w:t>
      </w:r>
      <w:bookmarkStart w:id="14" w:name="_Hlk97752129"/>
      <w:r w:rsidR="00B221EE" w:rsidRPr="00E35AB3">
        <w:rPr>
          <w:lang w:eastAsia="zh-CN"/>
        </w:rPr>
        <w:t>the periodicity (</w:t>
      </w:r>
      <m:oMath>
        <m:r>
          <m:rPr>
            <m:sty m:val="p"/>
          </m:rPr>
          <w:rPr>
            <w:rFonts w:ascii="Cambria Math" w:hAnsi="Cambria Math"/>
            <w:lang w:eastAsia="zh-CN"/>
          </w:rPr>
          <m:t>p</m:t>
        </m:r>
      </m:oMath>
      <w:r w:rsidR="00B221EE" w:rsidRPr="00E35AB3">
        <w:rPr>
          <w:lang w:eastAsia="zh-CN"/>
        </w:rPr>
        <w:t xml:space="preserve">, the dimension of </w:t>
      </w:r>
      <w:r w:rsidR="00866410" w:rsidRPr="00E35AB3">
        <w:rPr>
          <w:lang w:eastAsia="zh-CN"/>
        </w:rPr>
        <w:t>a</w:t>
      </w:r>
      <w:r w:rsidR="00B221EE" w:rsidRPr="00E35AB3">
        <w:rPr>
          <w:lang w:eastAsia="zh-CN"/>
        </w:rPr>
        <w:t xml:space="preserve"> </w:t>
      </w:r>
      <w:r w:rsidR="00EA7E27" w:rsidRPr="00E35AB3">
        <w:rPr>
          <w:lang w:eastAsia="zh-CN"/>
        </w:rPr>
        <w:t xml:space="preserve">super </w:t>
      </w:r>
      <w:r w:rsidR="00B221EE" w:rsidRPr="00E35AB3">
        <w:rPr>
          <w:lang w:eastAsia="zh-CN"/>
        </w:rPr>
        <w:t xml:space="preserve">unit cell in the planar direction orthogonal to the fins) </w:t>
      </w:r>
      <w:bookmarkEnd w:id="14"/>
      <w:r w:rsidR="00B221EE" w:rsidRPr="00E35AB3">
        <w:rPr>
          <w:lang w:eastAsia="zh-CN"/>
        </w:rPr>
        <w:t xml:space="preserve">is slightly smaller than the free-space wavelength </w:t>
      </w:r>
      <w:r w:rsidR="00B221EE" w:rsidRPr="00E35AB3">
        <w:rPr>
          <w:rFonts w:cs="Times New Roman"/>
          <w:lang w:eastAsia="zh-CN"/>
        </w:rPr>
        <w:t>λ</w:t>
      </w:r>
      <w:r w:rsidR="00B221EE" w:rsidRPr="00E35AB3">
        <w:rPr>
          <w:vertAlign w:val="subscript"/>
          <w:lang w:eastAsia="zh-CN"/>
        </w:rPr>
        <w:t>0</w:t>
      </w:r>
      <w:r w:rsidR="00B221EE" w:rsidRPr="00E35AB3">
        <w:rPr>
          <w:lang w:eastAsia="zh-CN"/>
        </w:rPr>
        <w:t xml:space="preserve"> of 375 </w:t>
      </w:r>
      <w:r w:rsidR="00B221EE" w:rsidRPr="00E35AB3">
        <w:rPr>
          <w:rFonts w:cs="Times New Roman"/>
          <w:lang w:eastAsia="zh-CN"/>
        </w:rPr>
        <w:t>μ</w:t>
      </w:r>
      <w:r w:rsidR="00B221EE" w:rsidRPr="00E35AB3">
        <w:rPr>
          <w:lang w:eastAsia="zh-CN"/>
        </w:rPr>
        <w:t>m, in order to eliminate any di</w:t>
      </w:r>
      <w:r w:rsidR="00F46DCB" w:rsidRPr="00E35AB3">
        <w:rPr>
          <w:lang w:eastAsia="zh-CN"/>
        </w:rPr>
        <w:t xml:space="preserve">ffraction order into free space [11, </w:t>
      </w:r>
      <w:r w:rsidR="00EC01D0" w:rsidRPr="00E35AB3">
        <w:rPr>
          <w:lang w:eastAsia="zh-CN"/>
        </w:rPr>
        <w:t>37</w:t>
      </w:r>
      <w:r w:rsidR="00F46DCB" w:rsidRPr="00E35AB3">
        <w:rPr>
          <w:lang w:eastAsia="zh-CN"/>
        </w:rPr>
        <w:t>].</w:t>
      </w:r>
      <w:r w:rsidR="00B221EE" w:rsidRPr="00E35AB3">
        <w:rPr>
          <w:lang w:eastAsia="zh-CN"/>
        </w:rPr>
        <w:t xml:space="preserve"> </w:t>
      </w:r>
      <w:r w:rsidR="00461601" w:rsidRPr="00E35AB3">
        <w:rPr>
          <w:lang w:eastAsia="zh-CN"/>
        </w:rPr>
        <w:t>Its</w:t>
      </w:r>
      <w:r w:rsidR="00B221EE" w:rsidRPr="00E35AB3">
        <w:rPr>
          <w:lang w:eastAsia="zh-CN"/>
        </w:rPr>
        <w:t xml:space="preserve"> exact value </w:t>
      </w:r>
      <w:r w:rsidR="00461601" w:rsidRPr="00E35AB3">
        <w:rPr>
          <w:lang w:eastAsia="zh-CN"/>
        </w:rPr>
        <w:t>i</w:t>
      </w:r>
      <w:r w:rsidR="00B221EE" w:rsidRPr="00E35AB3">
        <w:rPr>
          <w:lang w:eastAsia="zh-CN"/>
        </w:rPr>
        <w:t>s</w:t>
      </w:r>
      <w:r w:rsidR="007B2475" w:rsidRPr="00E35AB3">
        <w:rPr>
          <w:lang w:eastAsia="zh-CN"/>
        </w:rPr>
        <w:t xml:space="preserve"> 36</w:t>
      </w:r>
      <w:r w:rsidR="00047F3F" w:rsidRPr="00E35AB3">
        <w:rPr>
          <w:lang w:eastAsia="zh-CN"/>
        </w:rPr>
        <w:t>7</w:t>
      </w:r>
      <w:r w:rsidR="00B221EE" w:rsidRPr="00E35AB3">
        <w:rPr>
          <w:lang w:eastAsia="zh-CN"/>
        </w:rPr>
        <w:t xml:space="preserve">.0 </w:t>
      </w:r>
      <w:r w:rsidR="00B221EE" w:rsidRPr="00E35AB3">
        <w:rPr>
          <w:rFonts w:cs="Times New Roman"/>
          <w:lang w:eastAsia="zh-CN"/>
        </w:rPr>
        <w:t>μ</w:t>
      </w:r>
      <w:r w:rsidR="00B221EE" w:rsidRPr="00E35AB3">
        <w:rPr>
          <w:lang w:eastAsia="zh-CN"/>
        </w:rPr>
        <w:t>m, 3</w:t>
      </w:r>
      <w:r w:rsidR="007B2475" w:rsidRPr="00E35AB3">
        <w:rPr>
          <w:lang w:eastAsia="zh-CN"/>
        </w:rPr>
        <w:t>71</w:t>
      </w:r>
      <w:r w:rsidR="008954B2" w:rsidRPr="00E35AB3">
        <w:rPr>
          <w:lang w:eastAsia="zh-CN"/>
        </w:rPr>
        <w:t>.</w:t>
      </w:r>
      <w:r w:rsidR="00941333" w:rsidRPr="00E35AB3">
        <w:rPr>
          <w:rFonts w:eastAsia="DengXian" w:hint="eastAsia"/>
          <w:lang w:eastAsia="zh-CN"/>
        </w:rPr>
        <w:t>5</w:t>
      </w:r>
      <w:r w:rsidR="00B221EE" w:rsidRPr="00E35AB3">
        <w:rPr>
          <w:lang w:eastAsia="zh-CN"/>
        </w:rPr>
        <w:t xml:space="preserve"> </w:t>
      </w:r>
      <w:r w:rsidR="00B221EE" w:rsidRPr="00E35AB3">
        <w:rPr>
          <w:rFonts w:cs="Times New Roman"/>
          <w:lang w:eastAsia="zh-CN"/>
        </w:rPr>
        <w:t>μ</w:t>
      </w:r>
      <w:r w:rsidR="00B221EE" w:rsidRPr="00E35AB3">
        <w:rPr>
          <w:lang w:eastAsia="zh-CN"/>
        </w:rPr>
        <w:t>m</w:t>
      </w:r>
      <w:r w:rsidR="00652384" w:rsidRPr="00E35AB3">
        <w:rPr>
          <w:lang w:eastAsia="zh-CN"/>
        </w:rPr>
        <w:t>,</w:t>
      </w:r>
      <w:r w:rsidR="00B221EE" w:rsidRPr="00E35AB3">
        <w:rPr>
          <w:lang w:eastAsia="zh-CN"/>
        </w:rPr>
        <w:t xml:space="preserve"> 3</w:t>
      </w:r>
      <w:r w:rsidR="007B2475" w:rsidRPr="00E35AB3">
        <w:rPr>
          <w:lang w:eastAsia="zh-CN"/>
        </w:rPr>
        <w:t>67</w:t>
      </w:r>
      <w:r w:rsidR="008954B2" w:rsidRPr="00E35AB3">
        <w:rPr>
          <w:lang w:eastAsia="zh-CN"/>
        </w:rPr>
        <w:t>.0</w:t>
      </w:r>
      <w:r w:rsidR="00B221EE" w:rsidRPr="00E35AB3">
        <w:rPr>
          <w:lang w:eastAsia="zh-CN"/>
        </w:rPr>
        <w:t xml:space="preserve"> </w:t>
      </w:r>
      <w:r w:rsidR="00B221EE" w:rsidRPr="00E35AB3">
        <w:rPr>
          <w:rFonts w:cs="Times New Roman"/>
          <w:lang w:eastAsia="zh-CN"/>
        </w:rPr>
        <w:t>μ</w:t>
      </w:r>
      <w:r w:rsidR="00B221EE" w:rsidRPr="00E35AB3">
        <w:rPr>
          <w:lang w:eastAsia="zh-CN"/>
        </w:rPr>
        <w:t xml:space="preserve">m </w:t>
      </w:r>
      <w:r w:rsidR="00652384" w:rsidRPr="00E35AB3">
        <w:rPr>
          <w:lang w:eastAsia="zh-CN"/>
        </w:rPr>
        <w:t xml:space="preserve">and </w:t>
      </w:r>
      <w:r w:rsidR="007B2475" w:rsidRPr="00E35AB3">
        <w:rPr>
          <w:lang w:eastAsia="zh-CN"/>
        </w:rPr>
        <w:t>369.3</w:t>
      </w:r>
      <w:r w:rsidR="00652384" w:rsidRPr="00E35AB3">
        <w:rPr>
          <w:lang w:eastAsia="zh-CN"/>
        </w:rPr>
        <w:t xml:space="preserve"> </w:t>
      </w:r>
      <w:r w:rsidR="00652384" w:rsidRPr="00E35AB3">
        <w:rPr>
          <w:rFonts w:cs="Times New Roman"/>
          <w:lang w:eastAsia="zh-CN"/>
        </w:rPr>
        <w:t>μ</w:t>
      </w:r>
      <w:r w:rsidR="00652384" w:rsidRPr="00E35AB3">
        <w:rPr>
          <w:lang w:eastAsia="zh-CN"/>
        </w:rPr>
        <w:t>m from</w:t>
      </w:r>
      <w:r w:rsidR="00B221EE" w:rsidRPr="00E35AB3">
        <w:rPr>
          <w:lang w:eastAsia="zh-CN"/>
        </w:rPr>
        <w:t xml:space="preserve"> Figs. 4(</w:t>
      </w:r>
      <w:r w:rsidR="00652384" w:rsidRPr="00E35AB3">
        <w:rPr>
          <w:lang w:eastAsia="zh-CN"/>
        </w:rPr>
        <w:t>a</w:t>
      </w:r>
      <w:r w:rsidR="00B221EE" w:rsidRPr="00E35AB3">
        <w:rPr>
          <w:lang w:eastAsia="zh-CN"/>
        </w:rPr>
        <w:t>)</w:t>
      </w:r>
      <w:r w:rsidR="00652384" w:rsidRPr="00E35AB3">
        <w:rPr>
          <w:lang w:eastAsia="zh-CN"/>
        </w:rPr>
        <w:t xml:space="preserve"> to </w:t>
      </w:r>
      <w:r w:rsidR="00B221EE" w:rsidRPr="00E35AB3">
        <w:rPr>
          <w:lang w:eastAsia="zh-CN"/>
        </w:rPr>
        <w:t xml:space="preserve">4(d). </w:t>
      </w:r>
      <w:r w:rsidR="00461601" w:rsidRPr="00E35AB3">
        <w:rPr>
          <w:lang w:eastAsia="zh-CN"/>
        </w:rPr>
        <w:t xml:space="preserve">Due to this almost invariant value of </w:t>
      </w:r>
      <m:oMath>
        <m:r>
          <m:rPr>
            <m:sty m:val="p"/>
          </m:rPr>
          <w:rPr>
            <w:rFonts w:ascii="Cambria Math" w:hAnsi="Cambria Math"/>
            <w:lang w:eastAsia="zh-CN"/>
          </w:rPr>
          <m:t>p</m:t>
        </m:r>
      </m:oMath>
      <w:r w:rsidR="00461601" w:rsidRPr="00E35AB3">
        <w:rPr>
          <w:lang w:eastAsia="zh-CN"/>
        </w:rPr>
        <w:t>, an</w:t>
      </w:r>
      <w:r w:rsidR="00B221EE" w:rsidRPr="00E35AB3">
        <w:rPr>
          <w:lang w:eastAsia="zh-CN"/>
        </w:rPr>
        <w:t xml:space="preserve"> increase in </w:t>
      </w:r>
      <w:r w:rsidR="00940B6B" w:rsidRPr="00E35AB3">
        <w:rPr>
          <w:lang w:eastAsia="zh-CN"/>
        </w:rPr>
        <w:t>unit</w:t>
      </w:r>
      <w:r w:rsidR="00B221EE" w:rsidRPr="00E35AB3">
        <w:rPr>
          <w:lang w:eastAsia="zh-CN"/>
        </w:rPr>
        <w:t xml:space="preserve"> number from 8 to </w:t>
      </w:r>
      <w:r w:rsidR="001B0CCB" w:rsidRPr="00E35AB3">
        <w:rPr>
          <w:lang w:eastAsia="zh-CN"/>
        </w:rPr>
        <w:t>6</w:t>
      </w:r>
      <w:r w:rsidR="00B221EE" w:rsidRPr="00E35AB3">
        <w:rPr>
          <w:lang w:eastAsia="zh-CN"/>
        </w:rPr>
        <w:t xml:space="preserve">0 </w:t>
      </w:r>
      <w:r w:rsidR="00940B6B" w:rsidRPr="00E35AB3">
        <w:rPr>
          <w:lang w:eastAsia="zh-CN"/>
        </w:rPr>
        <w:t xml:space="preserve">in a super unit cell </w:t>
      </w:r>
      <w:r w:rsidR="00B221EE" w:rsidRPr="00E35AB3">
        <w:rPr>
          <w:lang w:eastAsia="zh-CN"/>
        </w:rPr>
        <w:t xml:space="preserve">consequently requires a </w:t>
      </w:r>
      <w:r w:rsidR="004001BD" w:rsidRPr="00E35AB3">
        <w:rPr>
          <w:lang w:eastAsia="zh-CN"/>
        </w:rPr>
        <w:t xml:space="preserve">significant </w:t>
      </w:r>
      <w:r w:rsidR="00B221EE" w:rsidRPr="00E35AB3">
        <w:rPr>
          <w:lang w:eastAsia="zh-CN"/>
        </w:rPr>
        <w:t xml:space="preserve">decrease in the fin width </w:t>
      </w:r>
      <m:oMath>
        <m:r>
          <m:rPr>
            <m:sty m:val="p"/>
          </m:rPr>
          <w:rPr>
            <w:rFonts w:ascii="Cambria Math" w:hAnsi="Cambria Math"/>
            <w:lang w:eastAsia="zh-CN"/>
          </w:rPr>
          <m:t>d</m:t>
        </m:r>
      </m:oMath>
      <w:r w:rsidR="00461601" w:rsidRPr="00E35AB3">
        <w:rPr>
          <w:lang w:eastAsia="zh-CN"/>
        </w:rPr>
        <w:t xml:space="preserve">. Based on the results in Fig. 3(d), the height </w:t>
      </w:r>
      <m:oMath>
        <m:r>
          <m:rPr>
            <m:sty m:val="p"/>
          </m:rPr>
          <w:rPr>
            <w:rFonts w:ascii="Cambria Math" w:hAnsi="Cambria Math"/>
            <w:lang w:eastAsia="zh-CN"/>
          </w:rPr>
          <m:t>h</m:t>
        </m:r>
      </m:oMath>
      <w:r w:rsidR="00461601" w:rsidRPr="00E35AB3">
        <w:rPr>
          <w:lang w:eastAsia="zh-CN"/>
        </w:rPr>
        <w:t xml:space="preserve"> </w:t>
      </w:r>
      <w:r w:rsidR="001B0CCB" w:rsidRPr="00E35AB3">
        <w:rPr>
          <w:lang w:eastAsia="zh-CN"/>
        </w:rPr>
        <w:t xml:space="preserve">consequently </w:t>
      </w:r>
      <w:r w:rsidR="00461601" w:rsidRPr="00E35AB3">
        <w:rPr>
          <w:lang w:eastAsia="zh-CN"/>
        </w:rPr>
        <w:t xml:space="preserve">has to increase </w:t>
      </w:r>
      <w:r w:rsidR="001B0CCB" w:rsidRPr="00E35AB3">
        <w:rPr>
          <w:lang w:eastAsia="zh-CN"/>
        </w:rPr>
        <w:t>from Figs. 4(a) to 4(d)</w:t>
      </w:r>
      <w:r w:rsidR="00461601" w:rsidRPr="00E35AB3">
        <w:rPr>
          <w:lang w:eastAsia="zh-CN"/>
        </w:rPr>
        <w:t>.</w:t>
      </w:r>
      <w:r w:rsidR="005965E1" w:rsidRPr="00E35AB3">
        <w:rPr>
          <w:lang w:eastAsia="zh-CN"/>
        </w:rPr>
        <w:t xml:space="preserve"> After several rounds of numerical optimization, the value of </w:t>
      </w:r>
      <m:oMath>
        <m:r>
          <m:rPr>
            <m:sty m:val="p"/>
          </m:rPr>
          <w:rPr>
            <w:rFonts w:ascii="Cambria Math" w:hAnsi="Cambria Math"/>
            <w:lang w:eastAsia="zh-CN"/>
          </w:rPr>
          <m:t>h</m:t>
        </m:r>
      </m:oMath>
      <w:r w:rsidR="005965E1" w:rsidRPr="00E35AB3">
        <w:rPr>
          <w:lang w:eastAsia="zh-CN"/>
        </w:rPr>
        <w:t xml:space="preserve"> </w:t>
      </w:r>
      <w:r w:rsidR="001D7910" w:rsidRPr="00E35AB3">
        <w:rPr>
          <w:lang w:eastAsia="zh-CN"/>
        </w:rPr>
        <w:t>settles at</w:t>
      </w:r>
      <w:r w:rsidR="005965E1" w:rsidRPr="00E35AB3">
        <w:rPr>
          <w:lang w:eastAsia="zh-CN"/>
        </w:rPr>
        <w:t xml:space="preserve"> </w:t>
      </w:r>
      <w:r w:rsidR="00617164" w:rsidRPr="00E35AB3">
        <w:rPr>
          <w:lang w:eastAsia="zh-CN"/>
        </w:rPr>
        <w:t xml:space="preserve">425 </w:t>
      </w:r>
      <w:r w:rsidR="00617164" w:rsidRPr="00E35AB3">
        <w:rPr>
          <w:rFonts w:cs="Times New Roman"/>
          <w:lang w:eastAsia="zh-CN"/>
        </w:rPr>
        <w:t>μ</w:t>
      </w:r>
      <w:r w:rsidR="00617164" w:rsidRPr="00E35AB3">
        <w:rPr>
          <w:lang w:eastAsia="zh-CN"/>
        </w:rPr>
        <w:t xml:space="preserve">m, 710 </w:t>
      </w:r>
      <w:r w:rsidR="00617164" w:rsidRPr="00E35AB3">
        <w:rPr>
          <w:rFonts w:cs="Times New Roman"/>
          <w:lang w:eastAsia="zh-CN"/>
        </w:rPr>
        <w:t>μ</w:t>
      </w:r>
      <w:r w:rsidR="00617164" w:rsidRPr="00E35AB3">
        <w:rPr>
          <w:lang w:eastAsia="zh-CN"/>
        </w:rPr>
        <w:t xml:space="preserve">m, 830 </w:t>
      </w:r>
      <w:r w:rsidR="00617164" w:rsidRPr="00E35AB3">
        <w:rPr>
          <w:rFonts w:cs="Times New Roman"/>
          <w:lang w:eastAsia="zh-CN"/>
        </w:rPr>
        <w:t>μ</w:t>
      </w:r>
      <w:r w:rsidR="00617164" w:rsidRPr="00E35AB3">
        <w:rPr>
          <w:lang w:eastAsia="zh-CN"/>
        </w:rPr>
        <w:t xml:space="preserve">m and 950 </w:t>
      </w:r>
      <w:r w:rsidR="00617164" w:rsidRPr="00E35AB3">
        <w:rPr>
          <w:rFonts w:cs="Times New Roman"/>
          <w:lang w:eastAsia="zh-CN"/>
        </w:rPr>
        <w:t>μ</w:t>
      </w:r>
      <w:r w:rsidR="00617164" w:rsidRPr="00E35AB3">
        <w:rPr>
          <w:lang w:eastAsia="zh-CN"/>
        </w:rPr>
        <w:t xml:space="preserve">m </w:t>
      </w:r>
      <w:r w:rsidR="005965E1" w:rsidRPr="00E35AB3">
        <w:rPr>
          <w:lang w:eastAsia="zh-CN"/>
        </w:rPr>
        <w:t xml:space="preserve">in Figs. </w:t>
      </w:r>
      <w:r w:rsidR="001B0CCB" w:rsidRPr="00E35AB3">
        <w:rPr>
          <w:lang w:eastAsia="zh-CN"/>
        </w:rPr>
        <w:t>4(a)</w:t>
      </w:r>
      <w:r w:rsidR="00F621C9" w:rsidRPr="00E35AB3">
        <w:rPr>
          <w:lang w:eastAsia="zh-CN"/>
        </w:rPr>
        <w:t>-</w:t>
      </w:r>
      <w:r w:rsidR="005965E1" w:rsidRPr="00E35AB3">
        <w:rPr>
          <w:lang w:eastAsia="zh-CN"/>
        </w:rPr>
        <w:t xml:space="preserve">(d), respectively. The output phase and intensity of all the </w:t>
      </w:r>
      <w:r w:rsidR="001B0CCB" w:rsidRPr="00E35AB3">
        <w:rPr>
          <w:lang w:eastAsia="zh-CN"/>
        </w:rPr>
        <w:t>units</w:t>
      </w:r>
      <w:r w:rsidR="005965E1" w:rsidRPr="00E35AB3">
        <w:rPr>
          <w:lang w:eastAsia="zh-CN"/>
        </w:rPr>
        <w:t xml:space="preserve"> in these </w:t>
      </w:r>
      <w:r w:rsidR="001B0CCB" w:rsidRPr="00E35AB3">
        <w:rPr>
          <w:lang w:eastAsia="zh-CN"/>
        </w:rPr>
        <w:t>four designs</w:t>
      </w:r>
      <w:r w:rsidR="005965E1" w:rsidRPr="00E35AB3">
        <w:rPr>
          <w:lang w:eastAsia="zh-CN"/>
        </w:rPr>
        <w:t xml:space="preserve">, together with </w:t>
      </w:r>
      <w:r w:rsidR="001B0CCB" w:rsidRPr="00E35AB3">
        <w:rPr>
          <w:lang w:eastAsia="zh-CN"/>
        </w:rPr>
        <w:t>their geometric dimensions</w:t>
      </w:r>
      <w:r w:rsidR="005965E1" w:rsidRPr="00E35AB3">
        <w:rPr>
          <w:lang w:eastAsia="zh-CN"/>
        </w:rPr>
        <w:t xml:space="preserve">, can be found in Supplementary </w:t>
      </w:r>
      <w:r w:rsidR="00834891" w:rsidRPr="00E35AB3">
        <w:rPr>
          <w:lang w:eastAsia="zh-CN"/>
        </w:rPr>
        <w:t>Fig. S3 and Table S1</w:t>
      </w:r>
      <w:r w:rsidR="005965E1" w:rsidRPr="00E35AB3">
        <w:rPr>
          <w:lang w:eastAsia="zh-CN"/>
        </w:rPr>
        <w:t>.</w:t>
      </w:r>
    </w:p>
    <w:p w:rsidR="00047F3F" w:rsidRPr="00E35AB3" w:rsidRDefault="00350B00" w:rsidP="000B099F">
      <w:pPr>
        <w:pStyle w:val="09BodyFirstParagraph"/>
        <w:spacing w:before="0"/>
        <w:ind w:firstLine="289"/>
        <w:rPr>
          <w:lang w:eastAsia="zh-CN"/>
        </w:rPr>
      </w:pPr>
      <w:r w:rsidRPr="00E35AB3">
        <w:rPr>
          <w:lang w:eastAsia="zh-CN"/>
        </w:rPr>
        <w:t>Figure 4 shows that all the four designs support</w:t>
      </w:r>
      <w:r w:rsidR="00E3579C" w:rsidRPr="00E35AB3">
        <w:rPr>
          <w:lang w:eastAsia="zh-CN"/>
        </w:rPr>
        <w:t xml:space="preserve"> a strong </w:t>
      </w:r>
      <w:r w:rsidR="00D4049F" w:rsidRPr="00E35AB3">
        <w:rPr>
          <w:lang w:eastAsia="zh-CN"/>
        </w:rPr>
        <w:t>SW</w:t>
      </w:r>
      <w:r w:rsidR="00E3579C" w:rsidRPr="00E35AB3">
        <w:rPr>
          <w:lang w:eastAsia="zh-CN"/>
        </w:rPr>
        <w:t xml:space="preserve"> at the top surface (i.e. the </w:t>
      </w:r>
      <w:r w:rsidR="00E3579C" w:rsidRPr="00E35AB3">
        <w:rPr>
          <w:i/>
          <w:lang w:eastAsia="zh-CN"/>
        </w:rPr>
        <w:t>xy</w:t>
      </w:r>
      <w:r w:rsidR="00E3579C" w:rsidRPr="00E35AB3">
        <w:rPr>
          <w:lang w:eastAsia="zh-CN"/>
        </w:rPr>
        <w:t xml:space="preserve"> interface between the Si fins and the air) of the meta-converter. </w:t>
      </w:r>
      <w:r w:rsidR="00D4049F" w:rsidRPr="00E35AB3">
        <w:rPr>
          <w:lang w:eastAsia="zh-CN"/>
        </w:rPr>
        <w:t xml:space="preserve">The SW decays exponentially into the air along the </w:t>
      </w:r>
      <w:r w:rsidR="00D4049F" w:rsidRPr="00E35AB3">
        <w:rPr>
          <w:i/>
          <w:lang w:eastAsia="zh-CN"/>
        </w:rPr>
        <w:t>z</w:t>
      </w:r>
      <w:r w:rsidR="00D4049F" w:rsidRPr="00E35AB3">
        <w:rPr>
          <w:lang w:eastAsia="zh-CN"/>
        </w:rPr>
        <w:t xml:space="preserve"> axis at</w:t>
      </w:r>
      <w:r w:rsidR="00D4049F" w:rsidRPr="00E35AB3">
        <w:rPr>
          <w:rFonts w:hint="eastAsia"/>
          <w:lang w:eastAsia="zh-CN"/>
        </w:rPr>
        <w:t xml:space="preserve"> </w:t>
      </w:r>
      <w:r w:rsidR="00D4049F" w:rsidRPr="00E35AB3">
        <w:rPr>
          <w:lang w:eastAsia="zh-CN"/>
        </w:rPr>
        <w:t xml:space="preserve">a rate of </w:t>
      </w:r>
      <m:oMath>
        <m:r>
          <m:rPr>
            <m:sty m:val="p"/>
          </m:rPr>
          <w:rPr>
            <w:rFonts w:ascii="Cambria Math" w:hAnsi="Cambria Math"/>
            <w:lang w:eastAsia="zh-CN"/>
          </w:rPr>
          <m:t>Exp</m:t>
        </m:r>
        <m:r>
          <w:rPr>
            <w:rFonts w:ascii="Cambria Math" w:hAnsi="Cambria Math"/>
            <w:lang w:eastAsia="zh-CN"/>
          </w:rPr>
          <m:t>[-z/t]</m:t>
        </m:r>
      </m:oMath>
      <w:r w:rsidR="001D7910" w:rsidRPr="00E35AB3">
        <w:rPr>
          <w:lang w:eastAsia="zh-CN"/>
        </w:rPr>
        <w:t xml:space="preserve"> in all the designs</w:t>
      </w:r>
      <w:r w:rsidR="00D4049F" w:rsidRPr="00E35AB3">
        <w:rPr>
          <w:lang w:eastAsia="zh-CN"/>
        </w:rPr>
        <w:t xml:space="preserve">, where the characteristic depth </w:t>
      </w:r>
      <m:oMath>
        <m:r>
          <w:rPr>
            <w:rFonts w:ascii="Cambria Math" w:hAnsi="Cambria Math"/>
            <w:lang w:eastAsia="zh-CN"/>
          </w:rPr>
          <m:t>t</m:t>
        </m:r>
      </m:oMath>
      <w:r w:rsidR="00940B6B" w:rsidRPr="00E35AB3">
        <w:rPr>
          <w:lang w:eastAsia="zh-CN"/>
        </w:rPr>
        <w:t xml:space="preserve"> </w:t>
      </w:r>
      <w:r w:rsidR="004001BD" w:rsidRPr="00E35AB3">
        <w:rPr>
          <w:lang w:eastAsia="zh-CN"/>
        </w:rPr>
        <w:t xml:space="preserve">is design dependent and </w:t>
      </w:r>
      <w:r w:rsidR="001D7910" w:rsidRPr="00E35AB3">
        <w:rPr>
          <w:lang w:eastAsia="zh-CN"/>
        </w:rPr>
        <w:t>varies between</w:t>
      </w:r>
      <w:r w:rsidR="003B00CD" w:rsidRPr="00E35AB3">
        <w:rPr>
          <w:lang w:eastAsia="zh-CN"/>
        </w:rPr>
        <w:t xml:space="preserve"> </w:t>
      </w:r>
      <w:r w:rsidR="00D800A8" w:rsidRPr="00E35AB3">
        <w:rPr>
          <w:lang w:eastAsia="zh-CN"/>
        </w:rPr>
        <w:t>27</w:t>
      </w:r>
      <w:r w:rsidR="003B00CD" w:rsidRPr="00E35AB3">
        <w:rPr>
          <w:lang w:eastAsia="zh-CN"/>
        </w:rPr>
        <w:t>0</w:t>
      </w:r>
      <w:r w:rsidR="001D7910" w:rsidRPr="00E35AB3">
        <w:rPr>
          <w:lang w:eastAsia="zh-CN"/>
        </w:rPr>
        <w:t xml:space="preserve"> </w:t>
      </w:r>
      <w:r w:rsidR="003B00CD" w:rsidRPr="00E35AB3">
        <w:rPr>
          <w:lang w:eastAsia="zh-CN"/>
        </w:rPr>
        <w:t xml:space="preserve">μm to </w:t>
      </w:r>
      <w:r w:rsidR="00D800A8" w:rsidRPr="00E35AB3">
        <w:rPr>
          <w:lang w:eastAsia="zh-CN"/>
        </w:rPr>
        <w:t>38</w:t>
      </w:r>
      <w:r w:rsidR="003B00CD" w:rsidRPr="00E35AB3">
        <w:rPr>
          <w:lang w:eastAsia="zh-CN"/>
        </w:rPr>
        <w:t>0</w:t>
      </w:r>
      <w:r w:rsidR="001D7910" w:rsidRPr="00E35AB3">
        <w:rPr>
          <w:lang w:eastAsia="zh-CN"/>
        </w:rPr>
        <w:t xml:space="preserve"> </w:t>
      </w:r>
      <w:r w:rsidR="003B00CD" w:rsidRPr="00E35AB3">
        <w:rPr>
          <w:lang w:eastAsia="zh-CN"/>
        </w:rPr>
        <w:t>μm</w:t>
      </w:r>
      <w:r w:rsidR="00D4049F" w:rsidRPr="00E35AB3">
        <w:rPr>
          <w:lang w:eastAsia="zh-CN"/>
        </w:rPr>
        <w:t xml:space="preserve">. Meanwhile, the </w:t>
      </w:r>
      <w:r w:rsidR="00623FA6" w:rsidRPr="00E35AB3">
        <w:rPr>
          <w:i/>
          <w:lang w:eastAsia="zh-CN"/>
        </w:rPr>
        <w:t>z</w:t>
      </w:r>
      <w:r w:rsidR="00623FA6" w:rsidRPr="00E35AB3">
        <w:rPr>
          <w:lang w:eastAsia="zh-CN"/>
        </w:rPr>
        <w:t xml:space="preserve">-direction decay inside the meta-converter lacks such exponential dependence. This is attributed to the spatial variation in the refractive index inside the meta-converter, as well as the existence of a weak </w:t>
      </w:r>
      <w:r w:rsidR="007B2475" w:rsidRPr="00E35AB3">
        <w:rPr>
          <w:lang w:eastAsia="zh-CN"/>
        </w:rPr>
        <w:t xml:space="preserve">Fabry–Pérot </w:t>
      </w:r>
      <w:r w:rsidR="00623FA6" w:rsidRPr="00E35AB3">
        <w:rPr>
          <w:lang w:eastAsia="zh-CN"/>
        </w:rPr>
        <w:t xml:space="preserve">resonance between its two </w:t>
      </w:r>
      <w:r w:rsidR="00623FA6" w:rsidRPr="00E35AB3">
        <w:rPr>
          <w:i/>
          <w:lang w:eastAsia="zh-CN"/>
        </w:rPr>
        <w:t>xy</w:t>
      </w:r>
      <w:r w:rsidR="00623FA6" w:rsidRPr="00E35AB3">
        <w:rPr>
          <w:lang w:eastAsia="zh-CN"/>
        </w:rPr>
        <w:t xml:space="preserve"> surfaces. The latter is most noticeable in Fig.</w:t>
      </w:r>
      <w:r w:rsidR="008954B2" w:rsidRPr="00E35AB3">
        <w:rPr>
          <w:lang w:eastAsia="zh-CN"/>
        </w:rPr>
        <w:t xml:space="preserve"> 4(a)</w:t>
      </w:r>
      <w:r w:rsidR="00623FA6" w:rsidRPr="00E35AB3">
        <w:rPr>
          <w:lang w:eastAsia="zh-CN"/>
        </w:rPr>
        <w:t>, where an os</w:t>
      </w:r>
      <w:r w:rsidRPr="00E35AB3">
        <w:rPr>
          <w:lang w:eastAsia="zh-CN"/>
        </w:rPr>
        <w:t>ci</w:t>
      </w:r>
      <w:r w:rsidR="00623FA6" w:rsidRPr="00E35AB3">
        <w:rPr>
          <w:lang w:eastAsia="zh-CN"/>
        </w:rPr>
        <w:t xml:space="preserve">llation of the </w:t>
      </w:r>
      <w:r w:rsidRPr="00E35AB3">
        <w:rPr>
          <w:lang w:eastAsia="zh-CN"/>
        </w:rPr>
        <w:t xml:space="preserve">strength of the </w:t>
      </w:r>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z</m:t>
            </m:r>
          </m:sub>
        </m:sSub>
      </m:oMath>
      <w:r w:rsidR="00623FA6" w:rsidRPr="00E35AB3">
        <w:rPr>
          <w:lang w:eastAsia="zh-CN"/>
        </w:rPr>
        <w:t xml:space="preserve"> component is </w:t>
      </w:r>
      <w:r w:rsidRPr="00E35AB3">
        <w:rPr>
          <w:lang w:eastAsia="zh-CN"/>
        </w:rPr>
        <w:t>visible</w:t>
      </w:r>
      <w:r w:rsidR="00623FA6" w:rsidRPr="00E35AB3">
        <w:rPr>
          <w:lang w:eastAsia="zh-CN"/>
        </w:rPr>
        <w:t xml:space="preserve"> along the </w:t>
      </w:r>
      <w:r w:rsidR="00623FA6" w:rsidRPr="00E35AB3">
        <w:rPr>
          <w:i/>
          <w:lang w:eastAsia="zh-CN"/>
        </w:rPr>
        <w:t>z</w:t>
      </w:r>
      <w:r w:rsidR="00623FA6" w:rsidRPr="00E35AB3">
        <w:rPr>
          <w:lang w:eastAsia="zh-CN"/>
        </w:rPr>
        <w:t xml:space="preserve"> axis inside the meta-converter.</w:t>
      </w:r>
    </w:p>
    <w:p w:rsidR="000B099F" w:rsidRPr="00E35AB3" w:rsidRDefault="004C128C" w:rsidP="00D93D49">
      <w:pPr>
        <w:pStyle w:val="10BodySubsequentParagraph"/>
        <w:ind w:firstLine="0"/>
        <w:jc w:val="center"/>
        <w:rPr>
          <w:rFonts w:eastAsia="DengXian"/>
          <w:lang w:eastAsia="zh-CN"/>
        </w:rPr>
      </w:pPr>
      <w:r w:rsidRPr="00E35AB3">
        <w:rPr>
          <w:rFonts w:eastAsia="DengXian"/>
          <w:noProof/>
          <w:lang w:val="en-GB" w:eastAsia="zh-CN"/>
        </w:rPr>
        <w:lastRenderedPageBreak/>
        <w:drawing>
          <wp:inline distT="0" distB="0" distL="0" distR="0">
            <wp:extent cx="4686300" cy="3705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3705225"/>
                    </a:xfrm>
                    <a:prstGeom prst="rect">
                      <a:avLst/>
                    </a:prstGeom>
                    <a:noFill/>
                    <a:ln>
                      <a:noFill/>
                    </a:ln>
                  </pic:spPr>
                </pic:pic>
              </a:graphicData>
            </a:graphic>
          </wp:inline>
        </w:drawing>
      </w:r>
    </w:p>
    <w:p w:rsidR="00B82B54" w:rsidRPr="00E35AB3" w:rsidRDefault="005B1938" w:rsidP="00621F06">
      <w:pPr>
        <w:pStyle w:val="10BodySubsequentParagraph"/>
        <w:spacing w:before="120" w:after="120"/>
        <w:ind w:left="720" w:right="720" w:firstLine="0"/>
        <w:rPr>
          <w:rFonts w:eastAsia="DengXian" w:cs="Times New Roman"/>
          <w:sz w:val="16"/>
          <w:szCs w:val="16"/>
          <w:lang w:eastAsia="zh-CN"/>
        </w:rPr>
      </w:pPr>
      <w:r w:rsidRPr="00E35AB3">
        <w:rPr>
          <w:rFonts w:cs="Times New Roman"/>
          <w:b/>
          <w:sz w:val="16"/>
          <w:szCs w:val="16"/>
          <w:lang w:eastAsia="zh-CN"/>
        </w:rPr>
        <w:t>Fig.</w:t>
      </w:r>
      <w:r w:rsidR="00390558" w:rsidRPr="00E35AB3">
        <w:rPr>
          <w:rFonts w:cs="Times New Roman"/>
          <w:b/>
          <w:sz w:val="16"/>
          <w:szCs w:val="16"/>
          <w:lang w:eastAsia="zh-CN"/>
        </w:rPr>
        <w:t xml:space="preserve"> </w:t>
      </w:r>
      <w:r w:rsidRPr="00E35AB3">
        <w:rPr>
          <w:rFonts w:cs="Times New Roman"/>
          <w:b/>
          <w:sz w:val="16"/>
          <w:szCs w:val="16"/>
          <w:lang w:eastAsia="zh-CN"/>
        </w:rPr>
        <w:t xml:space="preserve">4. </w:t>
      </w:r>
      <w:bookmarkStart w:id="15" w:name="_Hlk97647749"/>
      <w:r w:rsidRPr="00E35AB3">
        <w:rPr>
          <w:rFonts w:cs="Times New Roman"/>
          <w:sz w:val="16"/>
          <w:szCs w:val="16"/>
          <w:lang w:eastAsia="zh-CN"/>
        </w:rPr>
        <w:t xml:space="preserve">PW-SW conversion in </w:t>
      </w:r>
      <w:r w:rsidR="009A26D0" w:rsidRPr="00E35AB3">
        <w:rPr>
          <w:rFonts w:cs="Times New Roman"/>
          <w:sz w:val="16"/>
          <w:szCs w:val="16"/>
          <w:lang w:eastAsia="zh-CN"/>
        </w:rPr>
        <w:t xml:space="preserve">four </w:t>
      </w:r>
      <w:r w:rsidRPr="00E35AB3">
        <w:rPr>
          <w:rFonts w:cs="Times New Roman"/>
          <w:sz w:val="16"/>
          <w:szCs w:val="16"/>
          <w:lang w:eastAsia="zh-CN"/>
        </w:rPr>
        <w:t>infinitely large</w:t>
      </w:r>
      <w:r w:rsidR="009A26D0" w:rsidRPr="00E35AB3">
        <w:rPr>
          <w:rFonts w:cs="Times New Roman"/>
          <w:sz w:val="16"/>
          <w:szCs w:val="16"/>
          <w:lang w:eastAsia="zh-CN"/>
        </w:rPr>
        <w:t>, periodic</w:t>
      </w:r>
      <w:r w:rsidRPr="00E35AB3">
        <w:rPr>
          <w:rFonts w:cs="Times New Roman"/>
          <w:sz w:val="16"/>
          <w:szCs w:val="16"/>
          <w:lang w:eastAsia="zh-CN"/>
        </w:rPr>
        <w:t xml:space="preserve"> meta-couplers. </w:t>
      </w:r>
      <w:bookmarkStart w:id="16" w:name="_Hlk97200642"/>
      <w:bookmarkEnd w:id="15"/>
      <w:r w:rsidR="009A26D0" w:rsidRPr="00E35AB3">
        <w:rPr>
          <w:rFonts w:cs="Times New Roman"/>
          <w:sz w:val="16"/>
          <w:szCs w:val="16"/>
          <w:lang w:eastAsia="zh-CN"/>
        </w:rPr>
        <w:t>The</w:t>
      </w:r>
      <w:bookmarkStart w:id="17" w:name="_Hlk97200586"/>
      <w:r w:rsidR="009A26D0" w:rsidRPr="00E35AB3">
        <w:rPr>
          <w:rFonts w:cs="Times New Roman"/>
          <w:sz w:val="16"/>
          <w:szCs w:val="16"/>
          <w:lang w:eastAsia="zh-CN"/>
        </w:rPr>
        <w:t xml:space="preserve"> periodicity</w:t>
      </w:r>
      <w:bookmarkEnd w:id="17"/>
      <w:r w:rsidR="009A26D0" w:rsidRPr="00E35AB3">
        <w:rPr>
          <w:rFonts w:cs="Times New Roman"/>
          <w:sz w:val="16"/>
          <w:szCs w:val="16"/>
          <w:lang w:eastAsia="zh-CN"/>
        </w:rPr>
        <w:t xml:space="preserve"> is approximately 370 μm in all the four designs</w:t>
      </w:r>
      <w:r w:rsidR="00AD3977" w:rsidRPr="00E35AB3">
        <w:rPr>
          <w:rFonts w:cs="Times New Roman"/>
          <w:sz w:val="16"/>
          <w:szCs w:val="16"/>
          <w:lang w:eastAsia="zh-CN"/>
        </w:rPr>
        <w:t>.</w:t>
      </w:r>
      <w:bookmarkEnd w:id="16"/>
      <w:r w:rsidR="00AD3977" w:rsidRPr="00E35AB3">
        <w:rPr>
          <w:rFonts w:cs="Times New Roman"/>
          <w:sz w:val="16"/>
          <w:szCs w:val="16"/>
          <w:lang w:eastAsia="zh-CN"/>
        </w:rPr>
        <w:t xml:space="preserve"> Each panel corresponds to an area of </w:t>
      </w:r>
      <w:r w:rsidR="009936E3" w:rsidRPr="00E35AB3">
        <w:rPr>
          <w:rFonts w:cs="Times New Roman"/>
          <w:sz w:val="16"/>
          <w:szCs w:val="16"/>
          <w:lang w:eastAsia="zh-CN"/>
        </w:rPr>
        <w:t>1850</w:t>
      </w:r>
      <w:r w:rsidR="00AD3977" w:rsidRPr="00E35AB3">
        <w:rPr>
          <w:rFonts w:cs="Times New Roman"/>
          <w:sz w:val="16"/>
          <w:szCs w:val="16"/>
          <w:lang w:eastAsia="zh-CN"/>
        </w:rPr>
        <w:t xml:space="preserve"> μm ×</w:t>
      </w:r>
      <w:r w:rsidR="009936E3" w:rsidRPr="00E35AB3">
        <w:rPr>
          <w:rFonts w:cs="Times New Roman"/>
          <w:sz w:val="16"/>
          <w:szCs w:val="16"/>
          <w:lang w:eastAsia="zh-CN"/>
        </w:rPr>
        <w:t>1</w:t>
      </w:r>
      <w:r w:rsidR="002A150F" w:rsidRPr="00E35AB3">
        <w:rPr>
          <w:rFonts w:cs="Times New Roman"/>
          <w:sz w:val="16"/>
          <w:szCs w:val="16"/>
          <w:lang w:eastAsia="zh-CN"/>
        </w:rPr>
        <w:t>5</w:t>
      </w:r>
      <w:r w:rsidR="009936E3" w:rsidRPr="00E35AB3">
        <w:rPr>
          <w:rFonts w:cs="Times New Roman"/>
          <w:sz w:val="16"/>
          <w:szCs w:val="16"/>
          <w:lang w:eastAsia="zh-CN"/>
        </w:rPr>
        <w:t>00</w:t>
      </w:r>
      <w:r w:rsidR="003B00CD" w:rsidRPr="00E35AB3">
        <w:rPr>
          <w:rFonts w:cs="Times New Roman"/>
          <w:sz w:val="16"/>
          <w:szCs w:val="16"/>
          <w:lang w:eastAsia="zh-CN"/>
        </w:rPr>
        <w:t xml:space="preserve"> </w:t>
      </w:r>
      <w:r w:rsidR="00AD3977" w:rsidRPr="00E35AB3">
        <w:rPr>
          <w:rFonts w:cs="Times New Roman"/>
          <w:sz w:val="16"/>
          <w:szCs w:val="16"/>
          <w:lang w:eastAsia="zh-CN"/>
        </w:rPr>
        <w:t xml:space="preserve">μm, </w:t>
      </w:r>
      <w:r w:rsidR="000C6B5A" w:rsidRPr="00E35AB3">
        <w:rPr>
          <w:rFonts w:cs="Times New Roman"/>
          <w:sz w:val="16"/>
          <w:szCs w:val="16"/>
          <w:lang w:eastAsia="zh-CN"/>
        </w:rPr>
        <w:t xml:space="preserve">each </w:t>
      </w:r>
      <w:r w:rsidR="00AD3977" w:rsidRPr="00E35AB3">
        <w:rPr>
          <w:rFonts w:cs="Times New Roman"/>
          <w:sz w:val="16"/>
          <w:szCs w:val="16"/>
          <w:lang w:eastAsia="zh-CN"/>
        </w:rPr>
        <w:t>containing</w:t>
      </w:r>
      <w:r w:rsidR="009A26D0" w:rsidRPr="00E35AB3">
        <w:rPr>
          <w:rFonts w:cs="Times New Roman"/>
          <w:sz w:val="16"/>
          <w:szCs w:val="16"/>
          <w:lang w:eastAsia="zh-CN"/>
        </w:rPr>
        <w:t xml:space="preserve"> 5 </w:t>
      </w:r>
      <w:r w:rsidR="00AD3977" w:rsidRPr="00E35AB3">
        <w:rPr>
          <w:rFonts w:cs="Times New Roman"/>
          <w:sz w:val="16"/>
          <w:szCs w:val="16"/>
          <w:lang w:eastAsia="zh-CN"/>
        </w:rPr>
        <w:t xml:space="preserve">super </w:t>
      </w:r>
      <w:r w:rsidR="009A26D0" w:rsidRPr="00E35AB3">
        <w:rPr>
          <w:rFonts w:cs="Times New Roman"/>
          <w:sz w:val="16"/>
          <w:szCs w:val="16"/>
          <w:lang w:eastAsia="zh-CN"/>
        </w:rPr>
        <w:t>unit</w:t>
      </w:r>
      <w:r w:rsidR="00AD3977" w:rsidRPr="00E35AB3">
        <w:rPr>
          <w:rFonts w:cs="Times New Roman"/>
          <w:sz w:val="16"/>
          <w:szCs w:val="16"/>
          <w:lang w:eastAsia="zh-CN"/>
        </w:rPr>
        <w:t xml:space="preserve"> cell</w:t>
      </w:r>
      <w:r w:rsidR="009A26D0" w:rsidRPr="00E35AB3">
        <w:rPr>
          <w:rFonts w:cs="Times New Roman"/>
          <w:sz w:val="16"/>
          <w:szCs w:val="16"/>
          <w:lang w:eastAsia="zh-CN"/>
        </w:rPr>
        <w:t xml:space="preserve">s. The meta-converters are illuminated at normal incidence from the bottom by a linearly polarized </w:t>
      </w:r>
      <w:r w:rsidR="00C06E90" w:rsidRPr="00E35AB3">
        <w:rPr>
          <w:rFonts w:cs="Times New Roman"/>
          <w:sz w:val="16"/>
          <w:szCs w:val="16"/>
          <w:lang w:eastAsia="zh-CN"/>
        </w:rPr>
        <w:t>PW</w:t>
      </w:r>
      <w:r w:rsidR="009A26D0" w:rsidRPr="00E35AB3">
        <w:rPr>
          <w:rFonts w:cs="Times New Roman"/>
          <w:sz w:val="16"/>
          <w:szCs w:val="16"/>
          <w:lang w:eastAsia="zh-CN"/>
        </w:rPr>
        <w:t xml:space="preserve">. The polarization is along the </w:t>
      </w:r>
      <w:r w:rsidR="009A26D0" w:rsidRPr="00E35AB3">
        <w:rPr>
          <w:rFonts w:cs="Times New Roman"/>
          <w:i/>
          <w:sz w:val="16"/>
          <w:szCs w:val="16"/>
          <w:lang w:eastAsia="zh-CN"/>
        </w:rPr>
        <w:t>x</w:t>
      </w:r>
      <w:r w:rsidR="009A26D0" w:rsidRPr="00E35AB3">
        <w:rPr>
          <w:rFonts w:cs="Times New Roman"/>
          <w:sz w:val="16"/>
          <w:szCs w:val="16"/>
          <w:lang w:eastAsia="zh-CN"/>
        </w:rPr>
        <w:t xml:space="preserve"> axis, which is orthogonal to the Si fins. </w:t>
      </w:r>
      <w:bookmarkStart w:id="18" w:name="_Hlk97752658"/>
      <w:r w:rsidR="00F46DCB" w:rsidRPr="00E35AB3">
        <w:rPr>
          <w:rFonts w:cs="Times New Roman"/>
          <w:sz w:val="16"/>
          <w:szCs w:val="16"/>
          <w:lang w:eastAsia="zh-CN"/>
        </w:rPr>
        <w:t>The field strength of all the four panels is normalized against the same value.</w:t>
      </w:r>
      <w:bookmarkEnd w:id="18"/>
      <w:r w:rsidR="00F46DCB" w:rsidRPr="00E35AB3">
        <w:rPr>
          <w:rFonts w:cs="Times New Roman"/>
          <w:sz w:val="16"/>
          <w:szCs w:val="16"/>
          <w:lang w:eastAsia="zh-CN"/>
        </w:rPr>
        <w:t xml:space="preserve"> </w:t>
      </w:r>
      <w:r w:rsidR="009A26D0" w:rsidRPr="00E35AB3">
        <w:rPr>
          <w:rFonts w:cs="Times New Roman"/>
          <w:sz w:val="16"/>
          <w:szCs w:val="16"/>
          <w:lang w:eastAsia="zh-CN"/>
        </w:rPr>
        <w:t xml:space="preserve">The number of </w:t>
      </w:r>
      <w:r w:rsidR="00193C09" w:rsidRPr="00E35AB3">
        <w:rPr>
          <w:rFonts w:cs="Times New Roman"/>
          <w:sz w:val="16"/>
          <w:szCs w:val="16"/>
          <w:lang w:eastAsia="zh-CN"/>
        </w:rPr>
        <w:t xml:space="preserve">air gaps in a super unit cell </w:t>
      </w:r>
      <w:r w:rsidR="008E3BDE" w:rsidRPr="00E35AB3">
        <w:rPr>
          <w:rFonts w:cs="Times New Roman"/>
          <w:sz w:val="16"/>
          <w:szCs w:val="16"/>
          <w:lang w:eastAsia="zh-CN"/>
        </w:rPr>
        <w:t xml:space="preserve">is (a) 8, (b) </w:t>
      </w:r>
      <w:r w:rsidR="00350B00" w:rsidRPr="00E35AB3">
        <w:rPr>
          <w:rFonts w:cs="Times New Roman"/>
          <w:sz w:val="16"/>
          <w:szCs w:val="16"/>
          <w:lang w:eastAsia="zh-CN"/>
        </w:rPr>
        <w:t>16</w:t>
      </w:r>
      <w:r w:rsidR="008E3BDE" w:rsidRPr="00E35AB3">
        <w:rPr>
          <w:rFonts w:cs="Times New Roman"/>
          <w:sz w:val="16"/>
          <w:szCs w:val="16"/>
          <w:lang w:eastAsia="zh-CN"/>
        </w:rPr>
        <w:t>, (c) 30 and (d) 60.</w:t>
      </w:r>
      <w:bookmarkEnd w:id="13"/>
      <w:r w:rsidR="00047F3F" w:rsidRPr="00E35AB3">
        <w:rPr>
          <w:rFonts w:cs="Times New Roman"/>
          <w:sz w:val="16"/>
          <w:szCs w:val="16"/>
          <w:lang w:eastAsia="zh-CN"/>
        </w:rPr>
        <w:t xml:space="preserve"> </w:t>
      </w:r>
      <w:bookmarkStart w:id="19" w:name="_Hlk97647100"/>
      <w:r w:rsidR="00047F3F" w:rsidRPr="00E35AB3">
        <w:rPr>
          <w:rFonts w:cs="Times New Roman"/>
          <w:sz w:val="16"/>
          <w:szCs w:val="16"/>
          <w:lang w:eastAsia="zh-CN"/>
        </w:rPr>
        <w:t>Panels (a) and (d) are annotated for clarification, and the hatched area</w:t>
      </w:r>
      <w:r w:rsidR="00F46DCB" w:rsidRPr="00E35AB3">
        <w:rPr>
          <w:rFonts w:cs="Times New Roman"/>
          <w:sz w:val="16"/>
          <w:szCs w:val="16"/>
          <w:lang w:eastAsia="zh-CN"/>
        </w:rPr>
        <w:t>s</w:t>
      </w:r>
      <w:r w:rsidR="00047F3F" w:rsidRPr="00E35AB3">
        <w:rPr>
          <w:rFonts w:cs="Times New Roman"/>
          <w:sz w:val="16"/>
          <w:szCs w:val="16"/>
          <w:lang w:eastAsia="zh-CN"/>
        </w:rPr>
        <w:t xml:space="preserve"> in </w:t>
      </w:r>
      <w:r w:rsidR="00F46DCB" w:rsidRPr="00E35AB3">
        <w:rPr>
          <w:rFonts w:cs="Times New Roman"/>
          <w:sz w:val="16"/>
          <w:szCs w:val="16"/>
          <w:lang w:eastAsia="zh-CN"/>
        </w:rPr>
        <w:t>all the panels specif</w:t>
      </w:r>
      <w:r w:rsidR="00EA7E27" w:rsidRPr="00E35AB3">
        <w:rPr>
          <w:rFonts w:cs="Times New Roman"/>
          <w:sz w:val="16"/>
          <w:szCs w:val="16"/>
          <w:lang w:eastAsia="zh-CN"/>
        </w:rPr>
        <w:t>y</w:t>
      </w:r>
      <w:r w:rsidR="00047F3F" w:rsidRPr="00E35AB3">
        <w:rPr>
          <w:rFonts w:cs="Times New Roman"/>
          <w:sz w:val="16"/>
          <w:szCs w:val="16"/>
          <w:lang w:eastAsia="zh-CN"/>
        </w:rPr>
        <w:t xml:space="preserve"> the spatial expansion of a single super unit cell.</w:t>
      </w:r>
      <w:r w:rsidR="003A3F04" w:rsidRPr="00E35AB3">
        <w:rPr>
          <w:rFonts w:cs="Times New Roman"/>
          <w:sz w:val="16"/>
          <w:szCs w:val="16"/>
          <w:lang w:eastAsia="zh-CN"/>
        </w:rPr>
        <w:t xml:space="preserve"> </w:t>
      </w:r>
    </w:p>
    <w:bookmarkEnd w:id="19"/>
    <w:p w:rsidR="00B82B54" w:rsidRPr="00E35AB3" w:rsidRDefault="00B82B54" w:rsidP="00B82B54">
      <w:pPr>
        <w:pStyle w:val="09BodyFirstParagraph"/>
        <w:spacing w:before="0"/>
        <w:ind w:firstLine="289"/>
        <w:rPr>
          <w:lang w:eastAsia="zh-CN"/>
        </w:rPr>
      </w:pPr>
      <w:r w:rsidRPr="00E35AB3">
        <w:rPr>
          <w:lang w:eastAsia="zh-CN"/>
        </w:rPr>
        <w:t>In all the four designs in Fig. 4, the SW propagates in the +</w:t>
      </w:r>
      <w:r w:rsidRPr="00E35AB3">
        <w:rPr>
          <w:i/>
          <w:lang w:eastAsia="zh-CN"/>
        </w:rPr>
        <w:t>x</w:t>
      </w:r>
      <w:r w:rsidRPr="00E35AB3">
        <w:rPr>
          <w:lang w:eastAsia="zh-CN"/>
        </w:rPr>
        <w:t xml:space="preserve"> direction, the direction of </w:t>
      </w:r>
      <w:r w:rsidR="00047F3F" w:rsidRPr="00E35AB3">
        <w:rPr>
          <w:lang w:eastAsia="zh-CN"/>
        </w:rPr>
        <w:t>decreasing</w:t>
      </w:r>
      <w:r w:rsidRPr="00E35AB3">
        <w:rPr>
          <w:lang w:eastAsia="zh-CN"/>
        </w:rPr>
        <w:t xml:space="preserve"> gap size inside a unit cell. The propagation constant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SW</m:t>
            </m:r>
          </m:sub>
        </m:sSub>
      </m:oMath>
      <w:r w:rsidRPr="00E35AB3">
        <w:rPr>
          <w:lang w:eastAsia="zh-CN"/>
        </w:rPr>
        <w:t xml:space="preserve"> is equal to the phase gradient </w:t>
      </w:r>
      <m:oMath>
        <m:f>
          <m:fPr>
            <m:type m:val="lin"/>
            <m:ctrlPr>
              <w:rPr>
                <w:rFonts w:ascii="Cambria Math" w:hAnsi="Cambria Math"/>
                <w:i/>
                <w:lang w:eastAsia="zh-CN"/>
              </w:rPr>
            </m:ctrlPr>
          </m:fPr>
          <m:num>
            <m:r>
              <w:rPr>
                <w:rFonts w:ascii="Cambria Math" w:hAnsi="Cambria Math"/>
                <w:lang w:eastAsia="zh-CN"/>
              </w:rPr>
              <m:t>d</m:t>
            </m:r>
            <m:r>
              <m:rPr>
                <m:sty m:val="p"/>
              </m:rPr>
              <w:rPr>
                <w:rFonts w:ascii="Cambria Math" w:hAnsi="Cambria Math"/>
              </w:rPr>
              <m:t>φ</m:t>
            </m:r>
          </m:num>
          <m:den>
            <m:r>
              <w:rPr>
                <w:rFonts w:ascii="Cambria Math" w:hAnsi="Cambria Math"/>
                <w:lang w:eastAsia="zh-CN"/>
              </w:rPr>
              <m:t>dx</m:t>
            </m:r>
          </m:den>
        </m:f>
      </m:oMath>
      <w:r w:rsidRPr="00E35AB3">
        <w:rPr>
          <w:lang w:eastAsia="zh-CN"/>
        </w:rPr>
        <w:t xml:space="preserve"> as shown below</w:t>
      </w:r>
    </w:p>
    <w:p w:rsidR="00B82B54" w:rsidRPr="00E35AB3" w:rsidRDefault="00B82B54" w:rsidP="00B82B54">
      <w:pPr>
        <w:pStyle w:val="09BodyFirstParagraph"/>
        <w:spacing w:before="0"/>
        <w:rPr>
          <w:rFonts w:eastAsia="DengXian"/>
          <w:lang w:eastAsia="zh-CN"/>
        </w:rPr>
      </w:pPr>
      <m:oMathPara>
        <m:oMathParaPr>
          <m:jc m:val="right"/>
        </m:oMathParaP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SW</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2π</m:t>
              </m:r>
            </m:num>
            <m:den>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SW</m:t>
                  </m:r>
                </m:sub>
              </m:sSub>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2π</m:t>
              </m:r>
            </m:num>
            <m:den>
              <m:r>
                <w:rPr>
                  <w:rFonts w:ascii="Cambria Math" w:hAnsi="Cambria Math"/>
                  <w:lang w:eastAsia="zh-CN"/>
                </w:rPr>
                <m:t>p</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d</m:t>
              </m:r>
              <m:r>
                <m:rPr>
                  <m:sty m:val="p"/>
                </m:rPr>
                <w:rPr>
                  <w:rFonts w:ascii="Cambria Math" w:hAnsi="Cambria Math"/>
                </w:rPr>
                <m:t>φ</m:t>
              </m:r>
            </m:num>
            <m:den>
              <m:r>
                <w:rPr>
                  <w:rFonts w:ascii="Cambria Math" w:hAnsi="Cambria Math"/>
                  <w:lang w:eastAsia="zh-CN"/>
                </w:rPr>
                <m:t>dx</m:t>
              </m:r>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4</m:t>
              </m:r>
            </m:e>
          </m:d>
        </m:oMath>
      </m:oMathPara>
    </w:p>
    <w:p w:rsidR="00B82B54" w:rsidRPr="00E35AB3" w:rsidRDefault="00B82B54" w:rsidP="00621F06">
      <w:pPr>
        <w:pStyle w:val="09BodyFirstParagraph"/>
        <w:spacing w:before="0"/>
        <w:rPr>
          <w:lang w:eastAsia="zh-CN"/>
        </w:rPr>
      </w:pPr>
      <w:r w:rsidRPr="00E35AB3">
        <w:rPr>
          <w:lang w:eastAsia="zh-CN"/>
        </w:rPr>
        <w:t xml:space="preserve">where </w:t>
      </w:r>
      <m:oMath>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SW</m:t>
            </m:r>
          </m:sub>
        </m:sSub>
      </m:oMath>
      <w:r w:rsidRPr="00E35AB3">
        <w:rPr>
          <w:lang w:eastAsia="zh-CN"/>
        </w:rPr>
        <w:t xml:space="preserve"> is the wavelength of the SW. The second equality of the equation originates from the fact that </w:t>
      </w:r>
      <m:oMath>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SW</m:t>
            </m:r>
          </m:sub>
        </m:sSub>
      </m:oMath>
      <w:r w:rsidRPr="00E35AB3">
        <w:rPr>
          <w:lang w:eastAsia="zh-CN"/>
        </w:rPr>
        <w:t xml:space="preserve"> follows the periodicity </w:t>
      </w:r>
      <m:oMath>
        <m:r>
          <w:rPr>
            <w:rFonts w:ascii="Cambria Math" w:hAnsi="Cambria Math"/>
            <w:lang w:eastAsia="zh-CN"/>
          </w:rPr>
          <m:t>p</m:t>
        </m:r>
      </m:oMath>
      <w:r w:rsidRPr="00E35AB3">
        <w:rPr>
          <w:lang w:eastAsia="zh-CN"/>
        </w:rPr>
        <w:t xml:space="preserve">. As </w:t>
      </w:r>
      <m:oMath>
        <m:r>
          <w:rPr>
            <w:rFonts w:ascii="Cambria Math" w:hAnsi="Cambria Math"/>
            <w:lang w:eastAsia="zh-CN"/>
          </w:rPr>
          <m:t>p</m:t>
        </m:r>
      </m:oMath>
      <w:r w:rsidRPr="00E35AB3">
        <w:rPr>
          <w:lang w:eastAsia="zh-CN"/>
        </w:rPr>
        <w:t xml:space="preserve"> is slightly smaller than </w:t>
      </w:r>
      <w:r w:rsidRPr="00E35AB3">
        <w:rPr>
          <w:rFonts w:cs="Times New Roman"/>
          <w:lang w:eastAsia="zh-CN"/>
        </w:rPr>
        <w:t>λ</w:t>
      </w:r>
      <w:r w:rsidRPr="00E35AB3">
        <w:rPr>
          <w:vertAlign w:val="subscript"/>
          <w:lang w:eastAsia="zh-CN"/>
        </w:rPr>
        <w:t>0</w:t>
      </w:r>
      <w:r w:rsidRPr="00E35AB3">
        <w:rPr>
          <w:lang w:eastAsia="zh-CN"/>
        </w:rPr>
        <w:t xml:space="preserv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SW</m:t>
            </m:r>
          </m:sub>
        </m:sSub>
      </m:oMath>
      <w:r w:rsidRPr="00E35AB3">
        <w:rPr>
          <w:lang w:eastAsia="zh-CN"/>
        </w:rPr>
        <w:t xml:space="preserve"> is slightly larger than the free-space propagation </w:t>
      </w:r>
      <w:r w:rsidR="00621F06" w:rsidRPr="00E35AB3">
        <w:rPr>
          <w:lang w:eastAsia="zh-CN"/>
        </w:rPr>
        <w:t>constant of the incident light.</w:t>
      </w:r>
      <w:r w:rsidR="00190997" w:rsidRPr="00E35AB3">
        <w:rPr>
          <w:lang w:eastAsia="zh-CN"/>
        </w:rPr>
        <w:t xml:space="preserve"> The bandwidth of both devices is further discussed in Supplementary Figs. S</w:t>
      </w:r>
      <w:r w:rsidR="00834891" w:rsidRPr="00E35AB3">
        <w:rPr>
          <w:lang w:eastAsia="zh-CN"/>
        </w:rPr>
        <w:t>4</w:t>
      </w:r>
      <w:r w:rsidR="00190997" w:rsidRPr="00E35AB3">
        <w:rPr>
          <w:lang w:eastAsia="zh-CN"/>
        </w:rPr>
        <w:t xml:space="preserve"> and S</w:t>
      </w:r>
      <w:r w:rsidR="00834891" w:rsidRPr="00E35AB3">
        <w:rPr>
          <w:lang w:eastAsia="zh-CN"/>
        </w:rPr>
        <w:t>5</w:t>
      </w:r>
      <w:r w:rsidR="00190997" w:rsidRPr="00E35AB3">
        <w:rPr>
          <w:lang w:eastAsia="zh-CN"/>
        </w:rPr>
        <w:t>. Based on the shape and intensity of the output wave</w:t>
      </w:r>
      <w:r w:rsidR="00EA7E27" w:rsidRPr="00E35AB3">
        <w:rPr>
          <w:lang w:eastAsia="zh-CN"/>
        </w:rPr>
        <w:t>, the functional wavelength range ha</w:t>
      </w:r>
      <w:r w:rsidR="00190997" w:rsidRPr="00E35AB3">
        <w:rPr>
          <w:lang w:eastAsia="zh-CN"/>
        </w:rPr>
        <w:t xml:space="preserve">s </w:t>
      </w:r>
      <w:r w:rsidR="00EA7E27" w:rsidRPr="00E35AB3">
        <w:rPr>
          <w:lang w:eastAsia="zh-CN"/>
        </w:rPr>
        <w:t xml:space="preserve">a span of </w:t>
      </w:r>
      <w:r w:rsidR="00190997" w:rsidRPr="00E35AB3">
        <w:rPr>
          <w:lang w:eastAsia="zh-CN"/>
        </w:rPr>
        <w:t xml:space="preserve">approximately </w:t>
      </w:r>
      <w:r w:rsidR="00EA7E27" w:rsidRPr="00E35AB3">
        <w:rPr>
          <w:lang w:eastAsia="zh-CN"/>
        </w:rPr>
        <w:t>2</w:t>
      </w:r>
      <w:r w:rsidR="00190997" w:rsidRPr="00E35AB3">
        <w:rPr>
          <w:lang w:eastAsia="zh-CN"/>
        </w:rPr>
        <w:t xml:space="preserve">5 </w:t>
      </w:r>
      <w:r w:rsidR="00190997" w:rsidRPr="00E35AB3">
        <w:rPr>
          <w:rFonts w:cs="Times New Roman"/>
          <w:lang w:eastAsia="zh-CN"/>
        </w:rPr>
        <w:t>μ</w:t>
      </w:r>
      <w:r w:rsidR="00190997" w:rsidRPr="00E35AB3">
        <w:rPr>
          <w:lang w:eastAsia="zh-CN"/>
        </w:rPr>
        <w:t xml:space="preserve">m and </w:t>
      </w:r>
      <w:r w:rsidR="00EA7E27" w:rsidRPr="00E35AB3">
        <w:rPr>
          <w:lang w:eastAsia="zh-CN"/>
        </w:rPr>
        <w:t>1</w:t>
      </w:r>
      <w:r w:rsidR="00190997" w:rsidRPr="00E35AB3">
        <w:rPr>
          <w:lang w:eastAsia="zh-CN"/>
        </w:rPr>
        <w:t xml:space="preserve">5 </w:t>
      </w:r>
      <w:r w:rsidR="00190997" w:rsidRPr="00E35AB3">
        <w:rPr>
          <w:rFonts w:cs="Times New Roman"/>
          <w:lang w:eastAsia="zh-CN"/>
        </w:rPr>
        <w:t>μ</w:t>
      </w:r>
      <w:r w:rsidR="00190997" w:rsidRPr="00E35AB3">
        <w:rPr>
          <w:lang w:eastAsia="zh-CN"/>
        </w:rPr>
        <w:t xml:space="preserve">m for the 8- and 60-unit devices, respectively. Within the bandwidth range, the SW wavelength </w:t>
      </w:r>
      <m:oMath>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SW</m:t>
            </m:r>
          </m:sub>
        </m:sSub>
      </m:oMath>
      <w:r w:rsidR="00190997" w:rsidRPr="00E35AB3">
        <w:rPr>
          <w:lang w:eastAsia="zh-CN"/>
        </w:rPr>
        <w:t xml:space="preserve"> always equals the periodicity </w:t>
      </w:r>
      <m:oMath>
        <m:r>
          <w:rPr>
            <w:rFonts w:ascii="Cambria Math" w:hAnsi="Cambria Math"/>
            <w:lang w:eastAsia="zh-CN"/>
          </w:rPr>
          <m:t>p</m:t>
        </m:r>
      </m:oMath>
      <w:r w:rsidR="00190997" w:rsidRPr="00E35AB3">
        <w:rPr>
          <w:lang w:eastAsia="zh-CN"/>
        </w:rPr>
        <w:t>.</w:t>
      </w:r>
    </w:p>
    <w:p w:rsidR="00AD3977" w:rsidRPr="00E35AB3" w:rsidRDefault="006F0B5A" w:rsidP="00672E7D">
      <w:pPr>
        <w:pStyle w:val="10BodySubsequentParagraph"/>
        <w:ind w:firstLine="289"/>
        <w:rPr>
          <w:lang w:eastAsia="zh-CN"/>
        </w:rPr>
      </w:pPr>
      <w:r w:rsidRPr="00E35AB3">
        <w:rPr>
          <w:lang w:eastAsia="zh-CN"/>
        </w:rPr>
        <w:t xml:space="preserve">To better approximate future experiment and to </w:t>
      </w:r>
      <w:r w:rsidR="0028722E" w:rsidRPr="00E35AB3">
        <w:rPr>
          <w:lang w:eastAsia="zh-CN"/>
        </w:rPr>
        <w:t>enable efficiency calculation</w:t>
      </w:r>
      <w:r w:rsidRPr="00E35AB3">
        <w:rPr>
          <w:lang w:eastAsia="zh-CN"/>
        </w:rPr>
        <w:t xml:space="preserve"> in the PW-SW conversion</w:t>
      </w:r>
      <w:r w:rsidR="00F46DCB" w:rsidRPr="00E35AB3">
        <w:rPr>
          <w:lang w:eastAsia="zh-CN"/>
        </w:rPr>
        <w:t xml:space="preserve"> [</w:t>
      </w:r>
      <w:r w:rsidR="00A12FBA" w:rsidRPr="00E35AB3">
        <w:rPr>
          <w:lang w:eastAsia="zh-CN"/>
        </w:rPr>
        <w:t>11-14, 3</w:t>
      </w:r>
      <w:r w:rsidR="00EC01D0" w:rsidRPr="00E35AB3">
        <w:rPr>
          <w:lang w:eastAsia="zh-CN"/>
        </w:rPr>
        <w:t>7</w:t>
      </w:r>
      <w:r w:rsidR="00F46DCB" w:rsidRPr="00E35AB3">
        <w:rPr>
          <w:lang w:eastAsia="zh-CN"/>
        </w:rPr>
        <w:t>]</w:t>
      </w:r>
      <w:r w:rsidRPr="00E35AB3">
        <w:rPr>
          <w:lang w:eastAsia="zh-CN"/>
        </w:rPr>
        <w:t xml:space="preserve">, two of the four designs studied above are further analyzed in Fig. 5. </w:t>
      </w:r>
      <w:r w:rsidR="008E3BDE" w:rsidRPr="00E35AB3">
        <w:rPr>
          <w:lang w:eastAsia="zh-CN"/>
        </w:rPr>
        <w:t xml:space="preserve">Following previous works, including one from our team </w:t>
      </w:r>
      <w:r w:rsidR="00672E7D" w:rsidRPr="00E35AB3">
        <w:rPr>
          <w:lang w:eastAsia="zh-CN"/>
        </w:rPr>
        <w:t>[3</w:t>
      </w:r>
      <w:r w:rsidR="00EC01D0" w:rsidRPr="00E35AB3">
        <w:rPr>
          <w:lang w:eastAsia="zh-CN"/>
        </w:rPr>
        <w:t>7</w:t>
      </w:r>
      <w:r w:rsidR="00672E7D" w:rsidRPr="00E35AB3">
        <w:rPr>
          <w:lang w:eastAsia="zh-CN"/>
        </w:rPr>
        <w:t xml:space="preserve">], </w:t>
      </w:r>
      <w:r w:rsidR="00C06E90" w:rsidRPr="00E35AB3">
        <w:rPr>
          <w:lang w:eastAsia="zh-CN"/>
        </w:rPr>
        <w:t xml:space="preserve">the input light is restricted in its width, and the output SW is converted to a self-sustained guided wave </w:t>
      </w:r>
      <w:r w:rsidRPr="00E35AB3">
        <w:rPr>
          <w:lang w:eastAsia="zh-CN"/>
        </w:rPr>
        <w:t>for</w:t>
      </w:r>
      <w:r w:rsidR="00C06E90" w:rsidRPr="00E35AB3">
        <w:rPr>
          <w:lang w:eastAsia="zh-CN"/>
        </w:rPr>
        <w:t xml:space="preserve"> </w:t>
      </w:r>
      <w:r w:rsidRPr="00E35AB3">
        <w:rPr>
          <w:lang w:eastAsia="zh-CN"/>
        </w:rPr>
        <w:t>efficiency analysis</w:t>
      </w:r>
      <w:r w:rsidR="00C06E90" w:rsidRPr="00E35AB3">
        <w:rPr>
          <w:lang w:eastAsia="zh-CN"/>
        </w:rPr>
        <w:t xml:space="preserve">. </w:t>
      </w:r>
      <w:r w:rsidRPr="00E35AB3">
        <w:rPr>
          <w:lang w:eastAsia="zh-CN"/>
        </w:rPr>
        <w:t>In both panels of Fig. 5, the SW is coupled</w:t>
      </w:r>
      <w:r w:rsidR="008C6F8C" w:rsidRPr="00E35AB3">
        <w:rPr>
          <w:lang w:eastAsia="zh-CN"/>
        </w:rPr>
        <w:t xml:space="preserve"> into a 105 </w:t>
      </w:r>
      <w:bookmarkStart w:id="20" w:name="_Hlk97228869"/>
      <w:r w:rsidR="008C6F8C" w:rsidRPr="00E35AB3">
        <w:rPr>
          <w:rFonts w:cs="Times New Roman"/>
          <w:lang w:eastAsia="zh-CN"/>
        </w:rPr>
        <w:t>μ</w:t>
      </w:r>
      <w:r w:rsidR="008C6F8C" w:rsidRPr="00E35AB3">
        <w:rPr>
          <w:lang w:eastAsia="zh-CN"/>
        </w:rPr>
        <w:t>m</w:t>
      </w:r>
      <w:bookmarkEnd w:id="20"/>
      <w:r w:rsidR="008C6F8C" w:rsidRPr="00E35AB3">
        <w:rPr>
          <w:lang w:eastAsia="zh-CN"/>
        </w:rPr>
        <w:t xml:space="preserve"> thick glass slab placed in the vicinity of the meta-converter</w:t>
      </w:r>
      <w:bookmarkStart w:id="21" w:name="_Hlk97228261"/>
      <w:r w:rsidR="008C6F8C" w:rsidRPr="00E35AB3">
        <w:rPr>
          <w:lang w:eastAsia="zh-CN"/>
        </w:rPr>
        <w:t xml:space="preserve">. </w:t>
      </w:r>
      <w:bookmarkStart w:id="22" w:name="_Hlk97735851"/>
      <w:bookmarkStart w:id="23" w:name="_Hlk97412927"/>
      <w:bookmarkStart w:id="24" w:name="_Hlk97307510"/>
      <w:r w:rsidR="008C6F8C" w:rsidRPr="00E35AB3">
        <w:rPr>
          <w:lang w:eastAsia="zh-CN"/>
        </w:rPr>
        <w:t xml:space="preserve">The incident </w:t>
      </w:r>
      <w:r w:rsidR="00D732EB" w:rsidRPr="00E35AB3">
        <w:rPr>
          <w:lang w:eastAsia="zh-CN"/>
        </w:rPr>
        <w:t xml:space="preserve">plane wave </w:t>
      </w:r>
      <w:r w:rsidR="008C6F8C" w:rsidRPr="00E35AB3">
        <w:rPr>
          <w:lang w:eastAsia="zh-CN"/>
        </w:rPr>
        <w:t xml:space="preserve">has a limited width, illuminating only </w:t>
      </w:r>
      <w:r w:rsidR="00EA7E27" w:rsidRPr="00E35AB3">
        <w:rPr>
          <w:lang w:eastAsia="zh-CN"/>
        </w:rPr>
        <w:t>a single</w:t>
      </w:r>
      <w:r w:rsidR="008C6F8C" w:rsidRPr="00E35AB3">
        <w:rPr>
          <w:lang w:eastAsia="zh-CN"/>
        </w:rPr>
        <w:t xml:space="preserve"> </w:t>
      </w:r>
      <w:r w:rsidR="003203DE" w:rsidRPr="00E35AB3">
        <w:rPr>
          <w:lang w:eastAsia="zh-CN"/>
        </w:rPr>
        <w:t xml:space="preserve">super </w:t>
      </w:r>
      <w:r w:rsidR="008C6F8C" w:rsidRPr="00E35AB3">
        <w:rPr>
          <w:lang w:eastAsia="zh-CN"/>
        </w:rPr>
        <w:t>unit cell</w:t>
      </w:r>
      <w:bookmarkEnd w:id="21"/>
      <w:r w:rsidR="008C6F8C" w:rsidRPr="00E35AB3">
        <w:rPr>
          <w:lang w:eastAsia="zh-CN"/>
        </w:rPr>
        <w:t>.</w:t>
      </w:r>
      <w:bookmarkEnd w:id="22"/>
      <w:bookmarkEnd w:id="23"/>
      <w:r w:rsidR="005D5037" w:rsidRPr="00E35AB3">
        <w:rPr>
          <w:lang w:eastAsia="zh-CN"/>
        </w:rPr>
        <w:t xml:space="preserve"> </w:t>
      </w:r>
      <w:r w:rsidR="00672E7D" w:rsidRPr="00E35AB3">
        <w:rPr>
          <w:lang w:eastAsia="zh-CN"/>
        </w:rPr>
        <w:t>B</w:t>
      </w:r>
      <w:r w:rsidRPr="00E35AB3">
        <w:rPr>
          <w:lang w:eastAsia="zh-CN"/>
        </w:rPr>
        <w:t>oth designs shown in Fig. 5 produce a strong guided wave in</w:t>
      </w:r>
      <w:bookmarkStart w:id="25" w:name="_Hlk97150724"/>
      <w:r w:rsidRPr="00E35AB3">
        <w:rPr>
          <w:lang w:eastAsia="zh-CN"/>
        </w:rPr>
        <w:t xml:space="preserve"> </w:t>
      </w:r>
      <w:r w:rsidRPr="00E35AB3">
        <w:rPr>
          <w:lang w:eastAsia="zh-CN"/>
        </w:rPr>
        <w:lastRenderedPageBreak/>
        <w:t>the glass slab</w:t>
      </w:r>
      <w:bookmarkEnd w:id="25"/>
      <w:r w:rsidRPr="00E35AB3">
        <w:rPr>
          <w:lang w:eastAsia="zh-CN"/>
        </w:rPr>
        <w:t xml:space="preserve">. </w:t>
      </w:r>
      <w:r w:rsidR="00AD3977" w:rsidRPr="00E35AB3">
        <w:rPr>
          <w:lang w:eastAsia="zh-CN"/>
        </w:rPr>
        <w:t xml:space="preserve">Further analysis on the strength of the guided wave leads to a PW-SW conversion efficiency in </w:t>
      </w:r>
      <w:bookmarkStart w:id="26" w:name="_Hlk97416078"/>
      <w:r w:rsidR="00AD3977" w:rsidRPr="00E35AB3">
        <w:rPr>
          <w:lang w:eastAsia="zh-CN"/>
        </w:rPr>
        <w:t>the 8-unit meta-converter</w:t>
      </w:r>
      <w:bookmarkEnd w:id="26"/>
      <w:r w:rsidR="00AD3977" w:rsidRPr="00E35AB3">
        <w:rPr>
          <w:lang w:eastAsia="zh-CN"/>
        </w:rPr>
        <w:t xml:space="preserve"> [Fig. 5(a)] of </w:t>
      </w:r>
      <w:r w:rsidR="008E2827" w:rsidRPr="00E35AB3">
        <w:rPr>
          <w:lang w:eastAsia="zh-CN"/>
        </w:rPr>
        <w:t>6</w:t>
      </w:r>
      <w:r w:rsidR="007B2475" w:rsidRPr="00E35AB3">
        <w:rPr>
          <w:lang w:eastAsia="zh-CN"/>
        </w:rPr>
        <w:t>6</w:t>
      </w:r>
      <w:r w:rsidR="003B00CD" w:rsidRPr="00E35AB3">
        <w:rPr>
          <w:lang w:eastAsia="zh-CN"/>
        </w:rPr>
        <w:t>.</w:t>
      </w:r>
      <w:r w:rsidR="008E2827" w:rsidRPr="00E35AB3">
        <w:rPr>
          <w:lang w:eastAsia="zh-CN"/>
        </w:rPr>
        <w:t>6</w:t>
      </w:r>
      <w:r w:rsidR="00AD3977" w:rsidRPr="00E35AB3">
        <w:rPr>
          <w:lang w:eastAsia="zh-CN"/>
        </w:rPr>
        <w:t>%</w:t>
      </w:r>
      <w:bookmarkStart w:id="27" w:name="_Hlk97308054"/>
      <w:bookmarkEnd w:id="24"/>
      <w:r w:rsidR="00672E7D" w:rsidRPr="00E35AB3">
        <w:rPr>
          <w:lang w:eastAsia="zh-CN"/>
        </w:rPr>
        <w:t>. The efficiency is slightly higher in</w:t>
      </w:r>
      <w:r w:rsidR="00AD3977" w:rsidRPr="00E35AB3">
        <w:rPr>
          <w:lang w:eastAsia="zh-CN"/>
        </w:rPr>
        <w:t xml:space="preserve"> the 60-unit meta-converter</w:t>
      </w:r>
      <w:bookmarkEnd w:id="27"/>
      <w:r w:rsidR="00AD3977" w:rsidRPr="00E35AB3">
        <w:rPr>
          <w:lang w:eastAsia="zh-CN"/>
        </w:rPr>
        <w:t xml:space="preserve"> [Fig. 5(b)]</w:t>
      </w:r>
      <w:r w:rsidR="00672E7D" w:rsidRPr="00E35AB3">
        <w:rPr>
          <w:lang w:eastAsia="zh-CN"/>
        </w:rPr>
        <w:t xml:space="preserve">, reaching </w:t>
      </w:r>
      <w:r w:rsidR="00133398" w:rsidRPr="00E35AB3">
        <w:rPr>
          <w:lang w:eastAsia="zh-CN"/>
        </w:rPr>
        <w:t>68.3</w:t>
      </w:r>
      <w:r w:rsidR="00AD3977" w:rsidRPr="00E35AB3">
        <w:rPr>
          <w:lang w:eastAsia="zh-CN"/>
        </w:rPr>
        <w:t>%.</w:t>
      </w:r>
      <w:r w:rsidR="008E2827" w:rsidRPr="00E35AB3">
        <w:rPr>
          <w:lang w:eastAsia="zh-CN"/>
        </w:rPr>
        <w:t xml:space="preserve"> </w:t>
      </w:r>
      <w:r w:rsidR="00672E7D" w:rsidRPr="00E35AB3">
        <w:rPr>
          <w:lang w:eastAsia="zh-CN"/>
        </w:rPr>
        <w:t>This value</w:t>
      </w:r>
      <w:r w:rsidR="008E2827" w:rsidRPr="00E35AB3">
        <w:rPr>
          <w:lang w:eastAsia="zh-CN"/>
        </w:rPr>
        <w:t xml:space="preserve"> represents a relative increase of ~70%, and an absolute efficiency increase of ~29%</w:t>
      </w:r>
      <w:r w:rsidR="00672E7D" w:rsidRPr="00E35AB3">
        <w:rPr>
          <w:lang w:eastAsia="zh-CN"/>
        </w:rPr>
        <w:t xml:space="preserve">, </w:t>
      </w:r>
      <w:r w:rsidR="008E2827" w:rsidRPr="00E35AB3">
        <w:rPr>
          <w:lang w:eastAsia="zh-CN"/>
        </w:rPr>
        <w:t>from the current record in all-diel</w:t>
      </w:r>
      <w:r w:rsidR="00C0675A" w:rsidRPr="00E35AB3">
        <w:rPr>
          <w:lang w:eastAsia="zh-CN"/>
        </w:rPr>
        <w:t>ectric PW-SW gradient converters [15]</w:t>
      </w:r>
      <w:r w:rsidR="00672E7D" w:rsidRPr="00E35AB3">
        <w:rPr>
          <w:lang w:eastAsia="zh-CN"/>
        </w:rPr>
        <w:t>.</w:t>
      </w:r>
      <w:r w:rsidR="006035F5" w:rsidRPr="00E35AB3">
        <w:rPr>
          <w:lang w:eastAsia="zh-CN"/>
        </w:rPr>
        <w:t xml:space="preserve"> </w:t>
      </w:r>
      <w:r w:rsidR="00AD3977" w:rsidRPr="00E35AB3">
        <w:rPr>
          <w:lang w:eastAsia="zh-CN"/>
        </w:rPr>
        <w:t xml:space="preserve">It is worth highlighting here that, </w:t>
      </w:r>
      <w:bookmarkStart w:id="28" w:name="_Hlk97421733"/>
      <w:r w:rsidR="00AD3977" w:rsidRPr="00E35AB3">
        <w:rPr>
          <w:lang w:eastAsia="zh-CN"/>
        </w:rPr>
        <w:t xml:space="preserve">the average unit width </w:t>
      </w:r>
      <w:r w:rsidR="00275343" w:rsidRPr="00E35AB3">
        <w:rPr>
          <w:lang w:eastAsia="zh-CN"/>
        </w:rPr>
        <w:t>of this design</w:t>
      </w:r>
      <w:r w:rsidR="00AD3977" w:rsidRPr="00E35AB3">
        <w:rPr>
          <w:lang w:eastAsia="zh-CN"/>
        </w:rPr>
        <w:t xml:space="preserve"> is only </w:t>
      </w:r>
      <w:r w:rsidR="00AD3977" w:rsidRPr="00E35AB3">
        <w:rPr>
          <w:rFonts w:cs="Times New Roman"/>
          <w:lang w:eastAsia="zh-CN"/>
        </w:rPr>
        <w:t>λ</w:t>
      </w:r>
      <w:r w:rsidR="00AD3977" w:rsidRPr="00E35AB3">
        <w:rPr>
          <w:vertAlign w:val="subscript"/>
          <w:lang w:eastAsia="zh-CN"/>
        </w:rPr>
        <w:t>0</w:t>
      </w:r>
      <w:r w:rsidR="00AD3977" w:rsidRPr="00E35AB3">
        <w:rPr>
          <w:lang w:eastAsia="zh-CN"/>
        </w:rPr>
        <w:t>/60</w:t>
      </w:r>
      <w:bookmarkEnd w:id="28"/>
      <w:r w:rsidR="00AD3977" w:rsidRPr="00E35AB3">
        <w:rPr>
          <w:lang w:eastAsia="zh-CN"/>
        </w:rPr>
        <w:t xml:space="preserve">, at </w:t>
      </w:r>
      <w:bookmarkStart w:id="29" w:name="_Hlk97421721"/>
      <w:r w:rsidR="00AD3977" w:rsidRPr="00E35AB3">
        <w:rPr>
          <w:lang w:eastAsia="zh-CN"/>
        </w:rPr>
        <w:t>a truly deep</w:t>
      </w:r>
      <w:r w:rsidR="00940B6B" w:rsidRPr="00E35AB3">
        <w:rPr>
          <w:lang w:eastAsia="zh-CN"/>
        </w:rPr>
        <w:t>-</w:t>
      </w:r>
      <w:r w:rsidR="00AD3977" w:rsidRPr="00E35AB3">
        <w:rPr>
          <w:lang w:eastAsia="zh-CN"/>
        </w:rPr>
        <w:t>subwavelength scale</w:t>
      </w:r>
      <w:bookmarkEnd w:id="29"/>
      <w:r w:rsidR="00AD3977" w:rsidRPr="00E35AB3">
        <w:rPr>
          <w:lang w:eastAsia="zh-CN"/>
        </w:rPr>
        <w:t>.</w:t>
      </w:r>
      <w:r w:rsidR="006035F5" w:rsidRPr="00E35AB3">
        <w:rPr>
          <w:lang w:eastAsia="zh-CN"/>
        </w:rPr>
        <w:t xml:space="preserve"> </w:t>
      </w:r>
      <w:bookmarkStart w:id="30" w:name="_Hlk97419297"/>
      <w:bookmarkStart w:id="31" w:name="_Hlk97420599"/>
    </w:p>
    <w:bookmarkEnd w:id="30"/>
    <w:bookmarkEnd w:id="31"/>
    <w:p w:rsidR="0069506C" w:rsidRPr="00E35AB3" w:rsidRDefault="00B409B4" w:rsidP="00D93D49">
      <w:pPr>
        <w:pStyle w:val="10BodySubsequentParagraph"/>
        <w:ind w:firstLine="0"/>
        <w:jc w:val="center"/>
        <w:rPr>
          <w:rFonts w:eastAsia="DengXian"/>
          <w:lang w:eastAsia="zh-CN"/>
        </w:rPr>
      </w:pPr>
      <w:r w:rsidRPr="00E35AB3">
        <w:rPr>
          <w:rFonts w:eastAsia="DengXian"/>
          <w:noProof/>
          <w:lang w:val="en-GB" w:eastAsia="zh-CN"/>
        </w:rPr>
        <w:drawing>
          <wp:inline distT="0" distB="0" distL="0" distR="0">
            <wp:extent cx="4688840" cy="1361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840" cy="1361440"/>
                    </a:xfrm>
                    <a:prstGeom prst="rect">
                      <a:avLst/>
                    </a:prstGeom>
                    <a:noFill/>
                    <a:ln>
                      <a:noFill/>
                    </a:ln>
                  </pic:spPr>
                </pic:pic>
              </a:graphicData>
            </a:graphic>
          </wp:inline>
        </w:drawing>
      </w:r>
    </w:p>
    <w:p w:rsidR="00190997" w:rsidRPr="00E35AB3" w:rsidRDefault="00AD3977" w:rsidP="00190997">
      <w:pPr>
        <w:pStyle w:val="10BodySubsequentParagraph"/>
        <w:spacing w:before="120" w:after="120"/>
        <w:ind w:left="720" w:right="720" w:firstLine="0"/>
        <w:rPr>
          <w:rFonts w:eastAsia="DengXian"/>
          <w:sz w:val="16"/>
          <w:szCs w:val="16"/>
          <w:lang w:eastAsia="zh-CN"/>
        </w:rPr>
      </w:pPr>
      <w:r w:rsidRPr="00E35AB3">
        <w:rPr>
          <w:b/>
          <w:sz w:val="16"/>
          <w:szCs w:val="16"/>
          <w:lang w:eastAsia="zh-CN"/>
        </w:rPr>
        <w:t xml:space="preserve">Fig. 5. </w:t>
      </w:r>
      <w:r w:rsidRPr="00E35AB3">
        <w:rPr>
          <w:sz w:val="16"/>
          <w:szCs w:val="16"/>
          <w:lang w:eastAsia="zh-CN"/>
        </w:rPr>
        <w:t>PW-SW conversion in two finite-sized meta-couplers</w:t>
      </w:r>
      <w:r w:rsidR="0069506C" w:rsidRPr="00E35AB3">
        <w:rPr>
          <w:sz w:val="16"/>
          <w:szCs w:val="16"/>
          <w:lang w:eastAsia="zh-CN"/>
        </w:rPr>
        <w:t xml:space="preserve">. </w:t>
      </w:r>
      <w:r w:rsidR="006D4DCA" w:rsidRPr="00E35AB3">
        <w:rPr>
          <w:sz w:val="16"/>
          <w:szCs w:val="16"/>
          <w:lang w:eastAsia="zh-CN"/>
        </w:rPr>
        <w:t xml:space="preserve">Both couplers contain </w:t>
      </w:r>
      <w:r w:rsidR="006D4DCA" w:rsidRPr="00E35AB3">
        <w:rPr>
          <w:color w:val="auto"/>
          <w:sz w:val="16"/>
          <w:szCs w:val="16"/>
          <w:lang w:eastAsia="zh-CN"/>
        </w:rPr>
        <w:t>o</w:t>
      </w:r>
      <w:r w:rsidR="00193C09" w:rsidRPr="00E35AB3">
        <w:rPr>
          <w:color w:val="auto"/>
          <w:sz w:val="16"/>
          <w:szCs w:val="16"/>
          <w:lang w:eastAsia="zh-CN"/>
        </w:rPr>
        <w:t xml:space="preserve">nly </w:t>
      </w:r>
      <w:r w:rsidR="006D4DCA" w:rsidRPr="00E35AB3">
        <w:rPr>
          <w:color w:val="auto"/>
          <w:sz w:val="16"/>
          <w:szCs w:val="16"/>
          <w:lang w:eastAsia="zh-CN"/>
        </w:rPr>
        <w:t>a single</w:t>
      </w:r>
      <w:r w:rsidR="0028722E" w:rsidRPr="00E35AB3">
        <w:rPr>
          <w:rFonts w:cs="Times New Roman"/>
          <w:color w:val="auto"/>
          <w:sz w:val="16"/>
          <w:szCs w:val="16"/>
          <w:lang w:eastAsia="zh-CN"/>
        </w:rPr>
        <w:t xml:space="preserve"> super unit cell</w:t>
      </w:r>
      <w:r w:rsidR="00AB12B1" w:rsidRPr="00E35AB3">
        <w:rPr>
          <w:rFonts w:cs="Times New Roman"/>
          <w:sz w:val="16"/>
          <w:szCs w:val="16"/>
          <w:lang w:eastAsia="zh-CN"/>
        </w:rPr>
        <w:t>.</w:t>
      </w:r>
      <w:r w:rsidR="006D4DCA" w:rsidRPr="00E35AB3">
        <w:rPr>
          <w:rFonts w:cs="Times New Roman"/>
          <w:sz w:val="16"/>
          <w:szCs w:val="16"/>
          <w:lang w:eastAsia="zh-CN"/>
        </w:rPr>
        <w:t xml:space="preserve"> The incident plane wave has the same width as the super unit cell and it is launched at 500 μm beneath the Si-SiO</w:t>
      </w:r>
      <w:r w:rsidR="006D4DCA" w:rsidRPr="00E35AB3">
        <w:rPr>
          <w:rFonts w:cs="Times New Roman"/>
          <w:sz w:val="16"/>
          <w:szCs w:val="16"/>
          <w:vertAlign w:val="subscript"/>
          <w:lang w:eastAsia="zh-CN"/>
        </w:rPr>
        <w:t>2</w:t>
      </w:r>
      <w:r w:rsidR="006D4DCA" w:rsidRPr="00E35AB3">
        <w:rPr>
          <w:rFonts w:cs="Times New Roman"/>
          <w:sz w:val="16"/>
          <w:szCs w:val="16"/>
          <w:lang w:eastAsia="zh-CN"/>
        </w:rPr>
        <w:t xml:space="preserve"> interface.</w:t>
      </w:r>
      <w:r w:rsidR="0069506C" w:rsidRPr="00E35AB3">
        <w:rPr>
          <w:rFonts w:cs="Times New Roman"/>
          <w:sz w:val="16"/>
          <w:szCs w:val="16"/>
          <w:lang w:eastAsia="zh-CN"/>
        </w:rPr>
        <w:t xml:space="preserve"> </w:t>
      </w:r>
      <w:r w:rsidR="00AB12B1" w:rsidRPr="00E35AB3">
        <w:rPr>
          <w:rFonts w:cs="Times New Roman"/>
          <w:sz w:val="16"/>
          <w:szCs w:val="16"/>
          <w:lang w:eastAsia="zh-CN"/>
        </w:rPr>
        <w:t>T</w:t>
      </w:r>
      <w:r w:rsidR="0069506C" w:rsidRPr="00E35AB3">
        <w:rPr>
          <w:rFonts w:cs="Times New Roman"/>
          <w:sz w:val="16"/>
          <w:szCs w:val="16"/>
          <w:lang w:eastAsia="zh-CN"/>
        </w:rPr>
        <w:t>he</w:t>
      </w:r>
      <w:r w:rsidR="000C6B5A" w:rsidRPr="00E35AB3">
        <w:rPr>
          <w:rFonts w:cs="Times New Roman"/>
          <w:sz w:val="16"/>
          <w:szCs w:val="16"/>
          <w:lang w:eastAsia="zh-CN"/>
        </w:rPr>
        <w:t xml:space="preserve"> unit number i</w:t>
      </w:r>
      <w:r w:rsidR="0069506C" w:rsidRPr="00E35AB3">
        <w:rPr>
          <w:rFonts w:cs="Times New Roman"/>
          <w:sz w:val="16"/>
          <w:szCs w:val="16"/>
          <w:lang w:eastAsia="zh-CN"/>
        </w:rPr>
        <w:t>n</w:t>
      </w:r>
      <w:r w:rsidR="000C6B5A" w:rsidRPr="00E35AB3">
        <w:rPr>
          <w:rFonts w:cs="Times New Roman"/>
          <w:sz w:val="16"/>
          <w:szCs w:val="16"/>
          <w:lang w:eastAsia="zh-CN"/>
        </w:rPr>
        <w:t xml:space="preserve"> a</w:t>
      </w:r>
      <w:r w:rsidR="0069506C" w:rsidRPr="00E35AB3">
        <w:rPr>
          <w:rFonts w:cs="Times New Roman"/>
          <w:sz w:val="16"/>
          <w:szCs w:val="16"/>
          <w:lang w:eastAsia="zh-CN"/>
        </w:rPr>
        <w:t xml:space="preserve"> single</w:t>
      </w:r>
      <w:r w:rsidR="000C6B5A" w:rsidRPr="00E35AB3">
        <w:rPr>
          <w:rFonts w:cs="Times New Roman"/>
          <w:sz w:val="16"/>
          <w:szCs w:val="16"/>
          <w:lang w:eastAsia="zh-CN"/>
        </w:rPr>
        <w:t xml:space="preserve"> super unit cell is</w:t>
      </w:r>
      <w:r w:rsidR="000C6B5A" w:rsidRPr="00E35AB3">
        <w:rPr>
          <w:sz w:val="16"/>
          <w:szCs w:val="16"/>
          <w:lang w:eastAsia="zh-CN"/>
        </w:rPr>
        <w:t xml:space="preserve"> </w:t>
      </w:r>
      <w:r w:rsidRPr="00E35AB3">
        <w:rPr>
          <w:sz w:val="16"/>
          <w:szCs w:val="16"/>
          <w:lang w:eastAsia="zh-CN"/>
        </w:rPr>
        <w:t xml:space="preserve">(a) </w:t>
      </w:r>
      <w:r w:rsidR="000C6B5A" w:rsidRPr="00E35AB3">
        <w:rPr>
          <w:sz w:val="16"/>
          <w:szCs w:val="16"/>
          <w:lang w:eastAsia="zh-CN"/>
        </w:rPr>
        <w:t>8</w:t>
      </w:r>
      <w:r w:rsidRPr="00E35AB3">
        <w:rPr>
          <w:sz w:val="16"/>
          <w:szCs w:val="16"/>
          <w:lang w:eastAsia="zh-CN"/>
        </w:rPr>
        <w:t xml:space="preserve"> and</w:t>
      </w:r>
      <w:r w:rsidR="000C6B5A" w:rsidRPr="00E35AB3">
        <w:rPr>
          <w:sz w:val="16"/>
          <w:szCs w:val="16"/>
          <w:lang w:eastAsia="zh-CN"/>
        </w:rPr>
        <w:t xml:space="preserve"> (b)</w:t>
      </w:r>
      <w:r w:rsidRPr="00E35AB3">
        <w:rPr>
          <w:sz w:val="16"/>
          <w:szCs w:val="16"/>
          <w:lang w:eastAsia="zh-CN"/>
        </w:rPr>
        <w:t xml:space="preserve"> </w:t>
      </w:r>
      <w:r w:rsidR="000C6B5A" w:rsidRPr="00E35AB3">
        <w:rPr>
          <w:sz w:val="16"/>
          <w:szCs w:val="16"/>
          <w:lang w:eastAsia="zh-CN"/>
        </w:rPr>
        <w:t>60</w:t>
      </w:r>
      <w:r w:rsidRPr="00E35AB3">
        <w:rPr>
          <w:sz w:val="16"/>
          <w:szCs w:val="16"/>
          <w:lang w:eastAsia="zh-CN"/>
        </w:rPr>
        <w:t>.</w:t>
      </w:r>
      <w:r w:rsidR="0028722E" w:rsidRPr="00E35AB3">
        <w:rPr>
          <w:sz w:val="16"/>
          <w:szCs w:val="16"/>
          <w:lang w:eastAsia="zh-CN"/>
        </w:rPr>
        <w:t xml:space="preserve"> </w:t>
      </w:r>
      <w:r w:rsidR="0069506C" w:rsidRPr="00E35AB3">
        <w:rPr>
          <w:sz w:val="16"/>
          <w:szCs w:val="16"/>
        </w:rPr>
        <w:t>The arrows indicate the wave propagation directions.</w:t>
      </w:r>
    </w:p>
    <w:p w:rsidR="00190997" w:rsidRPr="00E35AB3" w:rsidRDefault="00190997" w:rsidP="00190997">
      <w:pPr>
        <w:pStyle w:val="10BodySubsequentParagraph"/>
        <w:ind w:firstLine="289"/>
        <w:rPr>
          <w:lang w:eastAsia="zh-CN"/>
        </w:rPr>
      </w:pPr>
      <w:r w:rsidRPr="00E35AB3">
        <w:rPr>
          <w:lang w:eastAsia="zh-CN"/>
        </w:rPr>
        <w:t>To further increase the conversion efficiency in the future, these two main sources of loss need to be addressed: light reflection and metasurface-glass slab coupling. The reflection occurs at both the Si-air and the Si-SiO</w:t>
      </w:r>
      <w:r w:rsidRPr="00E35AB3">
        <w:rPr>
          <w:vertAlign w:val="subscript"/>
          <w:lang w:eastAsia="zh-CN"/>
        </w:rPr>
        <w:t>2</w:t>
      </w:r>
      <w:r w:rsidRPr="00E35AB3">
        <w:rPr>
          <w:lang w:eastAsia="zh-CN"/>
        </w:rPr>
        <w:t xml:space="preserve"> interfaces, and it direct</w:t>
      </w:r>
      <w:r w:rsidR="00A3365D" w:rsidRPr="00E35AB3">
        <w:rPr>
          <w:lang w:eastAsia="zh-CN"/>
        </w:rPr>
        <w:t>s energy back to the SiO</w:t>
      </w:r>
      <w:r w:rsidR="00A3365D" w:rsidRPr="00E35AB3">
        <w:rPr>
          <w:vertAlign w:val="subscript"/>
          <w:lang w:eastAsia="zh-CN"/>
        </w:rPr>
        <w:t>2</w:t>
      </w:r>
      <w:r w:rsidR="00A3365D" w:rsidRPr="00E35AB3">
        <w:rPr>
          <w:lang w:eastAsia="zh-CN"/>
        </w:rPr>
        <w:t xml:space="preserve"> substrate</w:t>
      </w:r>
      <w:r w:rsidRPr="00E35AB3">
        <w:rPr>
          <w:lang w:eastAsia="zh-CN"/>
        </w:rPr>
        <w:t xml:space="preserve">. Although it is an inherent property of the meta-converter, its magnitude can be suppressed by optimizing the fin height or adopting multi-layered fins. By comparison, the metasurface-glass slab coupling is not an inherent feature of the meta-converter. Such kind of coupling is necessary, as the SW is a driven mode and it has </w:t>
      </w:r>
      <w:r w:rsidR="0051755F" w:rsidRPr="00E35AB3">
        <w:rPr>
          <w:lang w:eastAsia="zh-CN"/>
        </w:rPr>
        <w:t>to be transformed into an eigen</w:t>
      </w:r>
      <w:r w:rsidRPr="00E35AB3">
        <w:rPr>
          <w:lang w:eastAsia="zh-CN"/>
        </w:rPr>
        <w:t>mode for future utilization. As the PW-SW conversion efficiency is computed bas</w:t>
      </w:r>
      <w:r w:rsidR="0051755F" w:rsidRPr="00E35AB3">
        <w:rPr>
          <w:lang w:eastAsia="zh-CN"/>
        </w:rPr>
        <w:t>ed on the energy of the eigen</w:t>
      </w:r>
      <w:r w:rsidRPr="00E35AB3">
        <w:rPr>
          <w:lang w:eastAsia="zh-CN"/>
        </w:rPr>
        <w:t>mode, the glass slab thickness used in Fig. 5 has been optimized to achieve an effective transformation fr</w:t>
      </w:r>
      <w:r w:rsidR="0051755F" w:rsidRPr="00E35AB3">
        <w:rPr>
          <w:lang w:eastAsia="zh-CN"/>
        </w:rPr>
        <w:t>om the driven mode to the eigen</w:t>
      </w:r>
      <w:r w:rsidRPr="00E35AB3">
        <w:rPr>
          <w:lang w:eastAsia="zh-CN"/>
        </w:rPr>
        <w:t>mode at 375 μm. The glass slab used here follows recent experimental works [</w:t>
      </w:r>
      <w:r w:rsidR="00EC01D0" w:rsidRPr="00E35AB3">
        <w:rPr>
          <w:lang w:eastAsia="zh-CN"/>
        </w:rPr>
        <w:t>13</w:t>
      </w:r>
      <w:r w:rsidRPr="00E35AB3">
        <w:rPr>
          <w:lang w:eastAsia="zh-CN"/>
        </w:rPr>
        <w:t>], and its</w:t>
      </w:r>
      <w:r w:rsidR="0051755F" w:rsidRPr="00E35AB3">
        <w:rPr>
          <w:lang w:eastAsia="zh-CN"/>
        </w:rPr>
        <w:t xml:space="preserve"> eigen</w:t>
      </w:r>
      <w:r w:rsidRPr="00E35AB3">
        <w:rPr>
          <w:lang w:eastAsia="zh-CN"/>
        </w:rPr>
        <w:t>mode is a confined waveguide mode. It is also possible to convert the dr</w:t>
      </w:r>
      <w:r w:rsidR="0051755F" w:rsidRPr="00E35AB3">
        <w:rPr>
          <w:lang w:eastAsia="zh-CN"/>
        </w:rPr>
        <w:t>iven SW to other types of eigen</w:t>
      </w:r>
      <w:r w:rsidRPr="00E35AB3">
        <w:rPr>
          <w:lang w:eastAsia="zh-CN"/>
        </w:rPr>
        <w:t>modes, e.g. surface plasmons [</w:t>
      </w:r>
      <w:r w:rsidR="00EC01D0" w:rsidRPr="00E35AB3">
        <w:rPr>
          <w:lang w:eastAsia="zh-CN"/>
        </w:rPr>
        <w:t>14</w:t>
      </w:r>
      <w:r w:rsidRPr="00E35AB3">
        <w:rPr>
          <w:lang w:eastAsia="zh-CN"/>
        </w:rPr>
        <w:t>].</w:t>
      </w:r>
      <w:r w:rsidR="0020489B" w:rsidRPr="00E35AB3">
        <w:rPr>
          <w:lang w:eastAsia="zh-CN"/>
        </w:rPr>
        <w:t xml:space="preserve"> The PW-SW conversion efficiency also depends on the number of super unit cells [</w:t>
      </w:r>
      <w:r w:rsidR="00EC01D0" w:rsidRPr="00E35AB3">
        <w:rPr>
          <w:lang w:eastAsia="zh-CN"/>
        </w:rPr>
        <w:t>14</w:t>
      </w:r>
      <w:r w:rsidR="0020489B" w:rsidRPr="00E35AB3">
        <w:rPr>
          <w:lang w:eastAsia="zh-CN"/>
        </w:rPr>
        <w:t xml:space="preserve">, </w:t>
      </w:r>
      <w:r w:rsidR="00EC01D0" w:rsidRPr="00E35AB3">
        <w:rPr>
          <w:lang w:eastAsia="zh-CN"/>
        </w:rPr>
        <w:t>48</w:t>
      </w:r>
      <w:r w:rsidR="0020489B" w:rsidRPr="00E35AB3">
        <w:rPr>
          <w:lang w:eastAsia="zh-CN"/>
        </w:rPr>
        <w:t>], which is analyzed in Supplementary Fig. S</w:t>
      </w:r>
      <w:r w:rsidR="00834891" w:rsidRPr="00E35AB3">
        <w:rPr>
          <w:lang w:eastAsia="zh-CN"/>
        </w:rPr>
        <w:t>6</w:t>
      </w:r>
      <w:r w:rsidR="0020489B" w:rsidRPr="00E35AB3">
        <w:rPr>
          <w:lang w:eastAsia="zh-CN"/>
        </w:rPr>
        <w:t>.</w:t>
      </w:r>
    </w:p>
    <w:p w:rsidR="00390558" w:rsidRPr="00E35AB3" w:rsidRDefault="001665AB" w:rsidP="00621F06">
      <w:pPr>
        <w:pStyle w:val="10BodySubsequentParagraph"/>
        <w:ind w:firstLine="289"/>
        <w:rPr>
          <w:lang w:eastAsia="zh-CN"/>
        </w:rPr>
      </w:pPr>
      <w:r w:rsidRPr="00E35AB3">
        <w:rPr>
          <w:lang w:eastAsia="zh-CN"/>
        </w:rPr>
        <w:t xml:space="preserve">Before concluding this work, it is worth </w:t>
      </w:r>
      <w:r w:rsidR="000C6B5A" w:rsidRPr="00E35AB3">
        <w:rPr>
          <w:lang w:eastAsia="zh-CN"/>
        </w:rPr>
        <w:t>discussing briefly the microfabrication of these designs in future experiment</w:t>
      </w:r>
      <w:r w:rsidR="00275343" w:rsidRPr="00E35AB3">
        <w:rPr>
          <w:lang w:eastAsia="zh-CN"/>
        </w:rPr>
        <w:t>s</w:t>
      </w:r>
      <w:r w:rsidR="000C6B5A" w:rsidRPr="00E35AB3">
        <w:rPr>
          <w:lang w:eastAsia="zh-CN"/>
        </w:rPr>
        <w:t>. As a</w:t>
      </w:r>
      <w:r w:rsidR="00D55B1A" w:rsidRPr="00E35AB3">
        <w:rPr>
          <w:lang w:eastAsia="zh-CN"/>
        </w:rPr>
        <w:t xml:space="preserve"> proof-of-principle </w:t>
      </w:r>
      <w:r w:rsidR="000C6B5A" w:rsidRPr="00E35AB3">
        <w:rPr>
          <w:lang w:eastAsia="zh-CN"/>
        </w:rPr>
        <w:t xml:space="preserve">demonstration of the all-dielectric gap modes, the analysis </w:t>
      </w:r>
      <w:r w:rsidR="00275343" w:rsidRPr="00E35AB3">
        <w:rPr>
          <w:lang w:eastAsia="zh-CN"/>
        </w:rPr>
        <w:t xml:space="preserve">above </w:t>
      </w:r>
      <w:r w:rsidR="000C6B5A" w:rsidRPr="00E35AB3">
        <w:rPr>
          <w:lang w:eastAsia="zh-CN"/>
        </w:rPr>
        <w:t>has been conducted with</w:t>
      </w:r>
      <w:r w:rsidR="00275343" w:rsidRPr="00E35AB3">
        <w:rPr>
          <w:lang w:eastAsia="zh-CN"/>
        </w:rPr>
        <w:t>out</w:t>
      </w:r>
      <w:r w:rsidR="000C6B5A" w:rsidRPr="00E35AB3">
        <w:rPr>
          <w:lang w:eastAsia="zh-CN"/>
        </w:rPr>
        <w:t xml:space="preserve"> considering any microfabrication constraint. </w:t>
      </w:r>
      <w:r w:rsidR="00D55B1A" w:rsidRPr="00E35AB3">
        <w:rPr>
          <w:lang w:eastAsia="zh-CN"/>
        </w:rPr>
        <w:t xml:space="preserve">A </w:t>
      </w:r>
      <w:r w:rsidR="000C6B5A" w:rsidRPr="00E35AB3">
        <w:rPr>
          <w:lang w:eastAsia="zh-CN"/>
        </w:rPr>
        <w:t xml:space="preserve">major </w:t>
      </w:r>
      <w:r w:rsidR="00D55B1A" w:rsidRPr="00E35AB3">
        <w:rPr>
          <w:lang w:eastAsia="zh-CN"/>
        </w:rPr>
        <w:t xml:space="preserve">constraint </w:t>
      </w:r>
      <w:r w:rsidR="000C6B5A" w:rsidRPr="00E35AB3">
        <w:rPr>
          <w:lang w:eastAsia="zh-CN"/>
        </w:rPr>
        <w:t xml:space="preserve">that is often encountered in experiment </w:t>
      </w:r>
      <w:r w:rsidR="00D55B1A" w:rsidRPr="00E35AB3">
        <w:rPr>
          <w:lang w:eastAsia="zh-CN"/>
        </w:rPr>
        <w:t>is the aspect ratio</w:t>
      </w:r>
      <w:r w:rsidR="000B2024" w:rsidRPr="00E35AB3">
        <w:rPr>
          <w:lang w:eastAsia="zh-CN"/>
        </w:rPr>
        <w:t xml:space="preserve"> </w:t>
      </w:r>
      <w:r w:rsidR="00AB12B1" w:rsidRPr="00E35AB3">
        <w:rPr>
          <w:lang w:eastAsia="zh-CN"/>
        </w:rPr>
        <w:t>[</w:t>
      </w:r>
      <w:r w:rsidR="00EC01D0" w:rsidRPr="00E35AB3">
        <w:rPr>
          <w:lang w:eastAsia="zh-CN"/>
        </w:rPr>
        <w:t>49-51</w:t>
      </w:r>
      <w:r w:rsidR="00AB12B1" w:rsidRPr="00E35AB3">
        <w:rPr>
          <w:lang w:eastAsia="zh-CN"/>
        </w:rPr>
        <w:t>],</w:t>
      </w:r>
      <w:r w:rsidR="00D55B1A" w:rsidRPr="00E35AB3">
        <w:rPr>
          <w:lang w:eastAsia="zh-CN"/>
        </w:rPr>
        <w:t xml:space="preserve"> which</w:t>
      </w:r>
      <w:r w:rsidR="000C6B5A" w:rsidRPr="00E35AB3">
        <w:rPr>
          <w:lang w:eastAsia="zh-CN"/>
        </w:rPr>
        <w:t>, for the designs discussed above, set a lower boundary</w:t>
      </w:r>
      <w:r w:rsidR="00D55B1A" w:rsidRPr="00E35AB3">
        <w:rPr>
          <w:lang w:eastAsia="zh-CN"/>
        </w:rPr>
        <w:t xml:space="preserve"> </w:t>
      </w:r>
      <w:r w:rsidR="000C6B5A" w:rsidRPr="00E35AB3">
        <w:rPr>
          <w:lang w:eastAsia="zh-CN"/>
        </w:rPr>
        <w:t>on</w:t>
      </w:r>
      <w:r w:rsidR="005A6290" w:rsidRPr="00E35AB3">
        <w:rPr>
          <w:lang w:eastAsia="zh-CN"/>
        </w:rPr>
        <w:t xml:space="preserve"> </w:t>
      </w:r>
      <m:oMath>
        <m:r>
          <m:rPr>
            <m:sty m:val="p"/>
          </m:rPr>
          <w:rPr>
            <w:rFonts w:ascii="Cambria Math" w:hAnsi="Cambria Math"/>
            <w:lang w:eastAsia="zh-CN"/>
          </w:rPr>
          <m:t>h</m:t>
        </m:r>
      </m:oMath>
      <w:r w:rsidR="005A6290" w:rsidRPr="00E35AB3">
        <w:rPr>
          <w:lang w:eastAsia="zh-CN"/>
        </w:rPr>
        <w:t xml:space="preserve"> </w:t>
      </w:r>
      <w:r w:rsidR="000C6B5A" w:rsidRPr="00E35AB3">
        <w:rPr>
          <w:lang w:eastAsia="zh-CN"/>
        </w:rPr>
        <w:t>for a given set of</w:t>
      </w:r>
      <w:r w:rsidR="005A6290" w:rsidRPr="00E35AB3">
        <w:rPr>
          <w:lang w:eastAsia="zh-CN"/>
        </w:rPr>
        <w:t xml:space="preserve"> </w:t>
      </w:r>
      <m:oMath>
        <m:r>
          <m:rPr>
            <m:sty m:val="p"/>
          </m:rPr>
          <w:rPr>
            <w:rFonts w:ascii="Cambria Math" w:hAnsi="Cambria Math"/>
            <w:lang w:eastAsia="zh-CN"/>
          </w:rPr>
          <m:t>d</m:t>
        </m:r>
      </m:oMath>
      <w:r w:rsidR="000C6B5A" w:rsidRPr="00E35AB3">
        <w:rPr>
          <w:lang w:eastAsia="zh-CN"/>
        </w:rPr>
        <w:t xml:space="preserve"> </w:t>
      </w:r>
      <w:r w:rsidR="005A6290" w:rsidRPr="00E35AB3">
        <w:rPr>
          <w:lang w:eastAsia="zh-CN"/>
        </w:rPr>
        <w:t xml:space="preserve">and </w:t>
      </w:r>
      <m:oMath>
        <m:r>
          <m:rPr>
            <m:sty m:val="p"/>
          </m:rPr>
          <w:rPr>
            <w:rFonts w:ascii="Cambria Math" w:hAnsi="Cambria Math"/>
            <w:lang w:eastAsia="zh-CN"/>
          </w:rPr>
          <m:t>g</m:t>
        </m:r>
      </m:oMath>
      <w:r w:rsidR="005A6290" w:rsidRPr="00E35AB3">
        <w:rPr>
          <w:lang w:eastAsia="zh-CN"/>
        </w:rPr>
        <w:t xml:space="preserve">. </w:t>
      </w:r>
      <w:r w:rsidR="009D3B55" w:rsidRPr="00E35AB3">
        <w:rPr>
          <w:lang w:eastAsia="zh-CN"/>
        </w:rPr>
        <w:t xml:space="preserve">To benefit </w:t>
      </w:r>
      <w:bookmarkStart w:id="32" w:name="_Hlk97232971"/>
      <w:r w:rsidR="009D3B55" w:rsidRPr="00E35AB3">
        <w:rPr>
          <w:lang w:eastAsia="zh-CN"/>
        </w:rPr>
        <w:t>future experiment</w:t>
      </w:r>
      <w:bookmarkEnd w:id="32"/>
      <w:r w:rsidR="009D3B55" w:rsidRPr="00E35AB3">
        <w:rPr>
          <w:lang w:eastAsia="zh-CN"/>
        </w:rPr>
        <w:t>, the maximal aspect ratio</w:t>
      </w:r>
      <w:r w:rsidR="00584599" w:rsidRPr="00E35AB3">
        <w:rPr>
          <w:lang w:eastAsia="zh-CN"/>
        </w:rPr>
        <w:t>s</w:t>
      </w:r>
      <w:r w:rsidR="009D3B55" w:rsidRPr="00E35AB3">
        <w:rPr>
          <w:lang w:eastAsia="zh-CN"/>
        </w:rPr>
        <w:t xml:space="preserve"> of a few meta-converter designs </w:t>
      </w:r>
      <w:r w:rsidR="00584599" w:rsidRPr="00E35AB3">
        <w:rPr>
          <w:lang w:eastAsia="zh-CN"/>
        </w:rPr>
        <w:t>are</w:t>
      </w:r>
      <w:r w:rsidR="009D3B55" w:rsidRPr="00E35AB3">
        <w:rPr>
          <w:lang w:eastAsia="zh-CN"/>
        </w:rPr>
        <w:t xml:space="preserve"> listed in Supplementary </w:t>
      </w:r>
      <w:r w:rsidR="00834891" w:rsidRPr="00E35AB3">
        <w:rPr>
          <w:lang w:eastAsia="zh-CN"/>
        </w:rPr>
        <w:t>Table S1</w:t>
      </w:r>
      <w:r w:rsidR="009D3B55" w:rsidRPr="00E35AB3">
        <w:rPr>
          <w:lang w:eastAsia="zh-CN"/>
        </w:rPr>
        <w:t xml:space="preserve">, </w:t>
      </w:r>
      <w:r w:rsidR="00193C09" w:rsidRPr="00E35AB3">
        <w:rPr>
          <w:lang w:eastAsia="zh-CN"/>
        </w:rPr>
        <w:t>in addition to</w:t>
      </w:r>
      <w:r w:rsidR="009D3B55" w:rsidRPr="00E35AB3">
        <w:rPr>
          <w:lang w:eastAsia="zh-CN"/>
        </w:rPr>
        <w:t xml:space="preserve"> all their geometric parameters</w:t>
      </w:r>
      <w:r w:rsidR="000C6B5A" w:rsidRPr="00E35AB3">
        <w:rPr>
          <w:lang w:eastAsia="zh-CN"/>
        </w:rPr>
        <w:t>.</w:t>
      </w:r>
      <w:r w:rsidR="006D4DCA" w:rsidRPr="00E35AB3">
        <w:rPr>
          <w:lang w:eastAsia="zh-CN"/>
        </w:rPr>
        <w:t xml:space="preserve"> These devices could be fabricated by applying deep reactive ion etching on a Si film, following fabrication processes detailed in several references [</w:t>
      </w:r>
      <w:r w:rsidR="00EC01D0" w:rsidRPr="00E35AB3">
        <w:rPr>
          <w:lang w:eastAsia="zh-CN"/>
        </w:rPr>
        <w:t>49-51</w:t>
      </w:r>
      <w:r w:rsidR="006D4DCA" w:rsidRPr="00E35AB3">
        <w:rPr>
          <w:lang w:eastAsia="zh-CN"/>
        </w:rPr>
        <w:t xml:space="preserve">]. Taking 160 as the maximal aspect ratio achievable in experiment </w:t>
      </w:r>
      <w:r w:rsidR="00F37DE5" w:rsidRPr="00E35AB3">
        <w:rPr>
          <w:lang w:eastAsia="zh-CN"/>
        </w:rPr>
        <w:t>[</w:t>
      </w:r>
      <w:r w:rsidR="00EC01D0" w:rsidRPr="00E35AB3">
        <w:rPr>
          <w:lang w:eastAsia="zh-CN"/>
        </w:rPr>
        <w:t>49</w:t>
      </w:r>
      <w:r w:rsidR="00F37DE5" w:rsidRPr="00E35AB3">
        <w:rPr>
          <w:lang w:eastAsia="zh-CN"/>
        </w:rPr>
        <w:t>]</w:t>
      </w:r>
      <w:r w:rsidR="006D4DCA" w:rsidRPr="00E35AB3">
        <w:rPr>
          <w:lang w:eastAsia="zh-CN"/>
        </w:rPr>
        <w:t>, we envisage that meta-couplers with a unit number of 8, 10, 12 and 16 (i.e. the first four designs listed in Table S1) can be obtained using this ion etching technique.</w:t>
      </w:r>
    </w:p>
    <w:p w:rsidR="005B1938" w:rsidRPr="00E35AB3" w:rsidRDefault="005B1938" w:rsidP="001665AB">
      <w:pPr>
        <w:pStyle w:val="08SectionHeader1"/>
      </w:pPr>
      <w:r w:rsidRPr="00E35AB3">
        <w:t>Conclusion</w:t>
      </w:r>
    </w:p>
    <w:p w:rsidR="00DF1FD9" w:rsidRPr="00E35AB3" w:rsidRDefault="005B4203" w:rsidP="00DF1FD9">
      <w:pPr>
        <w:pStyle w:val="10BodySubsequentParagraph"/>
        <w:ind w:firstLineChars="100" w:firstLine="200"/>
        <w:rPr>
          <w:rFonts w:eastAsia="DengXian"/>
          <w:lang w:eastAsia="zh-CN"/>
        </w:rPr>
      </w:pPr>
      <w:r w:rsidRPr="00E35AB3">
        <w:rPr>
          <w:rFonts w:eastAsia="DengXian"/>
          <w:lang w:eastAsia="zh-CN"/>
        </w:rPr>
        <w:t xml:space="preserve">To conclude, we have proposed and numerically </w:t>
      </w:r>
      <w:r w:rsidR="00083CE5" w:rsidRPr="00E35AB3">
        <w:rPr>
          <w:rFonts w:eastAsia="DengXian"/>
          <w:lang w:eastAsia="zh-CN"/>
        </w:rPr>
        <w:t>tested</w:t>
      </w:r>
      <w:r w:rsidRPr="00E35AB3">
        <w:rPr>
          <w:rFonts w:eastAsia="DengXian"/>
          <w:lang w:eastAsia="zh-CN"/>
        </w:rPr>
        <w:t xml:space="preserve"> a new design strategy for all-dielectric metasurfaces that </w:t>
      </w:r>
      <w:r w:rsidR="00083CE5" w:rsidRPr="00E35AB3">
        <w:rPr>
          <w:rFonts w:eastAsia="DengXian"/>
          <w:lang w:eastAsia="zh-CN"/>
        </w:rPr>
        <w:t>exploits the electromagnetic responses</w:t>
      </w:r>
      <w:r w:rsidR="00145393" w:rsidRPr="00E35AB3">
        <w:rPr>
          <w:rFonts w:eastAsia="DengXian"/>
          <w:lang w:eastAsia="zh-CN"/>
        </w:rPr>
        <w:t xml:space="preserve"> of low-index materials. One-dimensional gratings of Si fins are used for analysis, where </w:t>
      </w:r>
      <w:r w:rsidR="00584599" w:rsidRPr="00E35AB3">
        <w:rPr>
          <w:rFonts w:eastAsia="DengXian"/>
          <w:lang w:eastAsia="zh-CN"/>
        </w:rPr>
        <w:t xml:space="preserve">all </w:t>
      </w:r>
      <w:r w:rsidR="00145393" w:rsidRPr="00E35AB3">
        <w:rPr>
          <w:rFonts w:eastAsia="DengXian"/>
          <w:lang w:eastAsia="zh-CN"/>
        </w:rPr>
        <w:t xml:space="preserve">the Si fins are identical in a metasurface. </w:t>
      </w:r>
      <w:r w:rsidR="00DF1FD9" w:rsidRPr="00E35AB3">
        <w:rPr>
          <w:rFonts w:eastAsia="DengXian"/>
          <w:lang w:eastAsia="zh-CN"/>
        </w:rPr>
        <w:t>Adjusting the deep-subwavelength air gap</w:t>
      </w:r>
      <w:r w:rsidR="00193C09" w:rsidRPr="00E35AB3">
        <w:rPr>
          <w:rFonts w:eastAsia="DengXian"/>
          <w:lang w:eastAsia="zh-CN"/>
        </w:rPr>
        <w:t>s</w:t>
      </w:r>
      <w:r w:rsidR="00DF1FD9" w:rsidRPr="00E35AB3">
        <w:rPr>
          <w:rFonts w:eastAsia="DengXian"/>
          <w:lang w:eastAsia="zh-CN"/>
        </w:rPr>
        <w:t xml:space="preserve"> between adjacent fins provides not only the full 2</w:t>
      </w:r>
      <w:r w:rsidR="00DF1FD9" w:rsidRPr="00E35AB3">
        <w:rPr>
          <w:rFonts w:eastAsia="DengXian" w:cs="Times New Roman"/>
          <w:lang w:eastAsia="zh-CN"/>
        </w:rPr>
        <w:t>π</w:t>
      </w:r>
      <w:r w:rsidR="00DF1FD9" w:rsidRPr="00E35AB3">
        <w:rPr>
          <w:rFonts w:eastAsia="DengXian"/>
          <w:lang w:eastAsia="zh-CN"/>
        </w:rPr>
        <w:t xml:space="preserve"> phase coverage but also high and relatively uniform output intensity in </w:t>
      </w:r>
      <w:r w:rsidR="00DF1FD9" w:rsidRPr="00E35AB3">
        <w:rPr>
          <w:rFonts w:eastAsia="DengXian"/>
          <w:lang w:eastAsia="zh-CN"/>
        </w:rPr>
        <w:lastRenderedPageBreak/>
        <w:t xml:space="preserve">transmission. These characteristics allow for accurate mapping of a steep phase profile, as required for scenarios such as high-efficiency, large-angle wavefront bending. </w:t>
      </w:r>
      <w:r w:rsidR="00931D1B" w:rsidRPr="00E35AB3">
        <w:rPr>
          <w:rFonts w:eastAsia="DengXian"/>
          <w:lang w:eastAsia="zh-CN"/>
        </w:rPr>
        <w:t>Several THz meta-converters are analyzed to demonstrat</w:t>
      </w:r>
      <w:r w:rsidR="00584599" w:rsidRPr="00E35AB3">
        <w:rPr>
          <w:rFonts w:eastAsia="DengXian"/>
          <w:lang w:eastAsia="zh-CN"/>
        </w:rPr>
        <w:t>e</w:t>
      </w:r>
      <w:r w:rsidR="00931D1B" w:rsidRPr="00E35AB3">
        <w:rPr>
          <w:rFonts w:eastAsia="DengXian"/>
          <w:lang w:eastAsia="zh-CN"/>
        </w:rPr>
        <w:t xml:space="preserve"> this wavefront ma</w:t>
      </w:r>
      <w:r w:rsidR="00593585" w:rsidRPr="00E35AB3">
        <w:rPr>
          <w:rFonts w:eastAsia="DengXian"/>
          <w:lang w:eastAsia="zh-CN"/>
        </w:rPr>
        <w:t xml:space="preserve">nipulation capability. The conversion efficiency can reach </w:t>
      </w:r>
      <w:r w:rsidR="00132D21" w:rsidRPr="00E35AB3">
        <w:rPr>
          <w:rFonts w:eastAsia="DengXian"/>
          <w:lang w:eastAsia="zh-CN"/>
        </w:rPr>
        <w:t>68</w:t>
      </w:r>
      <w:r w:rsidR="00593585" w:rsidRPr="00E35AB3">
        <w:rPr>
          <w:rFonts w:eastAsia="DengXian"/>
          <w:lang w:eastAsia="zh-CN"/>
        </w:rPr>
        <w:t xml:space="preserve">%, </w:t>
      </w:r>
      <w:r w:rsidR="00D17F52" w:rsidRPr="00E35AB3">
        <w:rPr>
          <w:rFonts w:eastAsia="DengXian"/>
          <w:lang w:eastAsia="zh-CN"/>
        </w:rPr>
        <w:t>the highest value reported</w:t>
      </w:r>
      <w:r w:rsidR="00593585" w:rsidRPr="00E35AB3">
        <w:rPr>
          <w:rFonts w:eastAsia="DengXian"/>
          <w:lang w:eastAsia="zh-CN"/>
        </w:rPr>
        <w:t xml:space="preserve"> </w:t>
      </w:r>
      <w:r w:rsidR="00D17F52" w:rsidRPr="00E35AB3">
        <w:rPr>
          <w:rFonts w:eastAsia="DengXian"/>
          <w:lang w:eastAsia="zh-CN"/>
        </w:rPr>
        <w:t>in</w:t>
      </w:r>
      <w:r w:rsidR="00593585" w:rsidRPr="00E35AB3">
        <w:rPr>
          <w:rFonts w:eastAsia="DengXian"/>
          <w:lang w:eastAsia="zh-CN"/>
        </w:rPr>
        <w:t xml:space="preserve"> all-dielectric</w:t>
      </w:r>
      <w:r w:rsidR="00193C09" w:rsidRPr="00E35AB3">
        <w:rPr>
          <w:rFonts w:eastAsia="DengXian"/>
          <w:lang w:eastAsia="zh-CN"/>
        </w:rPr>
        <w:t>, phase-gradient</w:t>
      </w:r>
      <w:r w:rsidR="00593585" w:rsidRPr="00E35AB3">
        <w:rPr>
          <w:rFonts w:eastAsia="DengXian"/>
          <w:lang w:eastAsia="zh-CN"/>
        </w:rPr>
        <w:t xml:space="preserve"> THz converters.</w:t>
      </w:r>
    </w:p>
    <w:p w:rsidR="00F37DE5" w:rsidRPr="00E35AB3" w:rsidRDefault="00F37DE5" w:rsidP="00DF1FD9">
      <w:pPr>
        <w:pStyle w:val="10BodySubsequentParagraph"/>
        <w:ind w:firstLineChars="100" w:firstLine="200"/>
        <w:rPr>
          <w:rFonts w:eastAsia="DengXian"/>
          <w:lang w:eastAsia="zh-CN"/>
        </w:rPr>
      </w:pPr>
      <w:r w:rsidRPr="00E35AB3">
        <w:rPr>
          <w:rFonts w:eastAsia="DengXian"/>
          <w:lang w:eastAsia="zh-CN"/>
        </w:rPr>
        <w:t>It is worth pointing out that to utilize this new gap mode, it is not a prerequisite to force all the high-index elements to have an identical shape and size. We choose to have an identical Si fin width in our discussions, because it can explicitly reveal the role of the air gap. A generalized gap-mode all-dielectric metasurface instead can have variable dimensions for both the high- and the low-index elements. Different unit selection methods [</w:t>
      </w:r>
      <w:r w:rsidR="00EC01D0" w:rsidRPr="00E35AB3">
        <w:rPr>
          <w:rFonts w:eastAsia="DengXian"/>
          <w:lang w:eastAsia="zh-CN"/>
        </w:rPr>
        <w:t>52, 53</w:t>
      </w:r>
      <w:r w:rsidRPr="00E35AB3">
        <w:rPr>
          <w:rFonts w:eastAsia="DengXian"/>
          <w:lang w:eastAsia="zh-CN"/>
        </w:rPr>
        <w:t>], for example the inverse design method [</w:t>
      </w:r>
      <w:r w:rsidR="00EC01D0" w:rsidRPr="00E35AB3">
        <w:rPr>
          <w:rFonts w:eastAsia="DengXian"/>
          <w:lang w:eastAsia="zh-CN"/>
        </w:rPr>
        <w:t>54</w:t>
      </w:r>
      <w:r w:rsidRPr="00E35AB3">
        <w:rPr>
          <w:rFonts w:eastAsia="DengXian"/>
          <w:lang w:eastAsia="zh-CN"/>
        </w:rPr>
        <w:t>], could be applied on the gap modes to achieve different functionalities.</w:t>
      </w:r>
    </w:p>
    <w:p w:rsidR="00015260" w:rsidRPr="00E35AB3" w:rsidRDefault="00593585" w:rsidP="005E0067">
      <w:pPr>
        <w:pStyle w:val="10BodySubsequentParagraph"/>
        <w:ind w:firstLineChars="100" w:firstLine="200"/>
        <w:rPr>
          <w:rFonts w:eastAsia="DengXian"/>
          <w:lang w:eastAsia="zh-CN"/>
        </w:rPr>
      </w:pPr>
      <w:r w:rsidRPr="00E35AB3">
        <w:rPr>
          <w:rFonts w:eastAsia="DengXian"/>
          <w:lang w:eastAsia="zh-CN"/>
        </w:rPr>
        <w:t>This work has demonstrated that the gap modes, which could be perceived as a useless by-product or even detrimental crosstalk in existing design strategies, can be utilized to achieve light manipulation that is extremely challenging for existing strategies. Besides the PW-SW conversion analyzed he</w:t>
      </w:r>
      <w:r w:rsidR="00193C09" w:rsidRPr="00E35AB3">
        <w:rPr>
          <w:rFonts w:eastAsia="DengXian"/>
          <w:lang w:eastAsia="zh-CN"/>
        </w:rPr>
        <w:t>re</w:t>
      </w:r>
      <w:r w:rsidRPr="00E35AB3">
        <w:rPr>
          <w:rFonts w:eastAsia="DengXian"/>
          <w:lang w:eastAsia="zh-CN"/>
        </w:rPr>
        <w:t xml:space="preserve">, these gap modes can </w:t>
      </w:r>
      <w:r w:rsidR="005E0067" w:rsidRPr="00E35AB3">
        <w:rPr>
          <w:rFonts w:eastAsia="DengXian"/>
          <w:lang w:eastAsia="zh-CN"/>
        </w:rPr>
        <w:t>be used in</w:t>
      </w:r>
      <w:r w:rsidRPr="00E35AB3">
        <w:rPr>
          <w:rFonts w:eastAsia="DengXian"/>
          <w:lang w:eastAsia="zh-CN"/>
        </w:rPr>
        <w:t xml:space="preserve"> many other </w:t>
      </w:r>
      <w:r w:rsidR="005E0067" w:rsidRPr="00E35AB3">
        <w:rPr>
          <w:rFonts w:eastAsia="DengXian"/>
          <w:lang w:eastAsia="zh-CN"/>
        </w:rPr>
        <w:t>applications</w:t>
      </w:r>
      <w:r w:rsidRPr="00E35AB3">
        <w:rPr>
          <w:rFonts w:eastAsia="DengXian"/>
          <w:lang w:eastAsia="zh-CN"/>
        </w:rPr>
        <w:t xml:space="preserve"> </w:t>
      </w:r>
      <w:r w:rsidR="005E0067" w:rsidRPr="00E35AB3">
        <w:rPr>
          <w:rFonts w:eastAsia="DengXian"/>
          <w:lang w:eastAsia="zh-CN"/>
        </w:rPr>
        <w:t>that benefit from high-efficiency, large-angle wavefront</w:t>
      </w:r>
      <w:r w:rsidR="003D7B6F" w:rsidRPr="00E35AB3">
        <w:rPr>
          <w:rFonts w:eastAsia="DengXian"/>
          <w:lang w:eastAsia="zh-CN"/>
        </w:rPr>
        <w:t xml:space="preserve"> </w:t>
      </w:r>
      <w:r w:rsidR="005E0067" w:rsidRPr="00E35AB3">
        <w:rPr>
          <w:rFonts w:eastAsia="DengXian"/>
          <w:lang w:eastAsia="zh-CN"/>
        </w:rPr>
        <w:t xml:space="preserve">bending, further expanding the </w:t>
      </w:r>
      <w:r w:rsidR="00584599" w:rsidRPr="00E35AB3">
        <w:rPr>
          <w:rFonts w:eastAsia="DengXian"/>
          <w:lang w:eastAsia="zh-CN"/>
        </w:rPr>
        <w:t xml:space="preserve">application </w:t>
      </w:r>
      <w:r w:rsidR="005E0067" w:rsidRPr="00E35AB3">
        <w:rPr>
          <w:rFonts w:eastAsia="DengXian"/>
          <w:lang w:eastAsia="zh-CN"/>
        </w:rPr>
        <w:t xml:space="preserve">realm of </w:t>
      </w:r>
      <w:r w:rsidRPr="00E35AB3">
        <w:rPr>
          <w:rFonts w:eastAsia="DengXian"/>
          <w:lang w:eastAsia="zh-CN"/>
        </w:rPr>
        <w:t>all-dielectric metasurfaces.</w:t>
      </w:r>
    </w:p>
    <w:p w:rsidR="006929EC" w:rsidRPr="00E35AB3" w:rsidRDefault="006929EC" w:rsidP="006929EC">
      <w:pPr>
        <w:pStyle w:val="10BodySubsequentParagraph"/>
        <w:spacing w:before="120" w:after="120"/>
        <w:ind w:firstLine="0"/>
        <w:rPr>
          <w:rFonts w:eastAsia="DengXian"/>
          <w:lang w:eastAsia="zh-CN"/>
        </w:rPr>
      </w:pPr>
      <w:r w:rsidRPr="00E35AB3">
        <w:rPr>
          <w:rFonts w:ascii="Arial" w:hAnsi="Arial"/>
          <w:b/>
          <w:color w:val="auto"/>
          <w:sz w:val="18"/>
        </w:rPr>
        <w:t>Funding.</w:t>
      </w:r>
      <w:r w:rsidRPr="00E35AB3">
        <w:rPr>
          <w:rFonts w:eastAsia="DengXian"/>
          <w:lang w:eastAsia="zh-CN"/>
        </w:rPr>
        <w:t xml:space="preserve"> National Natural Science </w:t>
      </w:r>
      <w:r w:rsidR="00F538E8" w:rsidRPr="00E35AB3">
        <w:rPr>
          <w:rFonts w:eastAsia="DengXian"/>
          <w:lang w:eastAsia="zh-CN"/>
        </w:rPr>
        <w:t>Foundation of China (61927804);</w:t>
      </w:r>
      <w:r w:rsidR="00F538E8" w:rsidRPr="00E35AB3">
        <w:rPr>
          <w:rFonts w:eastAsia="DengXian" w:hint="eastAsia"/>
          <w:lang w:eastAsia="zh-CN"/>
        </w:rPr>
        <w:t xml:space="preserve"> </w:t>
      </w:r>
      <w:r w:rsidRPr="00E35AB3">
        <w:rPr>
          <w:rFonts w:eastAsia="DengXian"/>
          <w:lang w:eastAsia="zh-CN"/>
        </w:rPr>
        <w:t>Royal Society (IEC\R3\183071, IES\R3\183086).</w:t>
      </w:r>
    </w:p>
    <w:p w:rsidR="006929EC" w:rsidRPr="00E35AB3" w:rsidRDefault="006929EC" w:rsidP="006929EC">
      <w:pPr>
        <w:pStyle w:val="10BodySubsequentParagraph"/>
        <w:spacing w:before="120" w:after="120"/>
        <w:ind w:firstLine="0"/>
        <w:rPr>
          <w:rFonts w:eastAsia="DengXian"/>
          <w:lang w:eastAsia="zh-CN"/>
        </w:rPr>
      </w:pPr>
      <w:r w:rsidRPr="00E35AB3">
        <w:rPr>
          <w:rFonts w:ascii="Arial" w:hAnsi="Arial"/>
          <w:b/>
          <w:color w:val="auto"/>
          <w:sz w:val="18"/>
        </w:rPr>
        <w:t>Disclosures.</w:t>
      </w:r>
      <w:r w:rsidRPr="00E35AB3">
        <w:rPr>
          <w:rFonts w:eastAsia="DengXian"/>
          <w:lang w:eastAsia="zh-CN"/>
        </w:rPr>
        <w:t xml:space="preserve"> The authors declare no conflicts of interest.</w:t>
      </w:r>
    </w:p>
    <w:p w:rsidR="006929EC" w:rsidRPr="00E35AB3" w:rsidRDefault="006929EC" w:rsidP="006929EC">
      <w:pPr>
        <w:pStyle w:val="10BodySubsequentParagraph"/>
        <w:spacing w:before="120" w:after="120"/>
        <w:ind w:firstLine="0"/>
        <w:rPr>
          <w:rFonts w:eastAsia="DengXian"/>
          <w:lang w:eastAsia="zh-CN"/>
        </w:rPr>
      </w:pPr>
      <w:r w:rsidRPr="00E35AB3">
        <w:rPr>
          <w:rFonts w:ascii="Arial" w:hAnsi="Arial"/>
          <w:b/>
          <w:color w:val="auto"/>
          <w:sz w:val="18"/>
        </w:rPr>
        <w:t>Data availability.</w:t>
      </w:r>
      <w:r w:rsidRPr="00E35AB3">
        <w:rPr>
          <w:rFonts w:eastAsia="DengXian"/>
          <w:lang w:eastAsia="zh-CN"/>
        </w:rPr>
        <w:t xml:space="preserve"> Data underlying the results presented in this paper are not publicly available at this time but may be obtained from the authors upon reasonable request.</w:t>
      </w:r>
    </w:p>
    <w:p w:rsidR="006929EC" w:rsidRPr="00E35AB3" w:rsidRDefault="006929EC" w:rsidP="006929EC">
      <w:pPr>
        <w:pStyle w:val="10BodySubsequentParagraph"/>
        <w:spacing w:before="120" w:after="120"/>
        <w:ind w:firstLine="0"/>
        <w:rPr>
          <w:rFonts w:eastAsia="DengXian"/>
          <w:lang w:eastAsia="zh-CN"/>
        </w:rPr>
      </w:pPr>
      <w:r w:rsidRPr="00E35AB3">
        <w:rPr>
          <w:rFonts w:ascii="Arial" w:hAnsi="Arial"/>
          <w:b/>
          <w:color w:val="auto"/>
          <w:sz w:val="18"/>
        </w:rPr>
        <w:t>Supplemental document.</w:t>
      </w:r>
      <w:r w:rsidRPr="00E35AB3">
        <w:rPr>
          <w:rFonts w:eastAsia="DengXian"/>
          <w:lang w:eastAsia="zh-CN"/>
        </w:rPr>
        <w:t xml:space="preserve"> See Supplement 1 for supporting content.</w:t>
      </w:r>
    </w:p>
    <w:p w:rsidR="00154022" w:rsidRPr="00E35AB3" w:rsidRDefault="005B1938" w:rsidP="00154022">
      <w:pPr>
        <w:spacing w:before="120" w:after="120" w:line="240" w:lineRule="auto"/>
        <w:rPr>
          <w:rFonts w:cs="Times New Roman"/>
          <w:sz w:val="16"/>
          <w:szCs w:val="16"/>
          <w:lang w:eastAsia="zh-CN"/>
        </w:rPr>
      </w:pPr>
      <w:r w:rsidRPr="00E35AB3">
        <w:rPr>
          <w:rFonts w:ascii="Arial" w:hAnsi="Arial"/>
          <w:b/>
          <w:sz w:val="18"/>
        </w:rPr>
        <w:t>References</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w:t>
      </w:r>
      <w:r w:rsidRPr="00E35AB3">
        <w:rPr>
          <w:rFonts w:ascii="Times New Roman" w:hAnsi="Times New Roman" w:cs="Times New Roman"/>
          <w:sz w:val="16"/>
          <w:szCs w:val="16"/>
        </w:rPr>
        <w:tab/>
        <w:t xml:space="preserve">A. Leitis, A. Tittl, M. K. Liu, B. H. Lee, M. B. Gu, Y. S. Kivshar, and H. Altug, "Angle-multiplexed all-dielectric metasurfaces for broadband molecular fingerprint retrieval," Sci. Adv. </w:t>
      </w:r>
      <w:r w:rsidRPr="00E35AB3">
        <w:rPr>
          <w:rFonts w:ascii="Times New Roman" w:hAnsi="Times New Roman" w:cs="Times New Roman"/>
          <w:b/>
          <w:sz w:val="16"/>
          <w:szCs w:val="16"/>
        </w:rPr>
        <w:t>5</w:t>
      </w:r>
      <w:r w:rsidRPr="00E35AB3">
        <w:rPr>
          <w:rFonts w:ascii="Times New Roman" w:hAnsi="Times New Roman" w:cs="Times New Roman"/>
          <w:sz w:val="16"/>
          <w:szCs w:val="16"/>
        </w:rPr>
        <w:t>(5), eaaw2871 (2019).</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w:t>
      </w:r>
      <w:r w:rsidRPr="00E35AB3">
        <w:rPr>
          <w:rFonts w:ascii="Times New Roman" w:hAnsi="Times New Roman" w:cs="Times New Roman"/>
          <w:sz w:val="16"/>
          <w:szCs w:val="16"/>
        </w:rPr>
        <w:tab/>
        <w:t xml:space="preserve">F. Aieta, M. A. Kats, P. Genevet, and F. Capasso, "Multiwavelength achromatic metasurfaces by dispersive phase compensation," Science </w:t>
      </w:r>
      <w:r w:rsidRPr="00E35AB3">
        <w:rPr>
          <w:rFonts w:ascii="Times New Roman" w:hAnsi="Times New Roman" w:cs="Times New Roman"/>
          <w:b/>
          <w:sz w:val="16"/>
          <w:szCs w:val="16"/>
        </w:rPr>
        <w:t>347</w:t>
      </w:r>
      <w:r w:rsidRPr="00E35AB3">
        <w:rPr>
          <w:rFonts w:ascii="Times New Roman" w:hAnsi="Times New Roman" w:cs="Times New Roman"/>
          <w:sz w:val="16"/>
          <w:szCs w:val="16"/>
        </w:rPr>
        <w:t>(6228), 1342-1345 (2015).</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w:t>
      </w:r>
      <w:r w:rsidRPr="00E35AB3">
        <w:rPr>
          <w:rFonts w:ascii="Times New Roman" w:hAnsi="Times New Roman" w:cs="Times New Roman"/>
          <w:sz w:val="16"/>
          <w:szCs w:val="16"/>
        </w:rPr>
        <w:tab/>
        <w:t xml:space="preserve">Y. Q. Hu, L. Li, Y. J. Wang, M. Meng, L. Jin, X. H. Luo, Y. Q. Chen, X. Li, S. M. Xiao, H. B. Wang, Y. Luo, C. W. Qiu, and H. G. Duan, "Trichromatic and Tripolarization-Channel Holography with Noninterleaved Dielectric Metasurface," Nano Lett. </w:t>
      </w:r>
      <w:r w:rsidRPr="00E35AB3">
        <w:rPr>
          <w:rFonts w:ascii="Times New Roman" w:hAnsi="Times New Roman" w:cs="Times New Roman"/>
          <w:b/>
          <w:sz w:val="16"/>
          <w:szCs w:val="16"/>
        </w:rPr>
        <w:t>20</w:t>
      </w:r>
      <w:r w:rsidRPr="00E35AB3">
        <w:rPr>
          <w:rFonts w:ascii="Times New Roman" w:hAnsi="Times New Roman" w:cs="Times New Roman"/>
          <w:sz w:val="16"/>
          <w:szCs w:val="16"/>
        </w:rPr>
        <w:t>(2), 994-1002 (2020).</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w:t>
      </w:r>
      <w:r w:rsidRPr="00E35AB3">
        <w:rPr>
          <w:rFonts w:ascii="Times New Roman" w:hAnsi="Times New Roman" w:cs="Times New Roman"/>
          <w:sz w:val="16"/>
          <w:szCs w:val="16"/>
        </w:rPr>
        <w:tab/>
        <w:t xml:space="preserve">T. Y. Xue, W. Y. Liang, Y. W. Li, Y. H. Sun, Y. J. Xiang, Y. P. Zhang, Z. G. Dai, Y. H. Duo, L. M. Wu, K. Qi, B. N. Shiyananju, L. J. Zhang, X. Q. Cui, H. Zhang, and Q. L. Bao, "Ultrasensitive detection of miRNA with an antimonene-based surface plasmon resonance sensor," Nat. Commun. </w:t>
      </w:r>
      <w:r w:rsidRPr="00E35AB3">
        <w:rPr>
          <w:rFonts w:ascii="Times New Roman" w:hAnsi="Times New Roman" w:cs="Times New Roman"/>
          <w:b/>
          <w:sz w:val="16"/>
          <w:szCs w:val="16"/>
        </w:rPr>
        <w:t>10</w:t>
      </w:r>
      <w:r w:rsidRPr="00E35AB3">
        <w:rPr>
          <w:rFonts w:ascii="Times New Roman" w:hAnsi="Times New Roman" w:cs="Times New Roman"/>
          <w:sz w:val="16"/>
          <w:szCs w:val="16"/>
        </w:rPr>
        <w:t>(1), 28 (2019).</w:t>
      </w:r>
    </w:p>
    <w:p w:rsidR="00F53BC9" w:rsidRPr="00E35AB3" w:rsidRDefault="00F53BC9" w:rsidP="00EA7E27">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5.</w:t>
      </w:r>
      <w:r w:rsidRPr="00E35AB3">
        <w:rPr>
          <w:rFonts w:ascii="Times New Roman" w:hAnsi="Times New Roman" w:cs="Times New Roman"/>
          <w:sz w:val="16"/>
          <w:szCs w:val="16"/>
        </w:rPr>
        <w:tab/>
        <w:t xml:space="preserve">Y. Fang and M. Sun, "Nanoplasmonic waveguides: towards applications in integrated nanophotonic circuits," Light-Sci. Appl. </w:t>
      </w:r>
      <w:r w:rsidRPr="00E35AB3">
        <w:rPr>
          <w:rFonts w:ascii="Times New Roman" w:hAnsi="Times New Roman" w:cs="Times New Roman"/>
          <w:b/>
          <w:sz w:val="16"/>
          <w:szCs w:val="16"/>
        </w:rPr>
        <w:t>4</w:t>
      </w:r>
      <w:r w:rsidRPr="00E35AB3">
        <w:rPr>
          <w:rFonts w:ascii="Times New Roman" w:hAnsi="Times New Roman" w:cs="Times New Roman"/>
          <w:sz w:val="16"/>
          <w:szCs w:val="16"/>
        </w:rPr>
        <w:t>(6), e294 (2015).</w:t>
      </w:r>
    </w:p>
    <w:p w:rsidR="00F53BC9" w:rsidRPr="00E35AB3" w:rsidRDefault="00EA7E27"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6</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P. Genevet, F. Capasso, F. Aieta, M. Khorasaninejad, and R. Devlin, "Recent advances in planar optics: from plasmonic to dielectric metasurfaces," Optica </w:t>
      </w:r>
      <w:r w:rsidR="00F53BC9" w:rsidRPr="00E35AB3">
        <w:rPr>
          <w:rFonts w:ascii="Times New Roman" w:hAnsi="Times New Roman" w:cs="Times New Roman"/>
          <w:b/>
          <w:sz w:val="16"/>
          <w:szCs w:val="16"/>
        </w:rPr>
        <w:t>4</w:t>
      </w:r>
      <w:r w:rsidR="00F53BC9" w:rsidRPr="00E35AB3">
        <w:rPr>
          <w:rFonts w:ascii="Times New Roman" w:hAnsi="Times New Roman" w:cs="Times New Roman"/>
          <w:sz w:val="16"/>
          <w:szCs w:val="16"/>
        </w:rPr>
        <w:t>(1), 139-152 (2017).</w:t>
      </w:r>
    </w:p>
    <w:p w:rsidR="00EA7E27" w:rsidRPr="00E35AB3" w:rsidRDefault="00EA7E27"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7.</w:t>
      </w:r>
      <w:r w:rsidRPr="00E35AB3">
        <w:rPr>
          <w:rFonts w:ascii="Times New Roman" w:hAnsi="Times New Roman" w:cs="Times New Roman"/>
          <w:sz w:val="16"/>
          <w:szCs w:val="16"/>
        </w:rPr>
        <w:tab/>
        <w:t xml:space="preserve">S. L. Sun, Q. He, J. M. Hao, S. Y. Xiao, and L. Zhou, "Electromagnetic metasurfaces: physics and applications," Adv. Opt. Photonics </w:t>
      </w:r>
      <w:r w:rsidRPr="00E35AB3">
        <w:rPr>
          <w:rFonts w:ascii="Times New Roman" w:hAnsi="Times New Roman" w:cs="Times New Roman"/>
          <w:b/>
          <w:sz w:val="16"/>
          <w:szCs w:val="16"/>
        </w:rPr>
        <w:t>11</w:t>
      </w:r>
      <w:r w:rsidRPr="00E35AB3">
        <w:rPr>
          <w:rFonts w:ascii="Times New Roman" w:hAnsi="Times New Roman" w:cs="Times New Roman"/>
          <w:sz w:val="16"/>
          <w:szCs w:val="16"/>
        </w:rPr>
        <w:t>(2), 380-479 (2019).</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8.</w:t>
      </w:r>
      <w:r w:rsidRPr="00E35AB3">
        <w:rPr>
          <w:rFonts w:ascii="Times New Roman" w:hAnsi="Times New Roman" w:cs="Times New Roman"/>
          <w:sz w:val="16"/>
          <w:szCs w:val="16"/>
        </w:rPr>
        <w:tab/>
        <w:t xml:space="preserve">Y. F. Yu, A. Y. Zhu, R. Paniagua-Dominguez, Y. H. Fu, B. Luk'yanchuk, and A. I. Kuznetsov, "High-transmission dielectric metasurface with 2 phase control at visible wavelengths," Laser Photon. Rev. </w:t>
      </w:r>
      <w:r w:rsidRPr="00E35AB3">
        <w:rPr>
          <w:rFonts w:ascii="Times New Roman" w:hAnsi="Times New Roman" w:cs="Times New Roman"/>
          <w:b/>
          <w:sz w:val="16"/>
          <w:szCs w:val="16"/>
        </w:rPr>
        <w:t>9</w:t>
      </w:r>
      <w:r w:rsidRPr="00E35AB3">
        <w:rPr>
          <w:rFonts w:ascii="Times New Roman" w:hAnsi="Times New Roman" w:cs="Times New Roman"/>
          <w:sz w:val="16"/>
          <w:szCs w:val="16"/>
        </w:rPr>
        <w:t>(4), 412-418 (2015).</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9.</w:t>
      </w:r>
      <w:r w:rsidRPr="00E35AB3">
        <w:rPr>
          <w:rFonts w:ascii="Times New Roman" w:hAnsi="Times New Roman" w:cs="Times New Roman"/>
          <w:sz w:val="16"/>
          <w:szCs w:val="16"/>
        </w:rPr>
        <w:tab/>
        <w:t xml:space="preserve">A. I. Kuznetsov, A. E. Miroshnichenko, M. L. Brongersma, Y. S. Kivshar, and B. Luk'yanchuk, "Optically resonant dielectric nanostructures," Science </w:t>
      </w:r>
      <w:r w:rsidRPr="00E35AB3">
        <w:rPr>
          <w:rFonts w:ascii="Times New Roman" w:hAnsi="Times New Roman" w:cs="Times New Roman"/>
          <w:b/>
          <w:sz w:val="16"/>
          <w:szCs w:val="16"/>
        </w:rPr>
        <w:t>354</w:t>
      </w:r>
      <w:r w:rsidRPr="00E35AB3">
        <w:rPr>
          <w:rFonts w:ascii="Times New Roman" w:hAnsi="Times New Roman" w:cs="Times New Roman"/>
          <w:sz w:val="16"/>
          <w:szCs w:val="16"/>
        </w:rPr>
        <w:t>(6314), aag2472 (2016).</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10.</w:t>
      </w:r>
      <w:r w:rsidRPr="00E35AB3">
        <w:rPr>
          <w:rFonts w:ascii="Times New Roman" w:hAnsi="Times New Roman" w:cs="Times New Roman"/>
          <w:sz w:val="16"/>
          <w:szCs w:val="16"/>
        </w:rPr>
        <w:tab/>
        <w:t xml:space="preserve">W. Yang, S. Xiao, Q. Song, Y. Liu, Y. Wu, S. Wang, J. Yu, J. Han, and D.-P. Tsai, "All-dielectric metasurface for high-performance structural color," Nat. Commun. </w:t>
      </w:r>
      <w:r w:rsidRPr="00E35AB3">
        <w:rPr>
          <w:rFonts w:ascii="Times New Roman" w:hAnsi="Times New Roman" w:cs="Times New Roman"/>
          <w:b/>
          <w:sz w:val="16"/>
          <w:szCs w:val="16"/>
        </w:rPr>
        <w:t>11</w:t>
      </w:r>
      <w:r w:rsidRPr="00E35AB3">
        <w:rPr>
          <w:rFonts w:ascii="Times New Roman" w:hAnsi="Times New Roman" w:cs="Times New Roman"/>
          <w:sz w:val="16"/>
          <w:szCs w:val="16"/>
        </w:rPr>
        <w:t>(1), 1864 (2020).</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11.</w:t>
      </w:r>
      <w:r w:rsidRPr="00E35AB3">
        <w:rPr>
          <w:rFonts w:ascii="Times New Roman" w:hAnsi="Times New Roman" w:cs="Times New Roman"/>
          <w:sz w:val="16"/>
          <w:szCs w:val="16"/>
        </w:rPr>
        <w:tab/>
        <w:t xml:space="preserve">S. L. Sun, Q. He, S. Y. Xiao, Q. Xu, X. Li, and L. Zhou, "Gradient-index meta-surfaces as a bridge linking propagating waves and surface waves," Nat. Mater. </w:t>
      </w:r>
      <w:r w:rsidRPr="00E35AB3">
        <w:rPr>
          <w:rFonts w:ascii="Times New Roman" w:hAnsi="Times New Roman" w:cs="Times New Roman"/>
          <w:b/>
          <w:sz w:val="16"/>
          <w:szCs w:val="16"/>
        </w:rPr>
        <w:t>11</w:t>
      </w:r>
      <w:r w:rsidRPr="00E35AB3">
        <w:rPr>
          <w:rFonts w:ascii="Times New Roman" w:hAnsi="Times New Roman" w:cs="Times New Roman"/>
          <w:sz w:val="16"/>
          <w:szCs w:val="16"/>
        </w:rPr>
        <w:t>(5), 426-431 (2012).</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12.</w:t>
      </w:r>
      <w:r w:rsidRPr="00E35AB3">
        <w:rPr>
          <w:rFonts w:ascii="Times New Roman" w:hAnsi="Times New Roman" w:cs="Times New Roman"/>
          <w:sz w:val="16"/>
          <w:szCs w:val="16"/>
        </w:rPr>
        <w:tab/>
        <w:t xml:space="preserve">A. Pors, M. G. Nielsen, T. Bernardin, J. C. Weeber, and S. I. Bozhevolnyi, "Efficient unidirectional polarization-controlled excitation of surface plasmon polaritons," Light-Sci. Appl. </w:t>
      </w:r>
      <w:r w:rsidRPr="00E35AB3">
        <w:rPr>
          <w:rFonts w:ascii="Times New Roman" w:hAnsi="Times New Roman" w:cs="Times New Roman"/>
          <w:b/>
          <w:sz w:val="16"/>
          <w:szCs w:val="16"/>
        </w:rPr>
        <w:t>3</w:t>
      </w:r>
      <w:r w:rsidRPr="00E35AB3">
        <w:rPr>
          <w:rFonts w:ascii="Times New Roman" w:hAnsi="Times New Roman" w:cs="Times New Roman"/>
          <w:sz w:val="16"/>
          <w:szCs w:val="16"/>
        </w:rPr>
        <w:t>(8), e197 (2014).</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13.</w:t>
      </w:r>
      <w:r w:rsidRPr="00E35AB3">
        <w:rPr>
          <w:rFonts w:ascii="Times New Roman" w:hAnsi="Times New Roman" w:cs="Times New Roman"/>
          <w:sz w:val="16"/>
          <w:szCs w:val="16"/>
        </w:rPr>
        <w:tab/>
        <w:t xml:space="preserve">S. Liu, H. C. Zhang, L. Zhang, Q. L. Yang, Q. Xu, J. Q. Gu, Y. Yang, X. Y. Zhou, J. G. Han, Q. Cheng, W. L. Zhang, and T. J. Cui, "Full-State Controls of Terahertz Waves Using Tensor Coding Metasurfaces," ACS Appl. Mater. Interfaces </w:t>
      </w:r>
      <w:r w:rsidRPr="00E35AB3">
        <w:rPr>
          <w:rFonts w:ascii="Times New Roman" w:hAnsi="Times New Roman" w:cs="Times New Roman"/>
          <w:b/>
          <w:sz w:val="16"/>
          <w:szCs w:val="16"/>
        </w:rPr>
        <w:t>9</w:t>
      </w:r>
      <w:r w:rsidRPr="00E35AB3">
        <w:rPr>
          <w:rFonts w:ascii="Times New Roman" w:hAnsi="Times New Roman" w:cs="Times New Roman"/>
          <w:sz w:val="16"/>
          <w:szCs w:val="16"/>
        </w:rPr>
        <w:t>(25), 21503-21514 (2017).</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lastRenderedPageBreak/>
        <w:t>14.</w:t>
      </w:r>
      <w:r w:rsidRPr="00E35AB3">
        <w:rPr>
          <w:rFonts w:ascii="Times New Roman" w:hAnsi="Times New Roman" w:cs="Times New Roman"/>
          <w:sz w:val="16"/>
          <w:szCs w:val="16"/>
        </w:rPr>
        <w:tab/>
        <w:t xml:space="preserve">Q. Xu, X. Q. Zhang, M. G. Wei, G. H. Ren, Y. H. Xu, Y. F. Li, H. B. Wang, C. M. Ouyang, J. G. Han, and W. L. Zhang, "Efficient Metacoupler for Complex Surface Plasmon Launching," Adv. Opt. Mater. </w:t>
      </w:r>
      <w:r w:rsidRPr="00E35AB3">
        <w:rPr>
          <w:rFonts w:ascii="Times New Roman" w:hAnsi="Times New Roman" w:cs="Times New Roman"/>
          <w:b/>
          <w:sz w:val="16"/>
          <w:szCs w:val="16"/>
        </w:rPr>
        <w:t>6</w:t>
      </w:r>
      <w:r w:rsidRPr="00E35AB3">
        <w:rPr>
          <w:rFonts w:ascii="Times New Roman" w:hAnsi="Times New Roman" w:cs="Times New Roman"/>
          <w:sz w:val="16"/>
          <w:szCs w:val="16"/>
        </w:rPr>
        <w:t>(5), 1701117 (2018).</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15.</w:t>
      </w:r>
      <w:r w:rsidRPr="00E35AB3">
        <w:rPr>
          <w:rFonts w:ascii="Times New Roman" w:hAnsi="Times New Roman" w:cs="Times New Roman"/>
          <w:sz w:val="16"/>
          <w:szCs w:val="16"/>
        </w:rPr>
        <w:tab/>
        <w:t xml:space="preserve">X. J. Li, G. Cheng, D. X. Yan, X. M. Hou, G. H. Qiu, J. S. Li, J. N. Li, S. H. Guo, and W. D. Zhou, "One-dimensional terahertz dielectric gradient metasurface for broadband spoof surface plasmon polaritons couplers," Opt. Lett. </w:t>
      </w:r>
      <w:r w:rsidRPr="00E35AB3">
        <w:rPr>
          <w:rFonts w:ascii="Times New Roman" w:hAnsi="Times New Roman" w:cs="Times New Roman"/>
          <w:b/>
          <w:sz w:val="16"/>
          <w:szCs w:val="16"/>
        </w:rPr>
        <w:t>46</w:t>
      </w:r>
      <w:r w:rsidRPr="00E35AB3">
        <w:rPr>
          <w:rFonts w:ascii="Times New Roman" w:hAnsi="Times New Roman" w:cs="Times New Roman"/>
          <w:sz w:val="16"/>
          <w:szCs w:val="16"/>
        </w:rPr>
        <w:t>(2), 290-293 (2021).</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16.</w:t>
      </w:r>
      <w:r w:rsidRPr="00E35AB3">
        <w:rPr>
          <w:rFonts w:ascii="Times New Roman" w:hAnsi="Times New Roman" w:cs="Times New Roman"/>
          <w:sz w:val="16"/>
          <w:szCs w:val="16"/>
        </w:rPr>
        <w:tab/>
        <w:t xml:space="preserve">A. Patri, S. Kena-Cohen, and C. Caloz, "Large-Angle, Broadband, and Multifunctional Directive Waveguide Scatterer Gratings," ACS Photonics </w:t>
      </w:r>
      <w:r w:rsidRPr="00E35AB3">
        <w:rPr>
          <w:rFonts w:ascii="Times New Roman" w:hAnsi="Times New Roman" w:cs="Times New Roman"/>
          <w:b/>
          <w:sz w:val="16"/>
          <w:szCs w:val="16"/>
        </w:rPr>
        <w:t>6</w:t>
      </w:r>
      <w:r w:rsidRPr="00E35AB3">
        <w:rPr>
          <w:rFonts w:ascii="Times New Roman" w:hAnsi="Times New Roman" w:cs="Times New Roman"/>
          <w:sz w:val="16"/>
          <w:szCs w:val="16"/>
        </w:rPr>
        <w:t>(12), 3298-3305 (2019).</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17.</w:t>
      </w:r>
      <w:r w:rsidRPr="00E35AB3">
        <w:rPr>
          <w:rFonts w:ascii="Times New Roman" w:hAnsi="Times New Roman" w:cs="Times New Roman"/>
          <w:sz w:val="16"/>
          <w:szCs w:val="16"/>
        </w:rPr>
        <w:tab/>
        <w:t xml:space="preserve">M. Decker, I. Staude, M. Falkner, J. Dominguez, D. N. Neshev, I. Brener, T. Pertsch, and Y. S. Kivshar, "High-Efficiency Dielectric Huygens' Surfaces," Adv. Opt. Mater. </w:t>
      </w:r>
      <w:r w:rsidRPr="00E35AB3">
        <w:rPr>
          <w:rFonts w:ascii="Times New Roman" w:hAnsi="Times New Roman" w:cs="Times New Roman"/>
          <w:b/>
          <w:sz w:val="16"/>
          <w:szCs w:val="16"/>
        </w:rPr>
        <w:t>3</w:t>
      </w:r>
      <w:r w:rsidRPr="00E35AB3">
        <w:rPr>
          <w:rFonts w:ascii="Times New Roman" w:hAnsi="Times New Roman" w:cs="Times New Roman"/>
          <w:sz w:val="16"/>
          <w:szCs w:val="16"/>
        </w:rPr>
        <w:t>(6), 813-820 (2015).</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18.</w:t>
      </w:r>
      <w:r w:rsidRPr="00E35AB3">
        <w:rPr>
          <w:rFonts w:ascii="Times New Roman" w:hAnsi="Times New Roman" w:cs="Times New Roman"/>
          <w:sz w:val="16"/>
          <w:szCs w:val="16"/>
        </w:rPr>
        <w:tab/>
        <w:t xml:space="preserve">M. Khorasaninejad, W. T. Chen, R. C. Devlin, J. Oh, A. Y. Zhu, and F. Capasso, "Metalenses at visible wavelengths: Diffraction-limited focusing and subwavelength resolution imaging," Science </w:t>
      </w:r>
      <w:r w:rsidRPr="00E35AB3">
        <w:rPr>
          <w:rFonts w:ascii="Times New Roman" w:hAnsi="Times New Roman" w:cs="Times New Roman"/>
          <w:b/>
          <w:sz w:val="16"/>
          <w:szCs w:val="16"/>
        </w:rPr>
        <w:t>352</w:t>
      </w:r>
      <w:r w:rsidRPr="00E35AB3">
        <w:rPr>
          <w:rFonts w:ascii="Times New Roman" w:hAnsi="Times New Roman" w:cs="Times New Roman"/>
          <w:sz w:val="16"/>
          <w:szCs w:val="16"/>
        </w:rPr>
        <w:t>(6290), 1190-1194 (2016).</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19.</w:t>
      </w:r>
      <w:r w:rsidRPr="00E35AB3">
        <w:rPr>
          <w:rFonts w:ascii="Times New Roman" w:hAnsi="Times New Roman" w:cs="Times New Roman"/>
          <w:sz w:val="16"/>
          <w:szCs w:val="16"/>
        </w:rPr>
        <w:tab/>
        <w:t xml:space="preserve">J. Li, T. S. Wu, W. B. Xu, Y. M. Liu, C. Liu, Y. Wang, Z. Y. Yu, D. F. Zhu, L. Yu, and H. Ye, "Mechanisms of 2 pi phase control in dielectric metasurface and transmission enhancement effect," Opt. Express </w:t>
      </w:r>
      <w:r w:rsidRPr="00E35AB3">
        <w:rPr>
          <w:rFonts w:ascii="Times New Roman" w:hAnsi="Times New Roman" w:cs="Times New Roman"/>
          <w:b/>
          <w:sz w:val="16"/>
          <w:szCs w:val="16"/>
        </w:rPr>
        <w:t>27</w:t>
      </w:r>
      <w:r w:rsidRPr="00E35AB3">
        <w:rPr>
          <w:rFonts w:ascii="Times New Roman" w:hAnsi="Times New Roman" w:cs="Times New Roman"/>
          <w:sz w:val="16"/>
          <w:szCs w:val="16"/>
        </w:rPr>
        <w:t>(16), 23186-23196 (2019).</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20.</w:t>
      </w:r>
      <w:r w:rsidRPr="00E35AB3">
        <w:rPr>
          <w:rFonts w:ascii="Times New Roman" w:hAnsi="Times New Roman" w:cs="Times New Roman"/>
          <w:sz w:val="16"/>
          <w:szCs w:val="16"/>
        </w:rPr>
        <w:tab/>
        <w:t xml:space="preserve">S. Q. Yin, F. He, W. Kubo, Q. Wang, J. Frame, N. G. Green, and X. Fang, "Coherently tunable metalens tweezers for optofluidic particle routing," Opt. Express </w:t>
      </w:r>
      <w:r w:rsidRPr="00E35AB3">
        <w:rPr>
          <w:rFonts w:ascii="Times New Roman" w:hAnsi="Times New Roman" w:cs="Times New Roman"/>
          <w:b/>
          <w:sz w:val="16"/>
          <w:szCs w:val="16"/>
        </w:rPr>
        <w:t>28</w:t>
      </w:r>
      <w:r w:rsidRPr="00E35AB3">
        <w:rPr>
          <w:rFonts w:ascii="Times New Roman" w:hAnsi="Times New Roman" w:cs="Times New Roman"/>
          <w:sz w:val="16"/>
          <w:szCs w:val="16"/>
        </w:rPr>
        <w:t>(26), 38949-38959 (2020).</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21.</w:t>
      </w:r>
      <w:r w:rsidRPr="00E35AB3">
        <w:rPr>
          <w:rFonts w:ascii="Times New Roman" w:hAnsi="Times New Roman" w:cs="Times New Roman"/>
          <w:sz w:val="16"/>
          <w:szCs w:val="16"/>
        </w:rPr>
        <w:tab/>
        <w:t xml:space="preserve">A. J. Ollanik, J. A. Smith, M. J. Belue, and M. D. Escarra, "High-Efficiency All-Dielectric Huygens Metasurfaces from the Ultraviolet to the Infrared," ACS Photonics </w:t>
      </w:r>
      <w:r w:rsidRPr="00E35AB3">
        <w:rPr>
          <w:rFonts w:ascii="Times New Roman" w:hAnsi="Times New Roman" w:cs="Times New Roman"/>
          <w:b/>
          <w:sz w:val="16"/>
          <w:szCs w:val="16"/>
        </w:rPr>
        <w:t>5</w:t>
      </w:r>
      <w:r w:rsidRPr="00E35AB3">
        <w:rPr>
          <w:rFonts w:ascii="Times New Roman" w:hAnsi="Times New Roman" w:cs="Times New Roman"/>
          <w:sz w:val="16"/>
          <w:szCs w:val="16"/>
        </w:rPr>
        <w:t>(4), 1351-1358 (2018).</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22.</w:t>
      </w:r>
      <w:r w:rsidRPr="00E35AB3">
        <w:rPr>
          <w:rFonts w:ascii="Times New Roman" w:hAnsi="Times New Roman" w:cs="Times New Roman"/>
          <w:sz w:val="16"/>
          <w:szCs w:val="16"/>
        </w:rPr>
        <w:tab/>
        <w:t xml:space="preserve">P. Lalanne and P. Chavel, "Metalenses at visible wavelengths: past, present, perspectives," Laser Photon. Rev. </w:t>
      </w:r>
      <w:r w:rsidRPr="00E35AB3">
        <w:rPr>
          <w:rFonts w:ascii="Times New Roman" w:hAnsi="Times New Roman" w:cs="Times New Roman"/>
          <w:b/>
          <w:sz w:val="16"/>
          <w:szCs w:val="16"/>
        </w:rPr>
        <w:t>11</w:t>
      </w:r>
      <w:r w:rsidRPr="00E35AB3">
        <w:rPr>
          <w:rFonts w:ascii="Times New Roman" w:hAnsi="Times New Roman" w:cs="Times New Roman"/>
          <w:sz w:val="16"/>
          <w:szCs w:val="16"/>
        </w:rPr>
        <w:t>(3), 1600295 (2017).</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23.</w:t>
      </w:r>
      <w:r w:rsidRPr="00E35AB3">
        <w:rPr>
          <w:rFonts w:ascii="Times New Roman" w:hAnsi="Times New Roman" w:cs="Times New Roman"/>
          <w:sz w:val="16"/>
          <w:szCs w:val="16"/>
        </w:rPr>
        <w:tab/>
        <w:t xml:space="preserve">M. G. Wei, Q. Xu, Q. Wang, X. Q. Zhang, Y. F. Li, J. Q. Gu, Z. Tian, X. X. Zhang, J. G. Han, and W. L. Zhang, "Broadband non-polarizing terahertz beam splitters with variable split ratio," Applied Physics Letters </w:t>
      </w:r>
      <w:r w:rsidRPr="00E35AB3">
        <w:rPr>
          <w:rFonts w:ascii="Times New Roman" w:hAnsi="Times New Roman" w:cs="Times New Roman"/>
          <w:b/>
          <w:sz w:val="16"/>
          <w:szCs w:val="16"/>
        </w:rPr>
        <w:t>111</w:t>
      </w:r>
      <w:r w:rsidRPr="00E35AB3">
        <w:rPr>
          <w:rFonts w:ascii="Times New Roman" w:hAnsi="Times New Roman" w:cs="Times New Roman"/>
          <w:sz w:val="16"/>
          <w:szCs w:val="16"/>
        </w:rPr>
        <w:t>(7), 071101 (2017).</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24.</w:t>
      </w:r>
      <w:r w:rsidRPr="00E35AB3">
        <w:rPr>
          <w:rFonts w:ascii="Times New Roman" w:hAnsi="Times New Roman" w:cs="Times New Roman"/>
          <w:sz w:val="16"/>
          <w:szCs w:val="16"/>
        </w:rPr>
        <w:tab/>
        <w:t xml:space="preserve">H. F. Zhang, X. Q. Zhang, Q. Xu, C. X. Tian, Q. Wang, Y. H. Xu, Y. F. Li, J. Q. Gu, Z. Tian, C. M. Ouyang, X. X. Zhang, C. Hu, J. G. Han, and W. L. Zhang, "High-Efficiency Dielectric Metasurfaces for Polarization-Dependent Terahertz Wavefront Manipulation," Adv. Opt. Mater. </w:t>
      </w:r>
      <w:r w:rsidRPr="00E35AB3">
        <w:rPr>
          <w:rFonts w:ascii="Times New Roman" w:hAnsi="Times New Roman" w:cs="Times New Roman"/>
          <w:b/>
          <w:sz w:val="16"/>
          <w:szCs w:val="16"/>
        </w:rPr>
        <w:t>6</w:t>
      </w:r>
      <w:r w:rsidRPr="00E35AB3">
        <w:rPr>
          <w:rFonts w:ascii="Times New Roman" w:hAnsi="Times New Roman" w:cs="Times New Roman"/>
          <w:sz w:val="16"/>
          <w:szCs w:val="16"/>
        </w:rPr>
        <w:t>(1), 1700773 (2018).</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25.</w:t>
      </w:r>
      <w:r w:rsidRPr="00E35AB3">
        <w:rPr>
          <w:rFonts w:ascii="Times New Roman" w:hAnsi="Times New Roman" w:cs="Times New Roman"/>
          <w:sz w:val="16"/>
          <w:szCs w:val="16"/>
        </w:rPr>
        <w:tab/>
        <w:t xml:space="preserve">R. D. Jia, Y. F. Gao, Q. Xu, X. Feng, Q. W. Wang, J. Q. Gu, Z. Tian, C. M. Ouyang, J. G. Han, and W. L. Zhang, "Achromatic Dielectric Metasurface with Linear Phase Gradient in the Terahertz Domain," Adv. Opt. Mater. </w:t>
      </w:r>
      <w:r w:rsidRPr="00E35AB3">
        <w:rPr>
          <w:rFonts w:ascii="Times New Roman" w:hAnsi="Times New Roman" w:cs="Times New Roman"/>
          <w:b/>
          <w:sz w:val="16"/>
          <w:szCs w:val="16"/>
        </w:rPr>
        <w:t>9</w:t>
      </w:r>
      <w:r w:rsidRPr="00E35AB3">
        <w:rPr>
          <w:rFonts w:ascii="Times New Roman" w:hAnsi="Times New Roman" w:cs="Times New Roman"/>
          <w:sz w:val="16"/>
          <w:szCs w:val="16"/>
        </w:rPr>
        <w:t>(2), 2001403 (2021).</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26.</w:t>
      </w:r>
      <w:r w:rsidRPr="00E35AB3">
        <w:rPr>
          <w:rFonts w:ascii="Times New Roman" w:hAnsi="Times New Roman" w:cs="Times New Roman"/>
          <w:sz w:val="16"/>
          <w:szCs w:val="16"/>
        </w:rPr>
        <w:tab/>
        <w:t xml:space="preserve">S. M. Kamali, E. Arbabi, A. Arbabi, and A. Faraon, "A review of dielectric optical metasurfaces for wavefront control," Nanophotonics </w:t>
      </w:r>
      <w:r w:rsidRPr="00E35AB3">
        <w:rPr>
          <w:rFonts w:ascii="Times New Roman" w:hAnsi="Times New Roman" w:cs="Times New Roman"/>
          <w:b/>
          <w:sz w:val="16"/>
          <w:szCs w:val="16"/>
        </w:rPr>
        <w:t>7</w:t>
      </w:r>
      <w:r w:rsidRPr="00E35AB3">
        <w:rPr>
          <w:rFonts w:ascii="Times New Roman" w:hAnsi="Times New Roman" w:cs="Times New Roman"/>
          <w:sz w:val="16"/>
          <w:szCs w:val="16"/>
        </w:rPr>
        <w:t>(6), 1041-1068 (2018).</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27.</w:t>
      </w:r>
      <w:r w:rsidRPr="00E35AB3">
        <w:rPr>
          <w:rFonts w:ascii="Times New Roman" w:hAnsi="Times New Roman" w:cs="Times New Roman"/>
          <w:sz w:val="16"/>
          <w:szCs w:val="16"/>
        </w:rPr>
        <w:tab/>
        <w:t xml:space="preserve">D. Sell, J. Yang, S. Doshay, R. Yang, and J. A. Fan, "Large-Angle, Multifunctional Metagratings Based on Freeform Multimode Geometries," Nano Lett. </w:t>
      </w:r>
      <w:r w:rsidRPr="00E35AB3">
        <w:rPr>
          <w:rFonts w:ascii="Times New Roman" w:hAnsi="Times New Roman" w:cs="Times New Roman"/>
          <w:b/>
          <w:sz w:val="16"/>
          <w:szCs w:val="16"/>
        </w:rPr>
        <w:t>17</w:t>
      </w:r>
      <w:r w:rsidRPr="00E35AB3">
        <w:rPr>
          <w:rFonts w:ascii="Times New Roman" w:hAnsi="Times New Roman" w:cs="Times New Roman"/>
          <w:sz w:val="16"/>
          <w:szCs w:val="16"/>
        </w:rPr>
        <w:t>(6), 3752-3757 (2017).</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28.</w:t>
      </w:r>
      <w:r w:rsidRPr="00E35AB3">
        <w:rPr>
          <w:rFonts w:ascii="Times New Roman" w:hAnsi="Times New Roman" w:cs="Times New Roman"/>
          <w:sz w:val="16"/>
          <w:szCs w:val="16"/>
        </w:rPr>
        <w:tab/>
        <w:t xml:space="preserve">Y. Meng, Z. T. Liu, Z. W. Xie, R. D. Wang, T. C. Qi, F. T. Hu, H. Kim, Q. R. Xiao, X. Fu, Q. Wu, S. H. Bae, M. L. Gong, and X. C. Yuan, "Versatile on-chip light coupling and (de)multiplexing from arbitrary polarizations to controlled waveguide modes using an integrated dielectric metasurface," Photonics Res. </w:t>
      </w:r>
      <w:r w:rsidRPr="00E35AB3">
        <w:rPr>
          <w:rFonts w:ascii="Times New Roman" w:hAnsi="Times New Roman" w:cs="Times New Roman"/>
          <w:b/>
          <w:sz w:val="16"/>
          <w:szCs w:val="16"/>
        </w:rPr>
        <w:t>8</w:t>
      </w:r>
      <w:r w:rsidRPr="00E35AB3">
        <w:rPr>
          <w:rFonts w:ascii="Times New Roman" w:hAnsi="Times New Roman" w:cs="Times New Roman"/>
          <w:sz w:val="16"/>
          <w:szCs w:val="16"/>
        </w:rPr>
        <w:t>(4), 564-576 (2020).</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2</w:t>
      </w:r>
      <w:r w:rsidR="003C7ECE" w:rsidRPr="00E35AB3">
        <w:rPr>
          <w:rFonts w:ascii="Times New Roman" w:hAnsi="Times New Roman" w:cs="Times New Roman"/>
          <w:sz w:val="16"/>
          <w:szCs w:val="16"/>
        </w:rPr>
        <w:t>9</w:t>
      </w:r>
      <w:r w:rsidRPr="00E35AB3">
        <w:rPr>
          <w:rFonts w:ascii="Times New Roman" w:hAnsi="Times New Roman" w:cs="Times New Roman"/>
          <w:sz w:val="16"/>
          <w:szCs w:val="16"/>
        </w:rPr>
        <w:t>.</w:t>
      </w:r>
      <w:r w:rsidRPr="00E35AB3">
        <w:rPr>
          <w:rFonts w:ascii="Times New Roman" w:hAnsi="Times New Roman" w:cs="Times New Roman"/>
          <w:sz w:val="16"/>
          <w:szCs w:val="16"/>
        </w:rPr>
        <w:tab/>
        <w:t xml:space="preserve">A. Rahim, T. Spuesens, R. Baets, and W. Bogaerts, "Open-Access Silicon Photonics: Current Status and Emerging Initiatives," Proceedings of the IEEE </w:t>
      </w:r>
      <w:r w:rsidRPr="00E35AB3">
        <w:rPr>
          <w:rFonts w:ascii="Times New Roman" w:hAnsi="Times New Roman" w:cs="Times New Roman"/>
          <w:b/>
          <w:sz w:val="16"/>
          <w:szCs w:val="16"/>
        </w:rPr>
        <w:t>106</w:t>
      </w:r>
      <w:r w:rsidRPr="00E35AB3">
        <w:rPr>
          <w:rFonts w:ascii="Times New Roman" w:hAnsi="Times New Roman" w:cs="Times New Roman"/>
          <w:sz w:val="16"/>
          <w:szCs w:val="16"/>
        </w:rPr>
        <w:t>(12), 2313-2330 (2018).</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30</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Y. Meng, Y. Z. Chen, L. H. Lu, Y. M. Ding, A. Cusano, J. A. Fan, Q. M. Hu, K. Y. Wang, Z. W. Xie, Z. T. Liu, Y. M. Yang, Q. Liu, M. L. Gong, Q. R. Xiao, S. L. Sun, M. M. Zhang, X. C. Yuan, and X. J. Ni, "Optical meta-waveguides for integrated photonics and beyond," Light-Sci. Appl. </w:t>
      </w:r>
      <w:r w:rsidR="00F53BC9" w:rsidRPr="00E35AB3">
        <w:rPr>
          <w:rFonts w:ascii="Times New Roman" w:hAnsi="Times New Roman" w:cs="Times New Roman"/>
          <w:b/>
          <w:sz w:val="16"/>
          <w:szCs w:val="16"/>
        </w:rPr>
        <w:t>10</w:t>
      </w:r>
      <w:r w:rsidR="00F53BC9" w:rsidRPr="00E35AB3">
        <w:rPr>
          <w:rFonts w:ascii="Times New Roman" w:hAnsi="Times New Roman" w:cs="Times New Roman"/>
          <w:sz w:val="16"/>
          <w:szCs w:val="16"/>
        </w:rPr>
        <w:t>(1), 15 (2021).</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31.</w:t>
      </w:r>
      <w:r w:rsidRPr="00E35AB3">
        <w:rPr>
          <w:rFonts w:ascii="Times New Roman" w:hAnsi="Times New Roman" w:cs="Times New Roman"/>
          <w:sz w:val="16"/>
          <w:szCs w:val="16"/>
        </w:rPr>
        <w:tab/>
        <w:t xml:space="preserve">S. A. Maier, S. R. Andrews, L. Martin-Moreno, and F. J. Garcia-Vidal, "Terahertz surface plasmon-polariton propagation and focusing on periodically corrugated metal wires," Phys. Rev. Lett. </w:t>
      </w:r>
      <w:r w:rsidRPr="00E35AB3">
        <w:rPr>
          <w:rFonts w:ascii="Times New Roman" w:hAnsi="Times New Roman" w:cs="Times New Roman"/>
          <w:b/>
          <w:sz w:val="16"/>
          <w:szCs w:val="16"/>
        </w:rPr>
        <w:t>97</w:t>
      </w:r>
      <w:r w:rsidRPr="00E35AB3">
        <w:rPr>
          <w:rFonts w:ascii="Times New Roman" w:hAnsi="Times New Roman" w:cs="Times New Roman"/>
          <w:sz w:val="16"/>
          <w:szCs w:val="16"/>
        </w:rPr>
        <w:t>(17), 176805 (2006).</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32.</w:t>
      </w:r>
      <w:r w:rsidRPr="00E35AB3">
        <w:rPr>
          <w:rFonts w:ascii="Times New Roman" w:hAnsi="Times New Roman" w:cs="Times New Roman"/>
          <w:sz w:val="16"/>
          <w:szCs w:val="16"/>
        </w:rPr>
        <w:tab/>
        <w:t xml:space="preserve">B. H. Ng, S. M. Hanham, J. F. Wu, A. I. Fernandez-Dominguez, N. Klein, Y. F. Liew, M. B. H. Breese, M. H. Hong, and S. A. Maier, "Broadband Terahertz Sensing on Spoof Plasmon Surfaces," ACS Photonics </w:t>
      </w:r>
      <w:r w:rsidRPr="00E35AB3">
        <w:rPr>
          <w:rFonts w:ascii="Times New Roman" w:hAnsi="Times New Roman" w:cs="Times New Roman"/>
          <w:b/>
          <w:sz w:val="16"/>
          <w:szCs w:val="16"/>
        </w:rPr>
        <w:t>1</w:t>
      </w:r>
      <w:r w:rsidRPr="00E35AB3">
        <w:rPr>
          <w:rFonts w:ascii="Times New Roman" w:hAnsi="Times New Roman" w:cs="Times New Roman"/>
          <w:sz w:val="16"/>
          <w:szCs w:val="16"/>
        </w:rPr>
        <w:t>(10), 1059-1067 (2014).</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33.</w:t>
      </w:r>
      <w:r w:rsidRPr="00E35AB3">
        <w:rPr>
          <w:rFonts w:ascii="Times New Roman" w:hAnsi="Times New Roman" w:cs="Times New Roman"/>
          <w:sz w:val="16"/>
          <w:szCs w:val="16"/>
        </w:rPr>
        <w:tab/>
        <w:t xml:space="preserve">L. Z. Yin, T. J. Huang, F. Y. Han, J. Y. Liu, D. Wang, and P. K. Liu, "High-efficiency terahertz spin-decoupled meta-coupler for spoof surface plasmon excitation and beam steering," Opt. Express </w:t>
      </w:r>
      <w:r w:rsidRPr="00E35AB3">
        <w:rPr>
          <w:rFonts w:ascii="Times New Roman" w:hAnsi="Times New Roman" w:cs="Times New Roman"/>
          <w:b/>
          <w:sz w:val="16"/>
          <w:szCs w:val="16"/>
        </w:rPr>
        <w:t>27</w:t>
      </w:r>
      <w:r w:rsidRPr="00E35AB3">
        <w:rPr>
          <w:rFonts w:ascii="Times New Roman" w:hAnsi="Times New Roman" w:cs="Times New Roman"/>
          <w:sz w:val="16"/>
          <w:szCs w:val="16"/>
        </w:rPr>
        <w:t>(13), 18928-18939 (2019).</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34.</w:t>
      </w:r>
      <w:r w:rsidRPr="00E35AB3">
        <w:rPr>
          <w:rFonts w:ascii="Times New Roman" w:hAnsi="Times New Roman" w:cs="Times New Roman"/>
          <w:sz w:val="16"/>
          <w:szCs w:val="16"/>
        </w:rPr>
        <w:tab/>
        <w:t xml:space="preserve">X. Q. Su, Q. Xu, Y. C. Lu, Z. Y. Zhang, Y. H. Xu, X. Q. Zhang, Y. F. Li, C. M. Ouyang, F. S. Deng, Y. H. Liu, L. J. Dong, Y. L. Shi, X. X. Zhang, J. G. Han, and W. L. Zhang, "Gradient Index Devices for Terahertz Spoof Surface Plasmon Polaritons," ACS Photonics </w:t>
      </w:r>
      <w:r w:rsidRPr="00E35AB3">
        <w:rPr>
          <w:rFonts w:ascii="Times New Roman" w:hAnsi="Times New Roman" w:cs="Times New Roman"/>
          <w:b/>
          <w:sz w:val="16"/>
          <w:szCs w:val="16"/>
        </w:rPr>
        <w:t>7</w:t>
      </w:r>
      <w:r w:rsidRPr="00E35AB3">
        <w:rPr>
          <w:rFonts w:ascii="Times New Roman" w:hAnsi="Times New Roman" w:cs="Times New Roman"/>
          <w:sz w:val="16"/>
          <w:szCs w:val="16"/>
        </w:rPr>
        <w:t>(12), 5305-5312 (2020).</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35.</w:t>
      </w:r>
      <w:r w:rsidRPr="00E35AB3">
        <w:rPr>
          <w:rFonts w:ascii="Times New Roman" w:hAnsi="Times New Roman" w:cs="Times New Roman"/>
          <w:sz w:val="16"/>
          <w:szCs w:val="16"/>
        </w:rPr>
        <w:tab/>
        <w:t xml:space="preserve">Z. Wang, S. Q. Li, X. Q. Zhang, X. Feng, Q. W. Wang, J. G. Han, Q. He, W. L. Zhang, S. L. Sun, and L. Zhou, "Excite Spoof Surface Plasmons with Tailored Wavefronts Using High-Efficiency Terahertz Metasurfaces," Adv. Sci. </w:t>
      </w:r>
      <w:r w:rsidRPr="00E35AB3">
        <w:rPr>
          <w:rFonts w:ascii="Times New Roman" w:hAnsi="Times New Roman" w:cs="Times New Roman"/>
          <w:b/>
          <w:sz w:val="16"/>
          <w:szCs w:val="16"/>
        </w:rPr>
        <w:t>7</w:t>
      </w:r>
      <w:r w:rsidRPr="00E35AB3">
        <w:rPr>
          <w:rFonts w:ascii="Times New Roman" w:hAnsi="Times New Roman" w:cs="Times New Roman"/>
          <w:sz w:val="16"/>
          <w:szCs w:val="16"/>
        </w:rPr>
        <w:t>(19), 2000982 (2020).</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36.</w:t>
      </w:r>
      <w:r w:rsidRPr="00E35AB3">
        <w:rPr>
          <w:rFonts w:ascii="Times New Roman" w:hAnsi="Times New Roman" w:cs="Times New Roman"/>
          <w:sz w:val="16"/>
          <w:szCs w:val="16"/>
        </w:rPr>
        <w:tab/>
        <w:t xml:space="preserve">X. J. Li, L. Y. Wang, G. Cheng, X. M. Hou, D. X. Yan, G. H. Qiu, S. H. Guo, W. D. Zhou, and J. I. Li, "Terahertz spoof surface plasmon sensing based on dielectric metagrating coupling," APL Mater. </w:t>
      </w:r>
      <w:r w:rsidRPr="00E35AB3">
        <w:rPr>
          <w:rFonts w:ascii="Times New Roman" w:hAnsi="Times New Roman" w:cs="Times New Roman"/>
          <w:b/>
          <w:sz w:val="16"/>
          <w:szCs w:val="16"/>
        </w:rPr>
        <w:t>9</w:t>
      </w:r>
      <w:r w:rsidRPr="00E35AB3">
        <w:rPr>
          <w:rFonts w:ascii="Times New Roman" w:hAnsi="Times New Roman" w:cs="Times New Roman"/>
          <w:sz w:val="16"/>
          <w:szCs w:val="16"/>
        </w:rPr>
        <w:t>(5), 051118 (2021).</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w:t>
      </w:r>
      <w:r w:rsidR="003C7ECE" w:rsidRPr="00E35AB3">
        <w:rPr>
          <w:rFonts w:ascii="Times New Roman" w:hAnsi="Times New Roman" w:cs="Times New Roman"/>
          <w:sz w:val="16"/>
          <w:szCs w:val="16"/>
        </w:rPr>
        <w:t>7</w:t>
      </w:r>
      <w:r w:rsidRPr="00E35AB3">
        <w:rPr>
          <w:rFonts w:ascii="Times New Roman" w:hAnsi="Times New Roman" w:cs="Times New Roman"/>
          <w:sz w:val="16"/>
          <w:szCs w:val="16"/>
        </w:rPr>
        <w:t>.</w:t>
      </w:r>
      <w:r w:rsidRPr="00E35AB3">
        <w:rPr>
          <w:rFonts w:ascii="Times New Roman" w:hAnsi="Times New Roman" w:cs="Times New Roman"/>
          <w:sz w:val="16"/>
          <w:szCs w:val="16"/>
        </w:rPr>
        <w:tab/>
        <w:t xml:space="preserve">J. M. Liu, X. Fang, F. He, S. Q. Yin, W. Lyu, H. Geng, X. J. Deng, and X. P. Zheng, "Directional conversion of a THz propagating wave into surface waves in deformable metagratings," Opt. Express </w:t>
      </w:r>
      <w:r w:rsidRPr="00E35AB3">
        <w:rPr>
          <w:rFonts w:ascii="Times New Roman" w:hAnsi="Times New Roman" w:cs="Times New Roman"/>
          <w:b/>
          <w:sz w:val="16"/>
          <w:szCs w:val="16"/>
        </w:rPr>
        <w:t>29</w:t>
      </w:r>
      <w:r w:rsidRPr="00E35AB3">
        <w:rPr>
          <w:rFonts w:ascii="Times New Roman" w:hAnsi="Times New Roman" w:cs="Times New Roman"/>
          <w:sz w:val="16"/>
          <w:szCs w:val="16"/>
        </w:rPr>
        <w:t>(14), 21749-21762 (2021).</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lastRenderedPageBreak/>
        <w:t>3</w:t>
      </w:r>
      <w:r w:rsidR="003C7ECE" w:rsidRPr="00E35AB3">
        <w:rPr>
          <w:rFonts w:ascii="Times New Roman" w:hAnsi="Times New Roman" w:cs="Times New Roman"/>
          <w:sz w:val="16"/>
          <w:szCs w:val="16"/>
        </w:rPr>
        <w:t>8</w:t>
      </w:r>
      <w:r w:rsidRPr="00E35AB3">
        <w:rPr>
          <w:rFonts w:ascii="Times New Roman" w:hAnsi="Times New Roman" w:cs="Times New Roman"/>
          <w:sz w:val="16"/>
          <w:szCs w:val="16"/>
        </w:rPr>
        <w:t>.</w:t>
      </w:r>
      <w:r w:rsidRPr="00E35AB3">
        <w:rPr>
          <w:rFonts w:ascii="Times New Roman" w:hAnsi="Times New Roman" w:cs="Times New Roman"/>
          <w:sz w:val="16"/>
          <w:szCs w:val="16"/>
        </w:rPr>
        <w:tab/>
        <w:t xml:space="preserve">J. M. Dai, J. Q. Zhang, W. L. Zhang, and D. Grischkowsky, "Terahertz time-domain spectroscopy characterization of the far-infrared absorption and index of refraction of high-resistivity, float-zone silicon," Journal of the Optical Society of America B-Optical Physics </w:t>
      </w:r>
      <w:r w:rsidRPr="00E35AB3">
        <w:rPr>
          <w:rFonts w:ascii="Times New Roman" w:hAnsi="Times New Roman" w:cs="Times New Roman"/>
          <w:b/>
          <w:sz w:val="16"/>
          <w:szCs w:val="16"/>
        </w:rPr>
        <w:t>21</w:t>
      </w:r>
      <w:r w:rsidRPr="00E35AB3">
        <w:rPr>
          <w:rFonts w:ascii="Times New Roman" w:hAnsi="Times New Roman" w:cs="Times New Roman"/>
          <w:sz w:val="16"/>
          <w:szCs w:val="16"/>
        </w:rPr>
        <w:t>(7), 1379-1386 (2004).</w:t>
      </w:r>
    </w:p>
    <w:p w:rsidR="00F53BC9" w:rsidRPr="00E35AB3" w:rsidRDefault="00F53BC9"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3</w:t>
      </w:r>
      <w:r w:rsidR="003C7ECE" w:rsidRPr="00E35AB3">
        <w:rPr>
          <w:rFonts w:ascii="Times New Roman" w:hAnsi="Times New Roman" w:cs="Times New Roman"/>
          <w:sz w:val="16"/>
          <w:szCs w:val="16"/>
        </w:rPr>
        <w:t>9</w:t>
      </w:r>
      <w:r w:rsidRPr="00E35AB3">
        <w:rPr>
          <w:rFonts w:ascii="Times New Roman" w:hAnsi="Times New Roman" w:cs="Times New Roman"/>
          <w:sz w:val="16"/>
          <w:szCs w:val="16"/>
        </w:rPr>
        <w:t>.</w:t>
      </w:r>
      <w:r w:rsidRPr="00E35AB3">
        <w:rPr>
          <w:rFonts w:ascii="Times New Roman" w:hAnsi="Times New Roman" w:cs="Times New Roman"/>
          <w:sz w:val="16"/>
          <w:szCs w:val="16"/>
        </w:rPr>
        <w:tab/>
        <w:t xml:space="preserve">M. Naftaly and R. E. Miles, "Terahertz time-domain spectroscopy for material characterization," Proc. IEEE </w:t>
      </w:r>
      <w:r w:rsidRPr="00E35AB3">
        <w:rPr>
          <w:rFonts w:ascii="Times New Roman" w:hAnsi="Times New Roman" w:cs="Times New Roman"/>
          <w:b/>
          <w:sz w:val="16"/>
          <w:szCs w:val="16"/>
        </w:rPr>
        <w:t>95</w:t>
      </w:r>
      <w:r w:rsidRPr="00E35AB3">
        <w:rPr>
          <w:rFonts w:ascii="Times New Roman" w:hAnsi="Times New Roman" w:cs="Times New Roman"/>
          <w:sz w:val="16"/>
          <w:szCs w:val="16"/>
        </w:rPr>
        <w:t>(8), 1658-1665 (2007).</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40</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D. Zhang, M. X. Ren, W. Wu, N. H. Gao, X. Y. Yu, W. Cai, X. Z. Zhang, and J. J. Xu, "Nanoscale beam splitters based on gradient metasurfaces," Opt. Lett. </w:t>
      </w:r>
      <w:r w:rsidR="00F53BC9" w:rsidRPr="00E35AB3">
        <w:rPr>
          <w:rFonts w:ascii="Times New Roman" w:hAnsi="Times New Roman" w:cs="Times New Roman"/>
          <w:b/>
          <w:sz w:val="16"/>
          <w:szCs w:val="16"/>
        </w:rPr>
        <w:t>43</w:t>
      </w:r>
      <w:r w:rsidR="00F53BC9" w:rsidRPr="00E35AB3">
        <w:rPr>
          <w:rFonts w:ascii="Times New Roman" w:hAnsi="Times New Roman" w:cs="Times New Roman"/>
          <w:sz w:val="16"/>
          <w:szCs w:val="16"/>
        </w:rPr>
        <w:t>(2), 267-270 (2018).</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41</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F. Ding, Y. Q. Yang, R. A. Deshpande, and S. I. Bozhevolnyi, "A review of gap-surface plasmon metasurfaces: fundamentals and applications," Nanophotonics </w:t>
      </w:r>
      <w:r w:rsidR="00F53BC9" w:rsidRPr="00E35AB3">
        <w:rPr>
          <w:rFonts w:ascii="Times New Roman" w:hAnsi="Times New Roman" w:cs="Times New Roman"/>
          <w:b/>
          <w:sz w:val="16"/>
          <w:szCs w:val="16"/>
        </w:rPr>
        <w:t>7</w:t>
      </w:r>
      <w:r w:rsidR="00F53BC9" w:rsidRPr="00E35AB3">
        <w:rPr>
          <w:rFonts w:ascii="Times New Roman" w:hAnsi="Times New Roman" w:cs="Times New Roman"/>
          <w:sz w:val="16"/>
          <w:szCs w:val="16"/>
        </w:rPr>
        <w:t>(6), 1129-1156 (2018).</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42</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S. G. Park, K. Lee, D. Han, J. Ahn, and K. H. Jeong, "Subwavelength silicon through-hole arrays as an all-dielectric broadband terahertz gradient index metamaterial," Applied Physics Letters </w:t>
      </w:r>
      <w:r w:rsidR="00F53BC9" w:rsidRPr="00E35AB3">
        <w:rPr>
          <w:rFonts w:ascii="Times New Roman" w:hAnsi="Times New Roman" w:cs="Times New Roman"/>
          <w:b/>
          <w:sz w:val="16"/>
          <w:szCs w:val="16"/>
        </w:rPr>
        <w:t>105</w:t>
      </w:r>
      <w:r w:rsidR="00F53BC9" w:rsidRPr="00E35AB3">
        <w:rPr>
          <w:rFonts w:ascii="Times New Roman" w:hAnsi="Times New Roman" w:cs="Times New Roman"/>
          <w:sz w:val="16"/>
          <w:szCs w:val="16"/>
        </w:rPr>
        <w:t>(9), 091101 (2014).</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43</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J. R. Ong, H. S. Chu, V. H. J. Chen, A. Y. T. Zhu, and P. Genevet, "Freestanding dielectric nanohole array metasurface for mid-infrared wavelength applications," Opt. Lett. </w:t>
      </w:r>
      <w:r w:rsidR="00F53BC9" w:rsidRPr="00E35AB3">
        <w:rPr>
          <w:rFonts w:ascii="Times New Roman" w:hAnsi="Times New Roman" w:cs="Times New Roman"/>
          <w:b/>
          <w:sz w:val="16"/>
          <w:szCs w:val="16"/>
        </w:rPr>
        <w:t>42</w:t>
      </w:r>
      <w:r w:rsidR="00F53BC9" w:rsidRPr="00E35AB3">
        <w:rPr>
          <w:rFonts w:ascii="Times New Roman" w:hAnsi="Times New Roman" w:cs="Times New Roman"/>
          <w:sz w:val="16"/>
          <w:szCs w:val="16"/>
        </w:rPr>
        <w:t>(13), 2639-2642 (2017).</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44</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X. F. Su, G. H. Li, H. Yang, Z. Y. Zhao, F. L. Yu, and X. S. Chen, "Polarization-independent beam deflection and focusing with dielectric non-resonant metasurfaces," J. Phys. D-Appl. Phys. </w:t>
      </w:r>
      <w:r w:rsidR="00F53BC9" w:rsidRPr="00E35AB3">
        <w:rPr>
          <w:rFonts w:ascii="Times New Roman" w:hAnsi="Times New Roman" w:cs="Times New Roman"/>
          <w:b/>
          <w:sz w:val="16"/>
          <w:szCs w:val="16"/>
        </w:rPr>
        <w:t>50</w:t>
      </w:r>
      <w:r w:rsidR="00F53BC9" w:rsidRPr="00E35AB3">
        <w:rPr>
          <w:rFonts w:ascii="Times New Roman" w:hAnsi="Times New Roman" w:cs="Times New Roman"/>
          <w:sz w:val="16"/>
          <w:szCs w:val="16"/>
        </w:rPr>
        <w:t>(34), 345102 (2017).</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45</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N. Yilmaz, A. Ozer, A. Ozdemir, and H. Kurt, "Nanohole-based phase gradient metasurfaces for light manipulation," J. Phys. D-Appl. Phys. </w:t>
      </w:r>
      <w:r w:rsidR="00F53BC9" w:rsidRPr="00E35AB3">
        <w:rPr>
          <w:rFonts w:ascii="Times New Roman" w:hAnsi="Times New Roman" w:cs="Times New Roman"/>
          <w:b/>
          <w:sz w:val="16"/>
          <w:szCs w:val="16"/>
        </w:rPr>
        <w:t>52</w:t>
      </w:r>
      <w:r w:rsidR="00F53BC9" w:rsidRPr="00E35AB3">
        <w:rPr>
          <w:rFonts w:ascii="Times New Roman" w:hAnsi="Times New Roman" w:cs="Times New Roman"/>
          <w:sz w:val="16"/>
          <w:szCs w:val="16"/>
        </w:rPr>
        <w:t>(20), 205102 (2019).</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46</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R. A. Craig, "</w:t>
      </w:r>
      <w:r w:rsidR="00F53BC9" w:rsidRPr="00E35AB3">
        <w:t xml:space="preserve"> </w:t>
      </w:r>
      <w:r w:rsidR="00F53BC9" w:rsidRPr="00E35AB3">
        <w:rPr>
          <w:rFonts w:ascii="Times New Roman" w:hAnsi="Times New Roman" w:cs="Times New Roman"/>
          <w:sz w:val="16"/>
          <w:szCs w:val="16"/>
        </w:rPr>
        <w:t xml:space="preserve">Method for analysis of the characteristic matrix in optical systems," J. Opt. Soc. Am. A </w:t>
      </w:r>
      <w:r w:rsidR="00F53BC9" w:rsidRPr="00E35AB3">
        <w:rPr>
          <w:rFonts w:ascii="Times New Roman" w:hAnsi="Times New Roman" w:cs="Times New Roman"/>
          <w:b/>
          <w:sz w:val="16"/>
          <w:szCs w:val="16"/>
        </w:rPr>
        <w:t>4</w:t>
      </w:r>
      <w:r w:rsidR="00F53BC9" w:rsidRPr="00E35AB3">
        <w:rPr>
          <w:rFonts w:ascii="Times New Roman" w:hAnsi="Times New Roman" w:cs="Times New Roman"/>
          <w:sz w:val="16"/>
          <w:szCs w:val="16"/>
        </w:rPr>
        <w:t>(6), 1092-1096 (1987).</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47</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J. Lekner and M. C. Dorf, "</w:t>
      </w:r>
      <w:r w:rsidR="00F53BC9" w:rsidRPr="00E35AB3">
        <w:t xml:space="preserve"> </w:t>
      </w:r>
      <w:r w:rsidR="00F53BC9" w:rsidRPr="00E35AB3">
        <w:rPr>
          <w:rFonts w:ascii="Times New Roman" w:hAnsi="Times New Roman" w:cs="Times New Roman"/>
          <w:sz w:val="16"/>
          <w:szCs w:val="16"/>
        </w:rPr>
        <w:t xml:space="preserve">Matrix methods for calculation of reflection amplitudes," J. Opt. Soc. Am. A </w:t>
      </w:r>
      <w:r w:rsidR="00F53BC9" w:rsidRPr="00E35AB3">
        <w:rPr>
          <w:rFonts w:ascii="Times New Roman" w:hAnsi="Times New Roman" w:cs="Times New Roman"/>
          <w:b/>
          <w:sz w:val="16"/>
          <w:szCs w:val="16"/>
        </w:rPr>
        <w:t>4</w:t>
      </w:r>
      <w:r w:rsidR="00F53BC9" w:rsidRPr="00E35AB3">
        <w:rPr>
          <w:rFonts w:ascii="Times New Roman" w:hAnsi="Times New Roman" w:cs="Times New Roman"/>
          <w:sz w:val="16"/>
          <w:szCs w:val="16"/>
        </w:rPr>
        <w:t>(11), 2092-2095 (1987).</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48.</w:t>
      </w:r>
      <w:r w:rsidRPr="00E35AB3">
        <w:rPr>
          <w:rFonts w:ascii="Times New Roman" w:hAnsi="Times New Roman" w:cs="Times New Roman"/>
          <w:sz w:val="16"/>
          <w:szCs w:val="16"/>
        </w:rPr>
        <w:tab/>
        <w:t xml:space="preserve">C. Qu, S. Y. Xiao, S. L. Sun, Q. He, and L. Zhou, "A theoretical study on the conversion efficiencies of gradient meta-surfaces," Europhys. Lett. </w:t>
      </w:r>
      <w:r w:rsidRPr="00E35AB3">
        <w:rPr>
          <w:rFonts w:ascii="Times New Roman" w:hAnsi="Times New Roman" w:cs="Times New Roman"/>
          <w:b/>
          <w:sz w:val="16"/>
          <w:szCs w:val="16"/>
        </w:rPr>
        <w:t>101</w:t>
      </w:r>
      <w:r w:rsidRPr="00E35AB3">
        <w:rPr>
          <w:rFonts w:ascii="Times New Roman" w:hAnsi="Times New Roman" w:cs="Times New Roman"/>
          <w:sz w:val="16"/>
          <w:szCs w:val="16"/>
        </w:rPr>
        <w:t>(5), 54002 (2013).</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49.</w:t>
      </w:r>
      <w:r w:rsidRPr="00E35AB3">
        <w:rPr>
          <w:rFonts w:ascii="Times New Roman" w:hAnsi="Times New Roman" w:cs="Times New Roman"/>
          <w:sz w:val="16"/>
          <w:szCs w:val="16"/>
        </w:rPr>
        <w:tab/>
        <w:t xml:space="preserve">J. Parasuraman, A. Summanwar, F. Marty, P. Basset, D. E. Angelescu, and T. Bourouina, "Deep reactive ion etching of sub-micrometer trenches with ultra high aspect ratio," Microelectron. Eng. </w:t>
      </w:r>
      <w:r w:rsidRPr="00E35AB3">
        <w:rPr>
          <w:rFonts w:ascii="Times New Roman" w:hAnsi="Times New Roman" w:cs="Times New Roman"/>
          <w:b/>
          <w:sz w:val="16"/>
          <w:szCs w:val="16"/>
        </w:rPr>
        <w:t>113</w:t>
      </w:r>
      <w:r w:rsidRPr="00E35AB3">
        <w:rPr>
          <w:rFonts w:ascii="Times New Roman" w:hAnsi="Times New Roman" w:cs="Times New Roman"/>
          <w:sz w:val="16"/>
          <w:szCs w:val="16"/>
        </w:rPr>
        <w:t>, 35-39 (2014).</w:t>
      </w:r>
    </w:p>
    <w:p w:rsidR="00F53BC9"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50</w:t>
      </w:r>
      <w:r w:rsidR="00F53BC9" w:rsidRPr="00E35AB3">
        <w:rPr>
          <w:rFonts w:ascii="Times New Roman" w:hAnsi="Times New Roman" w:cs="Times New Roman"/>
          <w:sz w:val="16"/>
          <w:szCs w:val="16"/>
        </w:rPr>
        <w:t>.</w:t>
      </w:r>
      <w:r w:rsidR="00F53BC9" w:rsidRPr="00E35AB3">
        <w:rPr>
          <w:rFonts w:ascii="Times New Roman" w:hAnsi="Times New Roman" w:cs="Times New Roman"/>
          <w:sz w:val="16"/>
          <w:szCs w:val="16"/>
        </w:rPr>
        <w:tab/>
        <w:t xml:space="preserve">Y. M. Tang, A. Sandoughsaz, K. J. Owen, and K. Najafi, "Ultra Deep Reactive Ion Etching of High Aspect-Ratio and Thick Silicon Using a Ramped-Parameter Process," Journal of Microelectromechanical Systems </w:t>
      </w:r>
      <w:r w:rsidR="00F53BC9" w:rsidRPr="00E35AB3">
        <w:rPr>
          <w:rFonts w:ascii="Times New Roman" w:hAnsi="Times New Roman" w:cs="Times New Roman"/>
          <w:b/>
          <w:sz w:val="16"/>
          <w:szCs w:val="16"/>
        </w:rPr>
        <w:t>27</w:t>
      </w:r>
      <w:r w:rsidR="00F53BC9" w:rsidRPr="00E35AB3">
        <w:rPr>
          <w:rFonts w:ascii="Times New Roman" w:hAnsi="Times New Roman" w:cs="Times New Roman"/>
          <w:sz w:val="16"/>
          <w:szCs w:val="16"/>
        </w:rPr>
        <w:t>(4), 686-697 (2018).</w:t>
      </w:r>
    </w:p>
    <w:p w:rsidR="003C7ECE" w:rsidRPr="00E35AB3" w:rsidRDefault="003C7ECE" w:rsidP="00F53BC9">
      <w:pPr>
        <w:pStyle w:val="EndNoteBibliography"/>
        <w:spacing w:after="0"/>
        <w:ind w:left="357" w:hanging="357"/>
        <w:rPr>
          <w:rFonts w:ascii="Times New Roman" w:hAnsi="Times New Roman" w:cs="Times New Roman"/>
          <w:sz w:val="16"/>
          <w:szCs w:val="16"/>
        </w:rPr>
      </w:pPr>
      <w:r w:rsidRPr="00E35AB3">
        <w:rPr>
          <w:rFonts w:ascii="Times New Roman" w:hAnsi="Times New Roman" w:cs="Times New Roman"/>
          <w:sz w:val="16"/>
          <w:szCs w:val="16"/>
        </w:rPr>
        <w:t>51.</w:t>
      </w:r>
      <w:r w:rsidRPr="00E35AB3">
        <w:rPr>
          <w:rFonts w:ascii="Times New Roman" w:hAnsi="Times New Roman" w:cs="Times New Roman"/>
          <w:sz w:val="16"/>
          <w:szCs w:val="16"/>
        </w:rPr>
        <w:tab/>
        <w:t xml:space="preserve">Z. T. Shi, K. Jefimovs, L. Romano, and M. Stampanoni, "Towards the Fabrication of High-Aspect-Ratio Silicon Gratings by Deep Reactive Ion Etching," Micromachines </w:t>
      </w:r>
      <w:r w:rsidRPr="00E35AB3">
        <w:rPr>
          <w:rFonts w:ascii="Times New Roman" w:hAnsi="Times New Roman" w:cs="Times New Roman"/>
          <w:b/>
          <w:sz w:val="16"/>
          <w:szCs w:val="16"/>
        </w:rPr>
        <w:t>11</w:t>
      </w:r>
      <w:r w:rsidRPr="00E35AB3">
        <w:rPr>
          <w:rFonts w:ascii="Times New Roman" w:hAnsi="Times New Roman" w:cs="Times New Roman"/>
          <w:sz w:val="16"/>
          <w:szCs w:val="16"/>
        </w:rPr>
        <w:t>(9), 864 (2020).</w:t>
      </w:r>
    </w:p>
    <w:p w:rsidR="002C7F61" w:rsidRPr="00E35AB3" w:rsidRDefault="003C7ECE" w:rsidP="00C90426">
      <w:pPr>
        <w:pStyle w:val="10BodySubsequentParagraph"/>
        <w:ind w:left="357" w:hanging="357"/>
        <w:contextualSpacing/>
        <w:mirrorIndents/>
        <w:rPr>
          <w:rFonts w:cs="Times New Roman"/>
          <w:sz w:val="16"/>
          <w:szCs w:val="16"/>
        </w:rPr>
      </w:pPr>
      <w:r w:rsidRPr="00E35AB3">
        <w:rPr>
          <w:rFonts w:cs="Times New Roman"/>
          <w:sz w:val="16"/>
          <w:szCs w:val="16"/>
        </w:rPr>
        <w:t>52.</w:t>
      </w:r>
      <w:r w:rsidRPr="00E35AB3">
        <w:rPr>
          <w:rFonts w:cs="Times New Roman"/>
          <w:sz w:val="16"/>
          <w:szCs w:val="16"/>
        </w:rPr>
        <w:tab/>
      </w:r>
      <w:r w:rsidR="00120821" w:rsidRPr="00E35AB3">
        <w:rPr>
          <w:rFonts w:cs="Times New Roman"/>
          <w:sz w:val="16"/>
          <w:szCs w:val="16"/>
        </w:rPr>
        <w:t xml:space="preserve">Z. J. Ma, S. M. Hanham, P. Albella, B. H. Ng, H. T. Lu, Y. D. Gong, S. A. Maier, and M. H. Hong, "Terahertz All-Dielectric Magnetic Mirror Metasurfaces," ACS Photonics </w:t>
      </w:r>
      <w:r w:rsidR="00120821" w:rsidRPr="00E35AB3">
        <w:rPr>
          <w:rFonts w:cs="Times New Roman"/>
          <w:b/>
          <w:sz w:val="16"/>
          <w:szCs w:val="16"/>
        </w:rPr>
        <w:t>3</w:t>
      </w:r>
      <w:r w:rsidR="00120821" w:rsidRPr="00E35AB3">
        <w:rPr>
          <w:rFonts w:cs="Times New Roman"/>
          <w:sz w:val="16"/>
          <w:szCs w:val="16"/>
        </w:rPr>
        <w:t>(6), 1010-1018 (2016).</w:t>
      </w:r>
    </w:p>
    <w:p w:rsidR="003C7ECE" w:rsidRPr="00E35AB3" w:rsidRDefault="003C7ECE" w:rsidP="003C7ECE">
      <w:pPr>
        <w:pStyle w:val="10BodySubsequentParagraph"/>
        <w:ind w:left="357" w:hanging="357"/>
        <w:contextualSpacing/>
        <w:mirrorIndents/>
        <w:rPr>
          <w:rFonts w:cs="Times New Roman"/>
          <w:sz w:val="16"/>
          <w:szCs w:val="16"/>
        </w:rPr>
      </w:pPr>
      <w:r w:rsidRPr="00E35AB3">
        <w:rPr>
          <w:rFonts w:cs="Times New Roman"/>
          <w:sz w:val="16"/>
          <w:szCs w:val="16"/>
        </w:rPr>
        <w:t>53.</w:t>
      </w:r>
      <w:r w:rsidRPr="00E35AB3">
        <w:rPr>
          <w:rFonts w:cs="Times New Roman"/>
          <w:sz w:val="16"/>
          <w:szCs w:val="16"/>
        </w:rPr>
        <w:tab/>
      </w:r>
      <w:r w:rsidR="00120821" w:rsidRPr="00E35AB3">
        <w:rPr>
          <w:rFonts w:cs="Times New Roman"/>
          <w:sz w:val="16"/>
          <w:szCs w:val="16"/>
        </w:rPr>
        <w:t xml:space="preserve">T. Cao, M. Lian, X. Chen, L. Mao, K. Liu, J. Jia, Y. Su, H. Ren, S. Zhang, and Y. Xu, "Multi-cycle reconfigurable THz extraordinary optical transmission using chalcogenide metamaterials," Opto-Electronic Science </w:t>
      </w:r>
      <w:r w:rsidR="00120821" w:rsidRPr="00E35AB3">
        <w:rPr>
          <w:rFonts w:cs="Times New Roman"/>
          <w:b/>
          <w:sz w:val="16"/>
          <w:szCs w:val="16"/>
        </w:rPr>
        <w:t>1</w:t>
      </w:r>
      <w:r w:rsidR="00120821" w:rsidRPr="00E35AB3">
        <w:rPr>
          <w:rFonts w:cs="Times New Roman"/>
          <w:sz w:val="16"/>
          <w:szCs w:val="16"/>
        </w:rPr>
        <w:t>(1), 210010 (2022).</w:t>
      </w:r>
    </w:p>
    <w:p w:rsidR="00120821" w:rsidRPr="00C90426" w:rsidRDefault="003C7ECE" w:rsidP="00120821">
      <w:pPr>
        <w:pStyle w:val="EndNoteBibliography"/>
        <w:spacing w:after="0"/>
        <w:ind w:left="357" w:hanging="357"/>
        <w:contextualSpacing/>
        <w:mirrorIndents/>
        <w:rPr>
          <w:rFonts w:ascii="Times New Roman" w:hAnsi="Times New Roman" w:cs="Times New Roman"/>
          <w:sz w:val="16"/>
          <w:szCs w:val="16"/>
        </w:rPr>
      </w:pPr>
      <w:r w:rsidRPr="00E35AB3">
        <w:rPr>
          <w:rFonts w:ascii="Times New Roman" w:hAnsi="Times New Roman" w:cs="Times New Roman"/>
          <w:sz w:val="16"/>
          <w:szCs w:val="16"/>
        </w:rPr>
        <w:t>5</w:t>
      </w:r>
      <w:r w:rsidRPr="00E35AB3">
        <w:rPr>
          <w:rFonts w:cs="Times New Roman"/>
          <w:sz w:val="16"/>
          <w:szCs w:val="16"/>
        </w:rPr>
        <w:t>4</w:t>
      </w:r>
      <w:r w:rsidRPr="00E35AB3">
        <w:rPr>
          <w:rFonts w:ascii="Times New Roman" w:hAnsi="Times New Roman" w:cs="Times New Roman"/>
          <w:sz w:val="16"/>
          <w:szCs w:val="16"/>
        </w:rPr>
        <w:t>.</w:t>
      </w:r>
      <w:r w:rsidRPr="00E35AB3">
        <w:rPr>
          <w:rFonts w:ascii="Times New Roman" w:hAnsi="Times New Roman" w:cs="Times New Roman"/>
          <w:sz w:val="16"/>
          <w:szCs w:val="16"/>
        </w:rPr>
        <w:tab/>
      </w:r>
      <w:r w:rsidR="00120821" w:rsidRPr="00E35AB3">
        <w:rPr>
          <w:rFonts w:ascii="Times New Roman" w:hAnsi="Times New Roman" w:cs="Times New Roman"/>
          <w:sz w:val="16"/>
          <w:szCs w:val="16"/>
        </w:rPr>
        <w:t xml:space="preserve">T. Ye, D. Wu, Q. Wu, X. W. Sun, H. Liang, K. Wang, and M. Hong, "Realization of inversely designed metagrating for highly efficient large angle beam deflection," Opt. Express </w:t>
      </w:r>
      <w:r w:rsidR="00120821" w:rsidRPr="00E35AB3">
        <w:rPr>
          <w:rFonts w:ascii="Times New Roman" w:hAnsi="Times New Roman" w:cs="Times New Roman"/>
          <w:b/>
          <w:sz w:val="16"/>
          <w:szCs w:val="16"/>
        </w:rPr>
        <w:t>30</w:t>
      </w:r>
      <w:r w:rsidR="00120821" w:rsidRPr="00E35AB3">
        <w:rPr>
          <w:rFonts w:ascii="Times New Roman" w:hAnsi="Times New Roman" w:cs="Times New Roman"/>
          <w:sz w:val="16"/>
          <w:szCs w:val="16"/>
        </w:rPr>
        <w:t>(5), 7566-7579 (2022).</w:t>
      </w:r>
      <w:bookmarkStart w:id="33" w:name="_GoBack"/>
      <w:bookmarkEnd w:id="33"/>
    </w:p>
    <w:p w:rsidR="003C7ECE" w:rsidRDefault="003C7ECE" w:rsidP="003C7ECE">
      <w:pPr>
        <w:pStyle w:val="10BodySubsequentParagraph"/>
        <w:ind w:left="357" w:hanging="357"/>
        <w:contextualSpacing/>
        <w:mirrorIndents/>
        <w:rPr>
          <w:rFonts w:cs="Times New Roman"/>
          <w:sz w:val="16"/>
          <w:szCs w:val="16"/>
        </w:rPr>
      </w:pPr>
    </w:p>
    <w:p w:rsidR="003C7ECE" w:rsidRPr="007B288C" w:rsidRDefault="003C7ECE" w:rsidP="003C7ECE">
      <w:pPr>
        <w:pStyle w:val="10BodySubsequentParagraph"/>
        <w:ind w:left="357" w:hanging="357"/>
        <w:contextualSpacing/>
        <w:mirrorIndents/>
        <w:rPr>
          <w:rFonts w:cs="Times New Roman"/>
          <w:sz w:val="16"/>
          <w:szCs w:val="16"/>
          <w:lang w:eastAsia="zh-CN"/>
        </w:rPr>
      </w:pPr>
    </w:p>
    <w:sectPr w:rsidR="003C7ECE" w:rsidRPr="007B288C" w:rsidSect="00904BC2">
      <w:pgSz w:w="12193" w:h="15780" w:code="1"/>
      <w:pgMar w:top="1871" w:right="2330" w:bottom="1871" w:left="23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8F2" w:rsidRDefault="009068F2" w:rsidP="00234718">
      <w:pPr>
        <w:spacing w:after="0" w:line="240" w:lineRule="auto"/>
      </w:pPr>
      <w:r>
        <w:separator/>
      </w:r>
    </w:p>
  </w:endnote>
  <w:endnote w:type="continuationSeparator" w:id="0">
    <w:p w:rsidR="009068F2" w:rsidRDefault="009068F2" w:rsidP="0023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8F2" w:rsidRDefault="009068F2" w:rsidP="00234718">
      <w:pPr>
        <w:spacing w:after="0" w:line="240" w:lineRule="auto"/>
      </w:pPr>
      <w:r>
        <w:separator/>
      </w:r>
    </w:p>
  </w:footnote>
  <w:footnote w:type="continuationSeparator" w:id="0">
    <w:p w:rsidR="009068F2" w:rsidRDefault="009068F2" w:rsidP="00234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1F36A638"/>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46573A"/>
    <w:multiLevelType w:val="hybridMultilevel"/>
    <w:tmpl w:val="26782D7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ADF3802"/>
    <w:multiLevelType w:val="multilevel"/>
    <w:tmpl w:val="D30E558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0"/>
  </w:num>
  <w:num w:numId="3">
    <w:abstractNumId w:val="13"/>
  </w:num>
  <w:num w:numId="4">
    <w:abstractNumId w:val="17"/>
  </w:num>
  <w:num w:numId="5">
    <w:abstractNumId w:val="12"/>
  </w:num>
  <w:num w:numId="6">
    <w:abstractNumId w:val="19"/>
  </w:num>
  <w:num w:numId="7">
    <w:abstractNumId w:val="18"/>
  </w:num>
  <w:num w:numId="8">
    <w:abstractNumId w:val="23"/>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4"/>
  </w:num>
  <w:num w:numId="22">
    <w:abstractNumId w:val="10"/>
  </w:num>
  <w:num w:numId="23">
    <w:abstractNumId w:val="1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zp92depptffmevra6xf200z2a2zxz9exvd&quot;&gt;My EndNote Library&lt;record-ids&gt;&lt;item&gt;2&lt;/item&gt;&lt;item&gt;3&lt;/item&gt;&lt;item&gt;4&lt;/item&gt;&lt;item&gt;14&lt;/item&gt;&lt;item&gt;18&lt;/item&gt;&lt;item&gt;22&lt;/item&gt;&lt;item&gt;24&lt;/item&gt;&lt;item&gt;26&lt;/item&gt;&lt;item&gt;27&lt;/item&gt;&lt;item&gt;29&lt;/item&gt;&lt;item&gt;30&lt;/item&gt;&lt;item&gt;31&lt;/item&gt;&lt;item&gt;32&lt;/item&gt;&lt;item&gt;33&lt;/item&gt;&lt;item&gt;76&lt;/item&gt;&lt;item&gt;77&lt;/item&gt;&lt;item&gt;82&lt;/item&gt;&lt;item&gt;94&lt;/item&gt;&lt;item&gt;95&lt;/item&gt;&lt;item&gt;97&lt;/item&gt;&lt;item&gt;99&lt;/item&gt;&lt;item&gt;102&lt;/item&gt;&lt;item&gt;106&lt;/item&gt;&lt;item&gt;108&lt;/item&gt;&lt;item&gt;125&lt;/item&gt;&lt;item&gt;126&lt;/item&gt;&lt;item&gt;130&lt;/item&gt;&lt;item&gt;131&lt;/item&gt;&lt;item&gt;132&lt;/item&gt;&lt;item&gt;143&lt;/item&gt;&lt;item&gt;144&lt;/item&gt;&lt;item&gt;145&lt;/item&gt;&lt;item&gt;146&lt;/item&gt;&lt;item&gt;147&lt;/item&gt;&lt;item&gt;148&lt;/item&gt;&lt;item&gt;149&lt;/item&gt;&lt;item&gt;150&lt;/item&gt;&lt;item&gt;151&lt;/item&gt;&lt;item&gt;153&lt;/item&gt;&lt;item&gt;154&lt;/item&gt;&lt;item&gt;155&lt;/item&gt;&lt;item&gt;156&lt;/item&gt;&lt;item&gt;160&lt;/item&gt;&lt;item&gt;161&lt;/item&gt;&lt;item&gt;162&lt;/item&gt;&lt;item&gt;164&lt;/item&gt;&lt;item&gt;165&lt;/item&gt;&lt;item&gt;166&lt;/item&gt;&lt;item&gt;167&lt;/item&gt;&lt;item&gt;170&lt;/item&gt;&lt;item&gt;172&lt;/item&gt;&lt;item&gt;173&lt;/item&gt;&lt;item&gt;174&lt;/item&gt;&lt;item&gt;176&lt;/item&gt;&lt;item&gt;177&lt;/item&gt;&lt;item&gt;178&lt;/item&gt;&lt;item&gt;179&lt;/item&gt;&lt;item&gt;181&lt;/item&gt;&lt;item&gt;183&lt;/item&gt;&lt;item&gt;185&lt;/item&gt;&lt;item&gt;186&lt;/item&gt;&lt;/record-ids&gt;&lt;/item&gt;&lt;/Libraries&gt;"/>
  </w:docVars>
  <w:rsids>
    <w:rsidRoot w:val="005B1938"/>
    <w:rsid w:val="00002F5A"/>
    <w:rsid w:val="00002FAF"/>
    <w:rsid w:val="00010612"/>
    <w:rsid w:val="000121BE"/>
    <w:rsid w:val="00013970"/>
    <w:rsid w:val="00015260"/>
    <w:rsid w:val="00015F38"/>
    <w:rsid w:val="0001679F"/>
    <w:rsid w:val="00016FAA"/>
    <w:rsid w:val="000207D4"/>
    <w:rsid w:val="00020A37"/>
    <w:rsid w:val="00022597"/>
    <w:rsid w:val="00044825"/>
    <w:rsid w:val="00044BE1"/>
    <w:rsid w:val="00047F3F"/>
    <w:rsid w:val="0008325A"/>
    <w:rsid w:val="00083CE5"/>
    <w:rsid w:val="00085C3C"/>
    <w:rsid w:val="00096CE3"/>
    <w:rsid w:val="00097B67"/>
    <w:rsid w:val="000A4DEA"/>
    <w:rsid w:val="000A631E"/>
    <w:rsid w:val="000A767A"/>
    <w:rsid w:val="000B0699"/>
    <w:rsid w:val="000B099F"/>
    <w:rsid w:val="000B2024"/>
    <w:rsid w:val="000B2E80"/>
    <w:rsid w:val="000B4B8A"/>
    <w:rsid w:val="000C0909"/>
    <w:rsid w:val="000C57FA"/>
    <w:rsid w:val="000C5B50"/>
    <w:rsid w:val="000C6B5A"/>
    <w:rsid w:val="000C7C03"/>
    <w:rsid w:val="000E135C"/>
    <w:rsid w:val="000E6FD6"/>
    <w:rsid w:val="000F4417"/>
    <w:rsid w:val="0010341C"/>
    <w:rsid w:val="00120821"/>
    <w:rsid w:val="00126ABF"/>
    <w:rsid w:val="00130361"/>
    <w:rsid w:val="00132D21"/>
    <w:rsid w:val="00133398"/>
    <w:rsid w:val="00134590"/>
    <w:rsid w:val="00137107"/>
    <w:rsid w:val="00145393"/>
    <w:rsid w:val="001512F2"/>
    <w:rsid w:val="00154022"/>
    <w:rsid w:val="00155E56"/>
    <w:rsid w:val="00157E88"/>
    <w:rsid w:val="0016082A"/>
    <w:rsid w:val="0016101C"/>
    <w:rsid w:val="00161E2A"/>
    <w:rsid w:val="00162BB8"/>
    <w:rsid w:val="001664ED"/>
    <w:rsid w:val="001665AB"/>
    <w:rsid w:val="00167BE9"/>
    <w:rsid w:val="00172F53"/>
    <w:rsid w:val="0017447C"/>
    <w:rsid w:val="00190997"/>
    <w:rsid w:val="00193C09"/>
    <w:rsid w:val="00196632"/>
    <w:rsid w:val="001A7656"/>
    <w:rsid w:val="001B0CCB"/>
    <w:rsid w:val="001B1257"/>
    <w:rsid w:val="001B34EE"/>
    <w:rsid w:val="001B7404"/>
    <w:rsid w:val="001C461E"/>
    <w:rsid w:val="001C7169"/>
    <w:rsid w:val="001D36C7"/>
    <w:rsid w:val="001D382A"/>
    <w:rsid w:val="001D7910"/>
    <w:rsid w:val="001E0AE6"/>
    <w:rsid w:val="001E1976"/>
    <w:rsid w:val="001E7B47"/>
    <w:rsid w:val="001F114E"/>
    <w:rsid w:val="001F6055"/>
    <w:rsid w:val="00202419"/>
    <w:rsid w:val="0020489B"/>
    <w:rsid w:val="00207597"/>
    <w:rsid w:val="0021523A"/>
    <w:rsid w:val="002158F7"/>
    <w:rsid w:val="0021786C"/>
    <w:rsid w:val="002265B1"/>
    <w:rsid w:val="00226A76"/>
    <w:rsid w:val="00234718"/>
    <w:rsid w:val="00235CBA"/>
    <w:rsid w:val="00237431"/>
    <w:rsid w:val="00243585"/>
    <w:rsid w:val="00250275"/>
    <w:rsid w:val="00252CAB"/>
    <w:rsid w:val="0026236B"/>
    <w:rsid w:val="00262718"/>
    <w:rsid w:val="00266FBB"/>
    <w:rsid w:val="00270C32"/>
    <w:rsid w:val="0027242A"/>
    <w:rsid w:val="00275343"/>
    <w:rsid w:val="00281E3B"/>
    <w:rsid w:val="00282FD2"/>
    <w:rsid w:val="00283938"/>
    <w:rsid w:val="00284A02"/>
    <w:rsid w:val="00285C00"/>
    <w:rsid w:val="0028647B"/>
    <w:rsid w:val="0028722E"/>
    <w:rsid w:val="002909E3"/>
    <w:rsid w:val="00291C8D"/>
    <w:rsid w:val="002A0186"/>
    <w:rsid w:val="002A150F"/>
    <w:rsid w:val="002A2EB9"/>
    <w:rsid w:val="002A4C89"/>
    <w:rsid w:val="002A5A53"/>
    <w:rsid w:val="002A5FEE"/>
    <w:rsid w:val="002A67FD"/>
    <w:rsid w:val="002A7EE1"/>
    <w:rsid w:val="002B632B"/>
    <w:rsid w:val="002B6790"/>
    <w:rsid w:val="002B6AE4"/>
    <w:rsid w:val="002B7CC7"/>
    <w:rsid w:val="002C1162"/>
    <w:rsid w:val="002C19A7"/>
    <w:rsid w:val="002C7F61"/>
    <w:rsid w:val="002D6FE9"/>
    <w:rsid w:val="002E1EEC"/>
    <w:rsid w:val="002E5960"/>
    <w:rsid w:val="002F1A2B"/>
    <w:rsid w:val="002F383D"/>
    <w:rsid w:val="002F4974"/>
    <w:rsid w:val="00301271"/>
    <w:rsid w:val="003037FF"/>
    <w:rsid w:val="003178ED"/>
    <w:rsid w:val="003203DE"/>
    <w:rsid w:val="0032176D"/>
    <w:rsid w:val="0032296D"/>
    <w:rsid w:val="0032339A"/>
    <w:rsid w:val="003259FF"/>
    <w:rsid w:val="00331751"/>
    <w:rsid w:val="00350B00"/>
    <w:rsid w:val="00351EDF"/>
    <w:rsid w:val="00362666"/>
    <w:rsid w:val="00362E6B"/>
    <w:rsid w:val="00363E79"/>
    <w:rsid w:val="00364858"/>
    <w:rsid w:val="00365F9E"/>
    <w:rsid w:val="00366DC2"/>
    <w:rsid w:val="003745FA"/>
    <w:rsid w:val="00381FCA"/>
    <w:rsid w:val="00384EBF"/>
    <w:rsid w:val="0038577E"/>
    <w:rsid w:val="003902A4"/>
    <w:rsid w:val="00390558"/>
    <w:rsid w:val="003A111E"/>
    <w:rsid w:val="003A3F04"/>
    <w:rsid w:val="003A78B5"/>
    <w:rsid w:val="003B00CD"/>
    <w:rsid w:val="003B1F87"/>
    <w:rsid w:val="003B2546"/>
    <w:rsid w:val="003B5189"/>
    <w:rsid w:val="003C28D3"/>
    <w:rsid w:val="003C6844"/>
    <w:rsid w:val="003C7ECE"/>
    <w:rsid w:val="003D2848"/>
    <w:rsid w:val="003D5266"/>
    <w:rsid w:val="003D6602"/>
    <w:rsid w:val="003D7B6F"/>
    <w:rsid w:val="003E28CA"/>
    <w:rsid w:val="003E369F"/>
    <w:rsid w:val="003F0E8F"/>
    <w:rsid w:val="003F3787"/>
    <w:rsid w:val="003F5C47"/>
    <w:rsid w:val="003F7D47"/>
    <w:rsid w:val="004001BD"/>
    <w:rsid w:val="00405F15"/>
    <w:rsid w:val="004137BA"/>
    <w:rsid w:val="004146F6"/>
    <w:rsid w:val="004152C5"/>
    <w:rsid w:val="00421329"/>
    <w:rsid w:val="00424A45"/>
    <w:rsid w:val="00427232"/>
    <w:rsid w:val="00431263"/>
    <w:rsid w:val="00433F19"/>
    <w:rsid w:val="00450828"/>
    <w:rsid w:val="00454526"/>
    <w:rsid w:val="00456398"/>
    <w:rsid w:val="00461601"/>
    <w:rsid w:val="00463612"/>
    <w:rsid w:val="004768CB"/>
    <w:rsid w:val="004859E5"/>
    <w:rsid w:val="00491375"/>
    <w:rsid w:val="00496FDC"/>
    <w:rsid w:val="004A3816"/>
    <w:rsid w:val="004A5818"/>
    <w:rsid w:val="004A6671"/>
    <w:rsid w:val="004B3092"/>
    <w:rsid w:val="004C0853"/>
    <w:rsid w:val="004C128C"/>
    <w:rsid w:val="004C704A"/>
    <w:rsid w:val="004D088D"/>
    <w:rsid w:val="004D2D58"/>
    <w:rsid w:val="004D5BD3"/>
    <w:rsid w:val="004E0DBF"/>
    <w:rsid w:val="004E2381"/>
    <w:rsid w:val="004E5160"/>
    <w:rsid w:val="004E6CAC"/>
    <w:rsid w:val="004F4F36"/>
    <w:rsid w:val="004F72B8"/>
    <w:rsid w:val="004F7CF9"/>
    <w:rsid w:val="004F7D4C"/>
    <w:rsid w:val="00503303"/>
    <w:rsid w:val="005051AC"/>
    <w:rsid w:val="0051287C"/>
    <w:rsid w:val="005167E3"/>
    <w:rsid w:val="0051755F"/>
    <w:rsid w:val="005204D9"/>
    <w:rsid w:val="0052141A"/>
    <w:rsid w:val="00525F44"/>
    <w:rsid w:val="005272FF"/>
    <w:rsid w:val="0054668C"/>
    <w:rsid w:val="005479CC"/>
    <w:rsid w:val="0056285F"/>
    <w:rsid w:val="005671B7"/>
    <w:rsid w:val="00584599"/>
    <w:rsid w:val="005865CD"/>
    <w:rsid w:val="005869C8"/>
    <w:rsid w:val="005911B2"/>
    <w:rsid w:val="00593585"/>
    <w:rsid w:val="005965E1"/>
    <w:rsid w:val="005A5EE6"/>
    <w:rsid w:val="005A6290"/>
    <w:rsid w:val="005A6865"/>
    <w:rsid w:val="005B1938"/>
    <w:rsid w:val="005B242C"/>
    <w:rsid w:val="005B4203"/>
    <w:rsid w:val="005B5353"/>
    <w:rsid w:val="005B69A5"/>
    <w:rsid w:val="005C03BD"/>
    <w:rsid w:val="005C1392"/>
    <w:rsid w:val="005C5871"/>
    <w:rsid w:val="005D418B"/>
    <w:rsid w:val="005D5037"/>
    <w:rsid w:val="005E0067"/>
    <w:rsid w:val="005E19F5"/>
    <w:rsid w:val="005E6B03"/>
    <w:rsid w:val="005F1CC1"/>
    <w:rsid w:val="005F5536"/>
    <w:rsid w:val="005F79BD"/>
    <w:rsid w:val="006035F5"/>
    <w:rsid w:val="006078C9"/>
    <w:rsid w:val="006142AF"/>
    <w:rsid w:val="0061512A"/>
    <w:rsid w:val="00617164"/>
    <w:rsid w:val="006177F7"/>
    <w:rsid w:val="00621F06"/>
    <w:rsid w:val="0062234A"/>
    <w:rsid w:val="00623FA6"/>
    <w:rsid w:val="00625A85"/>
    <w:rsid w:val="00627676"/>
    <w:rsid w:val="00636B24"/>
    <w:rsid w:val="00641D33"/>
    <w:rsid w:val="0065095A"/>
    <w:rsid w:val="00652384"/>
    <w:rsid w:val="0065244F"/>
    <w:rsid w:val="00660174"/>
    <w:rsid w:val="006669B4"/>
    <w:rsid w:val="00666D4D"/>
    <w:rsid w:val="00672E7D"/>
    <w:rsid w:val="00682E08"/>
    <w:rsid w:val="006929EC"/>
    <w:rsid w:val="0069506C"/>
    <w:rsid w:val="006967EC"/>
    <w:rsid w:val="00696DAF"/>
    <w:rsid w:val="006B0C46"/>
    <w:rsid w:val="006B37D6"/>
    <w:rsid w:val="006C3A33"/>
    <w:rsid w:val="006D4DCA"/>
    <w:rsid w:val="006D7BF0"/>
    <w:rsid w:val="006F0753"/>
    <w:rsid w:val="006F0B5A"/>
    <w:rsid w:val="006F10B6"/>
    <w:rsid w:val="006F2157"/>
    <w:rsid w:val="006F293A"/>
    <w:rsid w:val="006F363A"/>
    <w:rsid w:val="006F6C86"/>
    <w:rsid w:val="006F7F07"/>
    <w:rsid w:val="007048E2"/>
    <w:rsid w:val="0070535C"/>
    <w:rsid w:val="0072272F"/>
    <w:rsid w:val="00724707"/>
    <w:rsid w:val="0073154A"/>
    <w:rsid w:val="007323A0"/>
    <w:rsid w:val="00735B69"/>
    <w:rsid w:val="007376C8"/>
    <w:rsid w:val="007415B3"/>
    <w:rsid w:val="00745999"/>
    <w:rsid w:val="0074622E"/>
    <w:rsid w:val="007468DA"/>
    <w:rsid w:val="00754646"/>
    <w:rsid w:val="00754EC1"/>
    <w:rsid w:val="007621CF"/>
    <w:rsid w:val="0076324A"/>
    <w:rsid w:val="00770A79"/>
    <w:rsid w:val="0077118D"/>
    <w:rsid w:val="00776855"/>
    <w:rsid w:val="00777032"/>
    <w:rsid w:val="00780CE9"/>
    <w:rsid w:val="00781FD7"/>
    <w:rsid w:val="00787AF4"/>
    <w:rsid w:val="00790304"/>
    <w:rsid w:val="0079113D"/>
    <w:rsid w:val="00792629"/>
    <w:rsid w:val="00795673"/>
    <w:rsid w:val="00795C16"/>
    <w:rsid w:val="007A022B"/>
    <w:rsid w:val="007A357D"/>
    <w:rsid w:val="007A474F"/>
    <w:rsid w:val="007B2475"/>
    <w:rsid w:val="007B288C"/>
    <w:rsid w:val="007B5EDA"/>
    <w:rsid w:val="007C39ED"/>
    <w:rsid w:val="007D26BC"/>
    <w:rsid w:val="007E0988"/>
    <w:rsid w:val="007E1C5D"/>
    <w:rsid w:val="007F0B97"/>
    <w:rsid w:val="007F3511"/>
    <w:rsid w:val="007F4FC8"/>
    <w:rsid w:val="00806831"/>
    <w:rsid w:val="00807DEE"/>
    <w:rsid w:val="00812C89"/>
    <w:rsid w:val="00815826"/>
    <w:rsid w:val="00815B0D"/>
    <w:rsid w:val="0083095E"/>
    <w:rsid w:val="00833B16"/>
    <w:rsid w:val="00834891"/>
    <w:rsid w:val="008511BE"/>
    <w:rsid w:val="00853AF8"/>
    <w:rsid w:val="00853E57"/>
    <w:rsid w:val="008637D2"/>
    <w:rsid w:val="00866410"/>
    <w:rsid w:val="00871D7E"/>
    <w:rsid w:val="00881866"/>
    <w:rsid w:val="00883151"/>
    <w:rsid w:val="00884F95"/>
    <w:rsid w:val="00886948"/>
    <w:rsid w:val="00887317"/>
    <w:rsid w:val="00892C95"/>
    <w:rsid w:val="008954B2"/>
    <w:rsid w:val="008A493F"/>
    <w:rsid w:val="008A558D"/>
    <w:rsid w:val="008A5D44"/>
    <w:rsid w:val="008A5FC1"/>
    <w:rsid w:val="008A6132"/>
    <w:rsid w:val="008B20C4"/>
    <w:rsid w:val="008B2154"/>
    <w:rsid w:val="008B5145"/>
    <w:rsid w:val="008B6B50"/>
    <w:rsid w:val="008C3657"/>
    <w:rsid w:val="008C6F8C"/>
    <w:rsid w:val="008C73DE"/>
    <w:rsid w:val="008D1868"/>
    <w:rsid w:val="008D1D8E"/>
    <w:rsid w:val="008D2205"/>
    <w:rsid w:val="008D3275"/>
    <w:rsid w:val="008D4EC7"/>
    <w:rsid w:val="008D619A"/>
    <w:rsid w:val="008D67EC"/>
    <w:rsid w:val="008E2827"/>
    <w:rsid w:val="008E3522"/>
    <w:rsid w:val="008E3BDE"/>
    <w:rsid w:val="00904BC2"/>
    <w:rsid w:val="009068F2"/>
    <w:rsid w:val="0091613B"/>
    <w:rsid w:val="009210B3"/>
    <w:rsid w:val="00922389"/>
    <w:rsid w:val="00924C5D"/>
    <w:rsid w:val="00930B5A"/>
    <w:rsid w:val="00931D1B"/>
    <w:rsid w:val="0093379C"/>
    <w:rsid w:val="00935070"/>
    <w:rsid w:val="00940B6B"/>
    <w:rsid w:val="00941333"/>
    <w:rsid w:val="009441D2"/>
    <w:rsid w:val="00951447"/>
    <w:rsid w:val="00954F82"/>
    <w:rsid w:val="00955279"/>
    <w:rsid w:val="009622FF"/>
    <w:rsid w:val="00967AEF"/>
    <w:rsid w:val="009733EC"/>
    <w:rsid w:val="009742FF"/>
    <w:rsid w:val="009809BA"/>
    <w:rsid w:val="009811A6"/>
    <w:rsid w:val="009843E1"/>
    <w:rsid w:val="009936E3"/>
    <w:rsid w:val="00993E47"/>
    <w:rsid w:val="009955E5"/>
    <w:rsid w:val="009A128F"/>
    <w:rsid w:val="009A26D0"/>
    <w:rsid w:val="009A6B04"/>
    <w:rsid w:val="009B6191"/>
    <w:rsid w:val="009C6E8B"/>
    <w:rsid w:val="009C77EA"/>
    <w:rsid w:val="009D0222"/>
    <w:rsid w:val="009D3B55"/>
    <w:rsid w:val="009E1791"/>
    <w:rsid w:val="009E4BE5"/>
    <w:rsid w:val="009E5D06"/>
    <w:rsid w:val="009E75F7"/>
    <w:rsid w:val="009F1D19"/>
    <w:rsid w:val="009F24C0"/>
    <w:rsid w:val="00A005A0"/>
    <w:rsid w:val="00A0489F"/>
    <w:rsid w:val="00A05154"/>
    <w:rsid w:val="00A12512"/>
    <w:rsid w:val="00A12FBA"/>
    <w:rsid w:val="00A227D7"/>
    <w:rsid w:val="00A24826"/>
    <w:rsid w:val="00A25FB2"/>
    <w:rsid w:val="00A31886"/>
    <w:rsid w:val="00A3365D"/>
    <w:rsid w:val="00A34518"/>
    <w:rsid w:val="00A44770"/>
    <w:rsid w:val="00A50739"/>
    <w:rsid w:val="00A51C39"/>
    <w:rsid w:val="00A51FD6"/>
    <w:rsid w:val="00A6007E"/>
    <w:rsid w:val="00A63691"/>
    <w:rsid w:val="00A6371C"/>
    <w:rsid w:val="00A64B2C"/>
    <w:rsid w:val="00A706B3"/>
    <w:rsid w:val="00A74BF3"/>
    <w:rsid w:val="00A833A8"/>
    <w:rsid w:val="00A876FF"/>
    <w:rsid w:val="00A917D1"/>
    <w:rsid w:val="00AA05AF"/>
    <w:rsid w:val="00AA2FA8"/>
    <w:rsid w:val="00AA4A84"/>
    <w:rsid w:val="00AB0ABC"/>
    <w:rsid w:val="00AB12B1"/>
    <w:rsid w:val="00AB6289"/>
    <w:rsid w:val="00AD07D4"/>
    <w:rsid w:val="00AD3977"/>
    <w:rsid w:val="00AD5B2D"/>
    <w:rsid w:val="00AD74EF"/>
    <w:rsid w:val="00AF0CFA"/>
    <w:rsid w:val="00AF1B12"/>
    <w:rsid w:val="00AF249A"/>
    <w:rsid w:val="00B01A50"/>
    <w:rsid w:val="00B023A0"/>
    <w:rsid w:val="00B03E32"/>
    <w:rsid w:val="00B07D0C"/>
    <w:rsid w:val="00B145DD"/>
    <w:rsid w:val="00B221EE"/>
    <w:rsid w:val="00B22E7A"/>
    <w:rsid w:val="00B409B4"/>
    <w:rsid w:val="00B447E8"/>
    <w:rsid w:val="00B45FD1"/>
    <w:rsid w:val="00B54A4C"/>
    <w:rsid w:val="00B56666"/>
    <w:rsid w:val="00B57CBE"/>
    <w:rsid w:val="00B614FA"/>
    <w:rsid w:val="00B65891"/>
    <w:rsid w:val="00B82B54"/>
    <w:rsid w:val="00B93A1B"/>
    <w:rsid w:val="00B93FFE"/>
    <w:rsid w:val="00B96553"/>
    <w:rsid w:val="00B9787A"/>
    <w:rsid w:val="00BA1DBB"/>
    <w:rsid w:val="00BA4636"/>
    <w:rsid w:val="00BA66D0"/>
    <w:rsid w:val="00BB6B12"/>
    <w:rsid w:val="00BD31C0"/>
    <w:rsid w:val="00BD593D"/>
    <w:rsid w:val="00BE735C"/>
    <w:rsid w:val="00C007DB"/>
    <w:rsid w:val="00C022DE"/>
    <w:rsid w:val="00C06562"/>
    <w:rsid w:val="00C0675A"/>
    <w:rsid w:val="00C06E90"/>
    <w:rsid w:val="00C21FA5"/>
    <w:rsid w:val="00C24117"/>
    <w:rsid w:val="00C3321F"/>
    <w:rsid w:val="00C3782B"/>
    <w:rsid w:val="00C41466"/>
    <w:rsid w:val="00C444F4"/>
    <w:rsid w:val="00C51600"/>
    <w:rsid w:val="00C611CD"/>
    <w:rsid w:val="00C61790"/>
    <w:rsid w:val="00C62C5D"/>
    <w:rsid w:val="00C6617D"/>
    <w:rsid w:val="00C6623B"/>
    <w:rsid w:val="00C66C5F"/>
    <w:rsid w:val="00C70F25"/>
    <w:rsid w:val="00C729DE"/>
    <w:rsid w:val="00C755B2"/>
    <w:rsid w:val="00C77CD2"/>
    <w:rsid w:val="00C8043E"/>
    <w:rsid w:val="00C80CA7"/>
    <w:rsid w:val="00C814D7"/>
    <w:rsid w:val="00C83068"/>
    <w:rsid w:val="00C84D50"/>
    <w:rsid w:val="00C87092"/>
    <w:rsid w:val="00C87BE6"/>
    <w:rsid w:val="00C90426"/>
    <w:rsid w:val="00C95F83"/>
    <w:rsid w:val="00CA16D8"/>
    <w:rsid w:val="00CA50FF"/>
    <w:rsid w:val="00CB22E5"/>
    <w:rsid w:val="00CB7A72"/>
    <w:rsid w:val="00CC08A7"/>
    <w:rsid w:val="00CC16CC"/>
    <w:rsid w:val="00CC1996"/>
    <w:rsid w:val="00CC1E39"/>
    <w:rsid w:val="00CD48CB"/>
    <w:rsid w:val="00CD4B0E"/>
    <w:rsid w:val="00CD63E8"/>
    <w:rsid w:val="00CD668F"/>
    <w:rsid w:val="00CD7B3F"/>
    <w:rsid w:val="00CE2B7A"/>
    <w:rsid w:val="00CE6DC5"/>
    <w:rsid w:val="00CF0CD7"/>
    <w:rsid w:val="00CF1591"/>
    <w:rsid w:val="00CF60D3"/>
    <w:rsid w:val="00CF67EA"/>
    <w:rsid w:val="00D01EC0"/>
    <w:rsid w:val="00D178DA"/>
    <w:rsid w:val="00D17F52"/>
    <w:rsid w:val="00D4049F"/>
    <w:rsid w:val="00D44D99"/>
    <w:rsid w:val="00D50BD0"/>
    <w:rsid w:val="00D55B1A"/>
    <w:rsid w:val="00D578C8"/>
    <w:rsid w:val="00D61041"/>
    <w:rsid w:val="00D61816"/>
    <w:rsid w:val="00D732EB"/>
    <w:rsid w:val="00D741EB"/>
    <w:rsid w:val="00D75FBE"/>
    <w:rsid w:val="00D77F63"/>
    <w:rsid w:val="00D800A8"/>
    <w:rsid w:val="00D85516"/>
    <w:rsid w:val="00D90E05"/>
    <w:rsid w:val="00D93D49"/>
    <w:rsid w:val="00D94D7E"/>
    <w:rsid w:val="00D95C05"/>
    <w:rsid w:val="00D96DD3"/>
    <w:rsid w:val="00D97D51"/>
    <w:rsid w:val="00DA064A"/>
    <w:rsid w:val="00DA4675"/>
    <w:rsid w:val="00DB2CF5"/>
    <w:rsid w:val="00DC1AA9"/>
    <w:rsid w:val="00DC1D16"/>
    <w:rsid w:val="00DC23B6"/>
    <w:rsid w:val="00DC7CFA"/>
    <w:rsid w:val="00DD18C1"/>
    <w:rsid w:val="00DD7763"/>
    <w:rsid w:val="00DE4928"/>
    <w:rsid w:val="00DE522B"/>
    <w:rsid w:val="00DF0166"/>
    <w:rsid w:val="00DF1FD9"/>
    <w:rsid w:val="00DF234F"/>
    <w:rsid w:val="00DF4ABE"/>
    <w:rsid w:val="00E07168"/>
    <w:rsid w:val="00E12FB8"/>
    <w:rsid w:val="00E14B31"/>
    <w:rsid w:val="00E16174"/>
    <w:rsid w:val="00E30CD4"/>
    <w:rsid w:val="00E3579C"/>
    <w:rsid w:val="00E35AB3"/>
    <w:rsid w:val="00E61408"/>
    <w:rsid w:val="00E6458A"/>
    <w:rsid w:val="00E6588A"/>
    <w:rsid w:val="00E6652F"/>
    <w:rsid w:val="00E73DFD"/>
    <w:rsid w:val="00E759FC"/>
    <w:rsid w:val="00E84876"/>
    <w:rsid w:val="00E96921"/>
    <w:rsid w:val="00E9692C"/>
    <w:rsid w:val="00E96D01"/>
    <w:rsid w:val="00E96F72"/>
    <w:rsid w:val="00E9746B"/>
    <w:rsid w:val="00EA0944"/>
    <w:rsid w:val="00EA10F9"/>
    <w:rsid w:val="00EA6245"/>
    <w:rsid w:val="00EA669E"/>
    <w:rsid w:val="00EA7E27"/>
    <w:rsid w:val="00EB2428"/>
    <w:rsid w:val="00EB304E"/>
    <w:rsid w:val="00EB372F"/>
    <w:rsid w:val="00EB7DFC"/>
    <w:rsid w:val="00EC01D0"/>
    <w:rsid w:val="00EC2466"/>
    <w:rsid w:val="00EC747A"/>
    <w:rsid w:val="00ED3681"/>
    <w:rsid w:val="00ED4F5C"/>
    <w:rsid w:val="00ED6920"/>
    <w:rsid w:val="00EF4118"/>
    <w:rsid w:val="00F02C72"/>
    <w:rsid w:val="00F10161"/>
    <w:rsid w:val="00F17D00"/>
    <w:rsid w:val="00F2319A"/>
    <w:rsid w:val="00F233D8"/>
    <w:rsid w:val="00F2389D"/>
    <w:rsid w:val="00F24A83"/>
    <w:rsid w:val="00F2580A"/>
    <w:rsid w:val="00F273EF"/>
    <w:rsid w:val="00F34923"/>
    <w:rsid w:val="00F37DE5"/>
    <w:rsid w:val="00F46DCB"/>
    <w:rsid w:val="00F47906"/>
    <w:rsid w:val="00F50424"/>
    <w:rsid w:val="00F538E8"/>
    <w:rsid w:val="00F53BC9"/>
    <w:rsid w:val="00F54008"/>
    <w:rsid w:val="00F621C9"/>
    <w:rsid w:val="00F630A5"/>
    <w:rsid w:val="00F6408F"/>
    <w:rsid w:val="00F64CD1"/>
    <w:rsid w:val="00F744D8"/>
    <w:rsid w:val="00F751A1"/>
    <w:rsid w:val="00F77CB4"/>
    <w:rsid w:val="00F85037"/>
    <w:rsid w:val="00F925C0"/>
    <w:rsid w:val="00FA166E"/>
    <w:rsid w:val="00FB0431"/>
    <w:rsid w:val="00FB1872"/>
    <w:rsid w:val="00FB3C32"/>
    <w:rsid w:val="00FB61FC"/>
    <w:rsid w:val="00FC0774"/>
    <w:rsid w:val="00FC6659"/>
    <w:rsid w:val="00FC7363"/>
    <w:rsid w:val="00FD11C4"/>
    <w:rsid w:val="00FD2CB7"/>
    <w:rsid w:val="00FD3B64"/>
    <w:rsid w:val="00FD3D47"/>
    <w:rsid w:val="00FE205E"/>
    <w:rsid w:val="00FF0E66"/>
    <w:rsid w:val="00FF2770"/>
    <w:rsid w:val="00FF7EC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72E784-8C3E-4340-A3C8-B37C630E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5B1938"/>
    <w:pPr>
      <w:spacing w:after="200" w:line="276" w:lineRule="auto"/>
    </w:pPr>
    <w:rPr>
      <w:lang w:val="en-US" w:eastAsia="en-US"/>
    </w:rPr>
  </w:style>
  <w:style w:type="paragraph" w:styleId="Heading1">
    <w:name w:val="heading 1"/>
    <w:basedOn w:val="Normal"/>
    <w:next w:val="Normal"/>
    <w:link w:val="Heading1Char"/>
    <w:uiPriority w:val="9"/>
    <w:rsid w:val="005B19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938"/>
    <w:rPr>
      <w:rFonts w:asciiTheme="majorHAnsi" w:eastAsiaTheme="majorEastAsia" w:hAnsiTheme="majorHAnsi" w:cstheme="majorBidi"/>
      <w:color w:val="2E74B5" w:themeColor="accent1" w:themeShade="BF"/>
      <w:sz w:val="32"/>
      <w:szCs w:val="32"/>
      <w:lang w:val="en-US" w:eastAsia="en-US"/>
    </w:rPr>
  </w:style>
  <w:style w:type="paragraph" w:customStyle="1" w:styleId="01Title">
    <w:name w:val="01. Title"/>
    <w:basedOn w:val="Normal"/>
    <w:next w:val="02Author"/>
    <w:qFormat/>
    <w:rsid w:val="005B1938"/>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5B1938"/>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0"/>
    <w:qFormat/>
    <w:rsid w:val="005B1938"/>
    <w:pPr>
      <w:spacing w:before="0"/>
      <w:ind w:firstLine="288"/>
    </w:pPr>
  </w:style>
  <w:style w:type="paragraph" w:customStyle="1" w:styleId="03AuthorAffiliation">
    <w:name w:val="03. Author Affiliation"/>
    <w:basedOn w:val="NoSpacing"/>
    <w:next w:val="04Email"/>
    <w:qFormat/>
    <w:rsid w:val="005B1938"/>
    <w:rPr>
      <w:rFonts w:ascii="Times New Roman" w:hAnsi="Times New Roman"/>
      <w:i/>
      <w:sz w:val="18"/>
    </w:rPr>
  </w:style>
  <w:style w:type="paragraph" w:customStyle="1" w:styleId="02Author-OE">
    <w:name w:val="02. Author - OE"/>
    <w:basedOn w:val="02Author-BOE"/>
    <w:next w:val="03AuthorAffiliation"/>
    <w:qFormat/>
    <w:rsid w:val="005B1938"/>
    <w:rPr>
      <w:color w:val="943634"/>
    </w:rPr>
  </w:style>
  <w:style w:type="paragraph" w:styleId="NoSpacing">
    <w:name w:val="No Spacing"/>
    <w:uiPriority w:val="1"/>
    <w:rsid w:val="005B1938"/>
    <w:pPr>
      <w:spacing w:after="0" w:line="240" w:lineRule="auto"/>
    </w:pPr>
    <w:rPr>
      <w:lang w:val="en-US" w:eastAsia="en-US"/>
    </w:rPr>
  </w:style>
  <w:style w:type="paragraph" w:customStyle="1" w:styleId="02Author-OME">
    <w:name w:val="02. Author - OME"/>
    <w:basedOn w:val="02Author-BOE"/>
    <w:next w:val="03AuthorAffiliation"/>
    <w:qFormat/>
    <w:rsid w:val="005B1938"/>
    <w:rPr>
      <w:color w:val="1478B6"/>
    </w:rPr>
  </w:style>
  <w:style w:type="paragraph" w:customStyle="1" w:styleId="04Email">
    <w:name w:val="04. Email"/>
    <w:basedOn w:val="03AuthorAffiliation"/>
    <w:next w:val="06AbstractBody"/>
    <w:qFormat/>
    <w:rsid w:val="005B1938"/>
    <w:rPr>
      <w:color w:val="2E2EB1"/>
    </w:rPr>
  </w:style>
  <w:style w:type="paragraph" w:customStyle="1" w:styleId="25ReferenceSectionHeader">
    <w:name w:val="25. Reference Section Header"/>
    <w:next w:val="26References"/>
    <w:qFormat/>
    <w:rsid w:val="005B1938"/>
    <w:pPr>
      <w:spacing w:before="120" w:after="120" w:line="240" w:lineRule="auto"/>
    </w:pPr>
    <w:rPr>
      <w:rFonts w:ascii="Arial" w:hAnsi="Arial"/>
      <w:b/>
      <w:sz w:val="18"/>
      <w:lang w:val="en-US" w:eastAsia="en-US"/>
    </w:rPr>
  </w:style>
  <w:style w:type="paragraph" w:customStyle="1" w:styleId="06AbstractBody">
    <w:name w:val="06. Abstract Body"/>
    <w:next w:val="07Copyright"/>
    <w:link w:val="06AbstractBody0"/>
    <w:qFormat/>
    <w:rsid w:val="005B1938"/>
    <w:pPr>
      <w:spacing w:before="240" w:after="0" w:line="240" w:lineRule="auto"/>
      <w:jc w:val="both"/>
    </w:pPr>
    <w:rPr>
      <w:rFonts w:ascii="Times New Roman" w:hAnsi="Times New Roman"/>
      <w:color w:val="000000" w:themeColor="text1"/>
      <w:sz w:val="20"/>
      <w:lang w:val="en-US" w:eastAsia="en-US"/>
    </w:rPr>
  </w:style>
  <w:style w:type="paragraph" w:customStyle="1" w:styleId="07Copyright">
    <w:name w:val="07. Copyright"/>
    <w:basedOn w:val="06AbstractBody"/>
    <w:next w:val="08SectionHeader1"/>
    <w:qFormat/>
    <w:rsid w:val="005B1938"/>
    <w:pPr>
      <w:spacing w:after="240"/>
    </w:pPr>
    <w:rPr>
      <w:rFonts w:ascii="Arial" w:hAnsi="Arial"/>
      <w:sz w:val="16"/>
    </w:rPr>
  </w:style>
  <w:style w:type="paragraph" w:customStyle="1" w:styleId="26References">
    <w:name w:val="26. References"/>
    <w:qFormat/>
    <w:rsid w:val="005B1938"/>
    <w:pPr>
      <w:numPr>
        <w:numId w:val="1"/>
      </w:numPr>
      <w:spacing w:after="0" w:line="240" w:lineRule="auto"/>
    </w:pPr>
    <w:rPr>
      <w:rFonts w:ascii="Times New Roman" w:hAnsi="Times New Roman"/>
      <w:sz w:val="16"/>
      <w:lang w:val="en-US" w:eastAsia="en-US"/>
    </w:rPr>
  </w:style>
  <w:style w:type="paragraph" w:customStyle="1" w:styleId="08SectionHeader1">
    <w:name w:val="08 Section Header 1"/>
    <w:next w:val="09BodyFirstParagraph"/>
    <w:qFormat/>
    <w:rsid w:val="005B1938"/>
    <w:pPr>
      <w:numPr>
        <w:numId w:val="5"/>
      </w:numPr>
      <w:spacing w:before="120" w:after="0" w:line="240" w:lineRule="auto"/>
    </w:pPr>
    <w:rPr>
      <w:rFonts w:ascii="Arial" w:hAnsi="Arial"/>
      <w:b/>
      <w:sz w:val="20"/>
      <w:lang w:val="en-US" w:eastAsia="en-US"/>
    </w:rPr>
  </w:style>
  <w:style w:type="paragraph" w:customStyle="1" w:styleId="09BodyFirstParagraph">
    <w:name w:val="09. Body First Paragraph"/>
    <w:basedOn w:val="06AbstractBody"/>
    <w:next w:val="10BodySubsequentParagraph"/>
    <w:link w:val="09BodyFirstParagraph0"/>
    <w:qFormat/>
    <w:rsid w:val="005B1938"/>
    <w:pPr>
      <w:spacing w:before="120"/>
    </w:pPr>
  </w:style>
  <w:style w:type="paragraph" w:customStyle="1" w:styleId="08SectionHeader2">
    <w:name w:val="08. Section Header 2"/>
    <w:basedOn w:val="08SectionHeader1"/>
    <w:next w:val="09BodyFirstParagraph"/>
    <w:qFormat/>
    <w:rsid w:val="005B1938"/>
    <w:pPr>
      <w:numPr>
        <w:numId w:val="0"/>
      </w:numPr>
    </w:pPr>
    <w:rPr>
      <w:b w:val="0"/>
      <w:i/>
    </w:rPr>
  </w:style>
  <w:style w:type="character" w:styleId="CommentReference">
    <w:name w:val="annotation reference"/>
    <w:basedOn w:val="DefaultParagraphFont"/>
    <w:uiPriority w:val="99"/>
    <w:semiHidden/>
    <w:unhideWhenUsed/>
    <w:rsid w:val="005B1938"/>
    <w:rPr>
      <w:sz w:val="16"/>
      <w:szCs w:val="16"/>
    </w:rPr>
  </w:style>
  <w:style w:type="paragraph" w:styleId="CommentText">
    <w:name w:val="annotation text"/>
    <w:basedOn w:val="Normal"/>
    <w:link w:val="CommentTextChar"/>
    <w:uiPriority w:val="99"/>
    <w:semiHidden/>
    <w:unhideWhenUsed/>
    <w:rsid w:val="005B1938"/>
    <w:pPr>
      <w:spacing w:line="240" w:lineRule="auto"/>
    </w:pPr>
    <w:rPr>
      <w:sz w:val="20"/>
      <w:szCs w:val="20"/>
    </w:rPr>
  </w:style>
  <w:style w:type="character" w:customStyle="1" w:styleId="CommentTextChar">
    <w:name w:val="Comment Text Char"/>
    <w:basedOn w:val="DefaultParagraphFont"/>
    <w:link w:val="CommentText"/>
    <w:uiPriority w:val="99"/>
    <w:semiHidden/>
    <w:rsid w:val="005B1938"/>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5B1938"/>
    <w:rPr>
      <w:b/>
      <w:bCs/>
    </w:rPr>
  </w:style>
  <w:style w:type="character" w:customStyle="1" w:styleId="CommentSubjectChar">
    <w:name w:val="Comment Subject Char"/>
    <w:basedOn w:val="CommentTextChar"/>
    <w:link w:val="CommentSubject"/>
    <w:uiPriority w:val="99"/>
    <w:semiHidden/>
    <w:rsid w:val="005B1938"/>
    <w:rPr>
      <w:b/>
      <w:bCs/>
      <w:sz w:val="20"/>
      <w:szCs w:val="20"/>
      <w:lang w:val="en-US" w:eastAsia="en-US"/>
    </w:rPr>
  </w:style>
  <w:style w:type="paragraph" w:styleId="BalloonText">
    <w:name w:val="Balloon Text"/>
    <w:basedOn w:val="Normal"/>
    <w:link w:val="BalloonTextChar"/>
    <w:uiPriority w:val="99"/>
    <w:semiHidden/>
    <w:unhideWhenUsed/>
    <w:rsid w:val="005B1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938"/>
    <w:rPr>
      <w:rFonts w:ascii="Tahoma" w:hAnsi="Tahoma" w:cs="Tahoma"/>
      <w:sz w:val="16"/>
      <w:szCs w:val="16"/>
      <w:lang w:val="en-US" w:eastAsia="en-US"/>
    </w:rPr>
  </w:style>
  <w:style w:type="paragraph" w:customStyle="1" w:styleId="08SectionHeader3">
    <w:name w:val="08. Section Header 3"/>
    <w:basedOn w:val="08SectionHeader2"/>
    <w:next w:val="09BodyFirstParagraph"/>
    <w:qFormat/>
    <w:rsid w:val="005B1938"/>
    <w:rPr>
      <w:i w:val="0"/>
    </w:rPr>
  </w:style>
  <w:style w:type="paragraph" w:customStyle="1" w:styleId="20FundingSectionHeader">
    <w:name w:val="20. Funding Section Header"/>
    <w:basedOn w:val="08SectionHeader1"/>
    <w:next w:val="21AcknowledgmentsSectionHeader"/>
    <w:qFormat/>
    <w:rsid w:val="005B1938"/>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5B1938"/>
  </w:style>
  <w:style w:type="paragraph" w:customStyle="1" w:styleId="12FigureCaptionShort">
    <w:name w:val="12. Figure Caption Short"/>
    <w:basedOn w:val="09BodyFirstParagraph"/>
    <w:next w:val="10BodySubsequentParagraph"/>
    <w:qFormat/>
    <w:rsid w:val="005B1938"/>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5B1938"/>
    <w:pPr>
      <w:jc w:val="both"/>
    </w:pPr>
  </w:style>
  <w:style w:type="paragraph" w:customStyle="1" w:styleId="14TableCaption">
    <w:name w:val="14. Table Caption"/>
    <w:basedOn w:val="09BodyFirstParagraph"/>
    <w:next w:val="15TableBody"/>
    <w:qFormat/>
    <w:rsid w:val="005B1938"/>
    <w:pPr>
      <w:spacing w:before="240" w:after="160"/>
      <w:jc w:val="center"/>
    </w:pPr>
    <w:rPr>
      <w:b/>
      <w:sz w:val="16"/>
    </w:rPr>
  </w:style>
  <w:style w:type="paragraph" w:customStyle="1" w:styleId="13Equation">
    <w:name w:val="13. Equation"/>
    <w:basedOn w:val="10BodySubsequentParagraph"/>
    <w:next w:val="10BodySubsequentParagraph"/>
    <w:qFormat/>
    <w:rsid w:val="005B1938"/>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5B1938"/>
    <w:pPr>
      <w:spacing w:after="120"/>
    </w:pPr>
    <w:rPr>
      <w:sz w:val="16"/>
    </w:rPr>
  </w:style>
  <w:style w:type="paragraph" w:customStyle="1" w:styleId="15TableBody">
    <w:name w:val="15. Table Body"/>
    <w:basedOn w:val="09BodyFirstParagraph"/>
    <w:next w:val="10BodySubsequentParagraph"/>
    <w:qFormat/>
    <w:rsid w:val="005B1938"/>
    <w:pPr>
      <w:spacing w:before="0" w:after="80"/>
    </w:pPr>
    <w:rPr>
      <w:sz w:val="16"/>
    </w:rPr>
  </w:style>
  <w:style w:type="paragraph" w:customStyle="1" w:styleId="19ListNumber1">
    <w:name w:val="19. List Number 1"/>
    <w:basedOn w:val="10BodySubsequentParagraph"/>
    <w:rsid w:val="005B1938"/>
    <w:pPr>
      <w:numPr>
        <w:numId w:val="7"/>
      </w:numPr>
      <w:spacing w:before="120"/>
    </w:pPr>
  </w:style>
  <w:style w:type="paragraph" w:customStyle="1" w:styleId="05WebAddress">
    <w:name w:val="05. Web Address"/>
    <w:basedOn w:val="04Email"/>
    <w:next w:val="06AbstractBody"/>
    <w:rsid w:val="005B1938"/>
  </w:style>
  <w:style w:type="paragraph" w:customStyle="1" w:styleId="11Figure">
    <w:name w:val="11. Figure"/>
    <w:basedOn w:val="09BodyFirstParagraph"/>
    <w:next w:val="12FigureCaptionLong"/>
    <w:qFormat/>
    <w:rsid w:val="005B1938"/>
    <w:pPr>
      <w:jc w:val="center"/>
    </w:pPr>
    <w:rPr>
      <w:sz w:val="16"/>
    </w:rPr>
  </w:style>
  <w:style w:type="paragraph" w:customStyle="1" w:styleId="19ListNumber2">
    <w:name w:val="19. List Number 2"/>
    <w:basedOn w:val="19ListNumber1"/>
    <w:rsid w:val="005B1938"/>
    <w:pPr>
      <w:numPr>
        <w:numId w:val="8"/>
      </w:numPr>
    </w:pPr>
  </w:style>
  <w:style w:type="paragraph" w:customStyle="1" w:styleId="18ListUnnumbered">
    <w:name w:val="18. List Unnumbered"/>
    <w:basedOn w:val="19ListNumber1"/>
    <w:rsid w:val="005B1938"/>
    <w:pPr>
      <w:numPr>
        <w:numId w:val="0"/>
      </w:numPr>
      <w:ind w:left="360"/>
    </w:pPr>
  </w:style>
  <w:style w:type="paragraph" w:customStyle="1" w:styleId="17ListBulleted">
    <w:name w:val="17. List Bulleted"/>
    <w:basedOn w:val="18ListUnnumbered"/>
    <w:rsid w:val="005B1938"/>
    <w:pPr>
      <w:numPr>
        <w:numId w:val="9"/>
      </w:numPr>
    </w:pPr>
  </w:style>
  <w:style w:type="paragraph" w:customStyle="1" w:styleId="02Author-AO">
    <w:name w:val="02. Author - AO"/>
    <w:basedOn w:val="02Author-BOE"/>
    <w:next w:val="03AuthorAffiliation"/>
    <w:qFormat/>
    <w:rsid w:val="005B1938"/>
    <w:rPr>
      <w:color w:val="26428F"/>
    </w:rPr>
  </w:style>
  <w:style w:type="paragraph" w:customStyle="1" w:styleId="02Author-JOSAA">
    <w:name w:val="02. Author - JOSAA"/>
    <w:basedOn w:val="02Author-AO"/>
    <w:next w:val="03AuthorAffiliation"/>
    <w:qFormat/>
    <w:rsid w:val="005B1938"/>
    <w:rPr>
      <w:color w:val="4C265B"/>
    </w:rPr>
  </w:style>
  <w:style w:type="paragraph" w:customStyle="1" w:styleId="02Author-JOSAB">
    <w:name w:val="02. Author - JOSAB"/>
    <w:basedOn w:val="02Author-JOSAA"/>
    <w:next w:val="03AuthorAffiliation"/>
    <w:qFormat/>
    <w:rsid w:val="005B1938"/>
    <w:rPr>
      <w:color w:val="16A14C"/>
    </w:rPr>
  </w:style>
  <w:style w:type="paragraph" w:customStyle="1" w:styleId="02Author-Optica">
    <w:name w:val="02. Author - Optica"/>
    <w:basedOn w:val="02Author-JOSAA"/>
    <w:next w:val="03AuthorAffiliation"/>
    <w:qFormat/>
    <w:rsid w:val="005B1938"/>
    <w:rPr>
      <w:color w:val="007B4A"/>
    </w:rPr>
  </w:style>
  <w:style w:type="paragraph" w:customStyle="1" w:styleId="02Author-OL">
    <w:name w:val="02. Author - OL"/>
    <w:basedOn w:val="02Author-Optica"/>
    <w:next w:val="03AuthorAffiliation"/>
    <w:qFormat/>
    <w:rsid w:val="005B1938"/>
    <w:rPr>
      <w:color w:val="254982"/>
    </w:rPr>
  </w:style>
  <w:style w:type="paragraph" w:customStyle="1" w:styleId="22DisclosuresSectionHeader">
    <w:name w:val="22. Disclosures Section Header"/>
    <w:basedOn w:val="21AcknowledgmentsSectionHeader"/>
    <w:next w:val="23DataAvailabilitySectionHeader"/>
    <w:qFormat/>
    <w:rsid w:val="005B1938"/>
  </w:style>
  <w:style w:type="character" w:styleId="Hyperlink">
    <w:name w:val="Hyperlink"/>
    <w:basedOn w:val="DefaultParagraphFont"/>
    <w:uiPriority w:val="99"/>
    <w:unhideWhenUsed/>
    <w:rsid w:val="005B1938"/>
    <w:rPr>
      <w:color w:val="0563C1" w:themeColor="hyperlink"/>
      <w:u w:val="single"/>
    </w:rPr>
  </w:style>
  <w:style w:type="paragraph" w:customStyle="1" w:styleId="08SectionHeader10">
    <w:name w:val="08. Section Header 1"/>
    <w:next w:val="09BodyFirstParagraph"/>
    <w:qFormat/>
    <w:rsid w:val="005B1938"/>
    <w:pPr>
      <w:spacing w:before="120" w:after="0" w:line="240" w:lineRule="auto"/>
      <w:ind w:left="360" w:hanging="360"/>
    </w:pPr>
    <w:rPr>
      <w:rFonts w:ascii="Arial" w:hAnsi="Arial"/>
      <w:b/>
      <w:sz w:val="20"/>
      <w:lang w:val="en-US" w:eastAsia="en-US"/>
    </w:rPr>
  </w:style>
  <w:style w:type="table" w:styleId="TableGrid">
    <w:name w:val="Table Grid"/>
    <w:basedOn w:val="TableNormal"/>
    <w:uiPriority w:val="59"/>
    <w:rsid w:val="005B1938"/>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5B1938"/>
    <w:rPr>
      <w:color w:val="8F043A"/>
    </w:rPr>
  </w:style>
  <w:style w:type="paragraph" w:customStyle="1" w:styleId="02Author-PRJ">
    <w:name w:val="02. Author - PRJ"/>
    <w:basedOn w:val="02Author-Optica"/>
    <w:rsid w:val="005B1938"/>
    <w:rPr>
      <w:color w:val="7E2C2E"/>
    </w:rPr>
  </w:style>
  <w:style w:type="paragraph" w:customStyle="1" w:styleId="02Author">
    <w:name w:val="02. Author"/>
    <w:basedOn w:val="02Author-AO"/>
    <w:next w:val="03AuthorAffiliation"/>
    <w:rsid w:val="005B1938"/>
    <w:rPr>
      <w:color w:val="595959" w:themeColor="text1" w:themeTint="A6"/>
    </w:rPr>
  </w:style>
  <w:style w:type="paragraph" w:customStyle="1" w:styleId="02Author-OSAC">
    <w:name w:val="02. Author - OSAC"/>
    <w:basedOn w:val="02Author-OME"/>
    <w:next w:val="03AuthorAffiliation"/>
    <w:rsid w:val="005B1938"/>
    <w:rPr>
      <w:color w:val="006E90"/>
    </w:rPr>
  </w:style>
  <w:style w:type="character" w:styleId="Emphasis">
    <w:name w:val="Emphasis"/>
    <w:basedOn w:val="DefaultParagraphFont"/>
    <w:uiPriority w:val="20"/>
    <w:qFormat/>
    <w:rsid w:val="005B1938"/>
    <w:rPr>
      <w:i/>
      <w:iCs/>
    </w:rPr>
  </w:style>
  <w:style w:type="character" w:styleId="Strong">
    <w:name w:val="Strong"/>
    <w:basedOn w:val="DefaultParagraphFont"/>
    <w:uiPriority w:val="22"/>
    <w:qFormat/>
    <w:rsid w:val="005B1938"/>
    <w:rPr>
      <w:b/>
      <w:bCs/>
    </w:rPr>
  </w:style>
  <w:style w:type="character" w:customStyle="1" w:styleId="1">
    <w:name w:val="未处理的提及1"/>
    <w:basedOn w:val="DefaultParagraphFont"/>
    <w:uiPriority w:val="99"/>
    <w:semiHidden/>
    <w:unhideWhenUsed/>
    <w:rsid w:val="005B1938"/>
    <w:rPr>
      <w:color w:val="605E5C"/>
      <w:shd w:val="clear" w:color="auto" w:fill="E1DFDD"/>
    </w:rPr>
  </w:style>
  <w:style w:type="paragraph" w:customStyle="1" w:styleId="23DataAvailabilitySectionHeader">
    <w:name w:val="23. Data Availability Section Header"/>
    <w:basedOn w:val="22DisclosuresSectionHeader"/>
    <w:rsid w:val="005B1938"/>
  </w:style>
  <w:style w:type="paragraph" w:styleId="NormalWeb">
    <w:name w:val="Normal (Web)"/>
    <w:basedOn w:val="Normal"/>
    <w:uiPriority w:val="99"/>
    <w:semiHidden/>
    <w:unhideWhenUsed/>
    <w:rsid w:val="005B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5B1938"/>
  </w:style>
  <w:style w:type="paragraph" w:customStyle="1" w:styleId="OSAReference">
    <w:name w:val="OSA Reference"/>
    <w:basedOn w:val="Normal"/>
    <w:qFormat/>
    <w:rsid w:val="005B1938"/>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5B1938"/>
  </w:style>
  <w:style w:type="character" w:styleId="FollowedHyperlink">
    <w:name w:val="FollowedHyperlink"/>
    <w:basedOn w:val="DefaultParagraphFont"/>
    <w:uiPriority w:val="99"/>
    <w:semiHidden/>
    <w:unhideWhenUsed/>
    <w:rsid w:val="005B1938"/>
    <w:rPr>
      <w:color w:val="954F72" w:themeColor="followedHyperlink"/>
      <w:u w:val="single"/>
    </w:rPr>
  </w:style>
  <w:style w:type="character" w:styleId="PlaceholderText">
    <w:name w:val="Placeholder Text"/>
    <w:basedOn w:val="DefaultParagraphFont"/>
    <w:uiPriority w:val="99"/>
    <w:semiHidden/>
    <w:rsid w:val="005B1938"/>
    <w:rPr>
      <w:color w:val="808080"/>
    </w:rPr>
  </w:style>
  <w:style w:type="paragraph" w:styleId="Header">
    <w:name w:val="header"/>
    <w:basedOn w:val="Normal"/>
    <w:link w:val="HeaderChar"/>
    <w:uiPriority w:val="99"/>
    <w:unhideWhenUsed/>
    <w:rsid w:val="005B193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B1938"/>
    <w:rPr>
      <w:sz w:val="18"/>
      <w:szCs w:val="18"/>
      <w:lang w:val="en-US" w:eastAsia="en-US"/>
    </w:rPr>
  </w:style>
  <w:style w:type="paragraph" w:styleId="Footer">
    <w:name w:val="footer"/>
    <w:basedOn w:val="Normal"/>
    <w:link w:val="FooterChar"/>
    <w:uiPriority w:val="99"/>
    <w:unhideWhenUsed/>
    <w:rsid w:val="005B193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B1938"/>
    <w:rPr>
      <w:sz w:val="18"/>
      <w:szCs w:val="18"/>
      <w:lang w:val="en-US" w:eastAsia="en-US"/>
    </w:rPr>
  </w:style>
  <w:style w:type="character" w:customStyle="1" w:styleId="MTEquationSection">
    <w:name w:val="MTEquationSection"/>
    <w:basedOn w:val="DefaultParagraphFont"/>
    <w:rsid w:val="005B1938"/>
    <w:rPr>
      <w:vanish/>
      <w:color w:val="FF0000"/>
    </w:rPr>
  </w:style>
  <w:style w:type="paragraph" w:customStyle="1" w:styleId="MTDisplayEquation">
    <w:name w:val="MTDisplayEquation"/>
    <w:basedOn w:val="10BodySubsequentParagraph"/>
    <w:next w:val="Normal"/>
    <w:link w:val="MTDisplayEquation0"/>
    <w:rsid w:val="005B1938"/>
    <w:pPr>
      <w:tabs>
        <w:tab w:val="center" w:pos="3760"/>
        <w:tab w:val="right" w:pos="7540"/>
      </w:tabs>
      <w:ind w:firstLine="0"/>
      <w:jc w:val="center"/>
    </w:pPr>
    <w:rPr>
      <w:lang w:eastAsia="zh-CN"/>
    </w:rPr>
  </w:style>
  <w:style w:type="character" w:customStyle="1" w:styleId="06AbstractBody0">
    <w:name w:val="06. Abstract Body 字符"/>
    <w:basedOn w:val="DefaultParagraphFont"/>
    <w:link w:val="06AbstractBody"/>
    <w:rsid w:val="005B1938"/>
    <w:rPr>
      <w:rFonts w:ascii="Times New Roman" w:hAnsi="Times New Roman"/>
      <w:color w:val="000000" w:themeColor="text1"/>
      <w:sz w:val="20"/>
      <w:lang w:val="en-US" w:eastAsia="en-US"/>
    </w:rPr>
  </w:style>
  <w:style w:type="character" w:customStyle="1" w:styleId="09BodyFirstParagraph0">
    <w:name w:val="09. Body First Paragraph 字符"/>
    <w:basedOn w:val="06AbstractBody0"/>
    <w:link w:val="09BodyFirstParagraph"/>
    <w:rsid w:val="005B1938"/>
    <w:rPr>
      <w:rFonts w:ascii="Times New Roman" w:hAnsi="Times New Roman"/>
      <w:color w:val="000000" w:themeColor="text1"/>
      <w:sz w:val="20"/>
      <w:lang w:val="en-US" w:eastAsia="en-US"/>
    </w:rPr>
  </w:style>
  <w:style w:type="character" w:customStyle="1" w:styleId="10BodySubsequentParagraph0">
    <w:name w:val="10. Body Subsequent Paragraph 字符"/>
    <w:basedOn w:val="09BodyFirstParagraph0"/>
    <w:link w:val="10BodySubsequentParagraph"/>
    <w:rsid w:val="005B1938"/>
    <w:rPr>
      <w:rFonts w:ascii="Times New Roman" w:hAnsi="Times New Roman"/>
      <w:color w:val="000000" w:themeColor="text1"/>
      <w:sz w:val="20"/>
      <w:lang w:val="en-US" w:eastAsia="en-US"/>
    </w:rPr>
  </w:style>
  <w:style w:type="character" w:customStyle="1" w:styleId="MTDisplayEquation0">
    <w:name w:val="MTDisplayEquation 字符"/>
    <w:basedOn w:val="10BodySubsequentParagraph0"/>
    <w:link w:val="MTDisplayEquation"/>
    <w:rsid w:val="005B1938"/>
    <w:rPr>
      <w:rFonts w:ascii="Times New Roman" w:hAnsi="Times New Roman"/>
      <w:color w:val="000000" w:themeColor="text1"/>
      <w:sz w:val="20"/>
      <w:lang w:val="en-US" w:eastAsia="zh-CN"/>
    </w:rPr>
  </w:style>
  <w:style w:type="paragraph" w:customStyle="1" w:styleId="EndNoteBibliographyTitle">
    <w:name w:val="EndNote Bibliography Title"/>
    <w:basedOn w:val="Normal"/>
    <w:link w:val="EndNoteBibliographyTitle0"/>
    <w:rsid w:val="005B1938"/>
    <w:pPr>
      <w:spacing w:after="0"/>
      <w:jc w:val="center"/>
    </w:pPr>
    <w:rPr>
      <w:rFonts w:ascii="Calibri" w:hAnsi="Calibri" w:cs="Calibri"/>
      <w:noProof/>
      <w:color w:val="000000" w:themeColor="text1"/>
    </w:rPr>
  </w:style>
  <w:style w:type="character" w:customStyle="1" w:styleId="EndNoteBibliographyTitle0">
    <w:name w:val="EndNote Bibliography Title 字符"/>
    <w:basedOn w:val="09BodyFirstParagraph0"/>
    <w:link w:val="EndNoteBibliographyTitle"/>
    <w:rsid w:val="005B1938"/>
    <w:rPr>
      <w:rFonts w:ascii="Calibri" w:hAnsi="Calibri" w:cs="Calibri"/>
      <w:noProof/>
      <w:color w:val="000000" w:themeColor="text1"/>
      <w:sz w:val="20"/>
      <w:lang w:val="en-US" w:eastAsia="en-US"/>
    </w:rPr>
  </w:style>
  <w:style w:type="paragraph" w:customStyle="1" w:styleId="EndNoteBibliography">
    <w:name w:val="EndNote Bibliography"/>
    <w:basedOn w:val="Normal"/>
    <w:link w:val="EndNoteBibliography0"/>
    <w:rsid w:val="005B1938"/>
    <w:pPr>
      <w:spacing w:line="240" w:lineRule="auto"/>
      <w:jc w:val="both"/>
    </w:pPr>
    <w:rPr>
      <w:rFonts w:ascii="Calibri" w:hAnsi="Calibri" w:cs="Calibri"/>
      <w:noProof/>
      <w:color w:val="000000" w:themeColor="text1"/>
    </w:rPr>
  </w:style>
  <w:style w:type="character" w:customStyle="1" w:styleId="EndNoteBibliography0">
    <w:name w:val="EndNote Bibliography 字符"/>
    <w:basedOn w:val="09BodyFirstParagraph0"/>
    <w:link w:val="EndNoteBibliography"/>
    <w:rsid w:val="005B1938"/>
    <w:rPr>
      <w:rFonts w:ascii="Calibri" w:hAnsi="Calibri" w:cs="Calibri"/>
      <w:noProof/>
      <w:color w:val="000000" w:themeColor="text1"/>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64/OA_License_v2"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864ED-8642-46CA-865E-46F237F9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12</Pages>
  <Words>6491</Words>
  <Characters>37004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Fang</dc:creator>
  <cp:keywords/>
  <dc:description/>
  <cp:lastModifiedBy>Xu Fang</cp:lastModifiedBy>
  <cp:revision>103</cp:revision>
  <cp:lastPrinted>2022-03-09T20:54:00Z</cp:lastPrinted>
  <dcterms:created xsi:type="dcterms:W3CDTF">2022-01-26T15:31:00Z</dcterms:created>
  <dcterms:modified xsi:type="dcterms:W3CDTF">2022-03-10T00:39:00Z</dcterms:modified>
</cp:coreProperties>
</file>